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11C3965" w14:textId="7473884C" w:rsidR="005B5ED1" w:rsidRDefault="005B5ED1" w:rsidP="00CC1BB1">
      <w:pPr>
        <w:jc w:val="center"/>
        <w:rPr>
          <w:b/>
          <w:sz w:val="28"/>
          <w:lang w:val="fr-FR"/>
        </w:rPr>
      </w:pPr>
      <w:bookmarkStart w:id="0" w:name="_GoBack"/>
      <w:bookmarkEnd w:id="0"/>
      <w:r>
        <w:rPr>
          <w:b/>
          <w:sz w:val="28"/>
          <w:lang w:val="fr-FR"/>
        </w:rPr>
        <w:t>Note 1 :</w:t>
      </w:r>
    </w:p>
    <w:p w14:paraId="2BA2C285" w14:textId="0239F507" w:rsidR="0034018A" w:rsidRPr="00CC1BB1" w:rsidRDefault="006A180C" w:rsidP="00CC1BB1">
      <w:pPr>
        <w:jc w:val="center"/>
        <w:rPr>
          <w:b/>
          <w:sz w:val="28"/>
          <w:lang w:val="fr-FR"/>
        </w:rPr>
      </w:pPr>
      <w:r w:rsidRPr="00CC1BB1">
        <w:rPr>
          <w:b/>
          <w:sz w:val="28"/>
          <w:lang w:val="fr-FR"/>
        </w:rPr>
        <w:t xml:space="preserve">Retour sur investissement et </w:t>
      </w:r>
      <w:r w:rsidR="00AD324F" w:rsidRPr="00CC1BB1">
        <w:rPr>
          <w:b/>
          <w:sz w:val="28"/>
          <w:lang w:val="fr-FR"/>
        </w:rPr>
        <w:t>bénéfices</w:t>
      </w:r>
      <w:r w:rsidRPr="00CC1BB1">
        <w:rPr>
          <w:b/>
          <w:sz w:val="28"/>
          <w:lang w:val="fr-FR"/>
        </w:rPr>
        <w:t xml:space="preserve"> </w:t>
      </w:r>
      <w:r w:rsidR="00AD324F" w:rsidRPr="00CC1BB1">
        <w:rPr>
          <w:b/>
          <w:sz w:val="28"/>
          <w:lang w:val="fr-FR"/>
        </w:rPr>
        <w:t>économiques</w:t>
      </w:r>
      <w:r w:rsidRPr="00CC1BB1">
        <w:rPr>
          <w:b/>
          <w:sz w:val="28"/>
          <w:lang w:val="fr-FR"/>
        </w:rPr>
        <w:t xml:space="preserve"> et sociaux de l’</w:t>
      </w:r>
      <w:r w:rsidR="00AD324F" w:rsidRPr="00CC1BB1">
        <w:rPr>
          <w:b/>
          <w:sz w:val="28"/>
          <w:lang w:val="fr-FR"/>
        </w:rPr>
        <w:t xml:space="preserve">investissement dans la couverture </w:t>
      </w:r>
      <w:r w:rsidR="00F7448D" w:rsidRPr="00CC1BB1">
        <w:rPr>
          <w:b/>
          <w:sz w:val="28"/>
          <w:lang w:val="fr-FR"/>
        </w:rPr>
        <w:t>de sant</w:t>
      </w:r>
      <w:r w:rsidR="00EC63BB" w:rsidRPr="00CC1BB1">
        <w:rPr>
          <w:b/>
          <w:sz w:val="28"/>
          <w:lang w:val="fr-FR"/>
        </w:rPr>
        <w:t>é</w:t>
      </w:r>
      <w:r w:rsidR="00F7448D" w:rsidRPr="00CC1BB1">
        <w:rPr>
          <w:b/>
          <w:sz w:val="28"/>
          <w:lang w:val="fr-FR"/>
        </w:rPr>
        <w:t xml:space="preserve"> </w:t>
      </w:r>
      <w:r w:rsidR="00AD324F" w:rsidRPr="00CC1BB1">
        <w:rPr>
          <w:b/>
          <w:sz w:val="28"/>
          <w:lang w:val="fr-FR"/>
        </w:rPr>
        <w:t>universelle</w:t>
      </w:r>
    </w:p>
    <w:p w14:paraId="1E0D3379" w14:textId="77777777" w:rsidR="00C71B71" w:rsidRDefault="00C71B71">
      <w:pPr>
        <w:rPr>
          <w:b/>
          <w:sz w:val="24"/>
          <w:lang w:val="fr-FR"/>
        </w:rPr>
      </w:pPr>
    </w:p>
    <w:p w14:paraId="7B7C638C" w14:textId="77777777" w:rsidR="00C71B71" w:rsidRDefault="00C71B71">
      <w:pPr>
        <w:rPr>
          <w:b/>
          <w:sz w:val="24"/>
          <w:lang w:val="fr-FR"/>
        </w:rPr>
      </w:pPr>
      <w:r>
        <w:rPr>
          <w:b/>
          <w:sz w:val="24"/>
          <w:lang w:val="fr-FR"/>
        </w:rPr>
        <w:t>Introduction</w:t>
      </w:r>
    </w:p>
    <w:p w14:paraId="6E03F3B5" w14:textId="31F6C567" w:rsidR="00C71B71" w:rsidRDefault="00EC63BB" w:rsidP="005D72D1">
      <w:pPr>
        <w:jc w:val="both"/>
        <w:rPr>
          <w:color w:val="333333"/>
          <w:shd w:val="clear" w:color="auto" w:fill="FFFFFF"/>
          <w:lang w:val="fr-FR"/>
        </w:rPr>
      </w:pPr>
      <w:r w:rsidRPr="00743766">
        <w:rPr>
          <w:lang w:val="fr-FR"/>
        </w:rPr>
        <w:t xml:space="preserve">La couverture santé universelle, </w:t>
      </w:r>
      <w:r w:rsidR="00A1135C">
        <w:rPr>
          <w:lang w:val="fr-FR"/>
        </w:rPr>
        <w:t>telle que</w:t>
      </w:r>
      <w:r w:rsidRPr="00743766">
        <w:rPr>
          <w:lang w:val="fr-FR"/>
        </w:rPr>
        <w:t xml:space="preserve"> </w:t>
      </w:r>
      <w:r w:rsidRPr="00EC63BB">
        <w:rPr>
          <w:lang w:val="fr-FR"/>
        </w:rPr>
        <w:t>décrit</w:t>
      </w:r>
      <w:r w:rsidR="00A1135C">
        <w:rPr>
          <w:lang w:val="fr-FR"/>
        </w:rPr>
        <w:t>e</w:t>
      </w:r>
      <w:r w:rsidRPr="00743766">
        <w:rPr>
          <w:lang w:val="fr-FR"/>
        </w:rPr>
        <w:t xml:space="preserve"> par l’OMS, est</w:t>
      </w:r>
      <w:r>
        <w:rPr>
          <w:lang w:val="fr-FR"/>
        </w:rPr>
        <w:t xml:space="preserve"> une </w:t>
      </w:r>
      <w:r w:rsidRPr="009A7687">
        <w:rPr>
          <w:lang w:val="fr-FR"/>
        </w:rPr>
        <w:t>aspiration qu</w:t>
      </w:r>
      <w:r w:rsidR="00A1135C">
        <w:rPr>
          <w:lang w:val="fr-FR"/>
        </w:rPr>
        <w:t xml:space="preserve">i souhaite </w:t>
      </w:r>
      <w:r w:rsidR="00743766">
        <w:rPr>
          <w:lang w:val="fr-FR"/>
        </w:rPr>
        <w:t>à</w:t>
      </w:r>
      <w:r w:rsidR="00A1135C">
        <w:rPr>
          <w:lang w:val="fr-FR"/>
        </w:rPr>
        <w:t xml:space="preserve"> ce que</w:t>
      </w:r>
      <w:r w:rsidRPr="009A7687">
        <w:rPr>
          <w:lang w:val="fr-FR"/>
        </w:rPr>
        <w:t xml:space="preserve"> « </w:t>
      </w:r>
      <w:r w:rsidRPr="00743766">
        <w:rPr>
          <w:color w:val="333333"/>
          <w:shd w:val="clear" w:color="auto" w:fill="FFFFFF"/>
          <w:lang w:val="fr-FR"/>
        </w:rPr>
        <w:t xml:space="preserve">l’ensemble de la population ait accès aux services préventifs, curatifs, palliatifs, de réadaptation et de promotion de la santé dont elle a besoin et à ce que ces services </w:t>
      </w:r>
      <w:r w:rsidR="009A7687" w:rsidRPr="009A7687">
        <w:rPr>
          <w:color w:val="333333"/>
          <w:shd w:val="clear" w:color="auto" w:fill="FFFFFF"/>
          <w:lang w:val="fr-FR"/>
        </w:rPr>
        <w:t>soient</w:t>
      </w:r>
      <w:r w:rsidRPr="00743766">
        <w:rPr>
          <w:color w:val="333333"/>
          <w:shd w:val="clear" w:color="auto" w:fill="FFFFFF"/>
          <w:lang w:val="fr-FR"/>
        </w:rPr>
        <w:t xml:space="preserve"> de qualité suffisante pour être efficaces, sans que leur coût n’entraîne des difficultés financières pour les usagers » (OMS, 2017). </w:t>
      </w:r>
      <w:r w:rsidR="009A7687">
        <w:rPr>
          <w:color w:val="333333"/>
          <w:shd w:val="clear" w:color="auto" w:fill="FFFFFF"/>
          <w:lang w:val="fr-FR"/>
        </w:rPr>
        <w:t xml:space="preserve">Si la population a </w:t>
      </w:r>
      <w:r w:rsidR="002A006E">
        <w:rPr>
          <w:color w:val="333333"/>
          <w:shd w:val="clear" w:color="auto" w:fill="FFFFFF"/>
          <w:lang w:val="fr-FR"/>
        </w:rPr>
        <w:t xml:space="preserve">un meilleur </w:t>
      </w:r>
      <w:r w:rsidR="009A7687">
        <w:rPr>
          <w:color w:val="333333"/>
          <w:shd w:val="clear" w:color="auto" w:fill="FFFFFF"/>
          <w:lang w:val="fr-FR"/>
        </w:rPr>
        <w:t>accès au</w:t>
      </w:r>
      <w:r w:rsidR="00A1135C">
        <w:rPr>
          <w:color w:val="333333"/>
          <w:shd w:val="clear" w:color="auto" w:fill="FFFFFF"/>
          <w:lang w:val="fr-FR"/>
        </w:rPr>
        <w:t>x</w:t>
      </w:r>
      <w:r w:rsidR="009A7687">
        <w:rPr>
          <w:color w:val="333333"/>
          <w:shd w:val="clear" w:color="auto" w:fill="FFFFFF"/>
          <w:lang w:val="fr-FR"/>
        </w:rPr>
        <w:t xml:space="preserve"> </w:t>
      </w:r>
      <w:r w:rsidR="002A006E">
        <w:rPr>
          <w:color w:val="333333"/>
          <w:shd w:val="clear" w:color="auto" w:fill="FFFFFF"/>
          <w:lang w:val="fr-FR"/>
        </w:rPr>
        <w:t>soins</w:t>
      </w:r>
      <w:r w:rsidR="009A7687">
        <w:rPr>
          <w:color w:val="333333"/>
          <w:shd w:val="clear" w:color="auto" w:fill="FFFFFF"/>
          <w:lang w:val="fr-FR"/>
        </w:rPr>
        <w:t xml:space="preserve"> de santé de qualité, </w:t>
      </w:r>
      <w:r w:rsidR="002A006E">
        <w:rPr>
          <w:color w:val="333333"/>
          <w:shd w:val="clear" w:color="auto" w:fill="FFFFFF"/>
          <w:lang w:val="fr-FR"/>
        </w:rPr>
        <w:t xml:space="preserve">il est </w:t>
      </w:r>
      <w:r w:rsidR="009A7687">
        <w:rPr>
          <w:color w:val="333333"/>
          <w:shd w:val="clear" w:color="auto" w:fill="FFFFFF"/>
          <w:lang w:val="fr-FR"/>
        </w:rPr>
        <w:t xml:space="preserve">plus </w:t>
      </w:r>
      <w:r w:rsidR="002A006E">
        <w:rPr>
          <w:color w:val="333333"/>
          <w:shd w:val="clear" w:color="auto" w:fill="FFFFFF"/>
          <w:lang w:val="fr-FR"/>
        </w:rPr>
        <w:t xml:space="preserve">que </w:t>
      </w:r>
      <w:r w:rsidR="009A7687">
        <w:rPr>
          <w:color w:val="333333"/>
          <w:shd w:val="clear" w:color="auto" w:fill="FFFFFF"/>
          <w:lang w:val="fr-FR"/>
        </w:rPr>
        <w:t>probable qu</w:t>
      </w:r>
      <w:r w:rsidR="002A006E">
        <w:rPr>
          <w:color w:val="333333"/>
          <w:shd w:val="clear" w:color="auto" w:fill="FFFFFF"/>
          <w:lang w:val="fr-FR"/>
        </w:rPr>
        <w:t xml:space="preserve">’elle soit </w:t>
      </w:r>
      <w:r w:rsidR="009A7687">
        <w:rPr>
          <w:color w:val="333333"/>
          <w:shd w:val="clear" w:color="auto" w:fill="FFFFFF"/>
          <w:lang w:val="fr-FR"/>
        </w:rPr>
        <w:t xml:space="preserve">en bonne santé et </w:t>
      </w:r>
      <w:r w:rsidR="002A006E">
        <w:rPr>
          <w:color w:val="333333"/>
          <w:shd w:val="clear" w:color="auto" w:fill="FFFFFF"/>
          <w:lang w:val="fr-FR"/>
        </w:rPr>
        <w:t xml:space="preserve">de ce fait elle pourra </w:t>
      </w:r>
      <w:r w:rsidR="009A7687">
        <w:rPr>
          <w:color w:val="333333"/>
          <w:shd w:val="clear" w:color="auto" w:fill="FFFFFF"/>
          <w:lang w:val="fr-FR"/>
        </w:rPr>
        <w:t>contribuer à l’économie d</w:t>
      </w:r>
      <w:r w:rsidR="00A1135C">
        <w:rPr>
          <w:color w:val="333333"/>
          <w:shd w:val="clear" w:color="auto" w:fill="FFFFFF"/>
          <w:lang w:val="fr-FR"/>
        </w:rPr>
        <w:t>u</w:t>
      </w:r>
      <w:r w:rsidR="009A7687">
        <w:rPr>
          <w:color w:val="333333"/>
          <w:shd w:val="clear" w:color="auto" w:fill="FFFFFF"/>
          <w:lang w:val="fr-FR"/>
        </w:rPr>
        <w:t xml:space="preserve"> pays</w:t>
      </w:r>
      <w:r w:rsidR="00A1135C">
        <w:rPr>
          <w:color w:val="333333"/>
          <w:shd w:val="clear" w:color="auto" w:fill="FFFFFF"/>
          <w:lang w:val="fr-FR"/>
        </w:rPr>
        <w:t>. Ce qui</w:t>
      </w:r>
      <w:r w:rsidR="009A7687">
        <w:rPr>
          <w:color w:val="333333"/>
          <w:shd w:val="clear" w:color="auto" w:fill="FFFFFF"/>
          <w:lang w:val="fr-FR"/>
        </w:rPr>
        <w:t xml:space="preserve"> </w:t>
      </w:r>
      <w:r w:rsidR="002A006E">
        <w:rPr>
          <w:color w:val="333333"/>
          <w:shd w:val="clear" w:color="auto" w:fill="FFFFFF"/>
          <w:lang w:val="fr-FR"/>
        </w:rPr>
        <w:t>pourra</w:t>
      </w:r>
      <w:r w:rsidR="009A7687">
        <w:rPr>
          <w:color w:val="333333"/>
          <w:shd w:val="clear" w:color="auto" w:fill="FFFFFF"/>
          <w:lang w:val="fr-FR"/>
        </w:rPr>
        <w:t xml:space="preserve"> </w:t>
      </w:r>
      <w:r w:rsidR="002A006E">
        <w:rPr>
          <w:color w:val="333333"/>
          <w:shd w:val="clear" w:color="auto" w:fill="FFFFFF"/>
          <w:lang w:val="fr-FR"/>
        </w:rPr>
        <w:t xml:space="preserve">diminuer la survenue </w:t>
      </w:r>
      <w:r w:rsidR="009A7687">
        <w:rPr>
          <w:color w:val="333333"/>
          <w:shd w:val="clear" w:color="auto" w:fill="FFFFFF"/>
          <w:lang w:val="fr-FR"/>
        </w:rPr>
        <w:t>de maladies chroniques et évit</w:t>
      </w:r>
      <w:r w:rsidR="00A1135C">
        <w:rPr>
          <w:color w:val="333333"/>
          <w:shd w:val="clear" w:color="auto" w:fill="FFFFFF"/>
          <w:lang w:val="fr-FR"/>
        </w:rPr>
        <w:t>er</w:t>
      </w:r>
      <w:r w:rsidR="009A7687">
        <w:rPr>
          <w:color w:val="333333"/>
          <w:shd w:val="clear" w:color="auto" w:fill="FFFFFF"/>
          <w:lang w:val="fr-FR"/>
        </w:rPr>
        <w:t xml:space="preserve"> des </w:t>
      </w:r>
      <w:r w:rsidR="002A006E">
        <w:rPr>
          <w:color w:val="333333"/>
          <w:shd w:val="clear" w:color="auto" w:fill="FFFFFF"/>
          <w:lang w:val="fr-FR"/>
        </w:rPr>
        <w:t xml:space="preserve">consultations </w:t>
      </w:r>
      <w:r w:rsidR="009A7687">
        <w:rPr>
          <w:color w:val="333333"/>
          <w:shd w:val="clear" w:color="auto" w:fill="FFFFFF"/>
          <w:lang w:val="fr-FR"/>
        </w:rPr>
        <w:t>d’urgence parce qu</w:t>
      </w:r>
      <w:r w:rsidR="002A006E">
        <w:rPr>
          <w:color w:val="333333"/>
          <w:shd w:val="clear" w:color="auto" w:fill="FFFFFF"/>
          <w:lang w:val="fr-FR"/>
        </w:rPr>
        <w:t xml:space="preserve">e la population </w:t>
      </w:r>
      <w:r w:rsidR="009A7687">
        <w:rPr>
          <w:color w:val="333333"/>
          <w:shd w:val="clear" w:color="auto" w:fill="FFFFFF"/>
          <w:lang w:val="fr-FR"/>
        </w:rPr>
        <w:t xml:space="preserve"> pren</w:t>
      </w:r>
      <w:r w:rsidR="002A006E">
        <w:rPr>
          <w:color w:val="333333"/>
          <w:shd w:val="clear" w:color="auto" w:fill="FFFFFF"/>
          <w:lang w:val="fr-FR"/>
        </w:rPr>
        <w:t xml:space="preserve">d </w:t>
      </w:r>
      <w:r w:rsidR="009A7687">
        <w:rPr>
          <w:color w:val="333333"/>
          <w:shd w:val="clear" w:color="auto" w:fill="FFFFFF"/>
          <w:lang w:val="fr-FR"/>
        </w:rPr>
        <w:t>l’avantage des visites préventi</w:t>
      </w:r>
      <w:r w:rsidR="00A1135C">
        <w:rPr>
          <w:color w:val="333333"/>
          <w:shd w:val="clear" w:color="auto" w:fill="FFFFFF"/>
          <w:lang w:val="fr-FR"/>
        </w:rPr>
        <w:t>ve</w:t>
      </w:r>
      <w:r w:rsidR="009A7687">
        <w:rPr>
          <w:color w:val="333333"/>
          <w:shd w:val="clear" w:color="auto" w:fill="FFFFFF"/>
          <w:lang w:val="fr-FR"/>
        </w:rPr>
        <w:t xml:space="preserve">s et éviter des paiements catastrophiques de la santé. </w:t>
      </w:r>
    </w:p>
    <w:p w14:paraId="28A95EB7" w14:textId="567CE7CA" w:rsidR="009A7687" w:rsidRDefault="009A7687">
      <w:pPr>
        <w:rPr>
          <w:color w:val="333333"/>
          <w:shd w:val="clear" w:color="auto" w:fill="FFFFFF"/>
          <w:lang w:val="fr-FR"/>
        </w:rPr>
      </w:pPr>
      <w:r>
        <w:rPr>
          <w:color w:val="333333"/>
          <w:shd w:val="clear" w:color="auto" w:fill="FFFFFF"/>
          <w:lang w:val="fr-FR"/>
        </w:rPr>
        <w:t>Il y a plusieurs stratégies qu’un pays peut utiliser pour atteindre la CSU</w:t>
      </w:r>
      <w:r w:rsidR="002A006E">
        <w:rPr>
          <w:color w:val="333333"/>
          <w:shd w:val="clear" w:color="auto" w:fill="FFFFFF"/>
          <w:lang w:val="fr-FR"/>
        </w:rPr>
        <w:t>. Cependant</w:t>
      </w:r>
      <w:r>
        <w:rPr>
          <w:color w:val="333333"/>
          <w:shd w:val="clear" w:color="auto" w:fill="FFFFFF"/>
          <w:lang w:val="fr-FR"/>
        </w:rPr>
        <w:t xml:space="preserve">, </w:t>
      </w:r>
      <w:r w:rsidR="00A1135C">
        <w:rPr>
          <w:color w:val="333333"/>
          <w:shd w:val="clear" w:color="auto" w:fill="FFFFFF"/>
          <w:lang w:val="fr-FR"/>
        </w:rPr>
        <w:t>quelle</w:t>
      </w:r>
      <w:r>
        <w:rPr>
          <w:color w:val="333333"/>
          <w:shd w:val="clear" w:color="auto" w:fill="FFFFFF"/>
          <w:lang w:val="fr-FR"/>
        </w:rPr>
        <w:t xml:space="preserve"> que soit la stratégie, l’investissement dans la qualité de soins de santé et le système de santé est </w:t>
      </w:r>
      <w:r w:rsidR="002A006E">
        <w:rPr>
          <w:color w:val="333333"/>
          <w:shd w:val="clear" w:color="auto" w:fill="FFFFFF"/>
          <w:lang w:val="fr-FR"/>
        </w:rPr>
        <w:t>essentiel</w:t>
      </w:r>
      <w:r w:rsidR="00A1135C">
        <w:rPr>
          <w:color w:val="333333"/>
          <w:shd w:val="clear" w:color="auto" w:fill="FFFFFF"/>
          <w:lang w:val="fr-FR"/>
        </w:rPr>
        <w:t xml:space="preserve"> </w:t>
      </w:r>
      <w:r>
        <w:rPr>
          <w:color w:val="333333"/>
          <w:shd w:val="clear" w:color="auto" w:fill="FFFFFF"/>
          <w:lang w:val="fr-FR"/>
        </w:rPr>
        <w:t xml:space="preserve">et dépend </w:t>
      </w:r>
      <w:r w:rsidR="00A1135C">
        <w:rPr>
          <w:color w:val="333333"/>
          <w:shd w:val="clear" w:color="auto" w:fill="FFFFFF"/>
          <w:lang w:val="fr-FR"/>
        </w:rPr>
        <w:t>de</w:t>
      </w:r>
      <w:r>
        <w:rPr>
          <w:color w:val="333333"/>
          <w:shd w:val="clear" w:color="auto" w:fill="FFFFFF"/>
          <w:lang w:val="fr-FR"/>
        </w:rPr>
        <w:t xml:space="preserve"> l’engagement du gouvernement, ainsi que </w:t>
      </w:r>
      <w:r w:rsidR="002A006E">
        <w:rPr>
          <w:color w:val="333333"/>
          <w:shd w:val="clear" w:color="auto" w:fill="FFFFFF"/>
          <w:lang w:val="fr-FR"/>
        </w:rPr>
        <w:t>d</w:t>
      </w:r>
      <w:r>
        <w:rPr>
          <w:color w:val="333333"/>
          <w:shd w:val="clear" w:color="auto" w:fill="FFFFFF"/>
          <w:lang w:val="fr-FR"/>
        </w:rPr>
        <w:t>es donateurs et des partenaires privé</w:t>
      </w:r>
      <w:r w:rsidR="00A1135C">
        <w:rPr>
          <w:color w:val="333333"/>
          <w:shd w:val="clear" w:color="auto" w:fill="FFFFFF"/>
          <w:lang w:val="fr-FR"/>
        </w:rPr>
        <w:t>s.</w:t>
      </w:r>
      <w:r>
        <w:rPr>
          <w:color w:val="333333"/>
          <w:shd w:val="clear" w:color="auto" w:fill="FFFFFF"/>
          <w:lang w:val="fr-FR"/>
        </w:rPr>
        <w:t xml:space="preserve"> </w:t>
      </w:r>
    </w:p>
    <w:p w14:paraId="04A364FB" w14:textId="77777777" w:rsidR="009A7687" w:rsidRPr="002A006E" w:rsidRDefault="009A7687">
      <w:pPr>
        <w:rPr>
          <w:lang w:val="fr-FR"/>
        </w:rPr>
      </w:pPr>
    </w:p>
    <w:p w14:paraId="0B65A423" w14:textId="145686C5" w:rsidR="006E675D" w:rsidRPr="006E675D" w:rsidRDefault="006E675D" w:rsidP="006E675D">
      <w:pPr>
        <w:pStyle w:val="Listenabsatz"/>
        <w:numPr>
          <w:ilvl w:val="0"/>
          <w:numId w:val="5"/>
        </w:numPr>
        <w:rPr>
          <w:b/>
          <w:lang w:val="fr-FR"/>
        </w:rPr>
      </w:pPr>
      <w:r w:rsidRPr="006E675D">
        <w:rPr>
          <w:b/>
          <w:lang w:val="fr-FR"/>
        </w:rPr>
        <w:t>Faiblesse du financement de la sant</w:t>
      </w:r>
      <w:r w:rsidR="000E0C7C">
        <w:rPr>
          <w:b/>
          <w:lang w:val="fr-FR"/>
        </w:rPr>
        <w:t>é</w:t>
      </w:r>
      <w:r w:rsidRPr="006E675D">
        <w:rPr>
          <w:b/>
          <w:lang w:val="fr-FR"/>
        </w:rPr>
        <w:t> </w:t>
      </w:r>
    </w:p>
    <w:p w14:paraId="555699F8" w14:textId="77777777" w:rsidR="006E675D" w:rsidRPr="006E675D" w:rsidRDefault="006E675D" w:rsidP="006E675D">
      <w:pPr>
        <w:pStyle w:val="Listenabsatz"/>
        <w:numPr>
          <w:ilvl w:val="1"/>
          <w:numId w:val="5"/>
        </w:numPr>
        <w:rPr>
          <w:lang w:val="fr-FR"/>
        </w:rPr>
      </w:pPr>
      <w:r>
        <w:rPr>
          <w:lang w:val="fr-FR"/>
        </w:rPr>
        <w:t>Faible allocation budgétaire :</w:t>
      </w:r>
    </w:p>
    <w:p w14:paraId="231C97E1" w14:textId="10D52161" w:rsidR="001A0CAB" w:rsidRPr="000E0C7C" w:rsidRDefault="0036605D" w:rsidP="001A0CAB">
      <w:pPr>
        <w:jc w:val="both"/>
        <w:rPr>
          <w:lang w:val="fr-FR"/>
        </w:rPr>
      </w:pPr>
      <w:r w:rsidRPr="002A006E">
        <w:rPr>
          <w:lang w:val="fr-FR"/>
        </w:rPr>
        <w:t xml:space="preserve">Les </w:t>
      </w:r>
      <w:r w:rsidR="00542CBF" w:rsidRPr="002A006E">
        <w:rPr>
          <w:lang w:val="fr-FR"/>
        </w:rPr>
        <w:t xml:space="preserve">malagasy </w:t>
      </w:r>
      <w:r w:rsidRPr="002A006E">
        <w:rPr>
          <w:lang w:val="fr-FR"/>
        </w:rPr>
        <w:t xml:space="preserve">dépensent en moyenne </w:t>
      </w:r>
      <w:r w:rsidR="002F78B2" w:rsidRPr="002A006E">
        <w:rPr>
          <w:lang w:val="fr-FR"/>
        </w:rPr>
        <w:t>14</w:t>
      </w:r>
      <w:r w:rsidRPr="002A006E">
        <w:rPr>
          <w:lang w:val="fr-FR"/>
        </w:rPr>
        <w:t xml:space="preserve"> USD par habitant par an</w:t>
      </w:r>
      <w:r w:rsidR="001C764B" w:rsidRPr="002A006E">
        <w:rPr>
          <w:lang w:val="fr-FR"/>
        </w:rPr>
        <w:t xml:space="preserve"> en 2014</w:t>
      </w:r>
      <w:r w:rsidR="002F78B2" w:rsidRPr="002A006E">
        <w:rPr>
          <w:lang w:val="fr-FR"/>
        </w:rPr>
        <w:t xml:space="preserve"> (WHO, 2017)</w:t>
      </w:r>
      <w:r w:rsidR="001C764B">
        <w:rPr>
          <w:lang w:val="fr-FR"/>
        </w:rPr>
        <w:t xml:space="preserve"> et le chiffre n’a pas changé depuis 1996</w:t>
      </w:r>
      <w:r w:rsidR="002A006E">
        <w:rPr>
          <w:lang w:val="fr-FR"/>
        </w:rPr>
        <w:t>,</w:t>
      </w:r>
      <w:r w:rsidR="001C764B">
        <w:rPr>
          <w:lang w:val="fr-FR"/>
        </w:rPr>
        <w:t xml:space="preserve"> </w:t>
      </w:r>
      <w:r w:rsidR="002A006E">
        <w:rPr>
          <w:lang w:val="fr-FR"/>
        </w:rPr>
        <w:t>s</w:t>
      </w:r>
      <w:r w:rsidR="002A006E" w:rsidRPr="002A006E">
        <w:rPr>
          <w:lang w:val="fr-FR"/>
        </w:rPr>
        <w:t>oit</w:t>
      </w:r>
      <w:r w:rsidR="002F78B2" w:rsidRPr="002A006E">
        <w:rPr>
          <w:lang w:val="fr-FR"/>
        </w:rPr>
        <w:t xml:space="preserve"> un quart des 60 USD </w:t>
      </w:r>
      <w:r w:rsidR="00E2018A" w:rsidRPr="002A006E">
        <w:rPr>
          <w:lang w:val="fr-FR"/>
        </w:rPr>
        <w:t>préconisés</w:t>
      </w:r>
      <w:r w:rsidR="002F78B2" w:rsidRPr="002A006E">
        <w:rPr>
          <w:lang w:val="fr-FR"/>
        </w:rPr>
        <w:t xml:space="preserve"> pour atteindre une couverture sanitaire universelle Ces </w:t>
      </w:r>
      <w:r w:rsidR="00E2018A" w:rsidRPr="002A006E">
        <w:rPr>
          <w:lang w:val="fr-FR"/>
        </w:rPr>
        <w:t>données</w:t>
      </w:r>
      <w:r w:rsidR="002F78B2" w:rsidRPr="002A006E">
        <w:rPr>
          <w:lang w:val="fr-FR"/>
        </w:rPr>
        <w:t xml:space="preserve"> placent le pays en retrai</w:t>
      </w:r>
      <w:r w:rsidR="0070460C" w:rsidRPr="002A006E">
        <w:rPr>
          <w:lang w:val="fr-FR"/>
        </w:rPr>
        <w:t xml:space="preserve">t par rapport au Mali (32 USD) </w:t>
      </w:r>
      <w:r w:rsidR="002F78B2" w:rsidRPr="002A006E">
        <w:rPr>
          <w:lang w:val="fr-FR"/>
        </w:rPr>
        <w:t>ou au Rwanda (56 USD)</w:t>
      </w:r>
      <w:r w:rsidR="00017F2B">
        <w:rPr>
          <w:lang w:val="fr-FR"/>
        </w:rPr>
        <w:t xml:space="preserve"> (High Level Task Force, 2009)</w:t>
      </w:r>
      <w:r w:rsidR="002F78B2" w:rsidRPr="002A006E">
        <w:rPr>
          <w:lang w:val="fr-FR"/>
        </w:rPr>
        <w:t xml:space="preserve">. </w:t>
      </w:r>
    </w:p>
    <w:p w14:paraId="0402497C" w14:textId="3498478A" w:rsidR="002F78B2" w:rsidRPr="005B5ED1" w:rsidRDefault="00540743" w:rsidP="00AD324F">
      <w:pPr>
        <w:rPr>
          <w:lang w:val="fr-FR"/>
        </w:rPr>
      </w:pPr>
      <w:r w:rsidRPr="005B5ED1">
        <w:rPr>
          <w:lang w:val="fr-FR"/>
        </w:rPr>
        <w:t>Figure 1</w:t>
      </w:r>
      <w:r w:rsidR="002F78B2" w:rsidRPr="005B5ED1">
        <w:rPr>
          <w:lang w:val="fr-FR"/>
        </w:rPr>
        <w:t> : Dépenses moyennes de sant</w:t>
      </w:r>
      <w:r w:rsidR="00A1135C" w:rsidRPr="005B5ED1">
        <w:rPr>
          <w:lang w:val="fr-FR"/>
        </w:rPr>
        <w:t>é</w:t>
      </w:r>
      <w:r w:rsidR="002F78B2" w:rsidRPr="005B5ED1">
        <w:rPr>
          <w:lang w:val="fr-FR"/>
        </w:rPr>
        <w:t xml:space="preserve"> par habitant en Afrique (USD, 2014)</w:t>
      </w:r>
    </w:p>
    <w:p w14:paraId="66C9D829" w14:textId="77777777" w:rsidR="002C1A6D" w:rsidRPr="002F78B2" w:rsidRDefault="006958EA" w:rsidP="00AD324F">
      <w:pPr>
        <w:rPr>
          <w:noProof/>
          <w:lang w:val="fr-FR" w:eastAsia="en-GB"/>
        </w:rPr>
      </w:pPr>
      <w:r w:rsidRPr="00542CBF">
        <w:rPr>
          <w:noProof/>
          <w:lang w:val="de-DE" w:eastAsia="de-DE"/>
        </w:rPr>
        <w:drawing>
          <wp:inline distT="0" distB="0" distL="0" distR="0" wp14:anchorId="1E4E816E" wp14:editId="44C81042">
            <wp:extent cx="2024743" cy="1982217"/>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42273" t="26522" r="33491" b="31296"/>
                    <a:stretch/>
                  </pic:blipFill>
                  <pic:spPr bwMode="auto">
                    <a:xfrm>
                      <a:off x="0" y="0"/>
                      <a:ext cx="2026744" cy="1984176"/>
                    </a:xfrm>
                    <a:prstGeom prst="rect">
                      <a:avLst/>
                    </a:prstGeom>
                    <a:ln>
                      <a:noFill/>
                    </a:ln>
                    <a:extLst>
                      <a:ext uri="{53640926-AAD7-44D8-BBD7-CCE9431645EC}">
                        <a14:shadowObscured xmlns:a14="http://schemas.microsoft.com/office/drawing/2010/main"/>
                      </a:ext>
                    </a:extLst>
                  </pic:spPr>
                </pic:pic>
              </a:graphicData>
            </a:graphic>
          </wp:inline>
        </w:drawing>
      </w:r>
      <w:r w:rsidR="00BB7ADF" w:rsidRPr="00542CBF">
        <w:rPr>
          <w:noProof/>
          <w:lang w:val="de-DE" w:eastAsia="de-DE"/>
        </w:rPr>
        <w:drawing>
          <wp:inline distT="0" distB="0" distL="0" distR="0" wp14:anchorId="4A248FC3" wp14:editId="77AC193B">
            <wp:extent cx="807522" cy="1997710"/>
            <wp:effectExtent l="0" t="0" r="0" b="254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11383" t="11467" r="81714" b="66279"/>
                    <a:stretch/>
                  </pic:blipFill>
                  <pic:spPr bwMode="auto">
                    <a:xfrm>
                      <a:off x="0" y="0"/>
                      <a:ext cx="835674" cy="2067354"/>
                    </a:xfrm>
                    <a:prstGeom prst="rect">
                      <a:avLst/>
                    </a:prstGeom>
                    <a:ln>
                      <a:noFill/>
                    </a:ln>
                    <a:extLst>
                      <a:ext uri="{53640926-AAD7-44D8-BBD7-CCE9431645EC}">
                        <a14:shadowObscured xmlns:a14="http://schemas.microsoft.com/office/drawing/2010/main"/>
                      </a:ext>
                    </a:extLst>
                  </pic:spPr>
                </pic:pic>
              </a:graphicData>
            </a:graphic>
          </wp:inline>
        </w:drawing>
      </w:r>
    </w:p>
    <w:p w14:paraId="68768CFC" w14:textId="77777777" w:rsidR="002F78B2" w:rsidRPr="002F78B2" w:rsidRDefault="00BB7ADF" w:rsidP="00AD324F">
      <w:pPr>
        <w:rPr>
          <w:rFonts w:cs="Arial"/>
          <w:sz w:val="20"/>
          <w:szCs w:val="17"/>
          <w:lang w:val="en"/>
        </w:rPr>
      </w:pPr>
      <w:r w:rsidRPr="002A006E">
        <w:rPr>
          <w:rFonts w:cs="Arial"/>
          <w:sz w:val="20"/>
          <w:szCs w:val="17"/>
          <w:lang w:val="en-US"/>
        </w:rPr>
        <w:t>Source: Global Health Observatory (</w:t>
      </w:r>
      <w:hyperlink r:id="rId11" w:history="1">
        <w:r w:rsidRPr="002F78B2">
          <w:rPr>
            <w:rStyle w:val="Hyperlink"/>
            <w:rFonts w:cs="Arial"/>
            <w:color w:val="auto"/>
            <w:sz w:val="20"/>
            <w:szCs w:val="17"/>
            <w:lang w:val="en"/>
          </w:rPr>
          <w:t>http://www.who.int/gho/en/</w:t>
        </w:r>
      </w:hyperlink>
      <w:r w:rsidRPr="002F78B2">
        <w:rPr>
          <w:rFonts w:cs="Arial"/>
          <w:sz w:val="20"/>
          <w:szCs w:val="17"/>
          <w:lang w:val="en"/>
        </w:rPr>
        <w:t>)</w:t>
      </w:r>
    </w:p>
    <w:p w14:paraId="2099BB92" w14:textId="75C796A0" w:rsidR="003059A5" w:rsidRPr="000E0C7C" w:rsidRDefault="002F78B2" w:rsidP="003059A5">
      <w:pPr>
        <w:jc w:val="both"/>
        <w:rPr>
          <w:lang w:val="fr-FR"/>
        </w:rPr>
      </w:pPr>
      <w:r>
        <w:rPr>
          <w:rFonts w:cs="Helvetica"/>
          <w:lang w:val="fr-FR"/>
        </w:rPr>
        <w:t>L</w:t>
      </w:r>
      <w:r w:rsidRPr="005717C8">
        <w:rPr>
          <w:rFonts w:cs="Helvetica"/>
          <w:lang w:val="fr-FR"/>
        </w:rPr>
        <w:t>a santé représente près de 10 % des dépenses totales du gouvernement</w:t>
      </w:r>
      <w:r>
        <w:rPr>
          <w:rFonts w:cs="Helvetica"/>
          <w:lang w:val="fr-FR"/>
        </w:rPr>
        <w:t xml:space="preserve"> mais </w:t>
      </w:r>
      <w:r w:rsidRPr="005717C8">
        <w:rPr>
          <w:rFonts w:cs="Helvetica"/>
          <w:lang w:val="fr-FR"/>
        </w:rPr>
        <w:t xml:space="preserve">80 % </w:t>
      </w:r>
      <w:r>
        <w:rPr>
          <w:rFonts w:cs="Helvetica"/>
          <w:lang w:val="fr-FR"/>
        </w:rPr>
        <w:t xml:space="preserve">de ces dépenses sont </w:t>
      </w:r>
      <w:r w:rsidRPr="005717C8">
        <w:rPr>
          <w:rFonts w:cs="Helvetica"/>
          <w:lang w:val="fr-FR"/>
        </w:rPr>
        <w:t>porté</w:t>
      </w:r>
      <w:r>
        <w:rPr>
          <w:rFonts w:cs="Helvetica"/>
          <w:lang w:val="fr-FR"/>
        </w:rPr>
        <w:t>e</w:t>
      </w:r>
      <w:r w:rsidRPr="005717C8">
        <w:rPr>
          <w:rFonts w:cs="Helvetica"/>
          <w:lang w:val="fr-FR"/>
        </w:rPr>
        <w:t>s par des financements extérieurs</w:t>
      </w:r>
      <w:r w:rsidR="00F47AAE">
        <w:rPr>
          <w:rFonts w:cs="Helvetica"/>
          <w:lang w:val="fr-FR"/>
        </w:rPr>
        <w:t xml:space="preserve"> (BM, 2016)</w:t>
      </w:r>
      <w:r>
        <w:rPr>
          <w:rFonts w:cs="Helvetica"/>
          <w:lang w:val="fr-FR"/>
        </w:rPr>
        <w:t xml:space="preserve">. </w:t>
      </w:r>
      <w:r w:rsidR="004D039B">
        <w:rPr>
          <w:rFonts w:cs="Helvetica"/>
          <w:lang w:val="fr-FR"/>
        </w:rPr>
        <w:t xml:space="preserve">En 2016, des </w:t>
      </w:r>
      <w:r w:rsidR="004D039B" w:rsidRPr="00342E47">
        <w:rPr>
          <w:rFonts w:cs="Helvetica"/>
          <w:lang w:val="fr-FR"/>
        </w:rPr>
        <w:t>dépenses du budget général de l’État</w:t>
      </w:r>
      <w:r w:rsidR="004D039B">
        <w:rPr>
          <w:rFonts w:cs="Helvetica"/>
          <w:lang w:val="fr-FR"/>
        </w:rPr>
        <w:t>, 4,6% est la part</w:t>
      </w:r>
      <w:r w:rsidR="004D039B" w:rsidRPr="00342E47">
        <w:rPr>
          <w:rFonts w:cs="Helvetica"/>
          <w:lang w:val="fr-FR"/>
        </w:rPr>
        <w:t xml:space="preserve"> des dépenses domestique du budget de la santé (financements externes </w:t>
      </w:r>
      <w:r w:rsidR="004D039B" w:rsidRPr="00342E47">
        <w:rPr>
          <w:rFonts w:cs="Helvetica"/>
          <w:lang w:val="fr-FR"/>
        </w:rPr>
        <w:lastRenderedPageBreak/>
        <w:t>non inclus)</w:t>
      </w:r>
      <w:r w:rsidR="004D039B">
        <w:rPr>
          <w:rFonts w:cs="Helvetica"/>
          <w:lang w:val="fr-FR"/>
        </w:rPr>
        <w:t>.</w:t>
      </w:r>
      <w:r w:rsidR="003059A5">
        <w:rPr>
          <w:rFonts w:cs="Helvetica"/>
          <w:lang w:val="fr-FR"/>
        </w:rPr>
        <w:t xml:space="preserve"> </w:t>
      </w:r>
      <w:r w:rsidR="00A1135C">
        <w:rPr>
          <w:rFonts w:cs="Helvetica"/>
          <w:lang w:val="fr-FR"/>
        </w:rPr>
        <w:t>L</w:t>
      </w:r>
      <w:r w:rsidR="003059A5">
        <w:rPr>
          <w:rFonts w:cs="Helvetica"/>
          <w:lang w:val="fr-FR"/>
        </w:rPr>
        <w:t xml:space="preserve">e fait que la plupart du </w:t>
      </w:r>
      <w:r w:rsidR="003059A5" w:rsidRPr="000E0C7C">
        <w:rPr>
          <w:lang w:val="fr-FR"/>
        </w:rPr>
        <w:t>financement de la sante provien</w:t>
      </w:r>
      <w:r w:rsidR="003059A5">
        <w:rPr>
          <w:lang w:val="fr-FR"/>
        </w:rPr>
        <w:t xml:space="preserve">t de l’aide extérieure, </w:t>
      </w:r>
      <w:r w:rsidR="00A1135C">
        <w:rPr>
          <w:lang w:val="fr-FR"/>
        </w:rPr>
        <w:t>entraine</w:t>
      </w:r>
      <w:r w:rsidR="003059A5" w:rsidRPr="000E0C7C">
        <w:rPr>
          <w:lang w:val="fr-FR"/>
        </w:rPr>
        <w:t xml:space="preserve"> des problèmes de prévisibilité, d’efficacité et de </w:t>
      </w:r>
      <w:r w:rsidR="003059A5">
        <w:rPr>
          <w:lang w:val="fr-FR"/>
        </w:rPr>
        <w:t>pérennisation</w:t>
      </w:r>
      <w:r w:rsidR="003059A5" w:rsidRPr="000E0C7C">
        <w:rPr>
          <w:lang w:val="fr-FR"/>
        </w:rPr>
        <w:t xml:space="preserve"> du financement. </w:t>
      </w:r>
    </w:p>
    <w:p w14:paraId="6DBD797E" w14:textId="6ED542AE" w:rsidR="00E72FA1" w:rsidRDefault="00E72FA1" w:rsidP="00230749">
      <w:pPr>
        <w:jc w:val="both"/>
        <w:rPr>
          <w:rFonts w:cs="Helvetica"/>
          <w:lang w:val="fr-FR"/>
        </w:rPr>
      </w:pPr>
      <w:r>
        <w:rPr>
          <w:rFonts w:cs="Helvetica"/>
          <w:lang w:val="fr-FR"/>
        </w:rPr>
        <w:t xml:space="preserve">En plus, le financement focalise sur le fonctionnement du secteur et la majorité des fonds </w:t>
      </w:r>
      <w:r w:rsidR="00A1135C">
        <w:rPr>
          <w:rFonts w:cs="Helvetica"/>
          <w:lang w:val="fr-FR"/>
        </w:rPr>
        <w:t>es</w:t>
      </w:r>
      <w:r>
        <w:rPr>
          <w:rFonts w:cs="Helvetica"/>
          <w:lang w:val="fr-FR"/>
        </w:rPr>
        <w:t>t alloué</w:t>
      </w:r>
      <w:r w:rsidR="00A1135C">
        <w:rPr>
          <w:rFonts w:cs="Helvetica"/>
          <w:lang w:val="fr-FR"/>
        </w:rPr>
        <w:t>e</w:t>
      </w:r>
      <w:r>
        <w:rPr>
          <w:rFonts w:cs="Helvetica"/>
          <w:lang w:val="fr-FR"/>
        </w:rPr>
        <w:t xml:space="preserve"> aux salaires. </w:t>
      </w:r>
      <w:r w:rsidR="004D039B" w:rsidRPr="004D039B">
        <w:rPr>
          <w:rFonts w:cs="Helvetica"/>
          <w:lang w:val="fr-FR"/>
        </w:rPr>
        <w:t>Les dépenses de soldes entre 2011 et 2016 représentent 80 % du budget de fonctionnement et 62% du budget total du ministère de la Santé</w:t>
      </w:r>
      <w:r w:rsidR="004D039B">
        <w:rPr>
          <w:rFonts w:cs="Helvetica"/>
          <w:lang w:val="fr-FR"/>
        </w:rPr>
        <w:t xml:space="preserve"> publique (MSANP)</w:t>
      </w:r>
      <w:r w:rsidR="004D039B" w:rsidRPr="004D039B">
        <w:rPr>
          <w:rFonts w:cs="Helvetica"/>
          <w:lang w:val="fr-FR"/>
        </w:rPr>
        <w:t xml:space="preserve"> effectivement exécuté</w:t>
      </w:r>
      <w:r w:rsidR="00A1135C">
        <w:rPr>
          <w:rFonts w:cs="Helvetica"/>
          <w:lang w:val="fr-FR"/>
        </w:rPr>
        <w:t>.</w:t>
      </w:r>
      <w:r w:rsidR="004D039B" w:rsidRPr="004D039B">
        <w:rPr>
          <w:rFonts w:cs="Helvetica"/>
          <w:lang w:val="fr-FR"/>
        </w:rPr>
        <w:t xml:space="preserve"> </w:t>
      </w:r>
      <w:r w:rsidR="00F47AAE">
        <w:rPr>
          <w:rFonts w:cs="Helvetica"/>
          <w:lang w:val="fr-FR"/>
        </w:rPr>
        <w:t xml:space="preserve">Dans le budget général de l’état, </w:t>
      </w:r>
      <w:r>
        <w:rPr>
          <w:rFonts w:cs="Helvetica"/>
          <w:lang w:val="fr-FR"/>
        </w:rPr>
        <w:t>Le</w:t>
      </w:r>
      <w:r w:rsidRPr="00E72FA1">
        <w:rPr>
          <w:rFonts w:cs="Helvetica"/>
          <w:lang w:val="fr-FR"/>
        </w:rPr>
        <w:t xml:space="preserve"> MSANP couvre en moyenne 37% des dépenses sur l’investissement, dont 63% sont financées par les ressources externes</w:t>
      </w:r>
      <w:r w:rsidR="00F47AAE">
        <w:rPr>
          <w:rFonts w:cs="Helvetica"/>
          <w:lang w:val="fr-FR"/>
        </w:rPr>
        <w:t xml:space="preserve"> (</w:t>
      </w:r>
      <w:r w:rsidR="00652AF9">
        <w:rPr>
          <w:rFonts w:cs="Helvetica"/>
          <w:lang w:val="fr-FR"/>
        </w:rPr>
        <w:t xml:space="preserve">Etude </w:t>
      </w:r>
      <w:r w:rsidR="00F47AAE">
        <w:rPr>
          <w:rFonts w:cs="Helvetica"/>
          <w:lang w:val="fr-FR"/>
        </w:rPr>
        <w:t>HP+, 2017)</w:t>
      </w:r>
      <w:r w:rsidRPr="00E72FA1">
        <w:rPr>
          <w:rFonts w:cs="Helvetica"/>
          <w:lang w:val="fr-FR"/>
        </w:rPr>
        <w:t>.</w:t>
      </w:r>
    </w:p>
    <w:p w14:paraId="18EABEC7" w14:textId="2A1481D8" w:rsidR="00E72FA1" w:rsidRDefault="00E72FA1" w:rsidP="00230749">
      <w:pPr>
        <w:jc w:val="both"/>
        <w:rPr>
          <w:rFonts w:cs="Helvetica"/>
          <w:lang w:val="fr-FR"/>
        </w:rPr>
      </w:pPr>
    </w:p>
    <w:p w14:paraId="00A5A759" w14:textId="77777777" w:rsidR="00E72FA1" w:rsidRDefault="00E72FA1" w:rsidP="00230749">
      <w:pPr>
        <w:jc w:val="both"/>
        <w:rPr>
          <w:rFonts w:cs="Helvetica"/>
          <w:lang w:val="fr-FR"/>
        </w:rPr>
      </w:pPr>
      <w:r>
        <w:rPr>
          <w:rFonts w:cs="Helvetica"/>
          <w:lang w:val="fr-FR"/>
        </w:rPr>
        <w:t>Tableau 1</w:t>
      </w:r>
      <w:r w:rsidRPr="00E72FA1">
        <w:rPr>
          <w:rFonts w:cs="Helvetica"/>
          <w:lang w:val="fr-FR"/>
        </w:rPr>
        <w:t xml:space="preserve"> : financem</w:t>
      </w:r>
      <w:r>
        <w:rPr>
          <w:rFonts w:cs="Helvetica"/>
          <w:lang w:val="fr-FR"/>
        </w:rPr>
        <w:t>ent du secteur santé (2012-2013</w:t>
      </w:r>
      <w:r w:rsidRPr="00E72FA1">
        <w:rPr>
          <w:rFonts w:cs="Helvetica"/>
          <w:lang w:val="fr-FR"/>
        </w:rPr>
        <w:t>)</w:t>
      </w:r>
    </w:p>
    <w:tbl>
      <w:tblPr>
        <w:tblW w:w="5000" w:type="pct"/>
        <w:tblInd w:w="108" w:type="dxa"/>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Layout w:type="fixed"/>
        <w:tblLook w:val="0420" w:firstRow="1" w:lastRow="0" w:firstColumn="0" w:lastColumn="0" w:noHBand="0" w:noVBand="1"/>
      </w:tblPr>
      <w:tblGrid>
        <w:gridCol w:w="8103"/>
        <w:gridCol w:w="1139"/>
      </w:tblGrid>
      <w:tr w:rsidR="00E72FA1" w:rsidRPr="00D14C1E" w14:paraId="5BAD34AE" w14:textId="77777777" w:rsidTr="00A850AA">
        <w:trPr>
          <w:trHeight w:val="296"/>
        </w:trPr>
        <w:tc>
          <w:tcPr>
            <w:tcW w:w="4384" w:type="pct"/>
            <w:shd w:val="clear" w:color="auto" w:fill="D3DFEE"/>
            <w:hideMark/>
          </w:tcPr>
          <w:p w14:paraId="6E11A6A5" w14:textId="77777777" w:rsidR="00E72FA1" w:rsidRPr="00495A50" w:rsidRDefault="00E72FA1" w:rsidP="00A850AA">
            <w:pPr>
              <w:spacing w:after="0"/>
              <w:rPr>
                <w:b/>
                <w:bCs/>
                <w:sz w:val="20"/>
                <w:szCs w:val="20"/>
                <w:lang w:val="fr-FR"/>
              </w:rPr>
            </w:pPr>
            <w:r w:rsidRPr="00495A50">
              <w:rPr>
                <w:b/>
                <w:bCs/>
                <w:sz w:val="20"/>
                <w:szCs w:val="20"/>
                <w:lang w:val="fr-FR"/>
              </w:rPr>
              <w:t xml:space="preserve">Dépense totale sur le secteur </w:t>
            </w:r>
            <w:r>
              <w:rPr>
                <w:b/>
                <w:bCs/>
                <w:sz w:val="20"/>
                <w:szCs w:val="20"/>
                <w:lang w:val="fr-FR"/>
              </w:rPr>
              <w:t xml:space="preserve">santé </w:t>
            </w:r>
            <w:r w:rsidRPr="00495A50">
              <w:rPr>
                <w:b/>
                <w:bCs/>
                <w:sz w:val="20"/>
                <w:szCs w:val="20"/>
                <w:lang w:val="fr-FR"/>
              </w:rPr>
              <w:t>en % du PIB</w:t>
            </w:r>
          </w:p>
        </w:tc>
        <w:tc>
          <w:tcPr>
            <w:tcW w:w="616" w:type="pct"/>
            <w:shd w:val="clear" w:color="auto" w:fill="D3DFEE"/>
            <w:hideMark/>
          </w:tcPr>
          <w:p w14:paraId="3632F351" w14:textId="77777777" w:rsidR="00E72FA1" w:rsidRPr="0048168E" w:rsidRDefault="00E72FA1" w:rsidP="00A850AA">
            <w:pPr>
              <w:spacing w:after="0"/>
              <w:rPr>
                <w:b/>
                <w:bCs/>
                <w:sz w:val="20"/>
                <w:szCs w:val="20"/>
              </w:rPr>
            </w:pPr>
            <w:r w:rsidRPr="0048168E">
              <w:rPr>
                <w:b/>
                <w:bCs/>
                <w:sz w:val="20"/>
                <w:szCs w:val="20"/>
              </w:rPr>
              <w:t>4,3%</w:t>
            </w:r>
          </w:p>
        </w:tc>
      </w:tr>
      <w:tr w:rsidR="00E72FA1" w:rsidRPr="00D14C1E" w14:paraId="43EF86C1" w14:textId="77777777" w:rsidTr="00A850AA">
        <w:trPr>
          <w:trHeight w:val="272"/>
        </w:trPr>
        <w:tc>
          <w:tcPr>
            <w:tcW w:w="4384" w:type="pct"/>
            <w:shd w:val="clear" w:color="auto" w:fill="A7BFDE"/>
            <w:hideMark/>
          </w:tcPr>
          <w:p w14:paraId="1ECAD147" w14:textId="77777777" w:rsidR="00E72FA1" w:rsidRPr="00495A50" w:rsidRDefault="00E72FA1" w:rsidP="00A850AA">
            <w:pPr>
              <w:spacing w:after="0"/>
              <w:rPr>
                <w:sz w:val="20"/>
                <w:szCs w:val="20"/>
                <w:lang w:val="fr-FR"/>
              </w:rPr>
            </w:pPr>
            <w:r w:rsidRPr="00495A50">
              <w:rPr>
                <w:sz w:val="20"/>
                <w:szCs w:val="20"/>
                <w:lang w:val="fr-FR"/>
              </w:rPr>
              <w:t xml:space="preserve">Dépense publique totale sur le secteur </w:t>
            </w:r>
            <w:r>
              <w:rPr>
                <w:sz w:val="20"/>
                <w:szCs w:val="20"/>
                <w:lang w:val="fr-FR"/>
              </w:rPr>
              <w:t xml:space="preserve">santé </w:t>
            </w:r>
            <w:r w:rsidRPr="00495A50">
              <w:rPr>
                <w:sz w:val="20"/>
                <w:szCs w:val="20"/>
                <w:lang w:val="fr-FR"/>
              </w:rPr>
              <w:t>en % du PIB</w:t>
            </w:r>
          </w:p>
        </w:tc>
        <w:tc>
          <w:tcPr>
            <w:tcW w:w="616" w:type="pct"/>
            <w:shd w:val="clear" w:color="auto" w:fill="A7BFDE"/>
            <w:hideMark/>
          </w:tcPr>
          <w:p w14:paraId="65CB5101" w14:textId="77777777" w:rsidR="00E72FA1" w:rsidRPr="0048168E" w:rsidRDefault="00E72FA1" w:rsidP="00A850AA">
            <w:pPr>
              <w:spacing w:after="0"/>
              <w:rPr>
                <w:sz w:val="20"/>
                <w:szCs w:val="20"/>
              </w:rPr>
            </w:pPr>
            <w:r w:rsidRPr="0048168E">
              <w:rPr>
                <w:bCs/>
                <w:sz w:val="20"/>
                <w:szCs w:val="20"/>
              </w:rPr>
              <w:t>2,8%</w:t>
            </w:r>
          </w:p>
        </w:tc>
      </w:tr>
      <w:tr w:rsidR="00E72FA1" w:rsidRPr="00D14C1E" w14:paraId="0DADD2C3" w14:textId="77777777" w:rsidTr="00A850AA">
        <w:trPr>
          <w:trHeight w:val="262"/>
        </w:trPr>
        <w:tc>
          <w:tcPr>
            <w:tcW w:w="4384" w:type="pct"/>
            <w:shd w:val="clear" w:color="auto" w:fill="D3DFEE"/>
            <w:hideMark/>
          </w:tcPr>
          <w:p w14:paraId="57116976" w14:textId="77777777" w:rsidR="00E72FA1" w:rsidRPr="00495A50" w:rsidRDefault="00E72FA1" w:rsidP="00A850AA">
            <w:pPr>
              <w:spacing w:after="0"/>
              <w:rPr>
                <w:sz w:val="20"/>
                <w:szCs w:val="20"/>
                <w:lang w:val="fr-FR"/>
              </w:rPr>
            </w:pPr>
            <w:r w:rsidRPr="00495A50">
              <w:rPr>
                <w:sz w:val="20"/>
                <w:szCs w:val="20"/>
                <w:lang w:val="fr-FR"/>
              </w:rPr>
              <w:t>Financement extérieur dans les dépenses publiques</w:t>
            </w:r>
          </w:p>
        </w:tc>
        <w:tc>
          <w:tcPr>
            <w:tcW w:w="616" w:type="pct"/>
            <w:shd w:val="clear" w:color="auto" w:fill="D3DFEE"/>
            <w:hideMark/>
          </w:tcPr>
          <w:p w14:paraId="5207BB6B" w14:textId="77777777" w:rsidR="00E72FA1" w:rsidRPr="0048168E" w:rsidRDefault="00E72FA1" w:rsidP="00A850AA">
            <w:pPr>
              <w:spacing w:after="0"/>
              <w:rPr>
                <w:sz w:val="20"/>
                <w:szCs w:val="20"/>
              </w:rPr>
            </w:pPr>
            <w:r w:rsidRPr="0048168E">
              <w:rPr>
                <w:bCs/>
                <w:sz w:val="20"/>
                <w:szCs w:val="20"/>
              </w:rPr>
              <w:t>80%</w:t>
            </w:r>
          </w:p>
        </w:tc>
      </w:tr>
      <w:tr w:rsidR="00E72FA1" w:rsidRPr="00D14C1E" w14:paraId="7596E6FE" w14:textId="77777777" w:rsidTr="00A850AA">
        <w:trPr>
          <w:trHeight w:val="111"/>
        </w:trPr>
        <w:tc>
          <w:tcPr>
            <w:tcW w:w="4384" w:type="pct"/>
            <w:shd w:val="clear" w:color="auto" w:fill="A7BFDE"/>
            <w:hideMark/>
          </w:tcPr>
          <w:p w14:paraId="607B42FA" w14:textId="77777777" w:rsidR="00E72FA1" w:rsidRPr="00495A50" w:rsidRDefault="00E72FA1" w:rsidP="00A850AA">
            <w:pPr>
              <w:spacing w:after="0"/>
              <w:rPr>
                <w:sz w:val="20"/>
                <w:szCs w:val="20"/>
                <w:lang w:val="fr-FR"/>
              </w:rPr>
            </w:pPr>
            <w:r w:rsidRPr="00495A50">
              <w:rPr>
                <w:sz w:val="20"/>
                <w:szCs w:val="20"/>
                <w:lang w:val="fr-FR"/>
              </w:rPr>
              <w:t xml:space="preserve">Part du secteur </w:t>
            </w:r>
            <w:r>
              <w:rPr>
                <w:sz w:val="20"/>
                <w:szCs w:val="20"/>
                <w:lang w:val="fr-FR"/>
              </w:rPr>
              <w:t xml:space="preserve">santé </w:t>
            </w:r>
            <w:r w:rsidRPr="00495A50">
              <w:rPr>
                <w:sz w:val="20"/>
                <w:szCs w:val="20"/>
                <w:lang w:val="fr-FR"/>
              </w:rPr>
              <w:t>dans les dépenses du gouvernement</w:t>
            </w:r>
            <w:r>
              <w:rPr>
                <w:sz w:val="20"/>
                <w:szCs w:val="20"/>
                <w:lang w:val="fr-FR"/>
              </w:rPr>
              <w:t xml:space="preserve"> (budget général de l’état)</w:t>
            </w:r>
          </w:p>
        </w:tc>
        <w:tc>
          <w:tcPr>
            <w:tcW w:w="616" w:type="pct"/>
            <w:shd w:val="clear" w:color="auto" w:fill="A7BFDE"/>
            <w:hideMark/>
          </w:tcPr>
          <w:p w14:paraId="73C55D3D" w14:textId="77777777" w:rsidR="00E72FA1" w:rsidRPr="0048168E" w:rsidRDefault="00E72FA1" w:rsidP="00A850AA">
            <w:pPr>
              <w:spacing w:after="0"/>
              <w:rPr>
                <w:sz w:val="20"/>
                <w:szCs w:val="20"/>
              </w:rPr>
            </w:pPr>
            <w:r w:rsidRPr="0048168E">
              <w:rPr>
                <w:bCs/>
                <w:sz w:val="20"/>
                <w:szCs w:val="20"/>
              </w:rPr>
              <w:t>9,8%</w:t>
            </w:r>
          </w:p>
        </w:tc>
      </w:tr>
    </w:tbl>
    <w:p w14:paraId="2DA40A8E" w14:textId="77777777" w:rsidR="00E72FA1" w:rsidRPr="00BC4037" w:rsidRDefault="00E72FA1" w:rsidP="00E72FA1">
      <w:pPr>
        <w:jc w:val="both"/>
        <w:rPr>
          <w:rFonts w:cs="Helvetica"/>
          <w:lang w:val="fr-FR"/>
        </w:rPr>
      </w:pPr>
      <w:r w:rsidRPr="000D6FF8">
        <w:rPr>
          <w:rFonts w:cs="Helvetica"/>
          <w:sz w:val="20"/>
          <w:lang w:val="fr-FR"/>
        </w:rPr>
        <w:t xml:space="preserve">Source : </w:t>
      </w:r>
      <w:r w:rsidRPr="000D6FF8">
        <w:rPr>
          <w:sz w:val="20"/>
          <w:lang w:val="fr-FR"/>
        </w:rPr>
        <w:t>Revue des dépenses pu</w:t>
      </w:r>
      <w:r>
        <w:rPr>
          <w:sz w:val="20"/>
          <w:lang w:val="fr-FR"/>
        </w:rPr>
        <w:t>bliques des secteurs sociaux, Banque Mondiale, 2016</w:t>
      </w:r>
    </w:p>
    <w:p w14:paraId="7F33B6E9" w14:textId="4D55C6EF" w:rsidR="0036605D" w:rsidRDefault="0036605D" w:rsidP="00E2018A">
      <w:pPr>
        <w:rPr>
          <w:lang w:val="fr-FR"/>
        </w:rPr>
      </w:pPr>
    </w:p>
    <w:p w14:paraId="1366740D" w14:textId="56BC0F42" w:rsidR="003059A5" w:rsidRDefault="00D659D5" w:rsidP="00840FF6">
      <w:pPr>
        <w:jc w:val="both"/>
        <w:rPr>
          <w:lang w:val="fr-FR"/>
        </w:rPr>
      </w:pPr>
      <w:r>
        <w:rPr>
          <w:lang w:val="fr-FR"/>
        </w:rPr>
        <w:t>A l’heure actuelle, l</w:t>
      </w:r>
      <w:r w:rsidR="00776DCB" w:rsidRPr="00AE20ED">
        <w:rPr>
          <w:lang w:val="fr-FR"/>
        </w:rPr>
        <w:t>a part domestique du budget du ministère de la Santé dans le budget général de l’État est bien en-dessous du niveau d’allocation de 10% recommandé par l’OMS et la déclaration d’Abuja (15%) avec une évolution négative sur les 10 dernières années. Ces ressources intérieures publiques dédiées à la santé ne représentent en moyenne que 6,57% du BGE entre 2006 et 2015 et leur évolution indique une tendance</w:t>
      </w:r>
      <w:r>
        <w:rPr>
          <w:lang w:val="fr-FR"/>
        </w:rPr>
        <w:t xml:space="preserve"> continue</w:t>
      </w:r>
      <w:r w:rsidR="00776DCB" w:rsidRPr="00AE20ED">
        <w:rPr>
          <w:lang w:val="fr-FR"/>
        </w:rPr>
        <w:t xml:space="preserve"> à la baisse où le taux moyen de croissance par année sur la période est de -2,35%</w:t>
      </w:r>
      <w:r w:rsidR="00FA47D5">
        <w:rPr>
          <w:lang w:val="fr-FR"/>
        </w:rPr>
        <w:t xml:space="preserve"> (</w:t>
      </w:r>
      <w:r w:rsidR="00652AF9">
        <w:rPr>
          <w:lang w:val="fr-FR"/>
        </w:rPr>
        <w:t xml:space="preserve">Etude </w:t>
      </w:r>
      <w:r w:rsidR="00FA47D5">
        <w:rPr>
          <w:lang w:val="fr-FR"/>
        </w:rPr>
        <w:t>HP+, 2017)</w:t>
      </w:r>
      <w:r w:rsidR="00776DCB" w:rsidRPr="00AE20ED">
        <w:rPr>
          <w:lang w:val="fr-FR"/>
        </w:rPr>
        <w:t>.</w:t>
      </w:r>
      <w:r w:rsidR="006E675D">
        <w:rPr>
          <w:lang w:val="fr-FR"/>
        </w:rPr>
        <w:t xml:space="preserve"> </w:t>
      </w:r>
    </w:p>
    <w:p w14:paraId="5F446346" w14:textId="77777777" w:rsidR="003059A5" w:rsidRPr="00A850AA" w:rsidRDefault="003059A5" w:rsidP="003059A5">
      <w:pPr>
        <w:rPr>
          <w:b/>
          <w:lang w:val="fr-FR"/>
        </w:rPr>
      </w:pPr>
      <w:r w:rsidRPr="00A850AA">
        <w:rPr>
          <w:b/>
          <w:lang w:val="fr-FR"/>
        </w:rPr>
        <w:t>Tableau</w:t>
      </w:r>
      <w:r>
        <w:rPr>
          <w:b/>
          <w:lang w:val="fr-FR"/>
        </w:rPr>
        <w:t xml:space="preserve"> 2</w:t>
      </w:r>
      <w:r w:rsidRPr="00A850AA">
        <w:rPr>
          <w:b/>
          <w:lang w:val="fr-FR"/>
        </w:rPr>
        <w:t> : Evolution de la part des dépenses domestiques du budget de la sante dans les dépenses du budget général de l’Etat (financements externes non inclus).</w:t>
      </w:r>
    </w:p>
    <w:tbl>
      <w:tblPr>
        <w:tblStyle w:val="ListTable2"/>
        <w:tblW w:w="0" w:type="auto"/>
        <w:tblLook w:val="0600" w:firstRow="0" w:lastRow="0" w:firstColumn="0" w:lastColumn="0" w:noHBand="1" w:noVBand="1"/>
      </w:tblPr>
      <w:tblGrid>
        <w:gridCol w:w="686"/>
        <w:gridCol w:w="686"/>
        <w:gridCol w:w="686"/>
        <w:gridCol w:w="686"/>
        <w:gridCol w:w="686"/>
        <w:gridCol w:w="686"/>
        <w:gridCol w:w="686"/>
        <w:gridCol w:w="686"/>
        <w:gridCol w:w="686"/>
        <w:gridCol w:w="686"/>
        <w:gridCol w:w="686"/>
        <w:gridCol w:w="803"/>
      </w:tblGrid>
      <w:tr w:rsidR="003059A5" w:rsidRPr="00E05F59" w14:paraId="1CF43EB6" w14:textId="77777777" w:rsidTr="00A850AA">
        <w:tc>
          <w:tcPr>
            <w:tcW w:w="0" w:type="auto"/>
          </w:tcPr>
          <w:p w14:paraId="134F7BB2" w14:textId="77777777" w:rsidR="003059A5" w:rsidRPr="00FD69E5" w:rsidRDefault="003059A5" w:rsidP="00A850AA">
            <w:pPr>
              <w:pStyle w:val="TableText"/>
              <w:rPr>
                <w:rFonts w:eastAsia="Calibri"/>
                <w:lang w:val="fr-FR"/>
              </w:rPr>
            </w:pPr>
            <w:r w:rsidRPr="00F54664">
              <w:rPr>
                <w:rFonts w:eastAsia="Calibri"/>
                <w:lang w:val="fr-FR"/>
              </w:rPr>
              <w:t>200</w:t>
            </w:r>
            <w:r>
              <w:rPr>
                <w:rFonts w:eastAsia="Calibri"/>
                <w:lang w:val="fr-FR"/>
              </w:rPr>
              <w:t>6</w:t>
            </w:r>
          </w:p>
        </w:tc>
        <w:tc>
          <w:tcPr>
            <w:tcW w:w="0" w:type="auto"/>
          </w:tcPr>
          <w:p w14:paraId="6B490A6B" w14:textId="77777777" w:rsidR="003059A5" w:rsidRDefault="003059A5" w:rsidP="00A850AA">
            <w:pPr>
              <w:pStyle w:val="TableText"/>
              <w:rPr>
                <w:lang w:val="fr-FR"/>
              </w:rPr>
            </w:pPr>
            <w:r>
              <w:rPr>
                <w:lang w:val="fr-FR"/>
              </w:rPr>
              <w:t>2007</w:t>
            </w:r>
          </w:p>
        </w:tc>
        <w:tc>
          <w:tcPr>
            <w:tcW w:w="0" w:type="auto"/>
          </w:tcPr>
          <w:p w14:paraId="6C2191E5" w14:textId="77777777" w:rsidR="003059A5" w:rsidRPr="00F54664" w:rsidRDefault="003059A5" w:rsidP="00A850AA">
            <w:pPr>
              <w:pStyle w:val="TableText"/>
              <w:rPr>
                <w:lang w:val="fr-FR"/>
              </w:rPr>
            </w:pPr>
            <w:r w:rsidRPr="00F54664">
              <w:rPr>
                <w:lang w:val="fr-FR"/>
              </w:rPr>
              <w:t>2008</w:t>
            </w:r>
          </w:p>
        </w:tc>
        <w:tc>
          <w:tcPr>
            <w:tcW w:w="0" w:type="auto"/>
          </w:tcPr>
          <w:p w14:paraId="5EE6F51A" w14:textId="77777777" w:rsidR="003059A5" w:rsidRPr="00F54664" w:rsidRDefault="003059A5" w:rsidP="00A850AA">
            <w:pPr>
              <w:pStyle w:val="TableText"/>
              <w:rPr>
                <w:lang w:val="fr-FR"/>
              </w:rPr>
            </w:pPr>
            <w:r w:rsidRPr="00F54664">
              <w:rPr>
                <w:lang w:val="fr-FR"/>
              </w:rPr>
              <w:t>2009</w:t>
            </w:r>
          </w:p>
        </w:tc>
        <w:tc>
          <w:tcPr>
            <w:tcW w:w="0" w:type="auto"/>
          </w:tcPr>
          <w:p w14:paraId="5D55CA79" w14:textId="77777777" w:rsidR="003059A5" w:rsidRPr="00F54664" w:rsidRDefault="003059A5" w:rsidP="00A850AA">
            <w:pPr>
              <w:pStyle w:val="TableText"/>
              <w:rPr>
                <w:lang w:val="fr-FR"/>
              </w:rPr>
            </w:pPr>
            <w:r w:rsidRPr="00F54664">
              <w:rPr>
                <w:lang w:val="fr-FR"/>
              </w:rPr>
              <w:t>2010</w:t>
            </w:r>
          </w:p>
        </w:tc>
        <w:tc>
          <w:tcPr>
            <w:tcW w:w="0" w:type="auto"/>
          </w:tcPr>
          <w:p w14:paraId="3F45709A" w14:textId="77777777" w:rsidR="003059A5" w:rsidRPr="00F54664" w:rsidRDefault="003059A5" w:rsidP="00A850AA">
            <w:pPr>
              <w:pStyle w:val="TableText"/>
              <w:rPr>
                <w:lang w:val="fr-FR"/>
              </w:rPr>
            </w:pPr>
            <w:r w:rsidRPr="00F54664">
              <w:rPr>
                <w:lang w:val="fr-FR"/>
              </w:rPr>
              <w:t>2011</w:t>
            </w:r>
          </w:p>
        </w:tc>
        <w:tc>
          <w:tcPr>
            <w:tcW w:w="0" w:type="auto"/>
          </w:tcPr>
          <w:p w14:paraId="65FDAC52" w14:textId="77777777" w:rsidR="003059A5" w:rsidRPr="00F54664" w:rsidRDefault="003059A5" w:rsidP="00A850AA">
            <w:pPr>
              <w:pStyle w:val="TableText"/>
              <w:rPr>
                <w:lang w:val="fr-FR"/>
              </w:rPr>
            </w:pPr>
            <w:r w:rsidRPr="00F54664">
              <w:rPr>
                <w:lang w:val="fr-FR"/>
              </w:rPr>
              <w:t>2012</w:t>
            </w:r>
          </w:p>
        </w:tc>
        <w:tc>
          <w:tcPr>
            <w:tcW w:w="0" w:type="auto"/>
          </w:tcPr>
          <w:p w14:paraId="4FC8A09A" w14:textId="77777777" w:rsidR="003059A5" w:rsidRPr="00F54664" w:rsidRDefault="003059A5" w:rsidP="00A850AA">
            <w:pPr>
              <w:pStyle w:val="TableText"/>
              <w:rPr>
                <w:lang w:val="fr-FR"/>
              </w:rPr>
            </w:pPr>
            <w:r w:rsidRPr="00F54664">
              <w:rPr>
                <w:lang w:val="fr-FR"/>
              </w:rPr>
              <w:t>2013</w:t>
            </w:r>
          </w:p>
        </w:tc>
        <w:tc>
          <w:tcPr>
            <w:tcW w:w="0" w:type="auto"/>
          </w:tcPr>
          <w:p w14:paraId="5EC6137A" w14:textId="77777777" w:rsidR="003059A5" w:rsidRPr="00F54664" w:rsidRDefault="003059A5" w:rsidP="00A850AA">
            <w:pPr>
              <w:pStyle w:val="TableText"/>
              <w:rPr>
                <w:lang w:val="fr-FR"/>
              </w:rPr>
            </w:pPr>
            <w:r w:rsidRPr="00F54664">
              <w:rPr>
                <w:lang w:val="fr-FR"/>
              </w:rPr>
              <w:t>2014</w:t>
            </w:r>
          </w:p>
        </w:tc>
        <w:tc>
          <w:tcPr>
            <w:tcW w:w="0" w:type="auto"/>
          </w:tcPr>
          <w:p w14:paraId="6FE61FDC" w14:textId="77777777" w:rsidR="003059A5" w:rsidRPr="00F54664" w:rsidRDefault="003059A5" w:rsidP="00A850AA">
            <w:pPr>
              <w:pStyle w:val="TableText"/>
              <w:rPr>
                <w:lang w:val="fr-FR"/>
              </w:rPr>
            </w:pPr>
            <w:r w:rsidRPr="00F54664">
              <w:rPr>
                <w:lang w:val="fr-FR"/>
              </w:rPr>
              <w:t>2015</w:t>
            </w:r>
          </w:p>
        </w:tc>
        <w:tc>
          <w:tcPr>
            <w:tcW w:w="0" w:type="auto"/>
          </w:tcPr>
          <w:p w14:paraId="6A613461" w14:textId="77777777" w:rsidR="003059A5" w:rsidRPr="00F54664" w:rsidRDefault="003059A5" w:rsidP="00A850AA">
            <w:pPr>
              <w:pStyle w:val="TableText"/>
              <w:rPr>
                <w:lang w:val="fr-FR"/>
              </w:rPr>
            </w:pPr>
            <w:r>
              <w:rPr>
                <w:lang w:val="fr-FR"/>
              </w:rPr>
              <w:t>2016</w:t>
            </w:r>
          </w:p>
        </w:tc>
        <w:tc>
          <w:tcPr>
            <w:tcW w:w="0" w:type="dxa"/>
          </w:tcPr>
          <w:p w14:paraId="2E235803" w14:textId="77777777" w:rsidR="003059A5" w:rsidRDefault="003059A5" w:rsidP="00A850AA">
            <w:pPr>
              <w:pStyle w:val="TableText"/>
              <w:rPr>
                <w:lang w:val="fr-FR"/>
              </w:rPr>
            </w:pPr>
            <w:r>
              <w:rPr>
                <w:lang w:val="fr-FR"/>
              </w:rPr>
              <w:t>2017*</w:t>
            </w:r>
          </w:p>
        </w:tc>
      </w:tr>
      <w:tr w:rsidR="003059A5" w:rsidRPr="00E05F59" w14:paraId="4E72BBBE" w14:textId="77777777" w:rsidTr="00A850AA">
        <w:tc>
          <w:tcPr>
            <w:tcW w:w="0" w:type="auto"/>
            <w:shd w:val="clear" w:color="auto" w:fill="BDD6EE" w:themeFill="accent1" w:themeFillTint="66"/>
          </w:tcPr>
          <w:p w14:paraId="61169ADD" w14:textId="77777777" w:rsidR="003059A5" w:rsidRPr="00F54664" w:rsidRDefault="003059A5" w:rsidP="00A850AA">
            <w:pPr>
              <w:pStyle w:val="TableText"/>
              <w:rPr>
                <w:lang w:val="fr-FR"/>
              </w:rPr>
            </w:pPr>
            <w:r w:rsidRPr="00F54664">
              <w:rPr>
                <w:rFonts w:eastAsia="Calibri"/>
                <w:lang w:val="fr-FR"/>
              </w:rPr>
              <w:t>6</w:t>
            </w:r>
            <w:r>
              <w:rPr>
                <w:rFonts w:eastAsia="Calibri"/>
                <w:lang w:val="fr-FR"/>
              </w:rPr>
              <w:t>,</w:t>
            </w:r>
            <w:r w:rsidRPr="00F54664">
              <w:rPr>
                <w:rFonts w:eastAsia="Calibri"/>
                <w:lang w:val="fr-FR"/>
              </w:rPr>
              <w:t>8%</w:t>
            </w:r>
          </w:p>
        </w:tc>
        <w:tc>
          <w:tcPr>
            <w:tcW w:w="0" w:type="auto"/>
            <w:shd w:val="clear" w:color="auto" w:fill="BDD6EE" w:themeFill="accent1" w:themeFillTint="66"/>
          </w:tcPr>
          <w:p w14:paraId="3B400CD1" w14:textId="77777777" w:rsidR="003059A5" w:rsidRPr="00FD69E5" w:rsidRDefault="003059A5" w:rsidP="00A850AA">
            <w:pPr>
              <w:pStyle w:val="TableText"/>
              <w:rPr>
                <w:rFonts w:eastAsia="Calibri"/>
                <w:lang w:val="fr-FR"/>
              </w:rPr>
            </w:pPr>
            <w:r w:rsidRPr="00F54664">
              <w:rPr>
                <w:rFonts w:eastAsia="Calibri"/>
                <w:lang w:val="fr-FR"/>
              </w:rPr>
              <w:t>7</w:t>
            </w:r>
            <w:r>
              <w:rPr>
                <w:rFonts w:eastAsia="Calibri"/>
                <w:lang w:val="fr-FR"/>
              </w:rPr>
              <w:t>,</w:t>
            </w:r>
            <w:r w:rsidRPr="00F54664">
              <w:rPr>
                <w:rFonts w:eastAsia="Calibri"/>
                <w:lang w:val="fr-FR"/>
              </w:rPr>
              <w:t>0%</w:t>
            </w:r>
          </w:p>
        </w:tc>
        <w:tc>
          <w:tcPr>
            <w:tcW w:w="0" w:type="auto"/>
            <w:shd w:val="clear" w:color="auto" w:fill="BDD6EE" w:themeFill="accent1" w:themeFillTint="66"/>
          </w:tcPr>
          <w:p w14:paraId="2338836C" w14:textId="77777777" w:rsidR="003059A5" w:rsidRPr="00FD69E5" w:rsidRDefault="003059A5" w:rsidP="00A850AA">
            <w:pPr>
              <w:pStyle w:val="TableText"/>
              <w:rPr>
                <w:rFonts w:eastAsia="Calibri"/>
                <w:lang w:val="fr-FR"/>
              </w:rPr>
            </w:pPr>
            <w:r w:rsidRPr="00F54664">
              <w:rPr>
                <w:rFonts w:eastAsia="Calibri"/>
                <w:lang w:val="fr-FR"/>
              </w:rPr>
              <w:t>6</w:t>
            </w:r>
            <w:r>
              <w:rPr>
                <w:rFonts w:eastAsia="Calibri"/>
                <w:lang w:val="fr-FR"/>
              </w:rPr>
              <w:t>,</w:t>
            </w:r>
            <w:r w:rsidRPr="00F54664">
              <w:rPr>
                <w:rFonts w:eastAsia="Calibri"/>
                <w:lang w:val="fr-FR"/>
              </w:rPr>
              <w:t>0%</w:t>
            </w:r>
          </w:p>
        </w:tc>
        <w:tc>
          <w:tcPr>
            <w:tcW w:w="0" w:type="auto"/>
            <w:shd w:val="clear" w:color="auto" w:fill="BDD6EE" w:themeFill="accent1" w:themeFillTint="66"/>
          </w:tcPr>
          <w:p w14:paraId="4A168360" w14:textId="77777777" w:rsidR="003059A5" w:rsidRPr="00F54664" w:rsidRDefault="003059A5" w:rsidP="00A850AA">
            <w:pPr>
              <w:pStyle w:val="TableText"/>
              <w:rPr>
                <w:lang w:val="fr-FR"/>
              </w:rPr>
            </w:pPr>
            <w:r w:rsidRPr="00F54664">
              <w:rPr>
                <w:rFonts w:eastAsia="Calibri"/>
                <w:lang w:val="fr-FR"/>
              </w:rPr>
              <w:t>7</w:t>
            </w:r>
            <w:r>
              <w:rPr>
                <w:rFonts w:eastAsia="Calibri"/>
                <w:lang w:val="fr-FR"/>
              </w:rPr>
              <w:t>,</w:t>
            </w:r>
            <w:r w:rsidRPr="00F54664">
              <w:rPr>
                <w:rFonts w:eastAsia="Calibri"/>
                <w:lang w:val="fr-FR"/>
              </w:rPr>
              <w:t>6%</w:t>
            </w:r>
          </w:p>
        </w:tc>
        <w:tc>
          <w:tcPr>
            <w:tcW w:w="0" w:type="auto"/>
            <w:shd w:val="clear" w:color="auto" w:fill="BDD6EE" w:themeFill="accent1" w:themeFillTint="66"/>
          </w:tcPr>
          <w:p w14:paraId="5CBADC1B" w14:textId="77777777" w:rsidR="003059A5" w:rsidRPr="00F54664" w:rsidRDefault="003059A5" w:rsidP="00A850AA">
            <w:pPr>
              <w:pStyle w:val="TableText"/>
              <w:rPr>
                <w:lang w:val="fr-FR"/>
              </w:rPr>
            </w:pPr>
            <w:r w:rsidRPr="00F54664">
              <w:rPr>
                <w:rFonts w:eastAsia="Calibri"/>
                <w:lang w:val="fr-FR"/>
              </w:rPr>
              <w:t>6</w:t>
            </w:r>
            <w:r>
              <w:rPr>
                <w:rFonts w:eastAsia="Calibri"/>
                <w:lang w:val="fr-FR"/>
              </w:rPr>
              <w:t>,</w:t>
            </w:r>
            <w:r w:rsidRPr="00F54664">
              <w:rPr>
                <w:rFonts w:eastAsia="Calibri"/>
                <w:lang w:val="fr-FR"/>
              </w:rPr>
              <w:t>8%</w:t>
            </w:r>
          </w:p>
        </w:tc>
        <w:tc>
          <w:tcPr>
            <w:tcW w:w="0" w:type="auto"/>
            <w:shd w:val="clear" w:color="auto" w:fill="BDD6EE" w:themeFill="accent1" w:themeFillTint="66"/>
          </w:tcPr>
          <w:p w14:paraId="079AD6AC" w14:textId="77777777" w:rsidR="003059A5" w:rsidRPr="00F54664" w:rsidRDefault="003059A5" w:rsidP="00A850AA">
            <w:pPr>
              <w:pStyle w:val="TableText"/>
              <w:rPr>
                <w:lang w:val="fr-FR"/>
              </w:rPr>
            </w:pPr>
            <w:r w:rsidRPr="00F54664">
              <w:rPr>
                <w:rFonts w:eastAsia="Calibri"/>
                <w:lang w:val="fr-FR"/>
              </w:rPr>
              <w:t>7</w:t>
            </w:r>
            <w:r>
              <w:rPr>
                <w:rFonts w:eastAsia="Calibri"/>
                <w:lang w:val="fr-FR"/>
              </w:rPr>
              <w:t>,</w:t>
            </w:r>
            <w:r w:rsidRPr="00F54664">
              <w:rPr>
                <w:rFonts w:eastAsia="Calibri"/>
                <w:lang w:val="fr-FR"/>
              </w:rPr>
              <w:t>3%</w:t>
            </w:r>
          </w:p>
        </w:tc>
        <w:tc>
          <w:tcPr>
            <w:tcW w:w="0" w:type="auto"/>
            <w:shd w:val="clear" w:color="auto" w:fill="BDD6EE" w:themeFill="accent1" w:themeFillTint="66"/>
          </w:tcPr>
          <w:p w14:paraId="5A2A364F" w14:textId="77777777" w:rsidR="003059A5" w:rsidRPr="00F54664" w:rsidRDefault="003059A5" w:rsidP="00A850AA">
            <w:pPr>
              <w:pStyle w:val="TableText"/>
              <w:rPr>
                <w:lang w:val="fr-FR"/>
              </w:rPr>
            </w:pPr>
            <w:r w:rsidRPr="00F54664">
              <w:rPr>
                <w:rFonts w:eastAsia="Calibri"/>
                <w:lang w:val="fr-FR"/>
              </w:rPr>
              <w:t>6</w:t>
            </w:r>
            <w:r>
              <w:rPr>
                <w:rFonts w:eastAsia="Calibri"/>
                <w:lang w:val="fr-FR"/>
              </w:rPr>
              <w:t>,</w:t>
            </w:r>
            <w:r w:rsidRPr="00F54664">
              <w:rPr>
                <w:rFonts w:eastAsia="Calibri"/>
                <w:lang w:val="fr-FR"/>
              </w:rPr>
              <w:t>2%</w:t>
            </w:r>
          </w:p>
        </w:tc>
        <w:tc>
          <w:tcPr>
            <w:tcW w:w="0" w:type="auto"/>
            <w:shd w:val="clear" w:color="auto" w:fill="BDD6EE" w:themeFill="accent1" w:themeFillTint="66"/>
          </w:tcPr>
          <w:p w14:paraId="20726CE3" w14:textId="77777777" w:rsidR="003059A5" w:rsidRPr="00F54664" w:rsidRDefault="003059A5" w:rsidP="00A850AA">
            <w:pPr>
              <w:pStyle w:val="TableText"/>
              <w:rPr>
                <w:lang w:val="fr-FR"/>
              </w:rPr>
            </w:pPr>
            <w:r w:rsidRPr="00F54664">
              <w:rPr>
                <w:rFonts w:eastAsia="Calibri"/>
                <w:lang w:val="fr-FR"/>
              </w:rPr>
              <w:t>6</w:t>
            </w:r>
            <w:r>
              <w:rPr>
                <w:rFonts w:eastAsia="Calibri"/>
                <w:lang w:val="fr-FR"/>
              </w:rPr>
              <w:t>,</w:t>
            </w:r>
            <w:r w:rsidRPr="00F54664">
              <w:rPr>
                <w:rFonts w:eastAsia="Calibri"/>
                <w:lang w:val="fr-FR"/>
              </w:rPr>
              <w:t>6%</w:t>
            </w:r>
          </w:p>
        </w:tc>
        <w:tc>
          <w:tcPr>
            <w:tcW w:w="0" w:type="auto"/>
            <w:shd w:val="clear" w:color="auto" w:fill="BDD6EE" w:themeFill="accent1" w:themeFillTint="66"/>
          </w:tcPr>
          <w:p w14:paraId="60C8016D" w14:textId="77777777" w:rsidR="003059A5" w:rsidRPr="00F54664" w:rsidRDefault="003059A5" w:rsidP="00A850AA">
            <w:pPr>
              <w:pStyle w:val="TableText"/>
              <w:rPr>
                <w:lang w:val="fr-FR"/>
              </w:rPr>
            </w:pPr>
            <w:r>
              <w:rPr>
                <w:rFonts w:eastAsia="Calibri"/>
                <w:lang w:val="fr-FR"/>
              </w:rPr>
              <w:t>6,4</w:t>
            </w:r>
            <w:r w:rsidRPr="00F54664">
              <w:rPr>
                <w:rFonts w:eastAsia="Calibri"/>
                <w:lang w:val="fr-FR"/>
              </w:rPr>
              <w:t>%</w:t>
            </w:r>
          </w:p>
        </w:tc>
        <w:tc>
          <w:tcPr>
            <w:tcW w:w="0" w:type="auto"/>
            <w:shd w:val="clear" w:color="auto" w:fill="BDD6EE" w:themeFill="accent1" w:themeFillTint="66"/>
          </w:tcPr>
          <w:p w14:paraId="73EB9EF1" w14:textId="77777777" w:rsidR="003059A5" w:rsidRPr="00F54664" w:rsidRDefault="003059A5" w:rsidP="00A850AA">
            <w:pPr>
              <w:pStyle w:val="TableText"/>
              <w:rPr>
                <w:lang w:val="fr-FR"/>
              </w:rPr>
            </w:pPr>
            <w:r>
              <w:rPr>
                <w:rFonts w:eastAsia="Calibri"/>
                <w:lang w:val="fr-FR"/>
              </w:rPr>
              <w:t>5,0</w:t>
            </w:r>
            <w:r w:rsidRPr="00F54664">
              <w:rPr>
                <w:rFonts w:eastAsia="Calibri"/>
                <w:lang w:val="fr-FR"/>
              </w:rPr>
              <w:t>%</w:t>
            </w:r>
          </w:p>
        </w:tc>
        <w:tc>
          <w:tcPr>
            <w:tcW w:w="0" w:type="auto"/>
            <w:shd w:val="clear" w:color="auto" w:fill="BDD6EE" w:themeFill="accent1" w:themeFillTint="66"/>
          </w:tcPr>
          <w:p w14:paraId="313D766B" w14:textId="77777777" w:rsidR="003059A5" w:rsidRDefault="003059A5" w:rsidP="00A850AA">
            <w:pPr>
              <w:pStyle w:val="TableText"/>
              <w:rPr>
                <w:rFonts w:eastAsia="Calibri"/>
                <w:lang w:val="fr-FR"/>
              </w:rPr>
            </w:pPr>
            <w:r>
              <w:rPr>
                <w:rFonts w:eastAsia="Calibri"/>
                <w:lang w:val="fr-FR"/>
              </w:rPr>
              <w:t>4,6%</w:t>
            </w:r>
          </w:p>
        </w:tc>
        <w:tc>
          <w:tcPr>
            <w:tcW w:w="791" w:type="dxa"/>
            <w:shd w:val="clear" w:color="auto" w:fill="BDD6EE" w:themeFill="accent1" w:themeFillTint="66"/>
          </w:tcPr>
          <w:p w14:paraId="1DF4ABE2" w14:textId="77777777" w:rsidR="003059A5" w:rsidRDefault="003059A5" w:rsidP="00A850AA">
            <w:pPr>
              <w:pStyle w:val="TableText"/>
              <w:rPr>
                <w:rFonts w:eastAsia="Calibri"/>
                <w:lang w:val="fr-FR"/>
              </w:rPr>
            </w:pPr>
            <w:r>
              <w:rPr>
                <w:rFonts w:eastAsia="Calibri"/>
                <w:lang w:val="fr-FR"/>
              </w:rPr>
              <w:t>5,0%</w:t>
            </w:r>
          </w:p>
        </w:tc>
      </w:tr>
    </w:tbl>
    <w:p w14:paraId="22993C2C" w14:textId="77777777" w:rsidR="003059A5" w:rsidRDefault="003059A5" w:rsidP="003059A5">
      <w:pPr>
        <w:rPr>
          <w:lang w:val="fr-FR"/>
        </w:rPr>
      </w:pPr>
    </w:p>
    <w:p w14:paraId="6BA616C9" w14:textId="77777777" w:rsidR="003059A5" w:rsidRPr="008D457D" w:rsidRDefault="003059A5" w:rsidP="003059A5">
      <w:pPr>
        <w:rPr>
          <w:sz w:val="20"/>
          <w:lang w:val="fr-FR"/>
        </w:rPr>
      </w:pPr>
      <w:r w:rsidRPr="008D457D">
        <w:rPr>
          <w:sz w:val="20"/>
          <w:lang w:val="fr-FR"/>
        </w:rPr>
        <w:t>Source : Etude HP+,</w:t>
      </w:r>
      <w:r>
        <w:rPr>
          <w:sz w:val="20"/>
          <w:lang w:val="fr-FR"/>
        </w:rPr>
        <w:t xml:space="preserve"> 2017 (</w:t>
      </w:r>
      <w:r w:rsidRPr="005B1C67">
        <w:rPr>
          <w:sz w:val="20"/>
          <w:lang w:val="fr-FR"/>
        </w:rPr>
        <w:t>Lois de Règlement et rapport Cour supérieure des comptes 2006-2015, Rapports exécutions budgétaires du ministère de la Santé, compte rendu de la revue de l’exécution budgétaire T4 2016, *inclus les financements externes et basé sur les crédits modifiés, source : loi de finance rectificative</w:t>
      </w:r>
      <w:r>
        <w:rPr>
          <w:sz w:val="20"/>
          <w:lang w:val="fr-FR"/>
        </w:rPr>
        <w:t>).</w:t>
      </w:r>
    </w:p>
    <w:p w14:paraId="02C4123F" w14:textId="51AD4C83" w:rsidR="007C1F8D" w:rsidRPr="000E0C7C" w:rsidRDefault="007C1F8D" w:rsidP="007C1F8D">
      <w:pPr>
        <w:jc w:val="both"/>
        <w:rPr>
          <w:lang w:val="fr-FR"/>
        </w:rPr>
      </w:pPr>
      <w:r w:rsidRPr="000E0C7C">
        <w:rPr>
          <w:lang w:val="fr-FR"/>
        </w:rPr>
        <w:t>Les pauvres souffrent de manière disproportionnée des bas niveaux de dépense publique dans la santé</w:t>
      </w:r>
      <w:r w:rsidR="001C764B">
        <w:rPr>
          <w:lang w:val="fr-FR"/>
        </w:rPr>
        <w:t xml:space="preserve"> comme environ </w:t>
      </w:r>
      <w:r w:rsidR="00076A63">
        <w:rPr>
          <w:lang w:val="fr-FR"/>
        </w:rPr>
        <w:t>41</w:t>
      </w:r>
      <w:r w:rsidR="001C764B">
        <w:rPr>
          <w:lang w:val="fr-FR"/>
        </w:rPr>
        <w:t>% des dépenses totales de la santé sont prise en charge par les ménages</w:t>
      </w:r>
      <w:r w:rsidR="00076A63">
        <w:rPr>
          <w:lang w:val="fr-FR"/>
        </w:rPr>
        <w:t xml:space="preserve"> (OMS, 2014)</w:t>
      </w:r>
      <w:r w:rsidR="001C764B">
        <w:rPr>
          <w:lang w:val="fr-FR"/>
        </w:rPr>
        <w:t>.</w:t>
      </w:r>
      <w:r w:rsidR="00D22BFF">
        <w:rPr>
          <w:lang w:val="fr-FR"/>
        </w:rPr>
        <w:t xml:space="preserve"> À</w:t>
      </w:r>
      <w:r w:rsidR="00D22BFF" w:rsidRPr="00D22BFF">
        <w:rPr>
          <w:lang w:val="fr-FR"/>
        </w:rPr>
        <w:t xml:space="preserve"> partir de l’EPM 2010, 24% des ménages rencontrés au niveau de ces régions ont cité le problème financier comme motif principal de non utilisation des services, </w:t>
      </w:r>
      <w:r w:rsidR="00D22BFF">
        <w:rPr>
          <w:lang w:val="fr-FR"/>
        </w:rPr>
        <w:t>et en</w:t>
      </w:r>
      <w:r w:rsidR="00D22BFF" w:rsidRPr="00D22BFF">
        <w:rPr>
          <w:lang w:val="fr-FR"/>
        </w:rPr>
        <w:t xml:space="preserve"> 2013, selon l’ENSOMD, ce chiffre est monté à 32,6%.</w:t>
      </w:r>
    </w:p>
    <w:p w14:paraId="36FCB375" w14:textId="77777777" w:rsidR="006E675D" w:rsidRPr="000E0C7C" w:rsidRDefault="006E675D" w:rsidP="007C1F8D">
      <w:pPr>
        <w:pStyle w:val="Listenabsatz"/>
        <w:numPr>
          <w:ilvl w:val="1"/>
          <w:numId w:val="5"/>
        </w:numPr>
        <w:rPr>
          <w:lang w:val="fr-FR"/>
        </w:rPr>
      </w:pPr>
      <w:r w:rsidRPr="000E0C7C">
        <w:rPr>
          <w:lang w:val="fr-FR"/>
        </w:rPr>
        <w:t xml:space="preserve">Les dépenses de </w:t>
      </w:r>
      <w:r w:rsidR="008E54D8" w:rsidRPr="000E0C7C">
        <w:rPr>
          <w:lang w:val="fr-FR"/>
        </w:rPr>
        <w:t>santé</w:t>
      </w:r>
      <w:r w:rsidRPr="000E0C7C">
        <w:rPr>
          <w:lang w:val="fr-FR"/>
        </w:rPr>
        <w:t xml:space="preserve"> restent inéquitables</w:t>
      </w:r>
    </w:p>
    <w:p w14:paraId="177D6EAB" w14:textId="77AA11AF" w:rsidR="003E6EF9" w:rsidRPr="00542CBF" w:rsidRDefault="003E6EF9" w:rsidP="006E675D">
      <w:pPr>
        <w:jc w:val="both"/>
        <w:rPr>
          <w:lang w:val="fr-FR"/>
        </w:rPr>
      </w:pPr>
      <w:r w:rsidRPr="00542CBF">
        <w:rPr>
          <w:lang w:val="fr-FR"/>
        </w:rPr>
        <w:t xml:space="preserve">Les dépenses de </w:t>
      </w:r>
      <w:r w:rsidR="006E675D" w:rsidRPr="00542CBF">
        <w:rPr>
          <w:lang w:val="fr-FR"/>
        </w:rPr>
        <w:t>santé</w:t>
      </w:r>
      <w:r w:rsidRPr="00542CBF">
        <w:rPr>
          <w:lang w:val="fr-FR"/>
        </w:rPr>
        <w:t xml:space="preserve"> sont très inéquitables à Madagascar. Les prestations moyennes offertes aux individus du quintile le plus riche sont deux </w:t>
      </w:r>
      <w:r w:rsidR="006E675D" w:rsidRPr="00542CBF">
        <w:rPr>
          <w:lang w:val="fr-FR"/>
        </w:rPr>
        <w:t>à</w:t>
      </w:r>
      <w:r w:rsidRPr="00542CBF">
        <w:rPr>
          <w:lang w:val="fr-FR"/>
        </w:rPr>
        <w:t xml:space="preserve"> quatre fois plus élevées en terme économique et de dépenses non salariales, que celles offertes aux individus dans les quintiles les plus pauvres. Par ailleurs, la </w:t>
      </w:r>
      <w:r w:rsidR="00EA5210" w:rsidRPr="00542CBF">
        <w:rPr>
          <w:lang w:val="fr-FR"/>
        </w:rPr>
        <w:t>répartition</w:t>
      </w:r>
      <w:r w:rsidRPr="00542CBF">
        <w:rPr>
          <w:lang w:val="fr-FR"/>
        </w:rPr>
        <w:t xml:space="preserve"> des avantages de toutes les </w:t>
      </w:r>
      <w:r w:rsidR="00EA5210" w:rsidRPr="00542CBF">
        <w:rPr>
          <w:lang w:val="fr-FR"/>
        </w:rPr>
        <w:t>dépenses</w:t>
      </w:r>
      <w:r w:rsidRPr="00542CBF">
        <w:rPr>
          <w:lang w:val="fr-FR"/>
        </w:rPr>
        <w:t xml:space="preserve"> du MSANP allouées aux S</w:t>
      </w:r>
      <w:r w:rsidR="008552AD">
        <w:rPr>
          <w:lang w:val="fr-FR"/>
        </w:rPr>
        <w:t xml:space="preserve">oins de </w:t>
      </w:r>
      <w:r w:rsidR="008552AD" w:rsidRPr="00542CBF">
        <w:rPr>
          <w:lang w:val="fr-FR"/>
        </w:rPr>
        <w:t>S</w:t>
      </w:r>
      <w:r w:rsidR="008552AD">
        <w:rPr>
          <w:lang w:val="fr-FR"/>
        </w:rPr>
        <w:t xml:space="preserve">anté </w:t>
      </w:r>
      <w:r w:rsidRPr="00542CBF">
        <w:rPr>
          <w:lang w:val="fr-FR"/>
        </w:rPr>
        <w:t>P</w:t>
      </w:r>
      <w:r w:rsidR="008552AD">
        <w:rPr>
          <w:lang w:val="fr-FR"/>
        </w:rPr>
        <w:t>rimaires</w:t>
      </w:r>
      <w:r w:rsidRPr="00542CBF">
        <w:rPr>
          <w:lang w:val="fr-FR"/>
        </w:rPr>
        <w:t xml:space="preserve"> et soins hospitaliers est pro-riche, puisque le quintile le plus riche </w:t>
      </w:r>
      <w:r w:rsidR="00EA5210" w:rsidRPr="00542CBF">
        <w:rPr>
          <w:lang w:val="fr-FR"/>
        </w:rPr>
        <w:t>bénéficie</w:t>
      </w:r>
      <w:r w:rsidRPr="00542CBF">
        <w:rPr>
          <w:lang w:val="fr-FR"/>
        </w:rPr>
        <w:t xml:space="preserve"> de 40% des dépenses totales. De </w:t>
      </w:r>
      <w:r w:rsidR="00EA5210" w:rsidRPr="00542CBF">
        <w:rPr>
          <w:lang w:val="fr-FR"/>
        </w:rPr>
        <w:t>même</w:t>
      </w:r>
      <w:r w:rsidRPr="00542CBF">
        <w:rPr>
          <w:lang w:val="fr-FR"/>
        </w:rPr>
        <w:t xml:space="preserve">, l’analyse des </w:t>
      </w:r>
      <w:r w:rsidR="00EA5210" w:rsidRPr="00542CBF">
        <w:rPr>
          <w:lang w:val="fr-FR"/>
        </w:rPr>
        <w:t>dépenses</w:t>
      </w:r>
      <w:r w:rsidRPr="00542CBF">
        <w:rPr>
          <w:lang w:val="fr-FR"/>
        </w:rPr>
        <w:t xml:space="preserve"> par type de résidence montre que moins de 5 % </w:t>
      </w:r>
      <w:r w:rsidRPr="00542CBF">
        <w:rPr>
          <w:lang w:val="fr-FR"/>
        </w:rPr>
        <w:lastRenderedPageBreak/>
        <w:t>cinq pour cent va aux communes rurales</w:t>
      </w:r>
      <w:r w:rsidR="00EA5210" w:rsidRPr="00542CBF">
        <w:rPr>
          <w:lang w:val="fr-FR"/>
        </w:rPr>
        <w:t xml:space="preserve">, dans un pays ou </w:t>
      </w:r>
      <w:r w:rsidRPr="00542CBF">
        <w:rPr>
          <w:lang w:val="fr-FR"/>
        </w:rPr>
        <w:t>les 2/3 environ de la population vit dans les zones rurales</w:t>
      </w:r>
      <w:r w:rsidR="00EA5210" w:rsidRPr="00542CBF">
        <w:rPr>
          <w:lang w:val="fr-FR"/>
        </w:rPr>
        <w:t xml:space="preserve">. </w:t>
      </w:r>
      <w:r w:rsidR="008552AD">
        <w:rPr>
          <w:rStyle w:val="Endnotenzeichen"/>
          <w:lang w:val="fr-FR"/>
        </w:rPr>
        <w:endnoteReference w:id="2"/>
      </w:r>
    </w:p>
    <w:p w14:paraId="47B41180" w14:textId="77777777" w:rsidR="00AD324F" w:rsidRPr="00542CBF" w:rsidRDefault="00821F84" w:rsidP="00542CBF">
      <w:pPr>
        <w:pStyle w:val="Listenabsatz"/>
        <w:numPr>
          <w:ilvl w:val="1"/>
          <w:numId w:val="5"/>
        </w:numPr>
        <w:jc w:val="both"/>
        <w:rPr>
          <w:lang w:val="fr-FR"/>
        </w:rPr>
      </w:pPr>
      <w:r w:rsidRPr="00542CBF">
        <w:rPr>
          <w:lang w:val="fr-FR"/>
        </w:rPr>
        <w:t>I</w:t>
      </w:r>
      <w:r w:rsidR="00AD324F" w:rsidRPr="00542CBF">
        <w:rPr>
          <w:lang w:val="fr-FR"/>
        </w:rPr>
        <w:t xml:space="preserve">mpact des paiements directs </w:t>
      </w:r>
      <w:r w:rsidRPr="00542CBF">
        <w:rPr>
          <w:lang w:val="fr-FR"/>
        </w:rPr>
        <w:t>des</w:t>
      </w:r>
      <w:r w:rsidR="00AD324F" w:rsidRPr="00542CBF">
        <w:rPr>
          <w:lang w:val="fr-FR"/>
        </w:rPr>
        <w:t xml:space="preserve"> </w:t>
      </w:r>
      <w:r w:rsidRPr="00542CBF">
        <w:rPr>
          <w:lang w:val="fr-FR"/>
        </w:rPr>
        <w:t>soins de santé</w:t>
      </w:r>
    </w:p>
    <w:p w14:paraId="62104526" w14:textId="77777777" w:rsidR="006D64D6" w:rsidRDefault="00821F84" w:rsidP="00840FF6">
      <w:pPr>
        <w:jc w:val="both"/>
        <w:rPr>
          <w:lang w:val="fr-FR"/>
        </w:rPr>
      </w:pPr>
      <w:r>
        <w:rPr>
          <w:rFonts w:cs="Helvetica"/>
          <w:lang w:val="fr-FR"/>
        </w:rPr>
        <w:t xml:space="preserve">Les </w:t>
      </w:r>
      <w:r w:rsidR="00373E31">
        <w:rPr>
          <w:rFonts w:cs="Helvetica"/>
          <w:lang w:val="fr-FR"/>
        </w:rPr>
        <w:t>ménages</w:t>
      </w:r>
      <w:r>
        <w:rPr>
          <w:rFonts w:cs="Helvetica"/>
          <w:lang w:val="fr-FR"/>
        </w:rPr>
        <w:t xml:space="preserve"> participent directement </w:t>
      </w:r>
      <w:r w:rsidR="00911F28">
        <w:rPr>
          <w:rFonts w:cs="Helvetica"/>
          <w:lang w:val="fr-FR"/>
        </w:rPr>
        <w:t>à</w:t>
      </w:r>
      <w:r>
        <w:rPr>
          <w:rFonts w:cs="Helvetica"/>
          <w:lang w:val="fr-FR"/>
        </w:rPr>
        <w:t xml:space="preserve"> hauteur de 41,4% aux </w:t>
      </w:r>
      <w:r w:rsidR="00373E31">
        <w:rPr>
          <w:rFonts w:cs="Helvetica"/>
          <w:lang w:val="fr-FR"/>
        </w:rPr>
        <w:t>dépenses</w:t>
      </w:r>
      <w:r>
        <w:rPr>
          <w:rFonts w:cs="Helvetica"/>
          <w:lang w:val="fr-FR"/>
        </w:rPr>
        <w:t xml:space="preserve"> de </w:t>
      </w:r>
      <w:r w:rsidR="00911F28">
        <w:rPr>
          <w:rFonts w:cs="Helvetica"/>
          <w:lang w:val="fr-FR"/>
        </w:rPr>
        <w:t>santé</w:t>
      </w:r>
      <w:r>
        <w:rPr>
          <w:rFonts w:cs="Helvetica"/>
          <w:lang w:val="fr-FR"/>
        </w:rPr>
        <w:t xml:space="preserve"> (OMS, 2014). Compte tenu de la </w:t>
      </w:r>
      <w:r w:rsidR="00911F28">
        <w:rPr>
          <w:rFonts w:cs="Helvetica"/>
          <w:lang w:val="fr-FR"/>
        </w:rPr>
        <w:t>pauvreté</w:t>
      </w:r>
      <w:r>
        <w:rPr>
          <w:rFonts w:cs="Helvetica"/>
          <w:lang w:val="fr-FR"/>
        </w:rPr>
        <w:t xml:space="preserve"> de la population, ce paiement direct constitue un frein </w:t>
      </w:r>
      <w:r w:rsidR="00373E31">
        <w:rPr>
          <w:rFonts w:cs="Helvetica"/>
          <w:lang w:val="fr-FR"/>
        </w:rPr>
        <w:t>à</w:t>
      </w:r>
      <w:r>
        <w:rPr>
          <w:rFonts w:cs="Helvetica"/>
          <w:lang w:val="fr-FR"/>
        </w:rPr>
        <w:t xml:space="preserve"> l’</w:t>
      </w:r>
      <w:r w:rsidR="00911F28">
        <w:rPr>
          <w:rFonts w:cs="Helvetica"/>
          <w:lang w:val="fr-FR"/>
        </w:rPr>
        <w:t>accès</w:t>
      </w:r>
      <w:r>
        <w:rPr>
          <w:rFonts w:cs="Helvetica"/>
          <w:lang w:val="fr-FR"/>
        </w:rPr>
        <w:t xml:space="preserve"> aux soins.</w:t>
      </w:r>
      <w:r w:rsidRPr="00821F84">
        <w:rPr>
          <w:lang w:val="fr-FR"/>
        </w:rPr>
        <w:t xml:space="preserve"> </w:t>
      </w:r>
    </w:p>
    <w:p w14:paraId="2539A0FE" w14:textId="564021C9" w:rsidR="00B53740" w:rsidRDefault="00C172DD" w:rsidP="00840FF6">
      <w:pPr>
        <w:jc w:val="both"/>
        <w:rPr>
          <w:lang w:val="fr-FR"/>
        </w:rPr>
      </w:pPr>
      <w:r>
        <w:rPr>
          <w:lang w:val="fr-FR"/>
        </w:rPr>
        <w:t xml:space="preserve">Selon l’OMS, les </w:t>
      </w:r>
      <w:r w:rsidR="00911F28">
        <w:rPr>
          <w:lang w:val="fr-FR"/>
        </w:rPr>
        <w:t>dépenses</w:t>
      </w:r>
      <w:r>
        <w:rPr>
          <w:lang w:val="fr-FR"/>
        </w:rPr>
        <w:t xml:space="preserve"> de </w:t>
      </w:r>
      <w:r w:rsidR="00840FF6">
        <w:rPr>
          <w:lang w:val="fr-FR"/>
        </w:rPr>
        <w:t>santé</w:t>
      </w:r>
      <w:r>
        <w:rPr>
          <w:lang w:val="fr-FR"/>
        </w:rPr>
        <w:t xml:space="preserve"> sont </w:t>
      </w:r>
      <w:r w:rsidR="00911F28">
        <w:rPr>
          <w:lang w:val="fr-FR"/>
        </w:rPr>
        <w:t>définies</w:t>
      </w:r>
      <w:r>
        <w:rPr>
          <w:lang w:val="fr-FR"/>
        </w:rPr>
        <w:t xml:space="preserve"> comme catastrophiques si les paiements pour les soins de </w:t>
      </w:r>
      <w:r w:rsidR="00911F28">
        <w:rPr>
          <w:lang w:val="fr-FR"/>
        </w:rPr>
        <w:t>santé</w:t>
      </w:r>
      <w:r>
        <w:rPr>
          <w:lang w:val="fr-FR"/>
        </w:rPr>
        <w:t xml:space="preserve"> </w:t>
      </w:r>
      <w:r w:rsidR="00911F28">
        <w:rPr>
          <w:lang w:val="fr-FR"/>
        </w:rPr>
        <w:t>dépassent</w:t>
      </w:r>
      <w:r>
        <w:rPr>
          <w:lang w:val="fr-FR"/>
        </w:rPr>
        <w:t xml:space="preserve"> 40% des </w:t>
      </w:r>
      <w:r w:rsidR="00911F28">
        <w:rPr>
          <w:lang w:val="fr-FR"/>
        </w:rPr>
        <w:t>dépenses</w:t>
      </w:r>
      <w:r>
        <w:rPr>
          <w:lang w:val="fr-FR"/>
        </w:rPr>
        <w:t xml:space="preserve"> autres que de subsistance du </w:t>
      </w:r>
      <w:r w:rsidR="00911F28">
        <w:rPr>
          <w:lang w:val="fr-FR"/>
        </w:rPr>
        <w:t>ménage</w:t>
      </w:r>
      <w:r>
        <w:rPr>
          <w:lang w:val="fr-FR"/>
        </w:rPr>
        <w:t xml:space="preserve"> ou sa </w:t>
      </w:r>
      <w:r w:rsidR="00911F28">
        <w:rPr>
          <w:lang w:val="fr-FR"/>
        </w:rPr>
        <w:t>capacité</w:t>
      </w:r>
      <w:r>
        <w:rPr>
          <w:lang w:val="fr-FR"/>
        </w:rPr>
        <w:t xml:space="preserve"> de payer. </w:t>
      </w:r>
      <w:r w:rsidR="004937B8" w:rsidRPr="004937B8">
        <w:rPr>
          <w:lang w:val="fr-FR"/>
        </w:rPr>
        <w:t>La part des dépenses en santé des ménages par rapport à leurs dépenses non alimentaires s’élève à 9% (INSTAT/EPM 2010). En utilisant les données de la Banque mondiale, ce chiffre est différent et est estimé à 12,65% (données mondiales en santé mondiale</w:t>
      </w:r>
      <w:r w:rsidR="004937B8">
        <w:rPr>
          <w:lang w:val="fr-FR"/>
        </w:rPr>
        <w:t xml:space="preserve"> </w:t>
      </w:r>
      <w:r w:rsidR="004937B8" w:rsidRPr="004937B8">
        <w:rPr>
          <w:lang w:val="fr-FR"/>
        </w:rPr>
        <w:t>de la BM)</w:t>
      </w:r>
      <w:r w:rsidR="004937B8">
        <w:rPr>
          <w:lang w:val="fr-FR"/>
        </w:rPr>
        <w:t xml:space="preserve"> (</w:t>
      </w:r>
      <w:r w:rsidR="00652AF9">
        <w:rPr>
          <w:lang w:val="fr-FR"/>
        </w:rPr>
        <w:t xml:space="preserve">Etude </w:t>
      </w:r>
      <w:r w:rsidR="004937B8">
        <w:rPr>
          <w:lang w:val="fr-FR"/>
        </w:rPr>
        <w:t>HP+, 2017)</w:t>
      </w:r>
      <w:r w:rsidR="004937B8" w:rsidRPr="004937B8">
        <w:rPr>
          <w:lang w:val="fr-FR"/>
        </w:rPr>
        <w:t xml:space="preserve">. </w:t>
      </w:r>
      <w:r w:rsidR="004937B8">
        <w:rPr>
          <w:lang w:val="fr-FR"/>
        </w:rPr>
        <w:t xml:space="preserve">Pendant que c’est en dessous de 40%, il y a autres considérations. La population est très pauvre, </w:t>
      </w:r>
      <w:r w:rsidR="004937B8" w:rsidRPr="004937B8">
        <w:rPr>
          <w:lang w:val="fr-FR"/>
        </w:rPr>
        <w:t>77,1% des Malgaches vivent avec moins de 1,25 dollar PPA par jour et se trouvent, par conséquent, dans une situation de pauvreté extrême</w:t>
      </w:r>
      <w:r w:rsidR="004937B8">
        <w:rPr>
          <w:lang w:val="fr-FR"/>
        </w:rPr>
        <w:t xml:space="preserve"> (ENSOMD, 2013) et il existe un </w:t>
      </w:r>
      <w:r w:rsidR="00CA193E">
        <w:rPr>
          <w:lang w:val="fr-FR"/>
        </w:rPr>
        <w:t xml:space="preserve">manque de </w:t>
      </w:r>
      <w:r w:rsidR="00911F28">
        <w:rPr>
          <w:lang w:val="fr-FR"/>
        </w:rPr>
        <w:t>mécanismes</w:t>
      </w:r>
      <w:r w:rsidR="00CA193E">
        <w:rPr>
          <w:lang w:val="fr-FR"/>
        </w:rPr>
        <w:t xml:space="preserve"> de </w:t>
      </w:r>
      <w:r w:rsidR="00911F28">
        <w:rPr>
          <w:lang w:val="fr-FR"/>
        </w:rPr>
        <w:t>prépaiement</w:t>
      </w:r>
      <w:r w:rsidR="00CA193E">
        <w:rPr>
          <w:lang w:val="fr-FR"/>
        </w:rPr>
        <w:t xml:space="preserve"> et mutualisation des risques, </w:t>
      </w:r>
      <w:r w:rsidR="00DD3246">
        <w:rPr>
          <w:lang w:val="fr-FR"/>
        </w:rPr>
        <w:t xml:space="preserve">qui rendent les soins de </w:t>
      </w:r>
      <w:r w:rsidR="00911F28">
        <w:rPr>
          <w:lang w:val="fr-FR"/>
        </w:rPr>
        <w:t>santé</w:t>
      </w:r>
      <w:r w:rsidR="00DD3246">
        <w:rPr>
          <w:lang w:val="fr-FR"/>
        </w:rPr>
        <w:t xml:space="preserve"> couteux pour </w:t>
      </w:r>
      <w:r w:rsidR="00CA193E">
        <w:rPr>
          <w:lang w:val="fr-FR"/>
        </w:rPr>
        <w:t>les quintiles les plus pauvres</w:t>
      </w:r>
      <w:r w:rsidR="00DD3246">
        <w:rPr>
          <w:lang w:val="fr-FR"/>
        </w:rPr>
        <w:t xml:space="preserve"> </w:t>
      </w:r>
      <w:r w:rsidR="00911F28">
        <w:rPr>
          <w:lang w:val="fr-FR"/>
        </w:rPr>
        <w:t>ont</w:t>
      </w:r>
      <w:r w:rsidR="00DD3246">
        <w:rPr>
          <w:lang w:val="fr-FR"/>
        </w:rPr>
        <w:t xml:space="preserve"> pour </w:t>
      </w:r>
      <w:r w:rsidR="00911F28">
        <w:rPr>
          <w:lang w:val="fr-FR"/>
        </w:rPr>
        <w:t>conséquences</w:t>
      </w:r>
      <w:r w:rsidR="00DD3246">
        <w:rPr>
          <w:lang w:val="fr-FR"/>
        </w:rPr>
        <w:t xml:space="preserve"> de forcer les </w:t>
      </w:r>
      <w:r w:rsidR="00911F28">
        <w:rPr>
          <w:lang w:val="fr-FR"/>
        </w:rPr>
        <w:t>ménages</w:t>
      </w:r>
      <w:r w:rsidR="00DD3246">
        <w:rPr>
          <w:lang w:val="fr-FR"/>
        </w:rPr>
        <w:t xml:space="preserve"> pauvres </w:t>
      </w:r>
      <w:r w:rsidR="00911F28">
        <w:rPr>
          <w:lang w:val="fr-FR"/>
        </w:rPr>
        <w:t>à</w:t>
      </w:r>
      <w:r w:rsidR="00DD3246">
        <w:rPr>
          <w:lang w:val="fr-FR"/>
        </w:rPr>
        <w:t xml:space="preserve"> supporter des </w:t>
      </w:r>
      <w:r w:rsidR="00911F28">
        <w:rPr>
          <w:lang w:val="fr-FR"/>
        </w:rPr>
        <w:t>dépenses</w:t>
      </w:r>
      <w:r w:rsidR="00DD3246">
        <w:rPr>
          <w:lang w:val="fr-FR"/>
        </w:rPr>
        <w:t xml:space="preserve"> de </w:t>
      </w:r>
      <w:r w:rsidR="00911F28">
        <w:rPr>
          <w:lang w:val="fr-FR"/>
        </w:rPr>
        <w:t>santé</w:t>
      </w:r>
      <w:r w:rsidR="00DD3246">
        <w:rPr>
          <w:lang w:val="fr-FR"/>
        </w:rPr>
        <w:t xml:space="preserve">. </w:t>
      </w:r>
    </w:p>
    <w:p w14:paraId="2EE1F01D" w14:textId="4F331047" w:rsidR="008D457D" w:rsidRDefault="00F36D5B" w:rsidP="00840FF6">
      <w:pPr>
        <w:jc w:val="both"/>
        <w:rPr>
          <w:lang w:val="fr-FR"/>
        </w:rPr>
      </w:pPr>
      <w:r>
        <w:rPr>
          <w:lang w:val="fr-FR"/>
        </w:rPr>
        <w:t xml:space="preserve"> </w:t>
      </w:r>
      <w:r w:rsidR="00911F28">
        <w:rPr>
          <w:lang w:val="fr-FR"/>
        </w:rPr>
        <w:t>Cependant ces dépenses ont</w:t>
      </w:r>
      <w:r w:rsidR="00C172DD">
        <w:rPr>
          <w:lang w:val="fr-FR"/>
        </w:rPr>
        <w:t xml:space="preserve"> </w:t>
      </w:r>
      <w:r w:rsidR="00911F28">
        <w:rPr>
          <w:lang w:val="fr-FR"/>
        </w:rPr>
        <w:t>augmenté</w:t>
      </w:r>
      <w:r w:rsidR="00C172DD">
        <w:rPr>
          <w:lang w:val="fr-FR"/>
        </w:rPr>
        <w:t xml:space="preserve"> dans tous les quintiles entre 2005 et 2010 et pour le </w:t>
      </w:r>
      <w:r w:rsidR="00911F28">
        <w:rPr>
          <w:lang w:val="fr-FR"/>
        </w:rPr>
        <w:t>quatrième</w:t>
      </w:r>
      <w:r w:rsidR="00C172DD">
        <w:rPr>
          <w:lang w:val="fr-FR"/>
        </w:rPr>
        <w:t xml:space="preserve"> quintile en 2012</w:t>
      </w:r>
      <w:r w:rsidR="008D457D">
        <w:rPr>
          <w:lang w:val="fr-FR"/>
        </w:rPr>
        <w:t>.</w:t>
      </w:r>
    </w:p>
    <w:p w14:paraId="2CC55916" w14:textId="77777777" w:rsidR="008D457D" w:rsidRDefault="008D457D" w:rsidP="00840FF6">
      <w:pPr>
        <w:jc w:val="both"/>
        <w:rPr>
          <w:lang w:val="fr-FR"/>
        </w:rPr>
      </w:pPr>
    </w:p>
    <w:p w14:paraId="0F58A8A9" w14:textId="1D7978E0" w:rsidR="005B5ED1" w:rsidRDefault="00F36D5B" w:rsidP="005B5ED1">
      <w:pPr>
        <w:jc w:val="both"/>
        <w:rPr>
          <w:b/>
          <w:lang w:val="fr-FR"/>
        </w:rPr>
      </w:pPr>
      <w:r>
        <w:rPr>
          <w:b/>
          <w:lang w:val="fr-FR"/>
        </w:rPr>
        <w:t>Graphique</w:t>
      </w:r>
      <w:r w:rsidRPr="00030091">
        <w:rPr>
          <w:b/>
          <w:lang w:val="fr-FR"/>
        </w:rPr>
        <w:t xml:space="preserve"> 1</w:t>
      </w:r>
      <w:r w:rsidR="008D457D" w:rsidRPr="00030091">
        <w:rPr>
          <w:b/>
          <w:lang w:val="fr-FR"/>
        </w:rPr>
        <w:t xml:space="preserve">. Taux des dépenses catastrophiques engagées </w:t>
      </w:r>
      <w:r w:rsidR="005B5ED1">
        <w:rPr>
          <w:b/>
          <w:lang w:val="fr-FR"/>
        </w:rPr>
        <w:t>par les ménages par quintile de richesse</w:t>
      </w:r>
    </w:p>
    <w:p w14:paraId="29F75E96" w14:textId="578D1939" w:rsidR="00AD324F" w:rsidRPr="00AD324F" w:rsidRDefault="00911F28" w:rsidP="005B5ED1">
      <w:pPr>
        <w:jc w:val="both"/>
        <w:rPr>
          <w:b/>
          <w:lang w:val="fr-FR"/>
        </w:rPr>
      </w:pPr>
      <w:r w:rsidRPr="00030091">
        <w:rPr>
          <w:lang w:val="fr-FR"/>
        </w:rPr>
        <w:t xml:space="preserve"> </w:t>
      </w:r>
      <w:r w:rsidR="00DC25CE" w:rsidRPr="00542CBF">
        <w:rPr>
          <w:b/>
          <w:noProof/>
          <w:lang w:val="de-DE" w:eastAsia="de-DE"/>
        </w:rPr>
        <w:drawing>
          <wp:inline distT="0" distB="0" distL="0" distR="0" wp14:anchorId="599B85E0" wp14:editId="65B29706">
            <wp:extent cx="5175518" cy="2208727"/>
            <wp:effectExtent l="0" t="0" r="6350" b="127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t="34849" r="11143" b="30522"/>
                    <a:stretch/>
                  </pic:blipFill>
                  <pic:spPr bwMode="auto">
                    <a:xfrm>
                      <a:off x="0" y="0"/>
                      <a:ext cx="5195246" cy="2217146"/>
                    </a:xfrm>
                    <a:prstGeom prst="rect">
                      <a:avLst/>
                    </a:prstGeom>
                    <a:noFill/>
                    <a:ln>
                      <a:noFill/>
                    </a:ln>
                    <a:extLst>
                      <a:ext uri="{53640926-AAD7-44D8-BBD7-CCE9431645EC}">
                        <a14:shadowObscured xmlns:a14="http://schemas.microsoft.com/office/drawing/2010/main"/>
                      </a:ext>
                    </a:extLst>
                  </pic:spPr>
                </pic:pic>
              </a:graphicData>
            </a:graphic>
          </wp:inline>
        </w:drawing>
      </w:r>
    </w:p>
    <w:p w14:paraId="471E53AB" w14:textId="77777777" w:rsidR="005B5ED1" w:rsidRDefault="005B5ED1" w:rsidP="00B1013F">
      <w:pPr>
        <w:jc w:val="both"/>
        <w:rPr>
          <w:lang w:val="fr-FR"/>
        </w:rPr>
      </w:pPr>
    </w:p>
    <w:p w14:paraId="11F45FCF" w14:textId="5A3C326C" w:rsidR="00EA5210" w:rsidRDefault="00EA5210" w:rsidP="00B1013F">
      <w:pPr>
        <w:jc w:val="both"/>
        <w:rPr>
          <w:lang w:val="fr-FR"/>
        </w:rPr>
      </w:pPr>
      <w:r w:rsidRPr="00542CBF">
        <w:rPr>
          <w:lang w:val="fr-FR"/>
        </w:rPr>
        <w:t>La dernière enquête auprès des ménages (ENSOMD 2012) indique que près de 70% de la population ne recourent pas aux soins en cas de Maladie. Des dépenses en cas de catastrophes peuvent faire chuter 4,5% des personnes du quintile le plus riche en dessous du seuil de pauvreté (et maintenir ceux qui sont déjà pauvres dans la pauvreté)</w:t>
      </w:r>
      <w:r w:rsidR="00017F2B">
        <w:rPr>
          <w:lang w:val="fr-FR"/>
        </w:rPr>
        <w:t xml:space="preserve"> (BM, 2015)</w:t>
      </w:r>
      <w:r w:rsidRPr="00542CBF">
        <w:rPr>
          <w:lang w:val="fr-FR"/>
        </w:rPr>
        <w:t>.</w:t>
      </w:r>
      <w:r w:rsidRPr="000E0C7C">
        <w:rPr>
          <w:lang w:val="fr-FR"/>
        </w:rPr>
        <w:t xml:space="preserve">  </w:t>
      </w:r>
    </w:p>
    <w:p w14:paraId="670C4E54" w14:textId="52672F1A" w:rsidR="00E842B2" w:rsidRDefault="00093F32" w:rsidP="00B1013F">
      <w:pPr>
        <w:jc w:val="both"/>
        <w:rPr>
          <w:lang w:val="fr-FR"/>
        </w:rPr>
      </w:pPr>
      <w:r>
        <w:rPr>
          <w:lang w:val="fr-FR"/>
        </w:rPr>
        <w:t>Le</w:t>
      </w:r>
      <w:r w:rsidR="00E842B2">
        <w:rPr>
          <w:lang w:val="fr-FR"/>
        </w:rPr>
        <w:t xml:space="preserve"> graphique ci bas montre la </w:t>
      </w:r>
      <w:r w:rsidR="00B1013F">
        <w:rPr>
          <w:lang w:val="fr-FR"/>
        </w:rPr>
        <w:t>surreprésentation</w:t>
      </w:r>
      <w:r w:rsidR="00E842B2">
        <w:rPr>
          <w:lang w:val="fr-FR"/>
        </w:rPr>
        <w:t xml:space="preserve"> des </w:t>
      </w:r>
      <w:r w:rsidR="00B1013F">
        <w:rPr>
          <w:lang w:val="fr-FR"/>
        </w:rPr>
        <w:t>catégories</w:t>
      </w:r>
      <w:r w:rsidR="00E842B2">
        <w:rPr>
          <w:lang w:val="fr-FR"/>
        </w:rPr>
        <w:t xml:space="preserve"> </w:t>
      </w:r>
      <w:r w:rsidR="00B1013F">
        <w:rPr>
          <w:lang w:val="fr-FR"/>
        </w:rPr>
        <w:t>économiques</w:t>
      </w:r>
      <w:r w:rsidR="00E842B2">
        <w:rPr>
          <w:lang w:val="fr-FR"/>
        </w:rPr>
        <w:t xml:space="preserve"> plus riches dans la consommation de </w:t>
      </w:r>
      <w:r w:rsidR="00B1013F">
        <w:rPr>
          <w:lang w:val="fr-FR"/>
        </w:rPr>
        <w:t>différents</w:t>
      </w:r>
      <w:r w:rsidR="00E842B2">
        <w:rPr>
          <w:lang w:val="fr-FR"/>
        </w:rPr>
        <w:t xml:space="preserve"> soins de </w:t>
      </w:r>
      <w:r w:rsidR="00B1013F">
        <w:rPr>
          <w:lang w:val="fr-FR"/>
        </w:rPr>
        <w:t>santé</w:t>
      </w:r>
      <w:r w:rsidR="00E842B2">
        <w:rPr>
          <w:lang w:val="fr-FR"/>
        </w:rPr>
        <w:t xml:space="preserve">. </w:t>
      </w:r>
      <w:r w:rsidR="00F76768">
        <w:rPr>
          <w:lang w:val="fr-FR"/>
        </w:rPr>
        <w:t>L’absence de mécanismes de répartition des risques accentue l’inégalité dans l’accès aux soins de santé.</w:t>
      </w:r>
      <w:r>
        <w:rPr>
          <w:lang w:val="fr-FR"/>
        </w:rPr>
        <w:t xml:space="preserve">  Le quintile le plus pauvres utilise des services </w:t>
      </w:r>
      <w:r>
        <w:rPr>
          <w:lang w:val="fr-FR"/>
        </w:rPr>
        <w:lastRenderedPageBreak/>
        <w:t xml:space="preserve">moins de quintile le plus riches, par exemple, vaccination, accouchements assisté, césariens, la planification familiale et traitement de paludisme. 70% des plus pauvres utilise les formations sanitaires publiques au lieu de privé.  Selon l’annuaire statistique du MSANP de 2015, 75% des ordonnances prescrites sont satisfait, c’est-à-dire que 25% des personnes qui reçoivent une ordonnance prescrite, n’arrive pas à obtenir et payer pour leur traitement.  </w:t>
      </w:r>
    </w:p>
    <w:p w14:paraId="379B8D6F" w14:textId="77777777" w:rsidR="00D337FA" w:rsidRDefault="00B1013F" w:rsidP="00F36D5B">
      <w:pPr>
        <w:rPr>
          <w:color w:val="1F4E79" w:themeColor="accent1" w:themeShade="80"/>
          <w:sz w:val="20"/>
          <w:lang w:val="fr-FR"/>
        </w:rPr>
      </w:pPr>
      <w:r>
        <w:rPr>
          <w:color w:val="1F4E79" w:themeColor="accent1" w:themeShade="80"/>
          <w:sz w:val="20"/>
          <w:lang w:val="fr-FR"/>
        </w:rPr>
        <w:t xml:space="preserve">            </w:t>
      </w:r>
    </w:p>
    <w:p w14:paraId="5E25ED51" w14:textId="658DAC8B" w:rsidR="00E842B2" w:rsidRPr="00030091" w:rsidRDefault="00B1013F" w:rsidP="00F36D5B">
      <w:pPr>
        <w:rPr>
          <w:b/>
          <w:lang w:val="fr-FR"/>
        </w:rPr>
      </w:pPr>
      <w:r>
        <w:rPr>
          <w:color w:val="1F4E79" w:themeColor="accent1" w:themeShade="80"/>
          <w:sz w:val="20"/>
          <w:lang w:val="fr-FR"/>
        </w:rPr>
        <w:t xml:space="preserve">  </w:t>
      </w:r>
      <w:r w:rsidR="00E842B2" w:rsidRPr="00030091">
        <w:rPr>
          <w:b/>
          <w:lang w:val="fr-FR"/>
        </w:rPr>
        <w:t>Graphique</w:t>
      </w:r>
      <w:r w:rsidR="00F36D5B">
        <w:rPr>
          <w:b/>
          <w:lang w:val="fr-FR"/>
        </w:rPr>
        <w:t xml:space="preserve"> 2</w:t>
      </w:r>
      <w:r w:rsidR="00E842B2" w:rsidRPr="00030091">
        <w:rPr>
          <w:b/>
          <w:lang w:val="fr-FR"/>
        </w:rPr>
        <w:t> :</w:t>
      </w:r>
      <w:r w:rsidR="0009142B" w:rsidRPr="00030091">
        <w:rPr>
          <w:b/>
          <w:lang w:val="fr-FR"/>
        </w:rPr>
        <w:t xml:space="preserve"> </w:t>
      </w:r>
      <w:r w:rsidR="0074640F" w:rsidRPr="00030091">
        <w:rPr>
          <w:b/>
          <w:lang w:val="fr-FR"/>
        </w:rPr>
        <w:t xml:space="preserve">L’utilisation </w:t>
      </w:r>
      <w:r w:rsidR="0009142B" w:rsidRPr="00030091">
        <w:rPr>
          <w:b/>
          <w:lang w:val="fr-FR"/>
        </w:rPr>
        <w:t>aux soins par quintile</w:t>
      </w:r>
    </w:p>
    <w:p w14:paraId="700E1F7A" w14:textId="77777777" w:rsidR="00AD324F" w:rsidRPr="00AD324F" w:rsidRDefault="006814C0" w:rsidP="006814C0">
      <w:pPr>
        <w:pStyle w:val="Listenabsatz"/>
        <w:rPr>
          <w:lang w:val="fr-FR"/>
        </w:rPr>
      </w:pPr>
      <w:r w:rsidRPr="006814C0">
        <w:rPr>
          <w:noProof/>
          <w:lang w:eastAsia="de-DE"/>
        </w:rPr>
        <w:drawing>
          <wp:inline distT="0" distB="0" distL="0" distR="0" wp14:anchorId="452EE684" wp14:editId="334E303E">
            <wp:extent cx="5046345" cy="2493034"/>
            <wp:effectExtent l="0" t="0" r="1905" b="2540"/>
            <wp:docPr id="5" name="Picture 4">
              <a:extLst xmlns:a="http://schemas.openxmlformats.org/drawingml/2006/main">
                <a:ext uri="{FF2B5EF4-FFF2-40B4-BE49-F238E27FC236}">
                  <a16:creationId xmlns:w15="http://schemas.microsoft.com/office/word/2012/wordml"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id="http://schemas.microsoft.com/office/word/2016/wordml/cid" xmlns:w16se="http://schemas.microsoft.com/office/word/2015/wordml/symex" xmlns:a16="http://schemas.microsoft.com/office/drawing/2014/main" id="{3484E2BB-C678-4142-B15C-69BA10808830}"/>
                </a:ext>
              </a:extLst>
            </wp:docPr>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w15="http://schemas.microsoft.com/office/word/2012/wordml"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id="http://schemas.microsoft.com/office/word/2016/wordml/cid" xmlns:w16se="http://schemas.microsoft.com/office/word/2015/wordml/symex" xmlns:a16="http://schemas.microsoft.com/office/drawing/2014/main" id="{3484E2BB-C678-4142-B15C-69BA10808830}"/>
                        </a:ext>
                      </a:extLst>
                    </pic:cNvPr>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065581" cy="2502537"/>
                    </a:xfrm>
                    <a:prstGeom prst="rect">
                      <a:avLst/>
                    </a:prstGeom>
                    <a:noFill/>
                  </pic:spPr>
                </pic:pic>
              </a:graphicData>
            </a:graphic>
          </wp:inline>
        </w:drawing>
      </w:r>
    </w:p>
    <w:p w14:paraId="68DA9077" w14:textId="77777777" w:rsidR="0078037C" w:rsidRPr="00B1013F" w:rsidRDefault="00B1013F" w:rsidP="00AD324F">
      <w:pPr>
        <w:rPr>
          <w:sz w:val="20"/>
          <w:lang w:val="fr-FR"/>
        </w:rPr>
      </w:pPr>
      <w:r>
        <w:rPr>
          <w:sz w:val="20"/>
          <w:lang w:val="fr-FR"/>
        </w:rPr>
        <w:t xml:space="preserve">               </w:t>
      </w:r>
      <w:r w:rsidR="00E842B2" w:rsidRPr="00B1013F">
        <w:rPr>
          <w:sz w:val="20"/>
          <w:lang w:val="fr-FR"/>
        </w:rPr>
        <w:t xml:space="preserve">Source : </w:t>
      </w:r>
      <w:r w:rsidR="001A0BA5">
        <w:rPr>
          <w:sz w:val="20"/>
          <w:lang w:val="fr-FR"/>
        </w:rPr>
        <w:t>Etude HP+, 2017</w:t>
      </w:r>
      <w:r w:rsidR="00B5089B">
        <w:rPr>
          <w:sz w:val="20"/>
          <w:lang w:val="fr-FR"/>
        </w:rPr>
        <w:t>(</w:t>
      </w:r>
      <w:r w:rsidR="00B5089B" w:rsidRPr="00B5089B">
        <w:rPr>
          <w:sz w:val="20"/>
          <w:lang w:val="fr-FR"/>
        </w:rPr>
        <w:t>ENSOMD 4-5-6, 2013</w:t>
      </w:r>
      <w:r w:rsidR="00B5089B">
        <w:rPr>
          <w:sz w:val="20"/>
          <w:lang w:val="fr-FR"/>
        </w:rPr>
        <w:t>)</w:t>
      </w:r>
    </w:p>
    <w:p w14:paraId="23E51CE5" w14:textId="77777777" w:rsidR="008B75AC" w:rsidRPr="0074640F" w:rsidRDefault="008B75AC" w:rsidP="00542CBF">
      <w:pPr>
        <w:pStyle w:val="Listenabsatz"/>
        <w:numPr>
          <w:ilvl w:val="0"/>
          <w:numId w:val="5"/>
        </w:numPr>
        <w:rPr>
          <w:b/>
          <w:lang w:val="fr-FR"/>
        </w:rPr>
      </w:pPr>
      <w:r w:rsidRPr="000E0C7C">
        <w:rPr>
          <w:b/>
          <w:lang w:val="fr-FR"/>
        </w:rPr>
        <w:t>Investisseme</w:t>
      </w:r>
      <w:r w:rsidRPr="0074640F">
        <w:rPr>
          <w:b/>
          <w:lang w:val="fr-FR"/>
        </w:rPr>
        <w:t>nt dans la santé et pour la CSU à Madagascar</w:t>
      </w:r>
    </w:p>
    <w:p w14:paraId="279233BE" w14:textId="5627DC4C" w:rsidR="005B4ACE" w:rsidRPr="000E0C7C" w:rsidRDefault="008B75AC" w:rsidP="005B4ACE">
      <w:pPr>
        <w:autoSpaceDE w:val="0"/>
        <w:autoSpaceDN w:val="0"/>
        <w:adjustRightInd w:val="0"/>
        <w:spacing w:after="0" w:line="240" w:lineRule="auto"/>
        <w:jc w:val="both"/>
        <w:rPr>
          <w:rFonts w:eastAsia="Times New Roman" w:cs="Times New Roman"/>
          <w:color w:val="000000"/>
          <w:lang w:val="fr-FR" w:eastAsia="en-GB"/>
        </w:rPr>
      </w:pPr>
      <w:r w:rsidRPr="00542CBF">
        <w:rPr>
          <w:lang w:val="fr-FR"/>
        </w:rPr>
        <w:t>La sant</w:t>
      </w:r>
      <w:r w:rsidR="00963D42">
        <w:rPr>
          <w:lang w:val="fr-FR"/>
        </w:rPr>
        <w:t>é</w:t>
      </w:r>
      <w:r w:rsidRPr="00542CBF">
        <w:rPr>
          <w:lang w:val="fr-FR"/>
        </w:rPr>
        <w:t xml:space="preserve"> est considérée comme l’un des moteurs clés de la productivité et des résultats en matière de développement en raison de </w:t>
      </w:r>
      <w:r w:rsidR="007C1F8D" w:rsidRPr="00542CBF">
        <w:rPr>
          <w:lang w:val="fr-FR"/>
        </w:rPr>
        <w:t>son pouvoir pour</w:t>
      </w:r>
      <w:r w:rsidRPr="00542CBF">
        <w:rPr>
          <w:lang w:val="fr-FR"/>
        </w:rPr>
        <w:t xml:space="preserve"> affecter la force de travail. </w:t>
      </w:r>
      <w:r w:rsidR="007C1F8D" w:rsidRPr="000E0C7C">
        <w:rPr>
          <w:color w:val="000000"/>
          <w:lang w:val="fr-FR"/>
        </w:rPr>
        <w:t>La croissance économique et le développement dépendent d’une population en bonne santé.</w:t>
      </w:r>
      <w:r w:rsidR="007C1F8D" w:rsidRPr="00542CBF">
        <w:rPr>
          <w:rFonts w:eastAsia="Times New Roman" w:cs="Times New Roman"/>
          <w:color w:val="000000"/>
          <w:lang w:val="fr-FR" w:eastAsia="en-GB"/>
        </w:rPr>
        <w:t xml:space="preserve"> </w:t>
      </w:r>
      <w:r w:rsidR="008E54D8" w:rsidRPr="00542CBF">
        <w:rPr>
          <w:rFonts w:eastAsia="Times New Roman" w:cs="Times New Roman"/>
          <w:color w:val="000000"/>
          <w:lang w:val="fr-FR" w:eastAsia="en-GB"/>
        </w:rPr>
        <w:t xml:space="preserve">Pour de meilleurs résultats, il faudrait donc que l’investissement dans le secteur de la sante soit plus important mais aussi plus favorable aux populations les plus pauvres. </w:t>
      </w:r>
      <w:r w:rsidR="0065572B" w:rsidRPr="00542CBF">
        <w:rPr>
          <w:rFonts w:eastAsia="Times New Roman" w:cs="Times New Roman"/>
          <w:color w:val="000000"/>
          <w:lang w:val="fr-FR" w:eastAsia="en-GB"/>
        </w:rPr>
        <w:t xml:space="preserve">Le Gouvernement devrait alors faire des efforts pour augmenter l’allocation budgétaire pour le secteur sante, non seulement en termes de part au regard du budget national, mais aussi en terme réel. Par ailleurs, il faudrait inverser la répartition du budget pour qu’un </w:t>
      </w:r>
      <w:r w:rsidR="008E54D8" w:rsidRPr="00542CBF">
        <w:rPr>
          <w:rFonts w:eastAsia="Times New Roman" w:cs="Times New Roman"/>
          <w:color w:val="000000"/>
          <w:lang w:val="fr-FR" w:eastAsia="en-GB"/>
        </w:rPr>
        <w:t xml:space="preserve">investissement bien plus consistant </w:t>
      </w:r>
      <w:r w:rsidR="0065572B" w:rsidRPr="00542CBF">
        <w:rPr>
          <w:rFonts w:eastAsia="Times New Roman" w:cs="Times New Roman"/>
          <w:color w:val="000000"/>
          <w:lang w:val="fr-FR" w:eastAsia="en-GB"/>
        </w:rPr>
        <w:t xml:space="preserve">soit orienté </w:t>
      </w:r>
      <w:r w:rsidR="008E54D8" w:rsidRPr="00542CBF">
        <w:rPr>
          <w:rFonts w:eastAsia="Times New Roman" w:cs="Times New Roman"/>
          <w:color w:val="000000"/>
          <w:lang w:val="fr-FR" w:eastAsia="en-GB"/>
        </w:rPr>
        <w:t>dans l</w:t>
      </w:r>
      <w:r w:rsidR="0065572B" w:rsidRPr="00542CBF">
        <w:rPr>
          <w:rFonts w:eastAsia="Times New Roman" w:cs="Times New Roman"/>
          <w:color w:val="000000"/>
          <w:lang w:val="fr-FR" w:eastAsia="en-GB"/>
        </w:rPr>
        <w:t>a prise en charge</w:t>
      </w:r>
      <w:r w:rsidR="008E54D8" w:rsidRPr="00542CBF">
        <w:rPr>
          <w:rFonts w:eastAsia="Times New Roman" w:cs="Times New Roman"/>
          <w:color w:val="000000"/>
          <w:lang w:val="fr-FR" w:eastAsia="en-GB"/>
        </w:rPr>
        <w:t xml:space="preserve"> </w:t>
      </w:r>
      <w:r w:rsidR="0065572B" w:rsidRPr="00542CBF">
        <w:rPr>
          <w:rFonts w:eastAsia="Times New Roman" w:cs="Times New Roman"/>
          <w:color w:val="000000"/>
          <w:lang w:val="fr-FR" w:eastAsia="en-GB"/>
        </w:rPr>
        <w:t>d</w:t>
      </w:r>
      <w:r w:rsidR="008E54D8" w:rsidRPr="00542CBF">
        <w:rPr>
          <w:rFonts w:eastAsia="Times New Roman" w:cs="Times New Roman"/>
          <w:color w:val="000000"/>
          <w:lang w:val="fr-FR" w:eastAsia="en-GB"/>
        </w:rPr>
        <w:t xml:space="preserve">es pathologies affectant les pauvres de façon disproportionnée. </w:t>
      </w:r>
      <w:r w:rsidR="00227166" w:rsidRPr="00542CBF">
        <w:rPr>
          <w:rFonts w:eastAsia="Times New Roman" w:cs="Times New Roman"/>
          <w:color w:val="000000"/>
          <w:lang w:val="fr-FR" w:eastAsia="en-GB"/>
        </w:rPr>
        <w:t xml:space="preserve">L’investissement devrait également répondre aux contraintes de la délivrance d’interventions essentielles et produire un meilleur fonctionnement des systèmes de santé et services et permettra un accès accru pour ceux qui en ont le plus besoin, les </w:t>
      </w:r>
      <w:r w:rsidR="00965983" w:rsidRPr="00542CBF">
        <w:rPr>
          <w:rFonts w:eastAsia="Times New Roman" w:cs="Times New Roman"/>
          <w:color w:val="000000"/>
          <w:lang w:val="fr-FR" w:eastAsia="en-GB"/>
        </w:rPr>
        <w:t>zones rurales.</w:t>
      </w:r>
      <w:r w:rsidR="00561722" w:rsidRPr="000E0C7C">
        <w:rPr>
          <w:rFonts w:eastAsia="Times New Roman" w:cs="Times New Roman"/>
          <w:color w:val="000000"/>
          <w:lang w:val="fr-FR" w:eastAsia="en-GB"/>
        </w:rPr>
        <w:t xml:space="preserve"> </w:t>
      </w:r>
      <w:r w:rsidR="00963D42">
        <w:rPr>
          <w:rFonts w:eastAsia="Times New Roman" w:cs="Times New Roman"/>
          <w:color w:val="000000"/>
          <w:lang w:val="fr-FR" w:eastAsia="en-GB"/>
        </w:rPr>
        <w:t xml:space="preserve">Il faut </w:t>
      </w:r>
      <w:r w:rsidR="00743766">
        <w:rPr>
          <w:rFonts w:eastAsia="Times New Roman" w:cs="Times New Roman"/>
          <w:color w:val="000000"/>
          <w:lang w:val="fr-FR" w:eastAsia="en-GB"/>
        </w:rPr>
        <w:t>s’</w:t>
      </w:r>
      <w:r w:rsidR="00963D42">
        <w:rPr>
          <w:rFonts w:eastAsia="Times New Roman" w:cs="Times New Roman"/>
          <w:color w:val="000000"/>
          <w:lang w:val="fr-FR" w:eastAsia="en-GB"/>
        </w:rPr>
        <w:t xml:space="preserve">assurer que les services de </w:t>
      </w:r>
      <w:r w:rsidR="00652AF9">
        <w:rPr>
          <w:rFonts w:eastAsia="Times New Roman" w:cs="Times New Roman"/>
          <w:color w:val="000000"/>
          <w:lang w:val="fr-FR" w:eastAsia="en-GB"/>
        </w:rPr>
        <w:t>haute qualité</w:t>
      </w:r>
      <w:r w:rsidR="00963D42">
        <w:rPr>
          <w:rFonts w:eastAsia="Times New Roman" w:cs="Times New Roman"/>
          <w:color w:val="000000"/>
          <w:lang w:val="fr-FR" w:eastAsia="en-GB"/>
        </w:rPr>
        <w:t xml:space="preserve"> so</w:t>
      </w:r>
      <w:r w:rsidR="00743766">
        <w:rPr>
          <w:rFonts w:eastAsia="Times New Roman" w:cs="Times New Roman"/>
          <w:color w:val="000000"/>
          <w:lang w:val="fr-FR" w:eastAsia="en-GB"/>
        </w:rPr>
        <w:t>ie</w:t>
      </w:r>
      <w:r w:rsidR="00963D42">
        <w:rPr>
          <w:rFonts w:eastAsia="Times New Roman" w:cs="Times New Roman"/>
          <w:color w:val="000000"/>
          <w:lang w:val="fr-FR" w:eastAsia="en-GB"/>
        </w:rPr>
        <w:t xml:space="preserve">nt </w:t>
      </w:r>
      <w:r w:rsidR="00D13E95">
        <w:rPr>
          <w:rFonts w:eastAsia="Times New Roman" w:cs="Times New Roman"/>
          <w:color w:val="000000"/>
          <w:lang w:val="fr-FR" w:eastAsia="en-GB"/>
        </w:rPr>
        <w:t>disponibles</w:t>
      </w:r>
      <w:r w:rsidR="00963D42">
        <w:rPr>
          <w:rFonts w:eastAsia="Times New Roman" w:cs="Times New Roman"/>
          <w:color w:val="000000"/>
          <w:lang w:val="fr-FR" w:eastAsia="en-GB"/>
        </w:rPr>
        <w:t xml:space="preserve"> dans chaque formation sanitaire avec </w:t>
      </w:r>
      <w:r w:rsidR="00743766">
        <w:rPr>
          <w:rFonts w:eastAsia="Times New Roman" w:cs="Times New Roman"/>
          <w:color w:val="000000"/>
          <w:lang w:val="fr-FR" w:eastAsia="en-GB"/>
        </w:rPr>
        <w:t xml:space="preserve">un </w:t>
      </w:r>
      <w:r w:rsidR="00963D42">
        <w:rPr>
          <w:rFonts w:eastAsia="Times New Roman" w:cs="Times New Roman"/>
          <w:color w:val="000000"/>
          <w:lang w:val="fr-FR" w:eastAsia="en-GB"/>
        </w:rPr>
        <w:t xml:space="preserve">personnel qualifié, </w:t>
      </w:r>
      <w:r w:rsidR="00743766">
        <w:rPr>
          <w:rFonts w:eastAsia="Times New Roman" w:cs="Times New Roman"/>
          <w:color w:val="000000"/>
          <w:lang w:val="fr-FR" w:eastAsia="en-GB"/>
        </w:rPr>
        <w:t xml:space="preserve">une infrastructure </w:t>
      </w:r>
      <w:r w:rsidR="00963D42">
        <w:rPr>
          <w:rFonts w:eastAsia="Times New Roman" w:cs="Times New Roman"/>
          <w:color w:val="000000"/>
          <w:lang w:val="fr-FR" w:eastAsia="en-GB"/>
        </w:rPr>
        <w:t xml:space="preserve">adéquate et </w:t>
      </w:r>
      <w:r w:rsidR="00743766">
        <w:rPr>
          <w:rFonts w:eastAsia="Times New Roman" w:cs="Times New Roman"/>
          <w:color w:val="000000"/>
          <w:lang w:val="fr-FR" w:eastAsia="en-GB"/>
        </w:rPr>
        <w:t xml:space="preserve">des </w:t>
      </w:r>
      <w:r w:rsidR="00963D42">
        <w:rPr>
          <w:rFonts w:eastAsia="Times New Roman" w:cs="Times New Roman"/>
          <w:color w:val="000000"/>
          <w:lang w:val="fr-FR" w:eastAsia="en-GB"/>
        </w:rPr>
        <w:t xml:space="preserve">médicaments disponibles </w:t>
      </w:r>
      <w:r w:rsidR="00743766">
        <w:rPr>
          <w:rFonts w:eastAsia="Times New Roman" w:cs="Times New Roman"/>
          <w:color w:val="000000"/>
          <w:lang w:val="fr-FR" w:eastAsia="en-GB"/>
        </w:rPr>
        <w:t>en permanence</w:t>
      </w:r>
      <w:r w:rsidR="00963D42">
        <w:rPr>
          <w:rFonts w:eastAsia="Times New Roman" w:cs="Times New Roman"/>
          <w:color w:val="000000"/>
          <w:lang w:val="fr-FR" w:eastAsia="en-GB"/>
        </w:rPr>
        <w:t xml:space="preserve">.  </w:t>
      </w:r>
    </w:p>
    <w:p w14:paraId="2ED7BC7E" w14:textId="77777777" w:rsidR="005B4ACE" w:rsidRPr="00542CBF" w:rsidRDefault="005B4ACE" w:rsidP="005B4ACE">
      <w:pPr>
        <w:autoSpaceDE w:val="0"/>
        <w:autoSpaceDN w:val="0"/>
        <w:adjustRightInd w:val="0"/>
        <w:spacing w:after="0" w:line="240" w:lineRule="auto"/>
        <w:jc w:val="both"/>
        <w:rPr>
          <w:rFonts w:eastAsia="Times New Roman" w:cs="Times New Roman"/>
          <w:color w:val="000000"/>
          <w:lang w:val="fr-FR" w:eastAsia="en-GB"/>
        </w:rPr>
      </w:pPr>
      <w:r w:rsidRPr="00542CBF">
        <w:rPr>
          <w:rFonts w:eastAsia="Times New Roman" w:cs="Times New Roman"/>
          <w:color w:val="000000"/>
          <w:lang w:val="fr-FR" w:eastAsia="en-GB"/>
        </w:rPr>
        <w:t xml:space="preserve">La Commission Macroéconomie et Santé (CMS), une structure créée par le Directeur général de l’OMS en 2000 et qui réunit des économistes de premier plan et des Experts de la santé publique, estime que le financement nécessaire doit être en moyenne de 34 US $ par personne et par an pour couvrir la panoplie des interventions essentielles, et que la plus grande part de cette somme nécessite un financement budgétaire plutôt que privé. </w:t>
      </w:r>
      <w:r w:rsidR="00A9563E" w:rsidRPr="00542CBF">
        <w:rPr>
          <w:rFonts w:eastAsia="Times New Roman" w:cs="Times New Roman"/>
          <w:color w:val="000000"/>
          <w:lang w:val="fr-FR" w:eastAsia="en-GB"/>
        </w:rPr>
        <w:t>Il faudrait donc envisager une augmentation de la part des ressources domestiques</w:t>
      </w:r>
    </w:p>
    <w:p w14:paraId="07214CCE" w14:textId="75200F6F" w:rsidR="00D337FA" w:rsidRDefault="005B4ACE" w:rsidP="005B4ACE">
      <w:pPr>
        <w:tabs>
          <w:tab w:val="right" w:pos="9026"/>
        </w:tabs>
        <w:jc w:val="both"/>
        <w:rPr>
          <w:rFonts w:eastAsia="Times New Roman" w:cs="Times New Roman"/>
          <w:color w:val="000000"/>
          <w:lang w:val="fr-FR" w:eastAsia="en-GB"/>
        </w:rPr>
      </w:pPr>
      <w:r>
        <w:rPr>
          <w:rFonts w:eastAsia="Times New Roman" w:cs="Times New Roman"/>
          <w:color w:val="000000"/>
          <w:lang w:val="fr-FR" w:eastAsia="en-GB"/>
        </w:rPr>
        <w:t xml:space="preserve">  </w:t>
      </w:r>
    </w:p>
    <w:p w14:paraId="5B0D7FEA" w14:textId="77777777" w:rsidR="005B5ED1" w:rsidRDefault="005B5ED1" w:rsidP="005B4ACE">
      <w:pPr>
        <w:tabs>
          <w:tab w:val="right" w:pos="9026"/>
        </w:tabs>
        <w:jc w:val="both"/>
        <w:rPr>
          <w:rFonts w:eastAsia="Times New Roman" w:cs="Times New Roman"/>
          <w:color w:val="000000"/>
          <w:lang w:val="fr-FR" w:eastAsia="en-GB"/>
        </w:rPr>
      </w:pPr>
    </w:p>
    <w:p w14:paraId="7A379F40" w14:textId="77777777" w:rsidR="007B3217" w:rsidRPr="00542CBF" w:rsidRDefault="00DA2E2B" w:rsidP="00542CBF">
      <w:pPr>
        <w:pStyle w:val="Listenabsatz"/>
        <w:numPr>
          <w:ilvl w:val="0"/>
          <w:numId w:val="5"/>
        </w:numPr>
        <w:rPr>
          <w:b/>
          <w:lang w:val="fr-FR"/>
        </w:rPr>
      </w:pPr>
      <w:r>
        <w:rPr>
          <w:b/>
          <w:lang w:val="fr-FR"/>
        </w:rPr>
        <w:lastRenderedPageBreak/>
        <w:t>R</w:t>
      </w:r>
      <w:r w:rsidR="00AD324F" w:rsidRPr="00DA2E2B">
        <w:rPr>
          <w:b/>
          <w:lang w:val="fr-FR"/>
        </w:rPr>
        <w:t>etour des investissements dans la C</w:t>
      </w:r>
      <w:r w:rsidR="00CD4D33">
        <w:rPr>
          <w:b/>
          <w:lang w:val="fr-FR"/>
        </w:rPr>
        <w:t xml:space="preserve">ouverture de </w:t>
      </w:r>
      <w:r w:rsidR="00AD324F" w:rsidRPr="00DA2E2B">
        <w:rPr>
          <w:b/>
          <w:lang w:val="fr-FR"/>
        </w:rPr>
        <w:t>S</w:t>
      </w:r>
      <w:r w:rsidR="00CD4D33">
        <w:rPr>
          <w:b/>
          <w:lang w:val="fr-FR"/>
        </w:rPr>
        <w:t xml:space="preserve">ante </w:t>
      </w:r>
      <w:r w:rsidR="00AD324F" w:rsidRPr="00DA2E2B">
        <w:rPr>
          <w:b/>
          <w:lang w:val="fr-FR"/>
        </w:rPr>
        <w:t>U</w:t>
      </w:r>
      <w:r w:rsidR="00CD4D33">
        <w:rPr>
          <w:b/>
          <w:lang w:val="fr-FR"/>
        </w:rPr>
        <w:t>niverselle</w:t>
      </w:r>
      <w:r w:rsidR="00AD324F" w:rsidRPr="00542CBF">
        <w:rPr>
          <w:b/>
          <w:lang w:val="fr-FR"/>
        </w:rPr>
        <w:t xml:space="preserve"> </w:t>
      </w:r>
    </w:p>
    <w:p w14:paraId="42E5556F" w14:textId="67376813" w:rsidR="00F337ED" w:rsidRDefault="00CC7015" w:rsidP="007B3217">
      <w:pPr>
        <w:jc w:val="both"/>
        <w:rPr>
          <w:rFonts w:eastAsia="Times New Roman" w:cs="Times New Roman"/>
          <w:color w:val="000000"/>
          <w:lang w:val="fr-FR" w:eastAsia="en-GB"/>
        </w:rPr>
      </w:pPr>
      <w:r>
        <w:rPr>
          <w:rFonts w:eastAsia="Times New Roman" w:cs="Times New Roman"/>
          <w:color w:val="000000"/>
          <w:lang w:val="fr-FR" w:eastAsia="en-GB"/>
        </w:rPr>
        <w:t>La Commission de la Revue</w:t>
      </w:r>
      <w:r w:rsidR="00F7448D" w:rsidRPr="007B3217">
        <w:rPr>
          <w:rFonts w:eastAsia="Times New Roman" w:cs="Times New Roman"/>
          <w:color w:val="000000"/>
          <w:lang w:val="fr-FR" w:eastAsia="en-GB"/>
        </w:rPr>
        <w:t xml:space="preserve"> Lancet sur l’investissement dans la santé</w:t>
      </w:r>
      <w:r w:rsidR="007B3217">
        <w:rPr>
          <w:rFonts w:eastAsia="Times New Roman" w:cs="Times New Roman"/>
          <w:color w:val="000000"/>
          <w:lang w:val="fr-FR" w:eastAsia="en-GB"/>
        </w:rPr>
        <w:t xml:space="preserve"> </w:t>
      </w:r>
      <w:r w:rsidR="00F7448D" w:rsidRPr="007B3217">
        <w:rPr>
          <w:rFonts w:eastAsia="Times New Roman" w:cs="Times New Roman"/>
          <w:color w:val="000000"/>
          <w:lang w:val="fr-FR" w:eastAsia="en-GB"/>
        </w:rPr>
        <w:t xml:space="preserve">a </w:t>
      </w:r>
      <w:r w:rsidR="007B3217" w:rsidRPr="007B3217">
        <w:rPr>
          <w:rFonts w:eastAsia="Times New Roman" w:cs="Times New Roman"/>
          <w:color w:val="000000"/>
          <w:lang w:val="fr-FR" w:eastAsia="en-GB"/>
        </w:rPr>
        <w:t>indiqué</w:t>
      </w:r>
      <w:r w:rsidR="00F7448D" w:rsidRPr="007B3217">
        <w:rPr>
          <w:rFonts w:eastAsia="Times New Roman" w:cs="Times New Roman"/>
          <w:color w:val="000000"/>
          <w:lang w:val="fr-FR" w:eastAsia="en-GB"/>
        </w:rPr>
        <w:t xml:space="preserve"> que </w:t>
      </w:r>
      <w:r w:rsidR="007B3217" w:rsidRPr="007B3217">
        <w:rPr>
          <w:rFonts w:eastAsia="Times New Roman" w:cs="Times New Roman"/>
          <w:color w:val="000000"/>
          <w:lang w:val="fr-FR" w:eastAsia="en-GB"/>
        </w:rPr>
        <w:t>près</w:t>
      </w:r>
      <w:r w:rsidR="00F7448D" w:rsidRPr="007B3217">
        <w:rPr>
          <w:rFonts w:eastAsia="Times New Roman" w:cs="Times New Roman"/>
          <w:color w:val="000000"/>
          <w:lang w:val="fr-FR" w:eastAsia="en-GB"/>
        </w:rPr>
        <w:t xml:space="preserve"> d’un quart de la croissance </w:t>
      </w:r>
      <w:r w:rsidR="007B3217" w:rsidRPr="007B3217">
        <w:rPr>
          <w:rFonts w:eastAsia="Times New Roman" w:cs="Times New Roman"/>
          <w:color w:val="000000"/>
          <w:lang w:val="fr-FR" w:eastAsia="en-GB"/>
        </w:rPr>
        <w:t>économique</w:t>
      </w:r>
      <w:r w:rsidR="00F7448D" w:rsidRPr="007B3217">
        <w:rPr>
          <w:rFonts w:eastAsia="Times New Roman" w:cs="Times New Roman"/>
          <w:color w:val="000000"/>
          <w:lang w:val="fr-FR" w:eastAsia="en-GB"/>
        </w:rPr>
        <w:t xml:space="preserve"> </w:t>
      </w:r>
      <w:r w:rsidR="007B3217" w:rsidRPr="007B3217">
        <w:rPr>
          <w:rFonts w:eastAsia="Times New Roman" w:cs="Times New Roman"/>
          <w:color w:val="000000"/>
          <w:lang w:val="fr-FR" w:eastAsia="en-GB"/>
        </w:rPr>
        <w:t>enregistrée</w:t>
      </w:r>
      <w:r w:rsidR="00F7448D" w:rsidRPr="007B3217">
        <w:rPr>
          <w:rFonts w:eastAsia="Times New Roman" w:cs="Times New Roman"/>
          <w:color w:val="000000"/>
          <w:lang w:val="fr-FR" w:eastAsia="en-GB"/>
        </w:rPr>
        <w:t xml:space="preserve"> entre 2000 et 2011 dans les pays </w:t>
      </w:r>
      <w:r w:rsidR="007B3217" w:rsidRPr="007B3217">
        <w:rPr>
          <w:rFonts w:eastAsia="Times New Roman" w:cs="Times New Roman"/>
          <w:color w:val="000000"/>
          <w:lang w:val="fr-FR" w:eastAsia="en-GB"/>
        </w:rPr>
        <w:t>à</w:t>
      </w:r>
      <w:r w:rsidR="00F7448D" w:rsidRPr="007B3217">
        <w:rPr>
          <w:rFonts w:eastAsia="Times New Roman" w:cs="Times New Roman"/>
          <w:color w:val="000000"/>
          <w:lang w:val="fr-FR" w:eastAsia="en-GB"/>
        </w:rPr>
        <w:t xml:space="preserve"> revenu faible et </w:t>
      </w:r>
      <w:r w:rsidR="007B3217" w:rsidRPr="007B3217">
        <w:rPr>
          <w:rFonts w:eastAsia="Times New Roman" w:cs="Times New Roman"/>
          <w:color w:val="000000"/>
          <w:lang w:val="fr-FR" w:eastAsia="en-GB"/>
        </w:rPr>
        <w:t>intermédiaire</w:t>
      </w:r>
      <w:r w:rsidR="00F7448D" w:rsidRPr="007B3217">
        <w:rPr>
          <w:rFonts w:eastAsia="Times New Roman" w:cs="Times New Roman"/>
          <w:color w:val="000000"/>
          <w:lang w:val="fr-FR" w:eastAsia="en-GB"/>
        </w:rPr>
        <w:t xml:space="preserve"> provenait de la valeur </w:t>
      </w:r>
      <w:r w:rsidR="007B3217" w:rsidRPr="007B3217">
        <w:rPr>
          <w:rFonts w:eastAsia="Times New Roman" w:cs="Times New Roman"/>
          <w:color w:val="000000"/>
          <w:lang w:val="fr-FR" w:eastAsia="en-GB"/>
        </w:rPr>
        <w:t>créée</w:t>
      </w:r>
      <w:r w:rsidR="00F7448D" w:rsidRPr="007B3217">
        <w:rPr>
          <w:rFonts w:eastAsia="Times New Roman" w:cs="Times New Roman"/>
          <w:color w:val="000000"/>
          <w:lang w:val="fr-FR" w:eastAsia="en-GB"/>
        </w:rPr>
        <w:t xml:space="preserve"> par les </w:t>
      </w:r>
      <w:r w:rsidR="007B3217" w:rsidRPr="007B3217">
        <w:rPr>
          <w:rFonts w:eastAsia="Times New Roman" w:cs="Times New Roman"/>
          <w:color w:val="000000"/>
          <w:lang w:val="fr-FR" w:eastAsia="en-GB"/>
        </w:rPr>
        <w:t>années</w:t>
      </w:r>
      <w:r w:rsidR="00F7448D" w:rsidRPr="007B3217">
        <w:rPr>
          <w:rFonts w:eastAsia="Times New Roman" w:cs="Times New Roman"/>
          <w:color w:val="000000"/>
          <w:lang w:val="fr-FR" w:eastAsia="en-GB"/>
        </w:rPr>
        <w:t xml:space="preserve"> de vie </w:t>
      </w:r>
      <w:r w:rsidR="007B3217" w:rsidRPr="007B3217">
        <w:rPr>
          <w:rFonts w:eastAsia="Times New Roman" w:cs="Times New Roman"/>
          <w:color w:val="000000"/>
          <w:lang w:val="fr-FR" w:eastAsia="en-GB"/>
        </w:rPr>
        <w:t>gagnées</w:t>
      </w:r>
      <w:r w:rsidR="00F7448D" w:rsidRPr="007B3217">
        <w:rPr>
          <w:rFonts w:eastAsia="Times New Roman" w:cs="Times New Roman"/>
          <w:color w:val="000000"/>
          <w:lang w:val="fr-FR" w:eastAsia="en-GB"/>
        </w:rPr>
        <w:t xml:space="preserve"> </w:t>
      </w:r>
      <w:r w:rsidR="007B3217" w:rsidRPr="007B3217">
        <w:rPr>
          <w:rFonts w:eastAsia="Times New Roman" w:cs="Times New Roman"/>
          <w:color w:val="000000"/>
          <w:lang w:val="fr-FR" w:eastAsia="en-GB"/>
        </w:rPr>
        <w:t>grâce</w:t>
      </w:r>
      <w:r w:rsidR="00F7448D" w:rsidRPr="007B3217">
        <w:rPr>
          <w:rFonts w:eastAsia="Times New Roman" w:cs="Times New Roman"/>
          <w:color w:val="000000"/>
          <w:lang w:val="fr-FR" w:eastAsia="en-GB"/>
        </w:rPr>
        <w:t xml:space="preserve"> à l’</w:t>
      </w:r>
      <w:r w:rsidR="007B3217" w:rsidRPr="007B3217">
        <w:rPr>
          <w:rFonts w:eastAsia="Times New Roman" w:cs="Times New Roman"/>
          <w:color w:val="000000"/>
          <w:lang w:val="fr-FR" w:eastAsia="en-GB"/>
        </w:rPr>
        <w:t>amélioration</w:t>
      </w:r>
      <w:r w:rsidR="00F7448D" w:rsidRPr="007B3217">
        <w:rPr>
          <w:rFonts w:eastAsia="Times New Roman" w:cs="Times New Roman"/>
          <w:color w:val="000000"/>
          <w:lang w:val="fr-FR" w:eastAsia="en-GB"/>
        </w:rPr>
        <w:t xml:space="preserve"> de la santé. </w:t>
      </w:r>
      <w:r w:rsidR="00F7448D" w:rsidRPr="00F7448D">
        <w:rPr>
          <w:rFonts w:eastAsia="Times New Roman" w:cs="Times New Roman"/>
          <w:color w:val="000000"/>
          <w:lang w:val="fr-FR" w:eastAsia="en-GB"/>
        </w:rPr>
        <w:t xml:space="preserve">Une </w:t>
      </w:r>
      <w:r w:rsidR="007B3217" w:rsidRPr="00F7448D">
        <w:rPr>
          <w:rFonts w:eastAsia="Times New Roman" w:cs="Times New Roman"/>
          <w:color w:val="000000"/>
          <w:lang w:val="fr-FR" w:eastAsia="en-GB"/>
        </w:rPr>
        <w:t>année</w:t>
      </w:r>
      <w:r w:rsidR="00F7448D" w:rsidRPr="00F7448D">
        <w:rPr>
          <w:rFonts w:eastAsia="Times New Roman" w:cs="Times New Roman"/>
          <w:color w:val="000000"/>
          <w:lang w:val="fr-FR" w:eastAsia="en-GB"/>
        </w:rPr>
        <w:t xml:space="preserve"> d’</w:t>
      </w:r>
      <w:r w:rsidR="007B3217" w:rsidRPr="00F7448D">
        <w:rPr>
          <w:rFonts w:eastAsia="Times New Roman" w:cs="Times New Roman"/>
          <w:color w:val="000000"/>
          <w:lang w:val="fr-FR" w:eastAsia="en-GB"/>
        </w:rPr>
        <w:t>espérance</w:t>
      </w:r>
      <w:r w:rsidR="00F7448D" w:rsidRPr="00F7448D">
        <w:rPr>
          <w:rFonts w:eastAsia="Times New Roman" w:cs="Times New Roman"/>
          <w:color w:val="000000"/>
          <w:lang w:val="fr-FR" w:eastAsia="en-GB"/>
        </w:rPr>
        <w:t xml:space="preserve"> de vie en plus augmente d’environ</w:t>
      </w:r>
      <w:r w:rsidR="00F76768" w:rsidRPr="00F76768">
        <w:rPr>
          <w:rFonts w:eastAsia="Times New Roman" w:cs="Times New Roman"/>
          <w:color w:val="000000"/>
          <w:lang w:val="fr-FR" w:eastAsia="en-GB"/>
        </w:rPr>
        <w:t xml:space="preserve"> </w:t>
      </w:r>
      <w:r w:rsidR="00F7448D" w:rsidRPr="00F7448D">
        <w:rPr>
          <w:rFonts w:eastAsia="Times New Roman" w:cs="Times New Roman"/>
          <w:color w:val="000000"/>
          <w:lang w:val="fr-FR" w:eastAsia="en-GB"/>
        </w:rPr>
        <w:t xml:space="preserve">4 % le PIB par habitant. </w:t>
      </w:r>
    </w:p>
    <w:p w14:paraId="730B4E79" w14:textId="2A1681FF" w:rsidR="00706A25" w:rsidRDefault="00F7448D" w:rsidP="0009142B">
      <w:pPr>
        <w:jc w:val="both"/>
        <w:rPr>
          <w:lang w:val="fr-FR"/>
        </w:rPr>
      </w:pPr>
      <w:r w:rsidRPr="00F7448D">
        <w:rPr>
          <w:rFonts w:eastAsia="Times New Roman" w:cs="Times New Roman"/>
          <w:color w:val="000000"/>
          <w:lang w:val="fr-FR" w:eastAsia="en-GB"/>
        </w:rPr>
        <w:t xml:space="preserve">Dans les pays qui enregistrent un taux de </w:t>
      </w:r>
      <w:r w:rsidR="007B3217" w:rsidRPr="00F7448D">
        <w:rPr>
          <w:rFonts w:eastAsia="Times New Roman" w:cs="Times New Roman"/>
          <w:color w:val="000000"/>
          <w:lang w:val="fr-FR" w:eastAsia="en-GB"/>
        </w:rPr>
        <w:t>fertilité</w:t>
      </w:r>
      <w:r w:rsidR="00F76768" w:rsidRPr="00F76768">
        <w:rPr>
          <w:rFonts w:eastAsia="Times New Roman" w:cs="Times New Roman"/>
          <w:sz w:val="24"/>
          <w:szCs w:val="24"/>
          <w:lang w:val="fr-FR" w:eastAsia="en-GB"/>
        </w:rPr>
        <w:t xml:space="preserve"> </w:t>
      </w:r>
      <w:r w:rsidR="007B3217" w:rsidRPr="00F7448D">
        <w:rPr>
          <w:rFonts w:eastAsia="Times New Roman" w:cs="Times New Roman"/>
          <w:color w:val="000000"/>
          <w:lang w:val="fr-FR" w:eastAsia="en-GB"/>
        </w:rPr>
        <w:t>é</w:t>
      </w:r>
      <w:r w:rsidR="007B3217">
        <w:rPr>
          <w:rFonts w:eastAsia="Times New Roman" w:cs="Times New Roman"/>
          <w:color w:val="000000"/>
          <w:lang w:val="fr-FR" w:eastAsia="en-GB"/>
        </w:rPr>
        <w:t>le</w:t>
      </w:r>
      <w:r w:rsidR="007B3217" w:rsidRPr="00F7448D">
        <w:rPr>
          <w:rFonts w:eastAsia="Times New Roman" w:cs="Times New Roman"/>
          <w:color w:val="000000"/>
          <w:lang w:val="fr-FR" w:eastAsia="en-GB"/>
        </w:rPr>
        <w:t>vé</w:t>
      </w:r>
      <w:r w:rsidRPr="00F7448D">
        <w:rPr>
          <w:rFonts w:eastAsia="Times New Roman" w:cs="Times New Roman"/>
          <w:color w:val="000000"/>
          <w:lang w:val="fr-FR" w:eastAsia="en-GB"/>
        </w:rPr>
        <w:t xml:space="preserve">, une </w:t>
      </w:r>
      <w:r w:rsidR="007B3217" w:rsidRPr="00F7448D">
        <w:rPr>
          <w:rFonts w:eastAsia="Times New Roman" w:cs="Times New Roman"/>
          <w:color w:val="000000"/>
          <w:lang w:val="fr-FR" w:eastAsia="en-GB"/>
        </w:rPr>
        <w:t>probabilité</w:t>
      </w:r>
      <w:r w:rsidRPr="00F7448D">
        <w:rPr>
          <w:rFonts w:eastAsia="Times New Roman" w:cs="Times New Roman"/>
          <w:color w:val="000000"/>
          <w:lang w:val="fr-FR" w:eastAsia="en-GB"/>
        </w:rPr>
        <w:t xml:space="preserve"> </w:t>
      </w:r>
      <w:r w:rsidR="007B3217" w:rsidRPr="00F7448D">
        <w:rPr>
          <w:rFonts w:eastAsia="Times New Roman" w:cs="Times New Roman"/>
          <w:color w:val="000000"/>
          <w:lang w:val="fr-FR" w:eastAsia="en-GB"/>
        </w:rPr>
        <w:t>réduite</w:t>
      </w:r>
      <w:r w:rsidRPr="00F7448D">
        <w:rPr>
          <w:rFonts w:eastAsia="Times New Roman" w:cs="Times New Roman"/>
          <w:color w:val="000000"/>
          <w:lang w:val="fr-FR" w:eastAsia="en-GB"/>
        </w:rPr>
        <w:t xml:space="preserve"> de </w:t>
      </w:r>
      <w:r w:rsidR="007B3217" w:rsidRPr="00F7448D">
        <w:rPr>
          <w:rFonts w:eastAsia="Times New Roman" w:cs="Times New Roman"/>
          <w:color w:val="000000"/>
          <w:lang w:val="fr-FR" w:eastAsia="en-GB"/>
        </w:rPr>
        <w:t>mortalité</w:t>
      </w:r>
      <w:r w:rsidRPr="00F7448D">
        <w:rPr>
          <w:rFonts w:eastAsia="Times New Roman" w:cs="Times New Roman"/>
          <w:color w:val="000000"/>
          <w:lang w:val="fr-FR" w:eastAsia="en-GB"/>
        </w:rPr>
        <w:t xml:space="preserve"> infantile peut exercer une in</w:t>
      </w:r>
      <w:r w:rsidR="007B3217">
        <w:rPr>
          <w:rFonts w:eastAsia="Times New Roman" w:cs="Times New Roman"/>
          <w:color w:val="000000"/>
          <w:lang w:val="fr-FR" w:eastAsia="en-GB"/>
        </w:rPr>
        <w:t>fluence</w:t>
      </w:r>
      <w:r w:rsidRPr="00F7448D">
        <w:rPr>
          <w:rFonts w:eastAsia="Times New Roman" w:cs="Times New Roman"/>
          <w:color w:val="000000"/>
          <w:lang w:val="fr-FR" w:eastAsia="en-GB"/>
        </w:rPr>
        <w:t xml:space="preserve"> positive sur les </w:t>
      </w:r>
      <w:r w:rsidR="007B3217" w:rsidRPr="00F7448D">
        <w:rPr>
          <w:rFonts w:eastAsia="Times New Roman" w:cs="Times New Roman"/>
          <w:color w:val="000000"/>
          <w:lang w:val="fr-FR" w:eastAsia="en-GB"/>
        </w:rPr>
        <w:t>décisions</w:t>
      </w:r>
      <w:r w:rsidRPr="00F7448D">
        <w:rPr>
          <w:rFonts w:eastAsia="Times New Roman" w:cs="Times New Roman"/>
          <w:color w:val="000000"/>
          <w:lang w:val="fr-FR" w:eastAsia="en-GB"/>
        </w:rPr>
        <w:t xml:space="preserve"> des familles en </w:t>
      </w:r>
      <w:r w:rsidR="007B3217" w:rsidRPr="00F7448D">
        <w:rPr>
          <w:rFonts w:eastAsia="Times New Roman" w:cs="Times New Roman"/>
          <w:color w:val="000000"/>
          <w:lang w:val="fr-FR" w:eastAsia="en-GB"/>
        </w:rPr>
        <w:t>matière</w:t>
      </w:r>
      <w:r w:rsidRPr="00F7448D">
        <w:rPr>
          <w:rFonts w:eastAsia="Times New Roman" w:cs="Times New Roman"/>
          <w:color w:val="000000"/>
          <w:lang w:val="fr-FR" w:eastAsia="en-GB"/>
        </w:rPr>
        <w:t xml:space="preserve"> de </w:t>
      </w:r>
      <w:r w:rsidR="007B3217">
        <w:rPr>
          <w:rFonts w:eastAsia="Times New Roman" w:cs="Times New Roman"/>
          <w:color w:val="000000"/>
          <w:lang w:val="fr-FR" w:eastAsia="en-GB"/>
        </w:rPr>
        <w:t>planifi</w:t>
      </w:r>
      <w:r w:rsidRPr="00F7448D">
        <w:rPr>
          <w:rFonts w:eastAsia="Times New Roman" w:cs="Times New Roman"/>
          <w:color w:val="000000"/>
          <w:lang w:val="fr-FR" w:eastAsia="en-GB"/>
        </w:rPr>
        <w:t xml:space="preserve">cation familiale. Cette </w:t>
      </w:r>
      <w:r w:rsidR="007B3217" w:rsidRPr="00F7448D">
        <w:rPr>
          <w:rFonts w:eastAsia="Times New Roman" w:cs="Times New Roman"/>
          <w:color w:val="000000"/>
          <w:lang w:val="fr-FR" w:eastAsia="en-GB"/>
        </w:rPr>
        <w:t>évolution</w:t>
      </w:r>
      <w:r w:rsidRPr="00F7448D">
        <w:rPr>
          <w:rFonts w:eastAsia="Times New Roman" w:cs="Times New Roman"/>
          <w:color w:val="000000"/>
          <w:lang w:val="fr-FR" w:eastAsia="en-GB"/>
        </w:rPr>
        <w:t xml:space="preserve"> contribue </w:t>
      </w:r>
      <w:r w:rsidR="007B3217" w:rsidRPr="00F7448D">
        <w:rPr>
          <w:rFonts w:eastAsia="Times New Roman" w:cs="Times New Roman"/>
          <w:color w:val="000000"/>
          <w:lang w:val="fr-FR" w:eastAsia="en-GB"/>
        </w:rPr>
        <w:t>à</w:t>
      </w:r>
      <w:r w:rsidRPr="00F7448D">
        <w:rPr>
          <w:rFonts w:eastAsia="Times New Roman" w:cs="Times New Roman"/>
          <w:color w:val="000000"/>
          <w:lang w:val="fr-FR" w:eastAsia="en-GB"/>
        </w:rPr>
        <w:t xml:space="preserve"> une transition </w:t>
      </w:r>
      <w:r w:rsidR="007B3217" w:rsidRPr="00F76768">
        <w:rPr>
          <w:rFonts w:eastAsia="Times New Roman" w:cs="Times New Roman"/>
          <w:color w:val="000000"/>
          <w:lang w:val="fr-FR" w:eastAsia="en-GB"/>
        </w:rPr>
        <w:t>d</w:t>
      </w:r>
      <w:r w:rsidR="007B3217" w:rsidRPr="00F7448D">
        <w:rPr>
          <w:rFonts w:eastAsia="Times New Roman" w:cs="Times New Roman"/>
          <w:color w:val="000000"/>
          <w:lang w:val="fr-FR" w:eastAsia="en-GB"/>
        </w:rPr>
        <w:t>émographique</w:t>
      </w:r>
      <w:r w:rsidRPr="00F7448D">
        <w:rPr>
          <w:rFonts w:eastAsia="Times New Roman" w:cs="Times New Roman"/>
          <w:color w:val="000000"/>
          <w:lang w:val="fr-FR" w:eastAsia="en-GB"/>
        </w:rPr>
        <w:t xml:space="preserve"> plus rapide et aux avantages </w:t>
      </w:r>
      <w:r w:rsidR="007B3217" w:rsidRPr="00F7448D">
        <w:rPr>
          <w:rFonts w:eastAsia="Times New Roman" w:cs="Times New Roman"/>
          <w:color w:val="000000"/>
          <w:lang w:val="fr-FR" w:eastAsia="en-GB"/>
        </w:rPr>
        <w:t>économiques</w:t>
      </w:r>
      <w:r w:rsidRPr="00F7448D">
        <w:rPr>
          <w:rFonts w:eastAsia="Times New Roman" w:cs="Times New Roman"/>
          <w:color w:val="000000"/>
          <w:lang w:val="fr-FR" w:eastAsia="en-GB"/>
        </w:rPr>
        <w:t xml:space="preserve"> </w:t>
      </w:r>
      <w:r w:rsidR="007B3217">
        <w:rPr>
          <w:rFonts w:eastAsia="Times New Roman" w:cs="Times New Roman"/>
          <w:color w:val="000000"/>
          <w:lang w:val="fr-FR" w:eastAsia="en-GB"/>
        </w:rPr>
        <w:t>associ</w:t>
      </w:r>
      <w:r w:rsidR="007B3217" w:rsidRPr="00F7448D">
        <w:rPr>
          <w:rFonts w:eastAsia="Times New Roman" w:cs="Times New Roman"/>
          <w:color w:val="000000"/>
          <w:lang w:val="fr-FR" w:eastAsia="en-GB"/>
        </w:rPr>
        <w:t>és</w:t>
      </w:r>
      <w:r w:rsidR="007E707C">
        <w:rPr>
          <w:rFonts w:eastAsia="Times New Roman" w:cs="Times New Roman"/>
          <w:color w:val="000000"/>
          <w:lang w:val="fr-FR" w:eastAsia="en-GB"/>
        </w:rPr>
        <w:t xml:space="preserve"> </w:t>
      </w:r>
      <w:r w:rsidR="00F337ED">
        <w:rPr>
          <w:rFonts w:eastAsia="Times New Roman" w:cs="Times New Roman"/>
          <w:color w:val="000000"/>
          <w:lang w:val="fr-FR" w:eastAsia="en-GB"/>
        </w:rPr>
        <w:t>à</w:t>
      </w:r>
      <w:r w:rsidR="007E707C">
        <w:rPr>
          <w:rFonts w:eastAsia="Times New Roman" w:cs="Times New Roman"/>
          <w:color w:val="000000"/>
          <w:lang w:val="fr-FR" w:eastAsia="en-GB"/>
        </w:rPr>
        <w:t xml:space="preserve"> l’</w:t>
      </w:r>
      <w:r w:rsidR="00F337ED">
        <w:rPr>
          <w:rFonts w:eastAsia="Times New Roman" w:cs="Times New Roman"/>
          <w:color w:val="000000"/>
          <w:lang w:val="fr-FR" w:eastAsia="en-GB"/>
        </w:rPr>
        <w:t>arrivée</w:t>
      </w:r>
      <w:r w:rsidR="007E707C">
        <w:rPr>
          <w:rFonts w:eastAsia="Times New Roman" w:cs="Times New Roman"/>
          <w:color w:val="000000"/>
          <w:lang w:val="fr-FR" w:eastAsia="en-GB"/>
        </w:rPr>
        <w:t xml:space="preserve"> d’une population productive sur le </w:t>
      </w:r>
      <w:r w:rsidR="00F337ED">
        <w:rPr>
          <w:rFonts w:eastAsia="Times New Roman" w:cs="Times New Roman"/>
          <w:color w:val="000000"/>
          <w:lang w:val="fr-FR" w:eastAsia="en-GB"/>
        </w:rPr>
        <w:t>marché</w:t>
      </w:r>
      <w:r w:rsidR="007E707C">
        <w:rPr>
          <w:rFonts w:eastAsia="Times New Roman" w:cs="Times New Roman"/>
          <w:color w:val="000000"/>
          <w:lang w:val="fr-FR" w:eastAsia="en-GB"/>
        </w:rPr>
        <w:t xml:space="preserve"> du travail et </w:t>
      </w:r>
      <w:r w:rsidR="00743766">
        <w:rPr>
          <w:rFonts w:eastAsia="Times New Roman" w:cs="Times New Roman"/>
          <w:color w:val="000000"/>
          <w:lang w:val="fr-FR" w:eastAsia="en-GB"/>
        </w:rPr>
        <w:t>à</w:t>
      </w:r>
      <w:r w:rsidR="007E707C">
        <w:rPr>
          <w:rFonts w:eastAsia="Times New Roman" w:cs="Times New Roman"/>
          <w:color w:val="000000"/>
          <w:lang w:val="fr-FR" w:eastAsia="en-GB"/>
        </w:rPr>
        <w:t xml:space="preserve"> l’</w:t>
      </w:r>
      <w:r w:rsidR="00F337ED">
        <w:rPr>
          <w:rFonts w:eastAsia="Times New Roman" w:cs="Times New Roman"/>
          <w:color w:val="000000"/>
          <w:lang w:val="fr-FR" w:eastAsia="en-GB"/>
        </w:rPr>
        <w:t>accroissement</w:t>
      </w:r>
      <w:r w:rsidR="007E707C">
        <w:rPr>
          <w:rFonts w:eastAsia="Times New Roman" w:cs="Times New Roman"/>
          <w:color w:val="000000"/>
          <w:lang w:val="fr-FR" w:eastAsia="en-GB"/>
        </w:rPr>
        <w:t xml:space="preserve"> du produit national</w:t>
      </w:r>
      <w:r w:rsidR="00F337ED">
        <w:rPr>
          <w:rFonts w:eastAsia="Times New Roman" w:cs="Times New Roman"/>
          <w:color w:val="000000"/>
          <w:lang w:val="fr-FR" w:eastAsia="en-GB"/>
        </w:rPr>
        <w:t xml:space="preserve"> brut</w:t>
      </w:r>
      <w:r w:rsidR="007E707C">
        <w:rPr>
          <w:rFonts w:eastAsia="Times New Roman" w:cs="Times New Roman"/>
          <w:color w:val="000000"/>
          <w:lang w:val="fr-FR" w:eastAsia="en-GB"/>
        </w:rPr>
        <w:t xml:space="preserve">, </w:t>
      </w:r>
      <w:r w:rsidRPr="00F7448D">
        <w:rPr>
          <w:rFonts w:eastAsia="Times New Roman" w:cs="Times New Roman"/>
          <w:color w:val="000000"/>
          <w:lang w:val="fr-FR" w:eastAsia="en-GB"/>
        </w:rPr>
        <w:t xml:space="preserve">ce qu’on </w:t>
      </w:r>
      <w:r w:rsidR="007B3217" w:rsidRPr="00F7448D">
        <w:rPr>
          <w:rFonts w:eastAsia="Times New Roman" w:cs="Times New Roman"/>
          <w:color w:val="000000"/>
          <w:lang w:val="fr-FR" w:eastAsia="en-GB"/>
        </w:rPr>
        <w:t>désigne</w:t>
      </w:r>
      <w:r w:rsidRPr="00F7448D">
        <w:rPr>
          <w:rFonts w:eastAsia="Times New Roman" w:cs="Times New Roman"/>
          <w:color w:val="000000"/>
          <w:lang w:val="fr-FR" w:eastAsia="en-GB"/>
        </w:rPr>
        <w:t xml:space="preserve"> souvent par l’appellation </w:t>
      </w:r>
      <w:r w:rsidR="007B3217">
        <w:rPr>
          <w:rFonts w:eastAsia="Times New Roman" w:cs="Times New Roman"/>
          <w:color w:val="000000"/>
          <w:lang w:val="fr-FR" w:eastAsia="en-GB"/>
        </w:rPr>
        <w:t xml:space="preserve">de </w:t>
      </w:r>
      <w:r w:rsidRPr="00F7448D">
        <w:rPr>
          <w:rFonts w:eastAsia="Times New Roman" w:cs="Times New Roman"/>
          <w:color w:val="000000"/>
          <w:lang w:val="fr-FR" w:eastAsia="en-GB"/>
        </w:rPr>
        <w:t xml:space="preserve">dividende </w:t>
      </w:r>
      <w:r w:rsidR="007B3217" w:rsidRPr="00F7448D">
        <w:rPr>
          <w:rFonts w:eastAsia="Times New Roman" w:cs="Times New Roman"/>
          <w:color w:val="000000"/>
          <w:lang w:val="fr-FR" w:eastAsia="en-GB"/>
        </w:rPr>
        <w:t>démographique</w:t>
      </w:r>
      <w:r w:rsidRPr="00F7448D">
        <w:rPr>
          <w:rFonts w:eastAsia="Times New Roman" w:cs="Times New Roman"/>
          <w:color w:val="000000"/>
          <w:lang w:val="fr-FR" w:eastAsia="en-GB"/>
        </w:rPr>
        <w:t>.</w:t>
      </w:r>
      <w:r w:rsidR="00F76768" w:rsidRPr="00F76768">
        <w:rPr>
          <w:rFonts w:eastAsia="Times New Roman" w:cs="Times New Roman"/>
          <w:sz w:val="24"/>
          <w:szCs w:val="24"/>
          <w:lang w:val="fr-FR" w:eastAsia="en-GB"/>
        </w:rPr>
        <w:t xml:space="preserve"> </w:t>
      </w:r>
      <w:r w:rsidR="0009142B">
        <w:rPr>
          <w:lang w:val="fr-FR"/>
        </w:rPr>
        <w:t>Les effets du dividende démographique ont été quantifies 1% du PIB en 2035 </w:t>
      </w:r>
      <w:r w:rsidR="00706A25">
        <w:rPr>
          <w:lang w:val="fr-FR"/>
        </w:rPr>
        <w:t xml:space="preserve">dans les pays </w:t>
      </w:r>
      <w:r w:rsidR="007F20F4">
        <w:rPr>
          <w:lang w:val="fr-FR"/>
        </w:rPr>
        <w:t>à</w:t>
      </w:r>
      <w:r w:rsidR="00706A25">
        <w:rPr>
          <w:lang w:val="fr-FR"/>
        </w:rPr>
        <w:t xml:space="preserve"> bas revenus.</w:t>
      </w:r>
    </w:p>
    <w:p w14:paraId="13CE7F48" w14:textId="58DE803D" w:rsidR="0009142B" w:rsidRPr="0009142B" w:rsidRDefault="00706A25" w:rsidP="0009142B">
      <w:pPr>
        <w:jc w:val="both"/>
        <w:rPr>
          <w:rFonts w:eastAsia="Times New Roman" w:cs="Times New Roman"/>
          <w:sz w:val="24"/>
          <w:szCs w:val="24"/>
          <w:lang w:val="fr-FR" w:eastAsia="en-GB"/>
        </w:rPr>
      </w:pPr>
      <w:r>
        <w:rPr>
          <w:lang w:val="fr-FR"/>
        </w:rPr>
        <w:t xml:space="preserve">Afin d’obtenir ces gains induits par l’amélioration des systèmes de </w:t>
      </w:r>
      <w:r w:rsidR="00743766">
        <w:rPr>
          <w:lang w:val="fr-FR"/>
        </w:rPr>
        <w:t>santé</w:t>
      </w:r>
      <w:r>
        <w:rPr>
          <w:lang w:val="fr-FR"/>
        </w:rPr>
        <w:t xml:space="preserve">, un investissement minimum est nécessaire. L’ensemble des gains obtenus par les investissements en sante, sur la croissance, est estime </w:t>
      </w:r>
      <w:r w:rsidR="007F20F4">
        <w:rPr>
          <w:lang w:val="fr-FR"/>
        </w:rPr>
        <w:t>à</w:t>
      </w:r>
      <w:r>
        <w:rPr>
          <w:lang w:val="fr-FR"/>
        </w:rPr>
        <w:t xml:space="preserve"> 7,2 USD pour chaque 1 USD investi jusqu’en 2035 et 23,6 USD pour 1 USD investit pour les pays de bas revenu.</w:t>
      </w:r>
    </w:p>
    <w:tbl>
      <w:tblPr>
        <w:tblStyle w:val="Tabellenraster"/>
        <w:tblW w:w="0" w:type="auto"/>
        <w:tblInd w:w="108" w:type="dxa"/>
        <w:tblLook w:val="04A0" w:firstRow="1" w:lastRow="0" w:firstColumn="1" w:lastColumn="0" w:noHBand="0" w:noVBand="1"/>
      </w:tblPr>
      <w:tblGrid>
        <w:gridCol w:w="1695"/>
        <w:gridCol w:w="1803"/>
        <w:gridCol w:w="1803"/>
        <w:gridCol w:w="1803"/>
        <w:gridCol w:w="1804"/>
      </w:tblGrid>
      <w:tr w:rsidR="00DB03FB" w14:paraId="548F8F2D" w14:textId="77777777" w:rsidTr="005B5ED1">
        <w:tc>
          <w:tcPr>
            <w:tcW w:w="1695" w:type="dxa"/>
            <w:vMerge w:val="restart"/>
          </w:tcPr>
          <w:p w14:paraId="41EEF432" w14:textId="3DF9F6E0" w:rsidR="00DB03FB" w:rsidRDefault="00DB03FB" w:rsidP="007D5F5A">
            <w:pPr>
              <w:rPr>
                <w:lang w:val="fr-FR"/>
              </w:rPr>
            </w:pPr>
            <w:r>
              <w:rPr>
                <w:lang w:val="fr-FR"/>
              </w:rPr>
              <w:t>Pays de fa</w:t>
            </w:r>
            <w:r w:rsidR="007D5F5A">
              <w:rPr>
                <w:lang w:val="fr-FR"/>
              </w:rPr>
              <w:t>i</w:t>
            </w:r>
            <w:r>
              <w:rPr>
                <w:lang w:val="fr-FR"/>
              </w:rPr>
              <w:t>ble revenu</w:t>
            </w:r>
          </w:p>
        </w:tc>
        <w:tc>
          <w:tcPr>
            <w:tcW w:w="3606" w:type="dxa"/>
            <w:gridSpan w:val="2"/>
          </w:tcPr>
          <w:p w14:paraId="31E37CCB" w14:textId="393EE38C" w:rsidR="00DB03FB" w:rsidRDefault="00DB03FB" w:rsidP="0009142B">
            <w:pPr>
              <w:rPr>
                <w:lang w:val="fr-FR"/>
              </w:rPr>
            </w:pPr>
            <w:r w:rsidRPr="00DB03FB">
              <w:rPr>
                <w:lang w:val="fr-FR"/>
              </w:rPr>
              <w:t>ratio coûts bénéfice</w:t>
            </w:r>
            <w:r>
              <w:rPr>
                <w:lang w:val="fr-FR"/>
              </w:rPr>
              <w:t xml:space="preserve"> (%)</w:t>
            </w:r>
          </w:p>
        </w:tc>
        <w:tc>
          <w:tcPr>
            <w:tcW w:w="3607" w:type="dxa"/>
            <w:gridSpan w:val="2"/>
          </w:tcPr>
          <w:p w14:paraId="08197AFA" w14:textId="717781E5" w:rsidR="00DB03FB" w:rsidRDefault="00DB03FB" w:rsidP="0009142B">
            <w:pPr>
              <w:rPr>
                <w:lang w:val="fr-FR"/>
              </w:rPr>
            </w:pPr>
            <w:r w:rsidRPr="00DB03FB">
              <w:rPr>
                <w:lang w:val="fr-FR"/>
              </w:rPr>
              <w:t>taux de rendement interne</w:t>
            </w:r>
            <w:r>
              <w:rPr>
                <w:lang w:val="fr-FR"/>
              </w:rPr>
              <w:t xml:space="preserve"> (%)</w:t>
            </w:r>
          </w:p>
        </w:tc>
      </w:tr>
      <w:tr w:rsidR="00DB03FB" w14:paraId="4EBD1297" w14:textId="77777777" w:rsidTr="005B5ED1">
        <w:tc>
          <w:tcPr>
            <w:tcW w:w="1695" w:type="dxa"/>
            <w:vMerge/>
          </w:tcPr>
          <w:p w14:paraId="2274A0B1" w14:textId="77777777" w:rsidR="00DB03FB" w:rsidRDefault="00DB03FB" w:rsidP="00DB03FB">
            <w:pPr>
              <w:rPr>
                <w:lang w:val="fr-FR"/>
              </w:rPr>
            </w:pPr>
          </w:p>
        </w:tc>
        <w:tc>
          <w:tcPr>
            <w:tcW w:w="1803" w:type="dxa"/>
          </w:tcPr>
          <w:p w14:paraId="6F457CFE" w14:textId="3E12B703" w:rsidR="00DB03FB" w:rsidRDefault="00DB03FB" w:rsidP="00DB03FB">
            <w:pPr>
              <w:rPr>
                <w:lang w:val="fr-FR"/>
              </w:rPr>
            </w:pPr>
            <w:r>
              <w:rPr>
                <w:lang w:val="fr-FR"/>
              </w:rPr>
              <w:t>à 2035</w:t>
            </w:r>
          </w:p>
        </w:tc>
        <w:tc>
          <w:tcPr>
            <w:tcW w:w="1803" w:type="dxa"/>
          </w:tcPr>
          <w:p w14:paraId="57D8FC2E" w14:textId="09DE184B" w:rsidR="00DB03FB" w:rsidRDefault="00DB03FB" w:rsidP="00DB03FB">
            <w:pPr>
              <w:rPr>
                <w:lang w:val="fr-FR"/>
              </w:rPr>
            </w:pPr>
            <w:r>
              <w:rPr>
                <w:lang w:val="fr-FR"/>
              </w:rPr>
              <w:t>à 2050</w:t>
            </w:r>
          </w:p>
        </w:tc>
        <w:tc>
          <w:tcPr>
            <w:tcW w:w="1803" w:type="dxa"/>
          </w:tcPr>
          <w:p w14:paraId="3A4F5DBB" w14:textId="282AD1D6" w:rsidR="00DB03FB" w:rsidRDefault="00DB03FB" w:rsidP="00DB03FB">
            <w:pPr>
              <w:rPr>
                <w:lang w:val="fr-FR"/>
              </w:rPr>
            </w:pPr>
            <w:r>
              <w:rPr>
                <w:lang w:val="fr-FR"/>
              </w:rPr>
              <w:t>à 2035</w:t>
            </w:r>
          </w:p>
        </w:tc>
        <w:tc>
          <w:tcPr>
            <w:tcW w:w="1804" w:type="dxa"/>
          </w:tcPr>
          <w:p w14:paraId="11CBB3CA" w14:textId="0DC0BB96" w:rsidR="00DB03FB" w:rsidRDefault="00DB03FB" w:rsidP="00DB03FB">
            <w:pPr>
              <w:rPr>
                <w:lang w:val="fr-FR"/>
              </w:rPr>
            </w:pPr>
            <w:r>
              <w:rPr>
                <w:lang w:val="fr-FR"/>
              </w:rPr>
              <w:t>à 2050</w:t>
            </w:r>
          </w:p>
        </w:tc>
      </w:tr>
      <w:tr w:rsidR="00DB03FB" w14:paraId="5BBD4B4A" w14:textId="77777777" w:rsidTr="005B5ED1">
        <w:tc>
          <w:tcPr>
            <w:tcW w:w="1695" w:type="dxa"/>
            <w:vMerge/>
          </w:tcPr>
          <w:p w14:paraId="467F0C43" w14:textId="77777777" w:rsidR="00DB03FB" w:rsidRDefault="00DB03FB" w:rsidP="00DB03FB">
            <w:pPr>
              <w:rPr>
                <w:lang w:val="fr-FR"/>
              </w:rPr>
            </w:pPr>
          </w:p>
        </w:tc>
        <w:tc>
          <w:tcPr>
            <w:tcW w:w="1803" w:type="dxa"/>
          </w:tcPr>
          <w:p w14:paraId="13064547" w14:textId="4697A00A" w:rsidR="00DB03FB" w:rsidRDefault="00DB03FB" w:rsidP="00DB03FB">
            <w:pPr>
              <w:rPr>
                <w:lang w:val="fr-FR"/>
              </w:rPr>
            </w:pPr>
            <w:r>
              <w:rPr>
                <w:lang w:val="fr-FR"/>
              </w:rPr>
              <w:t>7,2</w:t>
            </w:r>
          </w:p>
        </w:tc>
        <w:tc>
          <w:tcPr>
            <w:tcW w:w="1803" w:type="dxa"/>
          </w:tcPr>
          <w:p w14:paraId="729C6D96" w14:textId="2C658364" w:rsidR="00DB03FB" w:rsidRDefault="00DB03FB" w:rsidP="00DB03FB">
            <w:pPr>
              <w:rPr>
                <w:lang w:val="fr-FR"/>
              </w:rPr>
            </w:pPr>
            <w:r>
              <w:rPr>
                <w:lang w:val="fr-FR"/>
              </w:rPr>
              <w:t>23,6</w:t>
            </w:r>
          </w:p>
        </w:tc>
        <w:tc>
          <w:tcPr>
            <w:tcW w:w="1803" w:type="dxa"/>
          </w:tcPr>
          <w:p w14:paraId="7625078E" w14:textId="375155AD" w:rsidR="00DB03FB" w:rsidRDefault="00DB03FB" w:rsidP="00DB03FB">
            <w:pPr>
              <w:rPr>
                <w:lang w:val="fr-FR"/>
              </w:rPr>
            </w:pPr>
            <w:r>
              <w:rPr>
                <w:lang w:val="fr-FR"/>
              </w:rPr>
              <w:t>39,3</w:t>
            </w:r>
          </w:p>
        </w:tc>
        <w:tc>
          <w:tcPr>
            <w:tcW w:w="1804" w:type="dxa"/>
          </w:tcPr>
          <w:p w14:paraId="059FBA5E" w14:textId="1EC801EA" w:rsidR="00DB03FB" w:rsidRDefault="00DB03FB" w:rsidP="00DB03FB">
            <w:pPr>
              <w:rPr>
                <w:lang w:val="fr-FR"/>
              </w:rPr>
            </w:pPr>
            <w:r>
              <w:rPr>
                <w:lang w:val="fr-FR"/>
              </w:rPr>
              <w:t>39,8</w:t>
            </w:r>
          </w:p>
        </w:tc>
      </w:tr>
    </w:tbl>
    <w:p w14:paraId="35700A44" w14:textId="77777777" w:rsidR="00DB03FB" w:rsidRDefault="00DB03FB" w:rsidP="0009142B">
      <w:pPr>
        <w:rPr>
          <w:lang w:val="fr-FR"/>
        </w:rPr>
      </w:pPr>
    </w:p>
    <w:p w14:paraId="3165356C" w14:textId="51369146" w:rsidR="0009142B" w:rsidRPr="0009142B" w:rsidRDefault="0009142B" w:rsidP="0009142B">
      <w:pPr>
        <w:rPr>
          <w:lang w:val="fr-FR"/>
        </w:rPr>
      </w:pPr>
      <w:r w:rsidRPr="0009142B">
        <w:rPr>
          <w:lang w:val="fr-FR"/>
        </w:rPr>
        <w:t xml:space="preserve">Source : Stenberg K, et al (2014) </w:t>
      </w:r>
    </w:p>
    <w:p w14:paraId="12BF3399" w14:textId="76CF9382" w:rsidR="0009142B" w:rsidRDefault="0009142B" w:rsidP="0009142B">
      <w:pPr>
        <w:rPr>
          <w:lang w:val="fr-FR"/>
        </w:rPr>
      </w:pPr>
      <w:r>
        <w:rPr>
          <w:lang w:val="fr-FR"/>
        </w:rPr>
        <w:t>Pour obtenir ces dividendes, l’investissement en sant</w:t>
      </w:r>
      <w:r w:rsidR="005B1E09">
        <w:rPr>
          <w:lang w:val="fr-FR"/>
        </w:rPr>
        <w:t>é</w:t>
      </w:r>
      <w:r>
        <w:rPr>
          <w:lang w:val="fr-FR"/>
        </w:rPr>
        <w:t xml:space="preserve"> est tout à fait abordable. Compte tenu de la dépense moyennes de 34 USD par habitant dans les pays de bas revenus, une augmentation de 4,97 USD par an et par habitant serait nécessaire jusqu’en 2035, ce qui est possible notamment avec l’appui transitoire des partenaires au développement.</w:t>
      </w:r>
    </w:p>
    <w:p w14:paraId="2CA9D641" w14:textId="0268B4D5" w:rsidR="000B4955" w:rsidRPr="00413869" w:rsidRDefault="00390508" w:rsidP="000B4955">
      <w:pPr>
        <w:rPr>
          <w:lang w:val="fr-FR"/>
        </w:rPr>
      </w:pPr>
      <w:r w:rsidRPr="00413869">
        <w:rPr>
          <w:lang w:val="fr-FR"/>
        </w:rPr>
        <w:t xml:space="preserve">Selon </w:t>
      </w:r>
      <w:r w:rsidR="00E16E47" w:rsidRPr="00413869">
        <w:rPr>
          <w:lang w:val="fr-FR"/>
        </w:rPr>
        <w:t xml:space="preserve">une </w:t>
      </w:r>
      <w:r w:rsidR="00AE2317" w:rsidRPr="00413869">
        <w:rPr>
          <w:lang w:val="fr-FR"/>
        </w:rPr>
        <w:t>étude</w:t>
      </w:r>
      <w:r w:rsidR="00E16E47" w:rsidRPr="00413869">
        <w:rPr>
          <w:lang w:val="fr-FR"/>
        </w:rPr>
        <w:t xml:space="preserve"> </w:t>
      </w:r>
      <w:r w:rsidR="00AE2317" w:rsidRPr="00413869">
        <w:rPr>
          <w:lang w:val="fr-FR"/>
        </w:rPr>
        <w:t>publiée</w:t>
      </w:r>
      <w:r w:rsidR="00E16E47" w:rsidRPr="00413869">
        <w:rPr>
          <w:lang w:val="fr-FR"/>
        </w:rPr>
        <w:t xml:space="preserve"> par le Lancet, s</w:t>
      </w:r>
      <w:r w:rsidR="000B4955" w:rsidRPr="00413869">
        <w:rPr>
          <w:lang w:val="fr-FR"/>
        </w:rPr>
        <w:t xml:space="preserve">i les interventions </w:t>
      </w:r>
      <w:r w:rsidRPr="00413869">
        <w:rPr>
          <w:lang w:val="fr-FR"/>
        </w:rPr>
        <w:t>à</w:t>
      </w:r>
      <w:r w:rsidR="000B4955" w:rsidRPr="00413869">
        <w:rPr>
          <w:lang w:val="fr-FR"/>
        </w:rPr>
        <w:t xml:space="preserve"> haut impact sur les causes évitables de </w:t>
      </w:r>
      <w:r w:rsidR="00977976" w:rsidRPr="00413869">
        <w:rPr>
          <w:lang w:val="fr-FR"/>
        </w:rPr>
        <w:t>mortalité</w:t>
      </w:r>
      <w:r w:rsidR="000B4955" w:rsidRPr="00413869">
        <w:rPr>
          <w:lang w:val="fr-FR"/>
        </w:rPr>
        <w:t xml:space="preserve"> tels que la diarrhée, la pneumonie, la rougeole, le paludisme, le VIH/sida, les causes sous-jacentes de dénutrition et un petit groupe de causes conduisant à des décès néonatals sont universellement disponibles, 63 % des décès d’enfants pourraient être évités. </w:t>
      </w:r>
      <w:r w:rsidR="00E16E47" w:rsidRPr="00413869">
        <w:rPr>
          <w:lang w:val="fr-FR"/>
        </w:rPr>
        <w:t xml:space="preserve"> </w:t>
      </w:r>
    </w:p>
    <w:p w14:paraId="78B5644F" w14:textId="63E2FEBC" w:rsidR="000B4955" w:rsidRPr="00413869" w:rsidRDefault="000B4955" w:rsidP="000B4955">
      <w:pPr>
        <w:rPr>
          <w:lang w:val="fr-FR"/>
        </w:rPr>
      </w:pPr>
      <w:r w:rsidRPr="00413869">
        <w:rPr>
          <w:lang w:val="fr-FR"/>
        </w:rPr>
        <w:t xml:space="preserve">Par ailleurs, on estime qu’une augmentation de 10% des </w:t>
      </w:r>
      <w:r w:rsidR="00A945AB" w:rsidRPr="00413869">
        <w:rPr>
          <w:lang w:val="fr-FR"/>
        </w:rPr>
        <w:t>dépenses</w:t>
      </w:r>
      <w:r w:rsidRPr="00413869">
        <w:rPr>
          <w:lang w:val="fr-FR"/>
        </w:rPr>
        <w:t xml:space="preserve"> mises en commun par habitant diminuerait le TM5 de 9,5 </w:t>
      </w:r>
      <w:r w:rsidR="00E16E47" w:rsidRPr="00413869">
        <w:rPr>
          <w:lang w:val="fr-FR"/>
        </w:rPr>
        <w:t>décès</w:t>
      </w:r>
      <w:r w:rsidRPr="00413869">
        <w:rPr>
          <w:lang w:val="fr-FR"/>
        </w:rPr>
        <w:t xml:space="preserve"> pour 1000 naissances </w:t>
      </w:r>
      <w:r w:rsidR="00E16E47" w:rsidRPr="00413869">
        <w:rPr>
          <w:lang w:val="fr-FR"/>
        </w:rPr>
        <w:t>vivantes. En</w:t>
      </w:r>
      <w:r>
        <w:rPr>
          <w:rFonts w:ascii="Helvetica" w:hAnsi="Helvetica"/>
          <w:color w:val="333333"/>
          <w:sz w:val="23"/>
          <w:szCs w:val="23"/>
          <w:lang w:val="fr-FR"/>
        </w:rPr>
        <w:t xml:space="preserve"> </w:t>
      </w:r>
      <w:r w:rsidRPr="00413869">
        <w:rPr>
          <w:lang w:val="fr-FR"/>
        </w:rPr>
        <w:t xml:space="preserve">maintenant les DTS </w:t>
      </w:r>
      <w:r w:rsidR="00390508" w:rsidRPr="00413869">
        <w:rPr>
          <w:lang w:val="fr-FR"/>
        </w:rPr>
        <w:t>à</w:t>
      </w:r>
      <w:r w:rsidR="00A945AB" w:rsidRPr="00413869">
        <w:rPr>
          <w:lang w:val="fr-FR"/>
        </w:rPr>
        <w:t xml:space="preserve"> un niveau constant, si la </w:t>
      </w:r>
      <w:r w:rsidRPr="00413869">
        <w:rPr>
          <w:lang w:val="fr-FR"/>
        </w:rPr>
        <w:t>p</w:t>
      </w:r>
      <w:r w:rsidR="00A945AB" w:rsidRPr="00413869">
        <w:rPr>
          <w:lang w:val="fr-FR"/>
        </w:rPr>
        <w:t>a</w:t>
      </w:r>
      <w:r w:rsidRPr="00413869">
        <w:rPr>
          <w:lang w:val="fr-FR"/>
        </w:rPr>
        <w:t>rt correspondant au financement mis en commun augment</w:t>
      </w:r>
      <w:r w:rsidR="00390508" w:rsidRPr="00413869">
        <w:rPr>
          <w:lang w:val="fr-FR"/>
        </w:rPr>
        <w:t>e</w:t>
      </w:r>
      <w:r w:rsidRPr="00413869">
        <w:rPr>
          <w:lang w:val="fr-FR"/>
        </w:rPr>
        <w:t xml:space="preserve"> de 10 points de pourcentage, on estime que le TM5 diminuerait de 15 </w:t>
      </w:r>
      <w:r w:rsidR="00BF588E" w:rsidRPr="00413869">
        <w:rPr>
          <w:lang w:val="fr-FR"/>
        </w:rPr>
        <w:t>décès</w:t>
      </w:r>
      <w:r w:rsidRPr="00413869">
        <w:rPr>
          <w:lang w:val="fr-FR"/>
        </w:rPr>
        <w:t xml:space="preserve"> pour 1000 naissances vivantes en moins. </w:t>
      </w:r>
    </w:p>
    <w:p w14:paraId="55024E40" w14:textId="6ADF5687" w:rsidR="000B4955" w:rsidRPr="00413869" w:rsidRDefault="000B4955" w:rsidP="000B4955">
      <w:pPr>
        <w:rPr>
          <w:lang w:val="fr-FR"/>
        </w:rPr>
      </w:pPr>
      <w:r w:rsidRPr="00413869">
        <w:rPr>
          <w:lang w:val="fr-FR"/>
        </w:rPr>
        <w:t xml:space="preserve">Chaque million de dollar </w:t>
      </w:r>
      <w:r w:rsidR="008D0512" w:rsidRPr="00413869">
        <w:rPr>
          <w:lang w:val="fr-FR"/>
        </w:rPr>
        <w:t>supplémentaire</w:t>
      </w:r>
      <w:r w:rsidRPr="00413869">
        <w:rPr>
          <w:lang w:val="fr-FR"/>
        </w:rPr>
        <w:t xml:space="preserve"> investi dans une approche favorable </w:t>
      </w:r>
      <w:r w:rsidR="00977976" w:rsidRPr="00413869">
        <w:rPr>
          <w:lang w:val="fr-FR"/>
        </w:rPr>
        <w:t>à</w:t>
      </w:r>
      <w:r w:rsidRPr="00413869">
        <w:rPr>
          <w:lang w:val="fr-FR"/>
        </w:rPr>
        <w:t xml:space="preserve"> l’</w:t>
      </w:r>
      <w:r w:rsidR="008D0512" w:rsidRPr="00413869">
        <w:rPr>
          <w:lang w:val="fr-FR"/>
        </w:rPr>
        <w:t>équité</w:t>
      </w:r>
      <w:r w:rsidRPr="00413869">
        <w:rPr>
          <w:lang w:val="fr-FR"/>
        </w:rPr>
        <w:t xml:space="preserve"> plutôt que dans la voie actuellement </w:t>
      </w:r>
      <w:r w:rsidR="008D0512" w:rsidRPr="00413869">
        <w:rPr>
          <w:lang w:val="fr-FR"/>
        </w:rPr>
        <w:t>empruntée</w:t>
      </w:r>
      <w:r w:rsidRPr="00413869">
        <w:rPr>
          <w:lang w:val="fr-FR"/>
        </w:rPr>
        <w:t xml:space="preserve"> permettrait d’</w:t>
      </w:r>
      <w:r w:rsidR="008D0512" w:rsidRPr="00413869">
        <w:rPr>
          <w:lang w:val="fr-FR"/>
        </w:rPr>
        <w:t>éviter</w:t>
      </w:r>
      <w:r w:rsidRPr="00413869">
        <w:rPr>
          <w:lang w:val="fr-FR"/>
        </w:rPr>
        <w:t xml:space="preserve"> 60% des </w:t>
      </w:r>
      <w:r w:rsidR="008D0512" w:rsidRPr="00413869">
        <w:rPr>
          <w:lang w:val="fr-FR"/>
        </w:rPr>
        <w:t>décès</w:t>
      </w:r>
      <w:r w:rsidRPr="00413869">
        <w:rPr>
          <w:lang w:val="fr-FR"/>
        </w:rPr>
        <w:t xml:space="preserve"> en plus.</w:t>
      </w:r>
    </w:p>
    <w:p w14:paraId="25DAFFD4" w14:textId="28F84220" w:rsidR="000B4955" w:rsidRPr="00413869" w:rsidRDefault="000B4955" w:rsidP="000B4955">
      <w:pPr>
        <w:rPr>
          <w:lang w:val="fr-FR"/>
        </w:rPr>
      </w:pPr>
      <w:r w:rsidRPr="00413869">
        <w:rPr>
          <w:lang w:val="fr-FR"/>
        </w:rPr>
        <w:t xml:space="preserve">Les solutions </w:t>
      </w:r>
      <w:r w:rsidR="00977976" w:rsidRPr="00413869">
        <w:rPr>
          <w:lang w:val="fr-FR"/>
        </w:rPr>
        <w:t>équitables</w:t>
      </w:r>
      <w:r w:rsidRPr="00413869">
        <w:rPr>
          <w:lang w:val="fr-FR"/>
        </w:rPr>
        <w:t xml:space="preserve"> vers la CSU passent par l’augmentation des fonds publics mis en commun pour la sante et un recours moins </w:t>
      </w:r>
      <w:r w:rsidR="00127283" w:rsidRPr="00413869">
        <w:rPr>
          <w:lang w:val="fr-FR"/>
        </w:rPr>
        <w:t>fréquent</w:t>
      </w:r>
      <w:r w:rsidRPr="00413869">
        <w:rPr>
          <w:lang w:val="fr-FR"/>
        </w:rPr>
        <w:t xml:space="preserve"> aux payements directs des usagers. </w:t>
      </w:r>
    </w:p>
    <w:p w14:paraId="465E3014" w14:textId="7202D439" w:rsidR="000B4955" w:rsidRPr="00413869" w:rsidRDefault="00AE2317" w:rsidP="007E707C">
      <w:pPr>
        <w:jc w:val="both"/>
        <w:rPr>
          <w:lang w:val="fr-FR"/>
        </w:rPr>
      </w:pPr>
      <w:r>
        <w:rPr>
          <w:lang w:val="fr-FR"/>
        </w:rPr>
        <w:t xml:space="preserve">Le cout de l’inaction est </w:t>
      </w:r>
      <w:r w:rsidR="00127283">
        <w:rPr>
          <w:lang w:val="fr-FR"/>
        </w:rPr>
        <w:t>élevé</w:t>
      </w:r>
      <w:r>
        <w:rPr>
          <w:lang w:val="fr-FR"/>
        </w:rPr>
        <w:t xml:space="preserve">. En effet, </w:t>
      </w:r>
      <w:r w:rsidR="008D0512">
        <w:rPr>
          <w:lang w:val="fr-FR"/>
        </w:rPr>
        <w:t xml:space="preserve">l’inaction </w:t>
      </w:r>
      <w:r>
        <w:rPr>
          <w:lang w:val="fr-FR"/>
        </w:rPr>
        <w:t xml:space="preserve">peut conduire à des </w:t>
      </w:r>
      <w:r w:rsidRPr="00282EDC">
        <w:rPr>
          <w:lang w:val="fr-FR"/>
        </w:rPr>
        <w:t>conséquences négatives gra</w:t>
      </w:r>
      <w:r w:rsidR="00E035B1">
        <w:rPr>
          <w:lang w:val="fr-FR"/>
        </w:rPr>
        <w:t xml:space="preserve">ves </w:t>
      </w:r>
      <w:r w:rsidRPr="00282EDC">
        <w:rPr>
          <w:lang w:val="fr-FR"/>
        </w:rPr>
        <w:t xml:space="preserve">— pour les individus, l’économie et la société. </w:t>
      </w:r>
      <w:r w:rsidR="00127283">
        <w:rPr>
          <w:lang w:val="fr-FR"/>
        </w:rPr>
        <w:t>L</w:t>
      </w:r>
      <w:r w:rsidRPr="00282EDC">
        <w:rPr>
          <w:lang w:val="fr-FR"/>
        </w:rPr>
        <w:t xml:space="preserve">e coût de l’omission de répondre aux besoins </w:t>
      </w:r>
      <w:r w:rsidR="00127283">
        <w:rPr>
          <w:lang w:val="fr-FR"/>
        </w:rPr>
        <w:t xml:space="preserve">de santé </w:t>
      </w:r>
      <w:r w:rsidRPr="00282EDC">
        <w:rPr>
          <w:lang w:val="fr-FR"/>
        </w:rPr>
        <w:t xml:space="preserve">des enfants et </w:t>
      </w:r>
      <w:r w:rsidR="00127283">
        <w:rPr>
          <w:lang w:val="fr-FR"/>
        </w:rPr>
        <w:t xml:space="preserve">de </w:t>
      </w:r>
      <w:r w:rsidRPr="00282EDC">
        <w:rPr>
          <w:lang w:val="fr-FR"/>
        </w:rPr>
        <w:t>leurs familles</w:t>
      </w:r>
      <w:r w:rsidR="00127283">
        <w:rPr>
          <w:lang w:val="fr-FR"/>
        </w:rPr>
        <w:t xml:space="preserve"> est plus élevé en rapport au cout-avantage des actions menées</w:t>
      </w:r>
      <w:r w:rsidRPr="00282EDC">
        <w:rPr>
          <w:lang w:val="fr-FR"/>
        </w:rPr>
        <w:t xml:space="preserve">. </w:t>
      </w:r>
      <w:r w:rsidR="00127283" w:rsidRPr="00413869">
        <w:endnoteReference w:id="3"/>
      </w:r>
      <w:r w:rsidR="00E035B1">
        <w:rPr>
          <w:lang w:val="fr-FR"/>
        </w:rPr>
        <w:t xml:space="preserve">. Au fil des ans, si l’on ne remédie pas à ces iniquités elles couteront de plus en plus cher à </w:t>
      </w:r>
      <w:r w:rsidR="00E035B1">
        <w:rPr>
          <w:lang w:val="fr-FR"/>
        </w:rPr>
        <w:lastRenderedPageBreak/>
        <w:t xml:space="preserve">la société du capital humain productif et en bonne santé. Cela aura des conséquences sur le paysage du développement et  nuira aux efforts à atteindre les objectifs de réduction de la pauvreté. </w:t>
      </w:r>
    </w:p>
    <w:p w14:paraId="4C2B335F" w14:textId="25CC4389" w:rsidR="00F7448D" w:rsidRPr="00413869" w:rsidRDefault="00F7448D" w:rsidP="007E707C">
      <w:pPr>
        <w:jc w:val="both"/>
        <w:rPr>
          <w:lang w:val="fr-FR"/>
        </w:rPr>
      </w:pPr>
      <w:r w:rsidRPr="00413869">
        <w:rPr>
          <w:lang w:val="fr-FR"/>
        </w:rPr>
        <w:t xml:space="preserve">Les investissements dans le </w:t>
      </w:r>
      <w:r w:rsidR="007B3217" w:rsidRPr="00413869">
        <w:rPr>
          <w:lang w:val="fr-FR"/>
        </w:rPr>
        <w:t>système</w:t>
      </w:r>
      <w:r w:rsidRPr="00413869">
        <w:rPr>
          <w:lang w:val="fr-FR"/>
        </w:rPr>
        <w:t xml:space="preserve"> de santé </w:t>
      </w:r>
      <w:r w:rsidR="007B3217" w:rsidRPr="00413869">
        <w:rPr>
          <w:lang w:val="fr-FR"/>
        </w:rPr>
        <w:t>présentent</w:t>
      </w:r>
      <w:r w:rsidRPr="00413869">
        <w:rPr>
          <w:lang w:val="fr-FR"/>
        </w:rPr>
        <w:t xml:space="preserve"> </w:t>
      </w:r>
      <w:r w:rsidR="007B3217" w:rsidRPr="00413869">
        <w:rPr>
          <w:lang w:val="fr-FR"/>
        </w:rPr>
        <w:t>également</w:t>
      </w:r>
      <w:r w:rsidRPr="00413869">
        <w:rPr>
          <w:lang w:val="fr-FR"/>
        </w:rPr>
        <w:t xml:space="preserve"> des effets multiplicateurs qui favorisent une croissance </w:t>
      </w:r>
      <w:r w:rsidR="007B3217" w:rsidRPr="00413869">
        <w:rPr>
          <w:lang w:val="fr-FR"/>
        </w:rPr>
        <w:t>économique</w:t>
      </w:r>
      <w:r w:rsidRPr="00413869">
        <w:rPr>
          <w:lang w:val="fr-FR"/>
        </w:rPr>
        <w:t xml:space="preserve"> inclusive, notamment via la </w:t>
      </w:r>
      <w:r w:rsidR="007B3217" w:rsidRPr="00413869">
        <w:rPr>
          <w:lang w:val="fr-FR"/>
        </w:rPr>
        <w:t>création</w:t>
      </w:r>
      <w:r w:rsidRPr="00413869">
        <w:rPr>
          <w:lang w:val="fr-FR"/>
        </w:rPr>
        <w:t xml:space="preserve"> d’emplois </w:t>
      </w:r>
      <w:r w:rsidR="007B3217" w:rsidRPr="00413869">
        <w:rPr>
          <w:lang w:val="fr-FR"/>
        </w:rPr>
        <w:t>décents</w:t>
      </w:r>
      <w:r w:rsidRPr="00413869">
        <w:rPr>
          <w:lang w:val="fr-FR"/>
        </w:rPr>
        <w:t xml:space="preserve">. Le secteur de la santé est un secteur </w:t>
      </w:r>
      <w:r w:rsidR="007B3217" w:rsidRPr="00413869">
        <w:rPr>
          <w:lang w:val="fr-FR"/>
        </w:rPr>
        <w:t>économique</w:t>
      </w:r>
      <w:r w:rsidRPr="00413869">
        <w:rPr>
          <w:lang w:val="fr-FR"/>
        </w:rPr>
        <w:t xml:space="preserve"> </w:t>
      </w:r>
      <w:r w:rsidR="007B3217" w:rsidRPr="00413869">
        <w:rPr>
          <w:lang w:val="fr-FR"/>
        </w:rPr>
        <w:t>clé</w:t>
      </w:r>
      <w:r w:rsidRPr="00413869">
        <w:rPr>
          <w:lang w:val="fr-FR"/>
        </w:rPr>
        <w:t xml:space="preserve">, </w:t>
      </w:r>
      <w:r w:rsidR="007B3217" w:rsidRPr="00413869">
        <w:rPr>
          <w:lang w:val="fr-FR"/>
        </w:rPr>
        <w:t>créateur</w:t>
      </w:r>
      <w:r w:rsidRPr="00413869">
        <w:rPr>
          <w:lang w:val="fr-FR"/>
        </w:rPr>
        <w:t xml:space="preserve"> d’emplois. L’envergure </w:t>
      </w:r>
      <w:r w:rsidR="007B3217" w:rsidRPr="00413869">
        <w:rPr>
          <w:lang w:val="fr-FR"/>
        </w:rPr>
        <w:t>cumulée</w:t>
      </w:r>
      <w:r w:rsidRPr="00413869">
        <w:rPr>
          <w:lang w:val="fr-FR"/>
        </w:rPr>
        <w:t xml:space="preserve"> du</w:t>
      </w:r>
      <w:r w:rsidRPr="00F7448D">
        <w:rPr>
          <w:rFonts w:eastAsia="Times New Roman" w:cs="Times New Roman"/>
          <w:color w:val="000000"/>
          <w:lang w:val="fr-FR" w:eastAsia="en-GB"/>
        </w:rPr>
        <w:t xml:space="preserve"> </w:t>
      </w:r>
      <w:r w:rsidRPr="00413869">
        <w:rPr>
          <w:lang w:val="fr-FR"/>
        </w:rPr>
        <w:t>secteur dans le monde s’</w:t>
      </w:r>
      <w:r w:rsidR="007B3217" w:rsidRPr="00413869">
        <w:rPr>
          <w:lang w:val="fr-FR"/>
        </w:rPr>
        <w:t>élève</w:t>
      </w:r>
      <w:r w:rsidRPr="00413869">
        <w:rPr>
          <w:lang w:val="fr-FR"/>
        </w:rPr>
        <w:t xml:space="preserve"> à plus de 5 800 milliards de dollars US par an.</w:t>
      </w:r>
      <w:r w:rsidR="007E707C" w:rsidRPr="00413869">
        <w:rPr>
          <w:lang w:val="fr-FR"/>
        </w:rPr>
        <w:t xml:space="preserve"> </w:t>
      </w:r>
      <w:r w:rsidRPr="00413869">
        <w:rPr>
          <w:lang w:val="fr-FR"/>
        </w:rPr>
        <w:t xml:space="preserve">Les estimations disponibles </w:t>
      </w:r>
      <w:r w:rsidR="007B3217" w:rsidRPr="00413869">
        <w:rPr>
          <w:lang w:val="fr-FR"/>
        </w:rPr>
        <w:t>suggèrent</w:t>
      </w:r>
      <w:r w:rsidRPr="00413869">
        <w:rPr>
          <w:lang w:val="fr-FR"/>
        </w:rPr>
        <w:t xml:space="preserve"> que, dans le monde, chaque </w:t>
      </w:r>
      <w:r w:rsidR="007B3217" w:rsidRPr="00413869">
        <w:rPr>
          <w:lang w:val="fr-FR"/>
        </w:rPr>
        <w:t>employé</w:t>
      </w:r>
      <w:r w:rsidRPr="00413869">
        <w:rPr>
          <w:lang w:val="fr-FR"/>
        </w:rPr>
        <w:t xml:space="preserve"> formé à une profession de santé est </w:t>
      </w:r>
      <w:r w:rsidR="007B3217" w:rsidRPr="00413869">
        <w:rPr>
          <w:lang w:val="fr-FR"/>
        </w:rPr>
        <w:t>accompagné</w:t>
      </w:r>
      <w:r w:rsidRPr="00413869">
        <w:rPr>
          <w:lang w:val="fr-FR"/>
        </w:rPr>
        <w:t xml:space="preserve"> d’un à deux autres </w:t>
      </w:r>
      <w:r w:rsidR="007B3217" w:rsidRPr="00413869">
        <w:rPr>
          <w:lang w:val="fr-FR"/>
        </w:rPr>
        <w:t>employés</w:t>
      </w:r>
      <w:r w:rsidRPr="00413869">
        <w:rPr>
          <w:lang w:val="fr-FR"/>
        </w:rPr>
        <w:t xml:space="preserve"> (dans l’administration, l’assurance, la  </w:t>
      </w:r>
      <w:r w:rsidR="007B3217" w:rsidRPr="00413869">
        <w:rPr>
          <w:lang w:val="fr-FR"/>
        </w:rPr>
        <w:t>nuance</w:t>
      </w:r>
      <w:r w:rsidRPr="00413869">
        <w:rPr>
          <w:lang w:val="fr-FR"/>
        </w:rPr>
        <w:t>, les services de nettoyage et de restauration, les technologies de l’information et le transport, entre autres</w:t>
      </w:r>
      <w:r w:rsidR="007B3217" w:rsidRPr="00413869">
        <w:rPr>
          <w:lang w:val="fr-FR"/>
        </w:rPr>
        <w:t>)</w:t>
      </w:r>
      <w:r w:rsidRPr="00413869">
        <w:rPr>
          <w:lang w:val="fr-FR"/>
        </w:rPr>
        <w:t>.</w:t>
      </w:r>
    </w:p>
    <w:p w14:paraId="305EA598" w14:textId="77777777" w:rsidR="00F7448D" w:rsidRPr="00413869" w:rsidRDefault="00F337ED" w:rsidP="00F76768">
      <w:pPr>
        <w:spacing w:after="0" w:line="240" w:lineRule="auto"/>
        <w:jc w:val="both"/>
        <w:rPr>
          <w:lang w:val="fr-FR"/>
        </w:rPr>
      </w:pPr>
      <w:r w:rsidRPr="00413869">
        <w:rPr>
          <w:lang w:val="fr-FR"/>
        </w:rPr>
        <w:t>En réponse au climat</w:t>
      </w:r>
      <w:r w:rsidR="004279C3" w:rsidRPr="00413869">
        <w:rPr>
          <w:lang w:val="fr-FR"/>
        </w:rPr>
        <w:t xml:space="preserve"> économique actuel, les Nations </w:t>
      </w:r>
      <w:r w:rsidRPr="00413869">
        <w:rPr>
          <w:lang w:val="fr-FR"/>
        </w:rPr>
        <w:t xml:space="preserve">Unies, le Fonds monétaire international, le G20, le G7 et nombre d’autres instances internationales enjoignent les pouvoirs publics à assouplir les mesures d’austérité en faveur de politiques d’expansion budgétaire, qui priorisent les investissements dans la création d’emploi comme un moyen de créer une croissance inclusive. </w:t>
      </w:r>
      <w:r w:rsidR="007E707C" w:rsidRPr="00413869">
        <w:rPr>
          <w:lang w:val="fr-FR"/>
        </w:rPr>
        <w:t>Les investissements dans les systèmes de santé, notamment dans les ressources humaines en santé, soutienne</w:t>
      </w:r>
      <w:r w:rsidRPr="00413869">
        <w:rPr>
          <w:lang w:val="fr-FR"/>
        </w:rPr>
        <w:t>nt la croissance économique, outre l’emploi, et la production, mais aussi par le biais de la</w:t>
      </w:r>
      <w:r w:rsidR="007E707C" w:rsidRPr="00413869">
        <w:rPr>
          <w:lang w:val="fr-FR"/>
        </w:rPr>
        <w:t xml:space="preserve"> protection et cohésion sociales. </w:t>
      </w:r>
      <w:r w:rsidRPr="00413869">
        <w:rPr>
          <w:lang w:val="fr-FR"/>
        </w:rPr>
        <w:t>Ainsi, c</w:t>
      </w:r>
      <w:r w:rsidR="007B3217" w:rsidRPr="00413869">
        <w:rPr>
          <w:lang w:val="fr-FR"/>
        </w:rPr>
        <w:t>oncrètement</w:t>
      </w:r>
      <w:r w:rsidR="00F7448D" w:rsidRPr="00413869">
        <w:rPr>
          <w:lang w:val="fr-FR"/>
        </w:rPr>
        <w:t xml:space="preserve">, </w:t>
      </w:r>
      <w:r w:rsidRPr="00413869">
        <w:rPr>
          <w:lang w:val="fr-FR"/>
        </w:rPr>
        <w:t xml:space="preserve">par exemple, </w:t>
      </w:r>
      <w:r w:rsidR="00F7448D" w:rsidRPr="00413869">
        <w:rPr>
          <w:lang w:val="fr-FR"/>
        </w:rPr>
        <w:t xml:space="preserve">la protection </w:t>
      </w:r>
      <w:r w:rsidRPr="00413869">
        <w:rPr>
          <w:lang w:val="fr-FR"/>
        </w:rPr>
        <w:t xml:space="preserve">contribue à </w:t>
      </w:r>
      <w:r w:rsidR="007B3217" w:rsidRPr="00413869">
        <w:rPr>
          <w:lang w:val="fr-FR"/>
        </w:rPr>
        <w:t>rédui</w:t>
      </w:r>
      <w:r w:rsidRPr="00413869">
        <w:rPr>
          <w:lang w:val="fr-FR"/>
        </w:rPr>
        <w:t>re</w:t>
      </w:r>
      <w:r w:rsidR="00F7448D" w:rsidRPr="00413869">
        <w:rPr>
          <w:lang w:val="fr-FR"/>
        </w:rPr>
        <w:t xml:space="preserve"> les facteurs </w:t>
      </w:r>
      <w:r w:rsidR="007B3217" w:rsidRPr="00413869">
        <w:rPr>
          <w:lang w:val="fr-FR"/>
        </w:rPr>
        <w:t>clés</w:t>
      </w:r>
      <w:r w:rsidR="00F7448D" w:rsidRPr="00413869">
        <w:rPr>
          <w:lang w:val="fr-FR"/>
        </w:rPr>
        <w:t xml:space="preserve"> d’appauvrissement et de </w:t>
      </w:r>
      <w:r w:rsidR="007B3217" w:rsidRPr="00413869">
        <w:rPr>
          <w:lang w:val="fr-FR"/>
        </w:rPr>
        <w:t>vulnérabilité</w:t>
      </w:r>
      <w:r w:rsidR="00F7448D" w:rsidRPr="00413869">
        <w:rPr>
          <w:lang w:val="fr-FR"/>
        </w:rPr>
        <w:t xml:space="preserve">́ </w:t>
      </w:r>
      <w:r w:rsidR="007B3217" w:rsidRPr="00413869">
        <w:rPr>
          <w:lang w:val="fr-FR"/>
        </w:rPr>
        <w:t>économique</w:t>
      </w:r>
      <w:r w:rsidR="007E707C" w:rsidRPr="00413869">
        <w:rPr>
          <w:lang w:val="fr-FR"/>
        </w:rPr>
        <w:t xml:space="preserve"> e</w:t>
      </w:r>
      <w:r w:rsidR="007B3217" w:rsidRPr="00413869">
        <w:rPr>
          <w:lang w:val="fr-FR"/>
        </w:rPr>
        <w:t>t</w:t>
      </w:r>
      <w:r w:rsidR="00F7448D" w:rsidRPr="00413869">
        <w:rPr>
          <w:lang w:val="fr-FR"/>
        </w:rPr>
        <w:t xml:space="preserve"> favorise</w:t>
      </w:r>
      <w:r w:rsidRPr="00413869">
        <w:rPr>
          <w:lang w:val="fr-FR"/>
        </w:rPr>
        <w:t xml:space="preserve"> </w:t>
      </w:r>
      <w:r w:rsidR="00F7448D" w:rsidRPr="00413869">
        <w:rPr>
          <w:lang w:val="fr-FR"/>
        </w:rPr>
        <w:t>la consommation et l’</w:t>
      </w:r>
      <w:r w:rsidR="007B3217" w:rsidRPr="00413869">
        <w:rPr>
          <w:lang w:val="fr-FR"/>
        </w:rPr>
        <w:t>épargne</w:t>
      </w:r>
      <w:r w:rsidR="00F7448D" w:rsidRPr="00413869">
        <w:rPr>
          <w:lang w:val="fr-FR"/>
        </w:rPr>
        <w:t xml:space="preserve">. En </w:t>
      </w:r>
      <w:r w:rsidR="007B3217" w:rsidRPr="00413869">
        <w:rPr>
          <w:lang w:val="fr-FR"/>
        </w:rPr>
        <w:t>conséquence</w:t>
      </w:r>
      <w:r w:rsidR="00F7448D" w:rsidRPr="00413869">
        <w:rPr>
          <w:lang w:val="fr-FR"/>
        </w:rPr>
        <w:t xml:space="preserve">, ils promeuvent à la fois la croissance </w:t>
      </w:r>
      <w:r w:rsidR="007B3217" w:rsidRPr="00413869">
        <w:rPr>
          <w:lang w:val="fr-FR"/>
        </w:rPr>
        <w:t>économique</w:t>
      </w:r>
      <w:r w:rsidR="00F7448D" w:rsidRPr="00413869">
        <w:rPr>
          <w:lang w:val="fr-FR"/>
        </w:rPr>
        <w:t xml:space="preserve"> et sa </w:t>
      </w:r>
      <w:r w:rsidRPr="00413869">
        <w:rPr>
          <w:lang w:val="fr-FR"/>
        </w:rPr>
        <w:t>pérennité</w:t>
      </w:r>
      <w:r w:rsidR="00F7448D" w:rsidRPr="00413869">
        <w:rPr>
          <w:lang w:val="fr-FR"/>
        </w:rPr>
        <w:t>.</w:t>
      </w:r>
    </w:p>
    <w:p w14:paraId="3A038924" w14:textId="77777777" w:rsidR="00FE2F4B" w:rsidRPr="00413869" w:rsidRDefault="00F7448D" w:rsidP="0009142B">
      <w:pPr>
        <w:spacing w:after="240" w:line="240" w:lineRule="auto"/>
        <w:jc w:val="both"/>
        <w:rPr>
          <w:lang w:val="fr-FR"/>
        </w:rPr>
      </w:pPr>
      <w:r w:rsidRPr="00413869">
        <w:rPr>
          <w:lang w:val="fr-FR"/>
        </w:rPr>
        <w:br/>
        <w:t xml:space="preserve">Plusieurs pays ont atteint un premier niveau de couverture universelle en santé – et disposaient, pour cela, des agents de santé </w:t>
      </w:r>
      <w:r w:rsidR="007B3217" w:rsidRPr="00413869">
        <w:rPr>
          <w:lang w:val="fr-FR"/>
        </w:rPr>
        <w:t>nécessaires</w:t>
      </w:r>
      <w:r w:rsidRPr="00413869">
        <w:rPr>
          <w:lang w:val="fr-FR"/>
        </w:rPr>
        <w:t xml:space="preserve"> – lorsque leur revenu </w:t>
      </w:r>
      <w:r w:rsidR="007B3217" w:rsidRPr="00413869">
        <w:rPr>
          <w:lang w:val="fr-FR"/>
        </w:rPr>
        <w:t>était</w:t>
      </w:r>
      <w:r w:rsidRPr="00413869">
        <w:rPr>
          <w:lang w:val="fr-FR"/>
        </w:rPr>
        <w:t xml:space="preserve"> </w:t>
      </w:r>
      <w:r w:rsidR="007B3217" w:rsidRPr="00413869">
        <w:rPr>
          <w:lang w:val="fr-FR"/>
        </w:rPr>
        <w:t>considère</w:t>
      </w:r>
      <w:r w:rsidRPr="00413869">
        <w:rPr>
          <w:lang w:val="fr-FR"/>
        </w:rPr>
        <w:t xml:space="preserve">́ comme faible ou </w:t>
      </w:r>
      <w:r w:rsidR="007B3217" w:rsidRPr="00413869">
        <w:rPr>
          <w:lang w:val="fr-FR"/>
        </w:rPr>
        <w:t>intermédiaire</w:t>
      </w:r>
      <w:r w:rsidRPr="00413869">
        <w:rPr>
          <w:lang w:val="fr-FR"/>
        </w:rPr>
        <w:t xml:space="preserve">. Certains pays, comme la Chine et le Vietnam, sont parvenus </w:t>
      </w:r>
      <w:r w:rsidR="007B3217" w:rsidRPr="00413869">
        <w:rPr>
          <w:lang w:val="fr-FR"/>
        </w:rPr>
        <w:t>à</w:t>
      </w:r>
      <w:r w:rsidRPr="00413869">
        <w:rPr>
          <w:lang w:val="fr-FR"/>
        </w:rPr>
        <w:t xml:space="preserve"> des niveaux </w:t>
      </w:r>
      <w:r w:rsidR="007B3217" w:rsidRPr="00413869">
        <w:rPr>
          <w:lang w:val="fr-FR"/>
        </w:rPr>
        <w:t>élevés</w:t>
      </w:r>
      <w:r w:rsidRPr="00413869">
        <w:rPr>
          <w:lang w:val="fr-FR"/>
        </w:rPr>
        <w:t xml:space="preserve"> d’</w:t>
      </w:r>
      <w:r w:rsidR="007B3217" w:rsidRPr="00413869">
        <w:rPr>
          <w:lang w:val="fr-FR"/>
        </w:rPr>
        <w:t>équité</w:t>
      </w:r>
      <w:r w:rsidRPr="00413869">
        <w:rPr>
          <w:lang w:val="fr-FR"/>
        </w:rPr>
        <w:t xml:space="preserve"> en </w:t>
      </w:r>
      <w:r w:rsidR="007B3217" w:rsidRPr="00413869">
        <w:rPr>
          <w:lang w:val="fr-FR"/>
        </w:rPr>
        <w:t>matière</w:t>
      </w:r>
      <w:r w:rsidRPr="00413869">
        <w:rPr>
          <w:lang w:val="fr-FR"/>
        </w:rPr>
        <w:t xml:space="preserve"> de prestation de services et de protection alors qu’ils </w:t>
      </w:r>
      <w:r w:rsidR="007B3217" w:rsidRPr="00413869">
        <w:rPr>
          <w:lang w:val="fr-FR"/>
        </w:rPr>
        <w:t>étaient</w:t>
      </w:r>
      <w:r w:rsidRPr="00413869">
        <w:rPr>
          <w:lang w:val="fr-FR"/>
        </w:rPr>
        <w:t xml:space="preserve"> des pays à faible revenu. </w:t>
      </w:r>
      <w:r w:rsidR="007E707C" w:rsidRPr="00413869">
        <w:rPr>
          <w:lang w:val="fr-FR"/>
        </w:rPr>
        <w:t>Enfin, l’inaction a un cout et augmente les risques pesant sur la croissance</w:t>
      </w:r>
      <w:r w:rsidR="00F337ED" w:rsidRPr="00413869">
        <w:rPr>
          <w:lang w:val="fr-FR"/>
        </w:rPr>
        <w:t>. En effet, en l’absence d’investissement dans les systèmes de couverture de sante universelle, de</w:t>
      </w:r>
      <w:r w:rsidR="007E707C" w:rsidRPr="00413869">
        <w:rPr>
          <w:lang w:val="fr-FR"/>
        </w:rPr>
        <w:t xml:space="preserve"> l</w:t>
      </w:r>
      <w:r w:rsidR="00F337ED" w:rsidRPr="00413869">
        <w:rPr>
          <w:lang w:val="fr-FR"/>
        </w:rPr>
        <w:t xml:space="preserve">arges pans de population restent </w:t>
      </w:r>
      <w:r w:rsidR="007E707C" w:rsidRPr="00413869">
        <w:rPr>
          <w:lang w:val="fr-FR"/>
        </w:rPr>
        <w:t>privé</w:t>
      </w:r>
      <w:r w:rsidR="00F337ED" w:rsidRPr="00413869">
        <w:rPr>
          <w:lang w:val="fr-FR"/>
        </w:rPr>
        <w:t>e</w:t>
      </w:r>
      <w:r w:rsidR="007E707C" w:rsidRPr="00413869">
        <w:rPr>
          <w:lang w:val="fr-FR"/>
        </w:rPr>
        <w:t xml:space="preserve">s des avantages de la protection sociale </w:t>
      </w:r>
      <w:r w:rsidR="00F337ED" w:rsidRPr="00413869">
        <w:rPr>
          <w:lang w:val="fr-FR"/>
        </w:rPr>
        <w:t>voient s’accentuer</w:t>
      </w:r>
      <w:r w:rsidR="007E707C" w:rsidRPr="00413869">
        <w:rPr>
          <w:lang w:val="fr-FR"/>
        </w:rPr>
        <w:t xml:space="preserve"> l’appauvrissement et l</w:t>
      </w:r>
      <w:r w:rsidR="00F337ED" w:rsidRPr="00413869">
        <w:rPr>
          <w:lang w:val="fr-FR"/>
        </w:rPr>
        <w:t>a vulnérabilité́ économique, les</w:t>
      </w:r>
      <w:r w:rsidR="007E707C" w:rsidRPr="00413869">
        <w:rPr>
          <w:lang w:val="fr-FR"/>
        </w:rPr>
        <w:t xml:space="preserve"> inégalités et la cohésion sociale</w:t>
      </w:r>
      <w:r w:rsidR="00F337ED" w:rsidRPr="00413869">
        <w:rPr>
          <w:lang w:val="fr-FR"/>
        </w:rPr>
        <w:t>.</w:t>
      </w:r>
      <w:r w:rsidR="007E707C" w:rsidRPr="00413869">
        <w:rPr>
          <w:lang w:val="fr-FR"/>
        </w:rPr>
        <w:t xml:space="preserve"> Par exemple, on estime que les paiements directs de santé entrainent 150 millions de personnes d</w:t>
      </w:r>
      <w:r w:rsidR="00F337ED" w:rsidRPr="00413869">
        <w:rPr>
          <w:lang w:val="fr-FR"/>
        </w:rPr>
        <w:t xml:space="preserve">ans la pauvreté́ chaque </w:t>
      </w:r>
      <w:r w:rsidR="00CD6429" w:rsidRPr="00413869">
        <w:rPr>
          <w:lang w:val="fr-FR"/>
        </w:rPr>
        <w:t>année</w:t>
      </w:r>
      <w:r w:rsidR="00F337ED" w:rsidRPr="00413869">
        <w:rPr>
          <w:lang w:val="fr-FR"/>
        </w:rPr>
        <w:t xml:space="preserve">. </w:t>
      </w:r>
      <w:r w:rsidR="007E707C" w:rsidRPr="00413869">
        <w:rPr>
          <w:lang w:val="fr-FR"/>
        </w:rPr>
        <w:t>En outre, les inégalités ont un effet néga</w:t>
      </w:r>
      <w:r w:rsidR="00F337ED" w:rsidRPr="00413869">
        <w:rPr>
          <w:lang w:val="fr-FR"/>
        </w:rPr>
        <w:t>tif direct sur la croissance, en ce sens qu’</w:t>
      </w:r>
      <w:r w:rsidR="007E707C" w:rsidRPr="00413869">
        <w:rPr>
          <w:lang w:val="fr-FR"/>
        </w:rPr>
        <w:t xml:space="preserve">une réduction minime des inégalités de revenus entraine une augmentation de la croissance à long terme d’environ 0,1 % du PIB par an. </w:t>
      </w:r>
    </w:p>
    <w:p w14:paraId="34B10A83" w14:textId="153B2756" w:rsidR="00513076" w:rsidRPr="00413869" w:rsidRDefault="00EB3A5D" w:rsidP="0009142B">
      <w:pPr>
        <w:spacing w:after="240" w:line="240" w:lineRule="auto"/>
        <w:jc w:val="both"/>
        <w:rPr>
          <w:lang w:val="fr-FR"/>
        </w:rPr>
      </w:pPr>
      <w:r w:rsidRPr="00413869">
        <w:rPr>
          <w:lang w:val="fr-FR"/>
        </w:rPr>
        <w:t>Sommaire</w:t>
      </w:r>
    </w:p>
    <w:p w14:paraId="1960CC49" w14:textId="7A7C9610" w:rsidR="00EB3A5D" w:rsidRDefault="00EB3A5D" w:rsidP="0009142B">
      <w:pPr>
        <w:spacing w:after="240" w:line="240" w:lineRule="auto"/>
        <w:jc w:val="both"/>
        <w:rPr>
          <w:rFonts w:eastAsia="Times New Roman" w:cs="Times New Roman"/>
          <w:color w:val="000000"/>
          <w:lang w:val="fr-FR" w:eastAsia="en-GB"/>
        </w:rPr>
      </w:pPr>
      <w:r w:rsidRPr="00413869">
        <w:rPr>
          <w:lang w:val="fr-FR"/>
        </w:rPr>
        <w:t>En sommaire, c’est essenti</w:t>
      </w:r>
      <w:r w:rsidR="0022415A">
        <w:rPr>
          <w:lang w:val="fr-FR"/>
        </w:rPr>
        <w:t>e</w:t>
      </w:r>
      <w:r w:rsidRPr="00413869">
        <w:rPr>
          <w:lang w:val="fr-FR"/>
        </w:rPr>
        <w:t xml:space="preserve">l d’investir </w:t>
      </w:r>
      <w:r w:rsidR="00743766" w:rsidRPr="00413869">
        <w:rPr>
          <w:lang w:val="fr-FR"/>
        </w:rPr>
        <w:t>dans</w:t>
      </w:r>
      <w:r w:rsidRPr="00413869">
        <w:rPr>
          <w:lang w:val="fr-FR"/>
        </w:rPr>
        <w:t xml:space="preserve"> le système de santé pour as</w:t>
      </w:r>
      <w:r>
        <w:rPr>
          <w:rFonts w:eastAsia="Times New Roman" w:cs="Times New Roman"/>
          <w:color w:val="000000"/>
          <w:lang w:val="fr-FR" w:eastAsia="en-GB"/>
        </w:rPr>
        <w:t xml:space="preserve">surer que la population malgache </w:t>
      </w:r>
      <w:r w:rsidR="00743766">
        <w:rPr>
          <w:rFonts w:eastAsia="Times New Roman" w:cs="Times New Roman"/>
          <w:color w:val="000000"/>
          <w:lang w:val="fr-FR" w:eastAsia="en-GB"/>
        </w:rPr>
        <w:t>ait</w:t>
      </w:r>
      <w:r>
        <w:rPr>
          <w:rFonts w:eastAsia="Times New Roman" w:cs="Times New Roman"/>
          <w:color w:val="000000"/>
          <w:lang w:val="fr-FR" w:eastAsia="en-GB"/>
        </w:rPr>
        <w:t xml:space="preserve"> la protection financière </w:t>
      </w:r>
      <w:r w:rsidR="00743766">
        <w:rPr>
          <w:rFonts w:eastAsia="Times New Roman" w:cs="Times New Roman"/>
          <w:color w:val="000000"/>
          <w:lang w:val="fr-FR" w:eastAsia="en-GB"/>
        </w:rPr>
        <w:t xml:space="preserve">pour </w:t>
      </w:r>
      <w:r>
        <w:rPr>
          <w:rFonts w:eastAsia="Times New Roman" w:cs="Times New Roman"/>
          <w:color w:val="000000"/>
          <w:lang w:val="fr-FR" w:eastAsia="en-GB"/>
        </w:rPr>
        <w:t xml:space="preserve">accéder et utiliser </w:t>
      </w:r>
      <w:r w:rsidR="00743766">
        <w:rPr>
          <w:rFonts w:eastAsia="Times New Roman" w:cs="Times New Roman"/>
          <w:color w:val="000000"/>
          <w:lang w:val="fr-FR" w:eastAsia="en-GB"/>
        </w:rPr>
        <w:t>l</w:t>
      </w:r>
      <w:r>
        <w:rPr>
          <w:rFonts w:eastAsia="Times New Roman" w:cs="Times New Roman"/>
          <w:color w:val="000000"/>
          <w:lang w:val="fr-FR" w:eastAsia="en-GB"/>
        </w:rPr>
        <w:t>es soins de santé de qualité</w:t>
      </w:r>
      <w:r w:rsidR="00743766">
        <w:rPr>
          <w:rFonts w:eastAsia="Times New Roman" w:cs="Times New Roman"/>
          <w:color w:val="000000"/>
          <w:lang w:val="fr-FR" w:eastAsia="en-GB"/>
        </w:rPr>
        <w:t>. L</w:t>
      </w:r>
      <w:r w:rsidR="00D13E95">
        <w:rPr>
          <w:rFonts w:eastAsia="Times New Roman" w:cs="Times New Roman"/>
          <w:color w:val="000000"/>
          <w:lang w:val="fr-FR" w:eastAsia="en-GB"/>
        </w:rPr>
        <w:t xml:space="preserve">’impact sera </w:t>
      </w:r>
      <w:r w:rsidR="00030091">
        <w:rPr>
          <w:rFonts w:eastAsia="Times New Roman" w:cs="Times New Roman"/>
          <w:color w:val="000000"/>
          <w:lang w:val="fr-FR" w:eastAsia="en-GB"/>
        </w:rPr>
        <w:t xml:space="preserve">attendu </w:t>
      </w:r>
      <w:r w:rsidR="00D13E95">
        <w:rPr>
          <w:rFonts w:eastAsia="Times New Roman" w:cs="Times New Roman"/>
          <w:color w:val="000000"/>
          <w:lang w:val="fr-FR" w:eastAsia="en-GB"/>
        </w:rPr>
        <w:t>à court</w:t>
      </w:r>
      <w:r w:rsidR="00743766">
        <w:rPr>
          <w:rFonts w:eastAsia="Times New Roman" w:cs="Times New Roman"/>
          <w:color w:val="000000"/>
          <w:lang w:val="fr-FR" w:eastAsia="en-GB"/>
        </w:rPr>
        <w:t xml:space="preserve"> et </w:t>
      </w:r>
      <w:r w:rsidR="008552AD">
        <w:rPr>
          <w:rFonts w:eastAsia="Times New Roman" w:cs="Times New Roman"/>
          <w:color w:val="000000"/>
          <w:lang w:val="fr-FR" w:eastAsia="en-GB"/>
        </w:rPr>
        <w:t>à</w:t>
      </w:r>
      <w:r w:rsidR="00D13E95">
        <w:rPr>
          <w:rFonts w:eastAsia="Times New Roman" w:cs="Times New Roman"/>
          <w:color w:val="000000"/>
          <w:lang w:val="fr-FR" w:eastAsia="en-GB"/>
        </w:rPr>
        <w:t xml:space="preserve"> long terme</w:t>
      </w:r>
      <w:r w:rsidR="00743766">
        <w:rPr>
          <w:rFonts w:eastAsia="Times New Roman" w:cs="Times New Roman"/>
          <w:color w:val="000000"/>
          <w:lang w:val="fr-FR" w:eastAsia="en-GB"/>
        </w:rPr>
        <w:t>s</w:t>
      </w:r>
      <w:r w:rsidR="00D13E95">
        <w:rPr>
          <w:rFonts w:eastAsia="Times New Roman" w:cs="Times New Roman"/>
          <w:color w:val="000000"/>
          <w:lang w:val="fr-FR" w:eastAsia="en-GB"/>
        </w:rPr>
        <w:t xml:space="preserve"> pour la pérennisation du système.</w:t>
      </w:r>
      <w:r w:rsidR="00F554C5">
        <w:rPr>
          <w:rFonts w:eastAsia="Times New Roman" w:cs="Times New Roman"/>
          <w:color w:val="000000"/>
          <w:lang w:val="fr-FR" w:eastAsia="en-GB"/>
        </w:rPr>
        <w:t xml:space="preserve"> </w:t>
      </w:r>
      <w:r w:rsidR="0022415A">
        <w:rPr>
          <w:rFonts w:eastAsia="Times New Roman" w:cs="Times New Roman"/>
          <w:color w:val="000000"/>
          <w:lang w:val="fr-FR" w:eastAsia="en-GB"/>
        </w:rPr>
        <w:t xml:space="preserve">Les </w:t>
      </w:r>
      <w:r w:rsidR="00F554C5">
        <w:rPr>
          <w:rFonts w:eastAsia="Times New Roman" w:cs="Times New Roman"/>
          <w:color w:val="000000"/>
          <w:lang w:val="fr-FR" w:eastAsia="en-GB"/>
        </w:rPr>
        <w:t>allocation</w:t>
      </w:r>
      <w:r w:rsidR="0022415A">
        <w:rPr>
          <w:rFonts w:eastAsia="Times New Roman" w:cs="Times New Roman"/>
          <w:color w:val="000000"/>
          <w:lang w:val="fr-FR" w:eastAsia="en-GB"/>
        </w:rPr>
        <w:t>s</w:t>
      </w:r>
      <w:r w:rsidR="00F554C5">
        <w:rPr>
          <w:rFonts w:eastAsia="Times New Roman" w:cs="Times New Roman"/>
          <w:color w:val="000000"/>
          <w:lang w:val="fr-FR" w:eastAsia="en-GB"/>
        </w:rPr>
        <w:t xml:space="preserve"> </w:t>
      </w:r>
      <w:r w:rsidR="0022415A">
        <w:rPr>
          <w:rFonts w:eastAsia="Times New Roman" w:cs="Times New Roman"/>
          <w:color w:val="000000"/>
          <w:lang w:val="fr-FR" w:eastAsia="en-GB"/>
        </w:rPr>
        <w:t xml:space="preserve">pour </w:t>
      </w:r>
      <w:r w:rsidR="00F554C5">
        <w:rPr>
          <w:rFonts w:eastAsia="Times New Roman" w:cs="Times New Roman"/>
          <w:color w:val="000000"/>
          <w:lang w:val="fr-FR" w:eastAsia="en-GB"/>
        </w:rPr>
        <w:t>la santé doi</w:t>
      </w:r>
      <w:r w:rsidR="0022415A">
        <w:rPr>
          <w:rFonts w:eastAsia="Times New Roman" w:cs="Times New Roman"/>
          <w:color w:val="000000"/>
          <w:lang w:val="fr-FR" w:eastAsia="en-GB"/>
        </w:rPr>
        <w:t>ven</w:t>
      </w:r>
      <w:r w:rsidR="00F554C5">
        <w:rPr>
          <w:rFonts w:eastAsia="Times New Roman" w:cs="Times New Roman"/>
          <w:color w:val="000000"/>
          <w:lang w:val="fr-FR" w:eastAsia="en-GB"/>
        </w:rPr>
        <w:t>t être stratégique</w:t>
      </w:r>
      <w:r w:rsidR="0022415A">
        <w:rPr>
          <w:rFonts w:eastAsia="Times New Roman" w:cs="Times New Roman"/>
          <w:color w:val="000000"/>
          <w:lang w:val="fr-FR" w:eastAsia="en-GB"/>
        </w:rPr>
        <w:t>s</w:t>
      </w:r>
      <w:r w:rsidR="00F554C5">
        <w:rPr>
          <w:rFonts w:eastAsia="Times New Roman" w:cs="Times New Roman"/>
          <w:color w:val="000000"/>
          <w:lang w:val="fr-FR" w:eastAsia="en-GB"/>
        </w:rPr>
        <w:t xml:space="preserve"> et </w:t>
      </w:r>
      <w:r w:rsidR="0022415A">
        <w:rPr>
          <w:rFonts w:eastAsia="Times New Roman" w:cs="Times New Roman"/>
          <w:color w:val="000000"/>
          <w:lang w:val="fr-FR" w:eastAsia="en-GB"/>
        </w:rPr>
        <w:t xml:space="preserve">se </w:t>
      </w:r>
      <w:r w:rsidR="00F554C5">
        <w:rPr>
          <w:rFonts w:eastAsia="Times New Roman" w:cs="Times New Roman"/>
          <w:color w:val="000000"/>
          <w:lang w:val="fr-FR" w:eastAsia="en-GB"/>
        </w:rPr>
        <w:t>concentre</w:t>
      </w:r>
      <w:r w:rsidR="0022415A">
        <w:rPr>
          <w:rFonts w:eastAsia="Times New Roman" w:cs="Times New Roman"/>
          <w:color w:val="000000"/>
          <w:lang w:val="fr-FR" w:eastAsia="en-GB"/>
        </w:rPr>
        <w:t>r</w:t>
      </w:r>
      <w:r w:rsidR="00F554C5">
        <w:rPr>
          <w:rFonts w:eastAsia="Times New Roman" w:cs="Times New Roman"/>
          <w:color w:val="000000"/>
          <w:lang w:val="fr-FR" w:eastAsia="en-GB"/>
        </w:rPr>
        <w:t xml:space="preserve"> sur l’enlèvement des </w:t>
      </w:r>
      <w:r w:rsidR="008552AD">
        <w:rPr>
          <w:rFonts w:eastAsia="Times New Roman" w:cs="Times New Roman"/>
          <w:color w:val="000000"/>
          <w:lang w:val="fr-FR" w:eastAsia="en-GB"/>
        </w:rPr>
        <w:t>barrières</w:t>
      </w:r>
      <w:r w:rsidR="00F554C5">
        <w:rPr>
          <w:rFonts w:eastAsia="Times New Roman" w:cs="Times New Roman"/>
          <w:color w:val="000000"/>
          <w:lang w:val="fr-FR" w:eastAsia="en-GB"/>
        </w:rPr>
        <w:t xml:space="preserve"> à la santé pour les plus pauvres et vulnérables. </w:t>
      </w:r>
    </w:p>
    <w:p w14:paraId="06ED14AB" w14:textId="77777777" w:rsidR="00A456FF" w:rsidRDefault="00A456FF" w:rsidP="0009142B">
      <w:pPr>
        <w:spacing w:after="240" w:line="240" w:lineRule="auto"/>
        <w:jc w:val="both"/>
        <w:rPr>
          <w:rFonts w:eastAsia="Times New Roman" w:cs="Times New Roman"/>
          <w:color w:val="000000"/>
          <w:lang w:val="fr-FR" w:eastAsia="en-GB"/>
        </w:rPr>
      </w:pPr>
    </w:p>
    <w:p w14:paraId="503E85C3" w14:textId="04CD40AB" w:rsidR="00A456FF" w:rsidRDefault="00DB03FB" w:rsidP="0009142B">
      <w:pPr>
        <w:spacing w:after="240" w:line="240" w:lineRule="auto"/>
        <w:jc w:val="both"/>
        <w:rPr>
          <w:rFonts w:eastAsia="Times New Roman" w:cs="Times New Roman"/>
          <w:color w:val="000000"/>
          <w:lang w:val="fr-FR" w:eastAsia="en-GB"/>
        </w:rPr>
      </w:pPr>
      <w:r>
        <w:rPr>
          <w:rFonts w:eastAsia="Times New Roman" w:cs="Times New Roman"/>
          <w:color w:val="000000"/>
          <w:lang w:val="fr-FR" w:eastAsia="en-GB"/>
        </w:rPr>
        <w:t>Références</w:t>
      </w:r>
    </w:p>
    <w:p w14:paraId="1CAAB20C" w14:textId="57C0B541" w:rsidR="00D13E95" w:rsidRPr="008552AD" w:rsidRDefault="00D13E95" w:rsidP="008552AD">
      <w:pPr>
        <w:pStyle w:val="Listenabsatz"/>
        <w:numPr>
          <w:ilvl w:val="0"/>
          <w:numId w:val="6"/>
        </w:numPr>
        <w:spacing w:after="240" w:line="240" w:lineRule="auto"/>
        <w:rPr>
          <w:rFonts w:eastAsia="Times New Roman" w:cs="Times New Roman"/>
          <w:color w:val="000000"/>
          <w:lang w:val="fr-FR" w:eastAsia="en-GB"/>
        </w:rPr>
      </w:pPr>
      <w:r>
        <w:rPr>
          <w:rFonts w:eastAsia="Times New Roman" w:cs="Times New Roman"/>
          <w:color w:val="000000"/>
          <w:lang w:val="fr-FR" w:eastAsia="en-GB"/>
        </w:rPr>
        <w:t>«</w:t>
      </w:r>
      <w:r w:rsidRPr="00EC63BB">
        <w:rPr>
          <w:rFonts w:eastAsia="Times New Roman" w:cs="Times New Roman"/>
          <w:color w:val="000000"/>
          <w:lang w:val="fr-FR" w:eastAsia="en-GB"/>
        </w:rPr>
        <w:t>Financement de la santé et couverture universelle</w:t>
      </w:r>
      <w:r>
        <w:rPr>
          <w:rFonts w:eastAsia="Times New Roman" w:cs="Times New Roman"/>
          <w:color w:val="000000"/>
          <w:lang w:val="fr-FR" w:eastAsia="en-GB"/>
        </w:rPr>
        <w:t xml:space="preserve"> ». Organisation mondiale de la Santé, 2017. Disponible à : </w:t>
      </w:r>
      <w:r w:rsidRPr="004B6B1E">
        <w:rPr>
          <w:rFonts w:eastAsia="Times New Roman" w:cs="Times New Roman"/>
          <w:color w:val="000000"/>
          <w:lang w:val="fr-FR" w:eastAsia="en-GB"/>
        </w:rPr>
        <w:t>http://www.who.int/health_financing/universal_coverage_definition/fr</w:t>
      </w:r>
      <w:r w:rsidR="008552AD" w:rsidRPr="004B6B1E">
        <w:rPr>
          <w:rFonts w:eastAsia="Times New Roman" w:cs="Times New Roman"/>
          <w:color w:val="000000"/>
          <w:lang w:val="fr-FR" w:eastAsia="en-GB"/>
        </w:rPr>
        <w:t>/</w:t>
      </w:r>
      <w:r w:rsidR="008552AD">
        <w:rPr>
          <w:rFonts w:eastAsia="Times New Roman" w:cs="Times New Roman"/>
          <w:color w:val="000000"/>
          <w:lang w:val="fr-FR" w:eastAsia="en-GB"/>
        </w:rPr>
        <w:t>.</w:t>
      </w:r>
    </w:p>
    <w:p w14:paraId="7EE38EE0" w14:textId="731F8E80" w:rsidR="00EB3A5D" w:rsidRPr="008552AD" w:rsidRDefault="00EB3A5D" w:rsidP="00EB3A5D">
      <w:pPr>
        <w:pStyle w:val="Listenabsatz"/>
        <w:numPr>
          <w:ilvl w:val="0"/>
          <w:numId w:val="6"/>
        </w:numPr>
        <w:spacing w:after="240" w:line="240" w:lineRule="auto"/>
        <w:jc w:val="both"/>
        <w:rPr>
          <w:rFonts w:eastAsia="Times New Roman" w:cs="Times New Roman"/>
          <w:color w:val="000000"/>
          <w:lang w:val="en-US" w:eastAsia="en-GB"/>
        </w:rPr>
      </w:pPr>
      <w:r w:rsidRPr="008552AD">
        <w:rPr>
          <w:rFonts w:eastAsia="Times New Roman" w:cs="Times New Roman"/>
          <w:color w:val="000000"/>
          <w:lang w:val="en-US" w:eastAsia="en-GB"/>
        </w:rPr>
        <w:t>High Level Task Force on Innovative Financing for Health Systems, 2009.</w:t>
      </w:r>
    </w:p>
    <w:p w14:paraId="18F53901" w14:textId="77777777" w:rsidR="00017F2B" w:rsidRDefault="00EB3A5D" w:rsidP="008552AD">
      <w:pPr>
        <w:pStyle w:val="Listenabsatz"/>
        <w:numPr>
          <w:ilvl w:val="0"/>
          <w:numId w:val="6"/>
        </w:numPr>
        <w:spacing w:after="240" w:line="240" w:lineRule="auto"/>
        <w:jc w:val="both"/>
        <w:rPr>
          <w:rFonts w:eastAsia="Times New Roman" w:cs="Times New Roman"/>
          <w:color w:val="000000"/>
          <w:lang w:val="en-US" w:eastAsia="en-GB"/>
        </w:rPr>
      </w:pPr>
      <w:r w:rsidRPr="008552AD">
        <w:rPr>
          <w:rFonts w:eastAsia="Times New Roman" w:cs="Times New Roman"/>
          <w:color w:val="000000"/>
          <w:lang w:val="en-US" w:eastAsia="en-GB"/>
        </w:rPr>
        <w:t>Stenberg K, et al (2014) Advancing social and Economic development…Lancet, 2014 :283, 1333-54</w:t>
      </w:r>
    </w:p>
    <w:p w14:paraId="2B89F228" w14:textId="05C0FFA4" w:rsidR="00D13E95" w:rsidRPr="00D13E95" w:rsidRDefault="00D13E95" w:rsidP="00D13E95">
      <w:pPr>
        <w:pStyle w:val="Listenabsatz"/>
        <w:numPr>
          <w:ilvl w:val="0"/>
          <w:numId w:val="6"/>
        </w:numPr>
        <w:rPr>
          <w:lang w:val="fr-FR"/>
        </w:rPr>
      </w:pPr>
      <w:r w:rsidRPr="00D13E95">
        <w:rPr>
          <w:lang w:val="fr-FR"/>
        </w:rPr>
        <w:lastRenderedPageBreak/>
        <w:t>La Banque Mondiale. Aout 2015.Diagnostic Systématique Pays: Madagascar. Disponible sur : http://documents.banquemondiale.org/curated/fr/130511468185962850/pdf/99197-REVISED-FRENCH-Box394822B-PUBLIC-SCD-Madagascar-final-definitif.pdf</w:t>
      </w:r>
    </w:p>
    <w:p w14:paraId="5BFE2954" w14:textId="7B15A2E9" w:rsidR="004B6B1E" w:rsidRPr="008552AD" w:rsidRDefault="00D13E95" w:rsidP="005B5ED1">
      <w:pPr>
        <w:pStyle w:val="Listenabsatz"/>
        <w:numPr>
          <w:ilvl w:val="0"/>
          <w:numId w:val="6"/>
        </w:numPr>
        <w:spacing w:after="240" w:line="240" w:lineRule="auto"/>
        <w:rPr>
          <w:rFonts w:eastAsia="Times New Roman" w:cs="Times New Roman"/>
          <w:color w:val="000000"/>
          <w:lang w:val="fr-FR" w:eastAsia="en-GB"/>
        </w:rPr>
      </w:pPr>
      <w:r>
        <w:rPr>
          <w:rFonts w:eastAsia="Times New Roman" w:cs="Times New Roman"/>
          <w:color w:val="000000"/>
          <w:lang w:val="fr-FR" w:eastAsia="en-GB"/>
        </w:rPr>
        <w:t xml:space="preserve"> </w:t>
      </w:r>
      <w:r w:rsidR="00E72FA1">
        <w:rPr>
          <w:rFonts w:eastAsia="Times New Roman" w:cs="Times New Roman"/>
          <w:color w:val="000000"/>
          <w:lang w:val="fr-FR" w:eastAsia="en-GB"/>
        </w:rPr>
        <w:t>« </w:t>
      </w:r>
      <w:r w:rsidR="00E72FA1" w:rsidRPr="00E72FA1">
        <w:rPr>
          <w:rFonts w:eastAsia="Times New Roman" w:cs="Times New Roman"/>
          <w:color w:val="000000"/>
          <w:lang w:val="fr-FR" w:eastAsia="en-GB"/>
        </w:rPr>
        <w:t>Revue des dépenses publiques</w:t>
      </w:r>
      <w:r>
        <w:rPr>
          <w:rFonts w:eastAsia="Times New Roman" w:cs="Times New Roman"/>
          <w:color w:val="000000"/>
          <w:lang w:val="fr-FR" w:eastAsia="en-GB"/>
        </w:rPr>
        <w:t xml:space="preserve"> </w:t>
      </w:r>
      <w:r w:rsidR="00E72FA1" w:rsidRPr="008552AD">
        <w:rPr>
          <w:rFonts w:eastAsia="Times New Roman" w:cs="Times New Roman"/>
          <w:color w:val="000000"/>
          <w:lang w:val="fr-FR" w:eastAsia="en-GB"/>
        </w:rPr>
        <w:t xml:space="preserve">relatives aux secteurs sociaux ». La Banque Mondiale, 2016. Disponible à : </w:t>
      </w:r>
      <w:hyperlink r:id="rId14" w:history="1">
        <w:r w:rsidR="00652AF9" w:rsidRPr="00D13E95">
          <w:rPr>
            <w:rStyle w:val="Hyperlink"/>
            <w:rFonts w:eastAsia="Times New Roman" w:cs="Times New Roman"/>
            <w:lang w:val="fr-FR" w:eastAsia="en-GB"/>
          </w:rPr>
          <w:t>http://documents.worldbank.org/curated/en/172071468194986393/pdf/98187-FRENCH-PUBLIC-Madagascar-PER-2014-Resume-Executif.pdf</w:t>
        </w:r>
      </w:hyperlink>
    </w:p>
    <w:p w14:paraId="38E40C97" w14:textId="77777777" w:rsidR="00652AF9" w:rsidRPr="008552AD" w:rsidRDefault="00652AF9" w:rsidP="00652AF9">
      <w:pPr>
        <w:pStyle w:val="Listenabsatz"/>
        <w:numPr>
          <w:ilvl w:val="0"/>
          <w:numId w:val="6"/>
        </w:numPr>
        <w:rPr>
          <w:szCs w:val="20"/>
          <w:lang w:val="fr-FR"/>
        </w:rPr>
      </w:pPr>
      <w:r w:rsidRPr="008552AD">
        <w:rPr>
          <w:szCs w:val="20"/>
          <w:lang w:val="fr-FR"/>
        </w:rPr>
        <w:t>Etude HP+: Analyse du système de financement de la santé à Madagascar pour guider de futures réformes, notamment la CSU, Elise Lang, Pascal Saint-Firmin, Agathe Olivetti, Mahefanirina Rakotomalala and Arin Dutta of Health Policy Plus/ USAID, Juillet 2017.</w:t>
      </w:r>
    </w:p>
    <w:p w14:paraId="342A9DB4" w14:textId="520E1A9C" w:rsidR="00652AF9" w:rsidRDefault="00652AF9" w:rsidP="00652AF9">
      <w:pPr>
        <w:pStyle w:val="Listenabsatz"/>
        <w:numPr>
          <w:ilvl w:val="0"/>
          <w:numId w:val="6"/>
        </w:numPr>
        <w:rPr>
          <w:szCs w:val="20"/>
          <w:lang w:val="en-US"/>
        </w:rPr>
      </w:pPr>
      <w:r w:rsidRPr="008552AD">
        <w:rPr>
          <w:szCs w:val="20"/>
          <w:lang w:val="en-US"/>
        </w:rPr>
        <w:t>ENSOMD 2012-2013,</w:t>
      </w:r>
      <w:r w:rsidR="00D13E95">
        <w:rPr>
          <w:szCs w:val="20"/>
          <w:lang w:val="en-US"/>
        </w:rPr>
        <w:t xml:space="preserve"> </w:t>
      </w:r>
      <w:r w:rsidRPr="008552AD">
        <w:rPr>
          <w:szCs w:val="20"/>
          <w:lang w:val="en-US"/>
        </w:rPr>
        <w:t>l’INSTAT.</w:t>
      </w:r>
    </w:p>
    <w:p w14:paraId="13387A21" w14:textId="77777777" w:rsidR="00D13E95" w:rsidRDefault="00D13E95" w:rsidP="00D13E95">
      <w:pPr>
        <w:pStyle w:val="Bullet1"/>
        <w:numPr>
          <w:ilvl w:val="0"/>
          <w:numId w:val="6"/>
        </w:numPr>
        <w:rPr>
          <w:rFonts w:asciiTheme="minorHAnsi" w:hAnsiTheme="minorHAnsi"/>
          <w:lang w:val="fr-FR"/>
        </w:rPr>
      </w:pPr>
      <w:r w:rsidRPr="008552AD">
        <w:rPr>
          <w:rFonts w:asciiTheme="minorHAnsi" w:hAnsiTheme="minorHAnsi"/>
          <w:lang w:val="fr-FR"/>
        </w:rPr>
        <w:t>Service des Statistiques sanitaires et Démographiques, MSANP. Annuaire des statistiques du secteur santé. 2015. MSANP</w:t>
      </w:r>
    </w:p>
    <w:p w14:paraId="65AC5FCD" w14:textId="431AC097" w:rsidR="00A511A9" w:rsidRPr="005B5ED1" w:rsidRDefault="00A511A9" w:rsidP="00A511A9">
      <w:pPr>
        <w:pStyle w:val="Bullet1"/>
        <w:numPr>
          <w:ilvl w:val="0"/>
          <w:numId w:val="6"/>
        </w:numPr>
        <w:rPr>
          <w:rFonts w:asciiTheme="minorHAnsi" w:hAnsiTheme="minorHAnsi"/>
        </w:rPr>
      </w:pPr>
      <w:r w:rsidRPr="00A511A9">
        <w:rPr>
          <w:rFonts w:asciiTheme="minorHAnsi" w:hAnsiTheme="minorHAnsi"/>
          <w:lang w:val="fr-FR"/>
        </w:rPr>
        <w:t xml:space="preserve">Traiter la question de sante et de la mortalité infantiles dans l’optique de l’équité. Il ne suffit pas de continuer comme avant. THE LANCET 362: 233-241. </w:t>
      </w:r>
      <w:r w:rsidR="00977976" w:rsidRPr="005B5ED1">
        <w:rPr>
          <w:rFonts w:asciiTheme="minorHAnsi" w:hAnsiTheme="minorHAnsi"/>
        </w:rPr>
        <w:t xml:space="preserve">VICTORA, C.G., WAGSTAFF, A., SCHELLENBERG, J.A., GWATKIN, D., CLAESON, M., HABICHT, J.P. 2003. </w:t>
      </w:r>
    </w:p>
    <w:p w14:paraId="5FC30F5C" w14:textId="77777777" w:rsidR="00A511A9" w:rsidRPr="00A511A9" w:rsidRDefault="00A511A9" w:rsidP="00A511A9">
      <w:pPr>
        <w:pStyle w:val="Default"/>
        <w:numPr>
          <w:ilvl w:val="0"/>
          <w:numId w:val="6"/>
        </w:numPr>
        <w:rPr>
          <w:rFonts w:asciiTheme="minorHAnsi" w:eastAsia="Times New Roman" w:hAnsiTheme="minorHAnsi" w:cs="Arial"/>
          <w:color w:val="auto"/>
          <w:sz w:val="22"/>
          <w:szCs w:val="22"/>
        </w:rPr>
      </w:pPr>
      <w:r w:rsidRPr="00A511A9">
        <w:rPr>
          <w:rFonts w:asciiTheme="minorHAnsi" w:eastAsia="Times New Roman" w:hAnsiTheme="minorHAnsi" w:cs="Arial"/>
          <w:color w:val="auto"/>
          <w:sz w:val="22"/>
          <w:szCs w:val="22"/>
        </w:rPr>
        <w:t xml:space="preserve">UNICEF, 2010. RÉDUIRE LES ÉCARTS POUR ATTEINDRE LES OBJECTIFS. NEW YORK : UNICEF. </w:t>
      </w:r>
    </w:p>
    <w:p w14:paraId="1F20F219" w14:textId="77777777" w:rsidR="00A511A9" w:rsidRPr="00A511A9" w:rsidRDefault="00A511A9" w:rsidP="00A511A9">
      <w:pPr>
        <w:pStyle w:val="Default"/>
        <w:numPr>
          <w:ilvl w:val="0"/>
          <w:numId w:val="6"/>
        </w:numPr>
        <w:spacing w:after="41"/>
        <w:rPr>
          <w:rFonts w:asciiTheme="minorHAnsi" w:eastAsia="Times New Roman" w:hAnsiTheme="minorHAnsi" w:cs="Arial"/>
          <w:color w:val="auto"/>
          <w:sz w:val="22"/>
          <w:szCs w:val="22"/>
        </w:rPr>
      </w:pPr>
      <w:r w:rsidRPr="00A511A9">
        <w:rPr>
          <w:rFonts w:asciiTheme="minorHAnsi" w:eastAsia="Times New Roman" w:hAnsiTheme="minorHAnsi" w:cs="Arial"/>
          <w:color w:val="auto"/>
          <w:sz w:val="22"/>
          <w:szCs w:val="22"/>
        </w:rPr>
        <w:t xml:space="preserve">COMPRENDRE LES FACTEURS QUI ENTRENT EN JEU DANS L'INTERACTION COMPLEXE ENTRE LA RATIONALITÉ ÉCONOMIQUE ET L'IMPACT ÉQUITABLE DANS LA RÉDUCTION DE LA MORTALITÉ MATERNELLE ET INFANTILE.) JOURNAL OF GLOBAL HEALTH, 2(1). </w:t>
      </w:r>
    </w:p>
    <w:p w14:paraId="383AD1C9" w14:textId="54A92FBF" w:rsidR="00A511A9" w:rsidRPr="005B5ED1" w:rsidRDefault="00A511A9" w:rsidP="00A511A9">
      <w:pPr>
        <w:pStyle w:val="Default"/>
        <w:numPr>
          <w:ilvl w:val="0"/>
          <w:numId w:val="6"/>
        </w:numPr>
        <w:rPr>
          <w:rFonts w:asciiTheme="minorHAnsi" w:eastAsia="Times New Roman" w:hAnsiTheme="minorHAnsi" w:cs="Arial"/>
          <w:color w:val="auto"/>
          <w:sz w:val="22"/>
          <w:szCs w:val="22"/>
        </w:rPr>
      </w:pPr>
      <w:r w:rsidRPr="00A511A9">
        <w:rPr>
          <w:rFonts w:asciiTheme="minorHAnsi" w:eastAsia="Times New Roman" w:hAnsiTheme="minorHAnsi" w:cs="Arial"/>
          <w:color w:val="auto"/>
          <w:sz w:val="22"/>
          <w:szCs w:val="22"/>
        </w:rPr>
        <w:t xml:space="preserve">LA RENTABILITÉ COMPARATIVE D'UNE APPROCHE AXÉE SUR L'ÉQUITÉ POUR LA SURVIE, LA SANTÉ ET LA NUTRITION DE L'ENFANT : MÉTHODE DE MODÉLISATION) THE LANCET 380(9850): 1341-1351. </w:t>
      </w:r>
      <w:r w:rsidRPr="005B5ED1">
        <w:rPr>
          <w:rFonts w:asciiTheme="minorHAnsi" w:eastAsia="Times New Roman" w:hAnsiTheme="minorHAnsi" w:cs="Arial"/>
          <w:color w:val="auto"/>
          <w:sz w:val="22"/>
          <w:szCs w:val="22"/>
        </w:rPr>
        <w:t>CARRERA, C., A. AZRACK, G. BEGKOYIAN, J. PFAFFMANN, E. RIBAIRA, T. O'CONNELL, P. DOUGHTY, K. M. AUNG, L. PRIETO, K. RASANATHAN, A. SHARKEY, M. CHOPRA ET R. KNIPPENBERG (2012).</w:t>
      </w:r>
    </w:p>
    <w:p w14:paraId="3FDAC8A2" w14:textId="486E4034" w:rsidR="00A511A9" w:rsidRDefault="00A511A9" w:rsidP="00A511A9">
      <w:pPr>
        <w:pStyle w:val="Bullet1"/>
        <w:numPr>
          <w:ilvl w:val="0"/>
          <w:numId w:val="6"/>
        </w:numPr>
        <w:rPr>
          <w:rFonts w:asciiTheme="minorHAnsi" w:hAnsiTheme="minorHAnsi"/>
          <w:lang w:val="fr-FR"/>
        </w:rPr>
      </w:pPr>
      <w:r w:rsidRPr="0022415A">
        <w:rPr>
          <w:rFonts w:asciiTheme="minorHAnsi" w:hAnsiTheme="minorHAnsi"/>
          <w:lang w:val="fr-FR"/>
        </w:rPr>
        <w:t>Le cout de l’inaction: étude de cas au Rwanda et en Angola), June 4, 2012, Sudhin Armand, Chris Desmond.</w:t>
      </w:r>
    </w:p>
    <w:p w14:paraId="1895E8D0" w14:textId="049918F9" w:rsidR="0022415A" w:rsidRPr="0022415A" w:rsidRDefault="0022415A" w:rsidP="00A511A9">
      <w:pPr>
        <w:pStyle w:val="Bullet1"/>
        <w:numPr>
          <w:ilvl w:val="0"/>
          <w:numId w:val="6"/>
        </w:numPr>
        <w:rPr>
          <w:rFonts w:asciiTheme="minorHAnsi" w:hAnsiTheme="minorHAnsi"/>
          <w:lang w:val="fr-FR"/>
        </w:rPr>
      </w:pPr>
      <w:r w:rsidRPr="0022415A">
        <w:rPr>
          <w:rFonts w:asciiTheme="minorHAnsi" w:hAnsiTheme="minorHAnsi"/>
          <w:lang w:val="fr-FR"/>
        </w:rPr>
        <w:t xml:space="preserve">STATUT SOCIO-ÉCONOMIQUE, MAUVAISE SANTÉ PENDANT L'ENFANCE ET DÉVELOPPEMENT DU CAPITAL HUMAIN.) JOURNAL OF ECONOMIC LITERATURE 47(1): 87-122. </w:t>
      </w:r>
      <w:r w:rsidRPr="0022415A">
        <w:rPr>
          <w:rFonts w:asciiTheme="minorHAnsi" w:hAnsiTheme="minorHAnsi"/>
          <w:lang w:val="fr-FR"/>
        </w:rPr>
        <w:footnoteRef/>
      </w:r>
      <w:r w:rsidRPr="0022415A">
        <w:rPr>
          <w:rFonts w:asciiTheme="minorHAnsi" w:hAnsiTheme="minorHAnsi"/>
          <w:lang w:val="fr-FR"/>
        </w:rPr>
        <w:t xml:space="preserve"> CURRIE, J. 2009. HEALTHY, WEALTHY ET WISE</w:t>
      </w:r>
    </w:p>
    <w:p w14:paraId="61785AE3" w14:textId="77777777" w:rsidR="00977976" w:rsidRPr="0022415A" w:rsidRDefault="00977976" w:rsidP="00977976">
      <w:pPr>
        <w:pStyle w:val="Default"/>
      </w:pPr>
    </w:p>
    <w:p w14:paraId="1816F066" w14:textId="77777777" w:rsidR="00977976" w:rsidRDefault="00977976" w:rsidP="00376AC6">
      <w:pPr>
        <w:spacing w:after="240" w:line="240" w:lineRule="auto"/>
        <w:jc w:val="both"/>
        <w:rPr>
          <w:lang w:val="fr-FR"/>
        </w:rPr>
      </w:pPr>
    </w:p>
    <w:sectPr w:rsidR="00977976">
      <w:footerReference w:type="default" r:id="rId15"/>
      <w:pgSz w:w="11906" w:h="16838"/>
      <w:pgMar w:top="1440" w:right="1440" w:bottom="1440" w:left="1440"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2CF215DB" w16cid:durableId="1D8F4427"/>
  <w16cid:commentId w16cid:paraId="5E3D383E" w16cid:durableId="1D8F44E7"/>
  <w16cid:commentId w16cid:paraId="4AD84FF7" w16cid:durableId="1D8F51E8"/>
  <w16cid:commentId w16cid:paraId="44D15B63" w16cid:durableId="1D8F5B8F"/>
  <w16cid:commentId w16cid:paraId="543F65DC" w16cid:durableId="1D8F5BD4"/>
  <w16cid:commentId w16cid:paraId="0DC11D61" w16cid:durableId="1D8F5BFF"/>
  <w16cid:commentId w16cid:paraId="16CAF655" w16cid:durableId="1D8F5C19"/>
  <w16cid:commentId w16cid:paraId="32BC19B6" w16cid:durableId="1D8F61E8"/>
  <w16cid:commentId w16cid:paraId="71F0FD59" w16cid:durableId="1D8F6518"/>
  <w16cid:commentId w16cid:paraId="5578F947" w16cid:durableId="1D8F6CD7"/>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0647ED9" w14:textId="77777777" w:rsidR="0013188F" w:rsidRDefault="0013188F" w:rsidP="002F78B2">
      <w:pPr>
        <w:spacing w:after="0" w:line="240" w:lineRule="auto"/>
      </w:pPr>
      <w:r>
        <w:separator/>
      </w:r>
    </w:p>
  </w:endnote>
  <w:endnote w:type="continuationSeparator" w:id="0">
    <w:p w14:paraId="31E87834" w14:textId="77777777" w:rsidR="0013188F" w:rsidRDefault="0013188F" w:rsidP="002F78B2">
      <w:pPr>
        <w:spacing w:after="0" w:line="240" w:lineRule="auto"/>
      </w:pPr>
      <w:r>
        <w:continuationSeparator/>
      </w:r>
    </w:p>
  </w:endnote>
  <w:endnote w:type="continuationNotice" w:id="1">
    <w:p w14:paraId="576702E7" w14:textId="77777777" w:rsidR="0013188F" w:rsidRDefault="0013188F">
      <w:pPr>
        <w:spacing w:after="0" w:line="240" w:lineRule="auto"/>
      </w:pPr>
    </w:p>
  </w:endnote>
  <w:endnote w:id="2">
    <w:p w14:paraId="53E3FAB9" w14:textId="77777777" w:rsidR="00982A9D" w:rsidRDefault="00982A9D"/>
  </w:endnote>
  <w:endnote w:id="3">
    <w:p w14:paraId="44DC392B" w14:textId="3A4B66FF" w:rsidR="00127283" w:rsidRPr="0022415A" w:rsidRDefault="00127283">
      <w:pPr>
        <w:pStyle w:val="Endnotentext"/>
        <w:rPr>
          <w:lang w:val="fr-FR"/>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Franklin Gothic Book">
    <w:panose1 w:val="020B0503020102020204"/>
    <w:charset w:val="00"/>
    <w:family w:val="swiss"/>
    <w:pitch w:val="variable"/>
    <w:sig w:usb0="00000287" w:usb1="00000000" w:usb2="00000000" w:usb3="00000000" w:csb0="0000009F" w:csb1="00000000"/>
  </w:font>
  <w:font w:name="Georgia">
    <w:altName w:val="Georgia"/>
    <w:panose1 w:val="02040502050405020303"/>
    <w:charset w:val="00"/>
    <w:family w:val="roman"/>
    <w:pitch w:val="variable"/>
    <w:sig w:usb0="00000287" w:usb1="00000000" w:usb2="00000000" w:usb3="00000000" w:csb0="0000009F" w:csb1="00000000"/>
  </w:font>
  <w:font w:name="Museo Sans 500">
    <w:altName w:val="Museo Sans 500"/>
    <w:panose1 w:val="00000000000000000000"/>
    <w:charset w:val="00"/>
    <w:family w:val="swiss"/>
    <w:notTrueType/>
    <w:pitch w:val="default"/>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22274076"/>
      <w:docPartObj>
        <w:docPartGallery w:val="Page Numbers (Bottom of Page)"/>
        <w:docPartUnique/>
      </w:docPartObj>
    </w:sdtPr>
    <w:sdtContent>
      <w:p w14:paraId="0A475867" w14:textId="057B6B5F" w:rsidR="005B5ED1" w:rsidRDefault="005B5ED1">
        <w:pPr>
          <w:pStyle w:val="Fuzeile"/>
          <w:jc w:val="right"/>
        </w:pPr>
        <w:r>
          <w:fldChar w:fldCharType="begin"/>
        </w:r>
        <w:r>
          <w:instrText>PAGE   \* MERGEFORMAT</w:instrText>
        </w:r>
        <w:r>
          <w:fldChar w:fldCharType="separate"/>
        </w:r>
        <w:r w:rsidRPr="005B5ED1">
          <w:rPr>
            <w:noProof/>
            <w:lang w:val="de-DE"/>
          </w:rPr>
          <w:t>7</w:t>
        </w:r>
        <w:r>
          <w:fldChar w:fldCharType="end"/>
        </w:r>
      </w:p>
    </w:sdtContent>
  </w:sdt>
  <w:p w14:paraId="19232575" w14:textId="77777777" w:rsidR="005B5ED1" w:rsidRDefault="005B5ED1">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CBCAD79" w14:textId="77777777" w:rsidR="0013188F" w:rsidRDefault="0013188F" w:rsidP="002F78B2">
      <w:pPr>
        <w:spacing w:after="0" w:line="240" w:lineRule="auto"/>
      </w:pPr>
      <w:r>
        <w:separator/>
      </w:r>
    </w:p>
  </w:footnote>
  <w:footnote w:type="continuationSeparator" w:id="0">
    <w:p w14:paraId="52179367" w14:textId="77777777" w:rsidR="0013188F" w:rsidRDefault="0013188F" w:rsidP="002F78B2">
      <w:pPr>
        <w:spacing w:after="0" w:line="240" w:lineRule="auto"/>
      </w:pPr>
      <w:r>
        <w:continuationSeparator/>
      </w:r>
    </w:p>
  </w:footnote>
  <w:footnote w:type="continuationNotice" w:id="1">
    <w:p w14:paraId="3302A5B5" w14:textId="77777777" w:rsidR="0013188F" w:rsidRDefault="0013188F">
      <w:pPr>
        <w:spacing w:after="0" w:line="240" w:lineRule="auto"/>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306589"/>
    <w:multiLevelType w:val="hybridMultilevel"/>
    <w:tmpl w:val="2560256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1E1251C3"/>
    <w:multiLevelType w:val="hybridMultilevel"/>
    <w:tmpl w:val="D1C649D0"/>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DF77325"/>
    <w:multiLevelType w:val="hybridMultilevel"/>
    <w:tmpl w:val="D2941A4E"/>
    <w:lvl w:ilvl="0" w:tplc="368E6FD6">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4C9B2C51"/>
    <w:multiLevelType w:val="multilevel"/>
    <w:tmpl w:val="215C2C54"/>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nsid w:val="68B40BB0"/>
    <w:multiLevelType w:val="hybridMultilevel"/>
    <w:tmpl w:val="0D62BBB2"/>
    <w:lvl w:ilvl="0" w:tplc="902449F4">
      <w:start w:val="3"/>
      <w:numFmt w:val="bullet"/>
      <w:lvlText w:val="-"/>
      <w:lvlJc w:val="left"/>
      <w:pPr>
        <w:ind w:left="720" w:hanging="360"/>
      </w:pPr>
      <w:rPr>
        <w:rFonts w:ascii="Calibri" w:eastAsiaTheme="minorHAnsi" w:hAnsi="Calibri" w:cstheme="minorBid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6C2218C2"/>
    <w:multiLevelType w:val="hybridMultilevel"/>
    <w:tmpl w:val="98BCF6F6"/>
    <w:lvl w:ilvl="0" w:tplc="902449F4">
      <w:start w:val="3"/>
      <w:numFmt w:val="bullet"/>
      <w:lvlText w:val="-"/>
      <w:lvlJc w:val="left"/>
      <w:pPr>
        <w:ind w:left="720" w:hanging="360"/>
      </w:pPr>
      <w:rPr>
        <w:rFonts w:ascii="Calibri" w:eastAsiaTheme="minorHAnsi" w:hAnsi="Calibri" w:cstheme="minorBid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767065A6"/>
    <w:multiLevelType w:val="hybridMultilevel"/>
    <w:tmpl w:val="7F623F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4"/>
  </w:num>
  <w:num w:numId="3">
    <w:abstractNumId w:val="2"/>
  </w:num>
  <w:num w:numId="4">
    <w:abstractNumId w:val="0"/>
  </w:num>
  <w:num w:numId="5">
    <w:abstractNumId w:val="3"/>
  </w:num>
  <w:num w:numId="6">
    <w:abstractNumId w:val="6"/>
  </w:num>
  <w:num w:numId="7">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PALUser">
    <w15:presenceInfo w15:providerId="None" w15:userId="PAL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018A"/>
    <w:rsid w:val="00017F2B"/>
    <w:rsid w:val="00030091"/>
    <w:rsid w:val="00076A63"/>
    <w:rsid w:val="0009142B"/>
    <w:rsid w:val="00093F32"/>
    <w:rsid w:val="000B4955"/>
    <w:rsid w:val="000B5585"/>
    <w:rsid w:val="000D6FF8"/>
    <w:rsid w:val="000E0C7C"/>
    <w:rsid w:val="00100366"/>
    <w:rsid w:val="0010295B"/>
    <w:rsid w:val="00127283"/>
    <w:rsid w:val="0013188F"/>
    <w:rsid w:val="0014274D"/>
    <w:rsid w:val="001675AB"/>
    <w:rsid w:val="001A0BA5"/>
    <w:rsid w:val="001A0CAB"/>
    <w:rsid w:val="001C1AAD"/>
    <w:rsid w:val="001C764B"/>
    <w:rsid w:val="001F65CA"/>
    <w:rsid w:val="00200CF8"/>
    <w:rsid w:val="00201877"/>
    <w:rsid w:val="0022415A"/>
    <w:rsid w:val="00227166"/>
    <w:rsid w:val="00230749"/>
    <w:rsid w:val="002666FE"/>
    <w:rsid w:val="002813D9"/>
    <w:rsid w:val="00293E21"/>
    <w:rsid w:val="002A006E"/>
    <w:rsid w:val="002C1A6D"/>
    <w:rsid w:val="002C6212"/>
    <w:rsid w:val="002F78B2"/>
    <w:rsid w:val="003059A5"/>
    <w:rsid w:val="0034018A"/>
    <w:rsid w:val="00342E47"/>
    <w:rsid w:val="003475DC"/>
    <w:rsid w:val="0036605D"/>
    <w:rsid w:val="00366703"/>
    <w:rsid w:val="00373E31"/>
    <w:rsid w:val="00376AC6"/>
    <w:rsid w:val="00390227"/>
    <w:rsid w:val="00390508"/>
    <w:rsid w:val="003A1238"/>
    <w:rsid w:val="003A4EB5"/>
    <w:rsid w:val="003B493B"/>
    <w:rsid w:val="003C76AE"/>
    <w:rsid w:val="003E6EF9"/>
    <w:rsid w:val="00413869"/>
    <w:rsid w:val="004279C3"/>
    <w:rsid w:val="00463ED2"/>
    <w:rsid w:val="00470BE8"/>
    <w:rsid w:val="00480D96"/>
    <w:rsid w:val="004937B8"/>
    <w:rsid w:val="004B6B1E"/>
    <w:rsid w:val="004D039B"/>
    <w:rsid w:val="00513076"/>
    <w:rsid w:val="00540743"/>
    <w:rsid w:val="00542CBF"/>
    <w:rsid w:val="00561722"/>
    <w:rsid w:val="00571E4F"/>
    <w:rsid w:val="00571FD9"/>
    <w:rsid w:val="00581F4F"/>
    <w:rsid w:val="005B1C67"/>
    <w:rsid w:val="005B1E09"/>
    <w:rsid w:val="005B4ACE"/>
    <w:rsid w:val="005B5ED1"/>
    <w:rsid w:val="005D52A4"/>
    <w:rsid w:val="005D72D1"/>
    <w:rsid w:val="006003ED"/>
    <w:rsid w:val="00615F87"/>
    <w:rsid w:val="00624457"/>
    <w:rsid w:val="00634C65"/>
    <w:rsid w:val="006411EB"/>
    <w:rsid w:val="0064467A"/>
    <w:rsid w:val="00644E9F"/>
    <w:rsid w:val="00652AF9"/>
    <w:rsid w:val="0065572B"/>
    <w:rsid w:val="006814C0"/>
    <w:rsid w:val="006958EA"/>
    <w:rsid w:val="006A180C"/>
    <w:rsid w:val="006D64D6"/>
    <w:rsid w:val="006E675D"/>
    <w:rsid w:val="0070460C"/>
    <w:rsid w:val="00706A25"/>
    <w:rsid w:val="00734CBE"/>
    <w:rsid w:val="00743766"/>
    <w:rsid w:val="00744FD7"/>
    <w:rsid w:val="0074640F"/>
    <w:rsid w:val="00755428"/>
    <w:rsid w:val="00767954"/>
    <w:rsid w:val="00776DCB"/>
    <w:rsid w:val="0078037C"/>
    <w:rsid w:val="00791E3A"/>
    <w:rsid w:val="007B3217"/>
    <w:rsid w:val="007C1F8D"/>
    <w:rsid w:val="007C4E3C"/>
    <w:rsid w:val="007D5F5A"/>
    <w:rsid w:val="007E707C"/>
    <w:rsid w:val="007F20F4"/>
    <w:rsid w:val="007F3190"/>
    <w:rsid w:val="00804616"/>
    <w:rsid w:val="00821F84"/>
    <w:rsid w:val="00831BD4"/>
    <w:rsid w:val="00832647"/>
    <w:rsid w:val="00840FF6"/>
    <w:rsid w:val="00851F74"/>
    <w:rsid w:val="008552AD"/>
    <w:rsid w:val="008902B2"/>
    <w:rsid w:val="00894BEE"/>
    <w:rsid w:val="008A6E83"/>
    <w:rsid w:val="008B75AC"/>
    <w:rsid w:val="008C130C"/>
    <w:rsid w:val="008D0512"/>
    <w:rsid w:val="008D457D"/>
    <w:rsid w:val="008E54D8"/>
    <w:rsid w:val="008F6757"/>
    <w:rsid w:val="00911F28"/>
    <w:rsid w:val="009212C9"/>
    <w:rsid w:val="00940BD0"/>
    <w:rsid w:val="009455E7"/>
    <w:rsid w:val="00963D42"/>
    <w:rsid w:val="00965983"/>
    <w:rsid w:val="00970C80"/>
    <w:rsid w:val="00977976"/>
    <w:rsid w:val="00982A9D"/>
    <w:rsid w:val="009A7687"/>
    <w:rsid w:val="009B41D5"/>
    <w:rsid w:val="00A1135C"/>
    <w:rsid w:val="00A14D47"/>
    <w:rsid w:val="00A20886"/>
    <w:rsid w:val="00A26F1F"/>
    <w:rsid w:val="00A456FF"/>
    <w:rsid w:val="00A511A9"/>
    <w:rsid w:val="00A52074"/>
    <w:rsid w:val="00A537C2"/>
    <w:rsid w:val="00A945AB"/>
    <w:rsid w:val="00A9563E"/>
    <w:rsid w:val="00AB40BB"/>
    <w:rsid w:val="00AD324F"/>
    <w:rsid w:val="00AE20ED"/>
    <w:rsid w:val="00AE2317"/>
    <w:rsid w:val="00B1013F"/>
    <w:rsid w:val="00B177E0"/>
    <w:rsid w:val="00B261D8"/>
    <w:rsid w:val="00B42A5A"/>
    <w:rsid w:val="00B5089B"/>
    <w:rsid w:val="00B53740"/>
    <w:rsid w:val="00B538F3"/>
    <w:rsid w:val="00B60436"/>
    <w:rsid w:val="00BB7ADF"/>
    <w:rsid w:val="00BC4037"/>
    <w:rsid w:val="00BC7B39"/>
    <w:rsid w:val="00BF588E"/>
    <w:rsid w:val="00C05E43"/>
    <w:rsid w:val="00C172DD"/>
    <w:rsid w:val="00C424DC"/>
    <w:rsid w:val="00C67D7D"/>
    <w:rsid w:val="00C71B71"/>
    <w:rsid w:val="00CA193E"/>
    <w:rsid w:val="00CB221D"/>
    <w:rsid w:val="00CC1BB1"/>
    <w:rsid w:val="00CC7015"/>
    <w:rsid w:val="00CD4D33"/>
    <w:rsid w:val="00CD6429"/>
    <w:rsid w:val="00D13E95"/>
    <w:rsid w:val="00D22BFF"/>
    <w:rsid w:val="00D337FA"/>
    <w:rsid w:val="00D57246"/>
    <w:rsid w:val="00D659D5"/>
    <w:rsid w:val="00D770F4"/>
    <w:rsid w:val="00DA2907"/>
    <w:rsid w:val="00DA2E2B"/>
    <w:rsid w:val="00DB03FB"/>
    <w:rsid w:val="00DB4913"/>
    <w:rsid w:val="00DB7F34"/>
    <w:rsid w:val="00DC25CE"/>
    <w:rsid w:val="00DC34D5"/>
    <w:rsid w:val="00DD3246"/>
    <w:rsid w:val="00E035B1"/>
    <w:rsid w:val="00E16E47"/>
    <w:rsid w:val="00E2018A"/>
    <w:rsid w:val="00E72FA1"/>
    <w:rsid w:val="00E842B2"/>
    <w:rsid w:val="00E95D89"/>
    <w:rsid w:val="00EA5210"/>
    <w:rsid w:val="00EB3A5D"/>
    <w:rsid w:val="00EB43D8"/>
    <w:rsid w:val="00EC63BB"/>
    <w:rsid w:val="00F337ED"/>
    <w:rsid w:val="00F36D5B"/>
    <w:rsid w:val="00F47AAE"/>
    <w:rsid w:val="00F554C5"/>
    <w:rsid w:val="00F7448D"/>
    <w:rsid w:val="00F76768"/>
    <w:rsid w:val="00F8113F"/>
    <w:rsid w:val="00F851E2"/>
    <w:rsid w:val="00FA47D5"/>
    <w:rsid w:val="00FE2F4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F386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AD324F"/>
    <w:pPr>
      <w:spacing w:after="200" w:line="276" w:lineRule="auto"/>
      <w:ind w:left="720"/>
      <w:contextualSpacing/>
    </w:pPr>
    <w:rPr>
      <w:lang w:val="de-DE"/>
    </w:rPr>
  </w:style>
  <w:style w:type="paragraph" w:styleId="Beschriftung">
    <w:name w:val="caption"/>
    <w:basedOn w:val="Standard"/>
    <w:next w:val="Standard"/>
    <w:uiPriority w:val="35"/>
    <w:unhideWhenUsed/>
    <w:qFormat/>
    <w:rsid w:val="0036605D"/>
    <w:pPr>
      <w:keepNext/>
      <w:spacing w:after="120" w:line="240" w:lineRule="auto"/>
    </w:pPr>
    <w:rPr>
      <w:rFonts w:ascii="Calibri" w:eastAsia="Calibri" w:hAnsi="Calibri" w:cs="Arial"/>
      <w:b/>
      <w:bCs/>
      <w:color w:val="44546A" w:themeColor="text2"/>
      <w:sz w:val="20"/>
      <w:szCs w:val="20"/>
      <w:lang w:val="fr-FR"/>
    </w:rPr>
  </w:style>
  <w:style w:type="character" w:styleId="Hyperlink">
    <w:name w:val="Hyperlink"/>
    <w:basedOn w:val="Absatz-Standardschriftart"/>
    <w:uiPriority w:val="99"/>
    <w:unhideWhenUsed/>
    <w:rsid w:val="00BB7ADF"/>
    <w:rPr>
      <w:color w:val="0563C1" w:themeColor="hyperlink"/>
      <w:u w:val="single"/>
    </w:rPr>
  </w:style>
  <w:style w:type="paragraph" w:styleId="Funotentext">
    <w:name w:val="footnote text"/>
    <w:basedOn w:val="Standard"/>
    <w:link w:val="FunotentextZchn"/>
    <w:uiPriority w:val="99"/>
    <w:semiHidden/>
    <w:unhideWhenUsed/>
    <w:rsid w:val="002F78B2"/>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2F78B2"/>
    <w:rPr>
      <w:sz w:val="20"/>
      <w:szCs w:val="20"/>
    </w:rPr>
  </w:style>
  <w:style w:type="character" w:styleId="Funotenzeichen">
    <w:name w:val="footnote reference"/>
    <w:basedOn w:val="Absatz-Standardschriftart"/>
    <w:uiPriority w:val="99"/>
    <w:semiHidden/>
    <w:unhideWhenUsed/>
    <w:rsid w:val="002F78B2"/>
    <w:rPr>
      <w:vertAlign w:val="superscript"/>
    </w:rPr>
  </w:style>
  <w:style w:type="paragraph" w:styleId="Endnotentext">
    <w:name w:val="endnote text"/>
    <w:basedOn w:val="Standard"/>
    <w:link w:val="EndnotentextZchn"/>
    <w:uiPriority w:val="99"/>
    <w:semiHidden/>
    <w:unhideWhenUsed/>
    <w:rsid w:val="002F78B2"/>
    <w:pPr>
      <w:spacing w:after="0" w:line="240" w:lineRule="auto"/>
    </w:pPr>
    <w:rPr>
      <w:sz w:val="20"/>
      <w:szCs w:val="20"/>
    </w:rPr>
  </w:style>
  <w:style w:type="character" w:customStyle="1" w:styleId="EndnotentextZchn">
    <w:name w:val="Endnotentext Zchn"/>
    <w:basedOn w:val="Absatz-Standardschriftart"/>
    <w:link w:val="Endnotentext"/>
    <w:uiPriority w:val="99"/>
    <w:semiHidden/>
    <w:rsid w:val="002F78B2"/>
    <w:rPr>
      <w:sz w:val="20"/>
      <w:szCs w:val="20"/>
    </w:rPr>
  </w:style>
  <w:style w:type="character" w:styleId="Endnotenzeichen">
    <w:name w:val="endnote reference"/>
    <w:basedOn w:val="Absatz-Standardschriftart"/>
    <w:uiPriority w:val="99"/>
    <w:semiHidden/>
    <w:unhideWhenUsed/>
    <w:rsid w:val="002F78B2"/>
    <w:rPr>
      <w:vertAlign w:val="superscript"/>
    </w:rPr>
  </w:style>
  <w:style w:type="paragraph" w:styleId="StandardWeb">
    <w:name w:val="Normal (Web)"/>
    <w:basedOn w:val="Standard"/>
    <w:uiPriority w:val="99"/>
    <w:semiHidden/>
    <w:unhideWhenUsed/>
    <w:rsid w:val="00F7448D"/>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Sprechblasentext">
    <w:name w:val="Balloon Text"/>
    <w:basedOn w:val="Standard"/>
    <w:link w:val="SprechblasentextZchn"/>
    <w:uiPriority w:val="99"/>
    <w:semiHidden/>
    <w:unhideWhenUsed/>
    <w:rsid w:val="00201877"/>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201877"/>
    <w:rPr>
      <w:rFonts w:ascii="Tahoma" w:hAnsi="Tahoma" w:cs="Tahoma"/>
      <w:sz w:val="16"/>
      <w:szCs w:val="16"/>
    </w:rPr>
  </w:style>
  <w:style w:type="paragraph" w:styleId="Kopfzeile">
    <w:name w:val="header"/>
    <w:basedOn w:val="Standard"/>
    <w:link w:val="KopfzeileZchn"/>
    <w:uiPriority w:val="99"/>
    <w:unhideWhenUsed/>
    <w:rsid w:val="005B1C67"/>
    <w:pPr>
      <w:tabs>
        <w:tab w:val="center" w:pos="4680"/>
        <w:tab w:val="right" w:pos="9360"/>
      </w:tabs>
      <w:spacing w:after="0" w:line="240" w:lineRule="auto"/>
    </w:pPr>
  </w:style>
  <w:style w:type="character" w:customStyle="1" w:styleId="KopfzeileZchn">
    <w:name w:val="Kopfzeile Zchn"/>
    <w:basedOn w:val="Absatz-Standardschriftart"/>
    <w:link w:val="Kopfzeile"/>
    <w:uiPriority w:val="99"/>
    <w:rsid w:val="005B1C67"/>
  </w:style>
  <w:style w:type="paragraph" w:styleId="Fuzeile">
    <w:name w:val="footer"/>
    <w:basedOn w:val="Standard"/>
    <w:link w:val="FuzeileZchn"/>
    <w:uiPriority w:val="99"/>
    <w:unhideWhenUsed/>
    <w:rsid w:val="005B1C67"/>
    <w:pPr>
      <w:tabs>
        <w:tab w:val="center" w:pos="4680"/>
        <w:tab w:val="right" w:pos="9360"/>
      </w:tabs>
      <w:spacing w:after="0" w:line="240" w:lineRule="auto"/>
    </w:pPr>
  </w:style>
  <w:style w:type="character" w:customStyle="1" w:styleId="FuzeileZchn">
    <w:name w:val="Fußzeile Zchn"/>
    <w:basedOn w:val="Absatz-Standardschriftart"/>
    <w:link w:val="Fuzeile"/>
    <w:uiPriority w:val="99"/>
    <w:rsid w:val="005B1C67"/>
  </w:style>
  <w:style w:type="paragraph" w:customStyle="1" w:styleId="TableText">
    <w:name w:val="Table Text"/>
    <w:basedOn w:val="Standard"/>
    <w:qFormat/>
    <w:rsid w:val="005B1C67"/>
    <w:pPr>
      <w:spacing w:before="60" w:after="60" w:line="240" w:lineRule="auto"/>
    </w:pPr>
    <w:rPr>
      <w:rFonts w:ascii="Franklin Gothic Book" w:eastAsia="Times New Roman" w:hAnsi="Franklin Gothic Book" w:cs="Times New Roman"/>
      <w:bCs/>
      <w:color w:val="000000"/>
      <w:sz w:val="20"/>
      <w:szCs w:val="20"/>
      <w:lang w:val="en-US" w:eastAsia="ja-JP"/>
    </w:rPr>
  </w:style>
  <w:style w:type="table" w:customStyle="1" w:styleId="ListTable2">
    <w:name w:val="List Table 2"/>
    <w:basedOn w:val="NormaleTabelle"/>
    <w:uiPriority w:val="47"/>
    <w:rsid w:val="005B1C67"/>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styleId="Kommentarzeichen">
    <w:name w:val="annotation reference"/>
    <w:basedOn w:val="Absatz-Standardschriftart"/>
    <w:uiPriority w:val="99"/>
    <w:semiHidden/>
    <w:unhideWhenUsed/>
    <w:rsid w:val="009A7687"/>
    <w:rPr>
      <w:sz w:val="16"/>
      <w:szCs w:val="16"/>
    </w:rPr>
  </w:style>
  <w:style w:type="paragraph" w:styleId="Kommentartext">
    <w:name w:val="annotation text"/>
    <w:basedOn w:val="Standard"/>
    <w:link w:val="KommentartextZchn"/>
    <w:uiPriority w:val="99"/>
    <w:semiHidden/>
    <w:unhideWhenUsed/>
    <w:rsid w:val="009A7687"/>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9A7687"/>
    <w:rPr>
      <w:sz w:val="20"/>
      <w:szCs w:val="20"/>
    </w:rPr>
  </w:style>
  <w:style w:type="paragraph" w:styleId="Kommentarthema">
    <w:name w:val="annotation subject"/>
    <w:basedOn w:val="Kommentartext"/>
    <w:next w:val="Kommentartext"/>
    <w:link w:val="KommentarthemaZchn"/>
    <w:uiPriority w:val="99"/>
    <w:semiHidden/>
    <w:unhideWhenUsed/>
    <w:rsid w:val="009A7687"/>
    <w:rPr>
      <w:b/>
      <w:bCs/>
    </w:rPr>
  </w:style>
  <w:style w:type="character" w:customStyle="1" w:styleId="KommentarthemaZchn">
    <w:name w:val="Kommentarthema Zchn"/>
    <w:basedOn w:val="KommentartextZchn"/>
    <w:link w:val="Kommentarthema"/>
    <w:uiPriority w:val="99"/>
    <w:semiHidden/>
    <w:rsid w:val="009A7687"/>
    <w:rPr>
      <w:b/>
      <w:bCs/>
      <w:sz w:val="20"/>
      <w:szCs w:val="20"/>
    </w:rPr>
  </w:style>
  <w:style w:type="character" w:styleId="BesuchterHyperlink">
    <w:name w:val="FollowedHyperlink"/>
    <w:basedOn w:val="Absatz-Standardschriftart"/>
    <w:uiPriority w:val="99"/>
    <w:semiHidden/>
    <w:unhideWhenUsed/>
    <w:rsid w:val="001A0CAB"/>
    <w:rPr>
      <w:color w:val="954F72" w:themeColor="followedHyperlink"/>
      <w:u w:val="single"/>
    </w:rPr>
  </w:style>
  <w:style w:type="table" w:styleId="Tabellenraster">
    <w:name w:val="Table Grid"/>
    <w:basedOn w:val="NormaleTabelle"/>
    <w:uiPriority w:val="39"/>
    <w:rsid w:val="00DB03F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
    <w:name w:val="Unresolved Mention"/>
    <w:basedOn w:val="Absatz-Standardschriftart"/>
    <w:uiPriority w:val="99"/>
    <w:semiHidden/>
    <w:unhideWhenUsed/>
    <w:rsid w:val="00652AF9"/>
    <w:rPr>
      <w:color w:val="808080"/>
      <w:shd w:val="clear" w:color="auto" w:fill="E6E6E6"/>
    </w:rPr>
  </w:style>
  <w:style w:type="paragraph" w:customStyle="1" w:styleId="Bullet1">
    <w:name w:val="Bullet 1"/>
    <w:basedOn w:val="Standard"/>
    <w:link w:val="Bullet1Char"/>
    <w:qFormat/>
    <w:rsid w:val="00D13E95"/>
    <w:pPr>
      <w:spacing w:after="120" w:line="240" w:lineRule="auto"/>
    </w:pPr>
    <w:rPr>
      <w:rFonts w:ascii="Georgia" w:eastAsia="Times New Roman" w:hAnsi="Georgia" w:cs="Arial"/>
      <w:lang w:val="en-US"/>
    </w:rPr>
  </w:style>
  <w:style w:type="character" w:customStyle="1" w:styleId="Bullet1Char">
    <w:name w:val="Bullet 1 Char"/>
    <w:link w:val="Bullet1"/>
    <w:rsid w:val="00D13E95"/>
    <w:rPr>
      <w:rFonts w:ascii="Georgia" w:eastAsia="Times New Roman" w:hAnsi="Georgia" w:cs="Arial"/>
      <w:lang w:val="en-US"/>
    </w:rPr>
  </w:style>
  <w:style w:type="paragraph" w:customStyle="1" w:styleId="Default">
    <w:name w:val="Default"/>
    <w:rsid w:val="00977976"/>
    <w:pPr>
      <w:autoSpaceDE w:val="0"/>
      <w:autoSpaceDN w:val="0"/>
      <w:adjustRightInd w:val="0"/>
      <w:spacing w:after="0" w:line="240" w:lineRule="auto"/>
    </w:pPr>
    <w:rPr>
      <w:rFonts w:ascii="Museo Sans 500" w:hAnsi="Museo Sans 500" w:cs="Museo Sans 500"/>
      <w:color w:val="000000"/>
      <w:sz w:val="24"/>
      <w:szCs w:val="24"/>
      <w:lang w:val="fr-FR"/>
    </w:rPr>
  </w:style>
  <w:style w:type="character" w:customStyle="1" w:styleId="A16">
    <w:name w:val="A16"/>
    <w:uiPriority w:val="99"/>
    <w:rsid w:val="00977976"/>
    <w:rPr>
      <w:rFonts w:cs="Museo Sans 500"/>
      <w:color w:val="000000"/>
      <w:sz w:val="12"/>
      <w:szCs w:val="1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AD324F"/>
    <w:pPr>
      <w:spacing w:after="200" w:line="276" w:lineRule="auto"/>
      <w:ind w:left="720"/>
      <w:contextualSpacing/>
    </w:pPr>
    <w:rPr>
      <w:lang w:val="de-DE"/>
    </w:rPr>
  </w:style>
  <w:style w:type="paragraph" w:styleId="Beschriftung">
    <w:name w:val="caption"/>
    <w:basedOn w:val="Standard"/>
    <w:next w:val="Standard"/>
    <w:uiPriority w:val="35"/>
    <w:unhideWhenUsed/>
    <w:qFormat/>
    <w:rsid w:val="0036605D"/>
    <w:pPr>
      <w:keepNext/>
      <w:spacing w:after="120" w:line="240" w:lineRule="auto"/>
    </w:pPr>
    <w:rPr>
      <w:rFonts w:ascii="Calibri" w:eastAsia="Calibri" w:hAnsi="Calibri" w:cs="Arial"/>
      <w:b/>
      <w:bCs/>
      <w:color w:val="44546A" w:themeColor="text2"/>
      <w:sz w:val="20"/>
      <w:szCs w:val="20"/>
      <w:lang w:val="fr-FR"/>
    </w:rPr>
  </w:style>
  <w:style w:type="character" w:styleId="Hyperlink">
    <w:name w:val="Hyperlink"/>
    <w:basedOn w:val="Absatz-Standardschriftart"/>
    <w:uiPriority w:val="99"/>
    <w:unhideWhenUsed/>
    <w:rsid w:val="00BB7ADF"/>
    <w:rPr>
      <w:color w:val="0563C1" w:themeColor="hyperlink"/>
      <w:u w:val="single"/>
    </w:rPr>
  </w:style>
  <w:style w:type="paragraph" w:styleId="Funotentext">
    <w:name w:val="footnote text"/>
    <w:basedOn w:val="Standard"/>
    <w:link w:val="FunotentextZchn"/>
    <w:uiPriority w:val="99"/>
    <w:semiHidden/>
    <w:unhideWhenUsed/>
    <w:rsid w:val="002F78B2"/>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2F78B2"/>
    <w:rPr>
      <w:sz w:val="20"/>
      <w:szCs w:val="20"/>
    </w:rPr>
  </w:style>
  <w:style w:type="character" w:styleId="Funotenzeichen">
    <w:name w:val="footnote reference"/>
    <w:basedOn w:val="Absatz-Standardschriftart"/>
    <w:uiPriority w:val="99"/>
    <w:semiHidden/>
    <w:unhideWhenUsed/>
    <w:rsid w:val="002F78B2"/>
    <w:rPr>
      <w:vertAlign w:val="superscript"/>
    </w:rPr>
  </w:style>
  <w:style w:type="paragraph" w:styleId="Endnotentext">
    <w:name w:val="endnote text"/>
    <w:basedOn w:val="Standard"/>
    <w:link w:val="EndnotentextZchn"/>
    <w:uiPriority w:val="99"/>
    <w:semiHidden/>
    <w:unhideWhenUsed/>
    <w:rsid w:val="002F78B2"/>
    <w:pPr>
      <w:spacing w:after="0" w:line="240" w:lineRule="auto"/>
    </w:pPr>
    <w:rPr>
      <w:sz w:val="20"/>
      <w:szCs w:val="20"/>
    </w:rPr>
  </w:style>
  <w:style w:type="character" w:customStyle="1" w:styleId="EndnotentextZchn">
    <w:name w:val="Endnotentext Zchn"/>
    <w:basedOn w:val="Absatz-Standardschriftart"/>
    <w:link w:val="Endnotentext"/>
    <w:uiPriority w:val="99"/>
    <w:semiHidden/>
    <w:rsid w:val="002F78B2"/>
    <w:rPr>
      <w:sz w:val="20"/>
      <w:szCs w:val="20"/>
    </w:rPr>
  </w:style>
  <w:style w:type="character" w:styleId="Endnotenzeichen">
    <w:name w:val="endnote reference"/>
    <w:basedOn w:val="Absatz-Standardschriftart"/>
    <w:uiPriority w:val="99"/>
    <w:semiHidden/>
    <w:unhideWhenUsed/>
    <w:rsid w:val="002F78B2"/>
    <w:rPr>
      <w:vertAlign w:val="superscript"/>
    </w:rPr>
  </w:style>
  <w:style w:type="paragraph" w:styleId="StandardWeb">
    <w:name w:val="Normal (Web)"/>
    <w:basedOn w:val="Standard"/>
    <w:uiPriority w:val="99"/>
    <w:semiHidden/>
    <w:unhideWhenUsed/>
    <w:rsid w:val="00F7448D"/>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Sprechblasentext">
    <w:name w:val="Balloon Text"/>
    <w:basedOn w:val="Standard"/>
    <w:link w:val="SprechblasentextZchn"/>
    <w:uiPriority w:val="99"/>
    <w:semiHidden/>
    <w:unhideWhenUsed/>
    <w:rsid w:val="00201877"/>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201877"/>
    <w:rPr>
      <w:rFonts w:ascii="Tahoma" w:hAnsi="Tahoma" w:cs="Tahoma"/>
      <w:sz w:val="16"/>
      <w:szCs w:val="16"/>
    </w:rPr>
  </w:style>
  <w:style w:type="paragraph" w:styleId="Kopfzeile">
    <w:name w:val="header"/>
    <w:basedOn w:val="Standard"/>
    <w:link w:val="KopfzeileZchn"/>
    <w:uiPriority w:val="99"/>
    <w:unhideWhenUsed/>
    <w:rsid w:val="005B1C67"/>
    <w:pPr>
      <w:tabs>
        <w:tab w:val="center" w:pos="4680"/>
        <w:tab w:val="right" w:pos="9360"/>
      </w:tabs>
      <w:spacing w:after="0" w:line="240" w:lineRule="auto"/>
    </w:pPr>
  </w:style>
  <w:style w:type="character" w:customStyle="1" w:styleId="KopfzeileZchn">
    <w:name w:val="Kopfzeile Zchn"/>
    <w:basedOn w:val="Absatz-Standardschriftart"/>
    <w:link w:val="Kopfzeile"/>
    <w:uiPriority w:val="99"/>
    <w:rsid w:val="005B1C67"/>
  </w:style>
  <w:style w:type="paragraph" w:styleId="Fuzeile">
    <w:name w:val="footer"/>
    <w:basedOn w:val="Standard"/>
    <w:link w:val="FuzeileZchn"/>
    <w:uiPriority w:val="99"/>
    <w:unhideWhenUsed/>
    <w:rsid w:val="005B1C67"/>
    <w:pPr>
      <w:tabs>
        <w:tab w:val="center" w:pos="4680"/>
        <w:tab w:val="right" w:pos="9360"/>
      </w:tabs>
      <w:spacing w:after="0" w:line="240" w:lineRule="auto"/>
    </w:pPr>
  </w:style>
  <w:style w:type="character" w:customStyle="1" w:styleId="FuzeileZchn">
    <w:name w:val="Fußzeile Zchn"/>
    <w:basedOn w:val="Absatz-Standardschriftart"/>
    <w:link w:val="Fuzeile"/>
    <w:uiPriority w:val="99"/>
    <w:rsid w:val="005B1C67"/>
  </w:style>
  <w:style w:type="paragraph" w:customStyle="1" w:styleId="TableText">
    <w:name w:val="Table Text"/>
    <w:basedOn w:val="Standard"/>
    <w:qFormat/>
    <w:rsid w:val="005B1C67"/>
    <w:pPr>
      <w:spacing w:before="60" w:after="60" w:line="240" w:lineRule="auto"/>
    </w:pPr>
    <w:rPr>
      <w:rFonts w:ascii="Franklin Gothic Book" w:eastAsia="Times New Roman" w:hAnsi="Franklin Gothic Book" w:cs="Times New Roman"/>
      <w:bCs/>
      <w:color w:val="000000"/>
      <w:sz w:val="20"/>
      <w:szCs w:val="20"/>
      <w:lang w:val="en-US" w:eastAsia="ja-JP"/>
    </w:rPr>
  </w:style>
  <w:style w:type="table" w:customStyle="1" w:styleId="ListTable2">
    <w:name w:val="List Table 2"/>
    <w:basedOn w:val="NormaleTabelle"/>
    <w:uiPriority w:val="47"/>
    <w:rsid w:val="005B1C67"/>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styleId="Kommentarzeichen">
    <w:name w:val="annotation reference"/>
    <w:basedOn w:val="Absatz-Standardschriftart"/>
    <w:uiPriority w:val="99"/>
    <w:semiHidden/>
    <w:unhideWhenUsed/>
    <w:rsid w:val="009A7687"/>
    <w:rPr>
      <w:sz w:val="16"/>
      <w:szCs w:val="16"/>
    </w:rPr>
  </w:style>
  <w:style w:type="paragraph" w:styleId="Kommentartext">
    <w:name w:val="annotation text"/>
    <w:basedOn w:val="Standard"/>
    <w:link w:val="KommentartextZchn"/>
    <w:uiPriority w:val="99"/>
    <w:semiHidden/>
    <w:unhideWhenUsed/>
    <w:rsid w:val="009A7687"/>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9A7687"/>
    <w:rPr>
      <w:sz w:val="20"/>
      <w:szCs w:val="20"/>
    </w:rPr>
  </w:style>
  <w:style w:type="paragraph" w:styleId="Kommentarthema">
    <w:name w:val="annotation subject"/>
    <w:basedOn w:val="Kommentartext"/>
    <w:next w:val="Kommentartext"/>
    <w:link w:val="KommentarthemaZchn"/>
    <w:uiPriority w:val="99"/>
    <w:semiHidden/>
    <w:unhideWhenUsed/>
    <w:rsid w:val="009A7687"/>
    <w:rPr>
      <w:b/>
      <w:bCs/>
    </w:rPr>
  </w:style>
  <w:style w:type="character" w:customStyle="1" w:styleId="KommentarthemaZchn">
    <w:name w:val="Kommentarthema Zchn"/>
    <w:basedOn w:val="KommentartextZchn"/>
    <w:link w:val="Kommentarthema"/>
    <w:uiPriority w:val="99"/>
    <w:semiHidden/>
    <w:rsid w:val="009A7687"/>
    <w:rPr>
      <w:b/>
      <w:bCs/>
      <w:sz w:val="20"/>
      <w:szCs w:val="20"/>
    </w:rPr>
  </w:style>
  <w:style w:type="character" w:styleId="BesuchterHyperlink">
    <w:name w:val="FollowedHyperlink"/>
    <w:basedOn w:val="Absatz-Standardschriftart"/>
    <w:uiPriority w:val="99"/>
    <w:semiHidden/>
    <w:unhideWhenUsed/>
    <w:rsid w:val="001A0CAB"/>
    <w:rPr>
      <w:color w:val="954F72" w:themeColor="followedHyperlink"/>
      <w:u w:val="single"/>
    </w:rPr>
  </w:style>
  <w:style w:type="table" w:styleId="Tabellenraster">
    <w:name w:val="Table Grid"/>
    <w:basedOn w:val="NormaleTabelle"/>
    <w:uiPriority w:val="39"/>
    <w:rsid w:val="00DB03F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
    <w:name w:val="Unresolved Mention"/>
    <w:basedOn w:val="Absatz-Standardschriftart"/>
    <w:uiPriority w:val="99"/>
    <w:semiHidden/>
    <w:unhideWhenUsed/>
    <w:rsid w:val="00652AF9"/>
    <w:rPr>
      <w:color w:val="808080"/>
      <w:shd w:val="clear" w:color="auto" w:fill="E6E6E6"/>
    </w:rPr>
  </w:style>
  <w:style w:type="paragraph" w:customStyle="1" w:styleId="Bullet1">
    <w:name w:val="Bullet 1"/>
    <w:basedOn w:val="Standard"/>
    <w:link w:val="Bullet1Char"/>
    <w:qFormat/>
    <w:rsid w:val="00D13E95"/>
    <w:pPr>
      <w:spacing w:after="120" w:line="240" w:lineRule="auto"/>
    </w:pPr>
    <w:rPr>
      <w:rFonts w:ascii="Georgia" w:eastAsia="Times New Roman" w:hAnsi="Georgia" w:cs="Arial"/>
      <w:lang w:val="en-US"/>
    </w:rPr>
  </w:style>
  <w:style w:type="character" w:customStyle="1" w:styleId="Bullet1Char">
    <w:name w:val="Bullet 1 Char"/>
    <w:link w:val="Bullet1"/>
    <w:rsid w:val="00D13E95"/>
    <w:rPr>
      <w:rFonts w:ascii="Georgia" w:eastAsia="Times New Roman" w:hAnsi="Georgia" w:cs="Arial"/>
      <w:lang w:val="en-US"/>
    </w:rPr>
  </w:style>
  <w:style w:type="paragraph" w:customStyle="1" w:styleId="Default">
    <w:name w:val="Default"/>
    <w:rsid w:val="00977976"/>
    <w:pPr>
      <w:autoSpaceDE w:val="0"/>
      <w:autoSpaceDN w:val="0"/>
      <w:adjustRightInd w:val="0"/>
      <w:spacing w:after="0" w:line="240" w:lineRule="auto"/>
    </w:pPr>
    <w:rPr>
      <w:rFonts w:ascii="Museo Sans 500" w:hAnsi="Museo Sans 500" w:cs="Museo Sans 500"/>
      <w:color w:val="000000"/>
      <w:sz w:val="24"/>
      <w:szCs w:val="24"/>
      <w:lang w:val="fr-FR"/>
    </w:rPr>
  </w:style>
  <w:style w:type="character" w:customStyle="1" w:styleId="A16">
    <w:name w:val="A16"/>
    <w:uiPriority w:val="99"/>
    <w:rsid w:val="00977976"/>
    <w:rPr>
      <w:rFonts w:cs="Museo Sans 500"/>
      <w:color w:val="000000"/>
      <w:sz w:val="12"/>
      <w:szCs w:val="1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67315946">
      <w:bodyDiv w:val="1"/>
      <w:marLeft w:val="0"/>
      <w:marRight w:val="0"/>
      <w:marTop w:val="0"/>
      <w:marBottom w:val="0"/>
      <w:divBdr>
        <w:top w:val="none" w:sz="0" w:space="0" w:color="auto"/>
        <w:left w:val="none" w:sz="0" w:space="0" w:color="auto"/>
        <w:bottom w:val="none" w:sz="0" w:space="0" w:color="auto"/>
        <w:right w:val="none" w:sz="0" w:space="0" w:color="auto"/>
      </w:divBdr>
    </w:div>
    <w:div w:id="11849768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png"/><Relationship Id="rId18" Type="http://schemas.microsoft.com/office/2011/relationships/people" Target="peop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3.emf"/><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who.int/gho/en/" TargetMode="Externa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image" Target="media/image2.png"/><Relationship Id="rId19" Type="http://schemas.microsoft.com/office/2016/09/relationships/commentsIds" Target="commentsIds.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documents.worldbank.org/curated/en/172071468194986393/pdf/98187-FRENCH-PUBLIC-Madagascar-PER-2014-Resume-Executif.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65E222-5B55-4D8D-9769-D78D0735B3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2646</Words>
  <Characters>16674</Characters>
  <Application>Microsoft Office Word</Application>
  <DocSecurity>0</DocSecurity>
  <Lines>138</Lines>
  <Paragraphs>38</Paragraphs>
  <ScaleCrop>false</ScaleCrop>
  <HeadingPairs>
    <vt:vector size="6" baseType="variant">
      <vt:variant>
        <vt:lpstr>Titel</vt:lpstr>
      </vt:variant>
      <vt:variant>
        <vt:i4>1</vt:i4>
      </vt:variant>
      <vt:variant>
        <vt:lpstr>Title</vt:lpstr>
      </vt:variant>
      <vt:variant>
        <vt:i4>1</vt:i4>
      </vt:variant>
      <vt:variant>
        <vt:lpstr>Titre</vt:lpstr>
      </vt:variant>
      <vt:variant>
        <vt:i4>1</vt:i4>
      </vt:variant>
    </vt:vector>
  </HeadingPairs>
  <TitlesOfParts>
    <vt:vector size="3" baseType="lpstr">
      <vt:lpstr/>
      <vt:lpstr/>
      <vt:lpstr/>
    </vt:vector>
  </TitlesOfParts>
  <Company>ILO</Company>
  <LinksUpToDate>false</LinksUpToDate>
  <CharactersWithSpaces>19282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Frota, Luis</dc:creator>
  <cp:lastModifiedBy>Martina Pellny</cp:lastModifiedBy>
  <cp:revision>2</cp:revision>
  <dcterms:created xsi:type="dcterms:W3CDTF">2017-10-26T07:01:00Z</dcterms:created>
  <dcterms:modified xsi:type="dcterms:W3CDTF">2017-10-26T07:01:00Z</dcterms:modified>
</cp:coreProperties>
</file>