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AAC" w:rsidRDefault="00DD6AAC" w:rsidP="006C79A5">
      <w:pPr>
        <w:spacing w:after="0" w:line="240" w:lineRule="auto"/>
        <w:jc w:val="center"/>
        <w:rPr>
          <w:b/>
          <w:sz w:val="24"/>
          <w:szCs w:val="24"/>
        </w:rPr>
      </w:pPr>
    </w:p>
    <w:p w:rsidR="003833E4" w:rsidRDefault="001A02B2" w:rsidP="006C79A5">
      <w:pPr>
        <w:spacing w:after="0" w:line="240" w:lineRule="auto"/>
        <w:jc w:val="center"/>
        <w:rPr>
          <w:b/>
          <w:sz w:val="24"/>
          <w:szCs w:val="24"/>
        </w:rPr>
      </w:pPr>
      <w:r>
        <w:rPr>
          <w:b/>
          <w:sz w:val="24"/>
          <w:szCs w:val="24"/>
        </w:rPr>
        <w:t xml:space="preserve">NOTE 3 : </w:t>
      </w:r>
      <w:bookmarkStart w:id="0" w:name="_GoBack"/>
      <w:bookmarkEnd w:id="0"/>
      <w:r w:rsidR="003833E4">
        <w:rPr>
          <w:b/>
          <w:sz w:val="24"/>
          <w:szCs w:val="24"/>
        </w:rPr>
        <w:t>COÛT</w:t>
      </w:r>
      <w:r w:rsidR="00EF3F53">
        <w:rPr>
          <w:b/>
          <w:sz w:val="24"/>
          <w:szCs w:val="24"/>
        </w:rPr>
        <w:t>S</w:t>
      </w:r>
      <w:r w:rsidR="003833E4">
        <w:rPr>
          <w:b/>
          <w:sz w:val="24"/>
          <w:szCs w:val="24"/>
        </w:rPr>
        <w:t xml:space="preserve"> DE LA REFORME CSU</w:t>
      </w:r>
    </w:p>
    <w:p w:rsidR="003833E4" w:rsidRPr="00323D41" w:rsidRDefault="003833E4" w:rsidP="00323D41">
      <w:pPr>
        <w:spacing w:after="0" w:line="240" w:lineRule="auto"/>
        <w:jc w:val="both"/>
        <w:rPr>
          <w:b/>
          <w:color w:val="FF0000"/>
          <w:sz w:val="24"/>
          <w:szCs w:val="24"/>
        </w:rPr>
      </w:pPr>
    </w:p>
    <w:p w:rsidR="00DD6AAC" w:rsidRPr="00323D41" w:rsidRDefault="00DD6AAC" w:rsidP="00323D41">
      <w:pPr>
        <w:spacing w:after="0" w:line="240" w:lineRule="auto"/>
        <w:ind w:firstLine="708"/>
        <w:jc w:val="both"/>
        <w:rPr>
          <w:color w:val="FF0000"/>
          <w:sz w:val="24"/>
          <w:szCs w:val="24"/>
        </w:rPr>
      </w:pPr>
    </w:p>
    <w:p w:rsidR="00C21A32" w:rsidRPr="00B309C1" w:rsidRDefault="00C21A32" w:rsidP="00323D41">
      <w:pPr>
        <w:pStyle w:val="Listenabsatz"/>
        <w:numPr>
          <w:ilvl w:val="0"/>
          <w:numId w:val="14"/>
        </w:numPr>
        <w:spacing w:after="0" w:line="240" w:lineRule="auto"/>
        <w:jc w:val="both"/>
        <w:rPr>
          <w:sz w:val="24"/>
          <w:szCs w:val="24"/>
        </w:rPr>
      </w:pPr>
      <w:r w:rsidRPr="00B309C1">
        <w:rPr>
          <w:b/>
          <w:sz w:val="24"/>
          <w:szCs w:val="24"/>
          <w:u w:val="single"/>
        </w:rPr>
        <w:t xml:space="preserve">CONTEXTE </w:t>
      </w:r>
      <w:r w:rsidRPr="00B309C1">
        <w:rPr>
          <w:sz w:val="24"/>
          <w:szCs w:val="24"/>
        </w:rPr>
        <w:t>:</w:t>
      </w:r>
    </w:p>
    <w:p w:rsidR="00C21A32" w:rsidRPr="00B309C1" w:rsidRDefault="00C21A32" w:rsidP="00323D41">
      <w:pPr>
        <w:pStyle w:val="Default"/>
        <w:ind w:left="2148"/>
        <w:jc w:val="both"/>
        <w:rPr>
          <w:color w:val="auto"/>
        </w:rPr>
      </w:pPr>
    </w:p>
    <w:p w:rsidR="00C21A32" w:rsidRPr="00B309C1" w:rsidRDefault="00972C93" w:rsidP="00323D41">
      <w:pPr>
        <w:pStyle w:val="Default"/>
        <w:ind w:firstLine="705"/>
        <w:jc w:val="both"/>
        <w:rPr>
          <w:color w:val="auto"/>
          <w:sz w:val="22"/>
          <w:szCs w:val="22"/>
        </w:rPr>
      </w:pPr>
      <w:r w:rsidRPr="00B309C1">
        <w:rPr>
          <w:color w:val="auto"/>
          <w:sz w:val="22"/>
          <w:szCs w:val="22"/>
        </w:rPr>
        <w:t>Le Gouvernement avec ses partenaires techniques et financiers a validé en décembre 2015  sa stratégie nationale sur la CSU (</w:t>
      </w:r>
      <w:r w:rsidR="00C21A32" w:rsidRPr="00B309C1">
        <w:rPr>
          <w:color w:val="auto"/>
          <w:sz w:val="22"/>
          <w:szCs w:val="22"/>
        </w:rPr>
        <w:t>SN-CSU</w:t>
      </w:r>
      <w:r w:rsidRPr="00B309C1">
        <w:rPr>
          <w:color w:val="auto"/>
          <w:sz w:val="22"/>
          <w:szCs w:val="22"/>
        </w:rPr>
        <w:t>). Elle</w:t>
      </w:r>
      <w:r w:rsidR="00C21A32" w:rsidRPr="00B309C1">
        <w:rPr>
          <w:color w:val="auto"/>
          <w:sz w:val="22"/>
          <w:szCs w:val="22"/>
        </w:rPr>
        <w:t xml:space="preserve"> s’organise autour de 6 orientations stratégiques qui sont les suivantes: </w:t>
      </w:r>
    </w:p>
    <w:p w:rsidR="00972C93" w:rsidRPr="00B309C1" w:rsidRDefault="00C21A32" w:rsidP="00323D41">
      <w:pPr>
        <w:pStyle w:val="Default"/>
        <w:numPr>
          <w:ilvl w:val="0"/>
          <w:numId w:val="17"/>
        </w:numPr>
        <w:jc w:val="both"/>
        <w:rPr>
          <w:color w:val="auto"/>
          <w:sz w:val="22"/>
          <w:szCs w:val="22"/>
        </w:rPr>
      </w:pPr>
      <w:r w:rsidRPr="00B309C1">
        <w:rPr>
          <w:color w:val="auto"/>
          <w:sz w:val="22"/>
          <w:szCs w:val="22"/>
        </w:rPr>
        <w:t>Protéger les individus et leur famille contre les risques financiers liés à l</w:t>
      </w:r>
      <w:r w:rsidR="00972C93" w:rsidRPr="00B309C1">
        <w:rPr>
          <w:color w:val="auto"/>
          <w:sz w:val="22"/>
          <w:szCs w:val="22"/>
        </w:rPr>
        <w:t>eur accès aux services de santé</w:t>
      </w:r>
    </w:p>
    <w:p w:rsidR="00C21A32" w:rsidRPr="00B309C1" w:rsidRDefault="00C21A32"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Améliorer la disponibilité effective en services de santé de qualité </w:t>
      </w:r>
    </w:p>
    <w:p w:rsidR="00C21A32" w:rsidRPr="00B309C1" w:rsidRDefault="00C21A32"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Diminuer l’exposition de la population aux risques ayant une incidence sur la santé de la population </w:t>
      </w:r>
    </w:p>
    <w:p w:rsidR="00C21A32" w:rsidRPr="00B309C1" w:rsidRDefault="00C21A32"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Mobiliser les ressources financières pour la mise en </w:t>
      </w:r>
      <w:r w:rsidR="00351ED2" w:rsidRPr="00B309C1">
        <w:rPr>
          <w:color w:val="auto"/>
          <w:sz w:val="22"/>
          <w:szCs w:val="22"/>
        </w:rPr>
        <w:t>œuvre</w:t>
      </w:r>
      <w:r w:rsidRPr="00B309C1">
        <w:rPr>
          <w:color w:val="auto"/>
          <w:sz w:val="22"/>
          <w:szCs w:val="22"/>
        </w:rPr>
        <w:t xml:space="preserve"> de la Couverture Santé Universelle </w:t>
      </w:r>
    </w:p>
    <w:p w:rsidR="00C21A32" w:rsidRPr="00B309C1" w:rsidRDefault="00C21A32"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Prendre davantage en compte les souhaits de la population </w:t>
      </w:r>
    </w:p>
    <w:p w:rsidR="00C21A32" w:rsidRPr="00B309C1" w:rsidRDefault="00C21A32"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Faire accéder la population en extrême pauvreté à un socle minimum de prestations sociales et de santé </w:t>
      </w:r>
    </w:p>
    <w:p w:rsidR="00972C93" w:rsidRPr="00B309C1" w:rsidRDefault="00972C93" w:rsidP="00323D41">
      <w:pPr>
        <w:pStyle w:val="Default"/>
        <w:ind w:left="705"/>
        <w:jc w:val="both"/>
        <w:rPr>
          <w:color w:val="auto"/>
        </w:rPr>
      </w:pPr>
    </w:p>
    <w:p w:rsidR="007E5997" w:rsidRPr="00B309C1" w:rsidRDefault="00972C93" w:rsidP="00323D41">
      <w:pPr>
        <w:pStyle w:val="Default"/>
        <w:jc w:val="both"/>
        <w:rPr>
          <w:color w:val="auto"/>
          <w:sz w:val="22"/>
          <w:szCs w:val="22"/>
        </w:rPr>
      </w:pPr>
      <w:r w:rsidRPr="00B309C1">
        <w:rPr>
          <w:color w:val="auto"/>
          <w:sz w:val="22"/>
          <w:szCs w:val="22"/>
        </w:rPr>
        <w:t xml:space="preserve">La situation sanitaire </w:t>
      </w:r>
      <w:r w:rsidR="0046559B" w:rsidRPr="00B309C1">
        <w:rPr>
          <w:color w:val="auto"/>
          <w:sz w:val="22"/>
          <w:szCs w:val="22"/>
        </w:rPr>
        <w:t xml:space="preserve">du pays </w:t>
      </w:r>
      <w:r w:rsidRPr="00B309C1">
        <w:rPr>
          <w:color w:val="auto"/>
          <w:sz w:val="22"/>
          <w:szCs w:val="22"/>
        </w:rPr>
        <w:t>à ce jour est marquée par</w:t>
      </w:r>
      <w:r w:rsidR="007E5997" w:rsidRPr="00B309C1">
        <w:rPr>
          <w:color w:val="auto"/>
          <w:sz w:val="22"/>
          <w:szCs w:val="22"/>
        </w:rPr>
        <w:t> :</w:t>
      </w:r>
    </w:p>
    <w:p w:rsidR="00972C93" w:rsidRPr="00B309C1" w:rsidRDefault="00972C93" w:rsidP="00323D41">
      <w:pPr>
        <w:pStyle w:val="Default"/>
        <w:numPr>
          <w:ilvl w:val="0"/>
          <w:numId w:val="17"/>
        </w:numPr>
        <w:jc w:val="both"/>
        <w:rPr>
          <w:color w:val="auto"/>
          <w:sz w:val="22"/>
          <w:szCs w:val="22"/>
        </w:rPr>
      </w:pPr>
      <w:r w:rsidRPr="00B309C1">
        <w:rPr>
          <w:color w:val="auto"/>
          <w:sz w:val="22"/>
          <w:szCs w:val="22"/>
        </w:rPr>
        <w:t xml:space="preserve"> </w:t>
      </w:r>
      <w:r w:rsidRPr="00B309C1">
        <w:rPr>
          <w:color w:val="auto"/>
          <w:sz w:val="20"/>
          <w:szCs w:val="20"/>
        </w:rPr>
        <w:t xml:space="preserve"> </w:t>
      </w:r>
      <w:r w:rsidRPr="00B309C1">
        <w:rPr>
          <w:color w:val="auto"/>
          <w:sz w:val="22"/>
          <w:szCs w:val="22"/>
        </w:rPr>
        <w:t>une population encore insuffisamment protégée sur le plan financier, car seuls 8% de la population disposent d’une couverture sanitaire basée sur les assurances (OSIE, assurance privée, fonctionnaires, mutuelles…). L’achat des soins est basé sur des paiements directs et 40,81% des dépenses de santé proviennent des ménages. 51% de la population du pays se trouve</w:t>
      </w:r>
      <w:r w:rsidR="0046559B" w:rsidRPr="00B309C1">
        <w:rPr>
          <w:color w:val="auto"/>
          <w:sz w:val="22"/>
          <w:szCs w:val="22"/>
        </w:rPr>
        <w:t>nt</w:t>
      </w:r>
      <w:r w:rsidRPr="00B309C1">
        <w:rPr>
          <w:color w:val="auto"/>
          <w:sz w:val="22"/>
          <w:szCs w:val="22"/>
        </w:rPr>
        <w:t xml:space="preserve"> dans une situation d’extrême pauvreté et demanderai</w:t>
      </w:r>
      <w:r w:rsidR="00782772" w:rsidRPr="00B309C1">
        <w:rPr>
          <w:color w:val="auto"/>
          <w:sz w:val="22"/>
          <w:szCs w:val="22"/>
        </w:rPr>
        <w:t>en</w:t>
      </w:r>
      <w:r w:rsidRPr="00B309C1">
        <w:rPr>
          <w:color w:val="auto"/>
          <w:sz w:val="22"/>
          <w:szCs w:val="22"/>
        </w:rPr>
        <w:t>t à être protégée</w:t>
      </w:r>
      <w:r w:rsidR="00782772" w:rsidRPr="00B309C1">
        <w:rPr>
          <w:color w:val="auto"/>
          <w:sz w:val="22"/>
          <w:szCs w:val="22"/>
        </w:rPr>
        <w:t>s</w:t>
      </w:r>
      <w:r w:rsidRPr="00B309C1">
        <w:rPr>
          <w:color w:val="auto"/>
          <w:sz w:val="22"/>
          <w:szCs w:val="22"/>
        </w:rPr>
        <w:t xml:space="preserve"> des risques financiers liés à l’accès aux soins. </w:t>
      </w:r>
    </w:p>
    <w:p w:rsidR="00972C93" w:rsidRPr="00B309C1" w:rsidRDefault="00972C93" w:rsidP="00323D41">
      <w:pPr>
        <w:pStyle w:val="Default"/>
        <w:numPr>
          <w:ilvl w:val="0"/>
          <w:numId w:val="17"/>
        </w:numPr>
        <w:jc w:val="both"/>
        <w:rPr>
          <w:color w:val="auto"/>
          <w:sz w:val="22"/>
          <w:szCs w:val="22"/>
        </w:rPr>
      </w:pPr>
      <w:r w:rsidRPr="00B309C1">
        <w:rPr>
          <w:color w:val="auto"/>
          <w:sz w:val="20"/>
          <w:szCs w:val="20"/>
        </w:rPr>
        <w:t xml:space="preserve"> </w:t>
      </w:r>
      <w:r w:rsidRPr="00B309C1">
        <w:rPr>
          <w:color w:val="auto"/>
          <w:sz w:val="22"/>
          <w:szCs w:val="22"/>
        </w:rPr>
        <w:t xml:space="preserve">une qualité de soins offerts à la population, de manière générale encore loin d’être satisfaisante, car caractérisée par la vétusté des infrastructures sanitaires équipements et matériels de soins, l’insuffisance en ressources humaines tant quantitativement que qualitativement et le manque en intrants de santé. </w:t>
      </w:r>
    </w:p>
    <w:p w:rsidR="00972C93" w:rsidRPr="00B309C1" w:rsidRDefault="00972C93" w:rsidP="00323D41">
      <w:pPr>
        <w:pStyle w:val="Default"/>
        <w:ind w:left="705"/>
        <w:jc w:val="both"/>
        <w:rPr>
          <w:color w:val="auto"/>
          <w:sz w:val="22"/>
          <w:szCs w:val="22"/>
        </w:rPr>
      </w:pPr>
    </w:p>
    <w:p w:rsidR="00112F45" w:rsidRPr="00B309C1" w:rsidRDefault="007C0B40" w:rsidP="00323D41">
      <w:pPr>
        <w:pStyle w:val="Default"/>
        <w:jc w:val="both"/>
        <w:rPr>
          <w:color w:val="auto"/>
          <w:sz w:val="22"/>
          <w:szCs w:val="22"/>
        </w:rPr>
      </w:pPr>
      <w:r w:rsidRPr="00B309C1">
        <w:rPr>
          <w:color w:val="auto"/>
          <w:sz w:val="22"/>
          <w:szCs w:val="22"/>
        </w:rPr>
        <w:t>Conformément aux orientations stratégiques 1 et 2 de la CN-CSU, qui  consistent  à (i) protéger les individus et leur famille contre les risques financiers liés à leur accès et (ii) améliorer la disponibilité effective en services de santé de qualité et p</w:t>
      </w:r>
      <w:r w:rsidR="007E5997" w:rsidRPr="00B309C1">
        <w:rPr>
          <w:color w:val="auto"/>
          <w:sz w:val="22"/>
          <w:szCs w:val="22"/>
        </w:rPr>
        <w:t xml:space="preserve">our relever les </w:t>
      </w:r>
      <w:r w:rsidR="00972C93" w:rsidRPr="00B309C1">
        <w:rPr>
          <w:color w:val="auto"/>
          <w:sz w:val="22"/>
          <w:szCs w:val="22"/>
        </w:rPr>
        <w:t>grands défis de la CSU</w:t>
      </w:r>
      <w:r w:rsidR="007E5997" w:rsidRPr="00B309C1">
        <w:rPr>
          <w:color w:val="auto"/>
          <w:sz w:val="22"/>
          <w:szCs w:val="22"/>
        </w:rPr>
        <w:t>, le Gouvernement a donné la priorité à</w:t>
      </w:r>
      <w:r w:rsidR="00112F45" w:rsidRPr="00B309C1">
        <w:rPr>
          <w:color w:val="auto"/>
          <w:sz w:val="22"/>
          <w:szCs w:val="22"/>
        </w:rPr>
        <w:t> :</w:t>
      </w:r>
    </w:p>
    <w:p w:rsidR="00112F45" w:rsidRPr="00B309C1" w:rsidRDefault="007E5997" w:rsidP="005F46FE">
      <w:pPr>
        <w:pStyle w:val="Default"/>
        <w:numPr>
          <w:ilvl w:val="0"/>
          <w:numId w:val="18"/>
        </w:numPr>
        <w:jc w:val="both"/>
        <w:rPr>
          <w:color w:val="auto"/>
          <w:sz w:val="22"/>
          <w:szCs w:val="22"/>
        </w:rPr>
      </w:pPr>
      <w:r w:rsidRPr="00B309C1">
        <w:rPr>
          <w:color w:val="auto"/>
          <w:sz w:val="22"/>
          <w:szCs w:val="22"/>
        </w:rPr>
        <w:t>l</w:t>
      </w:r>
      <w:r w:rsidR="00C21A32" w:rsidRPr="00B309C1">
        <w:rPr>
          <w:color w:val="auto"/>
          <w:sz w:val="22"/>
          <w:szCs w:val="22"/>
        </w:rPr>
        <w:t>a mise en place du Dispositif d’Assurance Santé (DAS) composé par une caisse national</w:t>
      </w:r>
      <w:r w:rsidR="00A603A3" w:rsidRPr="00B309C1">
        <w:rPr>
          <w:color w:val="auto"/>
          <w:sz w:val="22"/>
          <w:szCs w:val="22"/>
        </w:rPr>
        <w:t xml:space="preserve">e de solidarité en santé </w:t>
      </w:r>
      <w:r w:rsidR="00C21A32" w:rsidRPr="00B309C1">
        <w:rPr>
          <w:color w:val="auto"/>
          <w:sz w:val="22"/>
          <w:szCs w:val="22"/>
        </w:rPr>
        <w:t>et un fonds dédié (FD) au niveau national pour recueillir et affecter u</w:t>
      </w:r>
      <w:r w:rsidR="003D4ED2" w:rsidRPr="00B309C1">
        <w:rPr>
          <w:color w:val="auto"/>
          <w:sz w:val="22"/>
          <w:szCs w:val="22"/>
        </w:rPr>
        <w:t xml:space="preserve">ne partie des fonds à la </w:t>
      </w:r>
      <w:r w:rsidR="00112F45" w:rsidRPr="00B309C1">
        <w:rPr>
          <w:color w:val="auto"/>
          <w:sz w:val="22"/>
          <w:szCs w:val="22"/>
        </w:rPr>
        <w:t>caisse</w:t>
      </w:r>
      <w:r w:rsidR="003D4ED2" w:rsidRPr="00B309C1">
        <w:rPr>
          <w:color w:val="auto"/>
          <w:sz w:val="22"/>
          <w:szCs w:val="22"/>
        </w:rPr>
        <w:t xml:space="preserve"> </w:t>
      </w:r>
    </w:p>
    <w:p w:rsidR="00C21A32" w:rsidRPr="00B309C1" w:rsidRDefault="00C21A32" w:rsidP="005F46FE">
      <w:pPr>
        <w:pStyle w:val="Default"/>
        <w:numPr>
          <w:ilvl w:val="0"/>
          <w:numId w:val="18"/>
        </w:numPr>
        <w:jc w:val="both"/>
        <w:rPr>
          <w:color w:val="auto"/>
          <w:sz w:val="22"/>
          <w:szCs w:val="22"/>
        </w:rPr>
      </w:pPr>
      <w:r w:rsidRPr="00B309C1">
        <w:rPr>
          <w:color w:val="auto"/>
          <w:sz w:val="22"/>
          <w:szCs w:val="22"/>
        </w:rPr>
        <w:t xml:space="preserve">l’amélioration de la disponibilité des services de santé de qualité. </w:t>
      </w:r>
    </w:p>
    <w:p w:rsidR="00B60904" w:rsidRPr="00B309C1" w:rsidRDefault="00B60904" w:rsidP="00323D41">
      <w:pPr>
        <w:pStyle w:val="Default"/>
        <w:jc w:val="both"/>
        <w:rPr>
          <w:color w:val="auto"/>
          <w:sz w:val="22"/>
          <w:szCs w:val="22"/>
        </w:rPr>
      </w:pPr>
    </w:p>
    <w:p w:rsidR="00C21A32" w:rsidRPr="00B309C1" w:rsidRDefault="00C07432" w:rsidP="00323D41">
      <w:pPr>
        <w:pStyle w:val="Default"/>
        <w:jc w:val="both"/>
        <w:rPr>
          <w:color w:val="auto"/>
          <w:sz w:val="22"/>
          <w:szCs w:val="22"/>
        </w:rPr>
      </w:pPr>
      <w:r w:rsidRPr="00B309C1">
        <w:rPr>
          <w:color w:val="auto"/>
          <w:sz w:val="22"/>
          <w:szCs w:val="22"/>
        </w:rPr>
        <w:t>Ainsi</w:t>
      </w:r>
      <w:r w:rsidR="003D4ED2" w:rsidRPr="00B309C1">
        <w:rPr>
          <w:color w:val="auto"/>
          <w:sz w:val="22"/>
          <w:szCs w:val="22"/>
        </w:rPr>
        <w:t xml:space="preserve">, le Gouvernement </w:t>
      </w:r>
      <w:r w:rsidRPr="00B309C1">
        <w:rPr>
          <w:color w:val="auto"/>
          <w:sz w:val="22"/>
          <w:szCs w:val="22"/>
        </w:rPr>
        <w:t>a signé le 3 octobre 2017 le décret n° 2017-0601</w:t>
      </w:r>
      <w:r w:rsidR="003D4ED2" w:rsidRPr="00B309C1">
        <w:rPr>
          <w:color w:val="auto"/>
          <w:sz w:val="22"/>
          <w:szCs w:val="22"/>
        </w:rPr>
        <w:t xml:space="preserve"> </w:t>
      </w:r>
      <w:r w:rsidR="00C21A32" w:rsidRPr="00B309C1">
        <w:rPr>
          <w:color w:val="auto"/>
          <w:sz w:val="22"/>
          <w:szCs w:val="22"/>
        </w:rPr>
        <w:t>portant</w:t>
      </w:r>
      <w:r w:rsidR="00B60904" w:rsidRPr="00B309C1">
        <w:rPr>
          <w:color w:val="auto"/>
          <w:sz w:val="22"/>
          <w:szCs w:val="22"/>
        </w:rPr>
        <w:t>,</w:t>
      </w:r>
      <w:r w:rsidR="00C21A32" w:rsidRPr="00B309C1">
        <w:rPr>
          <w:color w:val="auto"/>
          <w:sz w:val="22"/>
          <w:szCs w:val="22"/>
        </w:rPr>
        <w:t xml:space="preserve"> création</w:t>
      </w:r>
      <w:r w:rsidR="00B60904" w:rsidRPr="00B309C1">
        <w:rPr>
          <w:color w:val="auto"/>
          <w:sz w:val="22"/>
          <w:szCs w:val="22"/>
        </w:rPr>
        <w:t>,</w:t>
      </w:r>
      <w:r w:rsidR="00C21A32" w:rsidRPr="00B309C1">
        <w:rPr>
          <w:color w:val="auto"/>
          <w:sz w:val="22"/>
          <w:szCs w:val="22"/>
        </w:rPr>
        <w:t xml:space="preserve"> </w:t>
      </w:r>
      <w:r w:rsidRPr="00B309C1">
        <w:rPr>
          <w:color w:val="auto"/>
          <w:sz w:val="22"/>
          <w:szCs w:val="22"/>
        </w:rPr>
        <w:t xml:space="preserve">organisation et fonctionnement </w:t>
      </w:r>
      <w:r w:rsidR="00C21A32" w:rsidRPr="00B309C1">
        <w:rPr>
          <w:color w:val="auto"/>
          <w:sz w:val="22"/>
          <w:szCs w:val="22"/>
        </w:rPr>
        <w:t xml:space="preserve">de la caisse nationale de solidarité </w:t>
      </w:r>
      <w:r w:rsidRPr="00B309C1">
        <w:rPr>
          <w:color w:val="auto"/>
          <w:sz w:val="22"/>
          <w:szCs w:val="22"/>
        </w:rPr>
        <w:t>pour</w:t>
      </w:r>
      <w:r w:rsidR="00C21A32" w:rsidRPr="00B309C1">
        <w:rPr>
          <w:color w:val="auto"/>
          <w:sz w:val="22"/>
          <w:szCs w:val="22"/>
        </w:rPr>
        <w:t xml:space="preserve"> la santé</w:t>
      </w:r>
      <w:r w:rsidR="00A603A3" w:rsidRPr="00B309C1">
        <w:rPr>
          <w:color w:val="auto"/>
          <w:sz w:val="22"/>
          <w:szCs w:val="22"/>
        </w:rPr>
        <w:t xml:space="preserve"> (CNSS)</w:t>
      </w:r>
      <w:r w:rsidRPr="00B309C1">
        <w:rPr>
          <w:color w:val="auto"/>
          <w:sz w:val="22"/>
          <w:szCs w:val="22"/>
        </w:rPr>
        <w:t>.</w:t>
      </w:r>
      <w:r w:rsidR="00C21A32" w:rsidRPr="00B309C1">
        <w:rPr>
          <w:color w:val="auto"/>
          <w:sz w:val="22"/>
          <w:szCs w:val="22"/>
        </w:rPr>
        <w:t xml:space="preserve"> </w:t>
      </w:r>
      <w:r w:rsidR="00A603A3" w:rsidRPr="00B309C1">
        <w:rPr>
          <w:color w:val="auto"/>
          <w:sz w:val="22"/>
          <w:szCs w:val="22"/>
        </w:rPr>
        <w:t xml:space="preserve"> C</w:t>
      </w:r>
      <w:r w:rsidR="00112F45" w:rsidRPr="00B309C1">
        <w:rPr>
          <w:color w:val="auto"/>
          <w:sz w:val="22"/>
          <w:szCs w:val="22"/>
        </w:rPr>
        <w:t xml:space="preserve">ette caisse </w:t>
      </w:r>
      <w:r w:rsidR="00A603A3" w:rsidRPr="00B309C1">
        <w:rPr>
          <w:color w:val="auto"/>
          <w:sz w:val="22"/>
          <w:szCs w:val="22"/>
        </w:rPr>
        <w:t>prendra en charge</w:t>
      </w:r>
      <w:r w:rsidR="00112F45" w:rsidRPr="00B309C1">
        <w:rPr>
          <w:color w:val="auto"/>
          <w:sz w:val="22"/>
          <w:szCs w:val="22"/>
        </w:rPr>
        <w:t xml:space="preserve"> une partie d</w:t>
      </w:r>
      <w:r w:rsidR="00A603A3" w:rsidRPr="00B309C1">
        <w:rPr>
          <w:color w:val="auto"/>
          <w:sz w:val="22"/>
          <w:szCs w:val="22"/>
        </w:rPr>
        <w:t>es coûts des soins offerts à la population</w:t>
      </w:r>
      <w:r w:rsidR="005F46FE" w:rsidRPr="00B309C1">
        <w:rPr>
          <w:color w:val="auto"/>
          <w:sz w:val="22"/>
          <w:szCs w:val="22"/>
        </w:rPr>
        <w:t>.</w:t>
      </w:r>
      <w:r w:rsidR="00A603A3" w:rsidRPr="00B309C1">
        <w:rPr>
          <w:color w:val="auto"/>
          <w:sz w:val="22"/>
          <w:szCs w:val="22"/>
        </w:rPr>
        <w:t xml:space="preserve"> </w:t>
      </w:r>
      <w:r w:rsidR="005F46FE" w:rsidRPr="00B309C1">
        <w:rPr>
          <w:color w:val="auto"/>
          <w:sz w:val="22"/>
          <w:szCs w:val="22"/>
        </w:rPr>
        <w:t>E</w:t>
      </w:r>
      <w:r w:rsidR="00B60904" w:rsidRPr="00B309C1">
        <w:rPr>
          <w:color w:val="auto"/>
          <w:sz w:val="22"/>
          <w:szCs w:val="22"/>
        </w:rPr>
        <w:t xml:space="preserve">lle </w:t>
      </w:r>
      <w:r w:rsidR="00A603A3" w:rsidRPr="00B309C1">
        <w:rPr>
          <w:color w:val="auto"/>
          <w:sz w:val="22"/>
          <w:szCs w:val="22"/>
        </w:rPr>
        <w:t xml:space="preserve">sera financée par les contributions des membres adhérents et les subventions par des  tiers (Etat et partenaires…) </w:t>
      </w:r>
      <w:r w:rsidR="00112F45" w:rsidRPr="00B309C1">
        <w:rPr>
          <w:color w:val="auto"/>
          <w:sz w:val="22"/>
          <w:szCs w:val="22"/>
        </w:rPr>
        <w:t>destiné</w:t>
      </w:r>
      <w:r w:rsidR="00B60904" w:rsidRPr="00B309C1">
        <w:rPr>
          <w:color w:val="auto"/>
          <w:sz w:val="22"/>
          <w:szCs w:val="22"/>
        </w:rPr>
        <w:t>es</w:t>
      </w:r>
      <w:r w:rsidR="00112F45" w:rsidRPr="00B309C1">
        <w:rPr>
          <w:color w:val="auto"/>
          <w:sz w:val="22"/>
          <w:szCs w:val="22"/>
        </w:rPr>
        <w:t xml:space="preserve"> </w:t>
      </w:r>
      <w:r w:rsidR="00B60904" w:rsidRPr="00B309C1">
        <w:rPr>
          <w:color w:val="auto"/>
          <w:sz w:val="22"/>
          <w:szCs w:val="22"/>
        </w:rPr>
        <w:t>à prendre en charge les</w:t>
      </w:r>
      <w:r w:rsidR="00112F45" w:rsidRPr="00B309C1">
        <w:rPr>
          <w:color w:val="auto"/>
          <w:sz w:val="22"/>
          <w:szCs w:val="22"/>
        </w:rPr>
        <w:t xml:space="preserve"> plus </w:t>
      </w:r>
      <w:r w:rsidR="00A603A3" w:rsidRPr="00B309C1">
        <w:rPr>
          <w:color w:val="auto"/>
          <w:sz w:val="22"/>
          <w:szCs w:val="22"/>
        </w:rPr>
        <w:t xml:space="preserve"> pauvres</w:t>
      </w:r>
      <w:r w:rsidR="00B60904" w:rsidRPr="00B309C1">
        <w:rPr>
          <w:color w:val="auto"/>
          <w:sz w:val="22"/>
          <w:szCs w:val="22"/>
        </w:rPr>
        <w:t xml:space="preserve"> et vulnérables</w:t>
      </w:r>
      <w:r w:rsidR="00A603A3" w:rsidRPr="00B309C1">
        <w:rPr>
          <w:color w:val="auto"/>
          <w:sz w:val="22"/>
          <w:szCs w:val="22"/>
        </w:rPr>
        <w:t>.</w:t>
      </w:r>
    </w:p>
    <w:p w:rsidR="00B60904" w:rsidRPr="00B309C1" w:rsidRDefault="00B60904" w:rsidP="00323D41">
      <w:pPr>
        <w:spacing w:after="0" w:line="240" w:lineRule="auto"/>
        <w:ind w:firstLine="705"/>
        <w:jc w:val="both"/>
        <w:rPr>
          <w:sz w:val="24"/>
          <w:szCs w:val="24"/>
        </w:rPr>
      </w:pPr>
    </w:p>
    <w:p w:rsidR="002F7471" w:rsidRPr="00B309C1" w:rsidRDefault="00B60904" w:rsidP="00323D41">
      <w:pPr>
        <w:spacing w:after="0" w:line="240" w:lineRule="auto"/>
        <w:jc w:val="both"/>
        <w:rPr>
          <w:sz w:val="24"/>
          <w:szCs w:val="24"/>
        </w:rPr>
      </w:pPr>
      <w:r w:rsidRPr="00B309C1">
        <w:rPr>
          <w:sz w:val="24"/>
          <w:szCs w:val="24"/>
        </w:rPr>
        <w:t>Dans ce document l</w:t>
      </w:r>
      <w:r w:rsidR="002F7471" w:rsidRPr="00B309C1">
        <w:rPr>
          <w:sz w:val="24"/>
          <w:szCs w:val="24"/>
        </w:rPr>
        <w:t>’</w:t>
      </w:r>
      <w:r w:rsidR="00C07432" w:rsidRPr="00B309C1">
        <w:rPr>
          <w:sz w:val="24"/>
          <w:szCs w:val="24"/>
        </w:rPr>
        <w:t xml:space="preserve">évaluation </w:t>
      </w:r>
      <w:r w:rsidR="00B149B9" w:rsidRPr="00B309C1">
        <w:rPr>
          <w:sz w:val="24"/>
          <w:szCs w:val="24"/>
        </w:rPr>
        <w:t>de</w:t>
      </w:r>
      <w:r w:rsidR="00C07432" w:rsidRPr="00B309C1">
        <w:rPr>
          <w:sz w:val="24"/>
          <w:szCs w:val="24"/>
        </w:rPr>
        <w:t xml:space="preserve"> la réforme CSU, concerne</w:t>
      </w:r>
      <w:r w:rsidR="002F7471" w:rsidRPr="00B309C1">
        <w:rPr>
          <w:sz w:val="24"/>
          <w:szCs w:val="24"/>
        </w:rPr>
        <w:t> </w:t>
      </w:r>
      <w:r w:rsidR="0009317D" w:rsidRPr="00B309C1">
        <w:rPr>
          <w:sz w:val="24"/>
          <w:szCs w:val="24"/>
        </w:rPr>
        <w:t xml:space="preserve">l’ensemble du pays </w:t>
      </w:r>
      <w:r w:rsidRPr="00B309C1">
        <w:rPr>
          <w:sz w:val="24"/>
          <w:szCs w:val="24"/>
        </w:rPr>
        <w:t xml:space="preserve">par rapport à </w:t>
      </w:r>
      <w:r w:rsidR="002F7471" w:rsidRPr="00B309C1">
        <w:rPr>
          <w:sz w:val="24"/>
          <w:szCs w:val="24"/>
        </w:rPr>
        <w:t>:</w:t>
      </w:r>
    </w:p>
    <w:p w:rsidR="002F7471" w:rsidRPr="00B309C1" w:rsidRDefault="00B149B9" w:rsidP="00323D41">
      <w:pPr>
        <w:pStyle w:val="Listenabsatz"/>
        <w:numPr>
          <w:ilvl w:val="0"/>
          <w:numId w:val="17"/>
        </w:numPr>
        <w:spacing w:after="0" w:line="240" w:lineRule="auto"/>
        <w:jc w:val="both"/>
        <w:rPr>
          <w:sz w:val="24"/>
          <w:szCs w:val="24"/>
        </w:rPr>
      </w:pPr>
      <w:r w:rsidRPr="00B309C1">
        <w:rPr>
          <w:sz w:val="24"/>
          <w:szCs w:val="24"/>
        </w:rPr>
        <w:t xml:space="preserve">la mise en place </w:t>
      </w:r>
      <w:r w:rsidR="006365CC" w:rsidRPr="00B309C1">
        <w:rPr>
          <w:sz w:val="24"/>
          <w:szCs w:val="24"/>
        </w:rPr>
        <w:t xml:space="preserve">et le fonctionnement </w:t>
      </w:r>
      <w:r w:rsidRPr="00B309C1">
        <w:rPr>
          <w:sz w:val="24"/>
          <w:szCs w:val="24"/>
        </w:rPr>
        <w:t>des antennes de la CNSS d</w:t>
      </w:r>
      <w:r w:rsidR="002F7471" w:rsidRPr="00B309C1">
        <w:rPr>
          <w:sz w:val="24"/>
          <w:szCs w:val="24"/>
        </w:rPr>
        <w:t>ans l</w:t>
      </w:r>
      <w:r w:rsidRPr="00B309C1">
        <w:rPr>
          <w:sz w:val="24"/>
          <w:szCs w:val="24"/>
        </w:rPr>
        <w:t>es 114 districts du pays</w:t>
      </w:r>
      <w:r w:rsidR="002F7471" w:rsidRPr="00B309C1">
        <w:rPr>
          <w:sz w:val="24"/>
          <w:szCs w:val="24"/>
        </w:rPr>
        <w:t xml:space="preserve">, </w:t>
      </w:r>
      <w:r w:rsidR="0009317D" w:rsidRPr="00B309C1">
        <w:rPr>
          <w:sz w:val="24"/>
          <w:szCs w:val="24"/>
        </w:rPr>
        <w:t>et</w:t>
      </w:r>
      <w:r w:rsidR="006365CC" w:rsidRPr="00B309C1">
        <w:rPr>
          <w:sz w:val="24"/>
          <w:szCs w:val="24"/>
        </w:rPr>
        <w:t xml:space="preserve"> le coût de l’adhésion</w:t>
      </w:r>
      <w:r w:rsidR="002F7471" w:rsidRPr="00B309C1">
        <w:rPr>
          <w:sz w:val="24"/>
          <w:szCs w:val="24"/>
        </w:rPr>
        <w:t xml:space="preserve"> </w:t>
      </w:r>
      <w:r w:rsidR="0009317D" w:rsidRPr="00B309C1">
        <w:rPr>
          <w:sz w:val="24"/>
          <w:szCs w:val="24"/>
        </w:rPr>
        <w:t xml:space="preserve">à partir </w:t>
      </w:r>
      <w:r w:rsidR="006365CC" w:rsidRPr="00B309C1">
        <w:rPr>
          <w:sz w:val="24"/>
          <w:szCs w:val="24"/>
        </w:rPr>
        <w:t xml:space="preserve">des </w:t>
      </w:r>
      <w:r w:rsidR="002F7471" w:rsidRPr="00B309C1">
        <w:rPr>
          <w:sz w:val="24"/>
          <w:szCs w:val="24"/>
        </w:rPr>
        <w:t xml:space="preserve"> villages/quartiers (fokontany)</w:t>
      </w:r>
      <w:r w:rsidRPr="00B309C1">
        <w:rPr>
          <w:sz w:val="24"/>
          <w:szCs w:val="24"/>
        </w:rPr>
        <w:t>,</w:t>
      </w:r>
    </w:p>
    <w:p w:rsidR="00112F45" w:rsidRPr="00B309C1" w:rsidRDefault="00C07432" w:rsidP="00323D41">
      <w:pPr>
        <w:pStyle w:val="Listenabsatz"/>
        <w:numPr>
          <w:ilvl w:val="0"/>
          <w:numId w:val="17"/>
        </w:numPr>
        <w:spacing w:after="0" w:line="240" w:lineRule="auto"/>
        <w:jc w:val="both"/>
        <w:rPr>
          <w:sz w:val="24"/>
          <w:szCs w:val="24"/>
        </w:rPr>
      </w:pPr>
      <w:r w:rsidRPr="00B309C1">
        <w:rPr>
          <w:sz w:val="24"/>
          <w:szCs w:val="24"/>
        </w:rPr>
        <w:t xml:space="preserve">les </w:t>
      </w:r>
      <w:r w:rsidR="00112F45" w:rsidRPr="00B309C1">
        <w:rPr>
          <w:sz w:val="24"/>
          <w:szCs w:val="24"/>
        </w:rPr>
        <w:t>coûts des soins</w:t>
      </w:r>
      <w:r w:rsidR="00B149B9" w:rsidRPr="00B309C1">
        <w:rPr>
          <w:sz w:val="24"/>
          <w:szCs w:val="24"/>
        </w:rPr>
        <w:t xml:space="preserve"> offerts par les centres de santé de base (CSB1/CSB2) et centres hospitaliers de référence de district (CHRD)</w:t>
      </w:r>
      <w:r w:rsidR="00112F45" w:rsidRPr="00B309C1">
        <w:rPr>
          <w:sz w:val="24"/>
          <w:szCs w:val="24"/>
        </w:rPr>
        <w:t xml:space="preserve"> </w:t>
      </w:r>
      <w:r w:rsidR="00A603A3" w:rsidRPr="00B309C1">
        <w:rPr>
          <w:sz w:val="24"/>
          <w:szCs w:val="24"/>
        </w:rPr>
        <w:t>aux membres bénéficiaires</w:t>
      </w:r>
      <w:r w:rsidR="002F7471" w:rsidRPr="00B309C1">
        <w:rPr>
          <w:sz w:val="24"/>
          <w:szCs w:val="24"/>
        </w:rPr>
        <w:t xml:space="preserve"> de la caisse. </w:t>
      </w:r>
      <w:r w:rsidR="00323D41" w:rsidRPr="00B309C1">
        <w:rPr>
          <w:sz w:val="24"/>
          <w:szCs w:val="24"/>
        </w:rPr>
        <w:t xml:space="preserve">Ainsi, </w:t>
      </w:r>
      <w:r w:rsidR="006365CC" w:rsidRPr="00B309C1">
        <w:rPr>
          <w:sz w:val="24"/>
          <w:szCs w:val="24"/>
        </w:rPr>
        <w:t>la réforme</w:t>
      </w:r>
      <w:r w:rsidR="00323D41" w:rsidRPr="00B309C1">
        <w:rPr>
          <w:sz w:val="24"/>
          <w:szCs w:val="24"/>
        </w:rPr>
        <w:t xml:space="preserve"> CSU </w:t>
      </w:r>
      <w:r w:rsidR="00112F45" w:rsidRPr="00B309C1">
        <w:rPr>
          <w:sz w:val="24"/>
          <w:szCs w:val="24"/>
        </w:rPr>
        <w:t xml:space="preserve"> concerne </w:t>
      </w:r>
      <w:r w:rsidR="00323D41" w:rsidRPr="00B309C1">
        <w:rPr>
          <w:sz w:val="24"/>
          <w:szCs w:val="24"/>
        </w:rPr>
        <w:t>dans sa première étape, les</w:t>
      </w:r>
      <w:r w:rsidR="0009317D" w:rsidRPr="00B309C1">
        <w:rPr>
          <w:sz w:val="24"/>
          <w:szCs w:val="24"/>
        </w:rPr>
        <w:t xml:space="preserve"> 2</w:t>
      </w:r>
      <w:r w:rsidR="00A603A3" w:rsidRPr="00B309C1">
        <w:rPr>
          <w:sz w:val="24"/>
          <w:szCs w:val="24"/>
        </w:rPr>
        <w:t xml:space="preserve"> niveaux du système de santé</w:t>
      </w:r>
      <w:r w:rsidR="00112F45" w:rsidRPr="00B309C1">
        <w:rPr>
          <w:sz w:val="24"/>
          <w:szCs w:val="24"/>
        </w:rPr>
        <w:t xml:space="preserve"> </w:t>
      </w:r>
      <w:r w:rsidR="00D36B79" w:rsidRPr="00B309C1">
        <w:rPr>
          <w:sz w:val="24"/>
          <w:szCs w:val="24"/>
        </w:rPr>
        <w:t xml:space="preserve">public </w:t>
      </w:r>
      <w:r w:rsidR="00112F45" w:rsidRPr="00B309C1">
        <w:rPr>
          <w:sz w:val="24"/>
          <w:szCs w:val="24"/>
        </w:rPr>
        <w:t>(CSB et CHRD)</w:t>
      </w:r>
      <w:r w:rsidR="0009317D" w:rsidRPr="00B309C1">
        <w:rPr>
          <w:sz w:val="24"/>
          <w:szCs w:val="24"/>
        </w:rPr>
        <w:t xml:space="preserve"> moyennant</w:t>
      </w:r>
      <w:r w:rsidR="00112F45" w:rsidRPr="00B309C1">
        <w:rPr>
          <w:sz w:val="24"/>
          <w:szCs w:val="24"/>
        </w:rPr>
        <w:t xml:space="preserve"> un paquet de soins bien défini. </w:t>
      </w:r>
    </w:p>
    <w:p w:rsidR="00323D41" w:rsidRPr="00B309C1" w:rsidRDefault="00323D41" w:rsidP="00323D41">
      <w:pPr>
        <w:pStyle w:val="Listenabsatz"/>
        <w:spacing w:after="0" w:line="240" w:lineRule="auto"/>
        <w:ind w:left="1065"/>
        <w:jc w:val="both"/>
        <w:rPr>
          <w:sz w:val="24"/>
          <w:szCs w:val="24"/>
        </w:rPr>
      </w:pPr>
    </w:p>
    <w:p w:rsidR="00F96145" w:rsidRPr="00B309C1" w:rsidRDefault="0009317D" w:rsidP="00323D41">
      <w:pPr>
        <w:spacing w:after="0" w:line="240" w:lineRule="auto"/>
        <w:jc w:val="both"/>
      </w:pPr>
      <w:r w:rsidRPr="00B309C1">
        <w:rPr>
          <w:sz w:val="24"/>
          <w:szCs w:val="24"/>
        </w:rPr>
        <w:t>La deuxième partie du document</w:t>
      </w:r>
      <w:r w:rsidR="00A9465B" w:rsidRPr="00B309C1">
        <w:rPr>
          <w:sz w:val="24"/>
          <w:szCs w:val="24"/>
        </w:rPr>
        <w:t xml:space="preserve"> présente </w:t>
      </w:r>
      <w:r w:rsidRPr="00B309C1">
        <w:rPr>
          <w:sz w:val="24"/>
          <w:szCs w:val="24"/>
        </w:rPr>
        <w:t xml:space="preserve">les résultats </w:t>
      </w:r>
      <w:r w:rsidR="007B0C0D" w:rsidRPr="00B309C1">
        <w:rPr>
          <w:sz w:val="24"/>
          <w:szCs w:val="24"/>
        </w:rPr>
        <w:t>de l’évaluation des</w:t>
      </w:r>
      <w:r w:rsidRPr="00B309C1">
        <w:rPr>
          <w:sz w:val="24"/>
          <w:szCs w:val="24"/>
        </w:rPr>
        <w:t xml:space="preserve"> coûts </w:t>
      </w:r>
      <w:r w:rsidR="00361E1F" w:rsidRPr="00B309C1">
        <w:t xml:space="preserve">des 3 </w:t>
      </w:r>
      <w:r w:rsidR="00781A78" w:rsidRPr="00B309C1">
        <w:t xml:space="preserve">sites de démarrage </w:t>
      </w:r>
      <w:r w:rsidR="00A9465B" w:rsidRPr="00B309C1">
        <w:t xml:space="preserve">proposés </w:t>
      </w:r>
      <w:r w:rsidR="00781A78" w:rsidRPr="00B309C1">
        <w:t xml:space="preserve"> par le Ministère de la Santé </w:t>
      </w:r>
      <w:r w:rsidR="00A9465B" w:rsidRPr="00B309C1">
        <w:t xml:space="preserve">pour </w:t>
      </w:r>
      <w:r w:rsidR="00F96145" w:rsidRPr="00B309C1">
        <w:t>servir de lieux d’</w:t>
      </w:r>
      <w:r w:rsidR="00493E8C" w:rsidRPr="00B309C1">
        <w:t xml:space="preserve">expérimentation </w:t>
      </w:r>
      <w:r w:rsidR="00781A78" w:rsidRPr="00B309C1">
        <w:t>en vue de</w:t>
      </w:r>
      <w:r w:rsidR="00361E1F" w:rsidRPr="00B309C1">
        <w:t xml:space="preserve"> </w:t>
      </w:r>
      <w:r w:rsidR="00F96145" w:rsidRPr="00B309C1">
        <w:t xml:space="preserve"> </w:t>
      </w:r>
      <w:r w:rsidR="00C2682F" w:rsidRPr="00B309C1">
        <w:t>la généralisation</w:t>
      </w:r>
      <w:r w:rsidR="00323D41" w:rsidRPr="00B309C1">
        <w:t xml:space="preserve"> </w:t>
      </w:r>
      <w:r w:rsidR="00C2682F" w:rsidRPr="00B309C1">
        <w:t xml:space="preserve"> </w:t>
      </w:r>
      <w:r w:rsidR="00A9465B" w:rsidRPr="00B309C1">
        <w:t>dans l’ensemble du pays</w:t>
      </w:r>
      <w:r w:rsidR="00F96145" w:rsidRPr="00B309C1">
        <w:t xml:space="preserve">.  Les sites concernés </w:t>
      </w:r>
      <w:r w:rsidR="00C2682F" w:rsidRPr="00B309C1">
        <w:t xml:space="preserve">par le démarrage </w:t>
      </w:r>
      <w:r w:rsidR="00F96145" w:rsidRPr="00B309C1">
        <w:t>sont les districts de Faratsiho  Va</w:t>
      </w:r>
      <w:r w:rsidR="00A810C1" w:rsidRPr="00B309C1">
        <w:t>tomandry</w:t>
      </w:r>
      <w:r w:rsidR="00F96145" w:rsidRPr="00B309C1">
        <w:t xml:space="preserve"> et Manandriana .</w:t>
      </w:r>
      <w:r w:rsidR="005022C8" w:rsidRPr="00B309C1">
        <w:t xml:space="preserve">  </w:t>
      </w:r>
    </w:p>
    <w:p w:rsidR="00323D41" w:rsidRDefault="00323D41" w:rsidP="00323D41">
      <w:pPr>
        <w:spacing w:after="0" w:line="240" w:lineRule="auto"/>
        <w:jc w:val="both"/>
      </w:pPr>
    </w:p>
    <w:p w:rsidR="00361E1F" w:rsidRDefault="00361E1F" w:rsidP="00323D41">
      <w:pPr>
        <w:spacing w:after="0" w:line="240" w:lineRule="auto"/>
      </w:pPr>
    </w:p>
    <w:p w:rsidR="00B93A32" w:rsidRDefault="00C21A32" w:rsidP="00323D41">
      <w:pPr>
        <w:pStyle w:val="Listenabsatz"/>
        <w:ind w:left="1080"/>
      </w:pPr>
      <w:r>
        <w:rPr>
          <w:b/>
          <w:u w:val="single"/>
        </w:rPr>
        <w:lastRenderedPageBreak/>
        <w:t xml:space="preserve">II) </w:t>
      </w:r>
      <w:r w:rsidR="00361E1F" w:rsidRPr="003B56F4">
        <w:rPr>
          <w:b/>
          <w:u w:val="single"/>
        </w:rPr>
        <w:t xml:space="preserve">BUDGETISATION POUR LA MISE EN ŒUVRE PROGRESSIVE DE LA </w:t>
      </w:r>
      <w:r w:rsidR="0022332D" w:rsidRPr="003B56F4">
        <w:rPr>
          <w:b/>
          <w:u w:val="single"/>
        </w:rPr>
        <w:t>REFORME</w:t>
      </w:r>
      <w:r w:rsidR="00361E1F" w:rsidRPr="003B56F4">
        <w:rPr>
          <w:b/>
          <w:u w:val="single"/>
        </w:rPr>
        <w:t> </w:t>
      </w:r>
      <w:r w:rsidR="00361E1F">
        <w:t>:</w:t>
      </w:r>
    </w:p>
    <w:p w:rsidR="008F4403" w:rsidRDefault="0022332D" w:rsidP="00360FD8">
      <w:pPr>
        <w:pStyle w:val="Listenabsatz"/>
        <w:numPr>
          <w:ilvl w:val="0"/>
          <w:numId w:val="9"/>
        </w:numPr>
        <w:spacing w:after="0" w:line="240" w:lineRule="auto"/>
        <w:ind w:left="1418"/>
        <w:jc w:val="both"/>
      </w:pPr>
      <w:r w:rsidRPr="000C32C4">
        <w:rPr>
          <w:u w:val="single"/>
        </w:rPr>
        <w:t>Population concernée par la réforme</w:t>
      </w:r>
      <w:r w:rsidR="008F4403">
        <w:t> :</w:t>
      </w:r>
    </w:p>
    <w:p w:rsidR="0022332D" w:rsidRDefault="0022332D" w:rsidP="008F4403">
      <w:pPr>
        <w:spacing w:after="0" w:line="240" w:lineRule="auto"/>
        <w:jc w:val="both"/>
      </w:pPr>
      <w:r w:rsidRPr="002452D3">
        <w:t xml:space="preserve">Avec </w:t>
      </w:r>
      <w:r>
        <w:t xml:space="preserve"> le maintien à un taux de 8% </w:t>
      </w:r>
      <w:r w:rsidR="004665F9">
        <w:t xml:space="preserve">par an </w:t>
      </w:r>
      <w:r w:rsidR="00C478EE">
        <w:t>des membres adhérents</w:t>
      </w:r>
      <w:r>
        <w:t xml:space="preserve"> </w:t>
      </w:r>
      <w:r w:rsidR="00C478EE">
        <w:t>du</w:t>
      </w:r>
      <w:r>
        <w:t xml:space="preserve"> secteur formel, la barre de</w:t>
      </w:r>
      <w:r w:rsidR="004665F9">
        <w:t xml:space="preserve"> 56</w:t>
      </w:r>
      <w:r>
        <w:t xml:space="preserve">% de la population intégrée dans le système de prépaiement </w:t>
      </w:r>
      <w:r w:rsidR="00C478EE">
        <w:t>sera</w:t>
      </w:r>
      <w:r>
        <w:t xml:space="preserve"> atteint</w:t>
      </w:r>
      <w:r w:rsidR="004665F9">
        <w:t>e</w:t>
      </w:r>
      <w:r>
        <w:t xml:space="preserve"> en 2030 </w:t>
      </w:r>
      <w:r w:rsidR="004665F9">
        <w:t xml:space="preserve">avec </w:t>
      </w:r>
      <w:r>
        <w:t> </w:t>
      </w:r>
      <w:r w:rsidR="004665F9">
        <w:t>18 458</w:t>
      </w:r>
      <w:r w:rsidR="00B93A32">
        <w:t xml:space="preserve"> 587 </w:t>
      </w:r>
      <w:r>
        <w:t xml:space="preserve">habitants. </w:t>
      </w:r>
      <w:r w:rsidR="00B93A32">
        <w:t xml:space="preserve">Au début les contributions sont volontaires pour devenir obligatoires </w:t>
      </w:r>
      <w:r w:rsidR="00C478EE">
        <w:t xml:space="preserve">vers 2023, </w:t>
      </w:r>
      <w:r w:rsidR="00B93A32">
        <w:t>6 ans</w:t>
      </w:r>
      <w:r w:rsidR="00C478EE">
        <w:t xml:space="preserve"> après le début de la réforme</w:t>
      </w:r>
      <w:r w:rsidR="00B93A32">
        <w:t>.</w:t>
      </w:r>
      <w:r w:rsidR="00D85026">
        <w:t xml:space="preserve"> Pour ce faire,</w:t>
      </w:r>
      <w:r w:rsidR="00BA7A51">
        <w:t xml:space="preserve"> </w:t>
      </w:r>
      <w:r w:rsidR="00D85026">
        <w:t>l</w:t>
      </w:r>
      <w:r w:rsidR="00BA7A51">
        <w:t>es activités de sensibilisation doivent être intens</w:t>
      </w:r>
      <w:r w:rsidR="00D85026">
        <w:t xml:space="preserve">es </w:t>
      </w:r>
      <w:r w:rsidR="00BA7A51">
        <w:t xml:space="preserve">au cours des premières années du projet. </w:t>
      </w:r>
      <w:r w:rsidR="00B93A32">
        <w:t xml:space="preserve"> </w:t>
      </w:r>
    </w:p>
    <w:p w:rsidR="0073686A" w:rsidRDefault="0073686A" w:rsidP="008F4403">
      <w:pPr>
        <w:spacing w:after="0" w:line="240" w:lineRule="auto"/>
        <w:jc w:val="both"/>
      </w:pPr>
    </w:p>
    <w:p w:rsidR="00783A02" w:rsidRPr="002452D3" w:rsidRDefault="0073686A" w:rsidP="008F4403">
      <w:pPr>
        <w:spacing w:after="0" w:line="240" w:lineRule="auto"/>
        <w:jc w:val="both"/>
      </w:pPr>
      <w:r w:rsidRPr="0073686A">
        <w:rPr>
          <w:b/>
        </w:rPr>
        <w:t>Graphique 1 </w:t>
      </w:r>
      <w:r>
        <w:t>: Evolution de la prise en charge de la population par le système</w:t>
      </w:r>
    </w:p>
    <w:p w:rsidR="0022332D" w:rsidRDefault="004665F9" w:rsidP="008F4403">
      <w:pPr>
        <w:spacing w:after="0" w:line="240" w:lineRule="auto"/>
        <w:jc w:val="both"/>
      </w:pPr>
      <w:r>
        <w:rPr>
          <w:noProof/>
          <w:lang w:val="de-DE" w:eastAsia="de-DE"/>
        </w:rPr>
        <w:drawing>
          <wp:inline distT="0" distB="0" distL="0" distR="0" wp14:anchorId="37DC3DB4" wp14:editId="1737E2C2">
            <wp:extent cx="5534025" cy="2466975"/>
            <wp:effectExtent l="0" t="0" r="9525" b="9525"/>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3686A" w:rsidRPr="00F71A41" w:rsidRDefault="0073686A" w:rsidP="00F71A41">
      <w:pPr>
        <w:spacing w:after="0" w:line="240" w:lineRule="auto"/>
        <w:jc w:val="both"/>
        <w:rPr>
          <w:sz w:val="16"/>
          <w:szCs w:val="16"/>
        </w:rPr>
      </w:pPr>
      <w:r w:rsidRPr="00F71A41">
        <w:rPr>
          <w:sz w:val="16"/>
          <w:szCs w:val="16"/>
        </w:rPr>
        <w:t>Source : Bureau OMS pays</w:t>
      </w:r>
    </w:p>
    <w:p w:rsidR="00783A02" w:rsidRDefault="00783A02" w:rsidP="00783A02">
      <w:pPr>
        <w:pStyle w:val="Listenabsatz"/>
        <w:spacing w:after="0" w:line="240" w:lineRule="auto"/>
        <w:jc w:val="both"/>
      </w:pPr>
    </w:p>
    <w:p w:rsidR="008F4403" w:rsidRDefault="00B93A32" w:rsidP="0005612E">
      <w:pPr>
        <w:pStyle w:val="Listenabsatz"/>
        <w:numPr>
          <w:ilvl w:val="0"/>
          <w:numId w:val="9"/>
        </w:numPr>
        <w:spacing w:after="0" w:line="240" w:lineRule="auto"/>
        <w:jc w:val="both"/>
      </w:pPr>
      <w:r w:rsidRPr="000C32C4">
        <w:rPr>
          <w:u w:val="single"/>
        </w:rPr>
        <w:t>Coût de la réforme</w:t>
      </w:r>
      <w:r>
        <w:t> :</w:t>
      </w:r>
    </w:p>
    <w:p w:rsidR="0073686A" w:rsidRDefault="00723C69" w:rsidP="0005612E">
      <w:pPr>
        <w:spacing w:after="0" w:line="240" w:lineRule="auto"/>
        <w:jc w:val="both"/>
      </w:pPr>
      <w:r>
        <w:t>L</w:t>
      </w:r>
      <w:r w:rsidR="0022332D">
        <w:t>e coût moyen</w:t>
      </w:r>
      <w:r>
        <w:t xml:space="preserve"> annuel </w:t>
      </w:r>
      <w:r w:rsidR="0022332D">
        <w:t xml:space="preserve"> </w:t>
      </w:r>
      <w:r w:rsidR="00B93A32">
        <w:t xml:space="preserve">de la réforme </w:t>
      </w:r>
      <w:r>
        <w:t xml:space="preserve">sur la période </w:t>
      </w:r>
      <w:r w:rsidR="0022332D">
        <w:t>2018</w:t>
      </w:r>
      <w:r w:rsidR="00F358ED">
        <w:t>-</w:t>
      </w:r>
      <w:r w:rsidR="0022332D">
        <w:t xml:space="preserve">2030 est </w:t>
      </w:r>
      <w:r w:rsidR="003251F5">
        <w:t>estimé à 1,</w:t>
      </w:r>
      <w:r w:rsidR="00CF654C">
        <w:t>7</w:t>
      </w:r>
      <w:r>
        <w:t xml:space="preserve"> USD</w:t>
      </w:r>
      <w:r w:rsidR="0022332D">
        <w:t xml:space="preserve"> </w:t>
      </w:r>
      <w:r>
        <w:t>par habitant (</w:t>
      </w:r>
      <w:r w:rsidR="00CF654C">
        <w:t>4 950</w:t>
      </w:r>
      <w:r>
        <w:t xml:space="preserve"> MGA/habt). Ce coût comp</w:t>
      </w:r>
      <w:r w:rsidR="003251F5">
        <w:t>rend les coûts au niveau des FS</w:t>
      </w:r>
      <w:r>
        <w:t xml:space="preserve"> (</w:t>
      </w:r>
      <w:r w:rsidR="003251F5">
        <w:t>1,</w:t>
      </w:r>
      <w:r w:rsidR="00CF654C">
        <w:t>1</w:t>
      </w:r>
      <w:r>
        <w:t xml:space="preserve"> USD/habt)</w:t>
      </w:r>
      <w:r w:rsidR="006E6B7D">
        <w:t xml:space="preserve"> pour un paquet de soins </w:t>
      </w:r>
      <w:r w:rsidR="003251F5">
        <w:t>jusqu’au CHRD</w:t>
      </w:r>
      <w:r>
        <w:t xml:space="preserve">, ainsi que </w:t>
      </w:r>
      <w:r w:rsidR="006E6B7D">
        <w:t xml:space="preserve">les coûts </w:t>
      </w:r>
      <w:r w:rsidR="003251F5">
        <w:t>relatifs aux caisses de district, à</w:t>
      </w:r>
      <w:r>
        <w:t xml:space="preserve"> l’enregistrement des adhésions et </w:t>
      </w:r>
      <w:r w:rsidR="008F4403">
        <w:t xml:space="preserve">la </w:t>
      </w:r>
      <w:r>
        <w:t xml:space="preserve">sensibilisation </w:t>
      </w:r>
      <w:r w:rsidR="003251F5">
        <w:t>jusqu’aux</w:t>
      </w:r>
      <w:r>
        <w:t xml:space="preserve"> fokontany.</w:t>
      </w:r>
      <w:r w:rsidR="003251F5">
        <w:t xml:space="preserve"> </w:t>
      </w:r>
      <w:r w:rsidR="0099539C">
        <w:t>Note : l</w:t>
      </w:r>
      <w:r w:rsidR="003251F5">
        <w:t>a totalité de la réforme coûte 1,</w:t>
      </w:r>
      <w:r w:rsidR="00CF654C">
        <w:t>4</w:t>
      </w:r>
      <w:r w:rsidR="003251F5">
        <w:t xml:space="preserve"> USD/habt/an si </w:t>
      </w:r>
      <w:r w:rsidR="00303881">
        <w:t>on ne considère pas les CHRD dans le paquet</w:t>
      </w:r>
      <w:r w:rsidR="003251F5">
        <w:t xml:space="preserve">.   </w:t>
      </w:r>
    </w:p>
    <w:p w:rsidR="000B7AE4" w:rsidRDefault="000B7AE4" w:rsidP="00B309C1">
      <w:pPr>
        <w:spacing w:after="0" w:line="240" w:lineRule="auto"/>
        <w:ind w:left="360"/>
        <w:jc w:val="both"/>
        <w:rPr>
          <w:b/>
        </w:rPr>
      </w:pPr>
    </w:p>
    <w:p w:rsidR="000B7AE4" w:rsidRDefault="0073686A" w:rsidP="00B309C1">
      <w:pPr>
        <w:spacing w:after="0" w:line="240" w:lineRule="auto"/>
        <w:ind w:left="360"/>
        <w:jc w:val="both"/>
      </w:pPr>
      <w:r w:rsidRPr="0073686A">
        <w:rPr>
          <w:b/>
        </w:rPr>
        <w:t>Graphique 2</w:t>
      </w:r>
      <w:r>
        <w:t> : Répartition du coût de la réforme</w:t>
      </w:r>
      <w:r w:rsidR="0099539C">
        <w:t xml:space="preserve"> </w:t>
      </w:r>
    </w:p>
    <w:p w:rsidR="000B7AE4" w:rsidRDefault="000B7AE4" w:rsidP="00B309C1">
      <w:pPr>
        <w:spacing w:after="0" w:line="240" w:lineRule="auto"/>
        <w:ind w:left="360"/>
        <w:jc w:val="both"/>
        <w:rPr>
          <w:sz w:val="16"/>
          <w:szCs w:val="16"/>
        </w:rPr>
      </w:pPr>
      <w:r>
        <w:rPr>
          <w:noProof/>
          <w:lang w:val="de-DE" w:eastAsia="de-DE"/>
        </w:rPr>
        <w:drawing>
          <wp:inline distT="0" distB="0" distL="0" distR="0" wp14:anchorId="5602E113" wp14:editId="4781835F">
            <wp:extent cx="3924300" cy="2609850"/>
            <wp:effectExtent l="0" t="0" r="19050" b="1905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71A41" w:rsidRDefault="00F71A41" w:rsidP="00B309C1">
      <w:pPr>
        <w:spacing w:after="0" w:line="240" w:lineRule="auto"/>
        <w:ind w:left="360"/>
        <w:jc w:val="both"/>
        <w:rPr>
          <w:sz w:val="16"/>
          <w:szCs w:val="16"/>
        </w:rPr>
      </w:pPr>
      <w:r w:rsidRPr="00F71A41">
        <w:rPr>
          <w:sz w:val="16"/>
          <w:szCs w:val="16"/>
        </w:rPr>
        <w:t>Source : Bureau OMS pays</w:t>
      </w:r>
    </w:p>
    <w:p w:rsidR="000B7AE4" w:rsidRDefault="000B7AE4" w:rsidP="00B309C1">
      <w:pPr>
        <w:spacing w:after="0" w:line="240" w:lineRule="auto"/>
        <w:ind w:left="360"/>
        <w:jc w:val="both"/>
        <w:rPr>
          <w:sz w:val="16"/>
          <w:szCs w:val="16"/>
        </w:rPr>
      </w:pPr>
    </w:p>
    <w:p w:rsidR="009F0B7B" w:rsidRDefault="0005612E" w:rsidP="00DD6AAC">
      <w:pPr>
        <w:jc w:val="both"/>
        <w:rPr>
          <w:b/>
        </w:rPr>
      </w:pPr>
      <w:r>
        <w:t xml:space="preserve">Pour situer le coût moyen annuel  de la réforme, </w:t>
      </w:r>
      <w:r w:rsidR="00265BA1">
        <w:t xml:space="preserve">il est présenté ci-dessous </w:t>
      </w:r>
      <w:r w:rsidR="00312A26">
        <w:t xml:space="preserve">le </w:t>
      </w:r>
      <w:r w:rsidR="00482C6B">
        <w:t>graphique du</w:t>
      </w:r>
      <w:r w:rsidR="00265BA1">
        <w:t xml:space="preserve"> budget et </w:t>
      </w:r>
      <w:r w:rsidR="00482C6B">
        <w:t xml:space="preserve">de </w:t>
      </w:r>
      <w:r w:rsidR="00265BA1">
        <w:t xml:space="preserve">l’aide en santé par habitant de 2014 à 2017. </w:t>
      </w:r>
      <w:r w:rsidR="00C478EE">
        <w:t>En 2016 le budget de la santé est de 4,7 USD/habt et  l’aide extérieure inscrite sur budget</w:t>
      </w:r>
      <w:r w:rsidR="00482C6B">
        <w:t xml:space="preserve"> est de</w:t>
      </w:r>
      <w:r w:rsidR="00C478EE">
        <w:t xml:space="preserve"> </w:t>
      </w:r>
      <w:r w:rsidR="00A41A17">
        <w:t>1,4</w:t>
      </w:r>
      <w:r w:rsidR="00C478EE">
        <w:t xml:space="preserve"> USD/habt,  tandis que l’aide totale décaissée </w:t>
      </w:r>
      <w:r w:rsidR="00482C6B">
        <w:t xml:space="preserve">pour la même année </w:t>
      </w:r>
      <w:r w:rsidR="00C478EE">
        <w:t>est de  7,3 USD/habt.</w:t>
      </w:r>
      <w:r>
        <w:t xml:space="preserve"> </w:t>
      </w:r>
    </w:p>
    <w:p w:rsidR="00960B08" w:rsidRDefault="00960B08" w:rsidP="009F0B7B">
      <w:pPr>
        <w:spacing w:after="0" w:line="240" w:lineRule="auto"/>
        <w:jc w:val="both"/>
        <w:rPr>
          <w:b/>
        </w:rPr>
      </w:pPr>
    </w:p>
    <w:p w:rsidR="00960B08" w:rsidRDefault="00960B08" w:rsidP="009F0B7B">
      <w:pPr>
        <w:spacing w:after="0" w:line="240" w:lineRule="auto"/>
        <w:jc w:val="both"/>
        <w:rPr>
          <w:b/>
        </w:rPr>
      </w:pPr>
    </w:p>
    <w:p w:rsidR="00960B08" w:rsidRDefault="00960B08" w:rsidP="009F0B7B">
      <w:pPr>
        <w:spacing w:after="0" w:line="240" w:lineRule="auto"/>
        <w:jc w:val="both"/>
        <w:rPr>
          <w:b/>
        </w:rPr>
      </w:pPr>
    </w:p>
    <w:p w:rsidR="00960B08" w:rsidRDefault="00960B08" w:rsidP="009F0B7B">
      <w:pPr>
        <w:spacing w:after="0" w:line="240" w:lineRule="auto"/>
        <w:jc w:val="both"/>
        <w:rPr>
          <w:b/>
        </w:rPr>
      </w:pPr>
    </w:p>
    <w:p w:rsidR="00960B08" w:rsidRDefault="00960B08" w:rsidP="009F0B7B">
      <w:pPr>
        <w:spacing w:after="0" w:line="240" w:lineRule="auto"/>
        <w:jc w:val="both"/>
        <w:rPr>
          <w:b/>
        </w:rPr>
      </w:pPr>
    </w:p>
    <w:p w:rsidR="00F71A41" w:rsidRPr="00F71A41" w:rsidRDefault="00F71A41" w:rsidP="009F0B7B">
      <w:pPr>
        <w:spacing w:after="0" w:line="240" w:lineRule="auto"/>
        <w:jc w:val="both"/>
      </w:pPr>
      <w:r w:rsidRPr="00F71A41">
        <w:rPr>
          <w:b/>
        </w:rPr>
        <w:t>Graphique 3</w:t>
      </w:r>
      <w:r>
        <w:t xml:space="preserve"> : </w:t>
      </w:r>
      <w:r w:rsidRPr="00F71A41">
        <w:rPr>
          <w:bCs/>
        </w:rPr>
        <w:t>Budget de l'Etat et aide en santé par habitant en US$</w:t>
      </w:r>
    </w:p>
    <w:p w:rsidR="00265BA1" w:rsidRDefault="00265BA1" w:rsidP="009F0B7B">
      <w:pPr>
        <w:spacing w:after="0" w:line="240" w:lineRule="auto"/>
      </w:pPr>
      <w:r>
        <w:rPr>
          <w:noProof/>
          <w:lang w:val="de-DE" w:eastAsia="de-DE"/>
        </w:rPr>
        <w:drawing>
          <wp:inline distT="0" distB="0" distL="0" distR="0" wp14:anchorId="4E99BBD0" wp14:editId="7AC6EE67">
            <wp:extent cx="4524375" cy="2733675"/>
            <wp:effectExtent l="0" t="0" r="9525" b="9525"/>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F0B7B" w:rsidRDefault="009F0B7B" w:rsidP="009F0B7B">
      <w:pPr>
        <w:spacing w:after="0" w:line="240" w:lineRule="auto"/>
        <w:rPr>
          <w:sz w:val="16"/>
          <w:szCs w:val="16"/>
        </w:rPr>
      </w:pPr>
      <w:r w:rsidRPr="009F0B7B">
        <w:rPr>
          <w:sz w:val="16"/>
          <w:szCs w:val="16"/>
        </w:rPr>
        <w:t>Source :</w:t>
      </w:r>
      <w:r w:rsidR="009110A9">
        <w:rPr>
          <w:sz w:val="16"/>
          <w:szCs w:val="16"/>
        </w:rPr>
        <w:t xml:space="preserve"> Données tirées </w:t>
      </w:r>
      <w:r w:rsidR="00BE4273">
        <w:rPr>
          <w:sz w:val="16"/>
          <w:szCs w:val="16"/>
        </w:rPr>
        <w:t xml:space="preserve">par l’OMS </w:t>
      </w:r>
      <w:r w:rsidR="009110A9">
        <w:rPr>
          <w:sz w:val="16"/>
          <w:szCs w:val="16"/>
        </w:rPr>
        <w:t>d</w:t>
      </w:r>
      <w:r w:rsidR="00BE4273">
        <w:rPr>
          <w:sz w:val="16"/>
          <w:szCs w:val="16"/>
        </w:rPr>
        <w:t>e</w:t>
      </w:r>
      <w:r w:rsidR="009110A9">
        <w:rPr>
          <w:sz w:val="16"/>
          <w:szCs w:val="16"/>
        </w:rPr>
        <w:t xml:space="preserve"> LFR 2014-15,</w:t>
      </w:r>
      <w:r w:rsidR="009F661D">
        <w:rPr>
          <w:sz w:val="16"/>
          <w:szCs w:val="16"/>
        </w:rPr>
        <w:t xml:space="preserve"> CDMT 2017-2019 et AMP secteur santé 2009-17</w:t>
      </w:r>
    </w:p>
    <w:p w:rsidR="009F0B7B" w:rsidRPr="009F0B7B" w:rsidRDefault="009F0B7B" w:rsidP="009F0B7B">
      <w:pPr>
        <w:spacing w:after="0" w:line="240" w:lineRule="auto"/>
        <w:rPr>
          <w:sz w:val="16"/>
          <w:szCs w:val="16"/>
        </w:rPr>
      </w:pPr>
    </w:p>
    <w:p w:rsidR="00A522EB" w:rsidRDefault="00A522EB" w:rsidP="00D00C12">
      <w:pPr>
        <w:pStyle w:val="Listenabsatz"/>
        <w:numPr>
          <w:ilvl w:val="0"/>
          <w:numId w:val="9"/>
        </w:numPr>
        <w:spacing w:after="0" w:line="240" w:lineRule="auto"/>
      </w:pPr>
      <w:r w:rsidRPr="00A522EB">
        <w:rPr>
          <w:u w:val="single"/>
        </w:rPr>
        <w:t>Financement de la réforme </w:t>
      </w:r>
      <w:r>
        <w:t>:</w:t>
      </w:r>
    </w:p>
    <w:p w:rsidR="009F0B7B" w:rsidRDefault="006E6B7D" w:rsidP="00747A11">
      <w:pPr>
        <w:spacing w:after="0" w:line="240" w:lineRule="auto"/>
        <w:jc w:val="both"/>
      </w:pPr>
      <w:r>
        <w:t>P</w:t>
      </w:r>
      <w:r w:rsidR="00724776">
        <w:t>our l’ensemble du système</w:t>
      </w:r>
      <w:r>
        <w:t>,</w:t>
      </w:r>
      <w:r w:rsidR="00747A11">
        <w:t xml:space="preserve"> le financement éventuellement par les ressources propres de l’Etat de la transformation de 42 CHRD et leur équipement en matériels technique</w:t>
      </w:r>
      <w:r w:rsidR="00034687">
        <w:t>s</w:t>
      </w:r>
      <w:r w:rsidR="00747A11">
        <w:t xml:space="preserve"> se fera sur 6 ans pour un total de 21 413 </w:t>
      </w:r>
      <w:r w:rsidR="00034687">
        <w:t>000 USD. Les réhabilitations de</w:t>
      </w:r>
      <w:r w:rsidR="00747A11">
        <w:t xml:space="preserve"> 16 CHRR </w:t>
      </w:r>
      <w:r w:rsidR="00FD4B45">
        <w:t xml:space="preserve">et leur équipement </w:t>
      </w:r>
      <w:r w:rsidR="00747A11">
        <w:t xml:space="preserve">coûtera à l’Etat 1 691 250 USD.  </w:t>
      </w:r>
    </w:p>
    <w:p w:rsidR="009F0B7B" w:rsidRDefault="009F0B7B" w:rsidP="000416CE">
      <w:pPr>
        <w:pStyle w:val="Listenabsatz"/>
        <w:spacing w:after="0" w:line="240" w:lineRule="auto"/>
        <w:jc w:val="both"/>
      </w:pPr>
    </w:p>
    <w:p w:rsidR="001D787D" w:rsidRDefault="009F0B7B" w:rsidP="009F0B7B">
      <w:pPr>
        <w:spacing w:after="0" w:line="240" w:lineRule="auto"/>
      </w:pPr>
      <w:r>
        <w:rPr>
          <w:b/>
        </w:rPr>
        <w:t>Graphiq</w:t>
      </w:r>
      <w:r w:rsidRPr="009F0B7B">
        <w:rPr>
          <w:b/>
        </w:rPr>
        <w:t>ue 4</w:t>
      </w:r>
      <w:r>
        <w:t xml:space="preserve">: Financement des investissements </w:t>
      </w:r>
      <w:r w:rsidR="000416CE">
        <w:t xml:space="preserve">et gap </w:t>
      </w:r>
      <w:r>
        <w:t xml:space="preserve">en USD </w:t>
      </w:r>
    </w:p>
    <w:p w:rsidR="00A522EB" w:rsidRDefault="00922545" w:rsidP="009F0B7B">
      <w:pPr>
        <w:spacing w:after="0" w:line="240" w:lineRule="auto"/>
      </w:pPr>
      <w:r>
        <w:rPr>
          <w:noProof/>
          <w:lang w:val="de-DE" w:eastAsia="de-DE"/>
        </w:rPr>
        <w:drawing>
          <wp:inline distT="0" distB="0" distL="0" distR="0" wp14:anchorId="3CB4EF70" wp14:editId="0452657F">
            <wp:extent cx="4914900" cy="2533650"/>
            <wp:effectExtent l="0" t="0" r="19050" b="19050"/>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F0B7B" w:rsidRDefault="009F0B7B" w:rsidP="009F0B7B">
      <w:pPr>
        <w:spacing w:after="0" w:line="240" w:lineRule="auto"/>
        <w:rPr>
          <w:sz w:val="16"/>
          <w:szCs w:val="16"/>
        </w:rPr>
      </w:pPr>
      <w:r w:rsidRPr="009F0B7B">
        <w:rPr>
          <w:sz w:val="16"/>
          <w:szCs w:val="16"/>
        </w:rPr>
        <w:t>Source : Bureau OMS pays</w:t>
      </w:r>
    </w:p>
    <w:p w:rsidR="009F0B7B" w:rsidRPr="009F0B7B" w:rsidRDefault="009F0B7B" w:rsidP="009F0B7B">
      <w:pPr>
        <w:spacing w:after="0" w:line="240" w:lineRule="auto"/>
        <w:rPr>
          <w:sz w:val="16"/>
          <w:szCs w:val="16"/>
        </w:rPr>
      </w:pPr>
    </w:p>
    <w:p w:rsidR="00922545" w:rsidRDefault="00922545" w:rsidP="009F0B7B">
      <w:pPr>
        <w:jc w:val="both"/>
      </w:pPr>
      <w:r>
        <w:t>Le graphique 4 montre que le gap concerne particulièrement la construct</w:t>
      </w:r>
      <w:r w:rsidR="00D80ADC">
        <w:t>ion de 2</w:t>
      </w:r>
      <w:r w:rsidR="003F4A66">
        <w:t>28</w:t>
      </w:r>
      <w:r w:rsidR="00D80ADC">
        <w:t xml:space="preserve"> nouveaux CSB</w:t>
      </w:r>
      <w:r w:rsidR="003F4A66">
        <w:t xml:space="preserve"> sur </w:t>
      </w:r>
      <w:r w:rsidR="009F0031">
        <w:t>7</w:t>
      </w:r>
      <w:r w:rsidR="003F4A66">
        <w:t xml:space="preserve"> ans pour un total de 11</w:t>
      </w:r>
      <w:r w:rsidR="00B309C1">
        <w:t xml:space="preserve"> </w:t>
      </w:r>
      <w:r w:rsidR="00944608">
        <w:t xml:space="preserve">221 069 </w:t>
      </w:r>
      <w:r w:rsidR="00D80ADC">
        <w:t xml:space="preserve"> USD</w:t>
      </w:r>
      <w:r w:rsidR="003F4A66">
        <w:t xml:space="preserve">  et la réhabilitation de 268 CSB (</w:t>
      </w:r>
      <w:r w:rsidR="00944608">
        <w:t xml:space="preserve">3 599 948 </w:t>
      </w:r>
      <w:r w:rsidR="003F4A66">
        <w:t xml:space="preserve"> USD)</w:t>
      </w:r>
      <w:r w:rsidR="00034687">
        <w:t>. L</w:t>
      </w:r>
      <w:r w:rsidR="009F0031">
        <w:t xml:space="preserve">e financement du matériel technique des CSB par le projet BM </w:t>
      </w:r>
      <w:r w:rsidR="00747A11">
        <w:t xml:space="preserve">dure </w:t>
      </w:r>
      <w:r w:rsidR="009F0031">
        <w:t xml:space="preserve">5 ans, </w:t>
      </w:r>
      <w:r w:rsidR="00034687">
        <w:t xml:space="preserve">c’est-à-dire que </w:t>
      </w:r>
      <w:r w:rsidR="009F0031">
        <w:t>le financement du gap doit être recherché à partir de 2</w:t>
      </w:r>
      <w:r w:rsidR="00747A11">
        <w:t>023.</w:t>
      </w:r>
    </w:p>
    <w:p w:rsidR="00960B08" w:rsidRDefault="00A41A17" w:rsidP="009C0383">
      <w:pPr>
        <w:jc w:val="both"/>
      </w:pPr>
      <w:r>
        <w:t>Concernant l</w:t>
      </w:r>
      <w:r w:rsidR="00F9055D">
        <w:t>e</w:t>
      </w:r>
      <w:r>
        <w:t xml:space="preserve"> coût de</w:t>
      </w:r>
      <w:r w:rsidR="00F9055D">
        <w:t xml:space="preserve"> fonctionnement </w:t>
      </w:r>
      <w:r>
        <w:t xml:space="preserve">annuel d’un  CSB </w:t>
      </w:r>
      <w:r w:rsidR="00D92363">
        <w:t>(</w:t>
      </w:r>
      <w:r>
        <w:t>5 000 000 MGA</w:t>
      </w:r>
      <w:r w:rsidR="00D92363">
        <w:t>)</w:t>
      </w:r>
      <w:r>
        <w:t xml:space="preserve"> et </w:t>
      </w:r>
      <w:r w:rsidR="00DD6AAC">
        <w:t>d’</w:t>
      </w:r>
      <w:r w:rsidR="00034687">
        <w:t xml:space="preserve">un </w:t>
      </w:r>
      <w:r w:rsidR="00DD6AAC">
        <w:t xml:space="preserve">CHRR (105 790 000 MGA) soit 0,3 USD/habt/an </w:t>
      </w:r>
      <w:r w:rsidR="00034687">
        <w:t xml:space="preserve">ainsi que </w:t>
      </w:r>
      <w:r w:rsidR="00DD6AAC">
        <w:t>le</w:t>
      </w:r>
      <w:r>
        <w:t xml:space="preserve"> salaire du personnel de santé</w:t>
      </w:r>
      <w:r w:rsidR="00DD6AAC">
        <w:t xml:space="preserve"> de 0,</w:t>
      </w:r>
      <w:r w:rsidR="00944608">
        <w:t>5</w:t>
      </w:r>
      <w:r w:rsidR="00DD6AAC">
        <w:t>USD/habt/an</w:t>
      </w:r>
      <w:r w:rsidR="00034687">
        <w:t>, ils</w:t>
      </w:r>
      <w:r w:rsidR="00DD6AAC">
        <w:t xml:space="preserve"> </w:t>
      </w:r>
      <w:r w:rsidR="00F9055D">
        <w:t>devrai</w:t>
      </w:r>
      <w:r>
        <w:t>en</w:t>
      </w:r>
      <w:r w:rsidR="00F9055D">
        <w:t xml:space="preserve">t </w:t>
      </w:r>
      <w:r w:rsidR="00312A26">
        <w:t xml:space="preserve">être </w:t>
      </w:r>
      <w:r w:rsidR="00F9055D">
        <w:t xml:space="preserve">pris en charge sur </w:t>
      </w:r>
      <w:r w:rsidR="00D92363">
        <w:t xml:space="preserve">le </w:t>
      </w:r>
      <w:r w:rsidR="00F9055D">
        <w:t>budget santé de l’Etat</w:t>
      </w:r>
      <w:r w:rsidR="00FF326C">
        <w:t xml:space="preserve"> (RPI)</w:t>
      </w:r>
      <w:r w:rsidR="009135BC">
        <w:t>.</w:t>
      </w:r>
      <w:r w:rsidR="009C0383" w:rsidDel="009C0383">
        <w:t xml:space="preserve"> </w:t>
      </w:r>
    </w:p>
    <w:p w:rsidR="00960B08" w:rsidRDefault="00960B08" w:rsidP="009C0383">
      <w:pPr>
        <w:jc w:val="both"/>
      </w:pPr>
    </w:p>
    <w:p w:rsidR="00B309C1" w:rsidRDefault="00B309C1" w:rsidP="009C0383">
      <w:pPr>
        <w:jc w:val="both"/>
      </w:pPr>
    </w:p>
    <w:p w:rsidR="00960B08" w:rsidRDefault="00960B08" w:rsidP="009C0383">
      <w:pPr>
        <w:jc w:val="both"/>
      </w:pPr>
    </w:p>
    <w:p w:rsidR="009F661D" w:rsidRPr="009F661D" w:rsidRDefault="00A7004A" w:rsidP="00B309C1">
      <w:pPr>
        <w:pStyle w:val="Listenabsatz"/>
        <w:numPr>
          <w:ilvl w:val="0"/>
          <w:numId w:val="9"/>
        </w:numPr>
        <w:jc w:val="both"/>
      </w:pPr>
      <w:r w:rsidRPr="00B309C1">
        <w:rPr>
          <w:u w:val="single"/>
        </w:rPr>
        <w:t>Cadrage budgétaire :</w:t>
      </w:r>
    </w:p>
    <w:p w:rsidR="00B309C1" w:rsidRDefault="00960B08" w:rsidP="009F661D">
      <w:pPr>
        <w:spacing w:after="0" w:line="240" w:lineRule="auto"/>
        <w:jc w:val="both"/>
      </w:pPr>
      <w:r w:rsidRPr="00B309C1">
        <w:t>Le graphique suivant présente l’évolution des indicateurs économiques de 2016 à 2019</w:t>
      </w:r>
    </w:p>
    <w:p w:rsidR="00B309C1" w:rsidRDefault="00B309C1" w:rsidP="009F661D">
      <w:pPr>
        <w:spacing w:after="0" w:line="240" w:lineRule="auto"/>
        <w:jc w:val="both"/>
      </w:pPr>
    </w:p>
    <w:p w:rsidR="009F0B7B" w:rsidRPr="009F0B7B" w:rsidRDefault="009F0B7B" w:rsidP="009F661D">
      <w:pPr>
        <w:spacing w:after="0" w:line="240" w:lineRule="auto"/>
        <w:jc w:val="both"/>
      </w:pPr>
      <w:r w:rsidRPr="009F661D">
        <w:rPr>
          <w:b/>
        </w:rPr>
        <w:t>Graphique 5</w:t>
      </w:r>
      <w:r w:rsidRPr="009F0B7B">
        <w:t xml:space="preserve"> : </w:t>
      </w:r>
      <w:r>
        <w:t>Evoluti</w:t>
      </w:r>
      <w:r w:rsidRPr="009F0B7B">
        <w:t>on des indicateurs économiques et financiers de 2016 à 2019</w:t>
      </w:r>
    </w:p>
    <w:p w:rsidR="00A7004A" w:rsidRDefault="00A7004A" w:rsidP="009F661D">
      <w:pPr>
        <w:tabs>
          <w:tab w:val="left" w:pos="1575"/>
        </w:tabs>
        <w:spacing w:after="0" w:line="240" w:lineRule="auto"/>
      </w:pPr>
      <w:r>
        <w:rPr>
          <w:noProof/>
          <w:lang w:val="de-DE" w:eastAsia="de-DE"/>
        </w:rPr>
        <w:drawing>
          <wp:inline distT="0" distB="0" distL="0" distR="0" wp14:anchorId="680C6963" wp14:editId="3F33FA45">
            <wp:extent cx="6305550" cy="2590800"/>
            <wp:effectExtent l="0" t="0" r="19050" b="1905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C0A58" w:rsidRDefault="005E68A3" w:rsidP="009F661D">
      <w:pPr>
        <w:tabs>
          <w:tab w:val="left" w:pos="1575"/>
        </w:tabs>
        <w:spacing w:after="0" w:line="240" w:lineRule="auto"/>
        <w:jc w:val="both"/>
        <w:rPr>
          <w:sz w:val="16"/>
          <w:szCs w:val="16"/>
        </w:rPr>
      </w:pPr>
      <w:r w:rsidRPr="009110A9">
        <w:rPr>
          <w:sz w:val="16"/>
          <w:szCs w:val="16"/>
        </w:rPr>
        <w:t>Source : Données tirées</w:t>
      </w:r>
      <w:r w:rsidR="009110A9" w:rsidRPr="009110A9">
        <w:rPr>
          <w:sz w:val="16"/>
          <w:szCs w:val="16"/>
        </w:rPr>
        <w:t xml:space="preserve"> </w:t>
      </w:r>
      <w:r w:rsidR="00BE4273">
        <w:rPr>
          <w:sz w:val="16"/>
          <w:szCs w:val="16"/>
        </w:rPr>
        <w:t xml:space="preserve">par l’OMS </w:t>
      </w:r>
      <w:r w:rsidR="009110A9" w:rsidRPr="009110A9">
        <w:rPr>
          <w:sz w:val="16"/>
          <w:szCs w:val="16"/>
        </w:rPr>
        <w:t>de</w:t>
      </w:r>
      <w:r w:rsidRPr="009110A9">
        <w:rPr>
          <w:sz w:val="16"/>
          <w:szCs w:val="16"/>
        </w:rPr>
        <w:t xml:space="preserve"> </w:t>
      </w:r>
      <w:r w:rsidR="009110A9" w:rsidRPr="009110A9">
        <w:rPr>
          <w:sz w:val="16"/>
          <w:szCs w:val="16"/>
        </w:rPr>
        <w:t xml:space="preserve">CDMT 2017-19, CBMT 2016-18 et </w:t>
      </w:r>
      <w:r w:rsidR="009F661D">
        <w:rPr>
          <w:sz w:val="16"/>
          <w:szCs w:val="16"/>
        </w:rPr>
        <w:t>FMI avril 2016 sur les p</w:t>
      </w:r>
      <w:r w:rsidR="009110A9" w:rsidRPr="009110A9">
        <w:rPr>
          <w:sz w:val="16"/>
          <w:szCs w:val="16"/>
        </w:rPr>
        <w:t>erspectives économiques et ré</w:t>
      </w:r>
      <w:r w:rsidR="009F661D">
        <w:rPr>
          <w:sz w:val="16"/>
          <w:szCs w:val="16"/>
        </w:rPr>
        <w:t>gionales</w:t>
      </w:r>
    </w:p>
    <w:p w:rsidR="009110A9" w:rsidRPr="009110A9" w:rsidRDefault="009110A9" w:rsidP="00482C6B">
      <w:pPr>
        <w:tabs>
          <w:tab w:val="left" w:pos="1575"/>
        </w:tabs>
        <w:spacing w:after="0" w:line="240" w:lineRule="auto"/>
        <w:jc w:val="both"/>
        <w:rPr>
          <w:sz w:val="16"/>
          <w:szCs w:val="16"/>
        </w:rPr>
      </w:pPr>
    </w:p>
    <w:p w:rsidR="005909CE" w:rsidRDefault="00A7004A" w:rsidP="00482C6B">
      <w:pPr>
        <w:tabs>
          <w:tab w:val="left" w:pos="1575"/>
        </w:tabs>
        <w:spacing w:after="0" w:line="240" w:lineRule="auto"/>
        <w:jc w:val="both"/>
      </w:pPr>
      <w:r>
        <w:t xml:space="preserve">Si la prévision de croissance en 2018 est maintenue à </w:t>
      </w:r>
      <w:r w:rsidR="00623D11">
        <w:t xml:space="preserve"> </w:t>
      </w:r>
      <w:r>
        <w:t xml:space="preserve">4,8% </w:t>
      </w:r>
      <w:r w:rsidR="00DD6AAC">
        <w:t>et même si</w:t>
      </w:r>
      <w:r w:rsidR="00623D11">
        <w:t xml:space="preserve"> </w:t>
      </w:r>
      <w:r>
        <w:t xml:space="preserve">la part du budget santé </w:t>
      </w:r>
      <w:r w:rsidR="00623D11">
        <w:t xml:space="preserve">sur le </w:t>
      </w:r>
      <w:r>
        <w:t>budget de l’Etat régresse de 6,1% par rapport à 2017 (6,8%)</w:t>
      </w:r>
      <w:r w:rsidR="00623D11">
        <w:t xml:space="preserve"> (Cf. CDMT 2016-19), le</w:t>
      </w:r>
      <w:r>
        <w:t xml:space="preserve"> </w:t>
      </w:r>
      <w:r w:rsidR="00623D11">
        <w:t xml:space="preserve">budget santé </w:t>
      </w:r>
      <w:r w:rsidR="00EC25BC">
        <w:t xml:space="preserve">augmentera </w:t>
      </w:r>
      <w:r w:rsidR="00623D11">
        <w:t xml:space="preserve"> de   </w:t>
      </w:r>
      <w:r w:rsidR="00623D11">
        <w:rPr>
          <w:rFonts w:ascii="Calibri" w:eastAsia="Times New Roman" w:hAnsi="Calibri" w:cs="Times New Roman"/>
          <w:color w:val="000000"/>
          <w:lang w:eastAsia="fr-FR"/>
        </w:rPr>
        <w:t>5</w:t>
      </w:r>
      <w:r w:rsidR="002525E4">
        <w:rPr>
          <w:rFonts w:ascii="Calibri" w:eastAsia="Times New Roman" w:hAnsi="Calibri" w:cs="Times New Roman"/>
          <w:color w:val="000000"/>
          <w:lang w:eastAsia="fr-FR"/>
        </w:rPr>
        <w:t>,</w:t>
      </w:r>
      <w:r w:rsidR="00623D11">
        <w:rPr>
          <w:rFonts w:ascii="Calibri" w:eastAsia="Times New Roman" w:hAnsi="Calibri" w:cs="Times New Roman"/>
          <w:color w:val="000000"/>
          <w:lang w:eastAsia="fr-FR"/>
        </w:rPr>
        <w:t>7</w:t>
      </w:r>
      <w:r w:rsidR="002525E4">
        <w:rPr>
          <w:rFonts w:ascii="Calibri" w:eastAsia="Times New Roman" w:hAnsi="Calibri" w:cs="Times New Roman"/>
          <w:color w:val="000000"/>
          <w:lang w:eastAsia="fr-FR"/>
        </w:rPr>
        <w:t xml:space="preserve"> milliard</w:t>
      </w:r>
      <w:r w:rsidR="00623D11">
        <w:rPr>
          <w:rFonts w:ascii="Calibri" w:eastAsia="Times New Roman" w:hAnsi="Calibri" w:cs="Times New Roman"/>
          <w:color w:val="000000"/>
          <w:lang w:eastAsia="fr-FR"/>
        </w:rPr>
        <w:t xml:space="preserve"> MGA</w:t>
      </w:r>
      <w:r w:rsidR="00EC25BC">
        <w:rPr>
          <w:rFonts w:ascii="Calibri" w:eastAsia="Times New Roman" w:hAnsi="Calibri" w:cs="Times New Roman"/>
          <w:color w:val="000000"/>
          <w:lang w:eastAsia="fr-FR"/>
        </w:rPr>
        <w:t>. Mais cette augmentation ne correspond qu’au quart des dépenses de fonctionnement des CSB et CHRD et du solde en 2018.</w:t>
      </w:r>
    </w:p>
    <w:p w:rsidR="00A7004A" w:rsidRDefault="00623D11" w:rsidP="00482C6B">
      <w:pPr>
        <w:tabs>
          <w:tab w:val="left" w:pos="1575"/>
        </w:tabs>
        <w:spacing w:after="0" w:line="240" w:lineRule="auto"/>
        <w:jc w:val="both"/>
      </w:pPr>
      <w:r>
        <w:t xml:space="preserve"> </w:t>
      </w:r>
      <w:r w:rsidR="00EC25BC">
        <w:t xml:space="preserve">Néanmoins </w:t>
      </w:r>
      <w:r>
        <w:t xml:space="preserve">si la </w:t>
      </w:r>
      <w:r w:rsidR="00EC25BC">
        <w:t xml:space="preserve">prévision de </w:t>
      </w:r>
      <w:r>
        <w:t xml:space="preserve">croissance </w:t>
      </w:r>
      <w:r w:rsidR="00EC25BC">
        <w:t xml:space="preserve">de </w:t>
      </w:r>
      <w:r>
        <w:t xml:space="preserve">4,9% </w:t>
      </w:r>
      <w:r w:rsidR="00EC25BC">
        <w:t xml:space="preserve">est atteinte en 2019 </w:t>
      </w:r>
      <w:r>
        <w:t>et si la</w:t>
      </w:r>
      <w:r w:rsidR="00A7004A">
        <w:t xml:space="preserve"> part</w:t>
      </w:r>
      <w:r>
        <w:t xml:space="preserve"> du budget santé remonte à 6,7%</w:t>
      </w:r>
      <w:r w:rsidR="00EC25BC">
        <w:t xml:space="preserve"> (niveau de 2017)</w:t>
      </w:r>
      <w:r w:rsidR="00A7004A">
        <w:t xml:space="preserve">, </w:t>
      </w:r>
      <w:r w:rsidR="00321125">
        <w:t xml:space="preserve">le </w:t>
      </w:r>
      <w:r w:rsidR="00A7004A">
        <w:t xml:space="preserve"> budget santé </w:t>
      </w:r>
      <w:r w:rsidR="00321125">
        <w:t xml:space="preserve">augmentera </w:t>
      </w:r>
      <w:r w:rsidR="00A7004A">
        <w:t xml:space="preserve">de </w:t>
      </w:r>
      <w:r>
        <w:rPr>
          <w:rFonts w:ascii="Calibri" w:eastAsia="Times New Roman" w:hAnsi="Calibri" w:cs="Times New Roman"/>
          <w:color w:val="000000"/>
          <w:lang w:eastAsia="fr-FR"/>
        </w:rPr>
        <w:t>73</w:t>
      </w:r>
      <w:r w:rsidR="00321125">
        <w:rPr>
          <w:rFonts w:ascii="Calibri" w:eastAsia="Times New Roman" w:hAnsi="Calibri" w:cs="Times New Roman"/>
          <w:color w:val="000000"/>
          <w:lang w:eastAsia="fr-FR"/>
        </w:rPr>
        <w:t>,</w:t>
      </w:r>
      <w:r>
        <w:rPr>
          <w:rFonts w:ascii="Calibri" w:eastAsia="Times New Roman" w:hAnsi="Calibri" w:cs="Times New Roman"/>
          <w:color w:val="000000"/>
          <w:lang w:eastAsia="fr-FR"/>
        </w:rPr>
        <w:t>9</w:t>
      </w:r>
      <w:r w:rsidR="00321125">
        <w:rPr>
          <w:rFonts w:ascii="Calibri" w:eastAsia="Times New Roman" w:hAnsi="Calibri" w:cs="Times New Roman"/>
          <w:color w:val="000000"/>
          <w:lang w:eastAsia="fr-FR"/>
        </w:rPr>
        <w:t xml:space="preserve"> milliards </w:t>
      </w:r>
      <w:r>
        <w:rPr>
          <w:rFonts w:ascii="Calibri" w:eastAsia="Times New Roman" w:hAnsi="Calibri" w:cs="Times New Roman"/>
          <w:color w:val="000000"/>
          <w:lang w:eastAsia="fr-FR"/>
        </w:rPr>
        <w:t>MGA</w:t>
      </w:r>
      <w:r w:rsidR="00A7004A">
        <w:t>.</w:t>
      </w:r>
      <w:r w:rsidR="005351C3">
        <w:t xml:space="preserve"> </w:t>
      </w:r>
      <w:r w:rsidR="00EC25BC">
        <w:t xml:space="preserve">Ce montant </w:t>
      </w:r>
      <w:r w:rsidR="00A7004A">
        <w:t>maintenu</w:t>
      </w:r>
      <w:r w:rsidR="00EC25BC">
        <w:t xml:space="preserve"> au même niveau annuellement</w:t>
      </w:r>
      <w:r w:rsidR="00A7004A">
        <w:t xml:space="preserve">, </w:t>
      </w:r>
      <w:r w:rsidR="00EC25BC">
        <w:t xml:space="preserve">couvre largement jusqu’en 2023 le fonctionnement des CSB/CHRD et le solde correspondant. </w:t>
      </w:r>
    </w:p>
    <w:p w:rsidR="00A7004A" w:rsidRDefault="00A7004A" w:rsidP="00BA4410">
      <w:pPr>
        <w:pStyle w:val="Listenabsatz"/>
      </w:pPr>
    </w:p>
    <w:p w:rsidR="001D787D" w:rsidRPr="00360FD8" w:rsidRDefault="00C21A32" w:rsidP="00323D41">
      <w:pPr>
        <w:pStyle w:val="Listenabsatz"/>
        <w:ind w:left="1080"/>
        <w:rPr>
          <w:b/>
          <w:u w:val="single"/>
        </w:rPr>
      </w:pPr>
      <w:r>
        <w:rPr>
          <w:b/>
          <w:u w:val="single"/>
        </w:rPr>
        <w:t xml:space="preserve">III) </w:t>
      </w:r>
      <w:r w:rsidR="001D787D" w:rsidRPr="00360FD8">
        <w:rPr>
          <w:b/>
          <w:u w:val="single"/>
        </w:rPr>
        <w:t>BUDGETISATION DES SITES DE DEMARRAGE</w:t>
      </w:r>
    </w:p>
    <w:p w:rsidR="001D787D" w:rsidRDefault="00321125" w:rsidP="001D787D">
      <w:pPr>
        <w:rPr>
          <w:b/>
          <w:u w:val="single"/>
        </w:rPr>
      </w:pPr>
      <w:r>
        <w:t>Pour le démarrage, 3</w:t>
      </w:r>
      <w:r w:rsidR="001D787D">
        <w:t xml:space="preserve"> régions avec  </w:t>
      </w:r>
      <w:r w:rsidR="007246EF">
        <w:t xml:space="preserve">chacun 1 </w:t>
      </w:r>
      <w:r w:rsidR="001D787D">
        <w:t xml:space="preserve">district ont été choisies, car les CSB correspondants ont déjà reçu </w:t>
      </w:r>
      <w:r w:rsidR="00CA5057">
        <w:t>un appui renforcé en équipement</w:t>
      </w:r>
      <w:r w:rsidR="001D787D">
        <w:t xml:space="preserve"> et matériels des projets PAUSENS et PASSOBA. </w:t>
      </w:r>
    </w:p>
    <w:tbl>
      <w:tblPr>
        <w:tblW w:w="10348" w:type="dxa"/>
        <w:tblInd w:w="70" w:type="dxa"/>
        <w:tblCellMar>
          <w:left w:w="70" w:type="dxa"/>
          <w:right w:w="70" w:type="dxa"/>
        </w:tblCellMar>
        <w:tblLook w:val="04A0" w:firstRow="1" w:lastRow="0" w:firstColumn="1" w:lastColumn="0" w:noHBand="0" w:noVBand="1"/>
      </w:tblPr>
      <w:tblGrid>
        <w:gridCol w:w="1576"/>
        <w:gridCol w:w="2216"/>
        <w:gridCol w:w="1496"/>
        <w:gridCol w:w="1496"/>
        <w:gridCol w:w="1396"/>
        <w:gridCol w:w="1416"/>
        <w:gridCol w:w="752"/>
      </w:tblGrid>
      <w:tr w:rsidR="001D787D" w:rsidRPr="00905AB7" w:rsidTr="00075DFE">
        <w:trPr>
          <w:trHeight w:val="300"/>
        </w:trPr>
        <w:tc>
          <w:tcPr>
            <w:tcW w:w="157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u w:val="single"/>
                <w:lang w:eastAsia="fr-FR"/>
              </w:rPr>
            </w:pPr>
            <w:r w:rsidRPr="00905AB7">
              <w:rPr>
                <w:rFonts w:ascii="Calibri" w:eastAsia="Times New Roman" w:hAnsi="Calibri" w:cs="Times New Roman"/>
                <w:color w:val="000000"/>
                <w:u w:val="single"/>
                <w:lang w:eastAsia="fr-FR"/>
              </w:rPr>
              <w:t>Régions</w:t>
            </w:r>
          </w:p>
        </w:tc>
        <w:tc>
          <w:tcPr>
            <w:tcW w:w="22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b/>
                <w:bCs/>
                <w:color w:val="000000"/>
                <w:u w:val="single"/>
                <w:lang w:eastAsia="fr-FR"/>
              </w:rPr>
            </w:pPr>
            <w:r>
              <w:rPr>
                <w:rFonts w:ascii="Calibri" w:eastAsia="Times New Roman" w:hAnsi="Calibri" w:cs="Times New Roman"/>
                <w:b/>
                <w:bCs/>
                <w:color w:val="000000"/>
                <w:u w:val="single"/>
                <w:lang w:eastAsia="fr-FR"/>
              </w:rPr>
              <w:t xml:space="preserve">Districts </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u w:val="single"/>
                <w:lang w:eastAsia="fr-FR"/>
              </w:rPr>
            </w:pPr>
            <w:r w:rsidRPr="00905AB7">
              <w:rPr>
                <w:rFonts w:ascii="Calibri" w:eastAsia="Times New Roman" w:hAnsi="Calibri" w:cs="Times New Roman"/>
                <w:b/>
                <w:bCs/>
                <w:color w:val="000000"/>
                <w:u w:val="single"/>
                <w:lang w:eastAsia="fr-FR"/>
              </w:rPr>
              <w:t>Nb habts</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u w:val="single"/>
                <w:lang w:eastAsia="fr-FR"/>
              </w:rPr>
            </w:pPr>
            <w:r w:rsidRPr="00905AB7">
              <w:rPr>
                <w:rFonts w:ascii="Calibri" w:eastAsia="Times New Roman" w:hAnsi="Calibri" w:cs="Times New Roman"/>
                <w:b/>
                <w:bCs/>
                <w:color w:val="000000"/>
                <w:u w:val="single"/>
                <w:lang w:eastAsia="fr-FR"/>
              </w:rPr>
              <w:t>Communes</w:t>
            </w:r>
          </w:p>
        </w:tc>
        <w:tc>
          <w:tcPr>
            <w:tcW w:w="13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u w:val="single"/>
                <w:lang w:eastAsia="fr-FR"/>
              </w:rPr>
            </w:pPr>
            <w:r w:rsidRPr="00905AB7">
              <w:rPr>
                <w:rFonts w:ascii="Calibri" w:eastAsia="Times New Roman" w:hAnsi="Calibri" w:cs="Times New Roman"/>
                <w:b/>
                <w:bCs/>
                <w:color w:val="000000"/>
                <w:u w:val="single"/>
                <w:lang w:eastAsia="fr-FR"/>
              </w:rPr>
              <w:t>Fkt</w:t>
            </w:r>
          </w:p>
        </w:tc>
        <w:tc>
          <w:tcPr>
            <w:tcW w:w="14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u w:val="single"/>
                <w:lang w:eastAsia="fr-FR"/>
              </w:rPr>
            </w:pPr>
            <w:r w:rsidRPr="00905AB7">
              <w:rPr>
                <w:rFonts w:ascii="Calibri" w:eastAsia="Times New Roman" w:hAnsi="Calibri" w:cs="Times New Roman"/>
                <w:b/>
                <w:bCs/>
                <w:color w:val="000000"/>
                <w:u w:val="single"/>
                <w:lang w:eastAsia="fr-FR"/>
              </w:rPr>
              <w:t>CSB2</w:t>
            </w:r>
          </w:p>
        </w:tc>
        <w:tc>
          <w:tcPr>
            <w:tcW w:w="752"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u w:val="single"/>
                <w:lang w:eastAsia="fr-FR"/>
              </w:rPr>
            </w:pPr>
            <w:r w:rsidRPr="00905AB7">
              <w:rPr>
                <w:rFonts w:ascii="Calibri" w:eastAsia="Times New Roman" w:hAnsi="Calibri" w:cs="Times New Roman"/>
                <w:b/>
                <w:bCs/>
                <w:color w:val="000000"/>
                <w:u w:val="single"/>
                <w:lang w:eastAsia="fr-FR"/>
              </w:rPr>
              <w:t>CSB1</w:t>
            </w:r>
          </w:p>
        </w:tc>
      </w:tr>
      <w:tr w:rsidR="001D787D" w:rsidRPr="00905AB7" w:rsidTr="00075DFE">
        <w:trPr>
          <w:trHeight w:val="300"/>
        </w:trPr>
        <w:tc>
          <w:tcPr>
            <w:tcW w:w="157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Amoron'iMania</w:t>
            </w:r>
          </w:p>
        </w:tc>
        <w:tc>
          <w:tcPr>
            <w:tcW w:w="22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Manandriana</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142 135</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10</w:t>
            </w:r>
          </w:p>
        </w:tc>
        <w:tc>
          <w:tcPr>
            <w:tcW w:w="13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104</w:t>
            </w:r>
          </w:p>
        </w:tc>
        <w:tc>
          <w:tcPr>
            <w:tcW w:w="14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11</w:t>
            </w:r>
          </w:p>
        </w:tc>
        <w:tc>
          <w:tcPr>
            <w:tcW w:w="752"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2</w:t>
            </w:r>
          </w:p>
        </w:tc>
      </w:tr>
      <w:tr w:rsidR="001D787D" w:rsidRPr="00905AB7" w:rsidTr="00075DFE">
        <w:trPr>
          <w:trHeight w:val="300"/>
        </w:trPr>
        <w:tc>
          <w:tcPr>
            <w:tcW w:w="157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Vakinakaratra</w:t>
            </w:r>
          </w:p>
        </w:tc>
        <w:tc>
          <w:tcPr>
            <w:tcW w:w="22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Faratsiho</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252 006</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9</w:t>
            </w:r>
          </w:p>
        </w:tc>
        <w:tc>
          <w:tcPr>
            <w:tcW w:w="13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98</w:t>
            </w:r>
          </w:p>
        </w:tc>
        <w:tc>
          <w:tcPr>
            <w:tcW w:w="14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8</w:t>
            </w:r>
          </w:p>
        </w:tc>
        <w:tc>
          <w:tcPr>
            <w:tcW w:w="752"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10</w:t>
            </w:r>
          </w:p>
        </w:tc>
      </w:tr>
      <w:tr w:rsidR="001D787D" w:rsidRPr="00905AB7" w:rsidTr="00075DFE">
        <w:trPr>
          <w:trHeight w:val="300"/>
        </w:trPr>
        <w:tc>
          <w:tcPr>
            <w:tcW w:w="157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Atsinana</w:t>
            </w:r>
            <w:r>
              <w:rPr>
                <w:rFonts w:ascii="Calibri" w:eastAsia="Times New Roman" w:hAnsi="Calibri" w:cs="Times New Roman"/>
                <w:color w:val="000000"/>
                <w:lang w:eastAsia="fr-FR"/>
              </w:rPr>
              <w:t>na</w:t>
            </w:r>
          </w:p>
        </w:tc>
        <w:tc>
          <w:tcPr>
            <w:tcW w:w="22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Vatomandry</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179 418</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21</w:t>
            </w:r>
          </w:p>
        </w:tc>
        <w:tc>
          <w:tcPr>
            <w:tcW w:w="13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177</w:t>
            </w:r>
          </w:p>
        </w:tc>
        <w:tc>
          <w:tcPr>
            <w:tcW w:w="14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20</w:t>
            </w:r>
          </w:p>
        </w:tc>
        <w:tc>
          <w:tcPr>
            <w:tcW w:w="752"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5</w:t>
            </w:r>
          </w:p>
        </w:tc>
      </w:tr>
      <w:tr w:rsidR="001D787D" w:rsidRPr="00905AB7" w:rsidTr="00075DFE">
        <w:trPr>
          <w:trHeight w:val="300"/>
        </w:trPr>
        <w:tc>
          <w:tcPr>
            <w:tcW w:w="157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 </w:t>
            </w:r>
            <w:r>
              <w:rPr>
                <w:rFonts w:ascii="Calibri" w:eastAsia="Times New Roman" w:hAnsi="Calibri" w:cs="Times New Roman"/>
                <w:color w:val="000000"/>
                <w:lang w:eastAsia="fr-FR"/>
              </w:rPr>
              <w:t>Total</w:t>
            </w:r>
          </w:p>
        </w:tc>
        <w:tc>
          <w:tcPr>
            <w:tcW w:w="22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rPr>
                <w:rFonts w:ascii="Calibri" w:eastAsia="Times New Roman" w:hAnsi="Calibri" w:cs="Times New Roman"/>
                <w:color w:val="000000"/>
                <w:lang w:eastAsia="fr-FR"/>
              </w:rPr>
            </w:pPr>
            <w:r w:rsidRPr="00905AB7">
              <w:rPr>
                <w:rFonts w:ascii="Calibri" w:eastAsia="Times New Roman" w:hAnsi="Calibri" w:cs="Times New Roman"/>
                <w:color w:val="000000"/>
                <w:lang w:eastAsia="fr-FR"/>
              </w:rPr>
              <w:t> </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lang w:eastAsia="fr-FR"/>
              </w:rPr>
            </w:pPr>
            <w:r w:rsidRPr="00905AB7">
              <w:rPr>
                <w:rFonts w:ascii="Calibri" w:eastAsia="Times New Roman" w:hAnsi="Calibri" w:cs="Times New Roman"/>
                <w:b/>
                <w:bCs/>
                <w:color w:val="000000"/>
                <w:lang w:eastAsia="fr-FR"/>
              </w:rPr>
              <w:t>573 559</w:t>
            </w:r>
          </w:p>
        </w:tc>
        <w:tc>
          <w:tcPr>
            <w:tcW w:w="14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lang w:eastAsia="fr-FR"/>
              </w:rPr>
            </w:pPr>
            <w:r w:rsidRPr="00905AB7">
              <w:rPr>
                <w:rFonts w:ascii="Calibri" w:eastAsia="Times New Roman" w:hAnsi="Calibri" w:cs="Times New Roman"/>
                <w:b/>
                <w:bCs/>
                <w:color w:val="000000"/>
                <w:lang w:eastAsia="fr-FR"/>
              </w:rPr>
              <w:t>40</w:t>
            </w:r>
          </w:p>
        </w:tc>
        <w:tc>
          <w:tcPr>
            <w:tcW w:w="139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lang w:eastAsia="fr-FR"/>
              </w:rPr>
            </w:pPr>
            <w:r w:rsidRPr="00905AB7">
              <w:rPr>
                <w:rFonts w:ascii="Calibri" w:eastAsia="Times New Roman" w:hAnsi="Calibri" w:cs="Times New Roman"/>
                <w:b/>
                <w:bCs/>
                <w:color w:val="000000"/>
                <w:lang w:eastAsia="fr-FR"/>
              </w:rPr>
              <w:t>379</w:t>
            </w:r>
          </w:p>
        </w:tc>
        <w:tc>
          <w:tcPr>
            <w:tcW w:w="1416"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lang w:eastAsia="fr-FR"/>
              </w:rPr>
            </w:pPr>
            <w:r w:rsidRPr="00905AB7">
              <w:rPr>
                <w:rFonts w:ascii="Calibri" w:eastAsia="Times New Roman" w:hAnsi="Calibri" w:cs="Times New Roman"/>
                <w:b/>
                <w:bCs/>
                <w:color w:val="000000"/>
                <w:lang w:eastAsia="fr-FR"/>
              </w:rPr>
              <w:t>39</w:t>
            </w:r>
          </w:p>
        </w:tc>
        <w:tc>
          <w:tcPr>
            <w:tcW w:w="752" w:type="dxa"/>
            <w:tcBorders>
              <w:top w:val="nil"/>
              <w:left w:val="nil"/>
              <w:bottom w:val="nil"/>
              <w:right w:val="nil"/>
            </w:tcBorders>
            <w:shd w:val="clear" w:color="000000" w:fill="FABF8F"/>
            <w:noWrap/>
            <w:vAlign w:val="bottom"/>
            <w:hideMark/>
          </w:tcPr>
          <w:p w:rsidR="001D787D" w:rsidRPr="00905AB7" w:rsidRDefault="001D787D" w:rsidP="00075DFE">
            <w:pPr>
              <w:spacing w:after="0" w:line="240" w:lineRule="auto"/>
              <w:jc w:val="right"/>
              <w:rPr>
                <w:rFonts w:ascii="Calibri" w:eastAsia="Times New Roman" w:hAnsi="Calibri" w:cs="Times New Roman"/>
                <w:b/>
                <w:bCs/>
                <w:color w:val="000000"/>
                <w:lang w:eastAsia="fr-FR"/>
              </w:rPr>
            </w:pPr>
            <w:r w:rsidRPr="00905AB7">
              <w:rPr>
                <w:rFonts w:ascii="Calibri" w:eastAsia="Times New Roman" w:hAnsi="Calibri" w:cs="Times New Roman"/>
                <w:b/>
                <w:bCs/>
                <w:color w:val="000000"/>
                <w:lang w:eastAsia="fr-FR"/>
              </w:rPr>
              <w:t>17</w:t>
            </w:r>
          </w:p>
        </w:tc>
      </w:tr>
    </w:tbl>
    <w:p w:rsidR="00321125" w:rsidRDefault="001D787D" w:rsidP="006E6B7D">
      <w:r w:rsidRPr="001D787D">
        <w:t>D</w:t>
      </w:r>
      <w:r>
        <w:t xml:space="preserve">ans ce projet </w:t>
      </w:r>
      <w:r w:rsidR="00BA7A51">
        <w:t>l’Etat prévoit de prendre en charge pour la première année,  l’affiliation de la population pauvre pour un montant  de 595 millions de MGA (soit</w:t>
      </w:r>
      <w:r w:rsidR="00321125">
        <w:t xml:space="preserve"> pour </w:t>
      </w:r>
      <w:r w:rsidR="00BA7A51">
        <w:t xml:space="preserve"> </w:t>
      </w:r>
      <w:r w:rsidR="00E4796C">
        <w:t>70 800 personnes à raison de 2,8</w:t>
      </w:r>
      <w:r w:rsidR="00BA7A51">
        <w:t xml:space="preserve"> USD/habt). </w:t>
      </w:r>
      <w:r>
        <w:t xml:space="preserve">La proportion de la population qui va se prendre volontairement en charge </w:t>
      </w:r>
      <w:r w:rsidR="006E6B7D">
        <w:t xml:space="preserve">la première année est </w:t>
      </w:r>
      <w:r w:rsidR="00321125">
        <w:t xml:space="preserve">estimée à  </w:t>
      </w:r>
      <w:r w:rsidR="006E6B7D">
        <w:t>7%</w:t>
      </w:r>
      <w:r>
        <w:t>.</w:t>
      </w:r>
      <w:r w:rsidR="00B309C1">
        <w:t xml:space="preserve"> </w:t>
      </w:r>
      <w:r w:rsidR="00321125">
        <w:t xml:space="preserve">Les coûts y afférents </w:t>
      </w:r>
      <w:r w:rsidR="00034687">
        <w:t>ainsi que ceux de 22 et 24 districts</w:t>
      </w:r>
      <w:r w:rsidR="005E4828">
        <w:t xml:space="preserve"> </w:t>
      </w:r>
      <w:r w:rsidR="00321125">
        <w:t>sont présentés dans le tableau suivant :</w:t>
      </w:r>
    </w:p>
    <w:tbl>
      <w:tblPr>
        <w:tblStyle w:val="Tabellenraster"/>
        <w:tblW w:w="0" w:type="auto"/>
        <w:tblInd w:w="534" w:type="dxa"/>
        <w:tblLook w:val="04A0" w:firstRow="1" w:lastRow="0" w:firstColumn="1" w:lastColumn="0" w:noHBand="0" w:noVBand="1"/>
      </w:tblPr>
      <w:tblGrid>
        <w:gridCol w:w="3260"/>
        <w:gridCol w:w="1984"/>
        <w:gridCol w:w="1985"/>
        <w:gridCol w:w="1984"/>
      </w:tblGrid>
      <w:tr w:rsidR="006E6B7D" w:rsidTr="00A7004A">
        <w:tc>
          <w:tcPr>
            <w:tcW w:w="3260" w:type="dxa"/>
            <w:shd w:val="clear" w:color="auto" w:fill="F2DBDB" w:themeFill="accent2" w:themeFillTint="33"/>
          </w:tcPr>
          <w:p w:rsidR="006E6B7D" w:rsidRPr="00A7004A" w:rsidRDefault="00A7004A" w:rsidP="006E6B7D">
            <w:pPr>
              <w:rPr>
                <w:b/>
              </w:rPr>
            </w:pPr>
            <w:r w:rsidRPr="00A7004A">
              <w:rPr>
                <w:b/>
              </w:rPr>
              <w:t>En</w:t>
            </w:r>
            <w:r w:rsidR="008D5FA8">
              <w:rPr>
                <w:b/>
              </w:rPr>
              <w:t xml:space="preserve"> millier </w:t>
            </w:r>
            <w:r w:rsidRPr="00A7004A">
              <w:rPr>
                <w:b/>
              </w:rPr>
              <w:t xml:space="preserve"> MGA</w:t>
            </w:r>
          </w:p>
        </w:tc>
        <w:tc>
          <w:tcPr>
            <w:tcW w:w="1984" w:type="dxa"/>
            <w:shd w:val="clear" w:color="auto" w:fill="F2DBDB" w:themeFill="accent2" w:themeFillTint="33"/>
          </w:tcPr>
          <w:p w:rsidR="006E6B7D" w:rsidRPr="00A7004A" w:rsidRDefault="006E6B7D" w:rsidP="006E6B7D">
            <w:pPr>
              <w:rPr>
                <w:b/>
              </w:rPr>
            </w:pPr>
            <w:r w:rsidRPr="00A7004A">
              <w:rPr>
                <w:b/>
              </w:rPr>
              <w:t>2017 :  3 districts</w:t>
            </w:r>
          </w:p>
        </w:tc>
        <w:tc>
          <w:tcPr>
            <w:tcW w:w="1985" w:type="dxa"/>
            <w:shd w:val="clear" w:color="auto" w:fill="F2DBDB" w:themeFill="accent2" w:themeFillTint="33"/>
          </w:tcPr>
          <w:p w:rsidR="006E6B7D" w:rsidRPr="00A7004A" w:rsidRDefault="006E6B7D" w:rsidP="00642BC3">
            <w:pPr>
              <w:rPr>
                <w:b/>
              </w:rPr>
            </w:pPr>
            <w:r w:rsidRPr="00A7004A">
              <w:rPr>
                <w:b/>
              </w:rPr>
              <w:t xml:space="preserve">2018 :  </w:t>
            </w:r>
            <w:r w:rsidR="00642BC3">
              <w:rPr>
                <w:b/>
              </w:rPr>
              <w:t>22</w:t>
            </w:r>
            <w:r w:rsidRPr="00A7004A">
              <w:rPr>
                <w:b/>
              </w:rPr>
              <w:t xml:space="preserve"> districts</w:t>
            </w:r>
          </w:p>
        </w:tc>
        <w:tc>
          <w:tcPr>
            <w:tcW w:w="1984" w:type="dxa"/>
            <w:shd w:val="clear" w:color="auto" w:fill="F2DBDB" w:themeFill="accent2" w:themeFillTint="33"/>
          </w:tcPr>
          <w:p w:rsidR="006E6B7D" w:rsidRPr="00A7004A" w:rsidRDefault="006E6B7D" w:rsidP="00642BC3">
            <w:pPr>
              <w:rPr>
                <w:b/>
              </w:rPr>
            </w:pPr>
            <w:r w:rsidRPr="00A7004A">
              <w:rPr>
                <w:b/>
              </w:rPr>
              <w:t xml:space="preserve"> 2019 :  4</w:t>
            </w:r>
            <w:r w:rsidR="00642BC3">
              <w:rPr>
                <w:b/>
              </w:rPr>
              <w:t>4</w:t>
            </w:r>
            <w:r w:rsidRPr="00A7004A">
              <w:rPr>
                <w:b/>
              </w:rPr>
              <w:t xml:space="preserve"> districts</w:t>
            </w:r>
          </w:p>
        </w:tc>
      </w:tr>
      <w:tr w:rsidR="001875EA" w:rsidTr="00A7004A">
        <w:tc>
          <w:tcPr>
            <w:tcW w:w="3260" w:type="dxa"/>
            <w:vAlign w:val="bottom"/>
          </w:tcPr>
          <w:p w:rsidR="001875EA" w:rsidRPr="008D5FA8" w:rsidRDefault="001875EA" w:rsidP="00075DFE">
            <w:pPr>
              <w:rPr>
                <w:rFonts w:eastAsia="Times New Roman" w:cs="Times New Roman"/>
                <w:bCs/>
                <w:color w:val="000000"/>
                <w:sz w:val="20"/>
                <w:szCs w:val="20"/>
                <w:lang w:eastAsia="fr-FR"/>
              </w:rPr>
            </w:pPr>
            <w:r w:rsidRPr="008D5FA8">
              <w:rPr>
                <w:rFonts w:eastAsia="Times New Roman" w:cs="Times New Roman"/>
                <w:bCs/>
                <w:color w:val="000000"/>
                <w:sz w:val="20"/>
                <w:szCs w:val="20"/>
                <w:lang w:eastAsia="fr-FR"/>
              </w:rPr>
              <w:t>Investissement pour les 3 niveaux:</w:t>
            </w:r>
          </w:p>
          <w:p w:rsidR="00642BC3" w:rsidRPr="008D5FA8" w:rsidRDefault="00642BC3" w:rsidP="00642BC3">
            <w:pPr>
              <w:rPr>
                <w:rFonts w:eastAsia="Times New Roman" w:cs="Times New Roman"/>
                <w:bCs/>
                <w:color w:val="000000"/>
                <w:sz w:val="20"/>
                <w:szCs w:val="20"/>
                <w:lang w:eastAsia="fr-FR"/>
              </w:rPr>
            </w:pPr>
            <w:r w:rsidRPr="008D5FA8">
              <w:rPr>
                <w:rFonts w:eastAsia="Times New Roman" w:cs="Times New Roman"/>
                <w:bCs/>
                <w:color w:val="000000"/>
                <w:sz w:val="20"/>
                <w:szCs w:val="20"/>
                <w:lang w:eastAsia="fr-FR"/>
              </w:rPr>
              <w:t>CSB/CHRD (Mat tech et construc</w:t>
            </w:r>
            <w:r w:rsidR="00F32126" w:rsidRPr="008D5FA8">
              <w:rPr>
                <w:rFonts w:eastAsia="Times New Roman" w:cs="Times New Roman"/>
                <w:bCs/>
                <w:color w:val="000000"/>
                <w:sz w:val="20"/>
                <w:szCs w:val="20"/>
                <w:lang w:eastAsia="fr-FR"/>
              </w:rPr>
              <w:t xml:space="preserve">tion /réhabilitation) Districts, </w:t>
            </w:r>
            <w:r w:rsidRPr="008D5FA8">
              <w:rPr>
                <w:rFonts w:eastAsia="Times New Roman" w:cs="Times New Roman"/>
                <w:bCs/>
                <w:color w:val="000000"/>
                <w:sz w:val="20"/>
                <w:szCs w:val="20"/>
                <w:lang w:eastAsia="fr-FR"/>
              </w:rPr>
              <w:t>communes</w:t>
            </w:r>
          </w:p>
        </w:tc>
        <w:tc>
          <w:tcPr>
            <w:tcW w:w="1984" w:type="dxa"/>
            <w:vAlign w:val="bottom"/>
          </w:tcPr>
          <w:p w:rsidR="001875EA" w:rsidRPr="008D5FA8" w:rsidRDefault="008D5FA8" w:rsidP="008D5FA8">
            <w:pPr>
              <w:jc w:val="right"/>
              <w:rPr>
                <w:rFonts w:eastAsia="Times New Roman" w:cs="Times New Roman"/>
                <w:bCs/>
                <w:color w:val="000000"/>
                <w:sz w:val="20"/>
                <w:szCs w:val="20"/>
                <w:lang w:eastAsia="fr-FR"/>
              </w:rPr>
            </w:pPr>
            <w:r w:rsidRPr="008D5FA8">
              <w:rPr>
                <w:rFonts w:ascii="Calibri" w:eastAsia="Times New Roman" w:hAnsi="Calibri" w:cs="Times New Roman"/>
                <w:bCs/>
                <w:color w:val="000000"/>
                <w:lang w:eastAsia="fr-FR"/>
              </w:rPr>
              <w:t>2 916 187 </w:t>
            </w:r>
          </w:p>
        </w:tc>
        <w:tc>
          <w:tcPr>
            <w:tcW w:w="1985" w:type="dxa"/>
            <w:vAlign w:val="bottom"/>
          </w:tcPr>
          <w:p w:rsidR="001875EA" w:rsidRPr="008D5FA8" w:rsidRDefault="00642BC3"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20 257 406 </w:t>
            </w:r>
          </w:p>
        </w:tc>
        <w:tc>
          <w:tcPr>
            <w:tcW w:w="1984" w:type="dxa"/>
            <w:vAlign w:val="bottom"/>
          </w:tcPr>
          <w:p w:rsidR="001875EA" w:rsidRPr="008D5FA8" w:rsidRDefault="00642BC3"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40 514 813 </w:t>
            </w:r>
          </w:p>
        </w:tc>
      </w:tr>
      <w:tr w:rsidR="001875EA" w:rsidTr="00A7004A">
        <w:tc>
          <w:tcPr>
            <w:tcW w:w="3260" w:type="dxa"/>
            <w:vAlign w:val="bottom"/>
          </w:tcPr>
          <w:p w:rsidR="001875EA" w:rsidRPr="008D5FA8" w:rsidRDefault="001875EA" w:rsidP="00506CD8">
            <w:pPr>
              <w:rPr>
                <w:rFonts w:eastAsia="Times New Roman" w:cs="Times New Roman"/>
                <w:bCs/>
                <w:color w:val="000000"/>
                <w:sz w:val="20"/>
                <w:szCs w:val="20"/>
                <w:lang w:eastAsia="fr-FR"/>
              </w:rPr>
            </w:pPr>
            <w:r w:rsidRPr="008D5FA8">
              <w:rPr>
                <w:rFonts w:eastAsia="Times New Roman" w:cs="Times New Roman"/>
                <w:bCs/>
                <w:color w:val="000000"/>
                <w:sz w:val="20"/>
                <w:szCs w:val="20"/>
                <w:lang w:eastAsia="fr-FR"/>
              </w:rPr>
              <w:t>Fonctionnement hors solde</w:t>
            </w:r>
            <w:r w:rsidR="00642BC3" w:rsidRPr="008D5FA8">
              <w:rPr>
                <w:rFonts w:eastAsia="Times New Roman" w:cs="Times New Roman"/>
                <w:bCs/>
                <w:color w:val="000000"/>
                <w:sz w:val="20"/>
                <w:szCs w:val="20"/>
                <w:lang w:eastAsia="fr-FR"/>
              </w:rPr>
              <w:t xml:space="preserve"> </w:t>
            </w:r>
            <w:r w:rsidRPr="008D5FA8">
              <w:rPr>
                <w:rFonts w:eastAsia="Times New Roman" w:cs="Times New Roman"/>
                <w:bCs/>
                <w:color w:val="000000"/>
                <w:sz w:val="20"/>
                <w:szCs w:val="20"/>
                <w:lang w:eastAsia="fr-FR"/>
              </w:rPr>
              <w:t>:</w:t>
            </w:r>
            <w:r w:rsidR="00642BC3" w:rsidRPr="008D5FA8">
              <w:rPr>
                <w:rFonts w:eastAsia="Times New Roman" w:cs="Times New Roman"/>
                <w:bCs/>
                <w:color w:val="000000"/>
                <w:sz w:val="20"/>
                <w:szCs w:val="20"/>
                <w:lang w:eastAsia="fr-FR"/>
              </w:rPr>
              <w:t xml:space="preserve"> CSB, Districts, Communes, </w:t>
            </w:r>
            <w:r w:rsidR="00F32126" w:rsidRPr="008D5FA8">
              <w:rPr>
                <w:rFonts w:eastAsia="Times New Roman" w:cs="Times New Roman"/>
                <w:bCs/>
                <w:color w:val="000000"/>
                <w:sz w:val="20"/>
                <w:szCs w:val="20"/>
                <w:lang w:eastAsia="fr-FR"/>
              </w:rPr>
              <w:t>Fokontany</w:t>
            </w:r>
          </w:p>
        </w:tc>
        <w:tc>
          <w:tcPr>
            <w:tcW w:w="1984" w:type="dxa"/>
            <w:vAlign w:val="bottom"/>
          </w:tcPr>
          <w:p w:rsidR="001875EA" w:rsidRPr="008D5FA8" w:rsidRDefault="008D5FA8" w:rsidP="008D5FA8">
            <w:pPr>
              <w:jc w:val="right"/>
              <w:rPr>
                <w:rFonts w:eastAsia="Times New Roman" w:cs="Times New Roman"/>
                <w:bCs/>
                <w:color w:val="000000"/>
                <w:sz w:val="20"/>
                <w:szCs w:val="20"/>
                <w:lang w:eastAsia="fr-FR"/>
              </w:rPr>
            </w:pPr>
            <w:r w:rsidRPr="008D5FA8">
              <w:rPr>
                <w:rFonts w:ascii="Calibri" w:eastAsia="Times New Roman" w:hAnsi="Calibri" w:cs="Times New Roman"/>
                <w:bCs/>
                <w:color w:val="000000"/>
                <w:lang w:eastAsia="fr-FR"/>
              </w:rPr>
              <w:t>1 478 305 </w:t>
            </w:r>
          </w:p>
        </w:tc>
        <w:tc>
          <w:tcPr>
            <w:tcW w:w="1985" w:type="dxa"/>
            <w:vAlign w:val="bottom"/>
          </w:tcPr>
          <w:p w:rsidR="001875EA" w:rsidRPr="008D5FA8" w:rsidRDefault="004501E9"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11 339 807 </w:t>
            </w:r>
          </w:p>
        </w:tc>
        <w:tc>
          <w:tcPr>
            <w:tcW w:w="1984" w:type="dxa"/>
            <w:vAlign w:val="bottom"/>
          </w:tcPr>
          <w:p w:rsidR="001875EA" w:rsidRPr="008D5FA8" w:rsidRDefault="008D5FA8"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22 679 614 </w:t>
            </w:r>
          </w:p>
        </w:tc>
      </w:tr>
      <w:tr w:rsidR="001875EA" w:rsidTr="00A7004A">
        <w:tc>
          <w:tcPr>
            <w:tcW w:w="3260" w:type="dxa"/>
            <w:vAlign w:val="bottom"/>
          </w:tcPr>
          <w:p w:rsidR="001875EA" w:rsidRPr="008D5FA8" w:rsidRDefault="001875EA" w:rsidP="00075DFE">
            <w:pPr>
              <w:rPr>
                <w:rFonts w:eastAsia="Times New Roman" w:cs="Times New Roman"/>
                <w:bCs/>
                <w:color w:val="000000"/>
                <w:sz w:val="20"/>
                <w:szCs w:val="20"/>
                <w:lang w:eastAsia="fr-FR"/>
              </w:rPr>
            </w:pPr>
            <w:r w:rsidRPr="008D5FA8">
              <w:rPr>
                <w:rFonts w:eastAsia="Times New Roman" w:cs="Times New Roman"/>
                <w:bCs/>
                <w:color w:val="000000"/>
                <w:sz w:val="20"/>
                <w:szCs w:val="20"/>
                <w:lang w:eastAsia="fr-FR"/>
              </w:rPr>
              <w:t>Solde</w:t>
            </w:r>
            <w:r w:rsidR="00F32126" w:rsidRPr="008D5FA8">
              <w:rPr>
                <w:rFonts w:eastAsia="Times New Roman" w:cs="Times New Roman"/>
                <w:bCs/>
                <w:color w:val="000000"/>
                <w:sz w:val="20"/>
                <w:szCs w:val="20"/>
                <w:lang w:eastAsia="fr-FR"/>
              </w:rPr>
              <w:t xml:space="preserve"> CSB CHRD et districts</w:t>
            </w:r>
          </w:p>
        </w:tc>
        <w:tc>
          <w:tcPr>
            <w:tcW w:w="1984" w:type="dxa"/>
            <w:vAlign w:val="bottom"/>
          </w:tcPr>
          <w:p w:rsidR="001875EA" w:rsidRPr="008D5FA8" w:rsidRDefault="008D5FA8" w:rsidP="008D5FA8">
            <w:pPr>
              <w:jc w:val="right"/>
              <w:rPr>
                <w:rFonts w:eastAsia="Times New Roman" w:cs="Times New Roman"/>
                <w:bCs/>
                <w:color w:val="000000"/>
                <w:sz w:val="20"/>
                <w:szCs w:val="20"/>
                <w:lang w:eastAsia="fr-FR"/>
              </w:rPr>
            </w:pPr>
            <w:r w:rsidRPr="008D5FA8">
              <w:rPr>
                <w:rFonts w:ascii="Calibri" w:eastAsia="Times New Roman" w:hAnsi="Calibri" w:cs="Times New Roman"/>
                <w:bCs/>
                <w:color w:val="000000"/>
                <w:lang w:eastAsia="fr-FR"/>
              </w:rPr>
              <w:t>1 494 000 </w:t>
            </w:r>
          </w:p>
        </w:tc>
        <w:tc>
          <w:tcPr>
            <w:tcW w:w="1985" w:type="dxa"/>
            <w:vAlign w:val="bottom"/>
          </w:tcPr>
          <w:p w:rsidR="001875EA" w:rsidRPr="008D5FA8" w:rsidRDefault="004501E9"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12 162 063 </w:t>
            </w:r>
          </w:p>
        </w:tc>
        <w:tc>
          <w:tcPr>
            <w:tcW w:w="1984" w:type="dxa"/>
            <w:vAlign w:val="bottom"/>
          </w:tcPr>
          <w:p w:rsidR="001875EA" w:rsidRPr="008D5FA8" w:rsidRDefault="008D5FA8" w:rsidP="008D5FA8">
            <w:pPr>
              <w:jc w:val="right"/>
              <w:rPr>
                <w:rFonts w:ascii="Calibri" w:eastAsia="Times New Roman" w:hAnsi="Calibri" w:cs="Times New Roman"/>
                <w:bCs/>
                <w:color w:val="000000"/>
                <w:lang w:eastAsia="fr-FR"/>
              </w:rPr>
            </w:pPr>
            <w:r w:rsidRPr="008D5FA8">
              <w:rPr>
                <w:rFonts w:ascii="Calibri" w:eastAsia="Times New Roman" w:hAnsi="Calibri" w:cs="Times New Roman"/>
                <w:bCs/>
                <w:color w:val="000000"/>
                <w:lang w:eastAsia="fr-FR"/>
              </w:rPr>
              <w:t>24 324 126 </w:t>
            </w:r>
          </w:p>
        </w:tc>
      </w:tr>
    </w:tbl>
    <w:p w:rsidR="009F661D" w:rsidRDefault="009F661D" w:rsidP="009F661D">
      <w:pPr>
        <w:spacing w:after="0" w:line="240" w:lineRule="auto"/>
        <w:ind w:firstLine="708"/>
        <w:rPr>
          <w:sz w:val="16"/>
          <w:szCs w:val="16"/>
        </w:rPr>
      </w:pPr>
      <w:r w:rsidRPr="009F0B7B">
        <w:rPr>
          <w:sz w:val="16"/>
          <w:szCs w:val="16"/>
        </w:rPr>
        <w:t>Source : Bureau OMS pays</w:t>
      </w:r>
    </w:p>
    <w:p w:rsidR="007D7F28" w:rsidRDefault="007D7F28" w:rsidP="00642BC3">
      <w:pPr>
        <w:spacing w:after="0" w:line="240" w:lineRule="auto"/>
        <w:rPr>
          <w:rFonts w:ascii="Calibri" w:eastAsia="Times New Roman" w:hAnsi="Calibri" w:cs="Times New Roman"/>
          <w:bCs/>
          <w:color w:val="000000"/>
          <w:lang w:eastAsia="fr-FR"/>
        </w:rPr>
      </w:pPr>
    </w:p>
    <w:p w:rsidR="00642BC3" w:rsidRDefault="00E4796C" w:rsidP="00830A04">
      <w:pPr>
        <w:spacing w:after="0" w:line="240" w:lineRule="auto"/>
        <w:jc w:val="both"/>
        <w:rPr>
          <w:rFonts w:ascii="Calibri" w:eastAsia="Times New Roman" w:hAnsi="Calibri" w:cs="Times New Roman"/>
          <w:bCs/>
          <w:color w:val="000000"/>
          <w:lang w:eastAsia="fr-FR"/>
        </w:rPr>
      </w:pPr>
      <w:r w:rsidRPr="00E4796C">
        <w:rPr>
          <w:rFonts w:ascii="Calibri" w:eastAsia="Times New Roman" w:hAnsi="Calibri" w:cs="Times New Roman"/>
          <w:bCs/>
          <w:color w:val="000000"/>
          <w:lang w:eastAsia="fr-FR"/>
        </w:rPr>
        <w:lastRenderedPageBreak/>
        <w:t xml:space="preserve">Les </w:t>
      </w:r>
      <w:r>
        <w:rPr>
          <w:rFonts w:ascii="Calibri" w:eastAsia="Times New Roman" w:hAnsi="Calibri" w:cs="Times New Roman"/>
          <w:bCs/>
          <w:color w:val="000000"/>
          <w:lang w:eastAsia="fr-FR"/>
        </w:rPr>
        <w:t>coûts pour les 3 districts incluent la transformation et l’équipement de 2 CHRD (Vatomandry et Manandriana</w:t>
      </w:r>
      <w:r w:rsidR="005E4828">
        <w:rPr>
          <w:rFonts w:ascii="Calibri" w:eastAsia="Times New Roman" w:hAnsi="Calibri" w:cs="Times New Roman"/>
          <w:bCs/>
          <w:color w:val="000000"/>
          <w:lang w:eastAsia="fr-FR"/>
        </w:rPr>
        <w:t xml:space="preserve"> qui ne disposent que de CHRD 1</w:t>
      </w:r>
      <w:r>
        <w:rPr>
          <w:rFonts w:ascii="Calibri" w:eastAsia="Times New Roman" w:hAnsi="Calibri" w:cs="Times New Roman"/>
          <w:bCs/>
          <w:color w:val="000000"/>
          <w:lang w:eastAsia="fr-FR"/>
        </w:rPr>
        <w:t>) ainsi que le renforcement en matériels techniques manquants  de 56 CSB.</w:t>
      </w:r>
    </w:p>
    <w:p w:rsidR="00E4796C" w:rsidRPr="00E4796C" w:rsidRDefault="00E4796C" w:rsidP="00830A04">
      <w:pPr>
        <w:spacing w:after="0" w:line="240" w:lineRule="auto"/>
        <w:jc w:val="both"/>
        <w:rPr>
          <w:rFonts w:ascii="Calibri" w:eastAsia="Times New Roman" w:hAnsi="Calibri" w:cs="Times New Roman"/>
          <w:bCs/>
          <w:color w:val="000000"/>
          <w:lang w:eastAsia="fr-FR"/>
        </w:rPr>
      </w:pPr>
      <w:r>
        <w:rPr>
          <w:rFonts w:ascii="Calibri" w:eastAsia="Times New Roman" w:hAnsi="Calibri" w:cs="Times New Roman"/>
          <w:bCs/>
          <w:color w:val="000000"/>
          <w:lang w:eastAsia="fr-FR"/>
        </w:rPr>
        <w:t xml:space="preserve">Les 22 et 44 districts comportent respectivement </w:t>
      </w:r>
      <w:r w:rsidR="007D7F28">
        <w:rPr>
          <w:rFonts w:ascii="Calibri" w:eastAsia="Times New Roman" w:hAnsi="Calibri" w:cs="Times New Roman"/>
          <w:bCs/>
          <w:color w:val="000000"/>
          <w:lang w:eastAsia="fr-FR"/>
        </w:rPr>
        <w:t xml:space="preserve">494 et 989 CSB ainsi qu’un CHRD à transformer ou déjà opérationnel pour chaque district. </w:t>
      </w:r>
      <w:r>
        <w:rPr>
          <w:rFonts w:ascii="Calibri" w:eastAsia="Times New Roman" w:hAnsi="Calibri" w:cs="Times New Roman"/>
          <w:bCs/>
          <w:color w:val="000000"/>
          <w:lang w:eastAsia="fr-FR"/>
        </w:rPr>
        <w:t xml:space="preserve"> </w:t>
      </w:r>
    </w:p>
    <w:p w:rsidR="008D5FA8" w:rsidRDefault="008D5FA8" w:rsidP="008D5FA8">
      <w:pPr>
        <w:spacing w:after="0" w:line="240" w:lineRule="auto"/>
        <w:rPr>
          <w:rFonts w:ascii="Calibri" w:eastAsia="Times New Roman" w:hAnsi="Calibri" w:cs="Times New Roman"/>
          <w:b/>
          <w:bCs/>
          <w:color w:val="000000"/>
          <w:lang w:eastAsia="fr-FR"/>
        </w:rPr>
      </w:pPr>
    </w:p>
    <w:p w:rsidR="007D7F28" w:rsidRPr="008D5FA8" w:rsidRDefault="007D7F28" w:rsidP="008D5FA8">
      <w:pPr>
        <w:spacing w:after="0" w:line="240" w:lineRule="auto"/>
        <w:rPr>
          <w:rFonts w:ascii="Calibri" w:eastAsia="Times New Roman" w:hAnsi="Calibri" w:cs="Times New Roman"/>
          <w:b/>
          <w:bCs/>
          <w:color w:val="000000"/>
          <w:lang w:eastAsia="fr-FR"/>
        </w:rPr>
      </w:pPr>
    </w:p>
    <w:p w:rsidR="004501E9" w:rsidRPr="004501E9" w:rsidRDefault="004501E9" w:rsidP="004501E9">
      <w:pPr>
        <w:spacing w:after="0" w:line="240" w:lineRule="auto"/>
        <w:rPr>
          <w:rFonts w:ascii="Calibri" w:eastAsia="Times New Roman" w:hAnsi="Calibri" w:cs="Times New Roman"/>
          <w:b/>
          <w:bCs/>
          <w:color w:val="000000"/>
          <w:lang w:eastAsia="fr-FR"/>
        </w:rPr>
      </w:pPr>
    </w:p>
    <w:tbl>
      <w:tblPr>
        <w:tblStyle w:val="Tabellenraster"/>
        <w:tblW w:w="0" w:type="auto"/>
        <w:tblLook w:val="04A0" w:firstRow="1" w:lastRow="0" w:firstColumn="1" w:lastColumn="0" w:noHBand="0" w:noVBand="1"/>
      </w:tblPr>
      <w:tblGrid>
        <w:gridCol w:w="10401"/>
      </w:tblGrid>
      <w:tr w:rsidR="007D7F28" w:rsidTr="00266F04">
        <w:trPr>
          <w:trHeight w:val="4101"/>
        </w:trPr>
        <w:tc>
          <w:tcPr>
            <w:tcW w:w="10401" w:type="dxa"/>
          </w:tcPr>
          <w:p w:rsidR="009C0383" w:rsidRDefault="00960B08" w:rsidP="007D7F28">
            <w:pPr>
              <w:jc w:val="both"/>
            </w:pPr>
            <w:r w:rsidRPr="00B309C1">
              <w:rPr>
                <w:b/>
              </w:rPr>
              <w:t>C</w:t>
            </w:r>
            <w:r w:rsidR="009C0383" w:rsidRPr="00B309C1">
              <w:rPr>
                <w:b/>
              </w:rPr>
              <w:t>onclusion </w:t>
            </w:r>
            <w:r w:rsidR="009C0383">
              <w:t>:</w:t>
            </w:r>
          </w:p>
          <w:p w:rsidR="00960B08" w:rsidRDefault="00960B08" w:rsidP="007D7F28">
            <w:pPr>
              <w:jc w:val="both"/>
            </w:pPr>
          </w:p>
          <w:p w:rsidR="007D7F28" w:rsidRDefault="000C32C4" w:rsidP="007D7F28">
            <w:pPr>
              <w:jc w:val="both"/>
            </w:pPr>
            <w:r>
              <w:t>A</w:t>
            </w:r>
            <w:r w:rsidR="007D7F28">
              <w:t xml:space="preserve"> la lumière des informations </w:t>
            </w:r>
            <w:r w:rsidR="00C21A32">
              <w:t>ci-dessus</w:t>
            </w:r>
            <w:r w:rsidR="007D7F28">
              <w:t>,</w:t>
            </w:r>
            <w:r w:rsidR="00F015C8">
              <w:t xml:space="preserve"> </w:t>
            </w:r>
            <w:r w:rsidR="007D7F28">
              <w:t xml:space="preserve"> </w:t>
            </w:r>
            <w:r w:rsidR="007D7F28" w:rsidRPr="00EC25BC">
              <w:t>Il es</w:t>
            </w:r>
            <w:r w:rsidR="007D7F28">
              <w:t>t aisé pour le pays  de mettre en place  le projet de réforme CSU, en tenant compte de</w:t>
            </w:r>
            <w:r w:rsidR="007246EF">
              <w:t>s</w:t>
            </w:r>
            <w:r w:rsidR="007D7F28">
              <w:t xml:space="preserve"> conditions </w:t>
            </w:r>
            <w:r w:rsidR="007246EF">
              <w:t>suivantes</w:t>
            </w:r>
            <w:r w:rsidR="007D7F28">
              <w:t xml:space="preserve">: </w:t>
            </w:r>
          </w:p>
          <w:p w:rsidR="00404946" w:rsidRDefault="00404946" w:rsidP="007D7F28">
            <w:pPr>
              <w:jc w:val="both"/>
            </w:pPr>
          </w:p>
          <w:p w:rsidR="007D7F28" w:rsidRDefault="00D379EB" w:rsidP="007D7F28">
            <w:pPr>
              <w:pStyle w:val="Listenabsatz"/>
              <w:numPr>
                <w:ilvl w:val="0"/>
                <w:numId w:val="11"/>
              </w:numPr>
              <w:jc w:val="both"/>
            </w:pPr>
            <w:r>
              <w:t>L</w:t>
            </w:r>
            <w:r w:rsidR="007D7F28">
              <w:t xml:space="preserve">a part du budget santé </w:t>
            </w:r>
            <w:r>
              <w:t xml:space="preserve">devrait être </w:t>
            </w:r>
            <w:r w:rsidR="007D7F28">
              <w:t>augment</w:t>
            </w:r>
            <w:r>
              <w:t>ée</w:t>
            </w:r>
            <w:r w:rsidR="007D7F28">
              <w:t xml:space="preserve"> à plus de 7% du budget de l’Etat (Le CDMT </w:t>
            </w:r>
            <w:r>
              <w:t xml:space="preserve">la </w:t>
            </w:r>
            <w:r w:rsidR="007D7F28">
              <w:t xml:space="preserve">prévoit </w:t>
            </w:r>
            <w:r>
              <w:t xml:space="preserve">à 6,1% </w:t>
            </w:r>
            <w:r w:rsidR="007D7F28">
              <w:t>pour 2018, alors qu</w:t>
            </w:r>
            <w:r>
              <w:t>’en</w:t>
            </w:r>
            <w:r w:rsidR="007D7F28">
              <w:t xml:space="preserve"> </w:t>
            </w:r>
            <w:r>
              <w:t xml:space="preserve">2017 elle est de </w:t>
            </w:r>
            <w:r w:rsidR="007D7F28">
              <w:t xml:space="preserve">6,8% </w:t>
            </w:r>
            <w:r>
              <w:t>selon la LF</w:t>
            </w:r>
            <w:r w:rsidR="007D7F28">
              <w:t xml:space="preserve">). </w:t>
            </w:r>
            <w:r w:rsidR="00F015C8">
              <w:t>Il est à noter que l</w:t>
            </w:r>
            <w:r w:rsidR="007D7F28">
              <w:t xml:space="preserve">’objectif d’Abuja pour les Etats Africains est de 15%. Egalement une augmentation de la croissance économique de l’ordre </w:t>
            </w:r>
            <w:r w:rsidR="00F015C8">
              <w:t xml:space="preserve">de </w:t>
            </w:r>
            <w:r w:rsidR="007D7F28">
              <w:t>0,1 point à partir de 2018 apportera les ressources nécessaires à la réforme.</w:t>
            </w:r>
          </w:p>
          <w:p w:rsidR="00D379EB" w:rsidRDefault="00D379EB" w:rsidP="00D379EB">
            <w:pPr>
              <w:pStyle w:val="Listenabsatz"/>
              <w:numPr>
                <w:ilvl w:val="0"/>
                <w:numId w:val="11"/>
              </w:numPr>
              <w:jc w:val="both"/>
            </w:pPr>
            <w:r>
              <w:t>L</w:t>
            </w:r>
            <w:r w:rsidR="007D7F28" w:rsidRPr="0066005B">
              <w:t xml:space="preserve">es </w:t>
            </w:r>
            <w:r w:rsidR="007D7F28">
              <w:t xml:space="preserve">PTF </w:t>
            </w:r>
            <w:r>
              <w:t xml:space="preserve">devraient </w:t>
            </w:r>
            <w:r w:rsidR="007D7F28">
              <w:t>focaliser davantage les ressources qu’ils apportent pour aider à la mise en œuvre de la CSU, notamment dans le renforcement des équipements</w:t>
            </w:r>
            <w:r>
              <w:t xml:space="preserve"> et matériels techniques des FS et</w:t>
            </w:r>
            <w:r w:rsidR="007D7F28">
              <w:t xml:space="preserve"> l’amélioration de la qualité des soins </w:t>
            </w:r>
            <w:r>
              <w:t xml:space="preserve">ainsi que </w:t>
            </w:r>
            <w:r w:rsidR="007D7F28">
              <w:t xml:space="preserve">la réhabilitation et même l’appui à la construction de FS. Il est à rappeler que </w:t>
            </w:r>
            <w:r>
              <w:t xml:space="preserve">le </w:t>
            </w:r>
            <w:r w:rsidR="007D7F28">
              <w:t xml:space="preserve">montant de l’aide extérieure non inscrite sur le budget santé </w:t>
            </w:r>
            <w:r>
              <w:t>est de 6 USD/habt</w:t>
            </w:r>
            <w:r w:rsidR="007D7F28">
              <w:t>, alors que</w:t>
            </w:r>
            <w:r>
              <w:t xml:space="preserve"> le budget santé et </w:t>
            </w:r>
            <w:r w:rsidR="007D7F28">
              <w:t>le coût</w:t>
            </w:r>
            <w:r>
              <w:t xml:space="preserve"> de la</w:t>
            </w:r>
            <w:r w:rsidR="007D7F28">
              <w:t xml:space="preserve"> réforme CSU </w:t>
            </w:r>
            <w:r>
              <w:t xml:space="preserve">sont respectivement </w:t>
            </w:r>
            <w:r w:rsidR="007D7F28">
              <w:t xml:space="preserve"> de  </w:t>
            </w:r>
            <w:r>
              <w:t xml:space="preserve">4,7 USD/habt  et </w:t>
            </w:r>
            <w:r w:rsidR="007D7F28">
              <w:t>1,8 USD/habt.</w:t>
            </w:r>
          </w:p>
          <w:p w:rsidR="007D7F28" w:rsidRPr="0066005B" w:rsidRDefault="007D7F28" w:rsidP="00D379EB">
            <w:pPr>
              <w:pStyle w:val="Listenabsatz"/>
              <w:jc w:val="both"/>
            </w:pPr>
            <w:r>
              <w:t xml:space="preserve">  </w:t>
            </w:r>
          </w:p>
          <w:p w:rsidR="007D7F28" w:rsidRDefault="00D379EB" w:rsidP="007D7F28">
            <w:pPr>
              <w:jc w:val="both"/>
            </w:pPr>
            <w:r>
              <w:t>Néanmoins</w:t>
            </w:r>
            <w:r w:rsidR="007D7F28">
              <w:t>, l’Etat  d</w:t>
            </w:r>
            <w:r>
              <w:t xml:space="preserve">evrait </w:t>
            </w:r>
            <w:r w:rsidR="007D7F28">
              <w:t xml:space="preserve"> arrêter une stratégie de mobilisation de ressources par les financements innovants, surtout pour </w:t>
            </w:r>
            <w:r w:rsidR="00AC2D3A">
              <w:t xml:space="preserve">aider à prendre en charge le maximum de personnes qui se trouve dans la catégorie des (52%) extrêmement pauvres.  </w:t>
            </w:r>
            <w:r w:rsidR="009C0383">
              <w:t xml:space="preserve">Ces fonds qui  serviront également au remboursement par la caisse des services fournis par les formations sanitaires, assureront le fonctionnement continu du système à travers le renouvellement de l’achat des intrants et matériels de santé. </w:t>
            </w:r>
          </w:p>
          <w:p w:rsidR="007D7F28" w:rsidRDefault="007D7F28" w:rsidP="00905AB7">
            <w:pPr>
              <w:rPr>
                <w:b/>
                <w:u w:val="single"/>
              </w:rPr>
            </w:pPr>
          </w:p>
          <w:p w:rsidR="009C0383" w:rsidRDefault="009C0383" w:rsidP="00905AB7">
            <w:pPr>
              <w:rPr>
                <w:b/>
                <w:u w:val="single"/>
              </w:rPr>
            </w:pPr>
            <w:r>
              <w:rPr>
                <w:b/>
                <w:u w:val="single"/>
              </w:rPr>
              <w:t xml:space="preserve">Le gap à combler </w:t>
            </w:r>
            <w:r w:rsidR="00960B08">
              <w:rPr>
                <w:b/>
                <w:u w:val="single"/>
              </w:rPr>
              <w:t>pour assurer le fonctionnement des formations sanitaires est présenté dans le tableau ci-dessous :</w:t>
            </w:r>
          </w:p>
          <w:p w:rsidR="009C0383" w:rsidRDefault="009C0383" w:rsidP="009C0383">
            <w:pPr>
              <w:jc w:val="both"/>
            </w:pPr>
          </w:p>
          <w:tbl>
            <w:tblPr>
              <w:tblStyle w:val="Tabellenraster"/>
              <w:tblW w:w="0" w:type="auto"/>
              <w:tblLook w:val="04A0" w:firstRow="1" w:lastRow="0" w:firstColumn="1" w:lastColumn="0" w:noHBand="0" w:noVBand="1"/>
            </w:tblPr>
            <w:tblGrid>
              <w:gridCol w:w="4077"/>
              <w:gridCol w:w="1701"/>
              <w:gridCol w:w="1843"/>
              <w:gridCol w:w="1701"/>
            </w:tblGrid>
            <w:tr w:rsidR="009C0383" w:rsidTr="00973C31">
              <w:tc>
                <w:tcPr>
                  <w:tcW w:w="4077" w:type="dxa"/>
                </w:tcPr>
                <w:p w:rsidR="009C0383" w:rsidRDefault="009C0383" w:rsidP="00973C31">
                  <w:pPr>
                    <w:jc w:val="both"/>
                  </w:pPr>
                  <w:r>
                    <w:t>En USD</w:t>
                  </w:r>
                </w:p>
              </w:tc>
              <w:tc>
                <w:tcPr>
                  <w:tcW w:w="1701" w:type="dxa"/>
                </w:tcPr>
                <w:p w:rsidR="009C0383" w:rsidRPr="00FF326C" w:rsidRDefault="009C0383" w:rsidP="00973C31">
                  <w:pPr>
                    <w:jc w:val="center"/>
                    <w:rPr>
                      <w:b/>
                    </w:rPr>
                  </w:pPr>
                  <w:r w:rsidRPr="00FF326C">
                    <w:rPr>
                      <w:b/>
                    </w:rPr>
                    <w:t>Coût total</w:t>
                  </w:r>
                </w:p>
              </w:tc>
              <w:tc>
                <w:tcPr>
                  <w:tcW w:w="1843" w:type="dxa"/>
                </w:tcPr>
                <w:p w:rsidR="009C0383" w:rsidRPr="00FF326C" w:rsidRDefault="009C0383" w:rsidP="00973C31">
                  <w:pPr>
                    <w:jc w:val="center"/>
                    <w:rPr>
                      <w:b/>
                    </w:rPr>
                  </w:pPr>
                  <w:r w:rsidRPr="00FF326C">
                    <w:rPr>
                      <w:b/>
                    </w:rPr>
                    <w:t>Gap total</w:t>
                  </w:r>
                </w:p>
              </w:tc>
              <w:tc>
                <w:tcPr>
                  <w:tcW w:w="1701" w:type="dxa"/>
                </w:tcPr>
                <w:p w:rsidR="009C0383" w:rsidRPr="00FF326C" w:rsidRDefault="009C0383" w:rsidP="00973C31">
                  <w:pPr>
                    <w:jc w:val="center"/>
                    <w:rPr>
                      <w:b/>
                    </w:rPr>
                  </w:pPr>
                  <w:r w:rsidRPr="00FF326C">
                    <w:rPr>
                      <w:b/>
                    </w:rPr>
                    <w:t>Gap moyen annuel</w:t>
                  </w:r>
                </w:p>
              </w:tc>
            </w:tr>
            <w:tr w:rsidR="009C0383" w:rsidTr="00973C31">
              <w:tc>
                <w:tcPr>
                  <w:tcW w:w="4077" w:type="dxa"/>
                </w:tcPr>
                <w:p w:rsidR="009C0383" w:rsidRDefault="009C0383" w:rsidP="00973C31">
                  <w:pPr>
                    <w:jc w:val="both"/>
                  </w:pPr>
                  <w:r>
                    <w:t>Réhabilitation 268 CSB</w:t>
                  </w:r>
                </w:p>
              </w:tc>
              <w:tc>
                <w:tcPr>
                  <w:tcW w:w="1701" w:type="dxa"/>
                </w:tcPr>
                <w:p w:rsidR="009C0383" w:rsidRDefault="009C0383" w:rsidP="00973C31">
                  <w:pPr>
                    <w:jc w:val="center"/>
                  </w:pPr>
                  <w:r>
                    <w:t>4 898 665</w:t>
                  </w:r>
                </w:p>
              </w:tc>
              <w:tc>
                <w:tcPr>
                  <w:tcW w:w="1843" w:type="dxa"/>
                </w:tcPr>
                <w:p w:rsidR="009C0383" w:rsidRDefault="009C0383" w:rsidP="00973C31">
                  <w:pPr>
                    <w:jc w:val="center"/>
                  </w:pPr>
                  <w:r>
                    <w:t>3 599 948</w:t>
                  </w:r>
                </w:p>
              </w:tc>
              <w:tc>
                <w:tcPr>
                  <w:tcW w:w="1701" w:type="dxa"/>
                </w:tcPr>
                <w:p w:rsidR="009C0383" w:rsidRDefault="009C0383" w:rsidP="00973C31">
                  <w:pPr>
                    <w:jc w:val="center"/>
                  </w:pPr>
                  <w:r>
                    <w:t>514 278</w:t>
                  </w:r>
                </w:p>
              </w:tc>
            </w:tr>
            <w:tr w:rsidR="009C0383" w:rsidTr="00973C31">
              <w:tc>
                <w:tcPr>
                  <w:tcW w:w="4077" w:type="dxa"/>
                </w:tcPr>
                <w:p w:rsidR="009C0383" w:rsidRDefault="009C0383" w:rsidP="00973C31">
                  <w:pPr>
                    <w:jc w:val="both"/>
                  </w:pPr>
                  <w:r>
                    <w:t>Construction 220 CSB</w:t>
                  </w:r>
                </w:p>
              </w:tc>
              <w:tc>
                <w:tcPr>
                  <w:tcW w:w="1701" w:type="dxa"/>
                </w:tcPr>
                <w:p w:rsidR="009C0383" w:rsidRDefault="009C0383" w:rsidP="00973C31">
                  <w:pPr>
                    <w:jc w:val="center"/>
                  </w:pPr>
                  <w:r>
                    <w:t>11 773 495</w:t>
                  </w:r>
                </w:p>
              </w:tc>
              <w:tc>
                <w:tcPr>
                  <w:tcW w:w="1843" w:type="dxa"/>
                </w:tcPr>
                <w:p w:rsidR="009C0383" w:rsidRDefault="009C0383" w:rsidP="00973C31">
                  <w:pPr>
                    <w:jc w:val="center"/>
                  </w:pPr>
                  <w:r>
                    <w:t>11 221 069</w:t>
                  </w:r>
                </w:p>
              </w:tc>
              <w:tc>
                <w:tcPr>
                  <w:tcW w:w="1701" w:type="dxa"/>
                </w:tcPr>
                <w:p w:rsidR="009C0383" w:rsidRDefault="009C0383" w:rsidP="00973C31">
                  <w:pPr>
                    <w:jc w:val="center"/>
                  </w:pPr>
                  <w:r>
                    <w:t>1 603 010</w:t>
                  </w:r>
                </w:p>
              </w:tc>
            </w:tr>
            <w:tr w:rsidR="009C0383" w:rsidTr="00973C31">
              <w:tc>
                <w:tcPr>
                  <w:tcW w:w="4077" w:type="dxa"/>
                </w:tcPr>
                <w:p w:rsidR="009C0383" w:rsidRDefault="009C0383" w:rsidP="00973C31">
                  <w:pPr>
                    <w:jc w:val="both"/>
                  </w:pPr>
                  <w:r>
                    <w:t>Transforma  42 CHRD et réhab 16 CHRR</w:t>
                  </w:r>
                </w:p>
              </w:tc>
              <w:tc>
                <w:tcPr>
                  <w:tcW w:w="1701" w:type="dxa"/>
                </w:tcPr>
                <w:p w:rsidR="009C0383" w:rsidRDefault="009C0383" w:rsidP="00973C31">
                  <w:pPr>
                    <w:jc w:val="center"/>
                  </w:pPr>
                  <w:r>
                    <w:t>9 763 000</w:t>
                  </w:r>
                </w:p>
              </w:tc>
              <w:tc>
                <w:tcPr>
                  <w:tcW w:w="1843" w:type="dxa"/>
                </w:tcPr>
                <w:p w:rsidR="009C0383" w:rsidRDefault="009C0383" w:rsidP="00973C31">
                  <w:pPr>
                    <w:jc w:val="center"/>
                  </w:pPr>
                  <w:r>
                    <w:t>RPI</w:t>
                  </w:r>
                </w:p>
              </w:tc>
              <w:tc>
                <w:tcPr>
                  <w:tcW w:w="1701" w:type="dxa"/>
                </w:tcPr>
                <w:p w:rsidR="009C0383" w:rsidRDefault="009C0383" w:rsidP="00973C31">
                  <w:pPr>
                    <w:jc w:val="center"/>
                  </w:pPr>
                </w:p>
              </w:tc>
            </w:tr>
            <w:tr w:rsidR="009C0383" w:rsidTr="00973C31">
              <w:tc>
                <w:tcPr>
                  <w:tcW w:w="4077" w:type="dxa"/>
                </w:tcPr>
                <w:p w:rsidR="009C0383" w:rsidRDefault="009C0383" w:rsidP="00973C31">
                  <w:pPr>
                    <w:jc w:val="both"/>
                  </w:pPr>
                  <w:r>
                    <w:t>Equipement  2800 CSB</w:t>
                  </w:r>
                </w:p>
              </w:tc>
              <w:tc>
                <w:tcPr>
                  <w:tcW w:w="1701" w:type="dxa"/>
                </w:tcPr>
                <w:p w:rsidR="009C0383" w:rsidRDefault="009C0383" w:rsidP="00973C31">
                  <w:pPr>
                    <w:jc w:val="center"/>
                  </w:pPr>
                  <w:r>
                    <w:t>26 111 040</w:t>
                  </w:r>
                </w:p>
              </w:tc>
              <w:tc>
                <w:tcPr>
                  <w:tcW w:w="1843" w:type="dxa"/>
                </w:tcPr>
                <w:p w:rsidR="009C0383" w:rsidRDefault="009C0383" w:rsidP="00973C31">
                  <w:pPr>
                    <w:jc w:val="center"/>
                  </w:pPr>
                  <w:r>
                    <w:t>21 121 561</w:t>
                  </w:r>
                </w:p>
              </w:tc>
              <w:tc>
                <w:tcPr>
                  <w:tcW w:w="1701" w:type="dxa"/>
                </w:tcPr>
                <w:p w:rsidR="009C0383" w:rsidRDefault="009C0383" w:rsidP="00973C31">
                  <w:pPr>
                    <w:jc w:val="center"/>
                  </w:pPr>
                  <w:r>
                    <w:t>1 624 735</w:t>
                  </w:r>
                </w:p>
              </w:tc>
            </w:tr>
            <w:tr w:rsidR="009C0383" w:rsidTr="00973C31">
              <w:tc>
                <w:tcPr>
                  <w:tcW w:w="4077" w:type="dxa"/>
                </w:tcPr>
                <w:p w:rsidR="009C0383" w:rsidRDefault="009C0383" w:rsidP="00973C31">
                  <w:pPr>
                    <w:jc w:val="both"/>
                  </w:pPr>
                  <w:r>
                    <w:t>Equipement CHRD CHRR</w:t>
                  </w:r>
                </w:p>
              </w:tc>
              <w:tc>
                <w:tcPr>
                  <w:tcW w:w="1701" w:type="dxa"/>
                </w:tcPr>
                <w:p w:rsidR="009C0383" w:rsidRDefault="009C0383" w:rsidP="00973C31">
                  <w:pPr>
                    <w:jc w:val="center"/>
                  </w:pPr>
                  <w:r>
                    <w:t>13 341 250</w:t>
                  </w:r>
                </w:p>
              </w:tc>
              <w:tc>
                <w:tcPr>
                  <w:tcW w:w="1843" w:type="dxa"/>
                </w:tcPr>
                <w:p w:rsidR="009C0383" w:rsidRDefault="009C0383" w:rsidP="00973C31">
                  <w:pPr>
                    <w:jc w:val="center"/>
                  </w:pPr>
                  <w:r>
                    <w:t>RPI</w:t>
                  </w:r>
                </w:p>
              </w:tc>
              <w:tc>
                <w:tcPr>
                  <w:tcW w:w="1701" w:type="dxa"/>
                </w:tcPr>
                <w:p w:rsidR="009C0383" w:rsidRDefault="009C0383" w:rsidP="00973C31">
                  <w:pPr>
                    <w:jc w:val="center"/>
                  </w:pPr>
                </w:p>
              </w:tc>
            </w:tr>
            <w:tr w:rsidR="009C0383" w:rsidTr="00973C31">
              <w:tc>
                <w:tcPr>
                  <w:tcW w:w="4077" w:type="dxa"/>
                </w:tcPr>
                <w:p w:rsidR="009C0383" w:rsidRDefault="009C0383" w:rsidP="00973C31">
                  <w:pPr>
                    <w:jc w:val="both"/>
                  </w:pPr>
                  <w:r>
                    <w:t>Fonctionnement hors solde CSB</w:t>
                  </w:r>
                </w:p>
              </w:tc>
              <w:tc>
                <w:tcPr>
                  <w:tcW w:w="1701" w:type="dxa"/>
                </w:tcPr>
                <w:p w:rsidR="009C0383" w:rsidRDefault="009C0383" w:rsidP="00973C31">
                  <w:pPr>
                    <w:jc w:val="center"/>
                  </w:pPr>
                  <w:r>
                    <w:t>69 881 407</w:t>
                  </w:r>
                </w:p>
              </w:tc>
              <w:tc>
                <w:tcPr>
                  <w:tcW w:w="1843" w:type="dxa"/>
                </w:tcPr>
                <w:p w:rsidR="009C0383" w:rsidRDefault="009C0383" w:rsidP="00973C31">
                  <w:pPr>
                    <w:jc w:val="center"/>
                  </w:pPr>
                  <w:r>
                    <w:t>RPI</w:t>
                  </w:r>
                </w:p>
              </w:tc>
              <w:tc>
                <w:tcPr>
                  <w:tcW w:w="1701" w:type="dxa"/>
                </w:tcPr>
                <w:p w:rsidR="009C0383" w:rsidRDefault="009C0383" w:rsidP="00973C31">
                  <w:pPr>
                    <w:jc w:val="center"/>
                  </w:pPr>
                </w:p>
              </w:tc>
            </w:tr>
            <w:tr w:rsidR="009C0383" w:rsidTr="00973C31">
              <w:tc>
                <w:tcPr>
                  <w:tcW w:w="4077" w:type="dxa"/>
                </w:tcPr>
                <w:p w:rsidR="009C0383" w:rsidRDefault="009C0383" w:rsidP="00973C31">
                  <w:pPr>
                    <w:jc w:val="both"/>
                  </w:pPr>
                  <w:r>
                    <w:t>Fonctionnement hors solde CHRD CHRR</w:t>
                  </w:r>
                </w:p>
              </w:tc>
              <w:tc>
                <w:tcPr>
                  <w:tcW w:w="1701" w:type="dxa"/>
                </w:tcPr>
                <w:p w:rsidR="009C0383" w:rsidRDefault="009C0383" w:rsidP="00973C31">
                  <w:pPr>
                    <w:jc w:val="center"/>
                  </w:pPr>
                  <w:r>
                    <w:t>50 079 148</w:t>
                  </w:r>
                </w:p>
              </w:tc>
              <w:tc>
                <w:tcPr>
                  <w:tcW w:w="1843" w:type="dxa"/>
                </w:tcPr>
                <w:p w:rsidR="009C0383" w:rsidRDefault="009C0383" w:rsidP="00973C31">
                  <w:pPr>
                    <w:jc w:val="center"/>
                  </w:pPr>
                  <w:r>
                    <w:t>RPI</w:t>
                  </w:r>
                </w:p>
              </w:tc>
              <w:tc>
                <w:tcPr>
                  <w:tcW w:w="1701" w:type="dxa"/>
                </w:tcPr>
                <w:p w:rsidR="009C0383" w:rsidRDefault="009C0383" w:rsidP="00973C31">
                  <w:pPr>
                    <w:jc w:val="center"/>
                  </w:pPr>
                </w:p>
              </w:tc>
            </w:tr>
          </w:tbl>
          <w:p w:rsidR="009C0383" w:rsidRDefault="009C0383" w:rsidP="009C0383">
            <w:pPr>
              <w:jc w:val="both"/>
            </w:pPr>
          </w:p>
          <w:p w:rsidR="009C0383" w:rsidRDefault="009C0383" w:rsidP="009C0383">
            <w:pPr>
              <w:jc w:val="both"/>
            </w:pPr>
            <w:r>
              <w:t xml:space="preserve">Par ailleurs, il est constaté que les salaires du personnel de santé au niveau des CSB CHRD et CHRR impliqués  au début  de la réforme  représentent  environ 5% du montant total du budget solde du secteur santé. Vers la fin en 2030, ils pourraient atteindre 25%, si le montant total du budget solde  de la santé reste inchangé.  </w:t>
            </w:r>
            <w:r w:rsidR="00960B08">
              <w:t xml:space="preserve">Ce qui signifie que beaucoup d’efforts doit être apporté par l’Etat pour assurer le financement des ressources humaines requises par la réforme. </w:t>
            </w:r>
            <w:r>
              <w:t xml:space="preserve"> </w:t>
            </w:r>
          </w:p>
          <w:p w:rsidR="009C0383" w:rsidRDefault="009C0383" w:rsidP="00905AB7">
            <w:pPr>
              <w:rPr>
                <w:b/>
                <w:u w:val="single"/>
              </w:rPr>
            </w:pPr>
          </w:p>
        </w:tc>
      </w:tr>
    </w:tbl>
    <w:p w:rsidR="007A5964" w:rsidRDefault="00EC25BC" w:rsidP="00905AB7">
      <w:pPr>
        <w:rPr>
          <w:b/>
          <w:u w:val="single"/>
        </w:rPr>
      </w:pPr>
      <w:r>
        <w:rPr>
          <w:b/>
          <w:u w:val="single"/>
        </w:rPr>
        <w:t xml:space="preserve"> </w:t>
      </w:r>
    </w:p>
    <w:p w:rsidR="007246EF" w:rsidRDefault="007246EF" w:rsidP="00905AB7">
      <w:pPr>
        <w:rPr>
          <w:b/>
          <w:u w:val="single"/>
        </w:rPr>
      </w:pPr>
    </w:p>
    <w:p w:rsidR="00B309C1" w:rsidRDefault="00B309C1" w:rsidP="00905AB7">
      <w:pPr>
        <w:rPr>
          <w:b/>
          <w:u w:val="single"/>
        </w:rPr>
      </w:pPr>
    </w:p>
    <w:p w:rsidR="007246EF" w:rsidRDefault="007246EF" w:rsidP="00905AB7">
      <w:pPr>
        <w:rPr>
          <w:b/>
          <w:u w:val="single"/>
        </w:rPr>
      </w:pPr>
    </w:p>
    <w:p w:rsidR="00D058E8" w:rsidRDefault="00D058E8" w:rsidP="005214D9">
      <w:pPr>
        <w:tabs>
          <w:tab w:val="left" w:pos="1575"/>
        </w:tabs>
        <w:spacing w:after="0" w:line="240" w:lineRule="auto"/>
      </w:pPr>
    </w:p>
    <w:p w:rsidR="00482C6B" w:rsidRDefault="00925101" w:rsidP="00482C6B">
      <w:pPr>
        <w:pBdr>
          <w:top w:val="thickThinMediumGap" w:sz="24" w:space="1" w:color="auto"/>
          <w:left w:val="thickThinMediumGap" w:sz="24" w:space="4" w:color="auto"/>
          <w:bottom w:val="thinThickMediumGap" w:sz="24" w:space="1" w:color="auto"/>
          <w:right w:val="thinThickMediumGap" w:sz="24" w:space="4" w:color="auto"/>
        </w:pBdr>
        <w:shd w:val="clear" w:color="auto" w:fill="E5B8B7" w:themeFill="accent2" w:themeFillTint="66"/>
        <w:tabs>
          <w:tab w:val="left" w:pos="1575"/>
        </w:tabs>
        <w:spacing w:after="0" w:line="240" w:lineRule="auto"/>
      </w:pPr>
      <w:r w:rsidRPr="00925101">
        <w:rPr>
          <w:b/>
        </w:rPr>
        <w:lastRenderedPageBreak/>
        <w:t>A</w:t>
      </w:r>
      <w:r w:rsidR="007A3AED">
        <w:rPr>
          <w:b/>
        </w:rPr>
        <w:t xml:space="preserve">NNEXES : </w:t>
      </w:r>
    </w:p>
    <w:p w:rsidR="000E2BC7" w:rsidRDefault="000E2BC7" w:rsidP="00C22BD2">
      <w:pPr>
        <w:pStyle w:val="Listenabsatz"/>
        <w:rPr>
          <w:b/>
          <w:u w:val="single"/>
          <w:shd w:val="clear" w:color="auto" w:fill="D6E3BC" w:themeFill="accent3" w:themeFillTint="66"/>
        </w:rPr>
      </w:pPr>
    </w:p>
    <w:p w:rsidR="0022332D" w:rsidRPr="00C22BD2" w:rsidRDefault="0022332D" w:rsidP="00C22BD2">
      <w:pPr>
        <w:pStyle w:val="Listenabsatz"/>
        <w:rPr>
          <w:b/>
          <w:u w:val="single"/>
        </w:rPr>
      </w:pPr>
      <w:r w:rsidRPr="00C22BD2">
        <w:rPr>
          <w:b/>
          <w:u w:val="single"/>
          <w:shd w:val="clear" w:color="auto" w:fill="D6E3BC" w:themeFill="accent3" w:themeFillTint="66"/>
        </w:rPr>
        <w:t xml:space="preserve">Données générales     </w:t>
      </w:r>
      <w:r w:rsidRPr="00C22BD2">
        <w:rPr>
          <w:b/>
          <w:u w:val="single"/>
        </w:rPr>
        <w:t xml:space="preserve">                                              </w:t>
      </w:r>
    </w:p>
    <w:tbl>
      <w:tblPr>
        <w:tblpPr w:leftFromText="141" w:rightFromText="141" w:vertAnchor="text" w:tblpY="1"/>
        <w:tblOverlap w:val="never"/>
        <w:tblW w:w="4577" w:type="dxa"/>
        <w:tblInd w:w="60" w:type="dxa"/>
        <w:tblCellMar>
          <w:left w:w="70" w:type="dxa"/>
          <w:right w:w="70" w:type="dxa"/>
        </w:tblCellMar>
        <w:tblLook w:val="04A0" w:firstRow="1" w:lastRow="0" w:firstColumn="1" w:lastColumn="0" w:noHBand="0" w:noVBand="1"/>
      </w:tblPr>
      <w:tblGrid>
        <w:gridCol w:w="2899"/>
        <w:gridCol w:w="190"/>
        <w:gridCol w:w="1488"/>
      </w:tblGrid>
      <w:tr w:rsidR="0022332D" w:rsidRPr="008C2DCD" w:rsidTr="00C478EE">
        <w:trPr>
          <w:trHeight w:val="300"/>
        </w:trPr>
        <w:tc>
          <w:tcPr>
            <w:tcW w:w="3089" w:type="dxa"/>
            <w:gridSpan w:val="2"/>
            <w:tcBorders>
              <w:top w:val="single" w:sz="8" w:space="0" w:color="auto"/>
              <w:left w:val="single" w:sz="8" w:space="0" w:color="auto"/>
              <w:bottom w:val="nil"/>
              <w:right w:val="nil"/>
            </w:tcBorders>
            <w:shd w:val="clear" w:color="auto" w:fill="auto"/>
            <w:noWrap/>
            <w:vAlign w:val="bottom"/>
          </w:tcPr>
          <w:p w:rsidR="0022332D" w:rsidRPr="006137C4" w:rsidRDefault="0022332D" w:rsidP="00C478EE">
            <w:pPr>
              <w:spacing w:after="0" w:line="240" w:lineRule="auto"/>
              <w:rPr>
                <w:rFonts w:ascii="Calibri" w:eastAsia="Times New Roman" w:hAnsi="Calibri" w:cs="Times New Roman"/>
                <w:b/>
                <w:color w:val="000000"/>
                <w:lang w:eastAsia="fr-FR"/>
              </w:rPr>
            </w:pPr>
            <w:r w:rsidRPr="006137C4">
              <w:rPr>
                <w:rFonts w:ascii="Calibri" w:eastAsia="Times New Roman" w:hAnsi="Calibri" w:cs="Times New Roman"/>
                <w:b/>
                <w:color w:val="000000"/>
                <w:lang w:eastAsia="fr-FR"/>
              </w:rPr>
              <w:t>Madagascar</w:t>
            </w:r>
          </w:p>
        </w:tc>
        <w:tc>
          <w:tcPr>
            <w:tcW w:w="1488" w:type="dxa"/>
            <w:tcBorders>
              <w:top w:val="single" w:sz="8" w:space="0" w:color="auto"/>
              <w:left w:val="nil"/>
              <w:bottom w:val="nil"/>
              <w:right w:val="single" w:sz="8" w:space="0" w:color="auto"/>
            </w:tcBorders>
            <w:shd w:val="clear" w:color="auto" w:fill="auto"/>
            <w:noWrap/>
            <w:vAlign w:val="bottom"/>
          </w:tcPr>
          <w:p w:rsidR="0022332D" w:rsidRPr="008C2DCD" w:rsidRDefault="0022332D" w:rsidP="00C478EE">
            <w:pPr>
              <w:spacing w:after="0" w:line="240" w:lineRule="auto"/>
              <w:jc w:val="right"/>
              <w:rPr>
                <w:rFonts w:ascii="Calibri" w:eastAsia="Times New Roman" w:hAnsi="Calibri" w:cs="Times New Roman"/>
                <w:color w:val="000000"/>
                <w:lang w:eastAsia="fr-FR"/>
              </w:rPr>
            </w:pPr>
          </w:p>
        </w:tc>
      </w:tr>
      <w:tr w:rsidR="0022332D" w:rsidRPr="008C2DCD" w:rsidTr="00C478EE">
        <w:trPr>
          <w:trHeight w:val="300"/>
        </w:trPr>
        <w:tc>
          <w:tcPr>
            <w:tcW w:w="3089" w:type="dxa"/>
            <w:gridSpan w:val="2"/>
            <w:tcBorders>
              <w:top w:val="single" w:sz="8" w:space="0" w:color="auto"/>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 xml:space="preserve">Nb CSB  </w:t>
            </w:r>
            <w:r>
              <w:rPr>
                <w:rFonts w:ascii="Calibri" w:eastAsia="Times New Roman" w:hAnsi="Calibri" w:cs="Times New Roman"/>
                <w:color w:val="000000"/>
                <w:lang w:eastAsia="fr-FR"/>
              </w:rPr>
              <w:t xml:space="preserve">déjà appuyé par </w:t>
            </w:r>
            <w:r w:rsidRPr="008C2DCD">
              <w:rPr>
                <w:rFonts w:ascii="Calibri" w:eastAsia="Times New Roman" w:hAnsi="Calibri" w:cs="Times New Roman"/>
                <w:color w:val="000000"/>
                <w:lang w:eastAsia="fr-FR"/>
              </w:rPr>
              <w:t xml:space="preserve">PAUSENS </w:t>
            </w:r>
          </w:p>
        </w:tc>
        <w:tc>
          <w:tcPr>
            <w:tcW w:w="1488" w:type="dxa"/>
            <w:tcBorders>
              <w:top w:val="single" w:sz="8" w:space="0" w:color="auto"/>
              <w:left w:val="nil"/>
              <w:bottom w:val="nil"/>
              <w:right w:val="single" w:sz="8" w:space="0" w:color="auto"/>
            </w:tcBorders>
            <w:shd w:val="clear" w:color="auto" w:fill="auto"/>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347</w:t>
            </w:r>
          </w:p>
        </w:tc>
      </w:tr>
      <w:tr w:rsidR="0022332D" w:rsidRPr="008C2DCD" w:rsidTr="00C478EE">
        <w:trPr>
          <w:trHeight w:val="300"/>
        </w:trPr>
        <w:tc>
          <w:tcPr>
            <w:tcW w:w="3089" w:type="dxa"/>
            <w:gridSpan w:val="2"/>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 xml:space="preserve">Nb CSB </w:t>
            </w:r>
            <w:r w:rsidR="008E611C">
              <w:rPr>
                <w:rFonts w:ascii="Calibri" w:eastAsia="Times New Roman" w:hAnsi="Calibri" w:cs="Times New Roman"/>
                <w:color w:val="000000"/>
                <w:lang w:eastAsia="fr-FR"/>
              </w:rPr>
              <w:t>appuyé par BM</w:t>
            </w:r>
            <w:r>
              <w:rPr>
                <w:rFonts w:ascii="Calibri" w:eastAsia="Times New Roman" w:hAnsi="Calibri" w:cs="Times New Roman"/>
                <w:color w:val="000000"/>
                <w:lang w:eastAsia="fr-FR"/>
              </w:rPr>
              <w:t xml:space="preserve"> sur</w:t>
            </w:r>
            <w:r w:rsidRPr="008C2DCD">
              <w:rPr>
                <w:rFonts w:ascii="Calibri" w:eastAsia="Times New Roman" w:hAnsi="Calibri" w:cs="Times New Roman"/>
                <w:color w:val="000000"/>
                <w:lang w:eastAsia="fr-FR"/>
              </w:rPr>
              <w:t xml:space="preserve"> 5 ans </w:t>
            </w:r>
          </w:p>
        </w:tc>
        <w:tc>
          <w:tcPr>
            <w:tcW w:w="1488" w:type="dxa"/>
            <w:tcBorders>
              <w:top w:val="nil"/>
              <w:left w:val="nil"/>
              <w:bottom w:val="nil"/>
              <w:right w:val="single" w:sz="8" w:space="0" w:color="auto"/>
            </w:tcBorders>
            <w:shd w:val="clear" w:color="auto" w:fill="auto"/>
            <w:noWrap/>
            <w:vAlign w:val="bottom"/>
            <w:hideMark/>
          </w:tcPr>
          <w:p w:rsidR="0022332D" w:rsidRPr="008C2DCD" w:rsidRDefault="005120F9" w:rsidP="005120F9">
            <w:pPr>
              <w:spacing w:after="0" w:line="240" w:lineRule="auto"/>
              <w:jc w:val="right"/>
              <w:rPr>
                <w:rFonts w:ascii="Calibri" w:eastAsia="Times New Roman" w:hAnsi="Calibri" w:cs="Times New Roman"/>
                <w:color w:val="000000"/>
                <w:lang w:eastAsia="fr-FR"/>
              </w:rPr>
            </w:pPr>
            <w:r>
              <w:rPr>
                <w:rFonts w:ascii="Calibri" w:eastAsia="Times New Roman" w:hAnsi="Calibri" w:cs="Times New Roman"/>
                <w:color w:val="000000"/>
                <w:lang w:eastAsia="fr-FR"/>
              </w:rPr>
              <w:t>1150</w:t>
            </w:r>
          </w:p>
        </w:tc>
      </w:tr>
      <w:tr w:rsidR="0022332D" w:rsidRPr="008C2DCD" w:rsidTr="00C478EE">
        <w:trPr>
          <w:trHeight w:val="660"/>
        </w:trPr>
        <w:tc>
          <w:tcPr>
            <w:tcW w:w="3089" w:type="dxa"/>
            <w:gridSpan w:val="2"/>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Nb CSB sans projet</w:t>
            </w:r>
          </w:p>
        </w:tc>
        <w:tc>
          <w:tcPr>
            <w:tcW w:w="1488" w:type="dxa"/>
            <w:tcBorders>
              <w:top w:val="nil"/>
              <w:left w:val="nil"/>
              <w:bottom w:val="nil"/>
              <w:right w:val="single" w:sz="8" w:space="0" w:color="auto"/>
            </w:tcBorders>
            <w:shd w:val="clear" w:color="auto" w:fill="auto"/>
            <w:noWrap/>
            <w:vAlign w:val="bottom"/>
            <w:hideMark/>
          </w:tcPr>
          <w:p w:rsidR="0022332D" w:rsidRPr="008C2DCD" w:rsidRDefault="008C67B0" w:rsidP="00C478EE">
            <w:pPr>
              <w:spacing w:after="0" w:line="240" w:lineRule="auto"/>
              <w:jc w:val="right"/>
              <w:rPr>
                <w:rFonts w:ascii="Calibri" w:eastAsia="Times New Roman" w:hAnsi="Calibri" w:cs="Times New Roman"/>
                <w:color w:val="000000"/>
                <w:lang w:eastAsia="fr-FR"/>
              </w:rPr>
            </w:pPr>
            <w:r>
              <w:rPr>
                <w:rFonts w:ascii="Calibri" w:eastAsia="Times New Roman" w:hAnsi="Calibri" w:cs="Times New Roman"/>
                <w:color w:val="000000"/>
                <w:lang w:eastAsia="fr-FR"/>
              </w:rPr>
              <w:t>1412</w:t>
            </w:r>
          </w:p>
        </w:tc>
      </w:tr>
      <w:tr w:rsidR="0022332D" w:rsidRPr="008C2DCD" w:rsidTr="00C478EE">
        <w:trPr>
          <w:trHeight w:val="300"/>
        </w:trPr>
        <w:tc>
          <w:tcPr>
            <w:tcW w:w="3089" w:type="dxa"/>
            <w:gridSpan w:val="2"/>
            <w:tcBorders>
              <w:top w:val="nil"/>
              <w:left w:val="single" w:sz="8" w:space="0" w:color="auto"/>
              <w:bottom w:val="nil"/>
              <w:right w:val="nil"/>
            </w:tcBorders>
            <w:shd w:val="clear" w:color="000000" w:fill="EBF1DE"/>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Total CSB1 &amp; CSB2</w:t>
            </w:r>
          </w:p>
        </w:tc>
        <w:tc>
          <w:tcPr>
            <w:tcW w:w="1488" w:type="dxa"/>
            <w:tcBorders>
              <w:top w:val="nil"/>
              <w:left w:val="nil"/>
              <w:bottom w:val="nil"/>
              <w:right w:val="single" w:sz="8" w:space="0" w:color="auto"/>
            </w:tcBorders>
            <w:shd w:val="clear" w:color="000000" w:fill="EBF1DE"/>
            <w:noWrap/>
            <w:vAlign w:val="bottom"/>
            <w:hideMark/>
          </w:tcPr>
          <w:p w:rsidR="0022332D" w:rsidRPr="008C2DCD" w:rsidRDefault="0022332D" w:rsidP="005120F9">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 xml:space="preserve">2 </w:t>
            </w:r>
            <w:r w:rsidR="005120F9">
              <w:rPr>
                <w:rFonts w:ascii="Calibri" w:eastAsia="Times New Roman" w:hAnsi="Calibri" w:cs="Times New Roman"/>
                <w:color w:val="000000"/>
                <w:lang w:eastAsia="fr-FR"/>
              </w:rPr>
              <w:t>562</w:t>
            </w:r>
          </w:p>
        </w:tc>
      </w:tr>
      <w:tr w:rsidR="0022332D" w:rsidRPr="008C2DCD" w:rsidTr="00C478EE">
        <w:trPr>
          <w:trHeight w:val="495"/>
        </w:trPr>
        <w:tc>
          <w:tcPr>
            <w:tcW w:w="3089" w:type="dxa"/>
            <w:gridSpan w:val="2"/>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Population 2017</w:t>
            </w:r>
          </w:p>
        </w:tc>
        <w:tc>
          <w:tcPr>
            <w:tcW w:w="1488" w:type="dxa"/>
            <w:tcBorders>
              <w:top w:val="nil"/>
              <w:left w:val="nil"/>
              <w:bottom w:val="nil"/>
              <w:right w:val="single" w:sz="8" w:space="0" w:color="auto"/>
            </w:tcBorders>
            <w:shd w:val="clear" w:color="auto" w:fill="auto"/>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23 691 843</w:t>
            </w:r>
          </w:p>
        </w:tc>
      </w:tr>
      <w:tr w:rsidR="0022332D" w:rsidRPr="008C2DCD" w:rsidTr="00C478EE">
        <w:trPr>
          <w:trHeight w:val="300"/>
        </w:trPr>
        <w:tc>
          <w:tcPr>
            <w:tcW w:w="2899" w:type="dxa"/>
            <w:tcBorders>
              <w:top w:val="nil"/>
              <w:left w:val="single" w:sz="8" w:space="0" w:color="auto"/>
              <w:bottom w:val="nil"/>
              <w:right w:val="nil"/>
            </w:tcBorders>
            <w:shd w:val="clear" w:color="auto" w:fill="auto"/>
            <w:noWrap/>
            <w:vAlign w:val="bottom"/>
          </w:tcPr>
          <w:p w:rsidR="0022332D" w:rsidRPr="008C2DCD" w:rsidRDefault="0022332D" w:rsidP="00C478EE">
            <w:pPr>
              <w:spacing w:after="0" w:line="240" w:lineRule="auto"/>
              <w:rPr>
                <w:rFonts w:ascii="Calibri" w:eastAsia="Times New Roman" w:hAnsi="Calibri" w:cs="Times New Roman"/>
                <w:color w:val="000000"/>
                <w:lang w:eastAsia="fr-FR"/>
              </w:rPr>
            </w:pPr>
            <w:r>
              <w:rPr>
                <w:rFonts w:ascii="Calibri" w:eastAsia="Times New Roman" w:hAnsi="Calibri" w:cs="Times New Roman"/>
                <w:color w:val="000000"/>
                <w:lang w:eastAsia="fr-FR"/>
              </w:rPr>
              <w:t>Taux de croissance population</w:t>
            </w:r>
          </w:p>
        </w:tc>
        <w:tc>
          <w:tcPr>
            <w:tcW w:w="190" w:type="dxa"/>
            <w:tcBorders>
              <w:top w:val="nil"/>
              <w:left w:val="nil"/>
              <w:bottom w:val="nil"/>
              <w:right w:val="nil"/>
            </w:tcBorders>
            <w:shd w:val="clear" w:color="auto" w:fill="auto"/>
            <w:noWrap/>
            <w:vAlign w:val="bottom"/>
          </w:tcPr>
          <w:p w:rsidR="0022332D" w:rsidRPr="008C2DCD" w:rsidRDefault="0022332D" w:rsidP="00C478EE">
            <w:pPr>
              <w:spacing w:after="0" w:line="240" w:lineRule="auto"/>
              <w:rPr>
                <w:rFonts w:ascii="Calibri" w:eastAsia="Times New Roman" w:hAnsi="Calibri" w:cs="Times New Roman"/>
                <w:color w:val="000000"/>
                <w:lang w:eastAsia="fr-FR"/>
              </w:rPr>
            </w:pPr>
          </w:p>
        </w:tc>
        <w:tc>
          <w:tcPr>
            <w:tcW w:w="1488" w:type="dxa"/>
            <w:tcBorders>
              <w:top w:val="nil"/>
              <w:left w:val="nil"/>
              <w:bottom w:val="nil"/>
              <w:right w:val="single" w:sz="8" w:space="0" w:color="auto"/>
            </w:tcBorders>
            <w:shd w:val="clear" w:color="auto" w:fill="auto"/>
            <w:noWrap/>
            <w:vAlign w:val="bottom"/>
          </w:tcPr>
          <w:p w:rsidR="0022332D" w:rsidRPr="008C2DCD" w:rsidRDefault="0022332D" w:rsidP="00C478EE">
            <w:pPr>
              <w:spacing w:after="0" w:line="240" w:lineRule="auto"/>
              <w:jc w:val="right"/>
              <w:rPr>
                <w:rFonts w:ascii="Calibri" w:eastAsia="Times New Roman" w:hAnsi="Calibri" w:cs="Times New Roman"/>
                <w:color w:val="000000"/>
                <w:lang w:eastAsia="fr-FR"/>
              </w:rPr>
            </w:pPr>
            <w:r>
              <w:rPr>
                <w:rFonts w:ascii="Calibri" w:eastAsia="Times New Roman" w:hAnsi="Calibri" w:cs="Times New Roman"/>
                <w:color w:val="000000"/>
                <w:lang w:eastAsia="fr-FR"/>
              </w:rPr>
              <w:t>2,7%</w:t>
            </w:r>
          </w:p>
        </w:tc>
      </w:tr>
      <w:tr w:rsidR="0022332D" w:rsidRPr="008C2DCD" w:rsidTr="00C478EE">
        <w:trPr>
          <w:trHeight w:val="300"/>
        </w:trPr>
        <w:tc>
          <w:tcPr>
            <w:tcW w:w="2899" w:type="dxa"/>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Nb districts</w:t>
            </w:r>
          </w:p>
        </w:tc>
        <w:tc>
          <w:tcPr>
            <w:tcW w:w="190" w:type="dxa"/>
            <w:tcBorders>
              <w:top w:val="nil"/>
              <w:left w:val="nil"/>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p>
        </w:tc>
        <w:tc>
          <w:tcPr>
            <w:tcW w:w="1488" w:type="dxa"/>
            <w:tcBorders>
              <w:top w:val="nil"/>
              <w:left w:val="nil"/>
              <w:bottom w:val="nil"/>
              <w:right w:val="single" w:sz="8" w:space="0" w:color="auto"/>
            </w:tcBorders>
            <w:shd w:val="clear" w:color="auto" w:fill="auto"/>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114</w:t>
            </w:r>
          </w:p>
        </w:tc>
      </w:tr>
      <w:tr w:rsidR="0022332D" w:rsidRPr="008C2DCD" w:rsidTr="00C478EE">
        <w:trPr>
          <w:trHeight w:val="300"/>
        </w:trPr>
        <w:tc>
          <w:tcPr>
            <w:tcW w:w="2899" w:type="dxa"/>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Nb communes</w:t>
            </w:r>
          </w:p>
        </w:tc>
        <w:tc>
          <w:tcPr>
            <w:tcW w:w="190" w:type="dxa"/>
            <w:tcBorders>
              <w:top w:val="nil"/>
              <w:left w:val="nil"/>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p>
        </w:tc>
        <w:tc>
          <w:tcPr>
            <w:tcW w:w="1488" w:type="dxa"/>
            <w:tcBorders>
              <w:top w:val="nil"/>
              <w:left w:val="nil"/>
              <w:bottom w:val="nil"/>
              <w:right w:val="single" w:sz="8" w:space="0" w:color="auto"/>
            </w:tcBorders>
            <w:shd w:val="clear" w:color="auto" w:fill="auto"/>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1 693</w:t>
            </w:r>
          </w:p>
        </w:tc>
      </w:tr>
      <w:tr w:rsidR="0022332D" w:rsidRPr="008C2DCD" w:rsidTr="00C478EE">
        <w:trPr>
          <w:trHeight w:val="300"/>
        </w:trPr>
        <w:tc>
          <w:tcPr>
            <w:tcW w:w="2899" w:type="dxa"/>
            <w:tcBorders>
              <w:top w:val="nil"/>
              <w:left w:val="single" w:sz="8" w:space="0" w:color="auto"/>
              <w:bottom w:val="nil"/>
              <w:right w:val="nil"/>
            </w:tcBorders>
            <w:shd w:val="clear" w:color="auto" w:fill="auto"/>
            <w:noWrap/>
            <w:vAlign w:val="bottom"/>
            <w:hideMark/>
          </w:tcPr>
          <w:p w:rsidR="0022332D" w:rsidRPr="006137C4" w:rsidRDefault="0022332D" w:rsidP="00C478EE">
            <w:pPr>
              <w:spacing w:after="0" w:line="240" w:lineRule="auto"/>
              <w:rPr>
                <w:rFonts w:ascii="Calibri" w:eastAsia="Times New Roman" w:hAnsi="Calibri" w:cs="Times New Roman"/>
                <w:color w:val="000000"/>
                <w:lang w:eastAsia="fr-FR"/>
              </w:rPr>
            </w:pPr>
            <w:r w:rsidRPr="006137C4">
              <w:rPr>
                <w:rFonts w:ascii="Calibri" w:eastAsia="Times New Roman" w:hAnsi="Calibri" w:cs="Times New Roman"/>
                <w:color w:val="000000"/>
                <w:lang w:eastAsia="fr-FR"/>
              </w:rPr>
              <w:t>Nb fokontany</w:t>
            </w:r>
          </w:p>
        </w:tc>
        <w:tc>
          <w:tcPr>
            <w:tcW w:w="190" w:type="dxa"/>
            <w:tcBorders>
              <w:top w:val="nil"/>
              <w:left w:val="nil"/>
              <w:bottom w:val="nil"/>
              <w:right w:val="nil"/>
            </w:tcBorders>
            <w:shd w:val="clear" w:color="auto" w:fill="auto"/>
            <w:noWrap/>
            <w:vAlign w:val="bottom"/>
            <w:hideMark/>
          </w:tcPr>
          <w:p w:rsidR="0022332D" w:rsidRPr="006137C4" w:rsidRDefault="0022332D" w:rsidP="00C478EE">
            <w:pPr>
              <w:spacing w:after="0" w:line="240" w:lineRule="auto"/>
              <w:rPr>
                <w:rFonts w:ascii="Calibri" w:eastAsia="Times New Roman" w:hAnsi="Calibri" w:cs="Times New Roman"/>
                <w:color w:val="000000"/>
                <w:lang w:eastAsia="fr-FR"/>
              </w:rPr>
            </w:pPr>
            <w:r w:rsidRPr="006137C4">
              <w:rPr>
                <w:rFonts w:ascii="Calibri" w:eastAsia="Times New Roman" w:hAnsi="Calibri" w:cs="Times New Roman"/>
                <w:color w:val="000000"/>
                <w:lang w:eastAsia="fr-FR"/>
              </w:rPr>
              <w:t> </w:t>
            </w:r>
          </w:p>
        </w:tc>
        <w:tc>
          <w:tcPr>
            <w:tcW w:w="1488" w:type="dxa"/>
            <w:tcBorders>
              <w:top w:val="nil"/>
              <w:left w:val="nil"/>
              <w:bottom w:val="nil"/>
              <w:right w:val="single" w:sz="8" w:space="0" w:color="auto"/>
            </w:tcBorders>
            <w:shd w:val="clear" w:color="auto" w:fill="auto"/>
            <w:noWrap/>
            <w:vAlign w:val="bottom"/>
            <w:hideMark/>
          </w:tcPr>
          <w:p w:rsidR="0022332D" w:rsidRPr="006137C4" w:rsidRDefault="0022332D" w:rsidP="00C478EE">
            <w:pPr>
              <w:spacing w:after="0" w:line="240" w:lineRule="auto"/>
              <w:jc w:val="right"/>
              <w:rPr>
                <w:rFonts w:ascii="Calibri" w:eastAsia="Times New Roman" w:hAnsi="Calibri" w:cs="Times New Roman"/>
                <w:color w:val="000000"/>
                <w:lang w:eastAsia="fr-FR"/>
              </w:rPr>
            </w:pPr>
            <w:r w:rsidRPr="006137C4">
              <w:rPr>
                <w:rFonts w:ascii="Calibri" w:eastAsia="Times New Roman" w:hAnsi="Calibri" w:cs="Times New Roman"/>
                <w:color w:val="000000"/>
                <w:lang w:eastAsia="fr-FR"/>
              </w:rPr>
              <w:t>18 521</w:t>
            </w:r>
          </w:p>
        </w:tc>
      </w:tr>
      <w:tr w:rsidR="0022332D" w:rsidRPr="008C2DCD" w:rsidTr="00C478EE">
        <w:trPr>
          <w:trHeight w:val="315"/>
        </w:trPr>
        <w:tc>
          <w:tcPr>
            <w:tcW w:w="3089" w:type="dxa"/>
            <w:gridSpan w:val="2"/>
            <w:tcBorders>
              <w:top w:val="nil"/>
              <w:left w:val="single" w:sz="8" w:space="0" w:color="auto"/>
              <w:bottom w:val="nil"/>
              <w:right w:val="nil"/>
            </w:tcBorders>
            <w:shd w:val="clear" w:color="auto" w:fill="auto"/>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Nb CHRD2 &amp; CHRD1</w:t>
            </w:r>
          </w:p>
        </w:tc>
        <w:tc>
          <w:tcPr>
            <w:tcW w:w="1488" w:type="dxa"/>
            <w:tcBorders>
              <w:top w:val="nil"/>
              <w:left w:val="nil"/>
              <w:bottom w:val="nil"/>
              <w:right w:val="single" w:sz="8" w:space="0" w:color="auto"/>
            </w:tcBorders>
            <w:shd w:val="clear" w:color="auto" w:fill="auto"/>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99</w:t>
            </w:r>
          </w:p>
        </w:tc>
      </w:tr>
      <w:tr w:rsidR="0022332D" w:rsidRPr="008C2DCD" w:rsidTr="00C478EE">
        <w:trPr>
          <w:trHeight w:val="315"/>
        </w:trPr>
        <w:tc>
          <w:tcPr>
            <w:tcW w:w="3089" w:type="dxa"/>
            <w:gridSpan w:val="2"/>
            <w:tcBorders>
              <w:top w:val="single" w:sz="8" w:space="0" w:color="auto"/>
              <w:left w:val="single" w:sz="8" w:space="0" w:color="auto"/>
              <w:bottom w:val="single" w:sz="8" w:space="0" w:color="auto"/>
              <w:right w:val="nil"/>
            </w:tcBorders>
            <w:shd w:val="clear" w:color="000000" w:fill="F2F2F2"/>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Prime /adhérent</w:t>
            </w:r>
          </w:p>
        </w:tc>
        <w:tc>
          <w:tcPr>
            <w:tcW w:w="1488" w:type="dxa"/>
            <w:tcBorders>
              <w:top w:val="single" w:sz="8" w:space="0" w:color="auto"/>
              <w:left w:val="nil"/>
              <w:bottom w:val="single" w:sz="8" w:space="0" w:color="auto"/>
              <w:right w:val="single" w:sz="8" w:space="0" w:color="auto"/>
            </w:tcBorders>
            <w:shd w:val="clear" w:color="000000" w:fill="F2F2F2"/>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8 400</w:t>
            </w:r>
          </w:p>
        </w:tc>
      </w:tr>
      <w:tr w:rsidR="0022332D" w:rsidRPr="008C2DCD" w:rsidTr="00C478EE">
        <w:trPr>
          <w:trHeight w:val="285"/>
        </w:trPr>
        <w:tc>
          <w:tcPr>
            <w:tcW w:w="3089" w:type="dxa"/>
            <w:gridSpan w:val="2"/>
            <w:tcBorders>
              <w:top w:val="single" w:sz="8" w:space="0" w:color="auto"/>
              <w:left w:val="single" w:sz="8" w:space="0" w:color="auto"/>
              <w:bottom w:val="nil"/>
              <w:right w:val="nil"/>
            </w:tcBorders>
            <w:shd w:val="clear" w:color="000000" w:fill="F2F2F2"/>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Marge de gestion</w:t>
            </w:r>
            <w:r>
              <w:rPr>
                <w:rFonts w:ascii="Calibri" w:eastAsia="Times New Roman" w:hAnsi="Calibri" w:cs="Times New Roman"/>
                <w:color w:val="000000"/>
                <w:lang w:eastAsia="fr-FR"/>
              </w:rPr>
              <w:t xml:space="preserve"> sur contribution des adhérents</w:t>
            </w:r>
          </w:p>
        </w:tc>
        <w:tc>
          <w:tcPr>
            <w:tcW w:w="1488" w:type="dxa"/>
            <w:tcBorders>
              <w:top w:val="nil"/>
              <w:left w:val="nil"/>
              <w:bottom w:val="nil"/>
              <w:right w:val="single" w:sz="8" w:space="0" w:color="auto"/>
            </w:tcBorders>
            <w:shd w:val="clear" w:color="000000" w:fill="F2F2F2"/>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30%</w:t>
            </w:r>
          </w:p>
        </w:tc>
      </w:tr>
      <w:tr w:rsidR="0022332D" w:rsidRPr="008C2DCD" w:rsidTr="00C478EE">
        <w:trPr>
          <w:trHeight w:val="315"/>
        </w:trPr>
        <w:tc>
          <w:tcPr>
            <w:tcW w:w="3089" w:type="dxa"/>
            <w:gridSpan w:val="2"/>
            <w:tcBorders>
              <w:top w:val="nil"/>
              <w:left w:val="single" w:sz="8" w:space="0" w:color="auto"/>
              <w:bottom w:val="single" w:sz="4" w:space="0" w:color="auto"/>
              <w:right w:val="nil"/>
            </w:tcBorders>
            <w:shd w:val="clear" w:color="000000" w:fill="F2F2F2"/>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Coût technique sécurisé</w:t>
            </w:r>
          </w:p>
        </w:tc>
        <w:tc>
          <w:tcPr>
            <w:tcW w:w="1488" w:type="dxa"/>
            <w:tcBorders>
              <w:top w:val="nil"/>
              <w:left w:val="nil"/>
              <w:bottom w:val="single" w:sz="4" w:space="0" w:color="auto"/>
              <w:right w:val="single" w:sz="8" w:space="0" w:color="auto"/>
            </w:tcBorders>
            <w:shd w:val="clear" w:color="000000" w:fill="F2F2F2"/>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70%</w:t>
            </w:r>
          </w:p>
        </w:tc>
      </w:tr>
      <w:tr w:rsidR="0022332D" w:rsidRPr="008C2DCD" w:rsidTr="00C478EE">
        <w:trPr>
          <w:trHeight w:val="300"/>
        </w:trPr>
        <w:tc>
          <w:tcPr>
            <w:tcW w:w="3089" w:type="dxa"/>
            <w:gridSpan w:val="2"/>
            <w:tcBorders>
              <w:top w:val="single" w:sz="4" w:space="0" w:color="auto"/>
              <w:left w:val="single" w:sz="4" w:space="0" w:color="auto"/>
              <w:bottom w:val="single" w:sz="4" w:space="0" w:color="auto"/>
              <w:right w:val="nil"/>
            </w:tcBorders>
            <w:shd w:val="clear" w:color="000000" w:fill="F2F2F2"/>
            <w:noWrap/>
            <w:vAlign w:val="bottom"/>
            <w:hideMark/>
          </w:tcPr>
          <w:p w:rsidR="0022332D" w:rsidRPr="008C2DCD" w:rsidRDefault="0022332D" w:rsidP="00C478EE">
            <w:pPr>
              <w:spacing w:after="0" w:line="240" w:lineRule="auto"/>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Nbre moyen de district/région</w:t>
            </w:r>
          </w:p>
        </w:tc>
        <w:tc>
          <w:tcPr>
            <w:tcW w:w="1488" w:type="dxa"/>
            <w:tcBorders>
              <w:top w:val="single" w:sz="4" w:space="0" w:color="auto"/>
              <w:left w:val="nil"/>
              <w:bottom w:val="single" w:sz="4" w:space="0" w:color="auto"/>
              <w:right w:val="single" w:sz="4" w:space="0" w:color="auto"/>
            </w:tcBorders>
            <w:shd w:val="clear" w:color="000000" w:fill="F2F2F2"/>
            <w:noWrap/>
            <w:vAlign w:val="bottom"/>
            <w:hideMark/>
          </w:tcPr>
          <w:p w:rsidR="0022332D" w:rsidRPr="008C2DCD" w:rsidRDefault="0022332D" w:rsidP="00C478EE">
            <w:pPr>
              <w:spacing w:after="0" w:line="240" w:lineRule="auto"/>
              <w:jc w:val="right"/>
              <w:rPr>
                <w:rFonts w:ascii="Calibri" w:eastAsia="Times New Roman" w:hAnsi="Calibri" w:cs="Times New Roman"/>
                <w:color w:val="000000"/>
                <w:lang w:eastAsia="fr-FR"/>
              </w:rPr>
            </w:pPr>
            <w:r w:rsidRPr="008C2DCD">
              <w:rPr>
                <w:rFonts w:ascii="Calibri" w:eastAsia="Times New Roman" w:hAnsi="Calibri" w:cs="Times New Roman"/>
                <w:color w:val="000000"/>
                <w:lang w:eastAsia="fr-FR"/>
              </w:rPr>
              <w:t>5</w:t>
            </w:r>
          </w:p>
        </w:tc>
      </w:tr>
    </w:tbl>
    <w:p w:rsidR="001D787D" w:rsidRPr="007246EF" w:rsidRDefault="001D787D" w:rsidP="007246EF">
      <w:pPr>
        <w:pStyle w:val="Listenabsatz"/>
        <w:numPr>
          <w:ilvl w:val="0"/>
          <w:numId w:val="12"/>
        </w:numPr>
        <w:rPr>
          <w:b/>
        </w:rPr>
      </w:pPr>
      <w:r w:rsidRPr="007246EF">
        <w:rPr>
          <w:b/>
          <w:u w:val="single"/>
        </w:rPr>
        <w:t>Hypothèses</w:t>
      </w:r>
      <w:r w:rsidR="00CA5057" w:rsidRPr="007246EF">
        <w:rPr>
          <w:b/>
          <w:u w:val="single"/>
        </w:rPr>
        <w:t xml:space="preserve"> de calcul</w:t>
      </w:r>
      <w:r w:rsidRPr="007246EF">
        <w:rPr>
          <w:b/>
          <w:u w:val="single"/>
        </w:rPr>
        <w:t xml:space="preserve"> sur la générali</w:t>
      </w:r>
      <w:r w:rsidR="00170242" w:rsidRPr="007246EF">
        <w:rPr>
          <w:b/>
          <w:u w:val="single"/>
        </w:rPr>
        <w:t>sation</w:t>
      </w:r>
      <w:r w:rsidRPr="007246EF">
        <w:rPr>
          <w:b/>
        </w:rPr>
        <w:t>:</w:t>
      </w:r>
    </w:p>
    <w:p w:rsidR="001D787D" w:rsidRDefault="001D787D" w:rsidP="00C22BD2">
      <w:pPr>
        <w:pStyle w:val="Listenabsatz"/>
        <w:numPr>
          <w:ilvl w:val="0"/>
          <w:numId w:val="4"/>
        </w:numPr>
        <w:jc w:val="right"/>
      </w:pPr>
      <w:r w:rsidRPr="002C2D93">
        <w:t>Tous les CSB sont  à renforcer</w:t>
      </w:r>
      <w:r>
        <w:t xml:space="preserve"> en équipements et matériels</w:t>
      </w:r>
    </w:p>
    <w:p w:rsidR="007246EF" w:rsidRPr="002C2D93" w:rsidRDefault="007246EF" w:rsidP="00C22BD2">
      <w:pPr>
        <w:pStyle w:val="Listenabsatz"/>
        <w:numPr>
          <w:ilvl w:val="0"/>
          <w:numId w:val="4"/>
        </w:numPr>
        <w:jc w:val="right"/>
      </w:pPr>
      <w:r>
        <w:t xml:space="preserve">Les CHRD 1 au nombre de 42 doivent être transformés et disposés du matériel technique adéquat  </w:t>
      </w:r>
    </w:p>
    <w:p w:rsidR="001D787D" w:rsidRPr="002C2D93" w:rsidRDefault="001D787D" w:rsidP="00C22BD2">
      <w:pPr>
        <w:pStyle w:val="Listenabsatz"/>
        <w:numPr>
          <w:ilvl w:val="0"/>
          <w:numId w:val="4"/>
        </w:numPr>
        <w:jc w:val="right"/>
      </w:pPr>
      <w:r w:rsidRPr="002C2D93">
        <w:t xml:space="preserve">Adhérents volontaires et population dont les contributions annuelles sont pris en charge par l’Etat : </w:t>
      </w:r>
      <w:r w:rsidRPr="00464E8B">
        <w:t xml:space="preserve">5%  soit </w:t>
      </w:r>
      <w:r w:rsidR="00464E8B" w:rsidRPr="00464E8B">
        <w:t>1 184 592</w:t>
      </w:r>
      <w:r w:rsidRPr="00464E8B">
        <w:t xml:space="preserve"> habitants pour la première an</w:t>
      </w:r>
      <w:r w:rsidRPr="002C2D93">
        <w:t xml:space="preserve">née </w:t>
      </w:r>
    </w:p>
    <w:p w:rsidR="001D787D" w:rsidRPr="002C2D93" w:rsidRDefault="001D787D" w:rsidP="00C22BD2">
      <w:pPr>
        <w:pStyle w:val="Listenabsatz"/>
        <w:numPr>
          <w:ilvl w:val="0"/>
          <w:numId w:val="4"/>
        </w:numPr>
        <w:jc w:val="right"/>
      </w:pPr>
      <w:r w:rsidRPr="002C2D93">
        <w:t xml:space="preserve">Taux d’augmentation annuelle </w:t>
      </w:r>
      <w:r>
        <w:t>des affiliés : 25% au début et  13% à partir de 2026</w:t>
      </w:r>
    </w:p>
    <w:p w:rsidR="001D787D" w:rsidRPr="002C2D93" w:rsidRDefault="001D787D" w:rsidP="00C22BD2">
      <w:pPr>
        <w:pStyle w:val="Listenabsatz"/>
        <w:numPr>
          <w:ilvl w:val="0"/>
          <w:numId w:val="4"/>
        </w:numPr>
        <w:jc w:val="right"/>
      </w:pPr>
      <w:r w:rsidRPr="002C2D93">
        <w:t>Taux d’inflation annuel : 7%</w:t>
      </w:r>
    </w:p>
    <w:p w:rsidR="001D787D" w:rsidRDefault="001D787D" w:rsidP="00C22BD2">
      <w:pPr>
        <w:pStyle w:val="Listenabsatz"/>
        <w:numPr>
          <w:ilvl w:val="0"/>
          <w:numId w:val="4"/>
        </w:numPr>
        <w:jc w:val="right"/>
      </w:pPr>
      <w:r w:rsidRPr="002C2D93">
        <w:t>Les coûts de réhabilitation</w:t>
      </w:r>
      <w:r>
        <w:t>/</w:t>
      </w:r>
      <w:r w:rsidRPr="002C2D93">
        <w:t>nouvelles construction</w:t>
      </w:r>
      <w:r>
        <w:t>s</w:t>
      </w:r>
      <w:r w:rsidRPr="002C2D93">
        <w:t xml:space="preserve"> tiennent comptent d’un plan d’investissement qui se fait progressivement sur  7 ans. </w:t>
      </w:r>
      <w:r>
        <w:t>Au total 268 CSB à réhabiliter et 228 nouvelles constructions</w:t>
      </w:r>
      <w:r w:rsidR="007246EF">
        <w:t>. La transformation des 42 CHRD se feront sur 6 ans.</w:t>
      </w:r>
    </w:p>
    <w:p w:rsidR="007A3AED" w:rsidRPr="00C22BD2" w:rsidRDefault="001D787D" w:rsidP="00C22BD2">
      <w:pPr>
        <w:pStyle w:val="Listenabsatz"/>
        <w:numPr>
          <w:ilvl w:val="0"/>
          <w:numId w:val="4"/>
        </w:numPr>
        <w:jc w:val="right"/>
        <w:rPr>
          <w:b/>
          <w:u w:val="single"/>
        </w:rPr>
      </w:pPr>
      <w:r>
        <w:t>Le paquet de soins offerts correspond aux soins de base</w:t>
      </w:r>
      <w:r w:rsidR="007246EF">
        <w:t xml:space="preserve"> et soins aux niveaux des CHRD</w:t>
      </w:r>
      <w:r>
        <w:t xml:space="preserve">. </w:t>
      </w:r>
    </w:p>
    <w:p w:rsidR="00C22BD2" w:rsidRDefault="00C22BD2" w:rsidP="00C22BD2">
      <w:pPr>
        <w:pStyle w:val="Listenabsatz"/>
      </w:pPr>
    </w:p>
    <w:p w:rsidR="00C22BD2" w:rsidRDefault="00C22BD2" w:rsidP="00C22BD2">
      <w:pPr>
        <w:pStyle w:val="Listenabsatz"/>
      </w:pPr>
    </w:p>
    <w:p w:rsidR="00C22BD2" w:rsidRDefault="00C22BD2" w:rsidP="00C22BD2">
      <w:pPr>
        <w:pStyle w:val="Listenabsatz"/>
      </w:pPr>
    </w:p>
    <w:p w:rsidR="00E17CE1" w:rsidRPr="002B638F" w:rsidRDefault="001D787D" w:rsidP="00C22BD2">
      <w:pPr>
        <w:pStyle w:val="Listenabsatz"/>
        <w:numPr>
          <w:ilvl w:val="0"/>
          <w:numId w:val="12"/>
        </w:numPr>
        <w:rPr>
          <w:b/>
          <w:u w:val="single"/>
        </w:rPr>
      </w:pPr>
      <w:r>
        <w:rPr>
          <w:b/>
          <w:u w:val="single"/>
        </w:rPr>
        <w:t>Nombre de s</w:t>
      </w:r>
      <w:r w:rsidR="00E17CE1">
        <w:rPr>
          <w:b/>
          <w:u w:val="single"/>
        </w:rPr>
        <w:t>tructures impliquées par la réforme :</w:t>
      </w:r>
    </w:p>
    <w:p w:rsidR="00C22BD2" w:rsidRDefault="00E17CE1" w:rsidP="00464E8B">
      <w:pPr>
        <w:spacing w:after="0" w:line="240" w:lineRule="auto"/>
      </w:pPr>
      <w:r w:rsidRPr="00371282">
        <w:t>En</w:t>
      </w:r>
      <w:r>
        <w:t xml:space="preserve"> 2026, pour prendre en charge 4</w:t>
      </w:r>
      <w:r w:rsidR="00D92363">
        <w:t>0</w:t>
      </w:r>
      <w:r>
        <w:t>% de la population, la totalité des CSB (2 </w:t>
      </w:r>
      <w:r w:rsidR="009325CA">
        <w:t>562</w:t>
      </w:r>
      <w:r>
        <w:t xml:space="preserve">) </w:t>
      </w:r>
      <w:r w:rsidR="00D92363">
        <w:t xml:space="preserve">sera </w:t>
      </w:r>
      <w:r>
        <w:t>renforcé en équipement</w:t>
      </w:r>
      <w:r w:rsidR="00D92363">
        <w:t>/</w:t>
      </w:r>
      <w:r w:rsidR="00CA5057">
        <w:t>matériels</w:t>
      </w:r>
      <w:r w:rsidR="00D92363">
        <w:t xml:space="preserve">. Jusqu’en 2022 </w:t>
      </w:r>
      <w:r>
        <w:t xml:space="preserve">le projet PAUSENS </w:t>
      </w:r>
      <w:r w:rsidR="00D92363">
        <w:t xml:space="preserve">aura renforcé </w:t>
      </w:r>
      <w:r>
        <w:t xml:space="preserve"> 1 412 </w:t>
      </w:r>
      <w:r w:rsidR="00D92363">
        <w:t>CSB</w:t>
      </w:r>
      <w:r w:rsidR="00C22BD2">
        <w:t>.</w:t>
      </w:r>
    </w:p>
    <w:p w:rsidR="00C22BD2" w:rsidRDefault="00C22BD2" w:rsidP="009F661D">
      <w:pPr>
        <w:spacing w:after="0" w:line="240" w:lineRule="auto"/>
        <w:rPr>
          <w:sz w:val="16"/>
          <w:szCs w:val="16"/>
        </w:rPr>
      </w:pPr>
    </w:p>
    <w:p w:rsidR="00C22BD2" w:rsidRDefault="00C22BD2" w:rsidP="009F661D">
      <w:pPr>
        <w:spacing w:after="0" w:line="240" w:lineRule="auto"/>
        <w:rPr>
          <w:sz w:val="16"/>
          <w:szCs w:val="16"/>
        </w:rPr>
      </w:pPr>
    </w:p>
    <w:p w:rsidR="00C22BD2" w:rsidRDefault="00A810C1" w:rsidP="009F661D">
      <w:pPr>
        <w:spacing w:after="0" w:line="240" w:lineRule="auto"/>
        <w:rPr>
          <w:sz w:val="16"/>
          <w:szCs w:val="16"/>
        </w:rPr>
      </w:pPr>
      <w:r>
        <w:rPr>
          <w:noProof/>
          <w:lang w:val="de-DE" w:eastAsia="de-DE"/>
        </w:rPr>
        <w:drawing>
          <wp:inline distT="0" distB="0" distL="0" distR="0" wp14:anchorId="185FB160" wp14:editId="313D5569">
            <wp:extent cx="5972810" cy="2882265"/>
            <wp:effectExtent l="0" t="0" r="27940" b="13335"/>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810C1" w:rsidRDefault="00A810C1" w:rsidP="00A810C1">
      <w:pPr>
        <w:spacing w:after="0" w:line="240" w:lineRule="auto"/>
        <w:rPr>
          <w:sz w:val="16"/>
          <w:szCs w:val="16"/>
        </w:rPr>
      </w:pPr>
      <w:r w:rsidRPr="009F0B7B">
        <w:rPr>
          <w:sz w:val="16"/>
          <w:szCs w:val="16"/>
        </w:rPr>
        <w:t>Source : Bureau OMS pays</w:t>
      </w:r>
    </w:p>
    <w:p w:rsidR="00C22BD2" w:rsidRDefault="00C22BD2" w:rsidP="009F661D">
      <w:pPr>
        <w:spacing w:after="0" w:line="240" w:lineRule="auto"/>
        <w:rPr>
          <w:sz w:val="16"/>
          <w:szCs w:val="16"/>
        </w:rPr>
      </w:pPr>
    </w:p>
    <w:p w:rsidR="00C22BD2" w:rsidRDefault="00C22BD2" w:rsidP="009F661D">
      <w:pPr>
        <w:spacing w:after="0" w:line="240" w:lineRule="auto"/>
        <w:rPr>
          <w:sz w:val="16"/>
          <w:szCs w:val="16"/>
        </w:rPr>
      </w:pPr>
    </w:p>
    <w:p w:rsidR="00C22BD2" w:rsidRDefault="00C22BD2" w:rsidP="009F661D">
      <w:pPr>
        <w:spacing w:after="0" w:line="240" w:lineRule="auto"/>
        <w:rPr>
          <w:sz w:val="16"/>
          <w:szCs w:val="16"/>
        </w:rPr>
      </w:pPr>
    </w:p>
    <w:p w:rsidR="000E2BC7" w:rsidRDefault="000E2BC7" w:rsidP="009F661D">
      <w:pPr>
        <w:spacing w:after="0" w:line="240" w:lineRule="auto"/>
        <w:rPr>
          <w:sz w:val="16"/>
          <w:szCs w:val="16"/>
        </w:rPr>
      </w:pPr>
    </w:p>
    <w:p w:rsidR="000E2BC7" w:rsidRDefault="000E2BC7" w:rsidP="009F661D">
      <w:pPr>
        <w:spacing w:after="0" w:line="240" w:lineRule="auto"/>
        <w:rPr>
          <w:sz w:val="16"/>
          <w:szCs w:val="16"/>
        </w:rPr>
      </w:pPr>
    </w:p>
    <w:p w:rsidR="00C22BD2" w:rsidRDefault="00C22BD2" w:rsidP="009F661D">
      <w:pPr>
        <w:spacing w:after="0" w:line="240" w:lineRule="auto"/>
        <w:rPr>
          <w:sz w:val="16"/>
          <w:szCs w:val="16"/>
        </w:rPr>
      </w:pPr>
    </w:p>
    <w:p w:rsidR="00E17CE1" w:rsidRDefault="007A3AED" w:rsidP="00464E8B">
      <w:pPr>
        <w:pStyle w:val="Listenabsatz"/>
        <w:numPr>
          <w:ilvl w:val="0"/>
          <w:numId w:val="12"/>
        </w:numPr>
        <w:spacing w:line="240" w:lineRule="auto"/>
      </w:pPr>
      <w:r w:rsidRPr="007A3AED">
        <w:rPr>
          <w:b/>
          <w:u w:val="single"/>
        </w:rPr>
        <w:t>Financements des coûts de fonctionnement </w:t>
      </w:r>
      <w:r>
        <w:t>:</w:t>
      </w:r>
    </w:p>
    <w:p w:rsidR="00464E8B" w:rsidRDefault="006F26E5" w:rsidP="00464E8B">
      <w:pPr>
        <w:spacing w:line="240" w:lineRule="auto"/>
        <w:rPr>
          <w:sz w:val="16"/>
          <w:szCs w:val="16"/>
        </w:rPr>
      </w:pPr>
      <w:r>
        <w:rPr>
          <w:noProof/>
          <w:lang w:val="de-DE" w:eastAsia="de-DE"/>
        </w:rPr>
        <w:drawing>
          <wp:inline distT="0" distB="0" distL="0" distR="0" wp14:anchorId="4ABEC75C" wp14:editId="13F2F7B4">
            <wp:extent cx="5972810" cy="2317750"/>
            <wp:effectExtent l="0" t="0" r="27940" b="25400"/>
            <wp:docPr id="10" name="Graphique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F661D" w:rsidRDefault="009F661D" w:rsidP="00464E8B">
      <w:pPr>
        <w:spacing w:line="240" w:lineRule="auto"/>
        <w:rPr>
          <w:sz w:val="16"/>
          <w:szCs w:val="16"/>
        </w:rPr>
      </w:pPr>
      <w:r w:rsidRPr="009F0B7B">
        <w:rPr>
          <w:sz w:val="16"/>
          <w:szCs w:val="16"/>
        </w:rPr>
        <w:t>Source</w:t>
      </w:r>
      <w:r w:rsidR="00464E8B">
        <w:rPr>
          <w:sz w:val="16"/>
          <w:szCs w:val="16"/>
        </w:rPr>
        <w:t> </w:t>
      </w:r>
      <w:r w:rsidRPr="009F0B7B">
        <w:rPr>
          <w:sz w:val="16"/>
          <w:szCs w:val="16"/>
        </w:rPr>
        <w:t>: Bureau OMS pays</w:t>
      </w:r>
    </w:p>
    <w:p w:rsidR="00464E8B" w:rsidRDefault="00464E8B" w:rsidP="00464E8B">
      <w:pPr>
        <w:spacing w:line="240" w:lineRule="auto"/>
        <w:rPr>
          <w:sz w:val="16"/>
          <w:szCs w:val="16"/>
        </w:rPr>
      </w:pPr>
    </w:p>
    <w:tbl>
      <w:tblPr>
        <w:tblStyle w:val="Tabellenraster"/>
        <w:tblW w:w="0" w:type="auto"/>
        <w:tblLook w:val="04A0" w:firstRow="1" w:lastRow="0" w:firstColumn="1" w:lastColumn="0" w:noHBand="0" w:noVBand="1"/>
      </w:tblPr>
      <w:tblGrid>
        <w:gridCol w:w="5070"/>
        <w:gridCol w:w="1559"/>
        <w:gridCol w:w="1701"/>
      </w:tblGrid>
      <w:tr w:rsidR="00F85D37" w:rsidTr="00F85D37">
        <w:tc>
          <w:tcPr>
            <w:tcW w:w="5070" w:type="dxa"/>
          </w:tcPr>
          <w:p w:rsidR="00F85D37" w:rsidRDefault="0040699B" w:rsidP="00BA4410">
            <w:r>
              <w:t>USD</w:t>
            </w:r>
          </w:p>
        </w:tc>
        <w:tc>
          <w:tcPr>
            <w:tcW w:w="1559" w:type="dxa"/>
          </w:tcPr>
          <w:p w:rsidR="00F85D37" w:rsidRDefault="0040699B" w:rsidP="00BA4410">
            <w:r>
              <w:t>2018</w:t>
            </w:r>
          </w:p>
        </w:tc>
        <w:tc>
          <w:tcPr>
            <w:tcW w:w="1701" w:type="dxa"/>
          </w:tcPr>
          <w:p w:rsidR="00F85D37" w:rsidRDefault="0040699B" w:rsidP="00BA4410">
            <w:r>
              <w:t>2025</w:t>
            </w:r>
          </w:p>
        </w:tc>
      </w:tr>
      <w:tr w:rsidR="00F85D37" w:rsidRPr="0040699B" w:rsidTr="00F85D37">
        <w:tc>
          <w:tcPr>
            <w:tcW w:w="5070" w:type="dxa"/>
          </w:tcPr>
          <w:p w:rsidR="00F85D37" w:rsidRPr="0040699B" w:rsidRDefault="00F85D37" w:rsidP="00BA4410">
            <w:pPr>
              <w:rPr>
                <w:sz w:val="18"/>
                <w:szCs w:val="18"/>
              </w:rPr>
            </w:pPr>
            <w:r w:rsidRPr="0040699B">
              <w:rPr>
                <w:rFonts w:ascii="Calibri" w:eastAsia="Times New Roman" w:hAnsi="Calibri" w:cs="Times New Roman"/>
                <w:color w:val="000000"/>
                <w:sz w:val="18"/>
                <w:szCs w:val="18"/>
                <w:lang w:eastAsia="fr-FR"/>
              </w:rPr>
              <w:t>Fonctionnement CSB/CHRD hors solde</w:t>
            </w:r>
          </w:p>
          <w:p w:rsidR="00F85D37" w:rsidRPr="0040699B" w:rsidRDefault="00F85D37" w:rsidP="00F85D37">
            <w:pPr>
              <w:rPr>
                <w:rFonts w:ascii="Calibri" w:eastAsia="Times New Roman" w:hAnsi="Calibri" w:cs="Times New Roman"/>
                <w:color w:val="000000"/>
                <w:sz w:val="18"/>
                <w:szCs w:val="18"/>
                <w:lang w:eastAsia="fr-FR"/>
              </w:rPr>
            </w:pPr>
            <w:r w:rsidRPr="0040699B">
              <w:rPr>
                <w:rFonts w:ascii="Calibri" w:eastAsia="Times New Roman" w:hAnsi="Calibri" w:cs="Times New Roman"/>
                <w:color w:val="000000"/>
                <w:sz w:val="18"/>
                <w:szCs w:val="18"/>
                <w:lang w:eastAsia="fr-FR"/>
              </w:rPr>
              <w:t xml:space="preserve">Marge de gestion de la caisse </w:t>
            </w:r>
          </w:p>
          <w:p w:rsidR="00F85D37" w:rsidRPr="0040699B" w:rsidRDefault="00F85D37" w:rsidP="00F85D37">
            <w:pPr>
              <w:rPr>
                <w:rFonts w:ascii="Calibri" w:eastAsia="Times New Roman" w:hAnsi="Calibri" w:cs="Times New Roman"/>
                <w:color w:val="000000"/>
                <w:sz w:val="18"/>
                <w:szCs w:val="18"/>
                <w:lang w:eastAsia="fr-FR"/>
              </w:rPr>
            </w:pPr>
            <w:r w:rsidRPr="0040699B">
              <w:rPr>
                <w:rFonts w:ascii="Calibri" w:eastAsia="Times New Roman" w:hAnsi="Calibri" w:cs="Times New Roman"/>
                <w:color w:val="000000"/>
                <w:sz w:val="18"/>
                <w:szCs w:val="18"/>
                <w:lang w:eastAsia="fr-FR"/>
              </w:rPr>
              <w:t>Fonctionnement  niveau district/commune Fonctionnement niveau fokontany</w:t>
            </w:r>
          </w:p>
          <w:p w:rsidR="00F85D37" w:rsidRPr="0040699B" w:rsidRDefault="0040699B" w:rsidP="00F85D37">
            <w:pPr>
              <w:rPr>
                <w:rFonts w:ascii="Calibri" w:eastAsia="Times New Roman" w:hAnsi="Calibri" w:cs="Times New Roman"/>
                <w:color w:val="000000"/>
                <w:sz w:val="18"/>
                <w:szCs w:val="18"/>
                <w:lang w:eastAsia="fr-FR"/>
              </w:rPr>
            </w:pPr>
            <w:r w:rsidRPr="0040699B">
              <w:rPr>
                <w:rFonts w:ascii="Calibri" w:eastAsia="Times New Roman" w:hAnsi="Calibri" w:cs="Times New Roman"/>
                <w:color w:val="000000"/>
                <w:sz w:val="18"/>
                <w:szCs w:val="18"/>
                <w:lang w:eastAsia="fr-FR"/>
              </w:rPr>
              <w:t>Solde CSB/CHRD</w:t>
            </w:r>
          </w:p>
          <w:p w:rsidR="00F85D37" w:rsidRPr="0040699B" w:rsidRDefault="00F85D37" w:rsidP="00BA4410">
            <w:pPr>
              <w:rPr>
                <w:sz w:val="18"/>
                <w:szCs w:val="18"/>
              </w:rPr>
            </w:pPr>
          </w:p>
        </w:tc>
        <w:tc>
          <w:tcPr>
            <w:tcW w:w="1559" w:type="dxa"/>
          </w:tcPr>
          <w:p w:rsidR="00F85D37" w:rsidRPr="0040699B" w:rsidRDefault="0040699B" w:rsidP="00BA4410">
            <w:pPr>
              <w:rPr>
                <w:sz w:val="18"/>
                <w:szCs w:val="18"/>
              </w:rPr>
            </w:pPr>
            <w:r w:rsidRPr="0040699B">
              <w:rPr>
                <w:sz w:val="18"/>
                <w:szCs w:val="18"/>
              </w:rPr>
              <w:t>1 188 060</w:t>
            </w:r>
          </w:p>
          <w:p w:rsidR="0040699B" w:rsidRPr="0040699B" w:rsidRDefault="0040699B" w:rsidP="00BA4410">
            <w:pPr>
              <w:rPr>
                <w:sz w:val="18"/>
                <w:szCs w:val="18"/>
              </w:rPr>
            </w:pPr>
            <w:r w:rsidRPr="0040699B">
              <w:rPr>
                <w:sz w:val="18"/>
                <w:szCs w:val="18"/>
              </w:rPr>
              <w:t>950 692</w:t>
            </w:r>
          </w:p>
          <w:p w:rsidR="0040699B" w:rsidRPr="0040699B" w:rsidRDefault="0040699B" w:rsidP="00BA4410">
            <w:pPr>
              <w:rPr>
                <w:sz w:val="18"/>
                <w:szCs w:val="18"/>
              </w:rPr>
            </w:pPr>
            <w:r w:rsidRPr="0040699B">
              <w:rPr>
                <w:sz w:val="18"/>
                <w:szCs w:val="18"/>
              </w:rPr>
              <w:t>238 758</w:t>
            </w:r>
          </w:p>
          <w:p w:rsidR="0040699B" w:rsidRPr="0040699B" w:rsidRDefault="0040699B" w:rsidP="00BA4410">
            <w:pPr>
              <w:rPr>
                <w:sz w:val="18"/>
                <w:szCs w:val="18"/>
              </w:rPr>
            </w:pPr>
            <w:r w:rsidRPr="0040699B">
              <w:rPr>
                <w:sz w:val="18"/>
                <w:szCs w:val="18"/>
              </w:rPr>
              <w:t>1 380 227</w:t>
            </w:r>
          </w:p>
          <w:p w:rsidR="0040699B" w:rsidRPr="0040699B" w:rsidRDefault="0040699B" w:rsidP="00BA4410">
            <w:pPr>
              <w:rPr>
                <w:sz w:val="18"/>
                <w:szCs w:val="18"/>
              </w:rPr>
            </w:pPr>
            <w:r w:rsidRPr="0040699B">
              <w:rPr>
                <w:sz w:val="18"/>
                <w:szCs w:val="18"/>
              </w:rPr>
              <w:t xml:space="preserve">2 749 185 </w:t>
            </w:r>
          </w:p>
        </w:tc>
        <w:tc>
          <w:tcPr>
            <w:tcW w:w="1701" w:type="dxa"/>
          </w:tcPr>
          <w:p w:rsidR="00F85D37" w:rsidRDefault="0040699B" w:rsidP="00BA4410">
            <w:pPr>
              <w:rPr>
                <w:sz w:val="18"/>
                <w:szCs w:val="18"/>
              </w:rPr>
            </w:pPr>
            <w:r>
              <w:rPr>
                <w:sz w:val="18"/>
                <w:szCs w:val="18"/>
              </w:rPr>
              <w:t>9 491 252</w:t>
            </w:r>
          </w:p>
          <w:p w:rsidR="0040699B" w:rsidRDefault="0040699B" w:rsidP="00BA4410">
            <w:pPr>
              <w:rPr>
                <w:sz w:val="18"/>
                <w:szCs w:val="18"/>
              </w:rPr>
            </w:pPr>
            <w:r>
              <w:rPr>
                <w:sz w:val="18"/>
                <w:szCs w:val="18"/>
              </w:rPr>
              <w:t>5 462 645</w:t>
            </w:r>
          </w:p>
          <w:p w:rsidR="0040699B" w:rsidRDefault="0040699B" w:rsidP="00BA4410">
            <w:pPr>
              <w:rPr>
                <w:sz w:val="18"/>
                <w:szCs w:val="18"/>
              </w:rPr>
            </w:pPr>
            <w:r>
              <w:rPr>
                <w:sz w:val="18"/>
                <w:szCs w:val="18"/>
              </w:rPr>
              <w:t>1 988 425</w:t>
            </w:r>
          </w:p>
          <w:p w:rsidR="0040699B" w:rsidRDefault="0040699B" w:rsidP="00BA4410">
            <w:pPr>
              <w:rPr>
                <w:sz w:val="18"/>
                <w:szCs w:val="18"/>
              </w:rPr>
            </w:pPr>
            <w:r>
              <w:rPr>
                <w:sz w:val="18"/>
                <w:szCs w:val="18"/>
              </w:rPr>
              <w:t>11 494 818</w:t>
            </w:r>
          </w:p>
          <w:p w:rsidR="0040699B" w:rsidRPr="0040699B" w:rsidRDefault="0040699B" w:rsidP="00BA4410">
            <w:pPr>
              <w:rPr>
                <w:sz w:val="18"/>
                <w:szCs w:val="18"/>
              </w:rPr>
            </w:pPr>
            <w:r>
              <w:rPr>
                <w:sz w:val="18"/>
                <w:szCs w:val="18"/>
              </w:rPr>
              <w:t>14 777 588</w:t>
            </w:r>
          </w:p>
        </w:tc>
      </w:tr>
    </w:tbl>
    <w:p w:rsidR="0040699B" w:rsidRDefault="0040699B" w:rsidP="0040699B">
      <w:pPr>
        <w:pStyle w:val="Listenabsatz"/>
        <w:tabs>
          <w:tab w:val="left" w:pos="1575"/>
        </w:tabs>
      </w:pPr>
    </w:p>
    <w:p w:rsidR="00830A04" w:rsidRPr="0040699B" w:rsidRDefault="00830A04" w:rsidP="0040699B">
      <w:pPr>
        <w:pStyle w:val="Listenabsatz"/>
        <w:tabs>
          <w:tab w:val="left" w:pos="1575"/>
        </w:tabs>
      </w:pPr>
    </w:p>
    <w:p w:rsidR="0022332D" w:rsidRDefault="007A3AED" w:rsidP="00C22BD2">
      <w:pPr>
        <w:pStyle w:val="Listenabsatz"/>
        <w:numPr>
          <w:ilvl w:val="0"/>
          <w:numId w:val="12"/>
        </w:numPr>
        <w:tabs>
          <w:tab w:val="left" w:pos="1575"/>
        </w:tabs>
      </w:pPr>
      <w:r w:rsidRPr="007A3AED">
        <w:rPr>
          <w:b/>
          <w:u w:val="single"/>
        </w:rPr>
        <w:t>Indicateurs économiques et financiers </w:t>
      </w:r>
      <w:r>
        <w:t>:</w:t>
      </w:r>
    </w:p>
    <w:tbl>
      <w:tblPr>
        <w:tblW w:w="8946" w:type="dxa"/>
        <w:tblInd w:w="55" w:type="dxa"/>
        <w:tblCellMar>
          <w:left w:w="70" w:type="dxa"/>
          <w:right w:w="70" w:type="dxa"/>
        </w:tblCellMar>
        <w:tblLook w:val="04A0" w:firstRow="1" w:lastRow="0" w:firstColumn="1" w:lastColumn="0" w:noHBand="0" w:noVBand="1"/>
      </w:tblPr>
      <w:tblGrid>
        <w:gridCol w:w="3220"/>
        <w:gridCol w:w="1190"/>
        <w:gridCol w:w="850"/>
        <w:gridCol w:w="851"/>
        <w:gridCol w:w="992"/>
        <w:gridCol w:w="850"/>
        <w:gridCol w:w="993"/>
      </w:tblGrid>
      <w:tr w:rsidR="00D058E8" w:rsidRPr="00D058E8" w:rsidTr="00D058E8">
        <w:trPr>
          <w:trHeight w:val="300"/>
        </w:trPr>
        <w:tc>
          <w:tcPr>
            <w:tcW w:w="3220" w:type="dxa"/>
            <w:tcBorders>
              <w:top w:val="nil"/>
              <w:left w:val="nil"/>
              <w:bottom w:val="nil"/>
              <w:right w:val="nil"/>
            </w:tcBorders>
            <w:shd w:val="clear" w:color="000000" w:fill="FFFF00"/>
            <w:noWrap/>
            <w:vAlign w:val="bottom"/>
            <w:hideMark/>
          </w:tcPr>
          <w:p w:rsidR="00D058E8" w:rsidRPr="00D058E8" w:rsidRDefault="00925101" w:rsidP="00D058E8">
            <w:pPr>
              <w:spacing w:after="0" w:line="240" w:lineRule="auto"/>
              <w:rPr>
                <w:rFonts w:ascii="Calibri" w:eastAsia="Times New Roman" w:hAnsi="Calibri" w:cs="Times New Roman"/>
                <w:color w:val="000000"/>
                <w:lang w:eastAsia="fr-FR"/>
              </w:rPr>
            </w:pPr>
            <w:r>
              <w:rPr>
                <w:rFonts w:ascii="Calibri" w:eastAsia="Times New Roman" w:hAnsi="Calibri" w:cs="Times New Roman"/>
                <w:color w:val="000000"/>
                <w:lang w:eastAsia="fr-FR"/>
              </w:rPr>
              <w:t>Indicateurs</w:t>
            </w:r>
          </w:p>
        </w:tc>
        <w:tc>
          <w:tcPr>
            <w:tcW w:w="1190"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2014</w:t>
            </w:r>
          </w:p>
        </w:tc>
        <w:tc>
          <w:tcPr>
            <w:tcW w:w="850"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2015</w:t>
            </w:r>
          </w:p>
        </w:tc>
        <w:tc>
          <w:tcPr>
            <w:tcW w:w="851"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2016</w:t>
            </w:r>
          </w:p>
        </w:tc>
        <w:tc>
          <w:tcPr>
            <w:tcW w:w="992"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2017</w:t>
            </w:r>
          </w:p>
        </w:tc>
        <w:tc>
          <w:tcPr>
            <w:tcW w:w="850"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2018</w:t>
            </w:r>
          </w:p>
        </w:tc>
        <w:tc>
          <w:tcPr>
            <w:tcW w:w="993" w:type="dxa"/>
            <w:tcBorders>
              <w:top w:val="nil"/>
              <w:left w:val="nil"/>
              <w:bottom w:val="nil"/>
              <w:right w:val="nil"/>
            </w:tcBorders>
            <w:shd w:val="clear" w:color="auto" w:fill="auto"/>
            <w:noWrap/>
            <w:vAlign w:val="bottom"/>
            <w:hideMark/>
          </w:tcPr>
          <w:p w:rsidR="00D058E8" w:rsidRPr="00D058E8" w:rsidRDefault="00D058E8" w:rsidP="00D058E8">
            <w:pPr>
              <w:spacing w:after="0" w:line="240" w:lineRule="auto"/>
              <w:jc w:val="right"/>
              <w:rPr>
                <w:rFonts w:ascii="Calibri" w:eastAsia="Times New Roman" w:hAnsi="Calibri" w:cs="Times New Roman"/>
                <w:b/>
                <w:bCs/>
                <w:color w:val="000000"/>
                <w:u w:val="single"/>
                <w:lang w:eastAsia="fr-FR"/>
              </w:rPr>
            </w:pPr>
            <w:r w:rsidRPr="00D058E8">
              <w:rPr>
                <w:rFonts w:ascii="Calibri" w:eastAsia="Times New Roman" w:hAnsi="Calibri" w:cs="Times New Roman"/>
                <w:b/>
                <w:bCs/>
                <w:color w:val="000000"/>
                <w:u w:val="single"/>
                <w:lang w:eastAsia="fr-FR"/>
              </w:rPr>
              <w:t>2019</w:t>
            </w:r>
          </w:p>
        </w:tc>
      </w:tr>
      <w:tr w:rsidR="00D058E8" w:rsidRPr="00D058E8" w:rsidTr="00D058E8">
        <w:trPr>
          <w:trHeight w:val="3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Taux de croissance économique</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3,00%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3,10%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4,10%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4,50%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4,80%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4,90%</w:t>
            </w:r>
          </w:p>
        </w:tc>
      </w:tr>
      <w:tr w:rsidR="00D058E8" w:rsidRPr="00D058E8" w:rsidTr="00D058E8">
        <w:trPr>
          <w:trHeight w:val="3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 xml:space="preserve">Taux de </w:t>
            </w:r>
            <w:r w:rsidR="00EE0AB4" w:rsidRPr="00D058E8">
              <w:rPr>
                <w:rFonts w:ascii="Calibri" w:eastAsia="Times New Roman" w:hAnsi="Calibri" w:cs="Times New Roman"/>
                <w:color w:val="000000"/>
                <w:lang w:eastAsia="fr-FR"/>
              </w:rPr>
              <w:t>pression</w:t>
            </w:r>
            <w:r w:rsidRPr="00D058E8">
              <w:rPr>
                <w:rFonts w:ascii="Calibri" w:eastAsia="Times New Roman" w:hAnsi="Calibri" w:cs="Times New Roman"/>
                <w:color w:val="000000"/>
                <w:lang w:eastAsia="fr-FR"/>
              </w:rPr>
              <w:t xml:space="preserve"> fiscal </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10,10%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9,90%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10,40%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10,90%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11,40%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11,60%</w:t>
            </w: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6E72E6" w:rsidRDefault="00D058E8" w:rsidP="0088070F">
            <w:pPr>
              <w:spacing w:after="0" w:line="240" w:lineRule="auto"/>
              <w:rPr>
                <w:rFonts w:ascii="Calibri" w:eastAsia="Times New Roman" w:hAnsi="Calibri" w:cs="Times New Roman"/>
                <w:color w:val="000000"/>
                <w:lang w:eastAsia="fr-FR"/>
              </w:rPr>
            </w:pPr>
            <w:r w:rsidRPr="006E72E6">
              <w:rPr>
                <w:rFonts w:ascii="Calibri" w:eastAsia="Times New Roman" w:hAnsi="Calibri" w:cs="Times New Roman"/>
                <w:color w:val="000000"/>
                <w:lang w:eastAsia="fr-FR"/>
              </w:rPr>
              <w:t>Dépenses de fonction</w:t>
            </w:r>
            <w:r w:rsidR="00EE0AB4" w:rsidRPr="006E72E6">
              <w:rPr>
                <w:rFonts w:ascii="Calibri" w:eastAsia="Times New Roman" w:hAnsi="Calibri" w:cs="Times New Roman"/>
                <w:color w:val="000000"/>
                <w:lang w:eastAsia="fr-FR"/>
              </w:rPr>
              <w:t>ne</w:t>
            </w:r>
            <w:r w:rsidRPr="006E72E6">
              <w:rPr>
                <w:rFonts w:ascii="Calibri" w:eastAsia="Times New Roman" w:hAnsi="Calibri" w:cs="Times New Roman"/>
                <w:color w:val="000000"/>
                <w:lang w:eastAsia="fr-FR"/>
              </w:rPr>
              <w:t>m</w:t>
            </w:r>
            <w:r w:rsidR="00EE0AB4" w:rsidRPr="006E72E6">
              <w:rPr>
                <w:rFonts w:ascii="Calibri" w:eastAsia="Times New Roman" w:hAnsi="Calibri" w:cs="Times New Roman"/>
                <w:color w:val="000000"/>
                <w:lang w:eastAsia="fr-FR"/>
              </w:rPr>
              <w:t>en</w:t>
            </w:r>
            <w:r w:rsidRPr="006E72E6">
              <w:rPr>
                <w:rFonts w:ascii="Calibri" w:eastAsia="Times New Roman" w:hAnsi="Calibri" w:cs="Times New Roman"/>
                <w:color w:val="000000"/>
                <w:lang w:eastAsia="fr-FR"/>
              </w:rPr>
              <w:t>t Etat en %  PIB</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10,40%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9,70%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9,50%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8,80%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8,10%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8,10%</w:t>
            </w: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6E72E6">
              <w:rPr>
                <w:rFonts w:ascii="Calibri" w:eastAsia="Times New Roman" w:hAnsi="Calibri" w:cs="Times New Roman"/>
                <w:color w:val="000000"/>
                <w:lang w:eastAsia="fr-FR"/>
              </w:rPr>
              <w:t>Dépenses totales pub (hors s/ces</w:t>
            </w:r>
            <w:r w:rsidRPr="00D058E8">
              <w:rPr>
                <w:rFonts w:ascii="Calibri" w:eastAsia="Times New Roman" w:hAnsi="Calibri" w:cs="Times New Roman"/>
                <w:color w:val="000000"/>
                <w:lang w:eastAsia="fr-FR"/>
              </w:rPr>
              <w:t xml:space="preserve"> dette)s en % PIB </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13,50%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14,20%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14,40%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15,00%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15,00%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15,00%</w:t>
            </w: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 xml:space="preserve">Total budget </w:t>
            </w:r>
            <w:r w:rsidR="00226029">
              <w:rPr>
                <w:rFonts w:ascii="Calibri" w:eastAsia="Times New Roman" w:hAnsi="Calibri" w:cs="Times New Roman"/>
                <w:color w:val="000000"/>
                <w:lang w:eastAsia="fr-FR"/>
              </w:rPr>
              <w:t xml:space="preserve">santé </w:t>
            </w:r>
            <w:r w:rsidRPr="00D058E8">
              <w:rPr>
                <w:rFonts w:ascii="Calibri" w:eastAsia="Times New Roman" w:hAnsi="Calibri" w:cs="Times New Roman"/>
                <w:color w:val="000000"/>
                <w:lang w:eastAsia="fr-FR"/>
              </w:rPr>
              <w:t>domestique en % PIB</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0,90%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0,80%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0,80%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0,70%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0,70%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0,80%</w:t>
            </w:r>
          </w:p>
        </w:tc>
      </w:tr>
      <w:tr w:rsidR="00D058E8" w:rsidRPr="00D058E8" w:rsidTr="00D058E8">
        <w:trPr>
          <w:trHeight w:val="3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Total budget santé en % PIB</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1,10%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0,90%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1,00%</w:t>
            </w: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D058E8" w:rsidRDefault="00D058E8" w:rsidP="0088070F">
            <w:pPr>
              <w:spacing w:after="0" w:line="240" w:lineRule="auto"/>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%Budget santé/dépenses pub totales</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7,70%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7,10%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7,50%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6,80%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6,10%</w:t>
            </w:r>
          </w:p>
        </w:tc>
        <w:tc>
          <w:tcPr>
            <w:tcW w:w="993"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6,70%</w:t>
            </w:r>
          </w:p>
        </w:tc>
      </w:tr>
      <w:tr w:rsidR="00D058E8" w:rsidRPr="00D058E8" w:rsidTr="00D058E8">
        <w:trPr>
          <w:trHeight w:val="300"/>
        </w:trPr>
        <w:tc>
          <w:tcPr>
            <w:tcW w:w="3220" w:type="dxa"/>
            <w:tcBorders>
              <w:top w:val="nil"/>
              <w:left w:val="nil"/>
              <w:bottom w:val="nil"/>
              <w:right w:val="nil"/>
            </w:tcBorders>
            <w:shd w:val="clear" w:color="auto" w:fill="auto"/>
            <w:noWrap/>
            <w:vAlign w:val="bottom"/>
            <w:hideMark/>
          </w:tcPr>
          <w:p w:rsidR="00D058E8" w:rsidRPr="00DD5E23" w:rsidRDefault="00D058E8" w:rsidP="0088070F">
            <w:pPr>
              <w:spacing w:after="0" w:line="240" w:lineRule="auto"/>
              <w:rPr>
                <w:rFonts w:ascii="Calibri" w:eastAsia="Times New Roman" w:hAnsi="Calibri" w:cs="Times New Roman"/>
                <w:color w:val="000000"/>
                <w:lang w:eastAsia="fr-FR"/>
              </w:rPr>
            </w:pPr>
          </w:p>
        </w:tc>
        <w:tc>
          <w:tcPr>
            <w:tcW w:w="1190"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c>
          <w:tcPr>
            <w:tcW w:w="850"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c>
          <w:tcPr>
            <w:tcW w:w="851"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c>
          <w:tcPr>
            <w:tcW w:w="992"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c>
          <w:tcPr>
            <w:tcW w:w="850"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c>
          <w:tcPr>
            <w:tcW w:w="993"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DD5E23" w:rsidRDefault="00D058E8" w:rsidP="0088070F">
            <w:pPr>
              <w:spacing w:after="0" w:line="240" w:lineRule="auto"/>
              <w:rPr>
                <w:rFonts w:ascii="Calibri" w:eastAsia="Times New Roman" w:hAnsi="Calibri" w:cs="Times New Roman"/>
                <w:color w:val="000000"/>
                <w:lang w:eastAsia="fr-FR"/>
              </w:rPr>
            </w:pPr>
            <w:r w:rsidRPr="00DD5E23">
              <w:rPr>
                <w:rFonts w:ascii="Calibri" w:eastAsia="Times New Roman" w:hAnsi="Calibri" w:cs="Times New Roman"/>
                <w:color w:val="000000"/>
                <w:lang w:eastAsia="fr-FR"/>
              </w:rPr>
              <w:t xml:space="preserve">Dépenses en capital </w:t>
            </w:r>
            <w:r w:rsidR="00DD5E23" w:rsidRPr="00DD5E23">
              <w:rPr>
                <w:rFonts w:ascii="Calibri" w:eastAsia="Times New Roman" w:hAnsi="Calibri" w:cs="Times New Roman"/>
                <w:color w:val="000000"/>
                <w:lang w:eastAsia="fr-FR"/>
              </w:rPr>
              <w:t xml:space="preserve">de l’Etat </w:t>
            </w:r>
            <w:r w:rsidRPr="00DD5E23">
              <w:rPr>
                <w:rFonts w:ascii="Calibri" w:eastAsia="Times New Roman" w:hAnsi="Calibri" w:cs="Times New Roman"/>
                <w:color w:val="000000"/>
                <w:lang w:eastAsia="fr-FR"/>
              </w:rPr>
              <w:t>sur fin. interne en % PIB</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0,80%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1,60%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1,90%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2,80%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3,00%</w:t>
            </w:r>
          </w:p>
        </w:tc>
        <w:tc>
          <w:tcPr>
            <w:tcW w:w="993"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r>
      <w:tr w:rsidR="00D058E8" w:rsidRPr="00D058E8" w:rsidTr="00D058E8">
        <w:trPr>
          <w:trHeight w:val="600"/>
        </w:trPr>
        <w:tc>
          <w:tcPr>
            <w:tcW w:w="3220" w:type="dxa"/>
            <w:tcBorders>
              <w:top w:val="nil"/>
              <w:left w:val="nil"/>
              <w:bottom w:val="nil"/>
              <w:right w:val="nil"/>
            </w:tcBorders>
            <w:shd w:val="clear" w:color="auto" w:fill="auto"/>
            <w:hideMark/>
          </w:tcPr>
          <w:p w:rsidR="00D058E8" w:rsidRPr="00DD5E23" w:rsidRDefault="00D058E8" w:rsidP="0088070F">
            <w:pPr>
              <w:spacing w:after="0" w:line="240" w:lineRule="auto"/>
              <w:rPr>
                <w:rFonts w:ascii="Calibri" w:eastAsia="Times New Roman" w:hAnsi="Calibri" w:cs="Times New Roman"/>
                <w:color w:val="000000"/>
                <w:lang w:eastAsia="fr-FR"/>
              </w:rPr>
            </w:pPr>
            <w:r w:rsidRPr="00DD5E23">
              <w:rPr>
                <w:rFonts w:ascii="Calibri" w:eastAsia="Times New Roman" w:hAnsi="Calibri" w:cs="Times New Roman"/>
                <w:color w:val="000000"/>
                <w:lang w:eastAsia="fr-FR"/>
              </w:rPr>
              <w:t xml:space="preserve">Dépenses en capital </w:t>
            </w:r>
            <w:r w:rsidR="00DD5E23" w:rsidRPr="00DD5E23">
              <w:rPr>
                <w:rFonts w:ascii="Calibri" w:eastAsia="Times New Roman" w:hAnsi="Calibri" w:cs="Times New Roman"/>
                <w:color w:val="000000"/>
                <w:lang w:eastAsia="fr-FR"/>
              </w:rPr>
              <w:t xml:space="preserve">de l’Etat </w:t>
            </w:r>
            <w:r w:rsidRPr="00DD5E23">
              <w:rPr>
                <w:rFonts w:ascii="Calibri" w:eastAsia="Times New Roman" w:hAnsi="Calibri" w:cs="Times New Roman"/>
                <w:color w:val="000000"/>
                <w:lang w:eastAsia="fr-FR"/>
              </w:rPr>
              <w:t>sur fin. externe en % PIB</w:t>
            </w:r>
          </w:p>
        </w:tc>
        <w:tc>
          <w:tcPr>
            <w:tcW w:w="119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3,70%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3,30%</w:t>
            </w:r>
          </w:p>
        </w:tc>
        <w:tc>
          <w:tcPr>
            <w:tcW w:w="851"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4,20%</w:t>
            </w:r>
          </w:p>
        </w:tc>
        <w:tc>
          <w:tcPr>
            <w:tcW w:w="992"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4,10%</w:t>
            </w:r>
          </w:p>
        </w:tc>
        <w:tc>
          <w:tcPr>
            <w:tcW w:w="850" w:type="dxa"/>
            <w:tcBorders>
              <w:top w:val="nil"/>
              <w:left w:val="nil"/>
              <w:bottom w:val="nil"/>
              <w:right w:val="nil"/>
            </w:tcBorders>
            <w:shd w:val="clear" w:color="auto" w:fill="auto"/>
            <w:noWrap/>
            <w:vAlign w:val="center"/>
            <w:hideMark/>
          </w:tcPr>
          <w:p w:rsidR="00D058E8" w:rsidRPr="00D058E8" w:rsidRDefault="00D058E8" w:rsidP="0088070F">
            <w:pPr>
              <w:spacing w:after="0" w:line="240" w:lineRule="auto"/>
              <w:jc w:val="right"/>
              <w:rPr>
                <w:rFonts w:ascii="Calibri" w:eastAsia="Times New Roman" w:hAnsi="Calibri" w:cs="Times New Roman"/>
                <w:color w:val="000000"/>
                <w:lang w:eastAsia="fr-FR"/>
              </w:rPr>
            </w:pPr>
            <w:r w:rsidRPr="00D058E8">
              <w:rPr>
                <w:rFonts w:ascii="Calibri" w:eastAsia="Times New Roman" w:hAnsi="Calibri" w:cs="Times New Roman"/>
                <w:color w:val="000000"/>
                <w:lang w:eastAsia="fr-FR"/>
              </w:rPr>
              <w:t>3,90%</w:t>
            </w:r>
          </w:p>
        </w:tc>
        <w:tc>
          <w:tcPr>
            <w:tcW w:w="993" w:type="dxa"/>
            <w:tcBorders>
              <w:top w:val="nil"/>
              <w:left w:val="nil"/>
              <w:bottom w:val="nil"/>
              <w:right w:val="nil"/>
            </w:tcBorders>
            <w:shd w:val="clear" w:color="auto" w:fill="auto"/>
            <w:noWrap/>
            <w:vAlign w:val="bottom"/>
            <w:hideMark/>
          </w:tcPr>
          <w:p w:rsidR="00D058E8" w:rsidRPr="00D058E8" w:rsidRDefault="00D058E8" w:rsidP="0088070F">
            <w:pPr>
              <w:spacing w:after="0" w:line="240" w:lineRule="auto"/>
              <w:rPr>
                <w:rFonts w:ascii="Calibri" w:eastAsia="Times New Roman" w:hAnsi="Calibri" w:cs="Times New Roman"/>
                <w:color w:val="000000"/>
                <w:lang w:eastAsia="fr-FR"/>
              </w:rPr>
            </w:pPr>
          </w:p>
        </w:tc>
      </w:tr>
    </w:tbl>
    <w:p w:rsidR="009F661D" w:rsidRDefault="009F661D" w:rsidP="009F661D">
      <w:pPr>
        <w:tabs>
          <w:tab w:val="left" w:pos="1575"/>
        </w:tabs>
        <w:spacing w:after="0" w:line="240" w:lineRule="auto"/>
        <w:jc w:val="both"/>
        <w:rPr>
          <w:sz w:val="16"/>
          <w:szCs w:val="16"/>
        </w:rPr>
      </w:pPr>
      <w:r w:rsidRPr="009110A9">
        <w:rPr>
          <w:sz w:val="16"/>
          <w:szCs w:val="16"/>
        </w:rPr>
        <w:t>Source : Données tirées</w:t>
      </w:r>
      <w:r w:rsidR="00BE4273">
        <w:rPr>
          <w:sz w:val="16"/>
          <w:szCs w:val="16"/>
        </w:rPr>
        <w:t xml:space="preserve"> par OMS </w:t>
      </w:r>
      <w:r w:rsidRPr="009110A9">
        <w:rPr>
          <w:sz w:val="16"/>
          <w:szCs w:val="16"/>
        </w:rPr>
        <w:t xml:space="preserve">de CDMT 2017-19, CBMT 2016-18 et </w:t>
      </w:r>
      <w:r>
        <w:rPr>
          <w:sz w:val="16"/>
          <w:szCs w:val="16"/>
        </w:rPr>
        <w:t>FMI avril 2016 sur les p</w:t>
      </w:r>
      <w:r w:rsidRPr="009110A9">
        <w:rPr>
          <w:sz w:val="16"/>
          <w:szCs w:val="16"/>
        </w:rPr>
        <w:t>erspectives économiques et ré</w:t>
      </w:r>
      <w:r>
        <w:rPr>
          <w:sz w:val="16"/>
          <w:szCs w:val="16"/>
        </w:rPr>
        <w:t>gionales</w:t>
      </w:r>
    </w:p>
    <w:p w:rsidR="00CA30D5" w:rsidRDefault="00CA30D5" w:rsidP="00E5460B">
      <w:pPr>
        <w:tabs>
          <w:tab w:val="left" w:pos="1575"/>
        </w:tabs>
        <w:rPr>
          <w:u w:val="single"/>
        </w:rPr>
      </w:pPr>
    </w:p>
    <w:p w:rsidR="00CA30D5" w:rsidRDefault="00CA30D5" w:rsidP="00E5460B">
      <w:pPr>
        <w:tabs>
          <w:tab w:val="left" w:pos="1575"/>
        </w:tabs>
        <w:rPr>
          <w:u w:val="single"/>
        </w:rPr>
      </w:pPr>
    </w:p>
    <w:p w:rsidR="00CA30D5" w:rsidRDefault="00CA30D5" w:rsidP="00E5460B">
      <w:pPr>
        <w:tabs>
          <w:tab w:val="left" w:pos="1575"/>
        </w:tabs>
        <w:rPr>
          <w:u w:val="single"/>
        </w:rPr>
      </w:pPr>
    </w:p>
    <w:p w:rsidR="00CA30D5" w:rsidRDefault="00CA30D5" w:rsidP="00E5460B">
      <w:pPr>
        <w:tabs>
          <w:tab w:val="left" w:pos="1575"/>
        </w:tabs>
        <w:rPr>
          <w:u w:val="single"/>
        </w:rPr>
      </w:pPr>
    </w:p>
    <w:p w:rsidR="00D058E8" w:rsidRPr="0088070F" w:rsidRDefault="00D058E8" w:rsidP="00E5460B">
      <w:pPr>
        <w:tabs>
          <w:tab w:val="left" w:pos="1575"/>
        </w:tabs>
      </w:pPr>
      <w:r w:rsidRPr="0088070F">
        <w:rPr>
          <w:u w:val="single"/>
        </w:rPr>
        <w:t xml:space="preserve">Variation du budget santé </w:t>
      </w:r>
      <w:r w:rsidR="006C3704" w:rsidRPr="0088070F">
        <w:rPr>
          <w:u w:val="single"/>
        </w:rPr>
        <w:t>en 2018 et 2019 </w:t>
      </w:r>
      <w:r w:rsidR="006C3704" w:rsidRPr="0088070F">
        <w:t>:</w:t>
      </w:r>
    </w:p>
    <w:tbl>
      <w:tblPr>
        <w:tblW w:w="10363" w:type="dxa"/>
        <w:tblInd w:w="55" w:type="dxa"/>
        <w:tblCellMar>
          <w:left w:w="70" w:type="dxa"/>
          <w:right w:w="70" w:type="dxa"/>
        </w:tblCellMar>
        <w:tblLook w:val="04A0" w:firstRow="1" w:lastRow="0" w:firstColumn="1" w:lastColumn="0" w:noHBand="0" w:noVBand="1"/>
      </w:tblPr>
      <w:tblGrid>
        <w:gridCol w:w="15"/>
        <w:gridCol w:w="1468"/>
        <w:gridCol w:w="1065"/>
        <w:gridCol w:w="190"/>
        <w:gridCol w:w="113"/>
        <w:gridCol w:w="369"/>
        <w:gridCol w:w="1039"/>
        <w:gridCol w:w="427"/>
        <w:gridCol w:w="149"/>
        <w:gridCol w:w="41"/>
        <w:gridCol w:w="101"/>
        <w:gridCol w:w="1537"/>
        <w:gridCol w:w="22"/>
        <w:gridCol w:w="605"/>
        <w:gridCol w:w="97"/>
        <w:gridCol w:w="93"/>
        <w:gridCol w:w="1326"/>
        <w:gridCol w:w="284"/>
        <w:gridCol w:w="1422"/>
      </w:tblGrid>
      <w:tr w:rsidR="00E5460B" w:rsidRPr="00E5460B" w:rsidTr="000E2BC7">
        <w:trPr>
          <w:gridAfter w:val="6"/>
          <w:wAfter w:w="3827" w:type="dxa"/>
          <w:trHeight w:val="300"/>
        </w:trPr>
        <w:tc>
          <w:tcPr>
            <w:tcW w:w="3220" w:type="dxa"/>
            <w:gridSpan w:val="6"/>
            <w:tcBorders>
              <w:top w:val="single" w:sz="8" w:space="0" w:color="auto"/>
              <w:left w:val="single" w:sz="8" w:space="0" w:color="auto"/>
              <w:bottom w:val="single" w:sz="4" w:space="0" w:color="auto"/>
              <w:right w:val="single" w:sz="4" w:space="0" w:color="auto"/>
            </w:tcBorders>
            <w:shd w:val="clear" w:color="000000" w:fill="EBF1DE"/>
            <w:noWrap/>
            <w:vAlign w:val="bottom"/>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 </w:t>
            </w:r>
          </w:p>
        </w:tc>
        <w:tc>
          <w:tcPr>
            <w:tcW w:w="3316" w:type="dxa"/>
            <w:gridSpan w:val="7"/>
            <w:tcBorders>
              <w:top w:val="single" w:sz="8" w:space="0" w:color="auto"/>
              <w:left w:val="nil"/>
              <w:bottom w:val="single" w:sz="4" w:space="0" w:color="auto"/>
              <w:right w:val="single" w:sz="8" w:space="0" w:color="000000"/>
            </w:tcBorders>
            <w:shd w:val="clear" w:color="000000" w:fill="EBF1DE"/>
            <w:noWrap/>
            <w:vAlign w:val="bottom"/>
            <w:hideMark/>
          </w:tcPr>
          <w:p w:rsidR="00E5460B" w:rsidRPr="00E5460B" w:rsidRDefault="00E5460B" w:rsidP="00E5460B">
            <w:pPr>
              <w:spacing w:after="0" w:line="240" w:lineRule="auto"/>
              <w:jc w:val="center"/>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MGA</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noWrap/>
            <w:vAlign w:val="bottom"/>
            <w:hideMark/>
          </w:tcPr>
          <w:p w:rsidR="00E5460B" w:rsidRPr="00E5460B" w:rsidRDefault="00E5460B" w:rsidP="00E5460B">
            <w:pPr>
              <w:spacing w:after="0" w:line="240" w:lineRule="auto"/>
              <w:rPr>
                <w:rFonts w:ascii="Calibri" w:eastAsia="Times New Roman" w:hAnsi="Calibri" w:cs="Times New Roman"/>
                <w:b/>
                <w:bCs/>
                <w:color w:val="000000"/>
                <w:lang w:eastAsia="fr-FR"/>
              </w:rPr>
            </w:pPr>
            <w:r w:rsidRPr="00E5460B">
              <w:rPr>
                <w:rFonts w:ascii="Calibri" w:eastAsia="Times New Roman" w:hAnsi="Calibri" w:cs="Times New Roman"/>
                <w:b/>
                <w:bCs/>
                <w:color w:val="000000"/>
                <w:lang w:eastAsia="fr-FR"/>
              </w:rPr>
              <w:t> </w:t>
            </w:r>
          </w:p>
        </w:tc>
        <w:tc>
          <w:tcPr>
            <w:tcW w:w="1615" w:type="dxa"/>
            <w:gridSpan w:val="3"/>
            <w:tcBorders>
              <w:top w:val="nil"/>
              <w:left w:val="nil"/>
              <w:bottom w:val="single" w:sz="4" w:space="0" w:color="auto"/>
              <w:right w:val="single" w:sz="4" w:space="0" w:color="auto"/>
            </w:tcBorders>
            <w:shd w:val="clear" w:color="auto" w:fill="auto"/>
            <w:noWrap/>
            <w:vAlign w:val="bottom"/>
            <w:hideMark/>
          </w:tcPr>
          <w:p w:rsidR="00E5460B" w:rsidRPr="00E5460B" w:rsidRDefault="00E5460B" w:rsidP="00E5460B">
            <w:pPr>
              <w:spacing w:after="0" w:line="240" w:lineRule="auto"/>
              <w:rPr>
                <w:rFonts w:ascii="Calibri" w:eastAsia="Times New Roman" w:hAnsi="Calibri" w:cs="Times New Roman"/>
                <w:b/>
                <w:bCs/>
                <w:color w:val="000000"/>
                <w:u w:val="single"/>
                <w:lang w:eastAsia="fr-FR"/>
              </w:rPr>
            </w:pPr>
            <w:r w:rsidRPr="00E5460B">
              <w:rPr>
                <w:rFonts w:ascii="Calibri" w:eastAsia="Times New Roman" w:hAnsi="Calibri" w:cs="Times New Roman"/>
                <w:b/>
                <w:bCs/>
                <w:color w:val="000000"/>
                <w:u w:val="single"/>
                <w:lang w:eastAsia="fr-FR"/>
              </w:rPr>
              <w:t>Vari</w:t>
            </w:r>
            <w:r w:rsidR="00482C6B">
              <w:rPr>
                <w:rFonts w:ascii="Calibri" w:eastAsia="Times New Roman" w:hAnsi="Calibri" w:cs="Times New Roman"/>
                <w:b/>
                <w:bCs/>
                <w:color w:val="000000"/>
                <w:u w:val="single"/>
                <w:lang w:eastAsia="fr-FR"/>
              </w:rPr>
              <w:t>a</w:t>
            </w:r>
            <w:r w:rsidRPr="00E5460B">
              <w:rPr>
                <w:rFonts w:ascii="Calibri" w:eastAsia="Times New Roman" w:hAnsi="Calibri" w:cs="Times New Roman"/>
                <w:b/>
                <w:bCs/>
                <w:color w:val="000000"/>
                <w:u w:val="single"/>
                <w:lang w:eastAsia="fr-FR"/>
              </w:rPr>
              <w:t>tion 2018</w:t>
            </w:r>
          </w:p>
        </w:tc>
        <w:tc>
          <w:tcPr>
            <w:tcW w:w="1701" w:type="dxa"/>
            <w:gridSpan w:val="4"/>
            <w:tcBorders>
              <w:top w:val="nil"/>
              <w:left w:val="nil"/>
              <w:bottom w:val="single" w:sz="4" w:space="0" w:color="auto"/>
              <w:right w:val="single" w:sz="8" w:space="0" w:color="auto"/>
            </w:tcBorders>
            <w:shd w:val="clear" w:color="auto" w:fill="auto"/>
            <w:noWrap/>
            <w:vAlign w:val="bottom"/>
            <w:hideMark/>
          </w:tcPr>
          <w:p w:rsidR="00E5460B" w:rsidRPr="00E5460B" w:rsidRDefault="00E5460B" w:rsidP="00E5460B">
            <w:pPr>
              <w:spacing w:after="0" w:line="240" w:lineRule="auto"/>
              <w:rPr>
                <w:rFonts w:ascii="Calibri" w:eastAsia="Times New Roman" w:hAnsi="Calibri" w:cs="Times New Roman"/>
                <w:b/>
                <w:bCs/>
                <w:color w:val="000000"/>
                <w:u w:val="single"/>
                <w:lang w:eastAsia="fr-FR"/>
              </w:rPr>
            </w:pPr>
            <w:r w:rsidRPr="00E5460B">
              <w:rPr>
                <w:rFonts w:ascii="Calibri" w:eastAsia="Times New Roman" w:hAnsi="Calibri" w:cs="Times New Roman"/>
                <w:b/>
                <w:bCs/>
                <w:color w:val="000000"/>
                <w:u w:val="single"/>
                <w:lang w:eastAsia="fr-FR"/>
              </w:rPr>
              <w:t>Variation 2019</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Fonctionnement (cat 3)</w:t>
            </w:r>
          </w:p>
        </w:tc>
        <w:tc>
          <w:tcPr>
            <w:tcW w:w="1615" w:type="dxa"/>
            <w:gridSpan w:val="3"/>
            <w:tcBorders>
              <w:top w:val="nil"/>
              <w:left w:val="nil"/>
              <w:bottom w:val="single" w:sz="4" w:space="0" w:color="auto"/>
              <w:right w:val="single" w:sz="4"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498 902 000</w:t>
            </w:r>
          </w:p>
        </w:tc>
        <w:tc>
          <w:tcPr>
            <w:tcW w:w="1701" w:type="dxa"/>
            <w:gridSpan w:val="4"/>
            <w:tcBorders>
              <w:top w:val="nil"/>
              <w:left w:val="nil"/>
              <w:bottom w:val="single" w:sz="4" w:space="0" w:color="auto"/>
              <w:right w:val="single" w:sz="8"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46 085 545 000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Solde (cat 2)</w:t>
            </w:r>
          </w:p>
        </w:tc>
        <w:tc>
          <w:tcPr>
            <w:tcW w:w="1615" w:type="dxa"/>
            <w:gridSpan w:val="3"/>
            <w:tcBorders>
              <w:top w:val="nil"/>
              <w:left w:val="nil"/>
              <w:bottom w:val="single" w:sz="4" w:space="0" w:color="auto"/>
              <w:right w:val="single" w:sz="4"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5 206 680 000</w:t>
            </w:r>
          </w:p>
        </w:tc>
        <w:tc>
          <w:tcPr>
            <w:tcW w:w="1701" w:type="dxa"/>
            <w:gridSpan w:val="4"/>
            <w:tcBorders>
              <w:top w:val="nil"/>
              <w:left w:val="nil"/>
              <w:bottom w:val="single" w:sz="4" w:space="0" w:color="auto"/>
              <w:right w:val="single" w:sz="8"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5 569 738 000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hideMark/>
          </w:tcPr>
          <w:p w:rsidR="00E5460B" w:rsidRPr="00E5460B" w:rsidRDefault="00E5460B" w:rsidP="00E5460B">
            <w:pPr>
              <w:spacing w:after="0" w:line="240" w:lineRule="auto"/>
              <w:rPr>
                <w:rFonts w:ascii="Calibri" w:eastAsia="Times New Roman" w:hAnsi="Calibri" w:cs="Times New Roman"/>
                <w:b/>
                <w:bCs/>
                <w:lang w:eastAsia="fr-FR"/>
              </w:rPr>
            </w:pPr>
            <w:r w:rsidRPr="00E5460B">
              <w:rPr>
                <w:rFonts w:ascii="Calibri" w:eastAsia="Times New Roman" w:hAnsi="Calibri" w:cs="Times New Roman"/>
                <w:b/>
                <w:bCs/>
                <w:lang w:eastAsia="fr-FR"/>
              </w:rPr>
              <w:t>Total fonctionnement</w:t>
            </w:r>
          </w:p>
        </w:tc>
        <w:tc>
          <w:tcPr>
            <w:tcW w:w="1615" w:type="dxa"/>
            <w:gridSpan w:val="3"/>
            <w:tcBorders>
              <w:top w:val="nil"/>
              <w:left w:val="nil"/>
              <w:bottom w:val="single" w:sz="4" w:space="0" w:color="auto"/>
              <w:right w:val="single" w:sz="4"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b/>
                <w:bCs/>
                <w:color w:val="000000"/>
                <w:lang w:eastAsia="fr-FR"/>
              </w:rPr>
            </w:pPr>
            <w:r w:rsidRPr="00E5460B">
              <w:rPr>
                <w:rFonts w:ascii="Calibri" w:eastAsia="Times New Roman" w:hAnsi="Calibri" w:cs="Times New Roman"/>
                <w:b/>
                <w:bCs/>
                <w:color w:val="000000"/>
                <w:lang w:eastAsia="fr-FR"/>
              </w:rPr>
              <w:t>5 705 582 000</w:t>
            </w:r>
          </w:p>
        </w:tc>
        <w:tc>
          <w:tcPr>
            <w:tcW w:w="1701" w:type="dxa"/>
            <w:gridSpan w:val="4"/>
            <w:tcBorders>
              <w:top w:val="nil"/>
              <w:left w:val="nil"/>
              <w:bottom w:val="single" w:sz="4" w:space="0" w:color="auto"/>
              <w:right w:val="single" w:sz="8"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b/>
                <w:bCs/>
                <w:color w:val="000000"/>
                <w:lang w:eastAsia="fr-FR"/>
              </w:rPr>
            </w:pPr>
            <w:r w:rsidRPr="00E5460B">
              <w:rPr>
                <w:rFonts w:ascii="Calibri" w:eastAsia="Times New Roman" w:hAnsi="Calibri" w:cs="Times New Roman"/>
                <w:b/>
                <w:bCs/>
                <w:color w:val="000000"/>
                <w:lang w:eastAsia="fr-FR"/>
              </w:rPr>
              <w:t>51 655 283 000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Investissement sur fin. interne</w:t>
            </w:r>
          </w:p>
        </w:tc>
        <w:tc>
          <w:tcPr>
            <w:tcW w:w="1615" w:type="dxa"/>
            <w:gridSpan w:val="3"/>
            <w:tcBorders>
              <w:top w:val="nil"/>
              <w:left w:val="nil"/>
              <w:bottom w:val="single" w:sz="4" w:space="0" w:color="auto"/>
              <w:right w:val="single" w:sz="4"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0</w:t>
            </w:r>
          </w:p>
        </w:tc>
        <w:tc>
          <w:tcPr>
            <w:tcW w:w="1701" w:type="dxa"/>
            <w:gridSpan w:val="4"/>
            <w:tcBorders>
              <w:top w:val="nil"/>
              <w:left w:val="nil"/>
              <w:bottom w:val="single" w:sz="4" w:space="0" w:color="auto"/>
              <w:right w:val="single" w:sz="8"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22 333 623 000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000000" w:fill="EBF1DE"/>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Investissement sur fin. externe</w:t>
            </w:r>
          </w:p>
        </w:tc>
        <w:tc>
          <w:tcPr>
            <w:tcW w:w="1615" w:type="dxa"/>
            <w:gridSpan w:val="3"/>
            <w:tcBorders>
              <w:top w:val="nil"/>
              <w:left w:val="nil"/>
              <w:bottom w:val="single" w:sz="4" w:space="0" w:color="auto"/>
              <w:right w:val="single" w:sz="4" w:space="0" w:color="auto"/>
            </w:tcBorders>
            <w:shd w:val="clear" w:color="000000" w:fill="EBF1DE"/>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0</w:t>
            </w:r>
          </w:p>
        </w:tc>
        <w:tc>
          <w:tcPr>
            <w:tcW w:w="1701" w:type="dxa"/>
            <w:gridSpan w:val="4"/>
            <w:tcBorders>
              <w:top w:val="nil"/>
              <w:left w:val="nil"/>
              <w:bottom w:val="single" w:sz="4" w:space="0" w:color="auto"/>
              <w:right w:val="single" w:sz="8" w:space="0" w:color="auto"/>
            </w:tcBorders>
            <w:shd w:val="clear" w:color="000000" w:fill="EBF1DE"/>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5 961 500 000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auto" w:fill="auto"/>
            <w:hideMark/>
          </w:tcPr>
          <w:p w:rsidR="00E5460B" w:rsidRPr="00E5460B" w:rsidRDefault="00E5460B" w:rsidP="00E5460B">
            <w:pPr>
              <w:spacing w:after="0" w:line="240" w:lineRule="auto"/>
              <w:rPr>
                <w:rFonts w:ascii="Calibri" w:eastAsia="Times New Roman" w:hAnsi="Calibri" w:cs="Times New Roman"/>
                <w:b/>
                <w:bCs/>
                <w:lang w:eastAsia="fr-FR"/>
              </w:rPr>
            </w:pPr>
            <w:r w:rsidRPr="00E5460B">
              <w:rPr>
                <w:rFonts w:ascii="Calibri" w:eastAsia="Times New Roman" w:hAnsi="Calibri" w:cs="Times New Roman"/>
                <w:b/>
                <w:bCs/>
                <w:lang w:eastAsia="fr-FR"/>
              </w:rPr>
              <w:t>Total investissement</w:t>
            </w:r>
          </w:p>
        </w:tc>
        <w:tc>
          <w:tcPr>
            <w:tcW w:w="1615" w:type="dxa"/>
            <w:gridSpan w:val="3"/>
            <w:tcBorders>
              <w:top w:val="nil"/>
              <w:left w:val="nil"/>
              <w:bottom w:val="single" w:sz="4" w:space="0" w:color="auto"/>
              <w:right w:val="single" w:sz="4"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b/>
                <w:bCs/>
                <w:color w:val="000000"/>
                <w:lang w:eastAsia="fr-FR"/>
              </w:rPr>
            </w:pPr>
            <w:r w:rsidRPr="00E5460B">
              <w:rPr>
                <w:rFonts w:ascii="Calibri" w:eastAsia="Times New Roman" w:hAnsi="Calibri" w:cs="Times New Roman"/>
                <w:b/>
                <w:bCs/>
                <w:color w:val="000000"/>
                <w:lang w:eastAsia="fr-FR"/>
              </w:rPr>
              <w:t>0</w:t>
            </w:r>
          </w:p>
        </w:tc>
        <w:tc>
          <w:tcPr>
            <w:tcW w:w="1701" w:type="dxa"/>
            <w:gridSpan w:val="4"/>
            <w:tcBorders>
              <w:top w:val="nil"/>
              <w:left w:val="nil"/>
              <w:bottom w:val="single" w:sz="4" w:space="0" w:color="auto"/>
              <w:right w:val="single" w:sz="8" w:space="0" w:color="auto"/>
            </w:tcBorders>
            <w:shd w:val="clear" w:color="auto" w:fill="auto"/>
            <w:noWrap/>
            <w:vAlign w:val="center"/>
            <w:hideMark/>
          </w:tcPr>
          <w:p w:rsidR="00E5460B" w:rsidRPr="00E5460B" w:rsidRDefault="00E5460B" w:rsidP="00E5460B">
            <w:pPr>
              <w:spacing w:after="0" w:line="240" w:lineRule="auto"/>
              <w:jc w:val="right"/>
              <w:rPr>
                <w:rFonts w:ascii="Calibri" w:eastAsia="Times New Roman" w:hAnsi="Calibri" w:cs="Times New Roman"/>
                <w:b/>
                <w:bCs/>
                <w:color w:val="000000"/>
                <w:lang w:eastAsia="fr-FR"/>
              </w:rPr>
            </w:pPr>
            <w:r w:rsidRPr="00E5460B">
              <w:rPr>
                <w:rFonts w:ascii="Calibri" w:eastAsia="Times New Roman" w:hAnsi="Calibri" w:cs="Times New Roman"/>
                <w:b/>
                <w:bCs/>
                <w:color w:val="000000"/>
                <w:lang w:eastAsia="fr-FR"/>
              </w:rPr>
              <w:t>28 295 123 000</w:t>
            </w:r>
          </w:p>
        </w:tc>
      </w:tr>
      <w:tr w:rsidR="00E5460B" w:rsidRPr="00E5460B" w:rsidTr="000E2BC7">
        <w:trPr>
          <w:gridAfter w:val="6"/>
          <w:wAfter w:w="3827" w:type="dxa"/>
          <w:trHeight w:val="300"/>
        </w:trPr>
        <w:tc>
          <w:tcPr>
            <w:tcW w:w="3220" w:type="dxa"/>
            <w:gridSpan w:val="6"/>
            <w:tcBorders>
              <w:top w:val="nil"/>
              <w:left w:val="single" w:sz="8" w:space="0" w:color="auto"/>
              <w:bottom w:val="single" w:sz="4" w:space="0" w:color="auto"/>
              <w:right w:val="single" w:sz="4" w:space="0" w:color="auto"/>
            </w:tcBorders>
            <w:shd w:val="clear" w:color="000000" w:fill="FFC000"/>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Total budget  santé</w:t>
            </w:r>
          </w:p>
        </w:tc>
        <w:tc>
          <w:tcPr>
            <w:tcW w:w="1615" w:type="dxa"/>
            <w:gridSpan w:val="3"/>
            <w:tcBorders>
              <w:top w:val="nil"/>
              <w:left w:val="nil"/>
              <w:bottom w:val="single" w:sz="4" w:space="0" w:color="auto"/>
              <w:right w:val="single" w:sz="4" w:space="0" w:color="auto"/>
            </w:tcBorders>
            <w:shd w:val="clear" w:color="000000" w:fill="FFC000"/>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5 705 582 000</w:t>
            </w:r>
          </w:p>
        </w:tc>
        <w:tc>
          <w:tcPr>
            <w:tcW w:w="1701" w:type="dxa"/>
            <w:gridSpan w:val="4"/>
            <w:tcBorders>
              <w:top w:val="nil"/>
              <w:left w:val="nil"/>
              <w:bottom w:val="single" w:sz="4" w:space="0" w:color="auto"/>
              <w:right w:val="single" w:sz="8" w:space="0" w:color="auto"/>
            </w:tcBorders>
            <w:shd w:val="clear" w:color="000000" w:fill="FFC000"/>
            <w:noWrap/>
            <w:vAlign w:val="center"/>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79 950 406 000</w:t>
            </w:r>
          </w:p>
        </w:tc>
      </w:tr>
      <w:tr w:rsidR="00E5460B" w:rsidRPr="00E5460B" w:rsidTr="000E2BC7">
        <w:trPr>
          <w:gridAfter w:val="6"/>
          <w:wAfter w:w="3827" w:type="dxa"/>
          <w:trHeight w:val="315"/>
        </w:trPr>
        <w:tc>
          <w:tcPr>
            <w:tcW w:w="3220" w:type="dxa"/>
            <w:gridSpan w:val="6"/>
            <w:tcBorders>
              <w:top w:val="nil"/>
              <w:left w:val="single" w:sz="8" w:space="0" w:color="auto"/>
              <w:bottom w:val="single" w:sz="8" w:space="0" w:color="auto"/>
              <w:right w:val="single" w:sz="4" w:space="0" w:color="auto"/>
            </w:tcBorders>
            <w:shd w:val="clear" w:color="auto" w:fill="auto"/>
            <w:noWrap/>
            <w:vAlign w:val="bottom"/>
            <w:hideMark/>
          </w:tcPr>
          <w:p w:rsidR="00E5460B" w:rsidRPr="00E5460B" w:rsidRDefault="00E5460B" w:rsidP="00E5460B">
            <w:pPr>
              <w:spacing w:after="0" w:line="240" w:lineRule="auto"/>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Total domestique</w:t>
            </w:r>
          </w:p>
        </w:tc>
        <w:tc>
          <w:tcPr>
            <w:tcW w:w="1615" w:type="dxa"/>
            <w:gridSpan w:val="3"/>
            <w:tcBorders>
              <w:top w:val="nil"/>
              <w:left w:val="nil"/>
              <w:bottom w:val="single" w:sz="8" w:space="0" w:color="auto"/>
              <w:right w:val="single" w:sz="4" w:space="0" w:color="auto"/>
            </w:tcBorders>
            <w:shd w:val="clear" w:color="auto" w:fill="auto"/>
            <w:noWrap/>
            <w:vAlign w:val="bottom"/>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5 705 582 000</w:t>
            </w:r>
          </w:p>
        </w:tc>
        <w:tc>
          <w:tcPr>
            <w:tcW w:w="1701" w:type="dxa"/>
            <w:gridSpan w:val="4"/>
            <w:tcBorders>
              <w:top w:val="nil"/>
              <w:left w:val="nil"/>
              <w:bottom w:val="single" w:sz="8" w:space="0" w:color="auto"/>
              <w:right w:val="single" w:sz="8" w:space="0" w:color="auto"/>
            </w:tcBorders>
            <w:shd w:val="clear" w:color="auto" w:fill="auto"/>
            <w:noWrap/>
            <w:vAlign w:val="bottom"/>
            <w:hideMark/>
          </w:tcPr>
          <w:p w:rsidR="00E5460B" w:rsidRPr="00E5460B" w:rsidRDefault="00E5460B" w:rsidP="00E5460B">
            <w:pPr>
              <w:spacing w:after="0" w:line="240" w:lineRule="auto"/>
              <w:jc w:val="right"/>
              <w:rPr>
                <w:rFonts w:ascii="Calibri" w:eastAsia="Times New Roman" w:hAnsi="Calibri" w:cs="Times New Roman"/>
                <w:color w:val="000000"/>
                <w:lang w:eastAsia="fr-FR"/>
              </w:rPr>
            </w:pPr>
            <w:r w:rsidRPr="00E5460B">
              <w:rPr>
                <w:rFonts w:ascii="Calibri" w:eastAsia="Times New Roman" w:hAnsi="Calibri" w:cs="Times New Roman"/>
                <w:color w:val="000000"/>
                <w:lang w:eastAsia="fr-FR"/>
              </w:rPr>
              <w:t>73 988 906 000</w:t>
            </w:r>
          </w:p>
        </w:tc>
      </w:tr>
      <w:tr w:rsidR="00F467CD" w:rsidRPr="00F467CD" w:rsidTr="000E2BC7">
        <w:trPr>
          <w:gridBefore w:val="1"/>
          <w:gridAfter w:val="8"/>
          <w:wBefore w:w="15" w:type="dxa"/>
          <w:wAfter w:w="5386" w:type="dxa"/>
          <w:trHeight w:val="315"/>
        </w:trPr>
        <w:tc>
          <w:tcPr>
            <w:tcW w:w="1468" w:type="dxa"/>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p>
        </w:tc>
        <w:tc>
          <w:tcPr>
            <w:tcW w:w="1368" w:type="dxa"/>
            <w:gridSpan w:val="3"/>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p>
        </w:tc>
        <w:tc>
          <w:tcPr>
            <w:tcW w:w="1408" w:type="dxa"/>
            <w:gridSpan w:val="2"/>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p>
        </w:tc>
        <w:tc>
          <w:tcPr>
            <w:tcW w:w="427" w:type="dxa"/>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p>
        </w:tc>
        <w:tc>
          <w:tcPr>
            <w:tcW w:w="291" w:type="dxa"/>
            <w:gridSpan w:val="3"/>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4671" w:type="dxa"/>
            <w:gridSpan w:val="7"/>
            <w:tcBorders>
              <w:top w:val="single" w:sz="4" w:space="0" w:color="auto"/>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b/>
                <w:bCs/>
                <w:color w:val="000000"/>
                <w:sz w:val="18"/>
                <w:szCs w:val="18"/>
                <w:u w:val="single"/>
                <w:lang w:eastAsia="fr-FR"/>
              </w:rPr>
            </w:pPr>
            <w:r w:rsidRPr="00F467CD">
              <w:rPr>
                <w:rFonts w:ascii="Calibri" w:eastAsia="Times New Roman" w:hAnsi="Calibri" w:cs="Times New Roman"/>
                <w:b/>
                <w:bCs/>
                <w:color w:val="000000"/>
                <w:sz w:val="18"/>
                <w:szCs w:val="18"/>
                <w:u w:val="single"/>
                <w:lang w:eastAsia="fr-FR"/>
              </w:rPr>
              <w:t>COUTS de 3 DISTRICTS DE DEMARRAGE</w:t>
            </w:r>
          </w:p>
        </w:tc>
        <w:tc>
          <w:tcPr>
            <w:tcW w:w="291" w:type="dxa"/>
            <w:gridSpan w:val="3"/>
            <w:tcBorders>
              <w:top w:val="single" w:sz="4" w:space="0" w:color="auto"/>
              <w:left w:val="nil"/>
              <w:bottom w:val="nil"/>
              <w:right w:val="single" w:sz="4" w:space="0" w:color="auto"/>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lang w:eastAsia="fr-FR"/>
              </w:rPr>
            </w:pPr>
            <w:r w:rsidRPr="00F467CD">
              <w:rPr>
                <w:rFonts w:ascii="Calibri" w:eastAsia="Times New Roman" w:hAnsi="Calibri" w:cs="Times New Roman"/>
                <w:color w:val="000000"/>
                <w:lang w:eastAsia="fr-FR"/>
              </w:rPr>
              <w:t> </w:t>
            </w:r>
          </w:p>
        </w:tc>
      </w:tr>
      <w:tr w:rsidR="00F467CD" w:rsidRPr="00F467CD" w:rsidTr="000E2BC7">
        <w:trPr>
          <w:gridBefore w:val="1"/>
          <w:gridAfter w:val="8"/>
          <w:wBefore w:w="15" w:type="dxa"/>
          <w:wAfter w:w="5386" w:type="dxa"/>
          <w:trHeight w:val="300"/>
        </w:trPr>
        <w:tc>
          <w:tcPr>
            <w:tcW w:w="2836" w:type="dxa"/>
            <w:gridSpan w:val="4"/>
            <w:tcBorders>
              <w:top w:val="nil"/>
              <w:left w:val="single" w:sz="4" w:space="0" w:color="auto"/>
              <w:bottom w:val="nil"/>
              <w:right w:val="nil"/>
            </w:tcBorders>
            <w:shd w:val="clear" w:color="000000" w:fill="F2F2F2"/>
            <w:noWrap/>
            <w:vAlign w:val="bottom"/>
            <w:hideMark/>
          </w:tcPr>
          <w:p w:rsidR="00F467CD" w:rsidRPr="00F467CD" w:rsidRDefault="00F467CD" w:rsidP="00F467CD">
            <w:pPr>
              <w:spacing w:after="0" w:line="240" w:lineRule="auto"/>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Investissement 3 niveaux:</w:t>
            </w:r>
          </w:p>
        </w:tc>
        <w:tc>
          <w:tcPr>
            <w:tcW w:w="1408" w:type="dxa"/>
            <w:gridSpan w:val="2"/>
            <w:tcBorders>
              <w:top w:val="nil"/>
              <w:left w:val="nil"/>
              <w:bottom w:val="nil"/>
              <w:right w:val="nil"/>
            </w:tcBorders>
            <w:shd w:val="clear" w:color="000000" w:fill="F2F2F2"/>
            <w:noWrap/>
            <w:vAlign w:val="bottom"/>
            <w:hideMark/>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2 916 187 676</w:t>
            </w:r>
          </w:p>
        </w:tc>
        <w:tc>
          <w:tcPr>
            <w:tcW w:w="427" w:type="dxa"/>
            <w:tcBorders>
              <w:top w:val="nil"/>
              <w:left w:val="nil"/>
              <w:bottom w:val="nil"/>
              <w:right w:val="nil"/>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p>
        </w:tc>
        <w:tc>
          <w:tcPr>
            <w:tcW w:w="291" w:type="dxa"/>
            <w:gridSpan w:val="3"/>
            <w:tcBorders>
              <w:top w:val="nil"/>
              <w:left w:val="nil"/>
              <w:bottom w:val="nil"/>
              <w:right w:val="single" w:sz="4" w:space="0" w:color="auto"/>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56 CSB 2 CHRD</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2 802 587 676</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District</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33 600 000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40 Communes</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80 000 000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2836" w:type="dxa"/>
            <w:gridSpan w:val="4"/>
            <w:tcBorders>
              <w:top w:val="nil"/>
              <w:left w:val="single" w:sz="4" w:space="0" w:color="auto"/>
              <w:bottom w:val="nil"/>
              <w:right w:val="nil"/>
            </w:tcBorders>
            <w:shd w:val="clear" w:color="000000" w:fill="F2F2F2"/>
            <w:noWrap/>
            <w:vAlign w:val="bottom"/>
            <w:hideMark/>
          </w:tcPr>
          <w:p w:rsidR="00F467CD" w:rsidRPr="00F467CD" w:rsidRDefault="00F467CD" w:rsidP="00F467CD">
            <w:pPr>
              <w:spacing w:after="0" w:line="240" w:lineRule="auto"/>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Fonctionnement hors solde</w:t>
            </w:r>
          </w:p>
        </w:tc>
        <w:tc>
          <w:tcPr>
            <w:tcW w:w="1408" w:type="dxa"/>
            <w:gridSpan w:val="2"/>
            <w:tcBorders>
              <w:top w:val="nil"/>
              <w:left w:val="nil"/>
              <w:bottom w:val="nil"/>
              <w:right w:val="nil"/>
            </w:tcBorders>
            <w:shd w:val="clear" w:color="000000" w:fill="F2F2F2"/>
            <w:noWrap/>
            <w:vAlign w:val="bottom"/>
            <w:hideMark/>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1 478 305 789</w:t>
            </w:r>
          </w:p>
        </w:tc>
        <w:tc>
          <w:tcPr>
            <w:tcW w:w="427" w:type="dxa"/>
            <w:tcBorders>
              <w:top w:val="nil"/>
              <w:left w:val="nil"/>
              <w:bottom w:val="nil"/>
              <w:right w:val="nil"/>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p>
        </w:tc>
        <w:tc>
          <w:tcPr>
            <w:tcW w:w="291" w:type="dxa"/>
            <w:gridSpan w:val="3"/>
            <w:tcBorders>
              <w:top w:val="nil"/>
              <w:left w:val="nil"/>
              <w:bottom w:val="nil"/>
              <w:right w:val="single" w:sz="4" w:space="0" w:color="auto"/>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56 CSB 2 CHRD</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597 370 000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3 Districts</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24 600 000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40 Communes</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96 000 000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487 fokontany</w:t>
            </w:r>
          </w:p>
        </w:tc>
        <w:tc>
          <w:tcPr>
            <w:tcW w:w="1368" w:type="dxa"/>
            <w:gridSpan w:val="3"/>
            <w:tcBorders>
              <w:top w:val="nil"/>
              <w:left w:val="nil"/>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760 335 789</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nil"/>
              <w:right w:val="nil"/>
            </w:tcBorders>
            <w:shd w:val="clear" w:color="000000" w:fill="F2F2F2"/>
            <w:noWrap/>
            <w:vAlign w:val="bottom"/>
            <w:hideMark/>
          </w:tcPr>
          <w:p w:rsidR="00F467CD" w:rsidRPr="00F467CD" w:rsidRDefault="00F467CD" w:rsidP="00F467CD">
            <w:pPr>
              <w:spacing w:after="0" w:line="240" w:lineRule="auto"/>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Solde</w:t>
            </w:r>
          </w:p>
        </w:tc>
        <w:tc>
          <w:tcPr>
            <w:tcW w:w="1368" w:type="dxa"/>
            <w:gridSpan w:val="3"/>
            <w:tcBorders>
              <w:top w:val="nil"/>
              <w:left w:val="nil"/>
              <w:bottom w:val="nil"/>
              <w:right w:val="nil"/>
            </w:tcBorders>
            <w:shd w:val="clear" w:color="000000" w:fill="F2F2F2"/>
            <w:noWrap/>
            <w:vAlign w:val="bottom"/>
            <w:hideMark/>
          </w:tcPr>
          <w:p w:rsidR="00F467CD" w:rsidRPr="00F467CD" w:rsidRDefault="00F467CD" w:rsidP="00F467CD">
            <w:pPr>
              <w:spacing w:after="0" w:line="240" w:lineRule="auto"/>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 </w:t>
            </w:r>
          </w:p>
        </w:tc>
        <w:tc>
          <w:tcPr>
            <w:tcW w:w="1408" w:type="dxa"/>
            <w:gridSpan w:val="2"/>
            <w:tcBorders>
              <w:top w:val="nil"/>
              <w:left w:val="nil"/>
              <w:bottom w:val="nil"/>
              <w:right w:val="nil"/>
            </w:tcBorders>
            <w:shd w:val="clear" w:color="000000" w:fill="F2F2F2"/>
            <w:noWrap/>
            <w:vAlign w:val="bottom"/>
            <w:hideMark/>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r w:rsidRPr="00F467CD">
              <w:rPr>
                <w:rFonts w:ascii="Calibri" w:eastAsia="Times New Roman" w:hAnsi="Calibri" w:cs="Times New Roman"/>
                <w:b/>
                <w:bCs/>
                <w:color w:val="000000"/>
                <w:sz w:val="18"/>
                <w:szCs w:val="18"/>
                <w:lang w:eastAsia="fr-FR"/>
              </w:rPr>
              <w:t>1 494 000 000</w:t>
            </w:r>
          </w:p>
        </w:tc>
        <w:tc>
          <w:tcPr>
            <w:tcW w:w="427" w:type="dxa"/>
            <w:tcBorders>
              <w:top w:val="nil"/>
              <w:left w:val="nil"/>
              <w:bottom w:val="nil"/>
              <w:right w:val="nil"/>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sz w:val="18"/>
                <w:szCs w:val="18"/>
                <w:lang w:eastAsia="fr-FR"/>
              </w:rPr>
            </w:pPr>
          </w:p>
        </w:tc>
        <w:tc>
          <w:tcPr>
            <w:tcW w:w="291" w:type="dxa"/>
            <w:gridSpan w:val="3"/>
            <w:tcBorders>
              <w:top w:val="nil"/>
              <w:left w:val="nil"/>
              <w:bottom w:val="nil"/>
              <w:right w:val="single" w:sz="4" w:space="0" w:color="auto"/>
            </w:tcBorders>
            <w:shd w:val="clear" w:color="000000" w:fill="F2F2F2"/>
            <w:noWrap/>
            <w:vAlign w:val="bottom"/>
          </w:tcPr>
          <w:p w:rsidR="00F467CD" w:rsidRPr="00F467CD" w:rsidRDefault="00F467CD" w:rsidP="00F467CD">
            <w:pPr>
              <w:spacing w:after="0" w:line="240" w:lineRule="auto"/>
              <w:jc w:val="right"/>
              <w:rPr>
                <w:rFonts w:ascii="Calibri" w:eastAsia="Times New Roman" w:hAnsi="Calibri" w:cs="Times New Roman"/>
                <w:b/>
                <w:bCs/>
                <w:color w:val="000000"/>
                <w:lang w:eastAsia="fr-FR"/>
              </w:rPr>
            </w:pPr>
          </w:p>
        </w:tc>
      </w:tr>
      <w:tr w:rsidR="00F467CD" w:rsidRPr="00F467CD" w:rsidTr="000E2BC7">
        <w:trPr>
          <w:gridBefore w:val="1"/>
          <w:gridAfter w:val="8"/>
          <w:wBefore w:w="15" w:type="dxa"/>
          <w:wAfter w:w="5386" w:type="dxa"/>
          <w:trHeight w:val="300"/>
        </w:trPr>
        <w:tc>
          <w:tcPr>
            <w:tcW w:w="2836" w:type="dxa"/>
            <w:gridSpan w:val="4"/>
            <w:tcBorders>
              <w:top w:val="nil"/>
              <w:left w:val="single" w:sz="4" w:space="0" w:color="auto"/>
              <w:bottom w:val="nil"/>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56 CSB   2 CHRD</w:t>
            </w:r>
          </w:p>
        </w:tc>
        <w:tc>
          <w:tcPr>
            <w:tcW w:w="1408" w:type="dxa"/>
            <w:gridSpan w:val="2"/>
            <w:tcBorders>
              <w:top w:val="nil"/>
              <w:left w:val="nil"/>
              <w:bottom w:val="nil"/>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1 350 000 000</w:t>
            </w:r>
          </w:p>
        </w:tc>
        <w:tc>
          <w:tcPr>
            <w:tcW w:w="427" w:type="dxa"/>
            <w:tcBorders>
              <w:top w:val="nil"/>
              <w:left w:val="nil"/>
              <w:bottom w:val="nil"/>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nil"/>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F467CD" w:rsidRPr="00F467CD" w:rsidTr="000E2BC7">
        <w:trPr>
          <w:gridBefore w:val="1"/>
          <w:gridAfter w:val="8"/>
          <w:wBefore w:w="15" w:type="dxa"/>
          <w:wAfter w:w="5386" w:type="dxa"/>
          <w:trHeight w:val="300"/>
        </w:trPr>
        <w:tc>
          <w:tcPr>
            <w:tcW w:w="1468" w:type="dxa"/>
            <w:tcBorders>
              <w:top w:val="nil"/>
              <w:left w:val="single" w:sz="4" w:space="0" w:color="auto"/>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3 Districts</w:t>
            </w:r>
          </w:p>
        </w:tc>
        <w:tc>
          <w:tcPr>
            <w:tcW w:w="1368" w:type="dxa"/>
            <w:gridSpan w:val="3"/>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rPr>
                <w:rFonts w:ascii="Calibri" w:eastAsia="Times New Roman" w:hAnsi="Calibri" w:cs="Times New Roman"/>
                <w:color w:val="000000"/>
                <w:sz w:val="18"/>
                <w:szCs w:val="18"/>
                <w:lang w:eastAsia="fr-FR"/>
              </w:rPr>
            </w:pPr>
          </w:p>
        </w:tc>
        <w:tc>
          <w:tcPr>
            <w:tcW w:w="1408" w:type="dxa"/>
            <w:gridSpan w:val="2"/>
            <w:tcBorders>
              <w:top w:val="nil"/>
              <w:left w:val="nil"/>
              <w:bottom w:val="single" w:sz="4" w:space="0" w:color="auto"/>
              <w:right w:val="nil"/>
            </w:tcBorders>
            <w:shd w:val="clear" w:color="auto" w:fill="auto"/>
            <w:noWrap/>
            <w:vAlign w:val="bottom"/>
            <w:hideMark/>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r w:rsidRPr="00F467CD">
              <w:rPr>
                <w:rFonts w:ascii="Calibri" w:eastAsia="Times New Roman" w:hAnsi="Calibri" w:cs="Times New Roman"/>
                <w:color w:val="000000"/>
                <w:sz w:val="18"/>
                <w:szCs w:val="18"/>
                <w:lang w:eastAsia="fr-FR"/>
              </w:rPr>
              <w:t>144 000 000</w:t>
            </w:r>
          </w:p>
        </w:tc>
        <w:tc>
          <w:tcPr>
            <w:tcW w:w="427" w:type="dxa"/>
            <w:tcBorders>
              <w:top w:val="nil"/>
              <w:left w:val="nil"/>
              <w:bottom w:val="single" w:sz="4" w:space="0" w:color="auto"/>
              <w:right w:val="nil"/>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sz w:val="18"/>
                <w:szCs w:val="18"/>
                <w:lang w:eastAsia="fr-FR"/>
              </w:rPr>
            </w:pPr>
          </w:p>
        </w:tc>
        <w:tc>
          <w:tcPr>
            <w:tcW w:w="291" w:type="dxa"/>
            <w:gridSpan w:val="3"/>
            <w:tcBorders>
              <w:top w:val="nil"/>
              <w:left w:val="nil"/>
              <w:bottom w:val="single" w:sz="4" w:space="0" w:color="auto"/>
              <w:right w:val="single" w:sz="4" w:space="0" w:color="auto"/>
            </w:tcBorders>
            <w:shd w:val="clear" w:color="auto" w:fill="auto"/>
            <w:noWrap/>
            <w:vAlign w:val="bottom"/>
          </w:tcPr>
          <w:p w:rsidR="00F467CD" w:rsidRPr="00F467CD" w:rsidRDefault="00F467CD" w:rsidP="00F467CD">
            <w:pPr>
              <w:spacing w:after="0" w:line="240" w:lineRule="auto"/>
              <w:jc w:val="right"/>
              <w:rPr>
                <w:rFonts w:ascii="Calibri" w:eastAsia="Times New Roman" w:hAnsi="Calibri" w:cs="Times New Roman"/>
                <w:color w:val="000000"/>
                <w:lang w:eastAsia="fr-FR"/>
              </w:rPr>
            </w:pPr>
          </w:p>
        </w:tc>
      </w:tr>
      <w:tr w:rsidR="000E2BC7" w:rsidRPr="000C32C4" w:rsidTr="000E2BC7">
        <w:trPr>
          <w:trHeight w:val="735"/>
        </w:trPr>
        <w:tc>
          <w:tcPr>
            <w:tcW w:w="4876" w:type="dxa"/>
            <w:gridSpan w:val="10"/>
            <w:tcBorders>
              <w:top w:val="single" w:sz="4" w:space="0" w:color="auto"/>
              <w:left w:val="single" w:sz="4" w:space="0" w:color="auto"/>
              <w:bottom w:val="nil"/>
              <w:right w:val="single" w:sz="8" w:space="0" w:color="000000"/>
            </w:tcBorders>
            <w:shd w:val="clear" w:color="auto" w:fill="auto"/>
            <w:hideMark/>
          </w:tcPr>
          <w:p w:rsidR="000E2BC7" w:rsidRPr="000C32C4" w:rsidRDefault="000E2BC7" w:rsidP="00972C93">
            <w:pPr>
              <w:spacing w:after="0" w:line="240" w:lineRule="auto"/>
              <w:rPr>
                <w:rFonts w:ascii="Calibri" w:eastAsia="Times New Roman" w:hAnsi="Calibri" w:cs="Times New Roman"/>
                <w:b/>
                <w:bCs/>
                <w:color w:val="000000"/>
                <w:sz w:val="18"/>
                <w:szCs w:val="18"/>
                <w:u w:val="single"/>
                <w:lang w:eastAsia="fr-FR"/>
              </w:rPr>
            </w:pPr>
            <w:r w:rsidRPr="000E2BC7">
              <w:rPr>
                <w:rFonts w:ascii="Calibri" w:eastAsia="Times New Roman" w:hAnsi="Calibri" w:cs="Times New Roman"/>
                <w:b/>
                <w:bCs/>
                <w:color w:val="000000"/>
                <w:sz w:val="18"/>
                <w:szCs w:val="18"/>
                <w:u w:val="single"/>
                <w:lang w:eastAsia="fr-FR"/>
              </w:rPr>
              <w:t>COU</w:t>
            </w:r>
            <w:r w:rsidRPr="000C32C4">
              <w:rPr>
                <w:rFonts w:ascii="Calibri" w:eastAsia="Times New Roman" w:hAnsi="Calibri" w:cs="Times New Roman"/>
                <w:b/>
                <w:bCs/>
                <w:color w:val="000000"/>
                <w:sz w:val="18"/>
                <w:szCs w:val="18"/>
                <w:u w:val="single"/>
                <w:lang w:eastAsia="fr-FR"/>
              </w:rPr>
              <w:t>TS D</w:t>
            </w:r>
            <w:r w:rsidRPr="000E2BC7">
              <w:rPr>
                <w:rFonts w:ascii="Calibri" w:eastAsia="Times New Roman" w:hAnsi="Calibri" w:cs="Times New Roman"/>
                <w:b/>
                <w:bCs/>
                <w:color w:val="000000"/>
                <w:sz w:val="18"/>
                <w:szCs w:val="18"/>
                <w:u w:val="single"/>
                <w:lang w:eastAsia="fr-FR"/>
              </w:rPr>
              <w:t>’</w:t>
            </w:r>
            <w:r w:rsidRPr="000C32C4">
              <w:rPr>
                <w:rFonts w:ascii="Calibri" w:eastAsia="Times New Roman" w:hAnsi="Calibri" w:cs="Times New Roman"/>
                <w:b/>
                <w:bCs/>
                <w:color w:val="000000"/>
                <w:sz w:val="18"/>
                <w:szCs w:val="18"/>
                <w:u w:val="single"/>
                <w:lang w:eastAsia="fr-FR"/>
              </w:rPr>
              <w:t xml:space="preserve"> 1 DISTRICT T</w:t>
            </w:r>
            <w:r w:rsidRPr="000E2BC7">
              <w:rPr>
                <w:rFonts w:ascii="Calibri" w:eastAsia="Times New Roman" w:hAnsi="Calibri" w:cs="Times New Roman"/>
                <w:b/>
                <w:bCs/>
                <w:color w:val="000000"/>
                <w:sz w:val="18"/>
                <w:szCs w:val="18"/>
                <w:u w:val="single"/>
                <w:lang w:eastAsia="fr-FR"/>
              </w:rPr>
              <w:t xml:space="preserve">EMOIN </w:t>
            </w:r>
          </w:p>
        </w:tc>
        <w:tc>
          <w:tcPr>
            <w:tcW w:w="3781" w:type="dxa"/>
            <w:gridSpan w:val="7"/>
            <w:tcBorders>
              <w:top w:val="single" w:sz="4" w:space="0" w:color="auto"/>
              <w:left w:val="single" w:sz="8" w:space="0" w:color="auto"/>
              <w:bottom w:val="nil"/>
              <w:right w:val="nil"/>
            </w:tcBorders>
            <w:shd w:val="clear" w:color="auto" w:fill="auto"/>
            <w:hideMark/>
          </w:tcPr>
          <w:p w:rsidR="000E2BC7" w:rsidRPr="000C32C4" w:rsidRDefault="000E2BC7" w:rsidP="00972C93">
            <w:pPr>
              <w:spacing w:after="0" w:line="240" w:lineRule="auto"/>
              <w:rPr>
                <w:rFonts w:ascii="Calibri" w:eastAsia="Times New Roman" w:hAnsi="Calibri" w:cs="Times New Roman"/>
                <w:b/>
                <w:bCs/>
                <w:color w:val="000000"/>
                <w:sz w:val="18"/>
                <w:szCs w:val="18"/>
                <w:u w:val="single"/>
                <w:lang w:eastAsia="fr-FR"/>
              </w:rPr>
            </w:pPr>
            <w:r w:rsidRPr="000C32C4">
              <w:rPr>
                <w:rFonts w:ascii="Calibri" w:eastAsia="Times New Roman" w:hAnsi="Calibri" w:cs="Times New Roman"/>
                <w:b/>
                <w:bCs/>
                <w:color w:val="000000"/>
                <w:sz w:val="18"/>
                <w:szCs w:val="18"/>
                <w:u w:val="single"/>
                <w:lang w:eastAsia="fr-FR"/>
              </w:rPr>
              <w:t xml:space="preserve"> </w:t>
            </w:r>
            <w:r w:rsidRPr="000E2BC7">
              <w:rPr>
                <w:rFonts w:ascii="Calibri" w:eastAsia="Times New Roman" w:hAnsi="Calibri" w:cs="Times New Roman"/>
                <w:b/>
                <w:bCs/>
                <w:color w:val="000000"/>
                <w:sz w:val="18"/>
                <w:szCs w:val="18"/>
                <w:u w:val="single"/>
                <w:lang w:eastAsia="fr-FR"/>
              </w:rPr>
              <w:t xml:space="preserve">COUTS </w:t>
            </w:r>
            <w:r w:rsidRPr="000C32C4">
              <w:rPr>
                <w:rFonts w:ascii="Calibri" w:eastAsia="Times New Roman" w:hAnsi="Calibri" w:cs="Times New Roman"/>
                <w:b/>
                <w:bCs/>
                <w:color w:val="000000"/>
                <w:sz w:val="18"/>
                <w:szCs w:val="18"/>
                <w:u w:val="single"/>
                <w:lang w:eastAsia="fr-FR"/>
              </w:rPr>
              <w:t>DE</w:t>
            </w:r>
            <w:r w:rsidRPr="000E2BC7">
              <w:rPr>
                <w:rFonts w:ascii="Calibri" w:eastAsia="Times New Roman" w:hAnsi="Calibri" w:cs="Times New Roman"/>
                <w:b/>
                <w:bCs/>
                <w:color w:val="000000"/>
                <w:sz w:val="18"/>
                <w:szCs w:val="18"/>
                <w:u w:val="single"/>
                <w:lang w:eastAsia="fr-FR"/>
              </w:rPr>
              <w:t xml:space="preserve">                                </w:t>
            </w:r>
            <w:r>
              <w:rPr>
                <w:rFonts w:ascii="Calibri" w:eastAsia="Times New Roman" w:hAnsi="Calibri" w:cs="Times New Roman"/>
                <w:b/>
                <w:bCs/>
                <w:color w:val="000000"/>
                <w:sz w:val="18"/>
                <w:szCs w:val="18"/>
                <w:u w:val="single"/>
                <w:lang w:eastAsia="fr-FR"/>
              </w:rPr>
              <w:t xml:space="preserve">       </w:t>
            </w:r>
            <w:r w:rsidRPr="000E2BC7">
              <w:rPr>
                <w:rFonts w:ascii="Calibri" w:eastAsia="Times New Roman" w:hAnsi="Calibri" w:cs="Times New Roman"/>
                <w:b/>
                <w:bCs/>
                <w:color w:val="000000"/>
                <w:sz w:val="18"/>
                <w:szCs w:val="18"/>
                <w:u w:val="single"/>
                <w:lang w:eastAsia="fr-FR"/>
              </w:rPr>
              <w:t xml:space="preserve">   </w:t>
            </w:r>
            <w:r w:rsidRPr="000C32C4">
              <w:rPr>
                <w:rFonts w:ascii="Calibri" w:eastAsia="Times New Roman" w:hAnsi="Calibri" w:cs="Times New Roman"/>
                <w:b/>
                <w:bCs/>
                <w:color w:val="000000"/>
                <w:sz w:val="18"/>
                <w:szCs w:val="18"/>
                <w:u w:val="single"/>
                <w:lang w:eastAsia="fr-FR"/>
              </w:rPr>
              <w:t xml:space="preserve">22 </w:t>
            </w:r>
            <w:r w:rsidRPr="000E2BC7">
              <w:rPr>
                <w:rFonts w:ascii="Calibri" w:eastAsia="Times New Roman" w:hAnsi="Calibri" w:cs="Times New Roman"/>
                <w:b/>
                <w:bCs/>
                <w:color w:val="000000"/>
                <w:sz w:val="18"/>
                <w:szCs w:val="18"/>
                <w:u w:val="single"/>
                <w:lang w:eastAsia="fr-FR"/>
              </w:rPr>
              <w:t>DISTRICTS</w:t>
            </w:r>
          </w:p>
        </w:tc>
        <w:tc>
          <w:tcPr>
            <w:tcW w:w="284" w:type="dxa"/>
            <w:tcBorders>
              <w:top w:val="single" w:sz="4" w:space="0" w:color="auto"/>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422" w:type="dxa"/>
            <w:tcBorders>
              <w:top w:val="single" w:sz="4" w:space="0" w:color="auto"/>
              <w:left w:val="nil"/>
              <w:bottom w:val="nil"/>
              <w:right w:val="single" w:sz="4" w:space="0" w:color="auto"/>
            </w:tcBorders>
            <w:shd w:val="clear" w:color="auto" w:fill="auto"/>
            <w:noWrap/>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u w:val="single"/>
                <w:lang w:eastAsia="fr-FR"/>
              </w:rPr>
            </w:pPr>
            <w:r w:rsidRPr="000C32C4">
              <w:rPr>
                <w:rFonts w:ascii="Calibri" w:eastAsia="Times New Roman" w:hAnsi="Calibri" w:cs="Times New Roman"/>
                <w:b/>
                <w:bCs/>
                <w:color w:val="000000"/>
                <w:sz w:val="18"/>
                <w:szCs w:val="18"/>
                <w:u w:val="single"/>
                <w:lang w:eastAsia="fr-FR"/>
              </w:rPr>
              <w:t>44 DISTRCTS</w:t>
            </w:r>
          </w:p>
        </w:tc>
      </w:tr>
      <w:tr w:rsidR="000E2BC7" w:rsidRPr="000C32C4" w:rsidTr="000E2BC7">
        <w:trPr>
          <w:trHeight w:val="300"/>
        </w:trPr>
        <w:tc>
          <w:tcPr>
            <w:tcW w:w="2738" w:type="dxa"/>
            <w:gridSpan w:val="4"/>
            <w:tcBorders>
              <w:top w:val="nil"/>
              <w:left w:val="single" w:sz="4"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Investissement 3 niveaux:</w:t>
            </w:r>
          </w:p>
        </w:tc>
        <w:tc>
          <w:tcPr>
            <w:tcW w:w="1948" w:type="dxa"/>
            <w:gridSpan w:val="4"/>
            <w:tcBorders>
              <w:top w:val="nil"/>
              <w:left w:val="nil"/>
              <w:bottom w:val="nil"/>
              <w:right w:val="nil"/>
            </w:tcBorders>
            <w:shd w:val="clear" w:color="000000" w:fill="F2F2F2"/>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920 791 211</w:t>
            </w:r>
          </w:p>
        </w:tc>
        <w:tc>
          <w:tcPr>
            <w:tcW w:w="190" w:type="dxa"/>
            <w:gridSpan w:val="2"/>
            <w:tcBorders>
              <w:top w:val="nil"/>
              <w:left w:val="nil"/>
              <w:bottom w:val="nil"/>
              <w:right w:val="single" w:sz="8" w:space="0" w:color="auto"/>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 </w:t>
            </w:r>
          </w:p>
        </w:tc>
        <w:tc>
          <w:tcPr>
            <w:tcW w:w="2362" w:type="dxa"/>
            <w:gridSpan w:val="5"/>
            <w:tcBorders>
              <w:top w:val="nil"/>
              <w:left w:val="single" w:sz="8"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Investissement 3 niveaux:</w:t>
            </w:r>
          </w:p>
        </w:tc>
        <w:tc>
          <w:tcPr>
            <w:tcW w:w="1419"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20 257 406 636</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40 514 813 271</w:t>
            </w:r>
          </w:p>
        </w:tc>
      </w:tr>
      <w:tr w:rsidR="000E2BC7" w:rsidRPr="000C32C4" w:rsidTr="000E2BC7">
        <w:trPr>
          <w:trHeight w:val="300"/>
        </w:trPr>
        <w:tc>
          <w:tcPr>
            <w:tcW w:w="2548" w:type="dxa"/>
            <w:gridSpan w:val="3"/>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CSB CHRD</w:t>
            </w:r>
          </w:p>
        </w:tc>
        <w:tc>
          <w:tcPr>
            <w:tcW w:w="190"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879 889 456</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638" w:type="dxa"/>
            <w:gridSpan w:val="2"/>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xml:space="preserve"> CSB CHRD</w:t>
            </w:r>
          </w:p>
        </w:tc>
        <w:tc>
          <w:tcPr>
            <w:tcW w:w="817"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19 357 568 039</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38 715 136 078</w:t>
            </w:r>
          </w:p>
        </w:tc>
      </w:tr>
      <w:tr w:rsidR="000E2BC7" w:rsidRPr="000C32C4" w:rsidTr="000E2BC7">
        <w:trPr>
          <w:trHeight w:val="300"/>
        </w:trPr>
        <w:tc>
          <w:tcPr>
            <w:tcW w:w="2548" w:type="dxa"/>
            <w:gridSpan w:val="3"/>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District</w:t>
            </w:r>
          </w:p>
        </w:tc>
        <w:tc>
          <w:tcPr>
            <w:tcW w:w="190"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11 200 000</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638" w:type="dxa"/>
            <w:gridSpan w:val="2"/>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Districts</w:t>
            </w:r>
          </w:p>
        </w:tc>
        <w:tc>
          <w:tcPr>
            <w:tcW w:w="817"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246 400 000</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492 800 000</w:t>
            </w:r>
          </w:p>
        </w:tc>
      </w:tr>
      <w:tr w:rsidR="000E2BC7" w:rsidRPr="000C32C4" w:rsidTr="000E2BC7">
        <w:trPr>
          <w:trHeight w:val="300"/>
        </w:trPr>
        <w:tc>
          <w:tcPr>
            <w:tcW w:w="2738" w:type="dxa"/>
            <w:gridSpan w:val="4"/>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15 communes</w:t>
            </w: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29 701 754</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638" w:type="dxa"/>
            <w:gridSpan w:val="2"/>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communes</w:t>
            </w:r>
          </w:p>
        </w:tc>
        <w:tc>
          <w:tcPr>
            <w:tcW w:w="817"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653 438 596</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1 306 877 193</w:t>
            </w:r>
          </w:p>
        </w:tc>
      </w:tr>
      <w:tr w:rsidR="000E2BC7" w:rsidRPr="000C32C4" w:rsidTr="000E2BC7">
        <w:trPr>
          <w:trHeight w:val="300"/>
        </w:trPr>
        <w:tc>
          <w:tcPr>
            <w:tcW w:w="2738" w:type="dxa"/>
            <w:gridSpan w:val="4"/>
            <w:tcBorders>
              <w:top w:val="nil"/>
              <w:left w:val="single" w:sz="4"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Fonctionnement hors sol</w:t>
            </w:r>
            <w:r w:rsidRPr="000E2BC7">
              <w:rPr>
                <w:rFonts w:ascii="Calibri" w:eastAsia="Times New Roman" w:hAnsi="Calibri" w:cs="Times New Roman"/>
                <w:b/>
                <w:bCs/>
                <w:color w:val="000000"/>
                <w:sz w:val="18"/>
                <w:szCs w:val="18"/>
                <w:lang w:eastAsia="fr-FR"/>
              </w:rPr>
              <w:t>de</w:t>
            </w:r>
          </w:p>
        </w:tc>
        <w:tc>
          <w:tcPr>
            <w:tcW w:w="1948" w:type="dxa"/>
            <w:gridSpan w:val="4"/>
            <w:tcBorders>
              <w:top w:val="nil"/>
              <w:left w:val="nil"/>
              <w:bottom w:val="nil"/>
              <w:right w:val="nil"/>
            </w:tcBorders>
            <w:shd w:val="clear" w:color="000000" w:fill="F2F2F2"/>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515 445 789</w:t>
            </w:r>
          </w:p>
        </w:tc>
        <w:tc>
          <w:tcPr>
            <w:tcW w:w="190" w:type="dxa"/>
            <w:gridSpan w:val="2"/>
            <w:tcBorders>
              <w:top w:val="nil"/>
              <w:left w:val="nil"/>
              <w:bottom w:val="nil"/>
              <w:right w:val="single" w:sz="8" w:space="0" w:color="auto"/>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 </w:t>
            </w:r>
          </w:p>
        </w:tc>
        <w:tc>
          <w:tcPr>
            <w:tcW w:w="2362" w:type="dxa"/>
            <w:gridSpan w:val="5"/>
            <w:tcBorders>
              <w:top w:val="nil"/>
              <w:left w:val="single" w:sz="8"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Fonctionnement hors sol</w:t>
            </w:r>
            <w:r w:rsidRPr="000E2BC7">
              <w:rPr>
                <w:rFonts w:ascii="Calibri" w:eastAsia="Times New Roman" w:hAnsi="Calibri" w:cs="Times New Roman"/>
                <w:b/>
                <w:bCs/>
                <w:color w:val="000000"/>
                <w:sz w:val="18"/>
                <w:szCs w:val="18"/>
                <w:lang w:eastAsia="fr-FR"/>
              </w:rPr>
              <w:t>de</w:t>
            </w:r>
          </w:p>
        </w:tc>
        <w:tc>
          <w:tcPr>
            <w:tcW w:w="1419"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11 339 807 368</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22 679 614 737</w:t>
            </w:r>
          </w:p>
        </w:tc>
      </w:tr>
      <w:tr w:rsidR="000E2BC7" w:rsidRPr="000C32C4" w:rsidTr="000E2BC7">
        <w:trPr>
          <w:trHeight w:val="300"/>
        </w:trPr>
        <w:tc>
          <w:tcPr>
            <w:tcW w:w="2738" w:type="dxa"/>
            <w:gridSpan w:val="4"/>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22 CSB et  CHRD</w:t>
            </w: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218 158 421</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362" w:type="dxa"/>
            <w:gridSpan w:val="5"/>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CSB et CHRD</w:t>
            </w:r>
          </w:p>
        </w:tc>
        <w:tc>
          <w:tcPr>
            <w:tcW w:w="1419"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4 799 485 263</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9 598 970 526</w:t>
            </w:r>
          </w:p>
        </w:tc>
      </w:tr>
      <w:tr w:rsidR="000E2BC7" w:rsidRPr="000C32C4" w:rsidTr="000E2BC7">
        <w:trPr>
          <w:trHeight w:val="300"/>
        </w:trPr>
        <w:tc>
          <w:tcPr>
            <w:tcW w:w="2548" w:type="dxa"/>
            <w:gridSpan w:val="3"/>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District</w:t>
            </w:r>
          </w:p>
        </w:tc>
        <w:tc>
          <w:tcPr>
            <w:tcW w:w="190"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8 200 000</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265" w:type="dxa"/>
            <w:gridSpan w:val="4"/>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19 Districts</w:t>
            </w:r>
          </w:p>
        </w:tc>
        <w:tc>
          <w:tcPr>
            <w:tcW w:w="190"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180 400 000</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360 800 000</w:t>
            </w:r>
          </w:p>
        </w:tc>
      </w:tr>
      <w:tr w:rsidR="000E2BC7" w:rsidRPr="000C32C4" w:rsidTr="000E2BC7">
        <w:trPr>
          <w:trHeight w:val="300"/>
        </w:trPr>
        <w:tc>
          <w:tcPr>
            <w:tcW w:w="2738" w:type="dxa"/>
            <w:gridSpan w:val="4"/>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15 communes</w:t>
            </w: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35 642 105</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265" w:type="dxa"/>
            <w:gridSpan w:val="4"/>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communes</w:t>
            </w:r>
          </w:p>
        </w:tc>
        <w:tc>
          <w:tcPr>
            <w:tcW w:w="190"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784 126 316</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1 568 252 632</w:t>
            </w:r>
          </w:p>
        </w:tc>
      </w:tr>
      <w:tr w:rsidR="000E2BC7" w:rsidRPr="000C32C4" w:rsidTr="000E2BC7">
        <w:trPr>
          <w:trHeight w:val="300"/>
        </w:trPr>
        <w:tc>
          <w:tcPr>
            <w:tcW w:w="2738" w:type="dxa"/>
            <w:gridSpan w:val="4"/>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162 fokontany</w:t>
            </w: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253 445 263</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265" w:type="dxa"/>
            <w:gridSpan w:val="4"/>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fokontany</w:t>
            </w:r>
          </w:p>
        </w:tc>
        <w:tc>
          <w:tcPr>
            <w:tcW w:w="190"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5 575 795 789</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11 151 591 579</w:t>
            </w:r>
          </w:p>
        </w:tc>
      </w:tr>
      <w:tr w:rsidR="000E2BC7" w:rsidRPr="000C32C4" w:rsidTr="000E2BC7">
        <w:trPr>
          <w:trHeight w:val="300"/>
        </w:trPr>
        <w:tc>
          <w:tcPr>
            <w:tcW w:w="2548" w:type="dxa"/>
            <w:gridSpan w:val="3"/>
            <w:tcBorders>
              <w:top w:val="nil"/>
              <w:left w:val="single" w:sz="4"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Solde</w:t>
            </w:r>
          </w:p>
        </w:tc>
        <w:tc>
          <w:tcPr>
            <w:tcW w:w="190" w:type="dxa"/>
            <w:tcBorders>
              <w:top w:val="nil"/>
              <w:left w:val="nil"/>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948" w:type="dxa"/>
            <w:gridSpan w:val="4"/>
            <w:tcBorders>
              <w:top w:val="nil"/>
              <w:left w:val="nil"/>
              <w:bottom w:val="nil"/>
              <w:right w:val="nil"/>
            </w:tcBorders>
            <w:shd w:val="clear" w:color="000000" w:fill="F2F2F2"/>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552 821 053</w:t>
            </w:r>
          </w:p>
        </w:tc>
        <w:tc>
          <w:tcPr>
            <w:tcW w:w="190" w:type="dxa"/>
            <w:gridSpan w:val="2"/>
            <w:tcBorders>
              <w:top w:val="nil"/>
              <w:left w:val="nil"/>
              <w:bottom w:val="nil"/>
              <w:right w:val="single" w:sz="8" w:space="0" w:color="auto"/>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 </w:t>
            </w:r>
          </w:p>
        </w:tc>
        <w:tc>
          <w:tcPr>
            <w:tcW w:w="2265" w:type="dxa"/>
            <w:gridSpan w:val="4"/>
            <w:tcBorders>
              <w:top w:val="nil"/>
              <w:left w:val="single" w:sz="8" w:space="0" w:color="auto"/>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Solde</w:t>
            </w:r>
          </w:p>
        </w:tc>
        <w:tc>
          <w:tcPr>
            <w:tcW w:w="190" w:type="dxa"/>
            <w:gridSpan w:val="2"/>
            <w:tcBorders>
              <w:top w:val="nil"/>
              <w:left w:val="nil"/>
              <w:bottom w:val="nil"/>
              <w:right w:val="nil"/>
            </w:tcBorders>
            <w:shd w:val="clear" w:color="000000" w:fill="F2F2F2"/>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12 162 063 158</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b/>
                <w:bCs/>
                <w:color w:val="000000"/>
                <w:sz w:val="18"/>
                <w:szCs w:val="18"/>
                <w:lang w:eastAsia="fr-FR"/>
              </w:rPr>
            </w:pPr>
            <w:r w:rsidRPr="000C32C4">
              <w:rPr>
                <w:rFonts w:ascii="Calibri" w:eastAsia="Times New Roman" w:hAnsi="Calibri" w:cs="Times New Roman"/>
                <w:b/>
                <w:bCs/>
                <w:color w:val="000000"/>
                <w:sz w:val="18"/>
                <w:szCs w:val="18"/>
                <w:lang w:eastAsia="fr-FR"/>
              </w:rPr>
              <w:t>24 324 126 316</w:t>
            </w:r>
          </w:p>
        </w:tc>
      </w:tr>
      <w:tr w:rsidR="000E2BC7" w:rsidRPr="000C32C4" w:rsidTr="000E2BC7">
        <w:trPr>
          <w:trHeight w:val="300"/>
        </w:trPr>
        <w:tc>
          <w:tcPr>
            <w:tcW w:w="2738" w:type="dxa"/>
            <w:gridSpan w:val="4"/>
            <w:tcBorders>
              <w:top w:val="nil"/>
              <w:left w:val="single" w:sz="4"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22 CSB et CHRD</w:t>
            </w:r>
          </w:p>
        </w:tc>
        <w:tc>
          <w:tcPr>
            <w:tcW w:w="1948" w:type="dxa"/>
            <w:gridSpan w:val="4"/>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504 821 053</w:t>
            </w:r>
          </w:p>
        </w:tc>
        <w:tc>
          <w:tcPr>
            <w:tcW w:w="190" w:type="dxa"/>
            <w:gridSpan w:val="2"/>
            <w:tcBorders>
              <w:top w:val="nil"/>
              <w:left w:val="nil"/>
              <w:bottom w:val="nil"/>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265" w:type="dxa"/>
            <w:gridSpan w:val="4"/>
            <w:tcBorders>
              <w:top w:val="nil"/>
              <w:left w:val="single" w:sz="8" w:space="0" w:color="auto"/>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CSB</w:t>
            </w:r>
          </w:p>
        </w:tc>
        <w:tc>
          <w:tcPr>
            <w:tcW w:w="190" w:type="dxa"/>
            <w:gridSpan w:val="2"/>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11 106 063 158</w:t>
            </w:r>
          </w:p>
        </w:tc>
        <w:tc>
          <w:tcPr>
            <w:tcW w:w="284" w:type="dxa"/>
            <w:tcBorders>
              <w:top w:val="nil"/>
              <w:left w:val="nil"/>
              <w:bottom w:val="nil"/>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nil"/>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22 212 126 316</w:t>
            </w:r>
          </w:p>
        </w:tc>
      </w:tr>
      <w:tr w:rsidR="000E2BC7" w:rsidRPr="000C32C4" w:rsidTr="000E2BC7">
        <w:trPr>
          <w:trHeight w:val="300"/>
        </w:trPr>
        <w:tc>
          <w:tcPr>
            <w:tcW w:w="2548" w:type="dxa"/>
            <w:gridSpan w:val="3"/>
            <w:tcBorders>
              <w:top w:val="nil"/>
              <w:left w:val="single" w:sz="4" w:space="0" w:color="auto"/>
              <w:bottom w:val="single" w:sz="4" w:space="0" w:color="auto"/>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District</w:t>
            </w:r>
          </w:p>
        </w:tc>
        <w:tc>
          <w:tcPr>
            <w:tcW w:w="190" w:type="dxa"/>
            <w:tcBorders>
              <w:top w:val="nil"/>
              <w:left w:val="nil"/>
              <w:bottom w:val="single" w:sz="4" w:space="0" w:color="auto"/>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948" w:type="dxa"/>
            <w:gridSpan w:val="4"/>
            <w:tcBorders>
              <w:top w:val="nil"/>
              <w:left w:val="nil"/>
              <w:bottom w:val="single" w:sz="4" w:space="0" w:color="auto"/>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48 000 000</w:t>
            </w:r>
          </w:p>
        </w:tc>
        <w:tc>
          <w:tcPr>
            <w:tcW w:w="190" w:type="dxa"/>
            <w:gridSpan w:val="2"/>
            <w:tcBorders>
              <w:top w:val="nil"/>
              <w:left w:val="nil"/>
              <w:bottom w:val="single" w:sz="4" w:space="0" w:color="auto"/>
              <w:right w:val="single" w:sz="8" w:space="0" w:color="auto"/>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 </w:t>
            </w:r>
          </w:p>
        </w:tc>
        <w:tc>
          <w:tcPr>
            <w:tcW w:w="2265" w:type="dxa"/>
            <w:gridSpan w:val="4"/>
            <w:tcBorders>
              <w:top w:val="nil"/>
              <w:left w:val="single" w:sz="8" w:space="0" w:color="auto"/>
              <w:bottom w:val="single" w:sz="4" w:space="0" w:color="auto"/>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Districts</w:t>
            </w:r>
          </w:p>
        </w:tc>
        <w:tc>
          <w:tcPr>
            <w:tcW w:w="190" w:type="dxa"/>
            <w:gridSpan w:val="2"/>
            <w:tcBorders>
              <w:top w:val="nil"/>
              <w:left w:val="nil"/>
              <w:bottom w:val="single" w:sz="4" w:space="0" w:color="auto"/>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326" w:type="dxa"/>
            <w:tcBorders>
              <w:top w:val="nil"/>
              <w:left w:val="nil"/>
              <w:bottom w:val="single" w:sz="4" w:space="0" w:color="auto"/>
              <w:right w:val="nil"/>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1 056 000 000</w:t>
            </w:r>
          </w:p>
        </w:tc>
        <w:tc>
          <w:tcPr>
            <w:tcW w:w="284" w:type="dxa"/>
            <w:tcBorders>
              <w:top w:val="nil"/>
              <w:left w:val="nil"/>
              <w:bottom w:val="single" w:sz="4" w:space="0" w:color="auto"/>
              <w:right w:val="nil"/>
            </w:tcBorders>
            <w:shd w:val="clear" w:color="auto" w:fill="auto"/>
            <w:noWrap/>
            <w:vAlign w:val="bottom"/>
            <w:hideMark/>
          </w:tcPr>
          <w:p w:rsidR="000E2BC7" w:rsidRPr="000C32C4" w:rsidRDefault="000E2BC7" w:rsidP="00972C93">
            <w:pPr>
              <w:spacing w:after="0" w:line="240" w:lineRule="auto"/>
              <w:rPr>
                <w:rFonts w:ascii="Calibri" w:eastAsia="Times New Roman" w:hAnsi="Calibri" w:cs="Times New Roman"/>
                <w:color w:val="000000"/>
                <w:sz w:val="18"/>
                <w:szCs w:val="18"/>
                <w:lang w:eastAsia="fr-FR"/>
              </w:rPr>
            </w:pPr>
          </w:p>
        </w:tc>
        <w:tc>
          <w:tcPr>
            <w:tcW w:w="1422" w:type="dxa"/>
            <w:tcBorders>
              <w:top w:val="nil"/>
              <w:left w:val="nil"/>
              <w:bottom w:val="single" w:sz="4" w:space="0" w:color="auto"/>
              <w:right w:val="single" w:sz="4" w:space="0" w:color="auto"/>
            </w:tcBorders>
            <w:shd w:val="clear" w:color="auto" w:fill="auto"/>
            <w:noWrap/>
            <w:vAlign w:val="bottom"/>
            <w:hideMark/>
          </w:tcPr>
          <w:p w:rsidR="000E2BC7" w:rsidRPr="000C32C4" w:rsidRDefault="000E2BC7" w:rsidP="00972C93">
            <w:pPr>
              <w:spacing w:after="0" w:line="240" w:lineRule="auto"/>
              <w:jc w:val="right"/>
              <w:rPr>
                <w:rFonts w:ascii="Calibri" w:eastAsia="Times New Roman" w:hAnsi="Calibri" w:cs="Times New Roman"/>
                <w:color w:val="000000"/>
                <w:sz w:val="18"/>
                <w:szCs w:val="18"/>
                <w:lang w:eastAsia="fr-FR"/>
              </w:rPr>
            </w:pPr>
            <w:r w:rsidRPr="000C32C4">
              <w:rPr>
                <w:rFonts w:ascii="Calibri" w:eastAsia="Times New Roman" w:hAnsi="Calibri" w:cs="Times New Roman"/>
                <w:color w:val="000000"/>
                <w:sz w:val="18"/>
                <w:szCs w:val="18"/>
                <w:lang w:eastAsia="fr-FR"/>
              </w:rPr>
              <w:t>2 112 000 000</w:t>
            </w:r>
          </w:p>
        </w:tc>
      </w:tr>
    </w:tbl>
    <w:p w:rsidR="000E2BC7" w:rsidRDefault="000E2BC7" w:rsidP="000E2BC7">
      <w:pPr>
        <w:spacing w:line="240" w:lineRule="auto"/>
        <w:rPr>
          <w:sz w:val="16"/>
          <w:szCs w:val="16"/>
        </w:rPr>
      </w:pPr>
      <w:r w:rsidRPr="009F0B7B">
        <w:rPr>
          <w:sz w:val="16"/>
          <w:szCs w:val="16"/>
        </w:rPr>
        <w:t>Source</w:t>
      </w:r>
      <w:r>
        <w:rPr>
          <w:sz w:val="16"/>
          <w:szCs w:val="16"/>
        </w:rPr>
        <w:t> </w:t>
      </w:r>
      <w:r w:rsidRPr="009F0B7B">
        <w:rPr>
          <w:sz w:val="16"/>
          <w:szCs w:val="16"/>
        </w:rPr>
        <w:t>: Bureau OMS pays</w:t>
      </w:r>
    </w:p>
    <w:p w:rsidR="000C32C4" w:rsidRDefault="000C32C4" w:rsidP="000C32C4">
      <w:pPr>
        <w:spacing w:line="240" w:lineRule="auto"/>
        <w:rPr>
          <w:sz w:val="16"/>
          <w:szCs w:val="16"/>
        </w:rPr>
      </w:pPr>
    </w:p>
    <w:sectPr w:rsidR="000C32C4" w:rsidSect="000E2BC7">
      <w:footerReference w:type="default" r:id="rId15"/>
      <w:pgSz w:w="11906" w:h="16838"/>
      <w:pgMar w:top="284" w:right="794" w:bottom="5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9C7" w:rsidRDefault="004819C7" w:rsidP="00346B7E">
      <w:pPr>
        <w:spacing w:after="0" w:line="240" w:lineRule="auto"/>
      </w:pPr>
      <w:r>
        <w:separator/>
      </w:r>
    </w:p>
  </w:endnote>
  <w:endnote w:type="continuationSeparator" w:id="0">
    <w:p w:rsidR="004819C7" w:rsidRDefault="004819C7" w:rsidP="00346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086"/>
      <w:gridCol w:w="9391"/>
    </w:tblGrid>
    <w:tr w:rsidR="00944608">
      <w:tc>
        <w:tcPr>
          <w:tcW w:w="918" w:type="dxa"/>
        </w:tcPr>
        <w:p w:rsidR="00944608" w:rsidRDefault="00944608">
          <w:pPr>
            <w:pStyle w:val="Fuzeile"/>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1A02B2" w:rsidRPr="001A02B2">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t>6</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944608" w:rsidRDefault="00944608">
          <w:pPr>
            <w:pStyle w:val="Fuzeile"/>
          </w:pPr>
        </w:p>
      </w:tc>
    </w:tr>
  </w:tbl>
  <w:p w:rsidR="00944608" w:rsidRDefault="0094460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9C7" w:rsidRDefault="004819C7" w:rsidP="00346B7E">
      <w:pPr>
        <w:spacing w:after="0" w:line="240" w:lineRule="auto"/>
      </w:pPr>
      <w:r>
        <w:separator/>
      </w:r>
    </w:p>
  </w:footnote>
  <w:footnote w:type="continuationSeparator" w:id="0">
    <w:p w:rsidR="004819C7" w:rsidRDefault="004819C7" w:rsidP="00346B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37D17"/>
    <w:multiLevelType w:val="hybridMultilevel"/>
    <w:tmpl w:val="14CACD9C"/>
    <w:lvl w:ilvl="0" w:tplc="E426042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555169E"/>
    <w:multiLevelType w:val="hybridMultilevel"/>
    <w:tmpl w:val="18F83C3A"/>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020E13"/>
    <w:multiLevelType w:val="hybridMultilevel"/>
    <w:tmpl w:val="82DA7D64"/>
    <w:lvl w:ilvl="0" w:tplc="8272D622">
      <w:start w:val="1"/>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3">
    <w:nsid w:val="1C6D32AC"/>
    <w:multiLevelType w:val="hybridMultilevel"/>
    <w:tmpl w:val="F9C8F364"/>
    <w:lvl w:ilvl="0" w:tplc="C1CA1E9E">
      <w:start w:val="1"/>
      <w:numFmt w:val="decimal"/>
      <w:lvlText w:val="%1)"/>
      <w:lvlJc w:val="left"/>
      <w:pPr>
        <w:ind w:left="1065" w:hanging="360"/>
      </w:pPr>
      <w:rPr>
        <w:rFonts w:hint="default"/>
        <w:sz w:val="20"/>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4">
    <w:nsid w:val="2A79181C"/>
    <w:multiLevelType w:val="hybridMultilevel"/>
    <w:tmpl w:val="C9E4E666"/>
    <w:lvl w:ilvl="0" w:tplc="6C3A602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D6D77E2"/>
    <w:multiLevelType w:val="hybridMultilevel"/>
    <w:tmpl w:val="28467FD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E6336A7"/>
    <w:multiLevelType w:val="hybridMultilevel"/>
    <w:tmpl w:val="1ABC01B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1FD48E8"/>
    <w:multiLevelType w:val="hybridMultilevel"/>
    <w:tmpl w:val="40CAE070"/>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46225A50"/>
    <w:multiLevelType w:val="hybridMultilevel"/>
    <w:tmpl w:val="A6327FE8"/>
    <w:lvl w:ilvl="0" w:tplc="C04EE2E2">
      <w:start w:val="1"/>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9">
    <w:nsid w:val="4BCA5714"/>
    <w:multiLevelType w:val="hybridMultilevel"/>
    <w:tmpl w:val="8C3098F4"/>
    <w:lvl w:ilvl="0" w:tplc="E98EAE3A">
      <w:start w:val="1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EA54963"/>
    <w:multiLevelType w:val="hybridMultilevel"/>
    <w:tmpl w:val="6556F9C2"/>
    <w:lvl w:ilvl="0" w:tplc="7E6EB4A4">
      <w:start w:val="1"/>
      <w:numFmt w:val="decimal"/>
      <w:lvlText w:val="%1)"/>
      <w:lvlJc w:val="left"/>
      <w:pPr>
        <w:ind w:left="1080" w:hanging="360"/>
      </w:pPr>
      <w:rPr>
        <w:rFonts w:hint="default"/>
        <w:b/>
        <w:u w:val="singl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nsid w:val="53F63998"/>
    <w:multiLevelType w:val="hybridMultilevel"/>
    <w:tmpl w:val="9E546EEC"/>
    <w:lvl w:ilvl="0" w:tplc="6B28481A">
      <w:start w:val="1"/>
      <w:numFmt w:val="upperRoman"/>
      <w:lvlText w:val="%1)"/>
      <w:lvlJc w:val="left"/>
      <w:pPr>
        <w:ind w:left="2148" w:hanging="720"/>
      </w:pPr>
      <w:rPr>
        <w:rFonts w:hint="default"/>
      </w:rPr>
    </w:lvl>
    <w:lvl w:ilvl="1" w:tplc="040C0019" w:tentative="1">
      <w:start w:val="1"/>
      <w:numFmt w:val="lowerLetter"/>
      <w:lvlText w:val="%2."/>
      <w:lvlJc w:val="left"/>
      <w:pPr>
        <w:ind w:left="2508" w:hanging="360"/>
      </w:pPr>
    </w:lvl>
    <w:lvl w:ilvl="2" w:tplc="040C001B" w:tentative="1">
      <w:start w:val="1"/>
      <w:numFmt w:val="lowerRoman"/>
      <w:lvlText w:val="%3."/>
      <w:lvlJc w:val="right"/>
      <w:pPr>
        <w:ind w:left="3228" w:hanging="180"/>
      </w:pPr>
    </w:lvl>
    <w:lvl w:ilvl="3" w:tplc="040C000F" w:tentative="1">
      <w:start w:val="1"/>
      <w:numFmt w:val="decimal"/>
      <w:lvlText w:val="%4."/>
      <w:lvlJc w:val="left"/>
      <w:pPr>
        <w:ind w:left="3948" w:hanging="360"/>
      </w:pPr>
    </w:lvl>
    <w:lvl w:ilvl="4" w:tplc="040C0019" w:tentative="1">
      <w:start w:val="1"/>
      <w:numFmt w:val="lowerLetter"/>
      <w:lvlText w:val="%5."/>
      <w:lvlJc w:val="left"/>
      <w:pPr>
        <w:ind w:left="4668" w:hanging="360"/>
      </w:pPr>
    </w:lvl>
    <w:lvl w:ilvl="5" w:tplc="040C001B" w:tentative="1">
      <w:start w:val="1"/>
      <w:numFmt w:val="lowerRoman"/>
      <w:lvlText w:val="%6."/>
      <w:lvlJc w:val="right"/>
      <w:pPr>
        <w:ind w:left="5388" w:hanging="180"/>
      </w:pPr>
    </w:lvl>
    <w:lvl w:ilvl="6" w:tplc="040C000F" w:tentative="1">
      <w:start w:val="1"/>
      <w:numFmt w:val="decimal"/>
      <w:lvlText w:val="%7."/>
      <w:lvlJc w:val="left"/>
      <w:pPr>
        <w:ind w:left="6108" w:hanging="360"/>
      </w:pPr>
    </w:lvl>
    <w:lvl w:ilvl="7" w:tplc="040C0019" w:tentative="1">
      <w:start w:val="1"/>
      <w:numFmt w:val="lowerLetter"/>
      <w:lvlText w:val="%8."/>
      <w:lvlJc w:val="left"/>
      <w:pPr>
        <w:ind w:left="6828" w:hanging="360"/>
      </w:pPr>
    </w:lvl>
    <w:lvl w:ilvl="8" w:tplc="040C001B" w:tentative="1">
      <w:start w:val="1"/>
      <w:numFmt w:val="lowerRoman"/>
      <w:lvlText w:val="%9."/>
      <w:lvlJc w:val="right"/>
      <w:pPr>
        <w:ind w:left="7548" w:hanging="180"/>
      </w:pPr>
    </w:lvl>
  </w:abstractNum>
  <w:abstractNum w:abstractNumId="12">
    <w:nsid w:val="54550B4E"/>
    <w:multiLevelType w:val="hybridMultilevel"/>
    <w:tmpl w:val="FF1A46B8"/>
    <w:lvl w:ilvl="0" w:tplc="E3C0E72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F342768"/>
    <w:multiLevelType w:val="hybridMultilevel"/>
    <w:tmpl w:val="9080F472"/>
    <w:lvl w:ilvl="0" w:tplc="F634C4CE">
      <w:start w:val="1"/>
      <w:numFmt w:val="upperRoman"/>
      <w:lvlText w:val="%1)"/>
      <w:lvlJc w:val="left"/>
      <w:pPr>
        <w:ind w:left="1428" w:hanging="72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4">
    <w:nsid w:val="69B51165"/>
    <w:multiLevelType w:val="hybridMultilevel"/>
    <w:tmpl w:val="2D94EDD2"/>
    <w:lvl w:ilvl="0" w:tplc="040C0017">
      <w:start w:val="1"/>
      <w:numFmt w:val="lowerLetter"/>
      <w:lvlText w:val="%1)"/>
      <w:lvlJc w:val="left"/>
      <w:pPr>
        <w:ind w:left="1353" w:hanging="360"/>
      </w:pPr>
      <w:rPr>
        <w:rFonts w:hint="default"/>
      </w:r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15">
    <w:nsid w:val="76974FD1"/>
    <w:multiLevelType w:val="hybridMultilevel"/>
    <w:tmpl w:val="53BCBD10"/>
    <w:lvl w:ilvl="0" w:tplc="E3C0E726">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AC119D6"/>
    <w:multiLevelType w:val="hybridMultilevel"/>
    <w:tmpl w:val="C6729698"/>
    <w:lvl w:ilvl="0" w:tplc="BF466EE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CBC0905"/>
    <w:multiLevelType w:val="hybridMultilevel"/>
    <w:tmpl w:val="7ADA91D4"/>
    <w:lvl w:ilvl="0" w:tplc="E3C0E726">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D0879BC"/>
    <w:multiLevelType w:val="hybridMultilevel"/>
    <w:tmpl w:val="1ABC01B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15"/>
  </w:num>
  <w:num w:numId="5">
    <w:abstractNumId w:val="10"/>
  </w:num>
  <w:num w:numId="6">
    <w:abstractNumId w:val="18"/>
  </w:num>
  <w:num w:numId="7">
    <w:abstractNumId w:val="16"/>
  </w:num>
  <w:num w:numId="8">
    <w:abstractNumId w:val="6"/>
  </w:num>
  <w:num w:numId="9">
    <w:abstractNumId w:val="14"/>
  </w:num>
  <w:num w:numId="10">
    <w:abstractNumId w:val="5"/>
  </w:num>
  <w:num w:numId="11">
    <w:abstractNumId w:val="9"/>
  </w:num>
  <w:num w:numId="12">
    <w:abstractNumId w:val="7"/>
  </w:num>
  <w:num w:numId="13">
    <w:abstractNumId w:val="13"/>
  </w:num>
  <w:num w:numId="14">
    <w:abstractNumId w:val="11"/>
  </w:num>
  <w:num w:numId="15">
    <w:abstractNumId w:val="3"/>
  </w:num>
  <w:num w:numId="16">
    <w:abstractNumId w:val="2"/>
  </w:num>
  <w:num w:numId="17">
    <w:abstractNumId w:val="8"/>
  </w:num>
  <w:num w:numId="18">
    <w:abstractNumId w:val="17"/>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145"/>
    <w:rsid w:val="00034687"/>
    <w:rsid w:val="000416CE"/>
    <w:rsid w:val="00041A82"/>
    <w:rsid w:val="0005612E"/>
    <w:rsid w:val="000737E3"/>
    <w:rsid w:val="00073B07"/>
    <w:rsid w:val="00075DFE"/>
    <w:rsid w:val="00080787"/>
    <w:rsid w:val="0009317D"/>
    <w:rsid w:val="000A3F2E"/>
    <w:rsid w:val="000B7AE4"/>
    <w:rsid w:val="000C32C4"/>
    <w:rsid w:val="000D3672"/>
    <w:rsid w:val="000E25D9"/>
    <w:rsid w:val="000E2BC7"/>
    <w:rsid w:val="000E48D4"/>
    <w:rsid w:val="000F42F0"/>
    <w:rsid w:val="0010219A"/>
    <w:rsid w:val="001105D6"/>
    <w:rsid w:val="00112F45"/>
    <w:rsid w:val="00115B5E"/>
    <w:rsid w:val="00130A2A"/>
    <w:rsid w:val="00134F0F"/>
    <w:rsid w:val="0016530C"/>
    <w:rsid w:val="00170242"/>
    <w:rsid w:val="001875EA"/>
    <w:rsid w:val="001914C5"/>
    <w:rsid w:val="001A02B2"/>
    <w:rsid w:val="001B1A2E"/>
    <w:rsid w:val="001D0645"/>
    <w:rsid w:val="001D787D"/>
    <w:rsid w:val="001F0BE9"/>
    <w:rsid w:val="0022332D"/>
    <w:rsid w:val="00223FF5"/>
    <w:rsid w:val="00226029"/>
    <w:rsid w:val="00240CDD"/>
    <w:rsid w:val="002452D3"/>
    <w:rsid w:val="002525E4"/>
    <w:rsid w:val="00253517"/>
    <w:rsid w:val="00265BA1"/>
    <w:rsid w:val="00266F04"/>
    <w:rsid w:val="00293345"/>
    <w:rsid w:val="002B638F"/>
    <w:rsid w:val="002C0A58"/>
    <w:rsid w:val="002C2D93"/>
    <w:rsid w:val="002C6DA2"/>
    <w:rsid w:val="002E21FF"/>
    <w:rsid w:val="002E79A0"/>
    <w:rsid w:val="002F2CD5"/>
    <w:rsid w:val="002F5548"/>
    <w:rsid w:val="002F7471"/>
    <w:rsid w:val="00303881"/>
    <w:rsid w:val="00312A26"/>
    <w:rsid w:val="00321125"/>
    <w:rsid w:val="0032355C"/>
    <w:rsid w:val="00323D41"/>
    <w:rsid w:val="003251F5"/>
    <w:rsid w:val="00341371"/>
    <w:rsid w:val="003428E8"/>
    <w:rsid w:val="00346B7E"/>
    <w:rsid w:val="00351ED2"/>
    <w:rsid w:val="003560FB"/>
    <w:rsid w:val="00360FD8"/>
    <w:rsid w:val="00361E1F"/>
    <w:rsid w:val="00365735"/>
    <w:rsid w:val="00371282"/>
    <w:rsid w:val="003833E4"/>
    <w:rsid w:val="003A4BA6"/>
    <w:rsid w:val="003A528B"/>
    <w:rsid w:val="003B56F4"/>
    <w:rsid w:val="003D06A9"/>
    <w:rsid w:val="003D43A3"/>
    <w:rsid w:val="003D4ED2"/>
    <w:rsid w:val="003D70FE"/>
    <w:rsid w:val="003E39D6"/>
    <w:rsid w:val="003F4A66"/>
    <w:rsid w:val="00404946"/>
    <w:rsid w:val="0040699B"/>
    <w:rsid w:val="00421C86"/>
    <w:rsid w:val="004314DD"/>
    <w:rsid w:val="004501E9"/>
    <w:rsid w:val="00461D95"/>
    <w:rsid w:val="00464E8B"/>
    <w:rsid w:val="0046559B"/>
    <w:rsid w:val="004665F9"/>
    <w:rsid w:val="004819C7"/>
    <w:rsid w:val="00482C6B"/>
    <w:rsid w:val="00493E8C"/>
    <w:rsid w:val="00496960"/>
    <w:rsid w:val="004C0DF1"/>
    <w:rsid w:val="004D603E"/>
    <w:rsid w:val="004D612B"/>
    <w:rsid w:val="004E2069"/>
    <w:rsid w:val="004F4E7E"/>
    <w:rsid w:val="005022C8"/>
    <w:rsid w:val="00506CD8"/>
    <w:rsid w:val="005120F9"/>
    <w:rsid w:val="005214D9"/>
    <w:rsid w:val="005351C3"/>
    <w:rsid w:val="005521EB"/>
    <w:rsid w:val="0057010C"/>
    <w:rsid w:val="005820E3"/>
    <w:rsid w:val="00584497"/>
    <w:rsid w:val="005909CE"/>
    <w:rsid w:val="005B1B1C"/>
    <w:rsid w:val="005E4828"/>
    <w:rsid w:val="005E68A3"/>
    <w:rsid w:val="005F46FE"/>
    <w:rsid w:val="006137C4"/>
    <w:rsid w:val="00623D11"/>
    <w:rsid w:val="00632FEE"/>
    <w:rsid w:val="006365CC"/>
    <w:rsid w:val="006408AE"/>
    <w:rsid w:val="00642BC3"/>
    <w:rsid w:val="00646ED6"/>
    <w:rsid w:val="0066005B"/>
    <w:rsid w:val="00677BDD"/>
    <w:rsid w:val="00683BB9"/>
    <w:rsid w:val="006A29F9"/>
    <w:rsid w:val="006A5606"/>
    <w:rsid w:val="006A6E35"/>
    <w:rsid w:val="006B56B4"/>
    <w:rsid w:val="006C3704"/>
    <w:rsid w:val="006C79A5"/>
    <w:rsid w:val="006E6B7D"/>
    <w:rsid w:val="006E72E6"/>
    <w:rsid w:val="006F26E5"/>
    <w:rsid w:val="0071325D"/>
    <w:rsid w:val="00715ADC"/>
    <w:rsid w:val="007178A1"/>
    <w:rsid w:val="007229A4"/>
    <w:rsid w:val="00723C69"/>
    <w:rsid w:val="007246EF"/>
    <w:rsid w:val="00724776"/>
    <w:rsid w:val="00727A58"/>
    <w:rsid w:val="00732B13"/>
    <w:rsid w:val="00735545"/>
    <w:rsid w:val="0073686A"/>
    <w:rsid w:val="007414EA"/>
    <w:rsid w:val="00747A11"/>
    <w:rsid w:val="00750C1A"/>
    <w:rsid w:val="00780BDC"/>
    <w:rsid w:val="00781A78"/>
    <w:rsid w:val="00782772"/>
    <w:rsid w:val="00783A02"/>
    <w:rsid w:val="007928BF"/>
    <w:rsid w:val="007A3AED"/>
    <w:rsid w:val="007A5964"/>
    <w:rsid w:val="007A6112"/>
    <w:rsid w:val="007B0C0D"/>
    <w:rsid w:val="007B0DB7"/>
    <w:rsid w:val="007B7B43"/>
    <w:rsid w:val="007C0B40"/>
    <w:rsid w:val="007D07C0"/>
    <w:rsid w:val="007D179B"/>
    <w:rsid w:val="007D7F28"/>
    <w:rsid w:val="007E26A6"/>
    <w:rsid w:val="007E5997"/>
    <w:rsid w:val="00812B4E"/>
    <w:rsid w:val="00823D28"/>
    <w:rsid w:val="00830A04"/>
    <w:rsid w:val="00830D30"/>
    <w:rsid w:val="00850BE5"/>
    <w:rsid w:val="00877C6E"/>
    <w:rsid w:val="0088070F"/>
    <w:rsid w:val="008874D0"/>
    <w:rsid w:val="008B471B"/>
    <w:rsid w:val="008B5629"/>
    <w:rsid w:val="008C2DCD"/>
    <w:rsid w:val="008C67B0"/>
    <w:rsid w:val="008D02CC"/>
    <w:rsid w:val="008D5FA8"/>
    <w:rsid w:val="008E611C"/>
    <w:rsid w:val="008F4403"/>
    <w:rsid w:val="00905AB7"/>
    <w:rsid w:val="009110A9"/>
    <w:rsid w:val="009135BC"/>
    <w:rsid w:val="00921C9A"/>
    <w:rsid w:val="00922545"/>
    <w:rsid w:val="00925101"/>
    <w:rsid w:val="009325CA"/>
    <w:rsid w:val="00933EF3"/>
    <w:rsid w:val="00944608"/>
    <w:rsid w:val="00947CD4"/>
    <w:rsid w:val="00960B08"/>
    <w:rsid w:val="00972C93"/>
    <w:rsid w:val="0099539C"/>
    <w:rsid w:val="009B1010"/>
    <w:rsid w:val="009C0383"/>
    <w:rsid w:val="009D1950"/>
    <w:rsid w:val="009D2DBA"/>
    <w:rsid w:val="009E0562"/>
    <w:rsid w:val="009E4F5C"/>
    <w:rsid w:val="009F0031"/>
    <w:rsid w:val="009F0B7B"/>
    <w:rsid w:val="009F661D"/>
    <w:rsid w:val="009F6BD8"/>
    <w:rsid w:val="00A0246F"/>
    <w:rsid w:val="00A25E8F"/>
    <w:rsid w:val="00A2675E"/>
    <w:rsid w:val="00A41A17"/>
    <w:rsid w:val="00A522EB"/>
    <w:rsid w:val="00A603A3"/>
    <w:rsid w:val="00A66FC3"/>
    <w:rsid w:val="00A7004A"/>
    <w:rsid w:val="00A77498"/>
    <w:rsid w:val="00A810BB"/>
    <w:rsid w:val="00A810C1"/>
    <w:rsid w:val="00A9465B"/>
    <w:rsid w:val="00AB5940"/>
    <w:rsid w:val="00AC2D3A"/>
    <w:rsid w:val="00AE0946"/>
    <w:rsid w:val="00B13374"/>
    <w:rsid w:val="00B149B9"/>
    <w:rsid w:val="00B309C1"/>
    <w:rsid w:val="00B60904"/>
    <w:rsid w:val="00B62679"/>
    <w:rsid w:val="00B92918"/>
    <w:rsid w:val="00B93A32"/>
    <w:rsid w:val="00BA4410"/>
    <w:rsid w:val="00BA7A51"/>
    <w:rsid w:val="00BB4864"/>
    <w:rsid w:val="00BC32ED"/>
    <w:rsid w:val="00BC4E06"/>
    <w:rsid w:val="00BD4A35"/>
    <w:rsid w:val="00BE4273"/>
    <w:rsid w:val="00BE6B52"/>
    <w:rsid w:val="00BF04E1"/>
    <w:rsid w:val="00C07432"/>
    <w:rsid w:val="00C10370"/>
    <w:rsid w:val="00C21A32"/>
    <w:rsid w:val="00C22BD2"/>
    <w:rsid w:val="00C2682F"/>
    <w:rsid w:val="00C478EE"/>
    <w:rsid w:val="00C50571"/>
    <w:rsid w:val="00C519A0"/>
    <w:rsid w:val="00C822E7"/>
    <w:rsid w:val="00CA30D5"/>
    <w:rsid w:val="00CA5057"/>
    <w:rsid w:val="00CB0873"/>
    <w:rsid w:val="00CE3DFF"/>
    <w:rsid w:val="00CF55E3"/>
    <w:rsid w:val="00CF654C"/>
    <w:rsid w:val="00CF6E65"/>
    <w:rsid w:val="00D00C12"/>
    <w:rsid w:val="00D058E8"/>
    <w:rsid w:val="00D109D3"/>
    <w:rsid w:val="00D35D70"/>
    <w:rsid w:val="00D36B79"/>
    <w:rsid w:val="00D379EB"/>
    <w:rsid w:val="00D80ADC"/>
    <w:rsid w:val="00D81757"/>
    <w:rsid w:val="00D85026"/>
    <w:rsid w:val="00D92363"/>
    <w:rsid w:val="00DD5E23"/>
    <w:rsid w:val="00DD6AAC"/>
    <w:rsid w:val="00E101B1"/>
    <w:rsid w:val="00E13554"/>
    <w:rsid w:val="00E17CE1"/>
    <w:rsid w:val="00E44132"/>
    <w:rsid w:val="00E4796C"/>
    <w:rsid w:val="00E5460B"/>
    <w:rsid w:val="00E57E18"/>
    <w:rsid w:val="00E8301F"/>
    <w:rsid w:val="00E86966"/>
    <w:rsid w:val="00E925A6"/>
    <w:rsid w:val="00E97CBF"/>
    <w:rsid w:val="00EB057E"/>
    <w:rsid w:val="00EC25BC"/>
    <w:rsid w:val="00ED76AD"/>
    <w:rsid w:val="00EE0AB4"/>
    <w:rsid w:val="00EF2A07"/>
    <w:rsid w:val="00EF3F53"/>
    <w:rsid w:val="00F015C8"/>
    <w:rsid w:val="00F22D28"/>
    <w:rsid w:val="00F32126"/>
    <w:rsid w:val="00F358ED"/>
    <w:rsid w:val="00F40BF6"/>
    <w:rsid w:val="00F467CD"/>
    <w:rsid w:val="00F624AA"/>
    <w:rsid w:val="00F64516"/>
    <w:rsid w:val="00F65127"/>
    <w:rsid w:val="00F71A41"/>
    <w:rsid w:val="00F74C75"/>
    <w:rsid w:val="00F81C71"/>
    <w:rsid w:val="00F82656"/>
    <w:rsid w:val="00F85D37"/>
    <w:rsid w:val="00F9055D"/>
    <w:rsid w:val="00F96145"/>
    <w:rsid w:val="00FA6759"/>
    <w:rsid w:val="00FD4B45"/>
    <w:rsid w:val="00FD681F"/>
    <w:rsid w:val="00FF32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727A58"/>
    <w:pPr>
      <w:ind w:left="720"/>
      <w:contextualSpacing/>
    </w:pPr>
  </w:style>
  <w:style w:type="paragraph" w:styleId="Kopfzeile">
    <w:name w:val="header"/>
    <w:basedOn w:val="Standard"/>
    <w:link w:val="KopfzeileZchn"/>
    <w:uiPriority w:val="99"/>
    <w:unhideWhenUsed/>
    <w:rsid w:val="00346B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46B7E"/>
  </w:style>
  <w:style w:type="paragraph" w:styleId="Fuzeile">
    <w:name w:val="footer"/>
    <w:basedOn w:val="Standard"/>
    <w:link w:val="FuzeileZchn"/>
    <w:uiPriority w:val="99"/>
    <w:unhideWhenUsed/>
    <w:rsid w:val="00346B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46B7E"/>
  </w:style>
  <w:style w:type="paragraph" w:styleId="Sprechblasentext">
    <w:name w:val="Balloon Text"/>
    <w:basedOn w:val="Standard"/>
    <w:link w:val="SprechblasentextZchn"/>
    <w:uiPriority w:val="99"/>
    <w:semiHidden/>
    <w:unhideWhenUsed/>
    <w:rsid w:val="007A59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A5964"/>
    <w:rPr>
      <w:rFonts w:ascii="Tahoma" w:hAnsi="Tahoma" w:cs="Tahoma"/>
      <w:sz w:val="16"/>
      <w:szCs w:val="16"/>
    </w:rPr>
  </w:style>
  <w:style w:type="table" w:styleId="Tabellenraster">
    <w:name w:val="Table Grid"/>
    <w:basedOn w:val="NormaleTabelle"/>
    <w:uiPriority w:val="59"/>
    <w:rsid w:val="00BA44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F71A4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efault">
    <w:name w:val="Default"/>
    <w:rsid w:val="00C21A32"/>
    <w:pPr>
      <w:autoSpaceDE w:val="0"/>
      <w:autoSpaceDN w:val="0"/>
      <w:adjustRightInd w:val="0"/>
      <w:spacing w:after="0" w:line="240" w:lineRule="auto"/>
    </w:pPr>
    <w:rPr>
      <w:rFonts w:ascii="Calibri" w:hAnsi="Calibri" w:cs="Calibri"/>
      <w:color w:val="000000"/>
      <w:sz w:val="24"/>
      <w:szCs w:val="24"/>
    </w:rPr>
  </w:style>
  <w:style w:type="character" w:styleId="Kommentarzeichen">
    <w:name w:val="annotation reference"/>
    <w:basedOn w:val="Absatz-Standardschriftart"/>
    <w:uiPriority w:val="99"/>
    <w:semiHidden/>
    <w:unhideWhenUsed/>
    <w:rsid w:val="00812B4E"/>
    <w:rPr>
      <w:sz w:val="16"/>
      <w:szCs w:val="16"/>
    </w:rPr>
  </w:style>
  <w:style w:type="paragraph" w:styleId="Kommentartext">
    <w:name w:val="annotation text"/>
    <w:basedOn w:val="Standard"/>
    <w:link w:val="KommentartextZchn"/>
    <w:uiPriority w:val="99"/>
    <w:semiHidden/>
    <w:unhideWhenUsed/>
    <w:rsid w:val="00812B4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2B4E"/>
    <w:rPr>
      <w:sz w:val="20"/>
      <w:szCs w:val="20"/>
    </w:rPr>
  </w:style>
  <w:style w:type="paragraph" w:styleId="Kommentarthema">
    <w:name w:val="annotation subject"/>
    <w:basedOn w:val="Kommentartext"/>
    <w:next w:val="Kommentartext"/>
    <w:link w:val="KommentarthemaZchn"/>
    <w:uiPriority w:val="99"/>
    <w:semiHidden/>
    <w:unhideWhenUsed/>
    <w:rsid w:val="00812B4E"/>
    <w:rPr>
      <w:b/>
      <w:bCs/>
    </w:rPr>
  </w:style>
  <w:style w:type="character" w:customStyle="1" w:styleId="KommentarthemaZchn">
    <w:name w:val="Kommentarthema Zchn"/>
    <w:basedOn w:val="KommentartextZchn"/>
    <w:link w:val="Kommentarthema"/>
    <w:uiPriority w:val="99"/>
    <w:semiHidden/>
    <w:rsid w:val="00812B4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727A58"/>
    <w:pPr>
      <w:ind w:left="720"/>
      <w:contextualSpacing/>
    </w:pPr>
  </w:style>
  <w:style w:type="paragraph" w:styleId="Kopfzeile">
    <w:name w:val="header"/>
    <w:basedOn w:val="Standard"/>
    <w:link w:val="KopfzeileZchn"/>
    <w:uiPriority w:val="99"/>
    <w:unhideWhenUsed/>
    <w:rsid w:val="00346B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46B7E"/>
  </w:style>
  <w:style w:type="paragraph" w:styleId="Fuzeile">
    <w:name w:val="footer"/>
    <w:basedOn w:val="Standard"/>
    <w:link w:val="FuzeileZchn"/>
    <w:uiPriority w:val="99"/>
    <w:unhideWhenUsed/>
    <w:rsid w:val="00346B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46B7E"/>
  </w:style>
  <w:style w:type="paragraph" w:styleId="Sprechblasentext">
    <w:name w:val="Balloon Text"/>
    <w:basedOn w:val="Standard"/>
    <w:link w:val="SprechblasentextZchn"/>
    <w:uiPriority w:val="99"/>
    <w:semiHidden/>
    <w:unhideWhenUsed/>
    <w:rsid w:val="007A59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A5964"/>
    <w:rPr>
      <w:rFonts w:ascii="Tahoma" w:hAnsi="Tahoma" w:cs="Tahoma"/>
      <w:sz w:val="16"/>
      <w:szCs w:val="16"/>
    </w:rPr>
  </w:style>
  <w:style w:type="table" w:styleId="Tabellenraster">
    <w:name w:val="Table Grid"/>
    <w:basedOn w:val="NormaleTabelle"/>
    <w:uiPriority w:val="59"/>
    <w:rsid w:val="00BA44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F71A4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efault">
    <w:name w:val="Default"/>
    <w:rsid w:val="00C21A32"/>
    <w:pPr>
      <w:autoSpaceDE w:val="0"/>
      <w:autoSpaceDN w:val="0"/>
      <w:adjustRightInd w:val="0"/>
      <w:spacing w:after="0" w:line="240" w:lineRule="auto"/>
    </w:pPr>
    <w:rPr>
      <w:rFonts w:ascii="Calibri" w:hAnsi="Calibri" w:cs="Calibri"/>
      <w:color w:val="000000"/>
      <w:sz w:val="24"/>
      <w:szCs w:val="24"/>
    </w:rPr>
  </w:style>
  <w:style w:type="character" w:styleId="Kommentarzeichen">
    <w:name w:val="annotation reference"/>
    <w:basedOn w:val="Absatz-Standardschriftart"/>
    <w:uiPriority w:val="99"/>
    <w:semiHidden/>
    <w:unhideWhenUsed/>
    <w:rsid w:val="00812B4E"/>
    <w:rPr>
      <w:sz w:val="16"/>
      <w:szCs w:val="16"/>
    </w:rPr>
  </w:style>
  <w:style w:type="paragraph" w:styleId="Kommentartext">
    <w:name w:val="annotation text"/>
    <w:basedOn w:val="Standard"/>
    <w:link w:val="KommentartextZchn"/>
    <w:uiPriority w:val="99"/>
    <w:semiHidden/>
    <w:unhideWhenUsed/>
    <w:rsid w:val="00812B4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2B4E"/>
    <w:rPr>
      <w:sz w:val="20"/>
      <w:szCs w:val="20"/>
    </w:rPr>
  </w:style>
  <w:style w:type="paragraph" w:styleId="Kommentarthema">
    <w:name w:val="annotation subject"/>
    <w:basedOn w:val="Kommentartext"/>
    <w:next w:val="Kommentartext"/>
    <w:link w:val="KommentarthemaZchn"/>
    <w:uiPriority w:val="99"/>
    <w:semiHidden/>
    <w:unhideWhenUsed/>
    <w:rsid w:val="00812B4E"/>
    <w:rPr>
      <w:b/>
      <w:bCs/>
    </w:rPr>
  </w:style>
  <w:style w:type="character" w:customStyle="1" w:styleId="KommentarthemaZchn">
    <w:name w:val="Kommentarthema Zchn"/>
    <w:basedOn w:val="KommentartextZchn"/>
    <w:link w:val="Kommentarthema"/>
    <w:uiPriority w:val="99"/>
    <w:semiHidden/>
    <w:rsid w:val="00812B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79288">
      <w:bodyDiv w:val="1"/>
      <w:marLeft w:val="0"/>
      <w:marRight w:val="0"/>
      <w:marTop w:val="0"/>
      <w:marBottom w:val="0"/>
      <w:divBdr>
        <w:top w:val="none" w:sz="0" w:space="0" w:color="auto"/>
        <w:left w:val="none" w:sz="0" w:space="0" w:color="auto"/>
        <w:bottom w:val="none" w:sz="0" w:space="0" w:color="auto"/>
        <w:right w:val="none" w:sz="0" w:space="0" w:color="auto"/>
      </w:divBdr>
    </w:div>
    <w:div w:id="10228604">
      <w:bodyDiv w:val="1"/>
      <w:marLeft w:val="0"/>
      <w:marRight w:val="0"/>
      <w:marTop w:val="0"/>
      <w:marBottom w:val="0"/>
      <w:divBdr>
        <w:top w:val="none" w:sz="0" w:space="0" w:color="auto"/>
        <w:left w:val="none" w:sz="0" w:space="0" w:color="auto"/>
        <w:bottom w:val="none" w:sz="0" w:space="0" w:color="auto"/>
        <w:right w:val="none" w:sz="0" w:space="0" w:color="auto"/>
      </w:divBdr>
    </w:div>
    <w:div w:id="24330340">
      <w:bodyDiv w:val="1"/>
      <w:marLeft w:val="0"/>
      <w:marRight w:val="0"/>
      <w:marTop w:val="0"/>
      <w:marBottom w:val="0"/>
      <w:divBdr>
        <w:top w:val="none" w:sz="0" w:space="0" w:color="auto"/>
        <w:left w:val="none" w:sz="0" w:space="0" w:color="auto"/>
        <w:bottom w:val="none" w:sz="0" w:space="0" w:color="auto"/>
        <w:right w:val="none" w:sz="0" w:space="0" w:color="auto"/>
      </w:divBdr>
    </w:div>
    <w:div w:id="36466209">
      <w:bodyDiv w:val="1"/>
      <w:marLeft w:val="0"/>
      <w:marRight w:val="0"/>
      <w:marTop w:val="0"/>
      <w:marBottom w:val="0"/>
      <w:divBdr>
        <w:top w:val="none" w:sz="0" w:space="0" w:color="auto"/>
        <w:left w:val="none" w:sz="0" w:space="0" w:color="auto"/>
        <w:bottom w:val="none" w:sz="0" w:space="0" w:color="auto"/>
        <w:right w:val="none" w:sz="0" w:space="0" w:color="auto"/>
      </w:divBdr>
    </w:div>
    <w:div w:id="79763097">
      <w:bodyDiv w:val="1"/>
      <w:marLeft w:val="0"/>
      <w:marRight w:val="0"/>
      <w:marTop w:val="0"/>
      <w:marBottom w:val="0"/>
      <w:divBdr>
        <w:top w:val="none" w:sz="0" w:space="0" w:color="auto"/>
        <w:left w:val="none" w:sz="0" w:space="0" w:color="auto"/>
        <w:bottom w:val="none" w:sz="0" w:space="0" w:color="auto"/>
        <w:right w:val="none" w:sz="0" w:space="0" w:color="auto"/>
      </w:divBdr>
    </w:div>
    <w:div w:id="136730222">
      <w:bodyDiv w:val="1"/>
      <w:marLeft w:val="0"/>
      <w:marRight w:val="0"/>
      <w:marTop w:val="0"/>
      <w:marBottom w:val="0"/>
      <w:divBdr>
        <w:top w:val="none" w:sz="0" w:space="0" w:color="auto"/>
        <w:left w:val="none" w:sz="0" w:space="0" w:color="auto"/>
        <w:bottom w:val="none" w:sz="0" w:space="0" w:color="auto"/>
        <w:right w:val="none" w:sz="0" w:space="0" w:color="auto"/>
      </w:divBdr>
    </w:div>
    <w:div w:id="136921336">
      <w:bodyDiv w:val="1"/>
      <w:marLeft w:val="0"/>
      <w:marRight w:val="0"/>
      <w:marTop w:val="0"/>
      <w:marBottom w:val="0"/>
      <w:divBdr>
        <w:top w:val="none" w:sz="0" w:space="0" w:color="auto"/>
        <w:left w:val="none" w:sz="0" w:space="0" w:color="auto"/>
        <w:bottom w:val="none" w:sz="0" w:space="0" w:color="auto"/>
        <w:right w:val="none" w:sz="0" w:space="0" w:color="auto"/>
      </w:divBdr>
    </w:div>
    <w:div w:id="158039797">
      <w:bodyDiv w:val="1"/>
      <w:marLeft w:val="0"/>
      <w:marRight w:val="0"/>
      <w:marTop w:val="0"/>
      <w:marBottom w:val="0"/>
      <w:divBdr>
        <w:top w:val="none" w:sz="0" w:space="0" w:color="auto"/>
        <w:left w:val="none" w:sz="0" w:space="0" w:color="auto"/>
        <w:bottom w:val="none" w:sz="0" w:space="0" w:color="auto"/>
        <w:right w:val="none" w:sz="0" w:space="0" w:color="auto"/>
      </w:divBdr>
    </w:div>
    <w:div w:id="282346656">
      <w:bodyDiv w:val="1"/>
      <w:marLeft w:val="0"/>
      <w:marRight w:val="0"/>
      <w:marTop w:val="0"/>
      <w:marBottom w:val="0"/>
      <w:divBdr>
        <w:top w:val="none" w:sz="0" w:space="0" w:color="auto"/>
        <w:left w:val="none" w:sz="0" w:space="0" w:color="auto"/>
        <w:bottom w:val="none" w:sz="0" w:space="0" w:color="auto"/>
        <w:right w:val="none" w:sz="0" w:space="0" w:color="auto"/>
      </w:divBdr>
    </w:div>
    <w:div w:id="286007142">
      <w:bodyDiv w:val="1"/>
      <w:marLeft w:val="0"/>
      <w:marRight w:val="0"/>
      <w:marTop w:val="0"/>
      <w:marBottom w:val="0"/>
      <w:divBdr>
        <w:top w:val="none" w:sz="0" w:space="0" w:color="auto"/>
        <w:left w:val="none" w:sz="0" w:space="0" w:color="auto"/>
        <w:bottom w:val="none" w:sz="0" w:space="0" w:color="auto"/>
        <w:right w:val="none" w:sz="0" w:space="0" w:color="auto"/>
      </w:divBdr>
    </w:div>
    <w:div w:id="424769919">
      <w:bodyDiv w:val="1"/>
      <w:marLeft w:val="0"/>
      <w:marRight w:val="0"/>
      <w:marTop w:val="0"/>
      <w:marBottom w:val="0"/>
      <w:divBdr>
        <w:top w:val="none" w:sz="0" w:space="0" w:color="auto"/>
        <w:left w:val="none" w:sz="0" w:space="0" w:color="auto"/>
        <w:bottom w:val="none" w:sz="0" w:space="0" w:color="auto"/>
        <w:right w:val="none" w:sz="0" w:space="0" w:color="auto"/>
      </w:divBdr>
    </w:div>
    <w:div w:id="494104532">
      <w:bodyDiv w:val="1"/>
      <w:marLeft w:val="0"/>
      <w:marRight w:val="0"/>
      <w:marTop w:val="0"/>
      <w:marBottom w:val="0"/>
      <w:divBdr>
        <w:top w:val="none" w:sz="0" w:space="0" w:color="auto"/>
        <w:left w:val="none" w:sz="0" w:space="0" w:color="auto"/>
        <w:bottom w:val="none" w:sz="0" w:space="0" w:color="auto"/>
        <w:right w:val="none" w:sz="0" w:space="0" w:color="auto"/>
      </w:divBdr>
    </w:div>
    <w:div w:id="503470600">
      <w:bodyDiv w:val="1"/>
      <w:marLeft w:val="0"/>
      <w:marRight w:val="0"/>
      <w:marTop w:val="0"/>
      <w:marBottom w:val="0"/>
      <w:divBdr>
        <w:top w:val="none" w:sz="0" w:space="0" w:color="auto"/>
        <w:left w:val="none" w:sz="0" w:space="0" w:color="auto"/>
        <w:bottom w:val="none" w:sz="0" w:space="0" w:color="auto"/>
        <w:right w:val="none" w:sz="0" w:space="0" w:color="auto"/>
      </w:divBdr>
    </w:div>
    <w:div w:id="510023677">
      <w:bodyDiv w:val="1"/>
      <w:marLeft w:val="0"/>
      <w:marRight w:val="0"/>
      <w:marTop w:val="0"/>
      <w:marBottom w:val="0"/>
      <w:divBdr>
        <w:top w:val="none" w:sz="0" w:space="0" w:color="auto"/>
        <w:left w:val="none" w:sz="0" w:space="0" w:color="auto"/>
        <w:bottom w:val="none" w:sz="0" w:space="0" w:color="auto"/>
        <w:right w:val="none" w:sz="0" w:space="0" w:color="auto"/>
      </w:divBdr>
    </w:div>
    <w:div w:id="734158039">
      <w:bodyDiv w:val="1"/>
      <w:marLeft w:val="0"/>
      <w:marRight w:val="0"/>
      <w:marTop w:val="0"/>
      <w:marBottom w:val="0"/>
      <w:divBdr>
        <w:top w:val="none" w:sz="0" w:space="0" w:color="auto"/>
        <w:left w:val="none" w:sz="0" w:space="0" w:color="auto"/>
        <w:bottom w:val="none" w:sz="0" w:space="0" w:color="auto"/>
        <w:right w:val="none" w:sz="0" w:space="0" w:color="auto"/>
      </w:divBdr>
    </w:div>
    <w:div w:id="738484778">
      <w:bodyDiv w:val="1"/>
      <w:marLeft w:val="0"/>
      <w:marRight w:val="0"/>
      <w:marTop w:val="0"/>
      <w:marBottom w:val="0"/>
      <w:divBdr>
        <w:top w:val="none" w:sz="0" w:space="0" w:color="auto"/>
        <w:left w:val="none" w:sz="0" w:space="0" w:color="auto"/>
        <w:bottom w:val="none" w:sz="0" w:space="0" w:color="auto"/>
        <w:right w:val="none" w:sz="0" w:space="0" w:color="auto"/>
      </w:divBdr>
    </w:div>
    <w:div w:id="767577926">
      <w:bodyDiv w:val="1"/>
      <w:marLeft w:val="0"/>
      <w:marRight w:val="0"/>
      <w:marTop w:val="0"/>
      <w:marBottom w:val="0"/>
      <w:divBdr>
        <w:top w:val="none" w:sz="0" w:space="0" w:color="auto"/>
        <w:left w:val="none" w:sz="0" w:space="0" w:color="auto"/>
        <w:bottom w:val="none" w:sz="0" w:space="0" w:color="auto"/>
        <w:right w:val="none" w:sz="0" w:space="0" w:color="auto"/>
      </w:divBdr>
    </w:div>
    <w:div w:id="787550046">
      <w:bodyDiv w:val="1"/>
      <w:marLeft w:val="0"/>
      <w:marRight w:val="0"/>
      <w:marTop w:val="0"/>
      <w:marBottom w:val="0"/>
      <w:divBdr>
        <w:top w:val="none" w:sz="0" w:space="0" w:color="auto"/>
        <w:left w:val="none" w:sz="0" w:space="0" w:color="auto"/>
        <w:bottom w:val="none" w:sz="0" w:space="0" w:color="auto"/>
        <w:right w:val="none" w:sz="0" w:space="0" w:color="auto"/>
      </w:divBdr>
    </w:div>
    <w:div w:id="858130464">
      <w:bodyDiv w:val="1"/>
      <w:marLeft w:val="0"/>
      <w:marRight w:val="0"/>
      <w:marTop w:val="0"/>
      <w:marBottom w:val="0"/>
      <w:divBdr>
        <w:top w:val="none" w:sz="0" w:space="0" w:color="auto"/>
        <w:left w:val="none" w:sz="0" w:space="0" w:color="auto"/>
        <w:bottom w:val="none" w:sz="0" w:space="0" w:color="auto"/>
        <w:right w:val="none" w:sz="0" w:space="0" w:color="auto"/>
      </w:divBdr>
    </w:div>
    <w:div w:id="877744533">
      <w:bodyDiv w:val="1"/>
      <w:marLeft w:val="0"/>
      <w:marRight w:val="0"/>
      <w:marTop w:val="0"/>
      <w:marBottom w:val="0"/>
      <w:divBdr>
        <w:top w:val="none" w:sz="0" w:space="0" w:color="auto"/>
        <w:left w:val="none" w:sz="0" w:space="0" w:color="auto"/>
        <w:bottom w:val="none" w:sz="0" w:space="0" w:color="auto"/>
        <w:right w:val="none" w:sz="0" w:space="0" w:color="auto"/>
      </w:divBdr>
    </w:div>
    <w:div w:id="883299070">
      <w:bodyDiv w:val="1"/>
      <w:marLeft w:val="0"/>
      <w:marRight w:val="0"/>
      <w:marTop w:val="0"/>
      <w:marBottom w:val="0"/>
      <w:divBdr>
        <w:top w:val="none" w:sz="0" w:space="0" w:color="auto"/>
        <w:left w:val="none" w:sz="0" w:space="0" w:color="auto"/>
        <w:bottom w:val="none" w:sz="0" w:space="0" w:color="auto"/>
        <w:right w:val="none" w:sz="0" w:space="0" w:color="auto"/>
      </w:divBdr>
    </w:div>
    <w:div w:id="893152948">
      <w:bodyDiv w:val="1"/>
      <w:marLeft w:val="0"/>
      <w:marRight w:val="0"/>
      <w:marTop w:val="0"/>
      <w:marBottom w:val="0"/>
      <w:divBdr>
        <w:top w:val="none" w:sz="0" w:space="0" w:color="auto"/>
        <w:left w:val="none" w:sz="0" w:space="0" w:color="auto"/>
        <w:bottom w:val="none" w:sz="0" w:space="0" w:color="auto"/>
        <w:right w:val="none" w:sz="0" w:space="0" w:color="auto"/>
      </w:divBdr>
    </w:div>
    <w:div w:id="950818138">
      <w:bodyDiv w:val="1"/>
      <w:marLeft w:val="0"/>
      <w:marRight w:val="0"/>
      <w:marTop w:val="0"/>
      <w:marBottom w:val="0"/>
      <w:divBdr>
        <w:top w:val="none" w:sz="0" w:space="0" w:color="auto"/>
        <w:left w:val="none" w:sz="0" w:space="0" w:color="auto"/>
        <w:bottom w:val="none" w:sz="0" w:space="0" w:color="auto"/>
        <w:right w:val="none" w:sz="0" w:space="0" w:color="auto"/>
      </w:divBdr>
    </w:div>
    <w:div w:id="954366522">
      <w:bodyDiv w:val="1"/>
      <w:marLeft w:val="0"/>
      <w:marRight w:val="0"/>
      <w:marTop w:val="0"/>
      <w:marBottom w:val="0"/>
      <w:divBdr>
        <w:top w:val="none" w:sz="0" w:space="0" w:color="auto"/>
        <w:left w:val="none" w:sz="0" w:space="0" w:color="auto"/>
        <w:bottom w:val="none" w:sz="0" w:space="0" w:color="auto"/>
        <w:right w:val="none" w:sz="0" w:space="0" w:color="auto"/>
      </w:divBdr>
    </w:div>
    <w:div w:id="1046955585">
      <w:bodyDiv w:val="1"/>
      <w:marLeft w:val="0"/>
      <w:marRight w:val="0"/>
      <w:marTop w:val="0"/>
      <w:marBottom w:val="0"/>
      <w:divBdr>
        <w:top w:val="none" w:sz="0" w:space="0" w:color="auto"/>
        <w:left w:val="none" w:sz="0" w:space="0" w:color="auto"/>
        <w:bottom w:val="none" w:sz="0" w:space="0" w:color="auto"/>
        <w:right w:val="none" w:sz="0" w:space="0" w:color="auto"/>
      </w:divBdr>
    </w:div>
    <w:div w:id="1098981659">
      <w:bodyDiv w:val="1"/>
      <w:marLeft w:val="0"/>
      <w:marRight w:val="0"/>
      <w:marTop w:val="0"/>
      <w:marBottom w:val="0"/>
      <w:divBdr>
        <w:top w:val="none" w:sz="0" w:space="0" w:color="auto"/>
        <w:left w:val="none" w:sz="0" w:space="0" w:color="auto"/>
        <w:bottom w:val="none" w:sz="0" w:space="0" w:color="auto"/>
        <w:right w:val="none" w:sz="0" w:space="0" w:color="auto"/>
      </w:divBdr>
    </w:div>
    <w:div w:id="1105156551">
      <w:bodyDiv w:val="1"/>
      <w:marLeft w:val="0"/>
      <w:marRight w:val="0"/>
      <w:marTop w:val="0"/>
      <w:marBottom w:val="0"/>
      <w:divBdr>
        <w:top w:val="none" w:sz="0" w:space="0" w:color="auto"/>
        <w:left w:val="none" w:sz="0" w:space="0" w:color="auto"/>
        <w:bottom w:val="none" w:sz="0" w:space="0" w:color="auto"/>
        <w:right w:val="none" w:sz="0" w:space="0" w:color="auto"/>
      </w:divBdr>
    </w:div>
    <w:div w:id="1158576510">
      <w:bodyDiv w:val="1"/>
      <w:marLeft w:val="0"/>
      <w:marRight w:val="0"/>
      <w:marTop w:val="0"/>
      <w:marBottom w:val="0"/>
      <w:divBdr>
        <w:top w:val="none" w:sz="0" w:space="0" w:color="auto"/>
        <w:left w:val="none" w:sz="0" w:space="0" w:color="auto"/>
        <w:bottom w:val="none" w:sz="0" w:space="0" w:color="auto"/>
        <w:right w:val="none" w:sz="0" w:space="0" w:color="auto"/>
      </w:divBdr>
    </w:div>
    <w:div w:id="1161042905">
      <w:bodyDiv w:val="1"/>
      <w:marLeft w:val="0"/>
      <w:marRight w:val="0"/>
      <w:marTop w:val="0"/>
      <w:marBottom w:val="0"/>
      <w:divBdr>
        <w:top w:val="none" w:sz="0" w:space="0" w:color="auto"/>
        <w:left w:val="none" w:sz="0" w:space="0" w:color="auto"/>
        <w:bottom w:val="none" w:sz="0" w:space="0" w:color="auto"/>
        <w:right w:val="none" w:sz="0" w:space="0" w:color="auto"/>
      </w:divBdr>
    </w:div>
    <w:div w:id="1196235968">
      <w:bodyDiv w:val="1"/>
      <w:marLeft w:val="0"/>
      <w:marRight w:val="0"/>
      <w:marTop w:val="0"/>
      <w:marBottom w:val="0"/>
      <w:divBdr>
        <w:top w:val="none" w:sz="0" w:space="0" w:color="auto"/>
        <w:left w:val="none" w:sz="0" w:space="0" w:color="auto"/>
        <w:bottom w:val="none" w:sz="0" w:space="0" w:color="auto"/>
        <w:right w:val="none" w:sz="0" w:space="0" w:color="auto"/>
      </w:divBdr>
    </w:div>
    <w:div w:id="1291401454">
      <w:bodyDiv w:val="1"/>
      <w:marLeft w:val="0"/>
      <w:marRight w:val="0"/>
      <w:marTop w:val="0"/>
      <w:marBottom w:val="0"/>
      <w:divBdr>
        <w:top w:val="none" w:sz="0" w:space="0" w:color="auto"/>
        <w:left w:val="none" w:sz="0" w:space="0" w:color="auto"/>
        <w:bottom w:val="none" w:sz="0" w:space="0" w:color="auto"/>
        <w:right w:val="none" w:sz="0" w:space="0" w:color="auto"/>
      </w:divBdr>
    </w:div>
    <w:div w:id="1301111220">
      <w:bodyDiv w:val="1"/>
      <w:marLeft w:val="0"/>
      <w:marRight w:val="0"/>
      <w:marTop w:val="0"/>
      <w:marBottom w:val="0"/>
      <w:divBdr>
        <w:top w:val="none" w:sz="0" w:space="0" w:color="auto"/>
        <w:left w:val="none" w:sz="0" w:space="0" w:color="auto"/>
        <w:bottom w:val="none" w:sz="0" w:space="0" w:color="auto"/>
        <w:right w:val="none" w:sz="0" w:space="0" w:color="auto"/>
      </w:divBdr>
    </w:div>
    <w:div w:id="1325547287">
      <w:bodyDiv w:val="1"/>
      <w:marLeft w:val="0"/>
      <w:marRight w:val="0"/>
      <w:marTop w:val="0"/>
      <w:marBottom w:val="0"/>
      <w:divBdr>
        <w:top w:val="none" w:sz="0" w:space="0" w:color="auto"/>
        <w:left w:val="none" w:sz="0" w:space="0" w:color="auto"/>
        <w:bottom w:val="none" w:sz="0" w:space="0" w:color="auto"/>
        <w:right w:val="none" w:sz="0" w:space="0" w:color="auto"/>
      </w:divBdr>
    </w:div>
    <w:div w:id="1327125668">
      <w:bodyDiv w:val="1"/>
      <w:marLeft w:val="0"/>
      <w:marRight w:val="0"/>
      <w:marTop w:val="0"/>
      <w:marBottom w:val="0"/>
      <w:divBdr>
        <w:top w:val="none" w:sz="0" w:space="0" w:color="auto"/>
        <w:left w:val="none" w:sz="0" w:space="0" w:color="auto"/>
        <w:bottom w:val="none" w:sz="0" w:space="0" w:color="auto"/>
        <w:right w:val="none" w:sz="0" w:space="0" w:color="auto"/>
      </w:divBdr>
    </w:div>
    <w:div w:id="1334139521">
      <w:bodyDiv w:val="1"/>
      <w:marLeft w:val="0"/>
      <w:marRight w:val="0"/>
      <w:marTop w:val="0"/>
      <w:marBottom w:val="0"/>
      <w:divBdr>
        <w:top w:val="none" w:sz="0" w:space="0" w:color="auto"/>
        <w:left w:val="none" w:sz="0" w:space="0" w:color="auto"/>
        <w:bottom w:val="none" w:sz="0" w:space="0" w:color="auto"/>
        <w:right w:val="none" w:sz="0" w:space="0" w:color="auto"/>
      </w:divBdr>
    </w:div>
    <w:div w:id="1337532406">
      <w:bodyDiv w:val="1"/>
      <w:marLeft w:val="0"/>
      <w:marRight w:val="0"/>
      <w:marTop w:val="0"/>
      <w:marBottom w:val="0"/>
      <w:divBdr>
        <w:top w:val="none" w:sz="0" w:space="0" w:color="auto"/>
        <w:left w:val="none" w:sz="0" w:space="0" w:color="auto"/>
        <w:bottom w:val="none" w:sz="0" w:space="0" w:color="auto"/>
        <w:right w:val="none" w:sz="0" w:space="0" w:color="auto"/>
      </w:divBdr>
    </w:div>
    <w:div w:id="1339189945">
      <w:bodyDiv w:val="1"/>
      <w:marLeft w:val="0"/>
      <w:marRight w:val="0"/>
      <w:marTop w:val="0"/>
      <w:marBottom w:val="0"/>
      <w:divBdr>
        <w:top w:val="none" w:sz="0" w:space="0" w:color="auto"/>
        <w:left w:val="none" w:sz="0" w:space="0" w:color="auto"/>
        <w:bottom w:val="none" w:sz="0" w:space="0" w:color="auto"/>
        <w:right w:val="none" w:sz="0" w:space="0" w:color="auto"/>
      </w:divBdr>
    </w:div>
    <w:div w:id="1345280507">
      <w:bodyDiv w:val="1"/>
      <w:marLeft w:val="0"/>
      <w:marRight w:val="0"/>
      <w:marTop w:val="0"/>
      <w:marBottom w:val="0"/>
      <w:divBdr>
        <w:top w:val="none" w:sz="0" w:space="0" w:color="auto"/>
        <w:left w:val="none" w:sz="0" w:space="0" w:color="auto"/>
        <w:bottom w:val="none" w:sz="0" w:space="0" w:color="auto"/>
        <w:right w:val="none" w:sz="0" w:space="0" w:color="auto"/>
      </w:divBdr>
    </w:div>
    <w:div w:id="1408069877">
      <w:bodyDiv w:val="1"/>
      <w:marLeft w:val="0"/>
      <w:marRight w:val="0"/>
      <w:marTop w:val="0"/>
      <w:marBottom w:val="0"/>
      <w:divBdr>
        <w:top w:val="none" w:sz="0" w:space="0" w:color="auto"/>
        <w:left w:val="none" w:sz="0" w:space="0" w:color="auto"/>
        <w:bottom w:val="none" w:sz="0" w:space="0" w:color="auto"/>
        <w:right w:val="none" w:sz="0" w:space="0" w:color="auto"/>
      </w:divBdr>
    </w:div>
    <w:div w:id="1416321010">
      <w:bodyDiv w:val="1"/>
      <w:marLeft w:val="0"/>
      <w:marRight w:val="0"/>
      <w:marTop w:val="0"/>
      <w:marBottom w:val="0"/>
      <w:divBdr>
        <w:top w:val="none" w:sz="0" w:space="0" w:color="auto"/>
        <w:left w:val="none" w:sz="0" w:space="0" w:color="auto"/>
        <w:bottom w:val="none" w:sz="0" w:space="0" w:color="auto"/>
        <w:right w:val="none" w:sz="0" w:space="0" w:color="auto"/>
      </w:divBdr>
    </w:div>
    <w:div w:id="1418015336">
      <w:bodyDiv w:val="1"/>
      <w:marLeft w:val="0"/>
      <w:marRight w:val="0"/>
      <w:marTop w:val="0"/>
      <w:marBottom w:val="0"/>
      <w:divBdr>
        <w:top w:val="none" w:sz="0" w:space="0" w:color="auto"/>
        <w:left w:val="none" w:sz="0" w:space="0" w:color="auto"/>
        <w:bottom w:val="none" w:sz="0" w:space="0" w:color="auto"/>
        <w:right w:val="none" w:sz="0" w:space="0" w:color="auto"/>
      </w:divBdr>
    </w:div>
    <w:div w:id="1441221592">
      <w:bodyDiv w:val="1"/>
      <w:marLeft w:val="0"/>
      <w:marRight w:val="0"/>
      <w:marTop w:val="0"/>
      <w:marBottom w:val="0"/>
      <w:divBdr>
        <w:top w:val="none" w:sz="0" w:space="0" w:color="auto"/>
        <w:left w:val="none" w:sz="0" w:space="0" w:color="auto"/>
        <w:bottom w:val="none" w:sz="0" w:space="0" w:color="auto"/>
        <w:right w:val="none" w:sz="0" w:space="0" w:color="auto"/>
      </w:divBdr>
    </w:div>
    <w:div w:id="1461529448">
      <w:bodyDiv w:val="1"/>
      <w:marLeft w:val="0"/>
      <w:marRight w:val="0"/>
      <w:marTop w:val="0"/>
      <w:marBottom w:val="0"/>
      <w:divBdr>
        <w:top w:val="none" w:sz="0" w:space="0" w:color="auto"/>
        <w:left w:val="none" w:sz="0" w:space="0" w:color="auto"/>
        <w:bottom w:val="none" w:sz="0" w:space="0" w:color="auto"/>
        <w:right w:val="none" w:sz="0" w:space="0" w:color="auto"/>
      </w:divBdr>
    </w:div>
    <w:div w:id="1573735831">
      <w:bodyDiv w:val="1"/>
      <w:marLeft w:val="0"/>
      <w:marRight w:val="0"/>
      <w:marTop w:val="0"/>
      <w:marBottom w:val="0"/>
      <w:divBdr>
        <w:top w:val="none" w:sz="0" w:space="0" w:color="auto"/>
        <w:left w:val="none" w:sz="0" w:space="0" w:color="auto"/>
        <w:bottom w:val="none" w:sz="0" w:space="0" w:color="auto"/>
        <w:right w:val="none" w:sz="0" w:space="0" w:color="auto"/>
      </w:divBdr>
    </w:div>
    <w:div w:id="1645114134">
      <w:bodyDiv w:val="1"/>
      <w:marLeft w:val="0"/>
      <w:marRight w:val="0"/>
      <w:marTop w:val="0"/>
      <w:marBottom w:val="0"/>
      <w:divBdr>
        <w:top w:val="none" w:sz="0" w:space="0" w:color="auto"/>
        <w:left w:val="none" w:sz="0" w:space="0" w:color="auto"/>
        <w:bottom w:val="none" w:sz="0" w:space="0" w:color="auto"/>
        <w:right w:val="none" w:sz="0" w:space="0" w:color="auto"/>
      </w:divBdr>
    </w:div>
    <w:div w:id="1656908160">
      <w:bodyDiv w:val="1"/>
      <w:marLeft w:val="0"/>
      <w:marRight w:val="0"/>
      <w:marTop w:val="0"/>
      <w:marBottom w:val="0"/>
      <w:divBdr>
        <w:top w:val="none" w:sz="0" w:space="0" w:color="auto"/>
        <w:left w:val="none" w:sz="0" w:space="0" w:color="auto"/>
        <w:bottom w:val="none" w:sz="0" w:space="0" w:color="auto"/>
        <w:right w:val="none" w:sz="0" w:space="0" w:color="auto"/>
      </w:divBdr>
    </w:div>
    <w:div w:id="1665284195">
      <w:bodyDiv w:val="1"/>
      <w:marLeft w:val="0"/>
      <w:marRight w:val="0"/>
      <w:marTop w:val="0"/>
      <w:marBottom w:val="0"/>
      <w:divBdr>
        <w:top w:val="none" w:sz="0" w:space="0" w:color="auto"/>
        <w:left w:val="none" w:sz="0" w:space="0" w:color="auto"/>
        <w:bottom w:val="none" w:sz="0" w:space="0" w:color="auto"/>
        <w:right w:val="none" w:sz="0" w:space="0" w:color="auto"/>
      </w:divBdr>
    </w:div>
    <w:div w:id="1715499879">
      <w:bodyDiv w:val="1"/>
      <w:marLeft w:val="0"/>
      <w:marRight w:val="0"/>
      <w:marTop w:val="0"/>
      <w:marBottom w:val="0"/>
      <w:divBdr>
        <w:top w:val="none" w:sz="0" w:space="0" w:color="auto"/>
        <w:left w:val="none" w:sz="0" w:space="0" w:color="auto"/>
        <w:bottom w:val="none" w:sz="0" w:space="0" w:color="auto"/>
        <w:right w:val="none" w:sz="0" w:space="0" w:color="auto"/>
      </w:divBdr>
    </w:div>
    <w:div w:id="1734351211">
      <w:bodyDiv w:val="1"/>
      <w:marLeft w:val="0"/>
      <w:marRight w:val="0"/>
      <w:marTop w:val="0"/>
      <w:marBottom w:val="0"/>
      <w:divBdr>
        <w:top w:val="none" w:sz="0" w:space="0" w:color="auto"/>
        <w:left w:val="none" w:sz="0" w:space="0" w:color="auto"/>
        <w:bottom w:val="none" w:sz="0" w:space="0" w:color="auto"/>
        <w:right w:val="none" w:sz="0" w:space="0" w:color="auto"/>
      </w:divBdr>
    </w:div>
    <w:div w:id="1738480902">
      <w:bodyDiv w:val="1"/>
      <w:marLeft w:val="0"/>
      <w:marRight w:val="0"/>
      <w:marTop w:val="0"/>
      <w:marBottom w:val="0"/>
      <w:divBdr>
        <w:top w:val="none" w:sz="0" w:space="0" w:color="auto"/>
        <w:left w:val="none" w:sz="0" w:space="0" w:color="auto"/>
        <w:bottom w:val="none" w:sz="0" w:space="0" w:color="auto"/>
        <w:right w:val="none" w:sz="0" w:space="0" w:color="auto"/>
      </w:divBdr>
    </w:div>
    <w:div w:id="1740440759">
      <w:bodyDiv w:val="1"/>
      <w:marLeft w:val="0"/>
      <w:marRight w:val="0"/>
      <w:marTop w:val="0"/>
      <w:marBottom w:val="0"/>
      <w:divBdr>
        <w:top w:val="none" w:sz="0" w:space="0" w:color="auto"/>
        <w:left w:val="none" w:sz="0" w:space="0" w:color="auto"/>
        <w:bottom w:val="none" w:sz="0" w:space="0" w:color="auto"/>
        <w:right w:val="none" w:sz="0" w:space="0" w:color="auto"/>
      </w:divBdr>
    </w:div>
    <w:div w:id="1827622598">
      <w:bodyDiv w:val="1"/>
      <w:marLeft w:val="0"/>
      <w:marRight w:val="0"/>
      <w:marTop w:val="0"/>
      <w:marBottom w:val="0"/>
      <w:divBdr>
        <w:top w:val="none" w:sz="0" w:space="0" w:color="auto"/>
        <w:left w:val="none" w:sz="0" w:space="0" w:color="auto"/>
        <w:bottom w:val="none" w:sz="0" w:space="0" w:color="auto"/>
        <w:right w:val="none" w:sz="0" w:space="0" w:color="auto"/>
      </w:divBdr>
    </w:div>
    <w:div w:id="1858078039">
      <w:bodyDiv w:val="1"/>
      <w:marLeft w:val="0"/>
      <w:marRight w:val="0"/>
      <w:marTop w:val="0"/>
      <w:marBottom w:val="0"/>
      <w:divBdr>
        <w:top w:val="none" w:sz="0" w:space="0" w:color="auto"/>
        <w:left w:val="none" w:sz="0" w:space="0" w:color="auto"/>
        <w:bottom w:val="none" w:sz="0" w:space="0" w:color="auto"/>
        <w:right w:val="none" w:sz="0" w:space="0" w:color="auto"/>
      </w:divBdr>
    </w:div>
    <w:div w:id="1861816344">
      <w:bodyDiv w:val="1"/>
      <w:marLeft w:val="0"/>
      <w:marRight w:val="0"/>
      <w:marTop w:val="0"/>
      <w:marBottom w:val="0"/>
      <w:divBdr>
        <w:top w:val="none" w:sz="0" w:space="0" w:color="auto"/>
        <w:left w:val="none" w:sz="0" w:space="0" w:color="auto"/>
        <w:bottom w:val="none" w:sz="0" w:space="0" w:color="auto"/>
        <w:right w:val="none" w:sz="0" w:space="0" w:color="auto"/>
      </w:divBdr>
    </w:div>
    <w:div w:id="1893082142">
      <w:bodyDiv w:val="1"/>
      <w:marLeft w:val="0"/>
      <w:marRight w:val="0"/>
      <w:marTop w:val="0"/>
      <w:marBottom w:val="0"/>
      <w:divBdr>
        <w:top w:val="none" w:sz="0" w:space="0" w:color="auto"/>
        <w:left w:val="none" w:sz="0" w:space="0" w:color="auto"/>
        <w:bottom w:val="none" w:sz="0" w:space="0" w:color="auto"/>
        <w:right w:val="none" w:sz="0" w:space="0" w:color="auto"/>
      </w:divBdr>
    </w:div>
    <w:div w:id="1902053331">
      <w:bodyDiv w:val="1"/>
      <w:marLeft w:val="0"/>
      <w:marRight w:val="0"/>
      <w:marTop w:val="0"/>
      <w:marBottom w:val="0"/>
      <w:divBdr>
        <w:top w:val="none" w:sz="0" w:space="0" w:color="auto"/>
        <w:left w:val="none" w:sz="0" w:space="0" w:color="auto"/>
        <w:bottom w:val="none" w:sz="0" w:space="0" w:color="auto"/>
        <w:right w:val="none" w:sz="0" w:space="0" w:color="auto"/>
      </w:divBdr>
    </w:div>
    <w:div w:id="1933390999">
      <w:bodyDiv w:val="1"/>
      <w:marLeft w:val="0"/>
      <w:marRight w:val="0"/>
      <w:marTop w:val="0"/>
      <w:marBottom w:val="0"/>
      <w:divBdr>
        <w:top w:val="none" w:sz="0" w:space="0" w:color="auto"/>
        <w:left w:val="none" w:sz="0" w:space="0" w:color="auto"/>
        <w:bottom w:val="none" w:sz="0" w:space="0" w:color="auto"/>
        <w:right w:val="none" w:sz="0" w:space="0" w:color="auto"/>
      </w:divBdr>
    </w:div>
    <w:div w:id="1991057947">
      <w:bodyDiv w:val="1"/>
      <w:marLeft w:val="0"/>
      <w:marRight w:val="0"/>
      <w:marTop w:val="0"/>
      <w:marBottom w:val="0"/>
      <w:divBdr>
        <w:top w:val="none" w:sz="0" w:space="0" w:color="auto"/>
        <w:left w:val="none" w:sz="0" w:space="0" w:color="auto"/>
        <w:bottom w:val="none" w:sz="0" w:space="0" w:color="auto"/>
        <w:right w:val="none" w:sz="0" w:space="0" w:color="auto"/>
      </w:divBdr>
    </w:div>
    <w:div w:id="1991132282">
      <w:bodyDiv w:val="1"/>
      <w:marLeft w:val="0"/>
      <w:marRight w:val="0"/>
      <w:marTop w:val="0"/>
      <w:marBottom w:val="0"/>
      <w:divBdr>
        <w:top w:val="none" w:sz="0" w:space="0" w:color="auto"/>
        <w:left w:val="none" w:sz="0" w:space="0" w:color="auto"/>
        <w:bottom w:val="none" w:sz="0" w:space="0" w:color="auto"/>
        <w:right w:val="none" w:sz="0" w:space="0" w:color="auto"/>
      </w:divBdr>
    </w:div>
    <w:div w:id="2016422239">
      <w:bodyDiv w:val="1"/>
      <w:marLeft w:val="0"/>
      <w:marRight w:val="0"/>
      <w:marTop w:val="0"/>
      <w:marBottom w:val="0"/>
      <w:divBdr>
        <w:top w:val="none" w:sz="0" w:space="0" w:color="auto"/>
        <w:left w:val="none" w:sz="0" w:space="0" w:color="auto"/>
        <w:bottom w:val="none" w:sz="0" w:space="0" w:color="auto"/>
        <w:right w:val="none" w:sz="0" w:space="0" w:color="auto"/>
      </w:divBdr>
    </w:div>
    <w:div w:id="2049378202">
      <w:bodyDiv w:val="1"/>
      <w:marLeft w:val="0"/>
      <w:marRight w:val="0"/>
      <w:marTop w:val="0"/>
      <w:marBottom w:val="0"/>
      <w:divBdr>
        <w:top w:val="none" w:sz="0" w:space="0" w:color="auto"/>
        <w:left w:val="none" w:sz="0" w:space="0" w:color="auto"/>
        <w:bottom w:val="none" w:sz="0" w:space="0" w:color="auto"/>
        <w:right w:val="none" w:sz="0" w:space="0" w:color="auto"/>
      </w:divBdr>
    </w:div>
    <w:div w:id="2073312440">
      <w:bodyDiv w:val="1"/>
      <w:marLeft w:val="0"/>
      <w:marRight w:val="0"/>
      <w:marTop w:val="0"/>
      <w:marBottom w:val="0"/>
      <w:divBdr>
        <w:top w:val="none" w:sz="0" w:space="0" w:color="auto"/>
        <w:left w:val="none" w:sz="0" w:space="0" w:color="auto"/>
        <w:bottom w:val="none" w:sz="0" w:space="0" w:color="auto"/>
        <w:right w:val="none" w:sz="0" w:space="0" w:color="auto"/>
      </w:divBdr>
    </w:div>
    <w:div w:id="211120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E:\HEC%20Files\CSU%202017\CSU%20Dossier%20Nouveau%20Juillet%202017\Calcul%20site%20CSU%20graphique.xlsx"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E:\HEC%20Files\CSU%202017\CSU%20Dossier%20Nouveau%20Juillet%202017\Calcul%20site%20CSU%20graphiqu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HEC%20Files\CSU%202017\CSU%20calcul%20co&#251;t%20OMS\Calcul%20site%20CSU%20CHD%20graphique.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HEC%20Files\CSU%202017\CSU%20Dossier%20Nouveau%20Juillet%202017\Calcul%20site%20graphique.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HEC%20Files\CSU%202017\CSU%20calcul%20co&#251;t%20OMS\Note%203%20CSBCHD%20graphique.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HEC%20Files\CSU%202017\CSU%20calcul%20co&#251;t%20OMS\Calcul%20site%20CSU%20CHD%20graphiqu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lineChart>
        <c:grouping val="standard"/>
        <c:varyColors val="0"/>
        <c:ser>
          <c:idx val="0"/>
          <c:order val="0"/>
          <c:tx>
            <c:strRef>
              <c:f>Feuil1!$A$6</c:f>
              <c:strCache>
                <c:ptCount val="1"/>
                <c:pt idx="0">
                  <c:v>Secteur formel 8%</c:v>
                </c:pt>
              </c:strCache>
            </c:strRef>
          </c:tx>
          <c:marker>
            <c:symbol val="none"/>
          </c:marker>
          <c:cat>
            <c:numRef>
              <c:f>Feuil1!$C$1:$O$1</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cat>
          <c:val>
            <c:numRef>
              <c:f>Feuil1!$C$6:$O$6</c:f>
              <c:numCache>
                <c:formatCode>0.0%</c:formatCode>
                <c:ptCount val="13"/>
                <c:pt idx="0">
                  <c:v>0.08</c:v>
                </c:pt>
                <c:pt idx="1">
                  <c:v>0.08</c:v>
                </c:pt>
                <c:pt idx="2">
                  <c:v>0.08</c:v>
                </c:pt>
                <c:pt idx="3">
                  <c:v>0.08</c:v>
                </c:pt>
                <c:pt idx="4">
                  <c:v>0.08</c:v>
                </c:pt>
                <c:pt idx="5">
                  <c:v>0.08</c:v>
                </c:pt>
                <c:pt idx="6">
                  <c:v>0.08</c:v>
                </c:pt>
                <c:pt idx="7">
                  <c:v>0.08</c:v>
                </c:pt>
                <c:pt idx="8">
                  <c:v>0.08</c:v>
                </c:pt>
                <c:pt idx="9">
                  <c:v>0.08</c:v>
                </c:pt>
                <c:pt idx="10">
                  <c:v>0.08</c:v>
                </c:pt>
                <c:pt idx="11">
                  <c:v>0.08</c:v>
                </c:pt>
                <c:pt idx="12">
                  <c:v>0.08</c:v>
                </c:pt>
              </c:numCache>
            </c:numRef>
          </c:val>
          <c:smooth val="0"/>
        </c:ser>
        <c:ser>
          <c:idx val="1"/>
          <c:order val="1"/>
          <c:tx>
            <c:strRef>
              <c:f>Feuil1!$A$7</c:f>
              <c:strCache>
                <c:ptCount val="1"/>
                <c:pt idx="0">
                  <c:v>% pop affiliée par Etat et volontaires</c:v>
                </c:pt>
              </c:strCache>
            </c:strRef>
          </c:tx>
          <c:marker>
            <c:symbol val="none"/>
          </c:marker>
          <c:cat>
            <c:numRef>
              <c:f>Feuil1!$C$1:$O$1</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cat>
          <c:val>
            <c:numRef>
              <c:f>Feuil1!$C$7:$O$7</c:f>
              <c:numCache>
                <c:formatCode>0.0%</c:formatCode>
                <c:ptCount val="13"/>
                <c:pt idx="0">
                  <c:v>0.05</c:v>
                </c:pt>
                <c:pt idx="1">
                  <c:v>6.25E-2</c:v>
                </c:pt>
                <c:pt idx="2">
                  <c:v>7.8100000000000003E-2</c:v>
                </c:pt>
                <c:pt idx="3">
                  <c:v>9.7699999999999995E-2</c:v>
                </c:pt>
                <c:pt idx="4">
                  <c:v>0.1221</c:v>
                </c:pt>
                <c:pt idx="5">
                  <c:v>0.15260000000000001</c:v>
                </c:pt>
                <c:pt idx="6">
                  <c:v>0.19070000000000001</c:v>
                </c:pt>
                <c:pt idx="7">
                  <c:v>0.2384</c:v>
                </c:pt>
                <c:pt idx="8">
                  <c:v>0.29799999999999999</c:v>
                </c:pt>
                <c:pt idx="9">
                  <c:v>0.33679999999999999</c:v>
                </c:pt>
                <c:pt idx="10">
                  <c:v>0.3805</c:v>
                </c:pt>
                <c:pt idx="11">
                  <c:v>0.43</c:v>
                </c:pt>
                <c:pt idx="12">
                  <c:v>0.4859</c:v>
                </c:pt>
              </c:numCache>
            </c:numRef>
          </c:val>
          <c:smooth val="0"/>
        </c:ser>
        <c:ser>
          <c:idx val="2"/>
          <c:order val="2"/>
          <c:tx>
            <c:strRef>
              <c:f>Feuil1!$A$8</c:f>
              <c:strCache>
                <c:ptCount val="1"/>
                <c:pt idx="0">
                  <c:v>% Population en syst prépaiement</c:v>
                </c:pt>
              </c:strCache>
            </c:strRef>
          </c:tx>
          <c:marker>
            <c:symbol val="none"/>
          </c:marker>
          <c:cat>
            <c:numRef>
              <c:f>Feuil1!$C$1:$O$1</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cat>
          <c:val>
            <c:numRef>
              <c:f>Feuil1!$C$8:$O$8</c:f>
              <c:numCache>
                <c:formatCode>0.0%</c:formatCode>
                <c:ptCount val="13"/>
                <c:pt idx="0">
                  <c:v>0.12999997509691416</c:v>
                </c:pt>
                <c:pt idx="1">
                  <c:v>0.14249999886977893</c:v>
                </c:pt>
                <c:pt idx="2">
                  <c:v>0.15812502196012448</c:v>
                </c:pt>
                <c:pt idx="3">
                  <c:v>0.17765623824311913</c:v>
                </c:pt>
                <c:pt idx="4">
                  <c:v>0.20207027846490608</c:v>
                </c:pt>
                <c:pt idx="5">
                  <c:v>0.23258788839029512</c:v>
                </c:pt>
                <c:pt idx="6">
                  <c:v>0.27073488006137308</c:v>
                </c:pt>
                <c:pt idx="7">
                  <c:v>0.31841857960411951</c:v>
                </c:pt>
                <c:pt idx="8">
                  <c:v>0.37802322886979062</c:v>
                </c:pt>
                <c:pt idx="9">
                  <c:v>0.41676622155147142</c:v>
                </c:pt>
                <c:pt idx="10">
                  <c:v>0.4605458344379037</c:v>
                </c:pt>
                <c:pt idx="11">
                  <c:v>0.51001679654641974</c:v>
                </c:pt>
                <c:pt idx="12">
                  <c:v>0.56591900570168718</c:v>
                </c:pt>
              </c:numCache>
            </c:numRef>
          </c:val>
          <c:smooth val="0"/>
        </c:ser>
        <c:dLbls>
          <c:showLegendKey val="0"/>
          <c:showVal val="0"/>
          <c:showCatName val="0"/>
          <c:showSerName val="0"/>
          <c:showPercent val="0"/>
          <c:showBubbleSize val="0"/>
        </c:dLbls>
        <c:marker val="1"/>
        <c:smooth val="0"/>
        <c:axId val="213068800"/>
        <c:axId val="215462272"/>
      </c:lineChart>
      <c:catAx>
        <c:axId val="213068800"/>
        <c:scaling>
          <c:orientation val="minMax"/>
        </c:scaling>
        <c:delete val="0"/>
        <c:axPos val="b"/>
        <c:numFmt formatCode="General" sourceLinked="1"/>
        <c:majorTickMark val="none"/>
        <c:minorTickMark val="none"/>
        <c:tickLblPos val="nextTo"/>
        <c:crossAx val="215462272"/>
        <c:crosses val="autoZero"/>
        <c:auto val="1"/>
        <c:lblAlgn val="ctr"/>
        <c:lblOffset val="100"/>
        <c:noMultiLvlLbl val="0"/>
      </c:catAx>
      <c:valAx>
        <c:axId val="215462272"/>
        <c:scaling>
          <c:orientation val="minMax"/>
        </c:scaling>
        <c:delete val="0"/>
        <c:axPos val="l"/>
        <c:majorGridlines/>
        <c:numFmt formatCode="0.0%" sourceLinked="1"/>
        <c:majorTickMark val="none"/>
        <c:minorTickMark val="none"/>
        <c:tickLblPos val="nextTo"/>
        <c:crossAx val="2130688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explosion val="25"/>
          <c:dLbls>
            <c:dLbl>
              <c:idx val="0"/>
              <c:tx>
                <c:rich>
                  <a:bodyPr/>
                  <a:lstStyle/>
                  <a:p>
                    <a:r>
                      <a:rPr lang="en-US"/>
                      <a:t>Fonctmt hors solde FS
20%</a:t>
                    </a:r>
                  </a:p>
                </c:rich>
              </c:tx>
              <c:showLegendKey val="0"/>
              <c:showVal val="0"/>
              <c:showCatName val="1"/>
              <c:showSerName val="0"/>
              <c:showPercent val="1"/>
              <c:showBubbleSize val="0"/>
            </c:dLbl>
            <c:dLbl>
              <c:idx val="1"/>
              <c:tx>
                <c:rich>
                  <a:bodyPr/>
                  <a:lstStyle/>
                  <a:p>
                    <a:r>
                      <a:rPr lang="en-US"/>
                      <a:t>Solde CSB/CHRD
31,7%</a:t>
                    </a:r>
                  </a:p>
                </c:rich>
              </c:tx>
              <c:showLegendKey val="0"/>
              <c:showVal val="0"/>
              <c:showCatName val="1"/>
              <c:showSerName val="0"/>
              <c:showPercent val="1"/>
              <c:showBubbleSize val="0"/>
            </c:dLbl>
            <c:dLbl>
              <c:idx val="2"/>
              <c:layout>
                <c:manualLayout>
                  <c:x val="-2.5806430446194226E-2"/>
                  <c:y val="0"/>
                </c:manualLayout>
              </c:layout>
              <c:tx>
                <c:rich>
                  <a:bodyPr/>
                  <a:lstStyle/>
                  <a:p>
                    <a:r>
                      <a:rPr lang="en-US"/>
                      <a:t>Amort invest CSB/CHRD
15,5%</a:t>
                    </a:r>
                  </a:p>
                </c:rich>
              </c:tx>
              <c:showLegendKey val="0"/>
              <c:showVal val="0"/>
              <c:showCatName val="1"/>
              <c:showSerName val="0"/>
              <c:showPercent val="1"/>
              <c:showBubbleSize val="0"/>
            </c:dLbl>
            <c:dLbl>
              <c:idx val="3"/>
              <c:tx>
                <c:rich>
                  <a:bodyPr/>
                  <a:lstStyle/>
                  <a:p>
                    <a:r>
                      <a:rPr lang="en-US"/>
                      <a:t>Coût district/com
4,5%</a:t>
                    </a:r>
                  </a:p>
                </c:rich>
              </c:tx>
              <c:showLegendKey val="0"/>
              <c:showVal val="0"/>
              <c:showCatName val="1"/>
              <c:showSerName val="0"/>
              <c:showPercent val="1"/>
              <c:showBubbleSize val="0"/>
            </c:dLbl>
            <c:dLbl>
              <c:idx val="4"/>
              <c:layout>
                <c:manualLayout>
                  <c:x val="0.12756893146088696"/>
                  <c:y val="-5.3270931495008909E-2"/>
                </c:manualLayout>
              </c:layout>
              <c:tx>
                <c:rich>
                  <a:bodyPr/>
                  <a:lstStyle/>
                  <a:p>
                    <a:r>
                      <a:rPr lang="en-US"/>
                      <a:t>Coût fokontany
26,3%</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Feuil1!$G$37:$K$37</c:f>
              <c:strCache>
                <c:ptCount val="5"/>
                <c:pt idx="0">
                  <c:v>Fonctmt hors solde FS</c:v>
                </c:pt>
                <c:pt idx="1">
                  <c:v>Solde CSB/CHRD</c:v>
                </c:pt>
                <c:pt idx="2">
                  <c:v>Amort invest CSB/CHRD</c:v>
                </c:pt>
                <c:pt idx="3">
                  <c:v>Coût district/com</c:v>
                </c:pt>
                <c:pt idx="4">
                  <c:v>Coût fokontany</c:v>
                </c:pt>
              </c:strCache>
            </c:strRef>
          </c:cat>
          <c:val>
            <c:numRef>
              <c:f>Feuil1!$G$38:$K$38</c:f>
              <c:numCache>
                <c:formatCode>0.0%</c:formatCode>
                <c:ptCount val="5"/>
                <c:pt idx="0">
                  <c:v>0.15789473684210525</c:v>
                </c:pt>
                <c:pt idx="1">
                  <c:v>0.36842105263157887</c:v>
                </c:pt>
                <c:pt idx="2">
                  <c:v>0.15789473684210525</c:v>
                </c:pt>
                <c:pt idx="3">
                  <c:v>5.2631578947368418E-2</c:v>
                </c:pt>
                <c:pt idx="4">
                  <c:v>0.26315789473684209</c:v>
                </c:pt>
              </c:numCache>
            </c:numRef>
          </c:val>
        </c:ser>
        <c:dLbls>
          <c:showLegendKey val="0"/>
          <c:showVal val="0"/>
          <c:showCatName val="1"/>
          <c:showSerName val="0"/>
          <c:showPercent val="1"/>
          <c:showBubbleSize val="0"/>
          <c:showLeaderLines val="1"/>
        </c:dLbls>
      </c:pie3DChart>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Feuil1!$B$57:$D$57</c:f>
              <c:strCache>
                <c:ptCount val="1"/>
                <c:pt idx="0">
                  <c:v>Budget santé Etat</c:v>
                </c:pt>
              </c:strCache>
            </c:strRef>
          </c:tx>
          <c:invertIfNegative val="0"/>
          <c:cat>
            <c:strRef>
              <c:f>Feuil1!$E$56:$H$56</c:f>
              <c:strCache>
                <c:ptCount val="4"/>
                <c:pt idx="0">
                  <c:v>2014</c:v>
                </c:pt>
                <c:pt idx="1">
                  <c:v>2015</c:v>
                </c:pt>
                <c:pt idx="2">
                  <c:v>2016</c:v>
                </c:pt>
                <c:pt idx="3">
                  <c:v>Prev 2017</c:v>
                </c:pt>
              </c:strCache>
            </c:strRef>
          </c:cat>
          <c:val>
            <c:numRef>
              <c:f>Feuil1!$E$57:$H$57</c:f>
              <c:numCache>
                <c:formatCode>0.0</c:formatCode>
                <c:ptCount val="4"/>
                <c:pt idx="0">
                  <c:v>5</c:v>
                </c:pt>
                <c:pt idx="1">
                  <c:v>4.4000000000000004</c:v>
                </c:pt>
                <c:pt idx="2">
                  <c:v>4.7</c:v>
                </c:pt>
                <c:pt idx="3">
                  <c:v>5</c:v>
                </c:pt>
              </c:numCache>
            </c:numRef>
          </c:val>
        </c:ser>
        <c:ser>
          <c:idx val="1"/>
          <c:order val="1"/>
          <c:tx>
            <c:strRef>
              <c:f>Feuil1!$B$58:$D$58</c:f>
              <c:strCache>
                <c:ptCount val="1"/>
                <c:pt idx="0">
                  <c:v>Aide extérieure décaissée (AMP)</c:v>
                </c:pt>
              </c:strCache>
            </c:strRef>
          </c:tx>
          <c:invertIfNegative val="0"/>
          <c:cat>
            <c:strRef>
              <c:f>Feuil1!$E$56:$H$56</c:f>
              <c:strCache>
                <c:ptCount val="4"/>
                <c:pt idx="0">
                  <c:v>2014</c:v>
                </c:pt>
                <c:pt idx="1">
                  <c:v>2015</c:v>
                </c:pt>
                <c:pt idx="2">
                  <c:v>2016</c:v>
                </c:pt>
                <c:pt idx="3">
                  <c:v>Prev 2017</c:v>
                </c:pt>
              </c:strCache>
            </c:strRef>
          </c:cat>
          <c:val>
            <c:numRef>
              <c:f>Feuil1!$E$58:$H$58</c:f>
              <c:numCache>
                <c:formatCode>General</c:formatCode>
                <c:ptCount val="4"/>
                <c:pt idx="0">
                  <c:v>6.8</c:v>
                </c:pt>
                <c:pt idx="1">
                  <c:v>7.2</c:v>
                </c:pt>
                <c:pt idx="2">
                  <c:v>7.3</c:v>
                </c:pt>
                <c:pt idx="3">
                  <c:v>4.7</c:v>
                </c:pt>
              </c:numCache>
            </c:numRef>
          </c:val>
        </c:ser>
        <c:ser>
          <c:idx val="2"/>
          <c:order val="2"/>
          <c:tx>
            <c:strRef>
              <c:f>Feuil1!$B$59:$D$59</c:f>
              <c:strCache>
                <c:ptCount val="1"/>
                <c:pt idx="0">
                  <c:v>Aide extérieure déclarée sur budget</c:v>
                </c:pt>
              </c:strCache>
            </c:strRef>
          </c:tx>
          <c:invertIfNegative val="0"/>
          <c:cat>
            <c:strRef>
              <c:f>Feuil1!$E$56:$H$56</c:f>
              <c:strCache>
                <c:ptCount val="4"/>
                <c:pt idx="0">
                  <c:v>2014</c:v>
                </c:pt>
                <c:pt idx="1">
                  <c:v>2015</c:v>
                </c:pt>
                <c:pt idx="2">
                  <c:v>2016</c:v>
                </c:pt>
                <c:pt idx="3">
                  <c:v>Prev 2017</c:v>
                </c:pt>
              </c:strCache>
            </c:strRef>
          </c:cat>
          <c:val>
            <c:numRef>
              <c:f>Feuil1!$E$59:$H$59</c:f>
              <c:numCache>
                <c:formatCode>General</c:formatCode>
                <c:ptCount val="4"/>
                <c:pt idx="0">
                  <c:v>0.6</c:v>
                </c:pt>
                <c:pt idx="1">
                  <c:v>1.1000000000000001</c:v>
                </c:pt>
                <c:pt idx="2">
                  <c:v>1.4</c:v>
                </c:pt>
                <c:pt idx="3">
                  <c:v>1.3</c:v>
                </c:pt>
              </c:numCache>
            </c:numRef>
          </c:val>
        </c:ser>
        <c:dLbls>
          <c:showLegendKey val="0"/>
          <c:showVal val="0"/>
          <c:showCatName val="0"/>
          <c:showSerName val="0"/>
          <c:showPercent val="0"/>
          <c:showBubbleSize val="0"/>
        </c:dLbls>
        <c:gapWidth val="150"/>
        <c:axId val="215514112"/>
        <c:axId val="214323968"/>
      </c:barChart>
      <c:catAx>
        <c:axId val="215514112"/>
        <c:scaling>
          <c:orientation val="minMax"/>
        </c:scaling>
        <c:delete val="0"/>
        <c:axPos val="b"/>
        <c:majorTickMark val="none"/>
        <c:minorTickMark val="none"/>
        <c:tickLblPos val="nextTo"/>
        <c:crossAx val="214323968"/>
        <c:crosses val="autoZero"/>
        <c:auto val="1"/>
        <c:lblAlgn val="ctr"/>
        <c:lblOffset val="100"/>
        <c:noMultiLvlLbl val="0"/>
      </c:catAx>
      <c:valAx>
        <c:axId val="214323968"/>
        <c:scaling>
          <c:orientation val="minMax"/>
        </c:scaling>
        <c:delete val="0"/>
        <c:axPos val="l"/>
        <c:majorGridlines/>
        <c:numFmt formatCode="0.0" sourceLinked="1"/>
        <c:majorTickMark val="none"/>
        <c:minorTickMark val="none"/>
        <c:tickLblPos val="nextTo"/>
        <c:crossAx val="215514112"/>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9665710390859E-2"/>
          <c:y val="5.5137844611528819E-2"/>
          <c:w val="0.66138253067203812"/>
          <c:h val="0.81928995717640563"/>
        </c:manualLayout>
      </c:layout>
      <c:barChart>
        <c:barDir val="bar"/>
        <c:grouping val="clustered"/>
        <c:varyColors val="0"/>
        <c:ser>
          <c:idx val="0"/>
          <c:order val="0"/>
          <c:tx>
            <c:strRef>
              <c:f>Feuil2!$A$31</c:f>
              <c:strCache>
                <c:ptCount val="1"/>
                <c:pt idx="0">
                  <c:v>Fin proj BM équip CSB</c:v>
                </c:pt>
              </c:strCache>
            </c:strRef>
          </c:tx>
          <c:invertIfNegative val="0"/>
          <c:cat>
            <c:numRef>
              <c:f>Feuil2!$B$30:$J$30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Feuil2!$B$31:$J$31</c:f>
              <c:numCache>
                <c:formatCode>#,##0</c:formatCode>
                <c:ptCount val="9"/>
                <c:pt idx="0">
                  <c:v>1226167.95</c:v>
                </c:pt>
                <c:pt idx="1">
                  <c:v>752662.17099999997</c:v>
                </c:pt>
                <c:pt idx="2">
                  <c:v>752662.17099999997</c:v>
                </c:pt>
                <c:pt idx="3">
                  <c:v>752662.17099999997</c:v>
                </c:pt>
                <c:pt idx="4">
                  <c:v>752662.17099999997</c:v>
                </c:pt>
                <c:pt idx="5">
                  <c:v>752662.17099999997</c:v>
                </c:pt>
              </c:numCache>
            </c:numRef>
          </c:val>
        </c:ser>
        <c:ser>
          <c:idx val="1"/>
          <c:order val="1"/>
          <c:tx>
            <c:strRef>
              <c:f>Feuil2!$A$32</c:f>
              <c:strCache>
                <c:ptCount val="1"/>
                <c:pt idx="0">
                  <c:v>Gap fin équip CSB</c:v>
                </c:pt>
              </c:strCache>
            </c:strRef>
          </c:tx>
          <c:invertIfNegative val="0"/>
          <c:cat>
            <c:numRef>
              <c:f>Feuil2!$B$30:$J$30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Feuil2!$B$32:$J$32</c:f>
              <c:numCache>
                <c:formatCode>#,##0</c:formatCode>
                <c:ptCount val="9"/>
                <c:pt idx="0">
                  <c:v>131804.22066666666</c:v>
                </c:pt>
                <c:pt idx="1">
                  <c:v>-340364.84533333336</c:v>
                </c:pt>
                <c:pt idx="2">
                  <c:v>-529114.09233333333</c:v>
                </c:pt>
                <c:pt idx="3">
                  <c:v>-513401.62199999997</c:v>
                </c:pt>
                <c:pt idx="4">
                  <c:v>-222598.329</c:v>
                </c:pt>
                <c:pt idx="5">
                  <c:v>437544.86333333334</c:v>
                </c:pt>
                <c:pt idx="6">
                  <c:v>2345276.8763333336</c:v>
                </c:pt>
                <c:pt idx="7">
                  <c:v>4845033.551</c:v>
                </c:pt>
                <c:pt idx="8">
                  <c:v>8123746.1699999999</c:v>
                </c:pt>
              </c:numCache>
            </c:numRef>
          </c:val>
        </c:ser>
        <c:ser>
          <c:idx val="2"/>
          <c:order val="2"/>
          <c:tx>
            <c:strRef>
              <c:f>Feuil2!$A$33</c:f>
              <c:strCache>
                <c:ptCount val="1"/>
                <c:pt idx="0">
                  <c:v>Gap sur constr CSB</c:v>
                </c:pt>
              </c:strCache>
            </c:strRef>
          </c:tx>
          <c:invertIfNegative val="0"/>
          <c:cat>
            <c:numRef>
              <c:f>Feuil2!$B$30:$J$30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Feuil2!$B$33:$J$33</c:f>
              <c:numCache>
                <c:formatCode>#,##0</c:formatCode>
                <c:ptCount val="9"/>
                <c:pt idx="0">
                  <c:v>758090.10933333333</c:v>
                </c:pt>
                <c:pt idx="1">
                  <c:v>1321987.6186666666</c:v>
                </c:pt>
                <c:pt idx="2">
                  <c:v>1585900.7703333334</c:v>
                </c:pt>
                <c:pt idx="3">
                  <c:v>2481742.1979999999</c:v>
                </c:pt>
                <c:pt idx="4">
                  <c:v>2625314.0606666668</c:v>
                </c:pt>
                <c:pt idx="5">
                  <c:v>3109864.8676666669</c:v>
                </c:pt>
                <c:pt idx="6">
                  <c:v>3490542.6409999998</c:v>
                </c:pt>
              </c:numCache>
            </c:numRef>
          </c:val>
        </c:ser>
        <c:dLbls>
          <c:showLegendKey val="0"/>
          <c:showVal val="0"/>
          <c:showCatName val="0"/>
          <c:showSerName val="0"/>
          <c:showPercent val="0"/>
          <c:showBubbleSize val="0"/>
        </c:dLbls>
        <c:gapWidth val="150"/>
        <c:axId val="214333312"/>
        <c:axId val="214334848"/>
      </c:barChart>
      <c:catAx>
        <c:axId val="214333312"/>
        <c:scaling>
          <c:orientation val="minMax"/>
        </c:scaling>
        <c:delete val="0"/>
        <c:axPos val="l"/>
        <c:numFmt formatCode="General" sourceLinked="1"/>
        <c:majorTickMark val="none"/>
        <c:minorTickMark val="none"/>
        <c:tickLblPos val="nextTo"/>
        <c:crossAx val="214334848"/>
        <c:crosses val="autoZero"/>
        <c:auto val="1"/>
        <c:lblAlgn val="ctr"/>
        <c:lblOffset val="100"/>
        <c:noMultiLvlLbl val="0"/>
      </c:catAx>
      <c:valAx>
        <c:axId val="214334848"/>
        <c:scaling>
          <c:orientation val="minMax"/>
        </c:scaling>
        <c:delete val="0"/>
        <c:axPos val="b"/>
        <c:majorGridlines/>
        <c:numFmt formatCode="#,##0" sourceLinked="1"/>
        <c:majorTickMark val="none"/>
        <c:minorTickMark val="none"/>
        <c:tickLblPos val="nextTo"/>
        <c:crossAx val="214333312"/>
        <c:crosses val="autoZero"/>
        <c:crossBetween val="between"/>
      </c:valAx>
    </c:plotArea>
    <c:legend>
      <c:legendPos val="r"/>
      <c:layout>
        <c:manualLayout>
          <c:xMode val="edge"/>
          <c:yMode val="edge"/>
          <c:x val="0.75459948320413428"/>
          <c:y val="0.19361198271268726"/>
          <c:w val="0.22989664082687339"/>
          <c:h val="0.4423495747242121"/>
        </c:manualLayout>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perspective val="30"/>
    </c:view3D>
    <c:floor>
      <c:thickness val="0"/>
    </c:floor>
    <c:sideWall>
      <c:thickness val="0"/>
    </c:sideWall>
    <c:backWall>
      <c:thickness val="0"/>
    </c:backWall>
    <c:plotArea>
      <c:layout>
        <c:manualLayout>
          <c:layoutTarget val="inner"/>
          <c:xMode val="edge"/>
          <c:yMode val="edge"/>
          <c:x val="8.1975561211948197E-2"/>
          <c:y val="0.13891358516894248"/>
          <c:w val="0.53483169588695667"/>
          <c:h val="0.75538323532343266"/>
        </c:manualLayout>
      </c:layout>
      <c:bar3DChart>
        <c:barDir val="col"/>
        <c:grouping val="clustered"/>
        <c:varyColors val="0"/>
        <c:ser>
          <c:idx val="0"/>
          <c:order val="0"/>
          <c:tx>
            <c:strRef>
              <c:f>Feuil2!$A$83</c:f>
              <c:strCache>
                <c:ptCount val="1"/>
                <c:pt idx="0">
                  <c:v>Taux de croissance économique</c:v>
                </c:pt>
              </c:strCache>
            </c:strRef>
          </c:tx>
          <c:invertIfNegative val="0"/>
          <c:cat>
            <c:numRef>
              <c:f>Feuil2!$D$82:$G$82</c:f>
              <c:numCache>
                <c:formatCode>General</c:formatCode>
                <c:ptCount val="4"/>
                <c:pt idx="0">
                  <c:v>2016</c:v>
                </c:pt>
                <c:pt idx="1">
                  <c:v>2017</c:v>
                </c:pt>
                <c:pt idx="2">
                  <c:v>2018</c:v>
                </c:pt>
                <c:pt idx="3">
                  <c:v>2019</c:v>
                </c:pt>
              </c:numCache>
            </c:numRef>
          </c:cat>
          <c:val>
            <c:numRef>
              <c:f>Feuil2!$D$83:$G$83</c:f>
              <c:numCache>
                <c:formatCode>0.00%</c:formatCode>
                <c:ptCount val="4"/>
                <c:pt idx="0">
                  <c:v>4.1000000000000002E-2</c:v>
                </c:pt>
                <c:pt idx="1">
                  <c:v>4.4999999999999998E-2</c:v>
                </c:pt>
                <c:pt idx="2">
                  <c:v>4.8000000000000001E-2</c:v>
                </c:pt>
                <c:pt idx="3">
                  <c:v>4.9000000000000002E-2</c:v>
                </c:pt>
              </c:numCache>
            </c:numRef>
          </c:val>
        </c:ser>
        <c:ser>
          <c:idx val="1"/>
          <c:order val="1"/>
          <c:tx>
            <c:strRef>
              <c:f>Feuil2!$A$84</c:f>
              <c:strCache>
                <c:ptCount val="1"/>
                <c:pt idx="0">
                  <c:v>Taux de préssion fiscal </c:v>
                </c:pt>
              </c:strCache>
            </c:strRef>
          </c:tx>
          <c:invertIfNegative val="0"/>
          <c:cat>
            <c:numRef>
              <c:f>Feuil2!$D$82:$G$82</c:f>
              <c:numCache>
                <c:formatCode>General</c:formatCode>
                <c:ptCount val="4"/>
                <c:pt idx="0">
                  <c:v>2016</c:v>
                </c:pt>
                <c:pt idx="1">
                  <c:v>2017</c:v>
                </c:pt>
                <c:pt idx="2">
                  <c:v>2018</c:v>
                </c:pt>
                <c:pt idx="3">
                  <c:v>2019</c:v>
                </c:pt>
              </c:numCache>
            </c:numRef>
          </c:cat>
          <c:val>
            <c:numRef>
              <c:f>Feuil2!$D$84:$G$84</c:f>
              <c:numCache>
                <c:formatCode>0.00%</c:formatCode>
                <c:ptCount val="4"/>
                <c:pt idx="0">
                  <c:v>0.104</c:v>
                </c:pt>
                <c:pt idx="1">
                  <c:v>0.109</c:v>
                </c:pt>
                <c:pt idx="2">
                  <c:v>0.114</c:v>
                </c:pt>
                <c:pt idx="3">
                  <c:v>0.11600000000000001</c:v>
                </c:pt>
              </c:numCache>
            </c:numRef>
          </c:val>
        </c:ser>
        <c:ser>
          <c:idx val="2"/>
          <c:order val="2"/>
          <c:tx>
            <c:strRef>
              <c:f>Feuil2!$A$85</c:f>
              <c:strCache>
                <c:ptCount val="1"/>
                <c:pt idx="0">
                  <c:v>Dépenses de fonctionmt Etat en %  PIB</c:v>
                </c:pt>
              </c:strCache>
            </c:strRef>
          </c:tx>
          <c:invertIfNegative val="0"/>
          <c:cat>
            <c:numRef>
              <c:f>Feuil2!$D$82:$G$82</c:f>
              <c:numCache>
                <c:formatCode>General</c:formatCode>
                <c:ptCount val="4"/>
                <c:pt idx="0">
                  <c:v>2016</c:v>
                </c:pt>
                <c:pt idx="1">
                  <c:v>2017</c:v>
                </c:pt>
                <c:pt idx="2">
                  <c:v>2018</c:v>
                </c:pt>
                <c:pt idx="3">
                  <c:v>2019</c:v>
                </c:pt>
              </c:numCache>
            </c:numRef>
          </c:cat>
          <c:val>
            <c:numRef>
              <c:f>Feuil2!$D$85:$G$85</c:f>
              <c:numCache>
                <c:formatCode>0.00%</c:formatCode>
                <c:ptCount val="4"/>
                <c:pt idx="0">
                  <c:v>9.5000000000000001E-2</c:v>
                </c:pt>
                <c:pt idx="1">
                  <c:v>8.7999999999999995E-2</c:v>
                </c:pt>
                <c:pt idx="2">
                  <c:v>8.1000000000000003E-2</c:v>
                </c:pt>
                <c:pt idx="3">
                  <c:v>8.1000000000000003E-2</c:v>
                </c:pt>
              </c:numCache>
            </c:numRef>
          </c:val>
        </c:ser>
        <c:ser>
          <c:idx val="3"/>
          <c:order val="3"/>
          <c:tx>
            <c:strRef>
              <c:f>Feuil2!$A$86</c:f>
              <c:strCache>
                <c:ptCount val="1"/>
                <c:pt idx="0">
                  <c:v>Dépenses totales pub (hors s/ces dette)s en % PIB </c:v>
                </c:pt>
              </c:strCache>
            </c:strRef>
          </c:tx>
          <c:invertIfNegative val="0"/>
          <c:cat>
            <c:numRef>
              <c:f>Feuil2!$D$82:$G$82</c:f>
              <c:numCache>
                <c:formatCode>General</c:formatCode>
                <c:ptCount val="4"/>
                <c:pt idx="0">
                  <c:v>2016</c:v>
                </c:pt>
                <c:pt idx="1">
                  <c:v>2017</c:v>
                </c:pt>
                <c:pt idx="2">
                  <c:v>2018</c:v>
                </c:pt>
                <c:pt idx="3">
                  <c:v>2019</c:v>
                </c:pt>
              </c:numCache>
            </c:numRef>
          </c:cat>
          <c:val>
            <c:numRef>
              <c:f>Feuil2!$D$86:$G$86</c:f>
              <c:numCache>
                <c:formatCode>0.00%</c:formatCode>
                <c:ptCount val="4"/>
                <c:pt idx="0">
                  <c:v>0.14399999999999999</c:v>
                </c:pt>
                <c:pt idx="1">
                  <c:v>0.15</c:v>
                </c:pt>
                <c:pt idx="2">
                  <c:v>0.15</c:v>
                </c:pt>
                <c:pt idx="3">
                  <c:v>0.15</c:v>
                </c:pt>
              </c:numCache>
            </c:numRef>
          </c:val>
        </c:ser>
        <c:ser>
          <c:idx val="4"/>
          <c:order val="4"/>
          <c:tx>
            <c:strRef>
              <c:f>Feuil2!$A$87</c:f>
              <c:strCache>
                <c:ptCount val="1"/>
                <c:pt idx="0">
                  <c:v>Total budget domestique en % PIB</c:v>
                </c:pt>
              </c:strCache>
            </c:strRef>
          </c:tx>
          <c:invertIfNegative val="0"/>
          <c:cat>
            <c:numRef>
              <c:f>Feuil2!$D$82:$G$82</c:f>
              <c:numCache>
                <c:formatCode>General</c:formatCode>
                <c:ptCount val="4"/>
                <c:pt idx="0">
                  <c:v>2016</c:v>
                </c:pt>
                <c:pt idx="1">
                  <c:v>2017</c:v>
                </c:pt>
                <c:pt idx="2">
                  <c:v>2018</c:v>
                </c:pt>
                <c:pt idx="3">
                  <c:v>2019</c:v>
                </c:pt>
              </c:numCache>
            </c:numRef>
          </c:cat>
          <c:val>
            <c:numRef>
              <c:f>Feuil2!$D$87:$G$87</c:f>
              <c:numCache>
                <c:formatCode>0.00%</c:formatCode>
                <c:ptCount val="4"/>
                <c:pt idx="0">
                  <c:v>8.0000000000000002E-3</c:v>
                </c:pt>
                <c:pt idx="1">
                  <c:v>7.0000000000000001E-3</c:v>
                </c:pt>
                <c:pt idx="2">
                  <c:v>7.0000000000000001E-3</c:v>
                </c:pt>
                <c:pt idx="3">
                  <c:v>8.0000000000000002E-3</c:v>
                </c:pt>
              </c:numCache>
            </c:numRef>
          </c:val>
        </c:ser>
        <c:ser>
          <c:idx val="5"/>
          <c:order val="5"/>
          <c:tx>
            <c:strRef>
              <c:f>Feuil2!$A$88</c:f>
              <c:strCache>
                <c:ptCount val="1"/>
                <c:pt idx="0">
                  <c:v>Total budget santé en % PIB</c:v>
                </c:pt>
              </c:strCache>
            </c:strRef>
          </c:tx>
          <c:invertIfNegative val="0"/>
          <c:cat>
            <c:numRef>
              <c:f>Feuil2!$D$82:$G$82</c:f>
              <c:numCache>
                <c:formatCode>General</c:formatCode>
                <c:ptCount val="4"/>
                <c:pt idx="0">
                  <c:v>2016</c:v>
                </c:pt>
                <c:pt idx="1">
                  <c:v>2017</c:v>
                </c:pt>
                <c:pt idx="2">
                  <c:v>2018</c:v>
                </c:pt>
                <c:pt idx="3">
                  <c:v>2019</c:v>
                </c:pt>
              </c:numCache>
            </c:numRef>
          </c:cat>
          <c:val>
            <c:numRef>
              <c:f>Feuil2!$D$88:$G$88</c:f>
              <c:numCache>
                <c:formatCode>0.00%</c:formatCode>
                <c:ptCount val="4"/>
                <c:pt idx="0">
                  <c:v>1.0999999999999999E-2</c:v>
                </c:pt>
                <c:pt idx="1">
                  <c:v>0.01</c:v>
                </c:pt>
                <c:pt idx="2">
                  <c:v>8.9999999999999993E-3</c:v>
                </c:pt>
                <c:pt idx="3">
                  <c:v>0.01</c:v>
                </c:pt>
              </c:numCache>
            </c:numRef>
          </c:val>
        </c:ser>
        <c:ser>
          <c:idx val="6"/>
          <c:order val="6"/>
          <c:tx>
            <c:strRef>
              <c:f>Feuil2!$A$89</c:f>
              <c:strCache>
                <c:ptCount val="1"/>
                <c:pt idx="0">
                  <c:v>%Budget santé/dépenses pub totales</c:v>
                </c:pt>
              </c:strCache>
            </c:strRef>
          </c:tx>
          <c:invertIfNegative val="0"/>
          <c:cat>
            <c:numRef>
              <c:f>Feuil2!$D$82:$G$82</c:f>
              <c:numCache>
                <c:formatCode>General</c:formatCode>
                <c:ptCount val="4"/>
                <c:pt idx="0">
                  <c:v>2016</c:v>
                </c:pt>
                <c:pt idx="1">
                  <c:v>2017</c:v>
                </c:pt>
                <c:pt idx="2">
                  <c:v>2018</c:v>
                </c:pt>
                <c:pt idx="3">
                  <c:v>2019</c:v>
                </c:pt>
              </c:numCache>
            </c:numRef>
          </c:cat>
          <c:val>
            <c:numRef>
              <c:f>Feuil2!$D$89:$G$89</c:f>
              <c:numCache>
                <c:formatCode>0.00%</c:formatCode>
                <c:ptCount val="4"/>
                <c:pt idx="0">
                  <c:v>7.4999999999999997E-2</c:v>
                </c:pt>
                <c:pt idx="1">
                  <c:v>6.8000000000000005E-2</c:v>
                </c:pt>
                <c:pt idx="2">
                  <c:v>6.0999999999999999E-2</c:v>
                </c:pt>
                <c:pt idx="3">
                  <c:v>6.7000000000000004E-2</c:v>
                </c:pt>
              </c:numCache>
            </c:numRef>
          </c:val>
        </c:ser>
        <c:dLbls>
          <c:showLegendKey val="0"/>
          <c:showVal val="0"/>
          <c:showCatName val="0"/>
          <c:showSerName val="0"/>
          <c:showPercent val="0"/>
          <c:showBubbleSize val="0"/>
        </c:dLbls>
        <c:gapWidth val="150"/>
        <c:shape val="box"/>
        <c:axId val="214360448"/>
        <c:axId val="214361984"/>
        <c:axId val="0"/>
      </c:bar3DChart>
      <c:catAx>
        <c:axId val="214360448"/>
        <c:scaling>
          <c:orientation val="minMax"/>
        </c:scaling>
        <c:delete val="0"/>
        <c:axPos val="b"/>
        <c:numFmt formatCode="General" sourceLinked="1"/>
        <c:majorTickMark val="none"/>
        <c:minorTickMark val="none"/>
        <c:tickLblPos val="nextTo"/>
        <c:crossAx val="214361984"/>
        <c:crosses val="autoZero"/>
        <c:auto val="1"/>
        <c:lblAlgn val="ctr"/>
        <c:lblOffset val="100"/>
        <c:noMultiLvlLbl val="0"/>
      </c:catAx>
      <c:valAx>
        <c:axId val="214361984"/>
        <c:scaling>
          <c:orientation val="minMax"/>
        </c:scaling>
        <c:delete val="0"/>
        <c:axPos val="l"/>
        <c:majorGridlines/>
        <c:numFmt formatCode="0.00%" sourceLinked="1"/>
        <c:majorTickMark val="none"/>
        <c:minorTickMark val="none"/>
        <c:tickLblPos val="nextTo"/>
        <c:crossAx val="214360448"/>
        <c:crosses val="autoZero"/>
        <c:crossBetween val="between"/>
      </c:valAx>
    </c:plotArea>
    <c:legend>
      <c:legendPos val="r"/>
      <c:layout>
        <c:manualLayout>
          <c:xMode val="edge"/>
          <c:yMode val="edge"/>
          <c:x val="0.65110679104721148"/>
          <c:y val="0"/>
          <c:w val="0.33468361747854342"/>
          <c:h val="0.97505482375450725"/>
        </c:manualLayout>
      </c:layout>
      <c:overlay val="0"/>
      <c:txPr>
        <a:bodyPr/>
        <a:lstStyle/>
        <a:p>
          <a:pPr rtl="0">
            <a:defRPr/>
          </a:pPr>
          <a:endParaRPr lang="de-DE"/>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fr-FR"/>
              <a:t>Nombre de structures impliquées dans la réforme</a:t>
            </a:r>
          </a:p>
        </c:rich>
      </c:tx>
      <c:overlay val="0"/>
    </c:title>
    <c:autoTitleDeleted val="0"/>
    <c:view3D>
      <c:rotX val="15"/>
      <c:rotY val="20"/>
      <c:rAngAx val="0"/>
      <c:perspective val="30"/>
    </c:view3D>
    <c:floor>
      <c:thickness val="0"/>
    </c:floor>
    <c:sideWall>
      <c:thickness val="0"/>
    </c:sideWall>
    <c:backWall>
      <c:thickness val="0"/>
    </c:backWall>
    <c:plotArea>
      <c:layout/>
      <c:line3DChart>
        <c:grouping val="standard"/>
        <c:varyColors val="0"/>
        <c:ser>
          <c:idx val="0"/>
          <c:order val="0"/>
          <c:tx>
            <c:strRef>
              <c:f>Feuil1!$A$11</c:f>
              <c:strCache>
                <c:ptCount val="1"/>
                <c:pt idx="0">
                  <c:v>Nb de districts cumulés</c:v>
                </c:pt>
              </c:strCache>
            </c:strRef>
          </c:tx>
          <c:cat>
            <c:numRef>
              <c:f>Feuil1!$C$10:$K$10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Feuil1!$B$11:$K$11</c:f>
              <c:numCache>
                <c:formatCode>General</c:formatCode>
                <c:ptCount val="10"/>
                <c:pt idx="1">
                  <c:v>17</c:v>
                </c:pt>
                <c:pt idx="2">
                  <c:v>22</c:v>
                </c:pt>
                <c:pt idx="3">
                  <c:v>28</c:v>
                </c:pt>
                <c:pt idx="4">
                  <c:v>36</c:v>
                </c:pt>
                <c:pt idx="5">
                  <c:v>46</c:v>
                </c:pt>
                <c:pt idx="6">
                  <c:v>60</c:v>
                </c:pt>
                <c:pt idx="7">
                  <c:v>77</c:v>
                </c:pt>
                <c:pt idx="8">
                  <c:v>98</c:v>
                </c:pt>
                <c:pt idx="9">
                  <c:v>114</c:v>
                </c:pt>
              </c:numCache>
            </c:numRef>
          </c:val>
          <c:smooth val="0"/>
        </c:ser>
        <c:ser>
          <c:idx val="1"/>
          <c:order val="1"/>
          <c:tx>
            <c:strRef>
              <c:f>Feuil1!$A$12</c:f>
              <c:strCache>
                <c:ptCount val="1"/>
                <c:pt idx="0">
                  <c:v>Nb de communes cumulées</c:v>
                </c:pt>
              </c:strCache>
            </c:strRef>
          </c:tx>
          <c:dLbls>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showLegendKey val="0"/>
            <c:showVal val="1"/>
            <c:showCatName val="0"/>
            <c:showSerName val="0"/>
            <c:showPercent val="0"/>
            <c:showBubbleSize val="0"/>
            <c:showLeaderLines val="0"/>
          </c:dLbls>
          <c:cat>
            <c:numRef>
              <c:f>Feuil1!$C$10:$K$10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Feuil1!$B$12:$K$12</c:f>
              <c:numCache>
                <c:formatCode>General</c:formatCode>
                <c:ptCount val="10"/>
                <c:pt idx="1">
                  <c:v>254</c:v>
                </c:pt>
                <c:pt idx="2">
                  <c:v>326</c:v>
                </c:pt>
                <c:pt idx="3">
                  <c:v>419</c:v>
                </c:pt>
                <c:pt idx="4">
                  <c:v>537</c:v>
                </c:pt>
                <c:pt idx="5">
                  <c:v>690</c:v>
                </c:pt>
                <c:pt idx="6">
                  <c:v>885</c:v>
                </c:pt>
                <c:pt idx="7" formatCode="#,##0">
                  <c:v>1137</c:v>
                </c:pt>
                <c:pt idx="8" formatCode="#,##0">
                  <c:v>1459</c:v>
                </c:pt>
                <c:pt idx="9" formatCode="#,##0">
                  <c:v>1693</c:v>
                </c:pt>
              </c:numCache>
            </c:numRef>
          </c:val>
          <c:smooth val="0"/>
        </c:ser>
        <c:ser>
          <c:idx val="2"/>
          <c:order val="2"/>
          <c:tx>
            <c:strRef>
              <c:f>Feuil1!$A$13</c:f>
              <c:strCache>
                <c:ptCount val="1"/>
                <c:pt idx="0">
                  <c:v>Nb de CSB cumulés</c:v>
                </c:pt>
              </c:strCache>
            </c:strRef>
          </c:tx>
          <c:dLbls>
            <c:dLbl>
              <c:idx val="1"/>
              <c:delete val="1"/>
            </c:dLbl>
            <c:dLbl>
              <c:idx val="2"/>
              <c:delete val="1"/>
            </c:dLbl>
            <c:dLbl>
              <c:idx val="3"/>
              <c:delete val="1"/>
            </c:dLbl>
            <c:dLbl>
              <c:idx val="4"/>
              <c:delete val="1"/>
            </c:dLbl>
            <c:dLbl>
              <c:idx val="5"/>
              <c:delete val="1"/>
            </c:dLbl>
            <c:dLbl>
              <c:idx val="6"/>
              <c:delete val="1"/>
            </c:dLbl>
            <c:dLbl>
              <c:idx val="8"/>
              <c:delete val="1"/>
            </c:dLbl>
            <c:dLbl>
              <c:idx val="9"/>
              <c:tx>
                <c:rich>
                  <a:bodyPr/>
                  <a:lstStyle/>
                  <a:p>
                    <a:r>
                      <a:rPr lang="en-US"/>
                      <a:t>2 562</a:t>
                    </a:r>
                  </a:p>
                </c:rich>
              </c:tx>
              <c:showLegendKey val="0"/>
              <c:showVal val="1"/>
              <c:showCatName val="0"/>
              <c:showSerName val="0"/>
              <c:showPercent val="0"/>
              <c:showBubbleSize val="0"/>
            </c:dLbl>
            <c:showLegendKey val="0"/>
            <c:showVal val="1"/>
            <c:showCatName val="0"/>
            <c:showSerName val="0"/>
            <c:showPercent val="0"/>
            <c:showBubbleSize val="0"/>
            <c:showLeaderLines val="0"/>
          </c:dLbls>
          <c:cat>
            <c:numRef>
              <c:f>Feuil1!$C$10:$K$10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Feuil1!$B$13:$K$13</c:f>
              <c:numCache>
                <c:formatCode>General</c:formatCode>
                <c:ptCount val="10"/>
                <c:pt idx="1">
                  <c:v>329</c:v>
                </c:pt>
                <c:pt idx="2">
                  <c:v>423</c:v>
                </c:pt>
                <c:pt idx="3">
                  <c:v>543</c:v>
                </c:pt>
                <c:pt idx="4">
                  <c:v>697</c:v>
                </c:pt>
                <c:pt idx="5">
                  <c:v>894</c:v>
                </c:pt>
                <c:pt idx="6" formatCode="#,##0">
                  <c:v>1148</c:v>
                </c:pt>
                <c:pt idx="7" formatCode="#,##0">
                  <c:v>1474</c:v>
                </c:pt>
                <c:pt idx="8" formatCode="#,##0">
                  <c:v>1892</c:v>
                </c:pt>
                <c:pt idx="9" formatCode="#,##0">
                  <c:v>2195</c:v>
                </c:pt>
              </c:numCache>
            </c:numRef>
          </c:val>
          <c:smooth val="0"/>
        </c:ser>
        <c:ser>
          <c:idx val="3"/>
          <c:order val="3"/>
          <c:tx>
            <c:strRef>
              <c:f>Feuil1!$A$14</c:f>
              <c:strCache>
                <c:ptCount val="1"/>
                <c:pt idx="0">
                  <c:v>Nb CSB renforcés BM</c:v>
                </c:pt>
              </c:strCache>
            </c:strRef>
          </c:tx>
          <c:dLbls>
            <c:dLbl>
              <c:idx val="1"/>
              <c:delete val="1"/>
            </c:dLbl>
            <c:dLbl>
              <c:idx val="2"/>
              <c:delete val="1"/>
            </c:dLbl>
            <c:dLbl>
              <c:idx val="3"/>
              <c:delete val="1"/>
            </c:dLbl>
            <c:dLbl>
              <c:idx val="4"/>
              <c:delete val="1"/>
            </c:dLbl>
            <c:showLegendKey val="0"/>
            <c:showVal val="1"/>
            <c:showCatName val="0"/>
            <c:showSerName val="0"/>
            <c:showPercent val="0"/>
            <c:showBubbleSize val="0"/>
            <c:showLeaderLines val="0"/>
          </c:dLbls>
          <c:cat>
            <c:numRef>
              <c:f>Feuil1!$C$10:$K$10</c:f>
              <c:numCache>
                <c:formatCode>General</c:formatCode>
                <c:ptCount val="9"/>
                <c:pt idx="0">
                  <c:v>2018</c:v>
                </c:pt>
                <c:pt idx="1">
                  <c:v>2019</c:v>
                </c:pt>
                <c:pt idx="2">
                  <c:v>2020</c:v>
                </c:pt>
                <c:pt idx="3">
                  <c:v>2021</c:v>
                </c:pt>
                <c:pt idx="4">
                  <c:v>2022</c:v>
                </c:pt>
                <c:pt idx="5">
                  <c:v>2023</c:v>
                </c:pt>
                <c:pt idx="6">
                  <c:v>2024</c:v>
                </c:pt>
                <c:pt idx="7">
                  <c:v>2025</c:v>
                </c:pt>
                <c:pt idx="8">
                  <c:v>2026</c:v>
                </c:pt>
              </c:numCache>
            </c:numRef>
          </c:cat>
          <c:val>
            <c:numRef>
              <c:f>Feuil1!$B$14:$K$14</c:f>
              <c:numCache>
                <c:formatCode>General</c:formatCode>
                <c:ptCount val="10"/>
                <c:pt idx="1">
                  <c:v>560</c:v>
                </c:pt>
                <c:pt idx="2">
                  <c:v>773</c:v>
                </c:pt>
                <c:pt idx="3">
                  <c:v>986</c:v>
                </c:pt>
                <c:pt idx="4">
                  <c:v>1199</c:v>
                </c:pt>
                <c:pt idx="5">
                  <c:v>1412</c:v>
                </c:pt>
              </c:numCache>
            </c:numRef>
          </c:val>
          <c:smooth val="0"/>
        </c:ser>
        <c:dLbls>
          <c:showLegendKey val="0"/>
          <c:showVal val="1"/>
          <c:showCatName val="0"/>
          <c:showSerName val="0"/>
          <c:showPercent val="0"/>
          <c:showBubbleSize val="0"/>
        </c:dLbls>
        <c:axId val="194701184"/>
        <c:axId val="194702720"/>
        <c:axId val="214339584"/>
      </c:line3DChart>
      <c:catAx>
        <c:axId val="194701184"/>
        <c:scaling>
          <c:orientation val="minMax"/>
        </c:scaling>
        <c:delete val="0"/>
        <c:axPos val="b"/>
        <c:numFmt formatCode="General" sourceLinked="1"/>
        <c:majorTickMark val="none"/>
        <c:minorTickMark val="none"/>
        <c:tickLblPos val="nextTo"/>
        <c:crossAx val="194702720"/>
        <c:crosses val="autoZero"/>
        <c:auto val="1"/>
        <c:lblAlgn val="ctr"/>
        <c:lblOffset val="100"/>
        <c:noMultiLvlLbl val="0"/>
      </c:catAx>
      <c:valAx>
        <c:axId val="194702720"/>
        <c:scaling>
          <c:orientation val="minMax"/>
        </c:scaling>
        <c:delete val="1"/>
        <c:axPos val="l"/>
        <c:numFmt formatCode="General" sourceLinked="1"/>
        <c:majorTickMark val="none"/>
        <c:minorTickMark val="none"/>
        <c:tickLblPos val="nextTo"/>
        <c:crossAx val="194701184"/>
        <c:crosses val="autoZero"/>
        <c:crossBetween val="between"/>
      </c:valAx>
      <c:serAx>
        <c:axId val="214339584"/>
        <c:scaling>
          <c:orientation val="minMax"/>
        </c:scaling>
        <c:delete val="1"/>
        <c:axPos val="b"/>
        <c:majorTickMark val="out"/>
        <c:minorTickMark val="none"/>
        <c:tickLblPos val="nextTo"/>
        <c:crossAx val="194702720"/>
        <c:crosses val="autoZero"/>
      </c:serAx>
    </c:plotArea>
    <c:legend>
      <c:legendPos val="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pPr>
            <a:r>
              <a:rPr lang="fr-FR" sz="1100"/>
              <a:t>Coûts</a:t>
            </a:r>
            <a:r>
              <a:rPr lang="fr-FR" sz="1100" baseline="0"/>
              <a:t> et financement des frais de fonctionnement (US$)</a:t>
            </a:r>
          </a:p>
          <a:p>
            <a:pPr>
              <a:defRPr sz="1100"/>
            </a:pPr>
            <a:endParaRPr lang="fr-FR" sz="1100"/>
          </a:p>
        </c:rich>
      </c:tx>
      <c:overlay val="0"/>
    </c:title>
    <c:autoTitleDeleted val="0"/>
    <c:plotArea>
      <c:layout>
        <c:manualLayout>
          <c:layoutTarget val="inner"/>
          <c:xMode val="edge"/>
          <c:yMode val="edge"/>
          <c:x val="0.10624026325492816"/>
          <c:y val="0.26941122895915615"/>
          <c:w val="0.6436633615025612"/>
          <c:h val="0.62521904004901596"/>
        </c:manualLayout>
      </c:layout>
      <c:scatterChart>
        <c:scatterStyle val="smoothMarker"/>
        <c:varyColors val="0"/>
        <c:ser>
          <c:idx val="0"/>
          <c:order val="0"/>
          <c:tx>
            <c:strRef>
              <c:f>Feuil2!$A$23</c:f>
              <c:strCache>
                <c:ptCount val="1"/>
                <c:pt idx="0">
                  <c:v>Fonctiont  CSB/CHRD</c:v>
                </c:pt>
              </c:strCache>
            </c:strRef>
          </c:tx>
          <c:xVal>
            <c:numRef>
              <c:f>Feuil2!$B$30:$N$30</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xVal>
          <c:yVal>
            <c:numRef>
              <c:f>Feuil2!$B$23:$N$23</c:f>
              <c:numCache>
                <c:formatCode>#,##0</c:formatCode>
                <c:ptCount val="13"/>
                <c:pt idx="0">
                  <c:v>1243503</c:v>
                </c:pt>
                <c:pt idx="1">
                  <c:v>1708091.2646666667</c:v>
                </c:pt>
                <c:pt idx="2">
                  <c:v>2336213.8909999998</c:v>
                </c:pt>
                <c:pt idx="3">
                  <c:v>3183270.7413333333</c:v>
                </c:pt>
                <c:pt idx="4">
                  <c:v>4322934.2826666664</c:v>
                </c:pt>
                <c:pt idx="5">
                  <c:v>5853058.8243333334</c:v>
                </c:pt>
                <c:pt idx="6">
                  <c:v>7903472.0426666662</c:v>
                </c:pt>
                <c:pt idx="7">
                  <c:v>9934176.6520000007</c:v>
                </c:pt>
                <c:pt idx="8">
                  <c:v>13214123.548666667</c:v>
                </c:pt>
                <c:pt idx="9">
                  <c:v>14663004.035666667</c:v>
                </c:pt>
                <c:pt idx="10">
                  <c:v>16376268.101333333</c:v>
                </c:pt>
                <c:pt idx="11">
                  <c:v>17585581.652547769</c:v>
                </c:pt>
                <c:pt idx="12">
                  <c:v>19888085.450955413</c:v>
                </c:pt>
              </c:numCache>
            </c:numRef>
          </c:yVal>
          <c:smooth val="1"/>
        </c:ser>
        <c:ser>
          <c:idx val="1"/>
          <c:order val="1"/>
          <c:tx>
            <c:strRef>
              <c:f>Feuil2!$A$24</c:f>
              <c:strCache>
                <c:ptCount val="1"/>
                <c:pt idx="0">
                  <c:v>Marge de gestion de la caisse</c:v>
                </c:pt>
              </c:strCache>
            </c:strRef>
          </c:tx>
          <c:xVal>
            <c:numRef>
              <c:f>Feuil2!$B$30:$N$30</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xVal>
          <c:yVal>
            <c:numRef>
              <c:f>Feuil2!$B$24:$N$24</c:f>
              <c:numCache>
                <c:formatCode>#,##0</c:formatCode>
                <c:ptCount val="13"/>
                <c:pt idx="0">
                  <c:v>995057.40599999996</c:v>
                </c:pt>
                <c:pt idx="1">
                  <c:v>1277404.9450000001</c:v>
                </c:pt>
                <c:pt idx="2">
                  <c:v>1639868.598</c:v>
                </c:pt>
                <c:pt idx="3">
                  <c:v>2105181.3126666667</c:v>
                </c:pt>
                <c:pt idx="4">
                  <c:v>2702526.5103333332</c:v>
                </c:pt>
                <c:pt idx="5">
                  <c:v>3469368.4076666669</c:v>
                </c:pt>
                <c:pt idx="6">
                  <c:v>4453801.6933333334</c:v>
                </c:pt>
                <c:pt idx="7">
                  <c:v>5717567.9236666663</c:v>
                </c:pt>
                <c:pt idx="8">
                  <c:v>7339927.8219999997</c:v>
                </c:pt>
                <c:pt idx="9">
                  <c:v>8518059.6366666667</c:v>
                </c:pt>
                <c:pt idx="10">
                  <c:v>9885293.3890000004</c:v>
                </c:pt>
                <c:pt idx="11">
                  <c:v>10960492.195222929</c:v>
                </c:pt>
                <c:pt idx="12">
                  <c:v>12719760.79745223</c:v>
                </c:pt>
              </c:numCache>
            </c:numRef>
          </c:yVal>
          <c:smooth val="1"/>
        </c:ser>
        <c:ser>
          <c:idx val="2"/>
          <c:order val="2"/>
          <c:tx>
            <c:strRef>
              <c:f>Feuil2!$A$25</c:f>
              <c:strCache>
                <c:ptCount val="1"/>
                <c:pt idx="0">
                  <c:v>Fonctiont  dist/comm </c:v>
                </c:pt>
              </c:strCache>
            </c:strRef>
          </c:tx>
          <c:xVal>
            <c:numRef>
              <c:f>Feuil2!$B$30:$N$30</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xVal>
          <c:yVal>
            <c:numRef>
              <c:f>Feuil2!$B$25:$N$25</c:f>
              <c:numCache>
                <c:formatCode>#,##0</c:formatCode>
                <c:ptCount val="13"/>
                <c:pt idx="0">
                  <c:v>249900</c:v>
                </c:pt>
                <c:pt idx="1">
                  <c:v>343265.76400000002</c:v>
                </c:pt>
                <c:pt idx="2">
                  <c:v>469496.13400000002</c:v>
                </c:pt>
                <c:pt idx="3">
                  <c:v>639724.5186666667</c:v>
                </c:pt>
                <c:pt idx="4">
                  <c:v>868756.47033333336</c:v>
                </c:pt>
                <c:pt idx="5">
                  <c:v>1176257.2346666667</c:v>
                </c:pt>
                <c:pt idx="6">
                  <c:v>1588317.5703333332</c:v>
                </c:pt>
                <c:pt idx="7">
                  <c:v>2081218.6516666666</c:v>
                </c:pt>
                <c:pt idx="8">
                  <c:v>2729752.8296666667</c:v>
                </c:pt>
                <c:pt idx="9">
                  <c:v>3239912.2846666668</c:v>
                </c:pt>
                <c:pt idx="10">
                  <c:v>3849364.7746666665</c:v>
                </c:pt>
                <c:pt idx="11">
                  <c:v>4374129.9124203818</c:v>
                </c:pt>
                <c:pt idx="12">
                  <c:v>5207945.011146497</c:v>
                </c:pt>
              </c:numCache>
            </c:numRef>
          </c:yVal>
          <c:smooth val="1"/>
        </c:ser>
        <c:ser>
          <c:idx val="3"/>
          <c:order val="3"/>
          <c:tx>
            <c:strRef>
              <c:f>Feuil2!$A$26</c:f>
              <c:strCache>
                <c:ptCount val="1"/>
                <c:pt idx="0">
                  <c:v>Fonctiont  fonkontany</c:v>
                </c:pt>
              </c:strCache>
            </c:strRef>
          </c:tx>
          <c:xVal>
            <c:numRef>
              <c:f>Feuil2!$B$30:$N$30</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xVal>
          <c:yVal>
            <c:numRef>
              <c:f>Feuil2!$B$26:$N$26</c:f>
              <c:numCache>
                <c:formatCode>#,##0</c:formatCode>
                <c:ptCount val="13"/>
                <c:pt idx="0">
                  <c:v>1444638</c:v>
                </c:pt>
                <c:pt idx="1">
                  <c:v>1984372.8146666666</c:v>
                </c:pt>
                <c:pt idx="2">
                  <c:v>2714093.4626666666</c:v>
                </c:pt>
                <c:pt idx="3">
                  <c:v>3698160.6616666666</c:v>
                </c:pt>
                <c:pt idx="4">
                  <c:v>5022163.3049999997</c:v>
                </c:pt>
                <c:pt idx="5">
                  <c:v>6799783.5099999998</c:v>
                </c:pt>
                <c:pt idx="6">
                  <c:v>9181848.4110000003</c:v>
                </c:pt>
                <c:pt idx="7">
                  <c:v>12031242.699333332</c:v>
                </c:pt>
                <c:pt idx="8">
                  <c:v>15780330.805</c:v>
                </c:pt>
                <c:pt idx="9">
                  <c:v>18729493.409000002</c:v>
                </c:pt>
                <c:pt idx="10">
                  <c:v>22252655.579666667</c:v>
                </c:pt>
                <c:pt idx="11">
                  <c:v>25286251.654777069</c:v>
                </c:pt>
                <c:pt idx="12">
                  <c:v>30106423.629299361</c:v>
                </c:pt>
              </c:numCache>
            </c:numRef>
          </c:yVal>
          <c:smooth val="1"/>
        </c:ser>
        <c:ser>
          <c:idx val="4"/>
          <c:order val="4"/>
          <c:tx>
            <c:strRef>
              <c:f>Feuil2!$A$27</c:f>
              <c:strCache>
                <c:ptCount val="1"/>
                <c:pt idx="0">
                  <c:v>Solde CSB/CHRR</c:v>
                </c:pt>
              </c:strCache>
            </c:strRef>
          </c:tx>
          <c:xVal>
            <c:numRef>
              <c:f>Feuil2!$B$30:$N$30</c:f>
              <c:numCache>
                <c:formatCode>General</c:formatCode>
                <c:ptCount val="1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numCache>
            </c:numRef>
          </c:xVal>
          <c:yVal>
            <c:numRef>
              <c:f>Feuil2!$B$27:$N$27</c:f>
              <c:numCache>
                <c:formatCode>#,##0</c:formatCode>
                <c:ptCount val="13"/>
                <c:pt idx="0">
                  <c:v>2877480</c:v>
                </c:pt>
                <c:pt idx="1">
                  <c:v>2533820.5619999999</c:v>
                </c:pt>
                <c:pt idx="2">
                  <c:v>3465591.7606666666</c:v>
                </c:pt>
                <c:pt idx="3">
                  <c:v>4722134.7633333337</c:v>
                </c:pt>
                <c:pt idx="4">
                  <c:v>6412737.0483333329</c:v>
                </c:pt>
                <c:pt idx="5">
                  <c:v>8682557.8763333336</c:v>
                </c:pt>
                <c:pt idx="6">
                  <c:v>11724186.512666667</c:v>
                </c:pt>
                <c:pt idx="7">
                  <c:v>15362542.158</c:v>
                </c:pt>
                <c:pt idx="8">
                  <c:v>20149705.493333332</c:v>
                </c:pt>
                <c:pt idx="9">
                  <c:v>23915454.103333332</c:v>
                </c:pt>
                <c:pt idx="10">
                  <c:v>28414135.550666668</c:v>
                </c:pt>
                <c:pt idx="11">
                  <c:v>32287696.132802546</c:v>
                </c:pt>
                <c:pt idx="12">
                  <c:v>38442512.961783439</c:v>
                </c:pt>
              </c:numCache>
            </c:numRef>
          </c:yVal>
          <c:smooth val="1"/>
        </c:ser>
        <c:dLbls>
          <c:showLegendKey val="0"/>
          <c:showVal val="0"/>
          <c:showCatName val="0"/>
          <c:showSerName val="0"/>
          <c:showPercent val="0"/>
          <c:showBubbleSize val="0"/>
        </c:dLbls>
        <c:axId val="194977792"/>
        <c:axId val="194979328"/>
      </c:scatterChart>
      <c:valAx>
        <c:axId val="194977792"/>
        <c:scaling>
          <c:orientation val="minMax"/>
        </c:scaling>
        <c:delete val="0"/>
        <c:axPos val="b"/>
        <c:numFmt formatCode="General" sourceLinked="1"/>
        <c:majorTickMark val="none"/>
        <c:minorTickMark val="none"/>
        <c:tickLblPos val="nextTo"/>
        <c:crossAx val="194979328"/>
        <c:crosses val="autoZero"/>
        <c:crossBetween val="midCat"/>
      </c:valAx>
      <c:valAx>
        <c:axId val="194979328"/>
        <c:scaling>
          <c:orientation val="minMax"/>
        </c:scaling>
        <c:delete val="0"/>
        <c:axPos val="l"/>
        <c:majorGridlines/>
        <c:numFmt formatCode="#,##0" sourceLinked="1"/>
        <c:majorTickMark val="none"/>
        <c:minorTickMark val="none"/>
        <c:tickLblPos val="nextTo"/>
        <c:crossAx val="194977792"/>
        <c:crosses val="autoZero"/>
        <c:crossBetween val="midCat"/>
      </c:valAx>
    </c:plotArea>
    <c:legend>
      <c:legendPos val="r"/>
      <c:layout>
        <c:manualLayout>
          <c:xMode val="edge"/>
          <c:yMode val="edge"/>
          <c:x val="0.70813108159666049"/>
          <c:y val="0.20558855885588559"/>
          <c:w val="0.26908162406436636"/>
          <c:h val="0.5959141740945747"/>
        </c:manualLayout>
      </c:layout>
      <c:overlay val="0"/>
      <c:txPr>
        <a:bodyPr/>
        <a:lstStyle/>
        <a:p>
          <a:pPr rtl="0">
            <a:defRPr/>
          </a:pPr>
          <a:endParaRPr lang="de-DE"/>
        </a:p>
      </c:txPr>
    </c:legend>
    <c:plotVisOnly val="1"/>
    <c:dispBlanksAs val="gap"/>
    <c:showDLblsOverMax val="0"/>
  </c:chart>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2230</Words>
  <Characters>14052</Characters>
  <Application>Microsoft Office Word</Application>
  <DocSecurity>0</DocSecurity>
  <Lines>117</Lines>
  <Paragraphs>32</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16250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HEC</dc:creator>
  <cp:lastModifiedBy>Martina Pellny</cp:lastModifiedBy>
  <cp:revision>2</cp:revision>
  <dcterms:created xsi:type="dcterms:W3CDTF">2017-10-26T07:45:00Z</dcterms:created>
  <dcterms:modified xsi:type="dcterms:W3CDTF">2017-10-26T07:45:00Z</dcterms:modified>
</cp:coreProperties>
</file>