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3B079" w14:textId="77777777" w:rsidR="003F2ADC" w:rsidRPr="00DF31FA" w:rsidRDefault="003F2ADC" w:rsidP="003F2ADC">
      <w:pPr>
        <w:spacing w:line="240" w:lineRule="auto"/>
        <w:rPr>
          <w:rFonts w:ascii="Times New Roman" w:eastAsia="Times New Roman" w:hAnsi="Times New Roman"/>
          <w:b/>
          <w:bCs/>
          <w:smallCaps/>
          <w:sz w:val="28"/>
          <w:szCs w:val="23"/>
          <w:lang w:bidi="en-US"/>
        </w:rPr>
      </w:pPr>
      <w:bookmarkStart w:id="0" w:name="_GoBack"/>
      <w:bookmarkEnd w:id="0"/>
      <w:r w:rsidRPr="00DF31FA">
        <w:rPr>
          <w:rFonts w:ascii="Times New Roman" w:eastAsia="Times New Roman" w:hAnsi="Times New Roman"/>
          <w:b/>
          <w:bCs/>
          <w:smallCaps/>
          <w:sz w:val="28"/>
          <w:szCs w:val="23"/>
          <w:lang w:bidi="en-US"/>
        </w:rPr>
        <w:t>République Du Niger</w:t>
      </w:r>
    </w:p>
    <w:p w14:paraId="62D62171" w14:textId="77777777" w:rsidR="003F2ADC" w:rsidRPr="007357CF" w:rsidRDefault="003F2ADC" w:rsidP="003F2ADC">
      <w:pPr>
        <w:spacing w:after="0" w:line="240" w:lineRule="auto"/>
        <w:jc w:val="both"/>
        <w:rPr>
          <w:rFonts w:ascii="Times New Roman" w:eastAsia="Times New Roman" w:hAnsi="Times New Roman"/>
          <w:b/>
          <w:bCs/>
          <w:i/>
          <w:iCs/>
          <w:sz w:val="28"/>
          <w:szCs w:val="23"/>
          <w:lang w:bidi="en-US"/>
        </w:rPr>
      </w:pPr>
      <w:r w:rsidRPr="00DF31FA">
        <w:rPr>
          <w:rFonts w:ascii="Times New Roman" w:eastAsia="Times New Roman" w:hAnsi="Times New Roman"/>
          <w:b/>
          <w:bCs/>
          <w:i/>
          <w:iCs/>
          <w:sz w:val="28"/>
          <w:szCs w:val="23"/>
          <w:lang w:bidi="en-US"/>
        </w:rPr>
        <w:t>Fraternité – Travail – Progrès</w:t>
      </w:r>
    </w:p>
    <w:p w14:paraId="4BCDE642" w14:textId="77777777" w:rsidR="003F2ADC" w:rsidRPr="00DF31FA" w:rsidRDefault="003F2ADC" w:rsidP="003F2ADC">
      <w:pPr>
        <w:spacing w:after="0" w:line="240" w:lineRule="auto"/>
        <w:jc w:val="both"/>
        <w:rPr>
          <w:rFonts w:ascii="Times New Roman" w:eastAsia="Times New Roman" w:hAnsi="Times New Roman"/>
          <w:b/>
          <w:bCs/>
          <w:sz w:val="28"/>
          <w:szCs w:val="23"/>
          <w:lang w:bidi="en-US"/>
        </w:rPr>
      </w:pPr>
      <w:r w:rsidRPr="003E3556">
        <w:rPr>
          <w:rFonts w:ascii="Times New Roman" w:eastAsia="Times New Roman" w:hAnsi="Times New Roman"/>
          <w:b/>
          <w:noProof/>
          <w:sz w:val="28"/>
          <w:szCs w:val="23"/>
          <w:lang w:eastAsia="fr-FR"/>
        </w:rPr>
        <w:drawing>
          <wp:inline distT="0" distB="0" distL="0" distR="0" wp14:anchorId="00CB3345" wp14:editId="0E7A8781">
            <wp:extent cx="1485900" cy="790575"/>
            <wp:effectExtent l="0" t="0" r="0" b="9525"/>
            <wp:docPr id="9" name="Image 9" descr="Armoirie de la Republique du N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Armoirie de la Republique du Nig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790575"/>
                    </a:xfrm>
                    <a:prstGeom prst="rect">
                      <a:avLst/>
                    </a:prstGeom>
                    <a:noFill/>
                    <a:ln>
                      <a:noFill/>
                    </a:ln>
                  </pic:spPr>
                </pic:pic>
              </a:graphicData>
            </a:graphic>
          </wp:inline>
        </w:drawing>
      </w:r>
    </w:p>
    <w:p w14:paraId="350755A2" w14:textId="77777777" w:rsidR="003F2ADC" w:rsidRPr="00DF31FA" w:rsidRDefault="003F2ADC" w:rsidP="003F2ADC">
      <w:pPr>
        <w:spacing w:after="0" w:line="240" w:lineRule="auto"/>
        <w:jc w:val="both"/>
        <w:rPr>
          <w:rFonts w:ascii="Times New Roman" w:eastAsia="Times New Roman" w:hAnsi="Times New Roman"/>
          <w:b/>
          <w:bCs/>
          <w:smallCaps/>
          <w:sz w:val="28"/>
          <w:szCs w:val="23"/>
          <w:lang w:bidi="en-US"/>
        </w:rPr>
      </w:pPr>
      <w:r w:rsidRPr="00DF31FA">
        <w:rPr>
          <w:rFonts w:ascii="Times New Roman" w:eastAsia="Times New Roman" w:hAnsi="Times New Roman"/>
          <w:b/>
          <w:bCs/>
          <w:smallCaps/>
          <w:sz w:val="28"/>
          <w:szCs w:val="23"/>
          <w:lang w:bidi="en-US"/>
        </w:rPr>
        <w:t>Ministère  De La Sante Publique</w:t>
      </w:r>
    </w:p>
    <w:p w14:paraId="756CF1A7" w14:textId="77777777" w:rsidR="003F2ADC" w:rsidRPr="00DF31FA" w:rsidRDefault="003F2ADC" w:rsidP="003F2ADC">
      <w:pPr>
        <w:spacing w:after="0" w:line="240" w:lineRule="auto"/>
        <w:jc w:val="both"/>
        <w:rPr>
          <w:rFonts w:ascii="Times New Roman" w:eastAsia="Times New Roman" w:hAnsi="Times New Roman"/>
          <w:b/>
          <w:bCs/>
          <w:sz w:val="28"/>
          <w:szCs w:val="23"/>
          <w:lang w:bidi="en-US"/>
        </w:rPr>
      </w:pPr>
      <w:r w:rsidRPr="00DF31FA">
        <w:rPr>
          <w:rFonts w:ascii="Times New Roman" w:eastAsia="Times New Roman" w:hAnsi="Times New Roman"/>
          <w:b/>
          <w:bCs/>
          <w:sz w:val="28"/>
          <w:szCs w:val="23"/>
          <w:lang w:bidi="en-US"/>
        </w:rPr>
        <w:t>Secrétariat Général</w:t>
      </w:r>
    </w:p>
    <w:p w14:paraId="6F7F90A5" w14:textId="77777777" w:rsidR="003F2ADC" w:rsidRPr="00DF31FA" w:rsidRDefault="003F2ADC" w:rsidP="003F2ADC">
      <w:pPr>
        <w:spacing w:after="0" w:line="240" w:lineRule="auto"/>
        <w:jc w:val="both"/>
        <w:rPr>
          <w:rFonts w:ascii="Times New Roman" w:eastAsia="Times New Roman" w:hAnsi="Times New Roman"/>
          <w:sz w:val="23"/>
          <w:szCs w:val="23"/>
          <w:lang w:bidi="en-US"/>
        </w:rPr>
      </w:pPr>
    </w:p>
    <w:p w14:paraId="0BDD0940" w14:textId="77777777" w:rsidR="003F2ADC" w:rsidRPr="00DF31FA" w:rsidRDefault="003F2ADC" w:rsidP="003F2ADC">
      <w:pPr>
        <w:spacing w:line="240" w:lineRule="auto"/>
        <w:jc w:val="both"/>
        <w:rPr>
          <w:rFonts w:ascii="Times New Roman" w:eastAsia="Times New Roman" w:hAnsi="Times New Roman"/>
          <w:sz w:val="23"/>
          <w:szCs w:val="23"/>
          <w:lang w:bidi="en-US"/>
        </w:rPr>
      </w:pPr>
      <w:r>
        <w:rPr>
          <w:rFonts w:ascii="Times New Roman" w:eastAsia="Times New Roman" w:hAnsi="Times New Roman"/>
          <w:sz w:val="23"/>
          <w:szCs w:val="23"/>
          <w:lang w:bidi="en-US"/>
        </w:rPr>
        <w:tab/>
      </w:r>
      <w:r>
        <w:rPr>
          <w:rFonts w:ascii="Times New Roman" w:eastAsia="Times New Roman" w:hAnsi="Times New Roman"/>
          <w:sz w:val="23"/>
          <w:szCs w:val="23"/>
          <w:lang w:bidi="en-US"/>
        </w:rPr>
        <w:tab/>
      </w:r>
      <w:r>
        <w:rPr>
          <w:rFonts w:ascii="Times New Roman" w:eastAsia="Times New Roman" w:hAnsi="Times New Roman"/>
          <w:sz w:val="23"/>
          <w:szCs w:val="23"/>
          <w:lang w:bidi="en-US"/>
        </w:rPr>
        <w:tab/>
      </w:r>
      <w:r>
        <w:rPr>
          <w:rFonts w:ascii="Times New Roman" w:eastAsia="Times New Roman" w:hAnsi="Times New Roman"/>
          <w:sz w:val="23"/>
          <w:szCs w:val="23"/>
          <w:lang w:bidi="en-US"/>
        </w:rPr>
        <w:tab/>
      </w:r>
      <w:r>
        <w:rPr>
          <w:rFonts w:ascii="Times New Roman" w:eastAsia="Times New Roman" w:hAnsi="Times New Roman"/>
          <w:sz w:val="23"/>
          <w:szCs w:val="23"/>
          <w:lang w:bidi="en-US"/>
        </w:rPr>
        <w:tab/>
      </w:r>
      <w:r w:rsidRPr="003E3556">
        <w:rPr>
          <w:rFonts w:ascii="Times New Roman" w:eastAsia="Times New Roman" w:hAnsi="Times New Roman"/>
          <w:noProof/>
          <w:sz w:val="23"/>
          <w:szCs w:val="23"/>
          <w:lang w:eastAsia="fr-FR"/>
        </w:rPr>
        <w:drawing>
          <wp:inline distT="0" distB="0" distL="0" distR="0" wp14:anchorId="0DAD2481" wp14:editId="465E102A">
            <wp:extent cx="1085850" cy="1181100"/>
            <wp:effectExtent l="0" t="0" r="0" b="0"/>
            <wp:docPr id="15" name="Image 15" descr="logo_s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_sa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5850" cy="1181100"/>
                    </a:xfrm>
                    <a:prstGeom prst="rect">
                      <a:avLst/>
                    </a:prstGeom>
                    <a:noFill/>
                    <a:ln>
                      <a:noFill/>
                    </a:ln>
                  </pic:spPr>
                </pic:pic>
              </a:graphicData>
            </a:graphic>
          </wp:inline>
        </w:drawing>
      </w:r>
      <w:r>
        <w:rPr>
          <w:rFonts w:ascii="Times New Roman" w:eastAsia="Times New Roman" w:hAnsi="Times New Roman"/>
          <w:sz w:val="23"/>
          <w:szCs w:val="23"/>
          <w:lang w:bidi="en-US"/>
        </w:rPr>
        <w:tab/>
      </w:r>
    </w:p>
    <w:p w14:paraId="39B880BE" w14:textId="77777777" w:rsidR="00A22125" w:rsidRPr="00BF29A2" w:rsidRDefault="00A22125" w:rsidP="00A22125">
      <w:pPr>
        <w:jc w:val="center"/>
        <w:rPr>
          <w:rFonts w:cstheme="minorHAnsi"/>
          <w:b/>
          <w:i/>
          <w:sz w:val="24"/>
          <w:szCs w:val="24"/>
        </w:rPr>
      </w:pPr>
    </w:p>
    <w:p w14:paraId="762FBE1B" w14:textId="77777777" w:rsidR="00F951F9" w:rsidRDefault="009146B8" w:rsidP="00A22125">
      <w:pPr>
        <w:jc w:val="center"/>
        <w:rPr>
          <w:rFonts w:cstheme="minorHAnsi"/>
          <w:b/>
          <w:i/>
          <w:sz w:val="48"/>
          <w:szCs w:val="24"/>
        </w:rPr>
      </w:pPr>
      <w:r>
        <w:rPr>
          <w:rFonts w:cstheme="minorHAnsi"/>
          <w:b/>
          <w:i/>
          <w:sz w:val="48"/>
          <w:szCs w:val="24"/>
        </w:rPr>
        <w:t>STRATEGIE</w:t>
      </w:r>
      <w:r w:rsidR="00A22125" w:rsidRPr="00F951F9">
        <w:rPr>
          <w:rFonts w:cstheme="minorHAnsi"/>
          <w:b/>
          <w:i/>
          <w:sz w:val="48"/>
          <w:szCs w:val="24"/>
        </w:rPr>
        <w:t xml:space="preserve"> </w:t>
      </w:r>
      <w:r w:rsidR="002A2CA3">
        <w:rPr>
          <w:rFonts w:cstheme="minorHAnsi"/>
          <w:b/>
          <w:i/>
          <w:sz w:val="48"/>
          <w:szCs w:val="24"/>
        </w:rPr>
        <w:t xml:space="preserve">NATIONALE </w:t>
      </w:r>
      <w:r w:rsidR="00F951F9">
        <w:rPr>
          <w:rFonts w:cstheme="minorHAnsi"/>
          <w:b/>
          <w:i/>
          <w:sz w:val="48"/>
          <w:szCs w:val="24"/>
        </w:rPr>
        <w:t xml:space="preserve">DE </w:t>
      </w:r>
    </w:p>
    <w:p w14:paraId="209CFDC8" w14:textId="77777777" w:rsidR="00F951F9" w:rsidRDefault="00F951F9" w:rsidP="00A22125">
      <w:pPr>
        <w:jc w:val="center"/>
        <w:rPr>
          <w:rFonts w:cstheme="minorHAnsi"/>
          <w:b/>
          <w:i/>
          <w:sz w:val="48"/>
          <w:szCs w:val="24"/>
        </w:rPr>
      </w:pPr>
      <w:r>
        <w:rPr>
          <w:rFonts w:cstheme="minorHAnsi"/>
          <w:b/>
          <w:i/>
          <w:sz w:val="48"/>
          <w:szCs w:val="24"/>
        </w:rPr>
        <w:t>LA COUVERTURE SANITAIRE UNIVERSELLE</w:t>
      </w:r>
      <w:r w:rsidR="00A22125" w:rsidRPr="00F951F9">
        <w:rPr>
          <w:rFonts w:cstheme="minorHAnsi"/>
          <w:b/>
          <w:i/>
          <w:sz w:val="48"/>
          <w:szCs w:val="24"/>
        </w:rPr>
        <w:t xml:space="preserve"> </w:t>
      </w:r>
    </w:p>
    <w:p w14:paraId="41C0B1C1" w14:textId="77777777" w:rsidR="00A22125" w:rsidRDefault="002A2CA3" w:rsidP="00A22125">
      <w:pPr>
        <w:jc w:val="center"/>
        <w:rPr>
          <w:rFonts w:cstheme="minorHAnsi"/>
          <w:b/>
          <w:i/>
          <w:sz w:val="48"/>
          <w:szCs w:val="24"/>
        </w:rPr>
      </w:pPr>
      <w:r>
        <w:rPr>
          <w:rFonts w:cstheme="minorHAnsi"/>
          <w:b/>
          <w:i/>
          <w:sz w:val="48"/>
          <w:szCs w:val="24"/>
        </w:rPr>
        <w:t>AU</w:t>
      </w:r>
      <w:r w:rsidR="00A22125" w:rsidRPr="00F951F9">
        <w:rPr>
          <w:rFonts w:cstheme="minorHAnsi"/>
          <w:b/>
          <w:i/>
          <w:sz w:val="48"/>
          <w:szCs w:val="24"/>
        </w:rPr>
        <w:t xml:space="preserve"> NIGER</w:t>
      </w:r>
    </w:p>
    <w:p w14:paraId="187019A0" w14:textId="77777777" w:rsidR="00F951F9" w:rsidRPr="00F951F9" w:rsidRDefault="00F951F9" w:rsidP="00A22125">
      <w:pPr>
        <w:jc w:val="center"/>
        <w:rPr>
          <w:rFonts w:cstheme="minorHAnsi"/>
          <w:b/>
          <w:i/>
          <w:sz w:val="48"/>
          <w:szCs w:val="24"/>
        </w:rPr>
      </w:pPr>
    </w:p>
    <w:p w14:paraId="1F93C0CE" w14:textId="77777777" w:rsidR="00F951F9" w:rsidRDefault="00F951F9" w:rsidP="00A22125">
      <w:pPr>
        <w:jc w:val="center"/>
        <w:rPr>
          <w:rFonts w:cstheme="minorHAnsi"/>
          <w:b/>
          <w:i/>
          <w:sz w:val="48"/>
          <w:szCs w:val="24"/>
        </w:rPr>
      </w:pPr>
      <w:r w:rsidRPr="00F951F9">
        <w:rPr>
          <w:rFonts w:cstheme="minorHAnsi"/>
          <w:b/>
          <w:i/>
          <w:sz w:val="48"/>
          <w:szCs w:val="24"/>
        </w:rPr>
        <w:t>2021-2030</w:t>
      </w:r>
    </w:p>
    <w:p w14:paraId="025862BA" w14:textId="77777777" w:rsidR="00F951F9" w:rsidRPr="00F951F9" w:rsidRDefault="00F951F9" w:rsidP="00A22125">
      <w:pPr>
        <w:jc w:val="center"/>
        <w:rPr>
          <w:rFonts w:cstheme="minorHAnsi"/>
          <w:b/>
          <w:i/>
          <w:sz w:val="48"/>
          <w:szCs w:val="24"/>
        </w:rPr>
      </w:pPr>
    </w:p>
    <w:p w14:paraId="13D01C6A" w14:textId="77777777" w:rsidR="00B65E81" w:rsidRDefault="00B65E81" w:rsidP="00A22125">
      <w:pPr>
        <w:jc w:val="center"/>
        <w:rPr>
          <w:rFonts w:cstheme="minorHAnsi"/>
          <w:b/>
          <w:i/>
          <w:sz w:val="24"/>
          <w:szCs w:val="24"/>
          <w:u w:val="single"/>
        </w:rPr>
      </w:pPr>
      <w:r w:rsidRPr="00B65E81">
        <w:rPr>
          <w:rFonts w:cstheme="minorHAnsi"/>
          <w:b/>
          <w:i/>
          <w:sz w:val="24"/>
          <w:szCs w:val="24"/>
          <w:u w:val="single"/>
        </w:rPr>
        <w:t>PROJET DE DOCUMENT ET DE PLAN D’ACTION</w:t>
      </w:r>
      <w:r w:rsidR="00093848">
        <w:rPr>
          <w:rFonts w:cstheme="minorHAnsi"/>
          <w:b/>
          <w:i/>
          <w:sz w:val="24"/>
          <w:szCs w:val="24"/>
          <w:u w:val="single"/>
        </w:rPr>
        <w:t xml:space="preserve"> PLURIANNUEL</w:t>
      </w:r>
    </w:p>
    <w:p w14:paraId="31DED3BF" w14:textId="77777777" w:rsidR="003F2ADC" w:rsidRDefault="003F2ADC" w:rsidP="00A22125">
      <w:pPr>
        <w:jc w:val="center"/>
        <w:rPr>
          <w:rFonts w:cstheme="minorHAnsi"/>
          <w:b/>
          <w:i/>
          <w:sz w:val="24"/>
          <w:szCs w:val="24"/>
          <w:u w:val="single"/>
        </w:rPr>
      </w:pPr>
    </w:p>
    <w:p w14:paraId="4C6E0A92" w14:textId="77777777" w:rsidR="003F2ADC" w:rsidRPr="00B65E81" w:rsidRDefault="000B5EFA" w:rsidP="00A22125">
      <w:pPr>
        <w:jc w:val="center"/>
        <w:rPr>
          <w:rFonts w:cstheme="minorHAnsi"/>
          <w:b/>
          <w:i/>
          <w:sz w:val="24"/>
          <w:szCs w:val="24"/>
          <w:u w:val="single"/>
        </w:rPr>
      </w:pPr>
      <w:r>
        <w:rPr>
          <w:rFonts w:cstheme="minorHAnsi"/>
          <w:b/>
          <w:i/>
          <w:sz w:val="24"/>
          <w:szCs w:val="24"/>
          <w:u w:val="single"/>
        </w:rPr>
        <w:t>Octobre 2019</w:t>
      </w:r>
    </w:p>
    <w:p w14:paraId="3498681E" w14:textId="77777777" w:rsidR="00A22125" w:rsidRPr="00BF29A2" w:rsidRDefault="003F2ADC" w:rsidP="003F2ADC">
      <w:pPr>
        <w:jc w:val="right"/>
        <w:rPr>
          <w:rFonts w:cstheme="minorHAnsi"/>
          <w:b/>
          <w:i/>
          <w:sz w:val="24"/>
          <w:szCs w:val="24"/>
        </w:rPr>
      </w:pPr>
      <w:r>
        <w:rPr>
          <w:rFonts w:cstheme="minorHAnsi"/>
          <w:b/>
          <w:i/>
          <w:sz w:val="24"/>
          <w:szCs w:val="24"/>
        </w:rPr>
        <w:t xml:space="preserve">  </w:t>
      </w:r>
      <w:r w:rsidR="008D5D3A">
        <w:rPr>
          <w:rFonts w:cstheme="minorHAnsi"/>
          <w:b/>
          <w:i/>
          <w:sz w:val="24"/>
          <w:szCs w:val="24"/>
        </w:rPr>
        <w:t xml:space="preserve">                                                                          </w:t>
      </w:r>
      <w:r>
        <w:rPr>
          <w:rFonts w:cstheme="minorHAnsi"/>
          <w:b/>
          <w:i/>
          <w:sz w:val="24"/>
          <w:szCs w:val="24"/>
        </w:rPr>
        <w:t xml:space="preserve">                                                                                  </w:t>
      </w:r>
    </w:p>
    <w:p w14:paraId="55DF2203" w14:textId="77777777" w:rsidR="00BF29A2" w:rsidRDefault="00BF29A2">
      <w:pPr>
        <w:rPr>
          <w:rFonts w:cstheme="minorHAnsi"/>
          <w:b/>
          <w:i/>
          <w:sz w:val="24"/>
          <w:szCs w:val="24"/>
        </w:rPr>
      </w:pPr>
      <w:r>
        <w:rPr>
          <w:rFonts w:cstheme="minorHAnsi"/>
          <w:b/>
          <w:i/>
          <w:sz w:val="24"/>
          <w:szCs w:val="24"/>
        </w:rPr>
        <w:br w:type="page"/>
      </w:r>
    </w:p>
    <w:sdt>
      <w:sdtPr>
        <w:rPr>
          <w:rFonts w:asciiTheme="minorHAnsi" w:eastAsiaTheme="minorHAnsi" w:hAnsiTheme="minorHAnsi" w:cstheme="minorBidi"/>
          <w:b w:val="0"/>
          <w:bCs w:val="0"/>
          <w:color w:val="auto"/>
          <w:sz w:val="22"/>
          <w:szCs w:val="22"/>
          <w:lang w:eastAsia="en-US"/>
        </w:rPr>
        <w:id w:val="1450356282"/>
        <w:docPartObj>
          <w:docPartGallery w:val="Table of Contents"/>
          <w:docPartUnique/>
        </w:docPartObj>
      </w:sdtPr>
      <w:sdtEndPr/>
      <w:sdtContent>
        <w:p w14:paraId="6C28A222" w14:textId="77777777" w:rsidR="00BF29A2" w:rsidRDefault="000B5EFA">
          <w:pPr>
            <w:pStyle w:val="En-ttedetabledesmatires"/>
          </w:pPr>
          <w:r>
            <w:t>Table des matières</w:t>
          </w:r>
        </w:p>
        <w:p w14:paraId="6DE0D268" w14:textId="77777777" w:rsidR="004C0DCB" w:rsidRDefault="00BF29A2">
          <w:pPr>
            <w:pStyle w:val="TM1"/>
            <w:tabs>
              <w:tab w:val="right" w:leader="dot" w:pos="9060"/>
            </w:tabs>
            <w:rPr>
              <w:rFonts w:eastAsiaTheme="minorEastAsia"/>
              <w:noProof/>
              <w:lang w:eastAsia="fr-FR"/>
            </w:rPr>
          </w:pPr>
          <w:r>
            <w:fldChar w:fldCharType="begin"/>
          </w:r>
          <w:r>
            <w:instrText xml:space="preserve"> TOC \o "1-3" \h \z \u </w:instrText>
          </w:r>
          <w:r>
            <w:fldChar w:fldCharType="separate"/>
          </w:r>
          <w:hyperlink w:anchor="_Toc21449003" w:history="1">
            <w:r w:rsidR="004C0DCB" w:rsidRPr="004E0A16">
              <w:rPr>
                <w:rStyle w:val="Lienhypertexte"/>
                <w:noProof/>
              </w:rPr>
              <w:t>Abréviations</w:t>
            </w:r>
            <w:r w:rsidR="004C0DCB">
              <w:rPr>
                <w:noProof/>
                <w:webHidden/>
              </w:rPr>
              <w:tab/>
            </w:r>
            <w:r w:rsidR="004C0DCB">
              <w:rPr>
                <w:noProof/>
                <w:webHidden/>
              </w:rPr>
              <w:fldChar w:fldCharType="begin"/>
            </w:r>
            <w:r w:rsidR="004C0DCB">
              <w:rPr>
                <w:noProof/>
                <w:webHidden/>
              </w:rPr>
              <w:instrText xml:space="preserve"> PAGEREF _Toc21449003 \h </w:instrText>
            </w:r>
            <w:r w:rsidR="004C0DCB">
              <w:rPr>
                <w:noProof/>
                <w:webHidden/>
              </w:rPr>
            </w:r>
            <w:r w:rsidR="004C0DCB">
              <w:rPr>
                <w:noProof/>
                <w:webHidden/>
              </w:rPr>
              <w:fldChar w:fldCharType="separate"/>
            </w:r>
            <w:r w:rsidR="004C0DCB">
              <w:rPr>
                <w:noProof/>
                <w:webHidden/>
              </w:rPr>
              <w:t>4</w:t>
            </w:r>
            <w:r w:rsidR="004C0DCB">
              <w:rPr>
                <w:noProof/>
                <w:webHidden/>
              </w:rPr>
              <w:fldChar w:fldCharType="end"/>
            </w:r>
          </w:hyperlink>
        </w:p>
        <w:p w14:paraId="64F4DAE3" w14:textId="77777777" w:rsidR="004C0DCB" w:rsidRDefault="00D175FB">
          <w:pPr>
            <w:pStyle w:val="TM1"/>
            <w:tabs>
              <w:tab w:val="right" w:leader="dot" w:pos="9060"/>
            </w:tabs>
            <w:rPr>
              <w:rFonts w:eastAsiaTheme="minorEastAsia"/>
              <w:noProof/>
              <w:lang w:eastAsia="fr-FR"/>
            </w:rPr>
          </w:pPr>
          <w:hyperlink w:anchor="_Toc21449004" w:history="1">
            <w:r w:rsidR="004C0DCB" w:rsidRPr="004E0A16">
              <w:rPr>
                <w:rStyle w:val="Lienhypertexte"/>
                <w:noProof/>
              </w:rPr>
              <w:t>Résumé</w:t>
            </w:r>
            <w:r w:rsidR="004C0DCB">
              <w:rPr>
                <w:noProof/>
                <w:webHidden/>
              </w:rPr>
              <w:tab/>
            </w:r>
            <w:r w:rsidR="004C0DCB">
              <w:rPr>
                <w:noProof/>
                <w:webHidden/>
              </w:rPr>
              <w:fldChar w:fldCharType="begin"/>
            </w:r>
            <w:r w:rsidR="004C0DCB">
              <w:rPr>
                <w:noProof/>
                <w:webHidden/>
              </w:rPr>
              <w:instrText xml:space="preserve"> PAGEREF _Toc21449004 \h </w:instrText>
            </w:r>
            <w:r w:rsidR="004C0DCB">
              <w:rPr>
                <w:noProof/>
                <w:webHidden/>
              </w:rPr>
            </w:r>
            <w:r w:rsidR="004C0DCB">
              <w:rPr>
                <w:noProof/>
                <w:webHidden/>
              </w:rPr>
              <w:fldChar w:fldCharType="separate"/>
            </w:r>
            <w:r w:rsidR="004C0DCB">
              <w:rPr>
                <w:noProof/>
                <w:webHidden/>
              </w:rPr>
              <w:t>6</w:t>
            </w:r>
            <w:r w:rsidR="004C0DCB">
              <w:rPr>
                <w:noProof/>
                <w:webHidden/>
              </w:rPr>
              <w:fldChar w:fldCharType="end"/>
            </w:r>
          </w:hyperlink>
        </w:p>
        <w:p w14:paraId="207E2117" w14:textId="77777777" w:rsidR="004C0DCB" w:rsidRDefault="00D175FB">
          <w:pPr>
            <w:pStyle w:val="TM1"/>
            <w:tabs>
              <w:tab w:val="right" w:leader="dot" w:pos="9060"/>
            </w:tabs>
            <w:rPr>
              <w:rFonts w:eastAsiaTheme="minorEastAsia"/>
              <w:noProof/>
              <w:lang w:eastAsia="fr-FR"/>
            </w:rPr>
          </w:pPr>
          <w:hyperlink w:anchor="_Toc21449005" w:history="1">
            <w:r w:rsidR="004C0DCB" w:rsidRPr="004E0A16">
              <w:rPr>
                <w:rStyle w:val="Lienhypertexte"/>
                <w:noProof/>
              </w:rPr>
              <w:t>Contexte</w:t>
            </w:r>
            <w:r w:rsidR="004C0DCB">
              <w:rPr>
                <w:noProof/>
                <w:webHidden/>
              </w:rPr>
              <w:tab/>
            </w:r>
            <w:r w:rsidR="004C0DCB">
              <w:rPr>
                <w:noProof/>
                <w:webHidden/>
              </w:rPr>
              <w:fldChar w:fldCharType="begin"/>
            </w:r>
            <w:r w:rsidR="004C0DCB">
              <w:rPr>
                <w:noProof/>
                <w:webHidden/>
              </w:rPr>
              <w:instrText xml:space="preserve"> PAGEREF _Toc21449005 \h </w:instrText>
            </w:r>
            <w:r w:rsidR="004C0DCB">
              <w:rPr>
                <w:noProof/>
                <w:webHidden/>
              </w:rPr>
            </w:r>
            <w:r w:rsidR="004C0DCB">
              <w:rPr>
                <w:noProof/>
                <w:webHidden/>
              </w:rPr>
              <w:fldChar w:fldCharType="separate"/>
            </w:r>
            <w:r w:rsidR="004C0DCB">
              <w:rPr>
                <w:noProof/>
                <w:webHidden/>
              </w:rPr>
              <w:t>7</w:t>
            </w:r>
            <w:r w:rsidR="004C0DCB">
              <w:rPr>
                <w:noProof/>
                <w:webHidden/>
              </w:rPr>
              <w:fldChar w:fldCharType="end"/>
            </w:r>
          </w:hyperlink>
        </w:p>
        <w:p w14:paraId="21C8350A" w14:textId="77777777" w:rsidR="004C0DCB" w:rsidRDefault="00D175FB">
          <w:pPr>
            <w:pStyle w:val="TM1"/>
            <w:tabs>
              <w:tab w:val="right" w:leader="dot" w:pos="9060"/>
            </w:tabs>
            <w:rPr>
              <w:rFonts w:eastAsiaTheme="minorEastAsia"/>
              <w:noProof/>
              <w:lang w:eastAsia="fr-FR"/>
            </w:rPr>
          </w:pPr>
          <w:hyperlink w:anchor="_Toc21449006" w:history="1">
            <w:r w:rsidR="004C0DCB" w:rsidRPr="004E0A16">
              <w:rPr>
                <w:rStyle w:val="Lienhypertexte"/>
                <w:noProof/>
              </w:rPr>
              <w:t>Justification</w:t>
            </w:r>
            <w:r w:rsidR="004C0DCB">
              <w:rPr>
                <w:noProof/>
                <w:webHidden/>
              </w:rPr>
              <w:tab/>
            </w:r>
            <w:r w:rsidR="004C0DCB">
              <w:rPr>
                <w:noProof/>
                <w:webHidden/>
              </w:rPr>
              <w:fldChar w:fldCharType="begin"/>
            </w:r>
            <w:r w:rsidR="004C0DCB">
              <w:rPr>
                <w:noProof/>
                <w:webHidden/>
              </w:rPr>
              <w:instrText xml:space="preserve"> PAGEREF _Toc21449006 \h </w:instrText>
            </w:r>
            <w:r w:rsidR="004C0DCB">
              <w:rPr>
                <w:noProof/>
                <w:webHidden/>
              </w:rPr>
            </w:r>
            <w:r w:rsidR="004C0DCB">
              <w:rPr>
                <w:noProof/>
                <w:webHidden/>
              </w:rPr>
              <w:fldChar w:fldCharType="separate"/>
            </w:r>
            <w:r w:rsidR="004C0DCB">
              <w:rPr>
                <w:noProof/>
                <w:webHidden/>
              </w:rPr>
              <w:t>9</w:t>
            </w:r>
            <w:r w:rsidR="004C0DCB">
              <w:rPr>
                <w:noProof/>
                <w:webHidden/>
              </w:rPr>
              <w:fldChar w:fldCharType="end"/>
            </w:r>
          </w:hyperlink>
        </w:p>
        <w:p w14:paraId="18A797A1" w14:textId="77777777" w:rsidR="004C0DCB" w:rsidRDefault="00D175FB">
          <w:pPr>
            <w:pStyle w:val="TM1"/>
            <w:tabs>
              <w:tab w:val="right" w:leader="dot" w:pos="9060"/>
            </w:tabs>
            <w:rPr>
              <w:rFonts w:eastAsiaTheme="minorEastAsia"/>
              <w:noProof/>
              <w:lang w:eastAsia="fr-FR"/>
            </w:rPr>
          </w:pPr>
          <w:hyperlink w:anchor="_Toc21449007" w:history="1">
            <w:r w:rsidR="004C0DCB" w:rsidRPr="004E0A16">
              <w:rPr>
                <w:rStyle w:val="Lienhypertexte"/>
                <w:noProof/>
              </w:rPr>
              <w:t>Le diagnostic de la CSU</w:t>
            </w:r>
            <w:r w:rsidR="004C0DCB">
              <w:rPr>
                <w:noProof/>
                <w:webHidden/>
              </w:rPr>
              <w:tab/>
            </w:r>
            <w:r w:rsidR="004C0DCB">
              <w:rPr>
                <w:noProof/>
                <w:webHidden/>
              </w:rPr>
              <w:fldChar w:fldCharType="begin"/>
            </w:r>
            <w:r w:rsidR="004C0DCB">
              <w:rPr>
                <w:noProof/>
                <w:webHidden/>
              </w:rPr>
              <w:instrText xml:space="preserve"> PAGEREF _Toc21449007 \h </w:instrText>
            </w:r>
            <w:r w:rsidR="004C0DCB">
              <w:rPr>
                <w:noProof/>
                <w:webHidden/>
              </w:rPr>
            </w:r>
            <w:r w:rsidR="004C0DCB">
              <w:rPr>
                <w:noProof/>
                <w:webHidden/>
              </w:rPr>
              <w:fldChar w:fldCharType="separate"/>
            </w:r>
            <w:r w:rsidR="004C0DCB">
              <w:rPr>
                <w:noProof/>
                <w:webHidden/>
              </w:rPr>
              <w:t>10</w:t>
            </w:r>
            <w:r w:rsidR="004C0DCB">
              <w:rPr>
                <w:noProof/>
                <w:webHidden/>
              </w:rPr>
              <w:fldChar w:fldCharType="end"/>
            </w:r>
          </w:hyperlink>
        </w:p>
        <w:p w14:paraId="7070AA8A" w14:textId="77777777" w:rsidR="004C0DCB" w:rsidRDefault="00D175FB">
          <w:pPr>
            <w:pStyle w:val="TM2"/>
            <w:tabs>
              <w:tab w:val="right" w:leader="dot" w:pos="9060"/>
            </w:tabs>
            <w:rPr>
              <w:rFonts w:eastAsiaTheme="minorEastAsia"/>
              <w:noProof/>
              <w:lang w:eastAsia="fr-FR"/>
            </w:rPr>
          </w:pPr>
          <w:hyperlink w:anchor="_Toc21449008" w:history="1">
            <w:r w:rsidR="004C0DCB" w:rsidRPr="004E0A16">
              <w:rPr>
                <w:rStyle w:val="Lienhypertexte"/>
                <w:noProof/>
              </w:rPr>
              <w:t>Etat de santé de la population</w:t>
            </w:r>
            <w:r w:rsidR="004C0DCB">
              <w:rPr>
                <w:noProof/>
                <w:webHidden/>
              </w:rPr>
              <w:tab/>
            </w:r>
            <w:r w:rsidR="004C0DCB">
              <w:rPr>
                <w:noProof/>
                <w:webHidden/>
              </w:rPr>
              <w:fldChar w:fldCharType="begin"/>
            </w:r>
            <w:r w:rsidR="004C0DCB">
              <w:rPr>
                <w:noProof/>
                <w:webHidden/>
              </w:rPr>
              <w:instrText xml:space="preserve"> PAGEREF _Toc21449008 \h </w:instrText>
            </w:r>
            <w:r w:rsidR="004C0DCB">
              <w:rPr>
                <w:noProof/>
                <w:webHidden/>
              </w:rPr>
            </w:r>
            <w:r w:rsidR="004C0DCB">
              <w:rPr>
                <w:noProof/>
                <w:webHidden/>
              </w:rPr>
              <w:fldChar w:fldCharType="separate"/>
            </w:r>
            <w:r w:rsidR="004C0DCB">
              <w:rPr>
                <w:noProof/>
                <w:webHidden/>
              </w:rPr>
              <w:t>10</w:t>
            </w:r>
            <w:r w:rsidR="004C0DCB">
              <w:rPr>
                <w:noProof/>
                <w:webHidden/>
              </w:rPr>
              <w:fldChar w:fldCharType="end"/>
            </w:r>
          </w:hyperlink>
        </w:p>
        <w:p w14:paraId="2D4B7309" w14:textId="77777777" w:rsidR="004C0DCB" w:rsidRDefault="00D175FB">
          <w:pPr>
            <w:pStyle w:val="TM2"/>
            <w:tabs>
              <w:tab w:val="right" w:leader="dot" w:pos="9060"/>
            </w:tabs>
            <w:rPr>
              <w:rFonts w:eastAsiaTheme="minorEastAsia"/>
              <w:noProof/>
              <w:lang w:eastAsia="fr-FR"/>
            </w:rPr>
          </w:pPr>
          <w:hyperlink w:anchor="_Toc21449009" w:history="1">
            <w:r w:rsidR="004C0DCB" w:rsidRPr="004E0A16">
              <w:rPr>
                <w:rStyle w:val="Lienhypertexte"/>
                <w:noProof/>
              </w:rPr>
              <w:t>Diagnostic du système de santé</w:t>
            </w:r>
            <w:r w:rsidR="004C0DCB">
              <w:rPr>
                <w:noProof/>
                <w:webHidden/>
              </w:rPr>
              <w:tab/>
            </w:r>
            <w:r w:rsidR="004C0DCB">
              <w:rPr>
                <w:noProof/>
                <w:webHidden/>
              </w:rPr>
              <w:fldChar w:fldCharType="begin"/>
            </w:r>
            <w:r w:rsidR="004C0DCB">
              <w:rPr>
                <w:noProof/>
                <w:webHidden/>
              </w:rPr>
              <w:instrText xml:space="preserve"> PAGEREF _Toc21449009 \h </w:instrText>
            </w:r>
            <w:r w:rsidR="004C0DCB">
              <w:rPr>
                <w:noProof/>
                <w:webHidden/>
              </w:rPr>
            </w:r>
            <w:r w:rsidR="004C0DCB">
              <w:rPr>
                <w:noProof/>
                <w:webHidden/>
              </w:rPr>
              <w:fldChar w:fldCharType="separate"/>
            </w:r>
            <w:r w:rsidR="004C0DCB">
              <w:rPr>
                <w:noProof/>
                <w:webHidden/>
              </w:rPr>
              <w:t>14</w:t>
            </w:r>
            <w:r w:rsidR="004C0DCB">
              <w:rPr>
                <w:noProof/>
                <w:webHidden/>
              </w:rPr>
              <w:fldChar w:fldCharType="end"/>
            </w:r>
          </w:hyperlink>
        </w:p>
        <w:p w14:paraId="4288E055" w14:textId="77777777" w:rsidR="004C0DCB" w:rsidRDefault="00D175FB">
          <w:pPr>
            <w:pStyle w:val="TM2"/>
            <w:tabs>
              <w:tab w:val="right" w:leader="dot" w:pos="9060"/>
            </w:tabs>
            <w:rPr>
              <w:rFonts w:eastAsiaTheme="minorEastAsia"/>
              <w:noProof/>
              <w:lang w:eastAsia="fr-FR"/>
            </w:rPr>
          </w:pPr>
          <w:hyperlink w:anchor="_Toc21449010" w:history="1">
            <w:r w:rsidR="004C0DCB" w:rsidRPr="004E0A16">
              <w:rPr>
                <w:rStyle w:val="Lienhypertexte"/>
                <w:noProof/>
              </w:rPr>
              <w:t>Diagnostic du système de financement de la santé</w:t>
            </w:r>
            <w:r w:rsidR="004C0DCB">
              <w:rPr>
                <w:noProof/>
                <w:webHidden/>
              </w:rPr>
              <w:tab/>
            </w:r>
            <w:r w:rsidR="004C0DCB">
              <w:rPr>
                <w:noProof/>
                <w:webHidden/>
              </w:rPr>
              <w:fldChar w:fldCharType="begin"/>
            </w:r>
            <w:r w:rsidR="004C0DCB">
              <w:rPr>
                <w:noProof/>
                <w:webHidden/>
              </w:rPr>
              <w:instrText xml:space="preserve"> PAGEREF _Toc21449010 \h </w:instrText>
            </w:r>
            <w:r w:rsidR="004C0DCB">
              <w:rPr>
                <w:noProof/>
                <w:webHidden/>
              </w:rPr>
            </w:r>
            <w:r w:rsidR="004C0DCB">
              <w:rPr>
                <w:noProof/>
                <w:webHidden/>
              </w:rPr>
              <w:fldChar w:fldCharType="separate"/>
            </w:r>
            <w:r w:rsidR="004C0DCB">
              <w:rPr>
                <w:noProof/>
                <w:webHidden/>
              </w:rPr>
              <w:t>16</w:t>
            </w:r>
            <w:r w:rsidR="004C0DCB">
              <w:rPr>
                <w:noProof/>
                <w:webHidden/>
              </w:rPr>
              <w:fldChar w:fldCharType="end"/>
            </w:r>
          </w:hyperlink>
        </w:p>
        <w:p w14:paraId="18130256" w14:textId="77777777" w:rsidR="004C0DCB" w:rsidRDefault="00D175FB">
          <w:pPr>
            <w:pStyle w:val="TM1"/>
            <w:tabs>
              <w:tab w:val="right" w:leader="dot" w:pos="9060"/>
            </w:tabs>
            <w:rPr>
              <w:rFonts w:eastAsiaTheme="minorEastAsia"/>
              <w:noProof/>
              <w:lang w:eastAsia="fr-FR"/>
            </w:rPr>
          </w:pPr>
          <w:hyperlink w:anchor="_Toc21449011" w:history="1">
            <w:r w:rsidR="004C0DCB" w:rsidRPr="004E0A16">
              <w:rPr>
                <w:rStyle w:val="Lienhypertexte"/>
                <w:noProof/>
              </w:rPr>
              <w:t>Vision, objectif général et résultats attendus</w:t>
            </w:r>
            <w:r w:rsidR="004C0DCB">
              <w:rPr>
                <w:noProof/>
                <w:webHidden/>
              </w:rPr>
              <w:tab/>
            </w:r>
            <w:r w:rsidR="004C0DCB">
              <w:rPr>
                <w:noProof/>
                <w:webHidden/>
              </w:rPr>
              <w:fldChar w:fldCharType="begin"/>
            </w:r>
            <w:r w:rsidR="004C0DCB">
              <w:rPr>
                <w:noProof/>
                <w:webHidden/>
              </w:rPr>
              <w:instrText xml:space="preserve"> PAGEREF _Toc21449011 \h </w:instrText>
            </w:r>
            <w:r w:rsidR="004C0DCB">
              <w:rPr>
                <w:noProof/>
                <w:webHidden/>
              </w:rPr>
            </w:r>
            <w:r w:rsidR="004C0DCB">
              <w:rPr>
                <w:noProof/>
                <w:webHidden/>
              </w:rPr>
              <w:fldChar w:fldCharType="separate"/>
            </w:r>
            <w:r w:rsidR="004C0DCB">
              <w:rPr>
                <w:noProof/>
                <w:webHidden/>
              </w:rPr>
              <w:t>19</w:t>
            </w:r>
            <w:r w:rsidR="004C0DCB">
              <w:rPr>
                <w:noProof/>
                <w:webHidden/>
              </w:rPr>
              <w:fldChar w:fldCharType="end"/>
            </w:r>
          </w:hyperlink>
        </w:p>
        <w:p w14:paraId="2C4D4E79" w14:textId="77777777" w:rsidR="004C0DCB" w:rsidRDefault="00D175FB">
          <w:pPr>
            <w:pStyle w:val="TM2"/>
            <w:tabs>
              <w:tab w:val="right" w:leader="dot" w:pos="9060"/>
            </w:tabs>
            <w:rPr>
              <w:rFonts w:eastAsiaTheme="minorEastAsia"/>
              <w:noProof/>
              <w:lang w:eastAsia="fr-FR"/>
            </w:rPr>
          </w:pPr>
          <w:hyperlink w:anchor="_Toc21449012" w:history="1">
            <w:r w:rsidR="004C0DCB" w:rsidRPr="004E0A16">
              <w:rPr>
                <w:rStyle w:val="Lienhypertexte"/>
                <w:noProof/>
              </w:rPr>
              <w:t>Vision</w:t>
            </w:r>
            <w:r w:rsidR="004C0DCB">
              <w:rPr>
                <w:noProof/>
                <w:webHidden/>
              </w:rPr>
              <w:tab/>
            </w:r>
            <w:r w:rsidR="004C0DCB">
              <w:rPr>
                <w:noProof/>
                <w:webHidden/>
              </w:rPr>
              <w:fldChar w:fldCharType="begin"/>
            </w:r>
            <w:r w:rsidR="004C0DCB">
              <w:rPr>
                <w:noProof/>
                <w:webHidden/>
              </w:rPr>
              <w:instrText xml:space="preserve"> PAGEREF _Toc21449012 \h </w:instrText>
            </w:r>
            <w:r w:rsidR="004C0DCB">
              <w:rPr>
                <w:noProof/>
                <w:webHidden/>
              </w:rPr>
            </w:r>
            <w:r w:rsidR="004C0DCB">
              <w:rPr>
                <w:noProof/>
                <w:webHidden/>
              </w:rPr>
              <w:fldChar w:fldCharType="separate"/>
            </w:r>
            <w:r w:rsidR="004C0DCB">
              <w:rPr>
                <w:noProof/>
                <w:webHidden/>
              </w:rPr>
              <w:t>19</w:t>
            </w:r>
            <w:r w:rsidR="004C0DCB">
              <w:rPr>
                <w:noProof/>
                <w:webHidden/>
              </w:rPr>
              <w:fldChar w:fldCharType="end"/>
            </w:r>
          </w:hyperlink>
        </w:p>
        <w:p w14:paraId="2CC83866" w14:textId="77777777" w:rsidR="004C0DCB" w:rsidRDefault="00D175FB">
          <w:pPr>
            <w:pStyle w:val="TM2"/>
            <w:tabs>
              <w:tab w:val="right" w:leader="dot" w:pos="9060"/>
            </w:tabs>
            <w:rPr>
              <w:rFonts w:eastAsiaTheme="minorEastAsia"/>
              <w:noProof/>
              <w:lang w:eastAsia="fr-FR"/>
            </w:rPr>
          </w:pPr>
          <w:hyperlink w:anchor="_Toc21449013" w:history="1">
            <w:r w:rsidR="004C0DCB" w:rsidRPr="004E0A16">
              <w:rPr>
                <w:rStyle w:val="Lienhypertexte"/>
                <w:noProof/>
              </w:rPr>
              <w:t>Objectif général</w:t>
            </w:r>
            <w:r w:rsidR="004C0DCB">
              <w:rPr>
                <w:noProof/>
                <w:webHidden/>
              </w:rPr>
              <w:tab/>
            </w:r>
            <w:r w:rsidR="004C0DCB">
              <w:rPr>
                <w:noProof/>
                <w:webHidden/>
              </w:rPr>
              <w:fldChar w:fldCharType="begin"/>
            </w:r>
            <w:r w:rsidR="004C0DCB">
              <w:rPr>
                <w:noProof/>
                <w:webHidden/>
              </w:rPr>
              <w:instrText xml:space="preserve"> PAGEREF _Toc21449013 \h </w:instrText>
            </w:r>
            <w:r w:rsidR="004C0DCB">
              <w:rPr>
                <w:noProof/>
                <w:webHidden/>
              </w:rPr>
            </w:r>
            <w:r w:rsidR="004C0DCB">
              <w:rPr>
                <w:noProof/>
                <w:webHidden/>
              </w:rPr>
              <w:fldChar w:fldCharType="separate"/>
            </w:r>
            <w:r w:rsidR="004C0DCB">
              <w:rPr>
                <w:noProof/>
                <w:webHidden/>
              </w:rPr>
              <w:t>19</w:t>
            </w:r>
            <w:r w:rsidR="004C0DCB">
              <w:rPr>
                <w:noProof/>
                <w:webHidden/>
              </w:rPr>
              <w:fldChar w:fldCharType="end"/>
            </w:r>
          </w:hyperlink>
        </w:p>
        <w:p w14:paraId="18285CA0" w14:textId="77777777" w:rsidR="004C0DCB" w:rsidRDefault="00D175FB">
          <w:pPr>
            <w:pStyle w:val="TM2"/>
            <w:tabs>
              <w:tab w:val="right" w:leader="dot" w:pos="9060"/>
            </w:tabs>
            <w:rPr>
              <w:rFonts w:eastAsiaTheme="minorEastAsia"/>
              <w:noProof/>
              <w:lang w:eastAsia="fr-FR"/>
            </w:rPr>
          </w:pPr>
          <w:hyperlink w:anchor="_Toc21449014" w:history="1">
            <w:r w:rsidR="004C0DCB" w:rsidRPr="004E0A16">
              <w:rPr>
                <w:rStyle w:val="Lienhypertexte"/>
                <w:noProof/>
              </w:rPr>
              <w:t>Résultats attendus</w:t>
            </w:r>
            <w:r w:rsidR="004C0DCB">
              <w:rPr>
                <w:noProof/>
                <w:webHidden/>
              </w:rPr>
              <w:tab/>
            </w:r>
            <w:r w:rsidR="004C0DCB">
              <w:rPr>
                <w:noProof/>
                <w:webHidden/>
              </w:rPr>
              <w:fldChar w:fldCharType="begin"/>
            </w:r>
            <w:r w:rsidR="004C0DCB">
              <w:rPr>
                <w:noProof/>
                <w:webHidden/>
              </w:rPr>
              <w:instrText xml:space="preserve"> PAGEREF _Toc21449014 \h </w:instrText>
            </w:r>
            <w:r w:rsidR="004C0DCB">
              <w:rPr>
                <w:noProof/>
                <w:webHidden/>
              </w:rPr>
            </w:r>
            <w:r w:rsidR="004C0DCB">
              <w:rPr>
                <w:noProof/>
                <w:webHidden/>
              </w:rPr>
              <w:fldChar w:fldCharType="separate"/>
            </w:r>
            <w:r w:rsidR="004C0DCB">
              <w:rPr>
                <w:noProof/>
                <w:webHidden/>
              </w:rPr>
              <w:t>19</w:t>
            </w:r>
            <w:r w:rsidR="004C0DCB">
              <w:rPr>
                <w:noProof/>
                <w:webHidden/>
              </w:rPr>
              <w:fldChar w:fldCharType="end"/>
            </w:r>
          </w:hyperlink>
        </w:p>
        <w:p w14:paraId="5F76291C" w14:textId="77777777" w:rsidR="004C0DCB" w:rsidRDefault="00D175FB">
          <w:pPr>
            <w:pStyle w:val="TM1"/>
            <w:tabs>
              <w:tab w:val="right" w:leader="dot" w:pos="9060"/>
            </w:tabs>
            <w:rPr>
              <w:rFonts w:eastAsiaTheme="minorEastAsia"/>
              <w:noProof/>
              <w:lang w:eastAsia="fr-FR"/>
            </w:rPr>
          </w:pPr>
          <w:hyperlink w:anchor="_Toc21449015" w:history="1">
            <w:r w:rsidR="004C0DCB" w:rsidRPr="004E0A16">
              <w:rPr>
                <w:rStyle w:val="Lienhypertexte"/>
                <w:noProof/>
              </w:rPr>
              <w:t>Les orientations stratégiques :</w:t>
            </w:r>
            <w:r w:rsidR="004C0DCB">
              <w:rPr>
                <w:noProof/>
                <w:webHidden/>
              </w:rPr>
              <w:tab/>
            </w:r>
            <w:r w:rsidR="004C0DCB">
              <w:rPr>
                <w:noProof/>
                <w:webHidden/>
              </w:rPr>
              <w:fldChar w:fldCharType="begin"/>
            </w:r>
            <w:r w:rsidR="004C0DCB">
              <w:rPr>
                <w:noProof/>
                <w:webHidden/>
              </w:rPr>
              <w:instrText xml:space="preserve"> PAGEREF _Toc21449015 \h </w:instrText>
            </w:r>
            <w:r w:rsidR="004C0DCB">
              <w:rPr>
                <w:noProof/>
                <w:webHidden/>
              </w:rPr>
            </w:r>
            <w:r w:rsidR="004C0DCB">
              <w:rPr>
                <w:noProof/>
                <w:webHidden/>
              </w:rPr>
              <w:fldChar w:fldCharType="separate"/>
            </w:r>
            <w:r w:rsidR="004C0DCB">
              <w:rPr>
                <w:noProof/>
                <w:webHidden/>
              </w:rPr>
              <w:t>20</w:t>
            </w:r>
            <w:r w:rsidR="004C0DCB">
              <w:rPr>
                <w:noProof/>
                <w:webHidden/>
              </w:rPr>
              <w:fldChar w:fldCharType="end"/>
            </w:r>
          </w:hyperlink>
        </w:p>
        <w:p w14:paraId="5313FFD9" w14:textId="77777777" w:rsidR="004C0DCB" w:rsidRDefault="00D175FB">
          <w:pPr>
            <w:pStyle w:val="TM2"/>
            <w:tabs>
              <w:tab w:val="right" w:leader="dot" w:pos="9060"/>
            </w:tabs>
            <w:rPr>
              <w:rFonts w:eastAsiaTheme="minorEastAsia"/>
              <w:noProof/>
              <w:lang w:eastAsia="fr-FR"/>
            </w:rPr>
          </w:pPr>
          <w:hyperlink w:anchor="_Toc21449016" w:history="1">
            <w:r w:rsidR="004C0DCB" w:rsidRPr="004E0A16">
              <w:rPr>
                <w:rStyle w:val="Lienhypertexte"/>
                <w:noProof/>
              </w:rPr>
              <w:t>OS n°1 : Amélioration des déterminants de la santé</w:t>
            </w:r>
            <w:r w:rsidR="004C0DCB">
              <w:rPr>
                <w:noProof/>
                <w:webHidden/>
              </w:rPr>
              <w:tab/>
            </w:r>
            <w:r w:rsidR="004C0DCB">
              <w:rPr>
                <w:noProof/>
                <w:webHidden/>
              </w:rPr>
              <w:fldChar w:fldCharType="begin"/>
            </w:r>
            <w:r w:rsidR="004C0DCB">
              <w:rPr>
                <w:noProof/>
                <w:webHidden/>
              </w:rPr>
              <w:instrText xml:space="preserve"> PAGEREF _Toc21449016 \h </w:instrText>
            </w:r>
            <w:r w:rsidR="004C0DCB">
              <w:rPr>
                <w:noProof/>
                <w:webHidden/>
              </w:rPr>
            </w:r>
            <w:r w:rsidR="004C0DCB">
              <w:rPr>
                <w:noProof/>
                <w:webHidden/>
              </w:rPr>
              <w:fldChar w:fldCharType="separate"/>
            </w:r>
            <w:r w:rsidR="004C0DCB">
              <w:rPr>
                <w:noProof/>
                <w:webHidden/>
              </w:rPr>
              <w:t>20</w:t>
            </w:r>
            <w:r w:rsidR="004C0DCB">
              <w:rPr>
                <w:noProof/>
                <w:webHidden/>
              </w:rPr>
              <w:fldChar w:fldCharType="end"/>
            </w:r>
          </w:hyperlink>
        </w:p>
        <w:p w14:paraId="414AF828" w14:textId="77777777" w:rsidR="004C0DCB" w:rsidRDefault="00D175FB">
          <w:pPr>
            <w:pStyle w:val="TM2"/>
            <w:tabs>
              <w:tab w:val="right" w:leader="dot" w:pos="9060"/>
            </w:tabs>
            <w:rPr>
              <w:rFonts w:eastAsiaTheme="minorEastAsia"/>
              <w:noProof/>
              <w:lang w:eastAsia="fr-FR"/>
            </w:rPr>
          </w:pPr>
          <w:hyperlink w:anchor="_Toc21449017" w:history="1">
            <w:r w:rsidR="004C0DCB" w:rsidRPr="004E0A16">
              <w:rPr>
                <w:rStyle w:val="Lienhypertexte"/>
                <w:noProof/>
              </w:rPr>
              <w:t>Axe stratégique n°1 : amélioration de l’état nutritionnel de la population</w:t>
            </w:r>
            <w:r w:rsidR="004C0DCB">
              <w:rPr>
                <w:noProof/>
                <w:webHidden/>
              </w:rPr>
              <w:tab/>
            </w:r>
            <w:r w:rsidR="004C0DCB">
              <w:rPr>
                <w:noProof/>
                <w:webHidden/>
              </w:rPr>
              <w:fldChar w:fldCharType="begin"/>
            </w:r>
            <w:r w:rsidR="004C0DCB">
              <w:rPr>
                <w:noProof/>
                <w:webHidden/>
              </w:rPr>
              <w:instrText xml:space="preserve"> PAGEREF _Toc21449017 \h </w:instrText>
            </w:r>
            <w:r w:rsidR="004C0DCB">
              <w:rPr>
                <w:noProof/>
                <w:webHidden/>
              </w:rPr>
            </w:r>
            <w:r w:rsidR="004C0DCB">
              <w:rPr>
                <w:noProof/>
                <w:webHidden/>
              </w:rPr>
              <w:fldChar w:fldCharType="separate"/>
            </w:r>
            <w:r w:rsidR="004C0DCB">
              <w:rPr>
                <w:noProof/>
                <w:webHidden/>
              </w:rPr>
              <w:t>21</w:t>
            </w:r>
            <w:r w:rsidR="004C0DCB">
              <w:rPr>
                <w:noProof/>
                <w:webHidden/>
              </w:rPr>
              <w:fldChar w:fldCharType="end"/>
            </w:r>
          </w:hyperlink>
        </w:p>
        <w:p w14:paraId="741EE594" w14:textId="77777777" w:rsidR="004C0DCB" w:rsidRDefault="00D175FB">
          <w:pPr>
            <w:pStyle w:val="TM2"/>
            <w:tabs>
              <w:tab w:val="right" w:leader="dot" w:pos="9060"/>
            </w:tabs>
            <w:rPr>
              <w:rFonts w:eastAsiaTheme="minorEastAsia"/>
              <w:noProof/>
              <w:lang w:eastAsia="fr-FR"/>
            </w:rPr>
          </w:pPr>
          <w:hyperlink w:anchor="_Toc21449018" w:history="1">
            <w:r w:rsidR="004C0DCB" w:rsidRPr="004E0A16">
              <w:rPr>
                <w:rStyle w:val="Lienhypertexte"/>
                <w:noProof/>
              </w:rPr>
              <w:t>Axe stratégique n°2 : Amélioration de l'accès à l’eau potable, à l’hygiène et à l’assainissement</w:t>
            </w:r>
            <w:r w:rsidR="004C0DCB">
              <w:rPr>
                <w:noProof/>
                <w:webHidden/>
              </w:rPr>
              <w:tab/>
            </w:r>
            <w:r w:rsidR="004C0DCB">
              <w:rPr>
                <w:noProof/>
                <w:webHidden/>
              </w:rPr>
              <w:fldChar w:fldCharType="begin"/>
            </w:r>
            <w:r w:rsidR="004C0DCB">
              <w:rPr>
                <w:noProof/>
                <w:webHidden/>
              </w:rPr>
              <w:instrText xml:space="preserve"> PAGEREF _Toc21449018 \h </w:instrText>
            </w:r>
            <w:r w:rsidR="004C0DCB">
              <w:rPr>
                <w:noProof/>
                <w:webHidden/>
              </w:rPr>
            </w:r>
            <w:r w:rsidR="004C0DCB">
              <w:rPr>
                <w:noProof/>
                <w:webHidden/>
              </w:rPr>
              <w:fldChar w:fldCharType="separate"/>
            </w:r>
            <w:r w:rsidR="004C0DCB">
              <w:rPr>
                <w:noProof/>
                <w:webHidden/>
              </w:rPr>
              <w:t>23</w:t>
            </w:r>
            <w:r w:rsidR="004C0DCB">
              <w:rPr>
                <w:noProof/>
                <w:webHidden/>
              </w:rPr>
              <w:fldChar w:fldCharType="end"/>
            </w:r>
          </w:hyperlink>
        </w:p>
        <w:p w14:paraId="605A50CE" w14:textId="77777777" w:rsidR="004C0DCB" w:rsidRDefault="00D175FB">
          <w:pPr>
            <w:pStyle w:val="TM2"/>
            <w:tabs>
              <w:tab w:val="right" w:leader="dot" w:pos="9060"/>
            </w:tabs>
            <w:rPr>
              <w:rFonts w:eastAsiaTheme="minorEastAsia"/>
              <w:noProof/>
              <w:lang w:eastAsia="fr-FR"/>
            </w:rPr>
          </w:pPr>
          <w:hyperlink w:anchor="_Toc21449019" w:history="1">
            <w:r w:rsidR="004C0DCB" w:rsidRPr="004E0A16">
              <w:rPr>
                <w:rStyle w:val="Lienhypertexte"/>
                <w:noProof/>
              </w:rPr>
              <w:t>Axe stratégique n°3 : amélioration de la lutte contre la pollution</w:t>
            </w:r>
            <w:r w:rsidR="004C0DCB">
              <w:rPr>
                <w:noProof/>
                <w:webHidden/>
              </w:rPr>
              <w:tab/>
            </w:r>
            <w:r w:rsidR="004C0DCB">
              <w:rPr>
                <w:noProof/>
                <w:webHidden/>
              </w:rPr>
              <w:fldChar w:fldCharType="begin"/>
            </w:r>
            <w:r w:rsidR="004C0DCB">
              <w:rPr>
                <w:noProof/>
                <w:webHidden/>
              </w:rPr>
              <w:instrText xml:space="preserve"> PAGEREF _Toc21449019 \h </w:instrText>
            </w:r>
            <w:r w:rsidR="004C0DCB">
              <w:rPr>
                <w:noProof/>
                <w:webHidden/>
              </w:rPr>
            </w:r>
            <w:r w:rsidR="004C0DCB">
              <w:rPr>
                <w:noProof/>
                <w:webHidden/>
              </w:rPr>
              <w:fldChar w:fldCharType="separate"/>
            </w:r>
            <w:r w:rsidR="004C0DCB">
              <w:rPr>
                <w:noProof/>
                <w:webHidden/>
              </w:rPr>
              <w:t>24</w:t>
            </w:r>
            <w:r w:rsidR="004C0DCB">
              <w:rPr>
                <w:noProof/>
                <w:webHidden/>
              </w:rPr>
              <w:fldChar w:fldCharType="end"/>
            </w:r>
          </w:hyperlink>
        </w:p>
        <w:p w14:paraId="03DADA5D" w14:textId="77777777" w:rsidR="004C0DCB" w:rsidRDefault="00D175FB">
          <w:pPr>
            <w:pStyle w:val="TM2"/>
            <w:tabs>
              <w:tab w:val="right" w:leader="dot" w:pos="9060"/>
            </w:tabs>
            <w:rPr>
              <w:rFonts w:eastAsiaTheme="minorEastAsia"/>
              <w:noProof/>
              <w:lang w:eastAsia="fr-FR"/>
            </w:rPr>
          </w:pPr>
          <w:hyperlink w:anchor="_Toc21449020" w:history="1">
            <w:r w:rsidR="004C0DCB" w:rsidRPr="004E0A16">
              <w:rPr>
                <w:rStyle w:val="Lienhypertexte"/>
                <w:noProof/>
              </w:rPr>
              <w:t>OS n°2 : Amélioration de l’offre de services de santé</w:t>
            </w:r>
            <w:r w:rsidR="004C0DCB">
              <w:rPr>
                <w:noProof/>
                <w:webHidden/>
              </w:rPr>
              <w:tab/>
            </w:r>
            <w:r w:rsidR="004C0DCB">
              <w:rPr>
                <w:noProof/>
                <w:webHidden/>
              </w:rPr>
              <w:fldChar w:fldCharType="begin"/>
            </w:r>
            <w:r w:rsidR="004C0DCB">
              <w:rPr>
                <w:noProof/>
                <w:webHidden/>
              </w:rPr>
              <w:instrText xml:space="preserve"> PAGEREF _Toc21449020 \h </w:instrText>
            </w:r>
            <w:r w:rsidR="004C0DCB">
              <w:rPr>
                <w:noProof/>
                <w:webHidden/>
              </w:rPr>
            </w:r>
            <w:r w:rsidR="004C0DCB">
              <w:rPr>
                <w:noProof/>
                <w:webHidden/>
              </w:rPr>
              <w:fldChar w:fldCharType="separate"/>
            </w:r>
            <w:r w:rsidR="004C0DCB">
              <w:rPr>
                <w:noProof/>
                <w:webHidden/>
              </w:rPr>
              <w:t>25</w:t>
            </w:r>
            <w:r w:rsidR="004C0DCB">
              <w:rPr>
                <w:noProof/>
                <w:webHidden/>
              </w:rPr>
              <w:fldChar w:fldCharType="end"/>
            </w:r>
          </w:hyperlink>
        </w:p>
        <w:p w14:paraId="7DF7C7FF" w14:textId="77777777" w:rsidR="004C0DCB" w:rsidRDefault="00D175FB">
          <w:pPr>
            <w:pStyle w:val="TM2"/>
            <w:tabs>
              <w:tab w:val="right" w:leader="dot" w:pos="9060"/>
            </w:tabs>
            <w:rPr>
              <w:rFonts w:eastAsiaTheme="minorEastAsia"/>
              <w:noProof/>
              <w:lang w:eastAsia="fr-FR"/>
            </w:rPr>
          </w:pPr>
          <w:hyperlink w:anchor="_Toc21449021" w:history="1">
            <w:r w:rsidR="004C0DCB" w:rsidRPr="004E0A16">
              <w:rPr>
                <w:rStyle w:val="Lienhypertexte"/>
                <w:noProof/>
              </w:rPr>
              <w:t>Axe stratégique n°4 : amélioration de la gouvernance et du leadership du secteur de la santé</w:t>
            </w:r>
            <w:r w:rsidR="004C0DCB">
              <w:rPr>
                <w:noProof/>
                <w:webHidden/>
              </w:rPr>
              <w:tab/>
            </w:r>
            <w:r w:rsidR="004C0DCB">
              <w:rPr>
                <w:noProof/>
                <w:webHidden/>
              </w:rPr>
              <w:fldChar w:fldCharType="begin"/>
            </w:r>
            <w:r w:rsidR="004C0DCB">
              <w:rPr>
                <w:noProof/>
                <w:webHidden/>
              </w:rPr>
              <w:instrText xml:space="preserve"> PAGEREF _Toc21449021 \h </w:instrText>
            </w:r>
            <w:r w:rsidR="004C0DCB">
              <w:rPr>
                <w:noProof/>
                <w:webHidden/>
              </w:rPr>
            </w:r>
            <w:r w:rsidR="004C0DCB">
              <w:rPr>
                <w:noProof/>
                <w:webHidden/>
              </w:rPr>
              <w:fldChar w:fldCharType="separate"/>
            </w:r>
            <w:r w:rsidR="004C0DCB">
              <w:rPr>
                <w:noProof/>
                <w:webHidden/>
              </w:rPr>
              <w:t>26</w:t>
            </w:r>
            <w:r w:rsidR="004C0DCB">
              <w:rPr>
                <w:noProof/>
                <w:webHidden/>
              </w:rPr>
              <w:fldChar w:fldCharType="end"/>
            </w:r>
          </w:hyperlink>
        </w:p>
        <w:p w14:paraId="25C073E7" w14:textId="77777777" w:rsidR="004C0DCB" w:rsidRDefault="00D175FB">
          <w:pPr>
            <w:pStyle w:val="TM2"/>
            <w:tabs>
              <w:tab w:val="right" w:leader="dot" w:pos="9060"/>
            </w:tabs>
            <w:rPr>
              <w:rFonts w:eastAsiaTheme="minorEastAsia"/>
              <w:noProof/>
              <w:lang w:eastAsia="fr-FR"/>
            </w:rPr>
          </w:pPr>
          <w:hyperlink w:anchor="_Toc21449022" w:history="1">
            <w:r w:rsidR="004C0DCB" w:rsidRPr="004E0A16">
              <w:rPr>
                <w:rStyle w:val="Lienhypertexte"/>
                <w:noProof/>
              </w:rPr>
              <w:t>Axe stratégique n°5 : amélioration de l’accès aux soins et services de santé</w:t>
            </w:r>
            <w:r w:rsidR="004C0DCB">
              <w:rPr>
                <w:noProof/>
                <w:webHidden/>
              </w:rPr>
              <w:tab/>
            </w:r>
            <w:r w:rsidR="004C0DCB">
              <w:rPr>
                <w:noProof/>
                <w:webHidden/>
              </w:rPr>
              <w:fldChar w:fldCharType="begin"/>
            </w:r>
            <w:r w:rsidR="004C0DCB">
              <w:rPr>
                <w:noProof/>
                <w:webHidden/>
              </w:rPr>
              <w:instrText xml:space="preserve"> PAGEREF _Toc21449022 \h </w:instrText>
            </w:r>
            <w:r w:rsidR="004C0DCB">
              <w:rPr>
                <w:noProof/>
                <w:webHidden/>
              </w:rPr>
            </w:r>
            <w:r w:rsidR="004C0DCB">
              <w:rPr>
                <w:noProof/>
                <w:webHidden/>
              </w:rPr>
              <w:fldChar w:fldCharType="separate"/>
            </w:r>
            <w:r w:rsidR="004C0DCB">
              <w:rPr>
                <w:noProof/>
                <w:webHidden/>
              </w:rPr>
              <w:t>27</w:t>
            </w:r>
            <w:r w:rsidR="004C0DCB">
              <w:rPr>
                <w:noProof/>
                <w:webHidden/>
              </w:rPr>
              <w:fldChar w:fldCharType="end"/>
            </w:r>
          </w:hyperlink>
        </w:p>
        <w:p w14:paraId="632B3EE8" w14:textId="77777777" w:rsidR="004C0DCB" w:rsidRDefault="00D175FB">
          <w:pPr>
            <w:pStyle w:val="TM2"/>
            <w:tabs>
              <w:tab w:val="right" w:leader="dot" w:pos="9060"/>
            </w:tabs>
            <w:rPr>
              <w:rFonts w:eastAsiaTheme="minorEastAsia"/>
              <w:noProof/>
              <w:lang w:eastAsia="fr-FR"/>
            </w:rPr>
          </w:pPr>
          <w:hyperlink w:anchor="_Toc21449023" w:history="1">
            <w:r w:rsidR="004C0DCB" w:rsidRPr="004E0A16">
              <w:rPr>
                <w:rStyle w:val="Lienhypertexte"/>
                <w:noProof/>
              </w:rPr>
              <w:t>Axe stratégique n°6 : amélioration des prestations de soins et services de santé</w:t>
            </w:r>
            <w:r w:rsidR="004C0DCB">
              <w:rPr>
                <w:noProof/>
                <w:webHidden/>
              </w:rPr>
              <w:tab/>
            </w:r>
            <w:r w:rsidR="004C0DCB">
              <w:rPr>
                <w:noProof/>
                <w:webHidden/>
              </w:rPr>
              <w:fldChar w:fldCharType="begin"/>
            </w:r>
            <w:r w:rsidR="004C0DCB">
              <w:rPr>
                <w:noProof/>
                <w:webHidden/>
              </w:rPr>
              <w:instrText xml:space="preserve"> PAGEREF _Toc21449023 \h </w:instrText>
            </w:r>
            <w:r w:rsidR="004C0DCB">
              <w:rPr>
                <w:noProof/>
                <w:webHidden/>
              </w:rPr>
            </w:r>
            <w:r w:rsidR="004C0DCB">
              <w:rPr>
                <w:noProof/>
                <w:webHidden/>
              </w:rPr>
              <w:fldChar w:fldCharType="separate"/>
            </w:r>
            <w:r w:rsidR="004C0DCB">
              <w:rPr>
                <w:noProof/>
                <w:webHidden/>
              </w:rPr>
              <w:t>28</w:t>
            </w:r>
            <w:r w:rsidR="004C0DCB">
              <w:rPr>
                <w:noProof/>
                <w:webHidden/>
              </w:rPr>
              <w:fldChar w:fldCharType="end"/>
            </w:r>
          </w:hyperlink>
        </w:p>
        <w:p w14:paraId="0D1929E5" w14:textId="77777777" w:rsidR="004C0DCB" w:rsidRDefault="00D175FB">
          <w:pPr>
            <w:pStyle w:val="TM2"/>
            <w:tabs>
              <w:tab w:val="right" w:leader="dot" w:pos="9060"/>
            </w:tabs>
            <w:rPr>
              <w:rFonts w:eastAsiaTheme="minorEastAsia"/>
              <w:noProof/>
              <w:lang w:eastAsia="fr-FR"/>
            </w:rPr>
          </w:pPr>
          <w:hyperlink w:anchor="_Toc21449024" w:history="1">
            <w:r w:rsidR="004C0DCB" w:rsidRPr="004E0A16">
              <w:rPr>
                <w:rStyle w:val="Lienhypertexte"/>
                <w:noProof/>
              </w:rPr>
              <w:t>O.S n°3 : Amélioration de la Protection Financière contre le risque maladie</w:t>
            </w:r>
            <w:r w:rsidR="004C0DCB">
              <w:rPr>
                <w:noProof/>
                <w:webHidden/>
              </w:rPr>
              <w:tab/>
            </w:r>
            <w:r w:rsidR="004C0DCB">
              <w:rPr>
                <w:noProof/>
                <w:webHidden/>
              </w:rPr>
              <w:fldChar w:fldCharType="begin"/>
            </w:r>
            <w:r w:rsidR="004C0DCB">
              <w:rPr>
                <w:noProof/>
                <w:webHidden/>
              </w:rPr>
              <w:instrText xml:space="preserve"> PAGEREF _Toc21449024 \h </w:instrText>
            </w:r>
            <w:r w:rsidR="004C0DCB">
              <w:rPr>
                <w:noProof/>
                <w:webHidden/>
              </w:rPr>
            </w:r>
            <w:r w:rsidR="004C0DCB">
              <w:rPr>
                <w:noProof/>
                <w:webHidden/>
              </w:rPr>
              <w:fldChar w:fldCharType="separate"/>
            </w:r>
            <w:r w:rsidR="004C0DCB">
              <w:rPr>
                <w:noProof/>
                <w:webHidden/>
              </w:rPr>
              <w:t>29</w:t>
            </w:r>
            <w:r w:rsidR="004C0DCB">
              <w:rPr>
                <w:noProof/>
                <w:webHidden/>
              </w:rPr>
              <w:fldChar w:fldCharType="end"/>
            </w:r>
          </w:hyperlink>
        </w:p>
        <w:p w14:paraId="1968E0FA" w14:textId="77777777" w:rsidR="004C0DCB" w:rsidRDefault="00D175FB">
          <w:pPr>
            <w:pStyle w:val="TM2"/>
            <w:tabs>
              <w:tab w:val="right" w:leader="dot" w:pos="9060"/>
            </w:tabs>
            <w:rPr>
              <w:rFonts w:eastAsiaTheme="minorEastAsia"/>
              <w:noProof/>
              <w:lang w:eastAsia="fr-FR"/>
            </w:rPr>
          </w:pPr>
          <w:hyperlink w:anchor="_Toc21449025" w:history="1">
            <w:r w:rsidR="004C0DCB" w:rsidRPr="004E0A16">
              <w:rPr>
                <w:rStyle w:val="Lienhypertexte"/>
                <w:noProof/>
              </w:rPr>
              <w:t>Axe stratégique n°7 : fonctionnement optimal de la politique d’exemption de paiement pour les enfants de moins de 5 ans et les femmes enceintes.</w:t>
            </w:r>
            <w:r w:rsidR="004C0DCB">
              <w:rPr>
                <w:noProof/>
                <w:webHidden/>
              </w:rPr>
              <w:tab/>
            </w:r>
            <w:r w:rsidR="004C0DCB">
              <w:rPr>
                <w:noProof/>
                <w:webHidden/>
              </w:rPr>
              <w:fldChar w:fldCharType="begin"/>
            </w:r>
            <w:r w:rsidR="004C0DCB">
              <w:rPr>
                <w:noProof/>
                <w:webHidden/>
              </w:rPr>
              <w:instrText xml:space="preserve"> PAGEREF _Toc21449025 \h </w:instrText>
            </w:r>
            <w:r w:rsidR="004C0DCB">
              <w:rPr>
                <w:noProof/>
                <w:webHidden/>
              </w:rPr>
            </w:r>
            <w:r w:rsidR="004C0DCB">
              <w:rPr>
                <w:noProof/>
                <w:webHidden/>
              </w:rPr>
              <w:fldChar w:fldCharType="separate"/>
            </w:r>
            <w:r w:rsidR="004C0DCB">
              <w:rPr>
                <w:noProof/>
                <w:webHidden/>
              </w:rPr>
              <w:t>29</w:t>
            </w:r>
            <w:r w:rsidR="004C0DCB">
              <w:rPr>
                <w:noProof/>
                <w:webHidden/>
              </w:rPr>
              <w:fldChar w:fldCharType="end"/>
            </w:r>
          </w:hyperlink>
        </w:p>
        <w:p w14:paraId="678BA5CB" w14:textId="77777777" w:rsidR="004C0DCB" w:rsidRDefault="00D175FB">
          <w:pPr>
            <w:pStyle w:val="TM2"/>
            <w:tabs>
              <w:tab w:val="right" w:leader="dot" w:pos="9060"/>
            </w:tabs>
            <w:rPr>
              <w:rFonts w:eastAsiaTheme="minorEastAsia"/>
              <w:noProof/>
              <w:lang w:eastAsia="fr-FR"/>
            </w:rPr>
          </w:pPr>
          <w:hyperlink w:anchor="_Toc21449026" w:history="1">
            <w:r w:rsidR="004C0DCB" w:rsidRPr="004E0A16">
              <w:rPr>
                <w:rStyle w:val="Lienhypertexte"/>
                <w:noProof/>
              </w:rPr>
              <w:t>Axe stratégique n°8 : Mise en œuvre progressive d’une assurance maladie universelle</w:t>
            </w:r>
            <w:r w:rsidR="004C0DCB">
              <w:rPr>
                <w:noProof/>
                <w:webHidden/>
              </w:rPr>
              <w:tab/>
            </w:r>
            <w:r w:rsidR="004C0DCB">
              <w:rPr>
                <w:noProof/>
                <w:webHidden/>
              </w:rPr>
              <w:fldChar w:fldCharType="begin"/>
            </w:r>
            <w:r w:rsidR="004C0DCB">
              <w:rPr>
                <w:noProof/>
                <w:webHidden/>
              </w:rPr>
              <w:instrText xml:space="preserve"> PAGEREF _Toc21449026 \h </w:instrText>
            </w:r>
            <w:r w:rsidR="004C0DCB">
              <w:rPr>
                <w:noProof/>
                <w:webHidden/>
              </w:rPr>
            </w:r>
            <w:r w:rsidR="004C0DCB">
              <w:rPr>
                <w:noProof/>
                <w:webHidden/>
              </w:rPr>
              <w:fldChar w:fldCharType="separate"/>
            </w:r>
            <w:r w:rsidR="004C0DCB">
              <w:rPr>
                <w:noProof/>
                <w:webHidden/>
              </w:rPr>
              <w:t>31</w:t>
            </w:r>
            <w:r w:rsidR="004C0DCB">
              <w:rPr>
                <w:noProof/>
                <w:webHidden/>
              </w:rPr>
              <w:fldChar w:fldCharType="end"/>
            </w:r>
          </w:hyperlink>
        </w:p>
        <w:p w14:paraId="736447D1" w14:textId="77777777" w:rsidR="004C0DCB" w:rsidRDefault="00D175FB">
          <w:pPr>
            <w:pStyle w:val="TM1"/>
            <w:tabs>
              <w:tab w:val="right" w:leader="dot" w:pos="9060"/>
            </w:tabs>
            <w:rPr>
              <w:rFonts w:eastAsiaTheme="minorEastAsia"/>
              <w:noProof/>
              <w:lang w:eastAsia="fr-FR"/>
            </w:rPr>
          </w:pPr>
          <w:hyperlink w:anchor="_Toc21449027" w:history="1">
            <w:r w:rsidR="004C0DCB" w:rsidRPr="004E0A16">
              <w:rPr>
                <w:rStyle w:val="Lienhypertexte"/>
                <w:noProof/>
              </w:rPr>
              <w:t>O.S n°4 : Rationalisation du système de financement de la santé pour la CSU</w:t>
            </w:r>
            <w:r w:rsidR="004C0DCB">
              <w:rPr>
                <w:noProof/>
                <w:webHidden/>
              </w:rPr>
              <w:tab/>
            </w:r>
            <w:r w:rsidR="004C0DCB">
              <w:rPr>
                <w:noProof/>
                <w:webHidden/>
              </w:rPr>
              <w:fldChar w:fldCharType="begin"/>
            </w:r>
            <w:r w:rsidR="004C0DCB">
              <w:rPr>
                <w:noProof/>
                <w:webHidden/>
              </w:rPr>
              <w:instrText xml:space="preserve"> PAGEREF _Toc21449027 \h </w:instrText>
            </w:r>
            <w:r w:rsidR="004C0DCB">
              <w:rPr>
                <w:noProof/>
                <w:webHidden/>
              </w:rPr>
            </w:r>
            <w:r w:rsidR="004C0DCB">
              <w:rPr>
                <w:noProof/>
                <w:webHidden/>
              </w:rPr>
              <w:fldChar w:fldCharType="separate"/>
            </w:r>
            <w:r w:rsidR="004C0DCB">
              <w:rPr>
                <w:noProof/>
                <w:webHidden/>
              </w:rPr>
              <w:t>32</w:t>
            </w:r>
            <w:r w:rsidR="004C0DCB">
              <w:rPr>
                <w:noProof/>
                <w:webHidden/>
              </w:rPr>
              <w:fldChar w:fldCharType="end"/>
            </w:r>
          </w:hyperlink>
        </w:p>
        <w:p w14:paraId="69240C6B" w14:textId="77777777" w:rsidR="004C0DCB" w:rsidRDefault="00D175FB">
          <w:pPr>
            <w:pStyle w:val="TM2"/>
            <w:tabs>
              <w:tab w:val="right" w:leader="dot" w:pos="9060"/>
            </w:tabs>
            <w:rPr>
              <w:rFonts w:eastAsiaTheme="minorEastAsia"/>
              <w:noProof/>
              <w:lang w:eastAsia="fr-FR"/>
            </w:rPr>
          </w:pPr>
          <w:hyperlink w:anchor="_Toc21449028" w:history="1">
            <w:r w:rsidR="004C0DCB" w:rsidRPr="004E0A16">
              <w:rPr>
                <w:rStyle w:val="Lienhypertexte"/>
                <w:noProof/>
              </w:rPr>
              <w:t>Axe stratégique n°9 : définition d’un paquet de soins (et/ou paquet de services) adapté aux besoins et aux moyens nationaux</w:t>
            </w:r>
            <w:r w:rsidR="004C0DCB">
              <w:rPr>
                <w:noProof/>
                <w:webHidden/>
              </w:rPr>
              <w:tab/>
            </w:r>
            <w:r w:rsidR="004C0DCB">
              <w:rPr>
                <w:noProof/>
                <w:webHidden/>
              </w:rPr>
              <w:fldChar w:fldCharType="begin"/>
            </w:r>
            <w:r w:rsidR="004C0DCB">
              <w:rPr>
                <w:noProof/>
                <w:webHidden/>
              </w:rPr>
              <w:instrText xml:space="preserve"> PAGEREF _Toc21449028 \h </w:instrText>
            </w:r>
            <w:r w:rsidR="004C0DCB">
              <w:rPr>
                <w:noProof/>
                <w:webHidden/>
              </w:rPr>
            </w:r>
            <w:r w:rsidR="004C0DCB">
              <w:rPr>
                <w:noProof/>
                <w:webHidden/>
              </w:rPr>
              <w:fldChar w:fldCharType="separate"/>
            </w:r>
            <w:r w:rsidR="004C0DCB">
              <w:rPr>
                <w:noProof/>
                <w:webHidden/>
              </w:rPr>
              <w:t>32</w:t>
            </w:r>
            <w:r w:rsidR="004C0DCB">
              <w:rPr>
                <w:noProof/>
                <w:webHidden/>
              </w:rPr>
              <w:fldChar w:fldCharType="end"/>
            </w:r>
          </w:hyperlink>
        </w:p>
        <w:p w14:paraId="26FD4980" w14:textId="77777777" w:rsidR="004C0DCB" w:rsidRDefault="00D175FB">
          <w:pPr>
            <w:pStyle w:val="TM2"/>
            <w:tabs>
              <w:tab w:val="right" w:leader="dot" w:pos="9060"/>
            </w:tabs>
            <w:rPr>
              <w:rFonts w:eastAsiaTheme="minorEastAsia"/>
              <w:noProof/>
              <w:lang w:eastAsia="fr-FR"/>
            </w:rPr>
          </w:pPr>
          <w:hyperlink w:anchor="_Toc21449029" w:history="1">
            <w:r w:rsidR="004C0DCB" w:rsidRPr="004E0A16">
              <w:rPr>
                <w:rStyle w:val="Lienhypertexte"/>
                <w:noProof/>
              </w:rPr>
              <w:t>Axe stratégique n°10 : intégration accru et optimale des financements et autres interventions des partenaires dans les circuits nationaux</w:t>
            </w:r>
            <w:r w:rsidR="004C0DCB">
              <w:rPr>
                <w:noProof/>
                <w:webHidden/>
              </w:rPr>
              <w:tab/>
            </w:r>
            <w:r w:rsidR="004C0DCB">
              <w:rPr>
                <w:noProof/>
                <w:webHidden/>
              </w:rPr>
              <w:fldChar w:fldCharType="begin"/>
            </w:r>
            <w:r w:rsidR="004C0DCB">
              <w:rPr>
                <w:noProof/>
                <w:webHidden/>
              </w:rPr>
              <w:instrText xml:space="preserve"> PAGEREF _Toc21449029 \h </w:instrText>
            </w:r>
            <w:r w:rsidR="004C0DCB">
              <w:rPr>
                <w:noProof/>
                <w:webHidden/>
              </w:rPr>
            </w:r>
            <w:r w:rsidR="004C0DCB">
              <w:rPr>
                <w:noProof/>
                <w:webHidden/>
              </w:rPr>
              <w:fldChar w:fldCharType="separate"/>
            </w:r>
            <w:r w:rsidR="004C0DCB">
              <w:rPr>
                <w:noProof/>
                <w:webHidden/>
              </w:rPr>
              <w:t>33</w:t>
            </w:r>
            <w:r w:rsidR="004C0DCB">
              <w:rPr>
                <w:noProof/>
                <w:webHidden/>
              </w:rPr>
              <w:fldChar w:fldCharType="end"/>
            </w:r>
          </w:hyperlink>
        </w:p>
        <w:p w14:paraId="5DF98B2A" w14:textId="77777777" w:rsidR="004C0DCB" w:rsidRDefault="00D175FB">
          <w:pPr>
            <w:pStyle w:val="TM2"/>
            <w:tabs>
              <w:tab w:val="right" w:leader="dot" w:pos="9060"/>
            </w:tabs>
            <w:rPr>
              <w:rFonts w:eastAsiaTheme="minorEastAsia"/>
              <w:noProof/>
              <w:lang w:eastAsia="fr-FR"/>
            </w:rPr>
          </w:pPr>
          <w:hyperlink w:anchor="_Toc21449030" w:history="1">
            <w:r w:rsidR="004C0DCB" w:rsidRPr="004E0A16">
              <w:rPr>
                <w:rStyle w:val="Lienhypertexte"/>
                <w:noProof/>
              </w:rPr>
              <w:t>Canaux de financement et répartition à long terme (10 ans)</w:t>
            </w:r>
            <w:r w:rsidR="004C0DCB">
              <w:rPr>
                <w:noProof/>
                <w:webHidden/>
              </w:rPr>
              <w:tab/>
            </w:r>
            <w:r w:rsidR="004C0DCB">
              <w:rPr>
                <w:noProof/>
                <w:webHidden/>
              </w:rPr>
              <w:fldChar w:fldCharType="begin"/>
            </w:r>
            <w:r w:rsidR="004C0DCB">
              <w:rPr>
                <w:noProof/>
                <w:webHidden/>
              </w:rPr>
              <w:instrText xml:space="preserve"> PAGEREF _Toc21449030 \h </w:instrText>
            </w:r>
            <w:r w:rsidR="004C0DCB">
              <w:rPr>
                <w:noProof/>
                <w:webHidden/>
              </w:rPr>
            </w:r>
            <w:r w:rsidR="004C0DCB">
              <w:rPr>
                <w:noProof/>
                <w:webHidden/>
              </w:rPr>
              <w:fldChar w:fldCharType="separate"/>
            </w:r>
            <w:r w:rsidR="004C0DCB">
              <w:rPr>
                <w:noProof/>
                <w:webHidden/>
              </w:rPr>
              <w:t>34</w:t>
            </w:r>
            <w:r w:rsidR="004C0DCB">
              <w:rPr>
                <w:noProof/>
                <w:webHidden/>
              </w:rPr>
              <w:fldChar w:fldCharType="end"/>
            </w:r>
          </w:hyperlink>
        </w:p>
        <w:p w14:paraId="495CB807" w14:textId="77777777" w:rsidR="004C0DCB" w:rsidRDefault="00D175FB">
          <w:pPr>
            <w:pStyle w:val="TM1"/>
            <w:tabs>
              <w:tab w:val="right" w:leader="dot" w:pos="9060"/>
            </w:tabs>
            <w:rPr>
              <w:rFonts w:eastAsiaTheme="minorEastAsia"/>
              <w:noProof/>
              <w:lang w:eastAsia="fr-FR"/>
            </w:rPr>
          </w:pPr>
          <w:hyperlink w:anchor="_Toc21449031" w:history="1">
            <w:r w:rsidR="004C0DCB" w:rsidRPr="004E0A16">
              <w:rPr>
                <w:rStyle w:val="Lienhypertexte"/>
                <w:noProof/>
              </w:rPr>
              <w:t>Hypothèses et risques</w:t>
            </w:r>
            <w:r w:rsidR="004C0DCB">
              <w:rPr>
                <w:noProof/>
                <w:webHidden/>
              </w:rPr>
              <w:tab/>
            </w:r>
            <w:r w:rsidR="004C0DCB">
              <w:rPr>
                <w:noProof/>
                <w:webHidden/>
              </w:rPr>
              <w:fldChar w:fldCharType="begin"/>
            </w:r>
            <w:r w:rsidR="004C0DCB">
              <w:rPr>
                <w:noProof/>
                <w:webHidden/>
              </w:rPr>
              <w:instrText xml:space="preserve"> PAGEREF _Toc21449031 \h </w:instrText>
            </w:r>
            <w:r w:rsidR="004C0DCB">
              <w:rPr>
                <w:noProof/>
                <w:webHidden/>
              </w:rPr>
            </w:r>
            <w:r w:rsidR="004C0DCB">
              <w:rPr>
                <w:noProof/>
                <w:webHidden/>
              </w:rPr>
              <w:fldChar w:fldCharType="separate"/>
            </w:r>
            <w:r w:rsidR="004C0DCB">
              <w:rPr>
                <w:noProof/>
                <w:webHidden/>
              </w:rPr>
              <w:t>36</w:t>
            </w:r>
            <w:r w:rsidR="004C0DCB">
              <w:rPr>
                <w:noProof/>
                <w:webHidden/>
              </w:rPr>
              <w:fldChar w:fldCharType="end"/>
            </w:r>
          </w:hyperlink>
        </w:p>
        <w:p w14:paraId="050CC25B" w14:textId="77777777" w:rsidR="004C0DCB" w:rsidRDefault="00D175FB">
          <w:pPr>
            <w:pStyle w:val="TM2"/>
            <w:tabs>
              <w:tab w:val="right" w:leader="dot" w:pos="9060"/>
            </w:tabs>
            <w:rPr>
              <w:rFonts w:eastAsiaTheme="minorEastAsia"/>
              <w:noProof/>
              <w:lang w:eastAsia="fr-FR"/>
            </w:rPr>
          </w:pPr>
          <w:hyperlink w:anchor="_Toc21449032" w:history="1">
            <w:r w:rsidR="004C0DCB" w:rsidRPr="004E0A16">
              <w:rPr>
                <w:rStyle w:val="Lienhypertexte"/>
                <w:noProof/>
              </w:rPr>
              <w:t>Hypothèse n°1 : plus de santé est obtenu avec l’argent disponible, et plus de ressources publiques nationales sont mises à disposition pour la santé</w:t>
            </w:r>
            <w:r w:rsidR="004C0DCB">
              <w:rPr>
                <w:noProof/>
                <w:webHidden/>
              </w:rPr>
              <w:tab/>
            </w:r>
            <w:r w:rsidR="004C0DCB">
              <w:rPr>
                <w:noProof/>
                <w:webHidden/>
              </w:rPr>
              <w:fldChar w:fldCharType="begin"/>
            </w:r>
            <w:r w:rsidR="004C0DCB">
              <w:rPr>
                <w:noProof/>
                <w:webHidden/>
              </w:rPr>
              <w:instrText xml:space="preserve"> PAGEREF _Toc21449032 \h </w:instrText>
            </w:r>
            <w:r w:rsidR="004C0DCB">
              <w:rPr>
                <w:noProof/>
                <w:webHidden/>
              </w:rPr>
            </w:r>
            <w:r w:rsidR="004C0DCB">
              <w:rPr>
                <w:noProof/>
                <w:webHidden/>
              </w:rPr>
              <w:fldChar w:fldCharType="separate"/>
            </w:r>
            <w:r w:rsidR="004C0DCB">
              <w:rPr>
                <w:noProof/>
                <w:webHidden/>
              </w:rPr>
              <w:t>36</w:t>
            </w:r>
            <w:r w:rsidR="004C0DCB">
              <w:rPr>
                <w:noProof/>
                <w:webHidden/>
              </w:rPr>
              <w:fldChar w:fldCharType="end"/>
            </w:r>
          </w:hyperlink>
        </w:p>
        <w:p w14:paraId="5588E06B" w14:textId="77777777" w:rsidR="004C0DCB" w:rsidRDefault="00D175FB">
          <w:pPr>
            <w:pStyle w:val="TM2"/>
            <w:tabs>
              <w:tab w:val="right" w:leader="dot" w:pos="9060"/>
            </w:tabs>
            <w:rPr>
              <w:rFonts w:eastAsiaTheme="minorEastAsia"/>
              <w:noProof/>
              <w:lang w:eastAsia="fr-FR"/>
            </w:rPr>
          </w:pPr>
          <w:hyperlink w:anchor="_Toc21449033" w:history="1">
            <w:r w:rsidR="004C0DCB" w:rsidRPr="004E0A16">
              <w:rPr>
                <w:rStyle w:val="Lienhypertexte"/>
                <w:noProof/>
              </w:rPr>
              <w:t>Hypothèse n°2 : le dialogue national dans toutes ses dimensions est amélioré, y compris le dialogue politique, social et sociétal, et l’intégration de la problématique du genre</w:t>
            </w:r>
            <w:r w:rsidR="004C0DCB">
              <w:rPr>
                <w:noProof/>
                <w:webHidden/>
              </w:rPr>
              <w:tab/>
            </w:r>
            <w:r w:rsidR="004C0DCB">
              <w:rPr>
                <w:noProof/>
                <w:webHidden/>
              </w:rPr>
              <w:fldChar w:fldCharType="begin"/>
            </w:r>
            <w:r w:rsidR="004C0DCB">
              <w:rPr>
                <w:noProof/>
                <w:webHidden/>
              </w:rPr>
              <w:instrText xml:space="preserve"> PAGEREF _Toc21449033 \h </w:instrText>
            </w:r>
            <w:r w:rsidR="004C0DCB">
              <w:rPr>
                <w:noProof/>
                <w:webHidden/>
              </w:rPr>
            </w:r>
            <w:r w:rsidR="004C0DCB">
              <w:rPr>
                <w:noProof/>
                <w:webHidden/>
              </w:rPr>
              <w:fldChar w:fldCharType="separate"/>
            </w:r>
            <w:r w:rsidR="004C0DCB">
              <w:rPr>
                <w:noProof/>
                <w:webHidden/>
              </w:rPr>
              <w:t>38</w:t>
            </w:r>
            <w:r w:rsidR="004C0DCB">
              <w:rPr>
                <w:noProof/>
                <w:webHidden/>
              </w:rPr>
              <w:fldChar w:fldCharType="end"/>
            </w:r>
          </w:hyperlink>
        </w:p>
        <w:p w14:paraId="7F164E05" w14:textId="77777777" w:rsidR="004C0DCB" w:rsidRDefault="00D175FB">
          <w:pPr>
            <w:pStyle w:val="TM2"/>
            <w:tabs>
              <w:tab w:val="right" w:leader="dot" w:pos="9060"/>
            </w:tabs>
            <w:rPr>
              <w:rFonts w:eastAsiaTheme="minorEastAsia"/>
              <w:noProof/>
              <w:lang w:eastAsia="fr-FR"/>
            </w:rPr>
          </w:pPr>
          <w:hyperlink w:anchor="_Toc21449034" w:history="1">
            <w:r w:rsidR="004C0DCB" w:rsidRPr="004E0A16">
              <w:rPr>
                <w:rStyle w:val="Lienhypertexte"/>
                <w:noProof/>
              </w:rPr>
              <w:t>Hypothèse n°3 : les défis de la CSU étant profondément adaptatifs, tout est mis en œuvre pour un meilleur leadership</w:t>
            </w:r>
            <w:r w:rsidR="004C0DCB">
              <w:rPr>
                <w:noProof/>
                <w:webHidden/>
              </w:rPr>
              <w:tab/>
            </w:r>
            <w:r w:rsidR="004C0DCB">
              <w:rPr>
                <w:noProof/>
                <w:webHidden/>
              </w:rPr>
              <w:fldChar w:fldCharType="begin"/>
            </w:r>
            <w:r w:rsidR="004C0DCB">
              <w:rPr>
                <w:noProof/>
                <w:webHidden/>
              </w:rPr>
              <w:instrText xml:space="preserve"> PAGEREF _Toc21449034 \h </w:instrText>
            </w:r>
            <w:r w:rsidR="004C0DCB">
              <w:rPr>
                <w:noProof/>
                <w:webHidden/>
              </w:rPr>
            </w:r>
            <w:r w:rsidR="004C0DCB">
              <w:rPr>
                <w:noProof/>
                <w:webHidden/>
              </w:rPr>
              <w:fldChar w:fldCharType="separate"/>
            </w:r>
            <w:r w:rsidR="004C0DCB">
              <w:rPr>
                <w:noProof/>
                <w:webHidden/>
              </w:rPr>
              <w:t>39</w:t>
            </w:r>
            <w:r w:rsidR="004C0DCB">
              <w:rPr>
                <w:noProof/>
                <w:webHidden/>
              </w:rPr>
              <w:fldChar w:fldCharType="end"/>
            </w:r>
          </w:hyperlink>
        </w:p>
        <w:p w14:paraId="15BC1E44" w14:textId="77777777" w:rsidR="004C0DCB" w:rsidRDefault="00D175FB">
          <w:pPr>
            <w:pStyle w:val="TM2"/>
            <w:tabs>
              <w:tab w:val="right" w:leader="dot" w:pos="9060"/>
            </w:tabs>
            <w:rPr>
              <w:rFonts w:eastAsiaTheme="minorEastAsia"/>
              <w:noProof/>
              <w:lang w:eastAsia="fr-FR"/>
            </w:rPr>
          </w:pPr>
          <w:hyperlink w:anchor="_Toc21449035" w:history="1">
            <w:r w:rsidR="004C0DCB" w:rsidRPr="004E0A16">
              <w:rPr>
                <w:rStyle w:val="Lienhypertexte"/>
                <w:noProof/>
              </w:rPr>
              <w:t>Hypothèse n°4 : Evolution favorable de la société sur le plan démographique et éducatif / culturel</w:t>
            </w:r>
            <w:r w:rsidR="004C0DCB">
              <w:rPr>
                <w:noProof/>
                <w:webHidden/>
              </w:rPr>
              <w:tab/>
            </w:r>
            <w:r w:rsidR="004C0DCB">
              <w:rPr>
                <w:noProof/>
                <w:webHidden/>
              </w:rPr>
              <w:fldChar w:fldCharType="begin"/>
            </w:r>
            <w:r w:rsidR="004C0DCB">
              <w:rPr>
                <w:noProof/>
                <w:webHidden/>
              </w:rPr>
              <w:instrText xml:space="preserve"> PAGEREF _Toc21449035 \h </w:instrText>
            </w:r>
            <w:r w:rsidR="004C0DCB">
              <w:rPr>
                <w:noProof/>
                <w:webHidden/>
              </w:rPr>
            </w:r>
            <w:r w:rsidR="004C0DCB">
              <w:rPr>
                <w:noProof/>
                <w:webHidden/>
              </w:rPr>
              <w:fldChar w:fldCharType="separate"/>
            </w:r>
            <w:r w:rsidR="004C0DCB">
              <w:rPr>
                <w:noProof/>
                <w:webHidden/>
              </w:rPr>
              <w:t>39</w:t>
            </w:r>
            <w:r w:rsidR="004C0DCB">
              <w:rPr>
                <w:noProof/>
                <w:webHidden/>
              </w:rPr>
              <w:fldChar w:fldCharType="end"/>
            </w:r>
          </w:hyperlink>
        </w:p>
        <w:p w14:paraId="6CE1C156" w14:textId="77777777" w:rsidR="004C0DCB" w:rsidRDefault="00D175FB">
          <w:pPr>
            <w:pStyle w:val="TM2"/>
            <w:tabs>
              <w:tab w:val="right" w:leader="dot" w:pos="9060"/>
            </w:tabs>
            <w:rPr>
              <w:rFonts w:eastAsiaTheme="minorEastAsia"/>
              <w:noProof/>
              <w:lang w:eastAsia="fr-FR"/>
            </w:rPr>
          </w:pPr>
          <w:hyperlink w:anchor="_Toc21449036" w:history="1">
            <w:r w:rsidR="004C0DCB" w:rsidRPr="004E0A16">
              <w:rPr>
                <w:rStyle w:val="Lienhypertexte"/>
                <w:noProof/>
              </w:rPr>
              <w:t>Risques</w:t>
            </w:r>
            <w:r w:rsidR="004C0DCB">
              <w:rPr>
                <w:noProof/>
                <w:webHidden/>
              </w:rPr>
              <w:tab/>
            </w:r>
            <w:r w:rsidR="004C0DCB">
              <w:rPr>
                <w:noProof/>
                <w:webHidden/>
              </w:rPr>
              <w:fldChar w:fldCharType="begin"/>
            </w:r>
            <w:r w:rsidR="004C0DCB">
              <w:rPr>
                <w:noProof/>
                <w:webHidden/>
              </w:rPr>
              <w:instrText xml:space="preserve"> PAGEREF _Toc21449036 \h </w:instrText>
            </w:r>
            <w:r w:rsidR="004C0DCB">
              <w:rPr>
                <w:noProof/>
                <w:webHidden/>
              </w:rPr>
            </w:r>
            <w:r w:rsidR="004C0DCB">
              <w:rPr>
                <w:noProof/>
                <w:webHidden/>
              </w:rPr>
              <w:fldChar w:fldCharType="separate"/>
            </w:r>
            <w:r w:rsidR="004C0DCB">
              <w:rPr>
                <w:noProof/>
                <w:webHidden/>
              </w:rPr>
              <w:t>40</w:t>
            </w:r>
            <w:r w:rsidR="004C0DCB">
              <w:rPr>
                <w:noProof/>
                <w:webHidden/>
              </w:rPr>
              <w:fldChar w:fldCharType="end"/>
            </w:r>
          </w:hyperlink>
        </w:p>
        <w:p w14:paraId="2BC2E7A5" w14:textId="77777777" w:rsidR="004C0DCB" w:rsidRDefault="00D175FB">
          <w:pPr>
            <w:pStyle w:val="TM1"/>
            <w:tabs>
              <w:tab w:val="right" w:leader="dot" w:pos="9060"/>
            </w:tabs>
            <w:rPr>
              <w:rFonts w:eastAsiaTheme="minorEastAsia"/>
              <w:noProof/>
              <w:lang w:eastAsia="fr-FR"/>
            </w:rPr>
          </w:pPr>
          <w:hyperlink w:anchor="_Toc21449037" w:history="1">
            <w:r w:rsidR="004C0DCB" w:rsidRPr="004E0A16">
              <w:rPr>
                <w:rStyle w:val="Lienhypertexte"/>
                <w:noProof/>
              </w:rPr>
              <w:t>Le cadre de mise en œuvre et de  suivi-évaluation de la stratégie CSU</w:t>
            </w:r>
            <w:r w:rsidR="004C0DCB">
              <w:rPr>
                <w:noProof/>
                <w:webHidden/>
              </w:rPr>
              <w:tab/>
            </w:r>
            <w:r w:rsidR="004C0DCB">
              <w:rPr>
                <w:noProof/>
                <w:webHidden/>
              </w:rPr>
              <w:fldChar w:fldCharType="begin"/>
            </w:r>
            <w:r w:rsidR="004C0DCB">
              <w:rPr>
                <w:noProof/>
                <w:webHidden/>
              </w:rPr>
              <w:instrText xml:space="preserve"> PAGEREF _Toc21449037 \h </w:instrText>
            </w:r>
            <w:r w:rsidR="004C0DCB">
              <w:rPr>
                <w:noProof/>
                <w:webHidden/>
              </w:rPr>
            </w:r>
            <w:r w:rsidR="004C0DCB">
              <w:rPr>
                <w:noProof/>
                <w:webHidden/>
              </w:rPr>
              <w:fldChar w:fldCharType="separate"/>
            </w:r>
            <w:r w:rsidR="004C0DCB">
              <w:rPr>
                <w:noProof/>
                <w:webHidden/>
              </w:rPr>
              <w:t>41</w:t>
            </w:r>
            <w:r w:rsidR="004C0DCB">
              <w:rPr>
                <w:noProof/>
                <w:webHidden/>
              </w:rPr>
              <w:fldChar w:fldCharType="end"/>
            </w:r>
          </w:hyperlink>
        </w:p>
        <w:p w14:paraId="6F3D71E4" w14:textId="77777777" w:rsidR="004C0DCB" w:rsidRDefault="00D175FB">
          <w:pPr>
            <w:pStyle w:val="TM2"/>
            <w:tabs>
              <w:tab w:val="right" w:leader="dot" w:pos="9060"/>
            </w:tabs>
            <w:rPr>
              <w:rFonts w:eastAsiaTheme="minorEastAsia"/>
              <w:noProof/>
              <w:lang w:eastAsia="fr-FR"/>
            </w:rPr>
          </w:pPr>
          <w:hyperlink w:anchor="_Toc21449038" w:history="1">
            <w:r w:rsidR="004C0DCB" w:rsidRPr="004E0A16">
              <w:rPr>
                <w:rStyle w:val="Lienhypertexte"/>
                <w:noProof/>
              </w:rPr>
              <w:t>Les cadres de mise en œuvre et de suivi sectoriel</w:t>
            </w:r>
            <w:r w:rsidR="004C0DCB">
              <w:rPr>
                <w:noProof/>
                <w:webHidden/>
              </w:rPr>
              <w:tab/>
            </w:r>
            <w:r w:rsidR="004C0DCB">
              <w:rPr>
                <w:noProof/>
                <w:webHidden/>
              </w:rPr>
              <w:fldChar w:fldCharType="begin"/>
            </w:r>
            <w:r w:rsidR="004C0DCB">
              <w:rPr>
                <w:noProof/>
                <w:webHidden/>
              </w:rPr>
              <w:instrText xml:space="preserve"> PAGEREF _Toc21449038 \h </w:instrText>
            </w:r>
            <w:r w:rsidR="004C0DCB">
              <w:rPr>
                <w:noProof/>
                <w:webHidden/>
              </w:rPr>
            </w:r>
            <w:r w:rsidR="004C0DCB">
              <w:rPr>
                <w:noProof/>
                <w:webHidden/>
              </w:rPr>
              <w:fldChar w:fldCharType="separate"/>
            </w:r>
            <w:r w:rsidR="004C0DCB">
              <w:rPr>
                <w:noProof/>
                <w:webHidden/>
              </w:rPr>
              <w:t>41</w:t>
            </w:r>
            <w:r w:rsidR="004C0DCB">
              <w:rPr>
                <w:noProof/>
                <w:webHidden/>
              </w:rPr>
              <w:fldChar w:fldCharType="end"/>
            </w:r>
          </w:hyperlink>
        </w:p>
        <w:p w14:paraId="23472693" w14:textId="77777777" w:rsidR="004C0DCB" w:rsidRDefault="00D175FB">
          <w:pPr>
            <w:pStyle w:val="TM2"/>
            <w:tabs>
              <w:tab w:val="right" w:leader="dot" w:pos="9060"/>
            </w:tabs>
            <w:rPr>
              <w:rFonts w:eastAsiaTheme="minorEastAsia"/>
              <w:noProof/>
              <w:lang w:eastAsia="fr-FR"/>
            </w:rPr>
          </w:pPr>
          <w:hyperlink w:anchor="_Toc21449039" w:history="1">
            <w:r w:rsidR="004C0DCB" w:rsidRPr="004E0A16">
              <w:rPr>
                <w:rStyle w:val="Lienhypertexte"/>
                <w:noProof/>
              </w:rPr>
              <w:t>Le cadre de suivi- évaluation de la CSU</w:t>
            </w:r>
            <w:r w:rsidR="004C0DCB">
              <w:rPr>
                <w:noProof/>
                <w:webHidden/>
              </w:rPr>
              <w:tab/>
            </w:r>
            <w:r w:rsidR="004C0DCB">
              <w:rPr>
                <w:noProof/>
                <w:webHidden/>
              </w:rPr>
              <w:fldChar w:fldCharType="begin"/>
            </w:r>
            <w:r w:rsidR="004C0DCB">
              <w:rPr>
                <w:noProof/>
                <w:webHidden/>
              </w:rPr>
              <w:instrText xml:space="preserve"> PAGEREF _Toc21449039 \h </w:instrText>
            </w:r>
            <w:r w:rsidR="004C0DCB">
              <w:rPr>
                <w:noProof/>
                <w:webHidden/>
              </w:rPr>
            </w:r>
            <w:r w:rsidR="004C0DCB">
              <w:rPr>
                <w:noProof/>
                <w:webHidden/>
              </w:rPr>
              <w:fldChar w:fldCharType="separate"/>
            </w:r>
            <w:r w:rsidR="004C0DCB">
              <w:rPr>
                <w:noProof/>
                <w:webHidden/>
              </w:rPr>
              <w:t>41</w:t>
            </w:r>
            <w:r w:rsidR="004C0DCB">
              <w:rPr>
                <w:noProof/>
                <w:webHidden/>
              </w:rPr>
              <w:fldChar w:fldCharType="end"/>
            </w:r>
          </w:hyperlink>
        </w:p>
        <w:p w14:paraId="7B9F9ADC" w14:textId="77777777" w:rsidR="004C0DCB" w:rsidRDefault="00D175FB">
          <w:pPr>
            <w:pStyle w:val="TM2"/>
            <w:tabs>
              <w:tab w:val="right" w:leader="dot" w:pos="9060"/>
            </w:tabs>
            <w:rPr>
              <w:rFonts w:eastAsiaTheme="minorEastAsia"/>
              <w:noProof/>
              <w:lang w:eastAsia="fr-FR"/>
            </w:rPr>
          </w:pPr>
          <w:hyperlink w:anchor="_Toc21449040" w:history="1">
            <w:r w:rsidR="004C0DCB" w:rsidRPr="004E0A16">
              <w:rPr>
                <w:rStyle w:val="Lienhypertexte"/>
                <w:noProof/>
              </w:rPr>
              <w:t>Les indicateurs de la CSU</w:t>
            </w:r>
            <w:r w:rsidR="004C0DCB">
              <w:rPr>
                <w:noProof/>
                <w:webHidden/>
              </w:rPr>
              <w:tab/>
            </w:r>
            <w:r w:rsidR="004C0DCB">
              <w:rPr>
                <w:noProof/>
                <w:webHidden/>
              </w:rPr>
              <w:fldChar w:fldCharType="begin"/>
            </w:r>
            <w:r w:rsidR="004C0DCB">
              <w:rPr>
                <w:noProof/>
                <w:webHidden/>
              </w:rPr>
              <w:instrText xml:space="preserve"> PAGEREF _Toc21449040 \h </w:instrText>
            </w:r>
            <w:r w:rsidR="004C0DCB">
              <w:rPr>
                <w:noProof/>
                <w:webHidden/>
              </w:rPr>
            </w:r>
            <w:r w:rsidR="004C0DCB">
              <w:rPr>
                <w:noProof/>
                <w:webHidden/>
              </w:rPr>
              <w:fldChar w:fldCharType="separate"/>
            </w:r>
            <w:r w:rsidR="004C0DCB">
              <w:rPr>
                <w:noProof/>
                <w:webHidden/>
              </w:rPr>
              <w:t>41</w:t>
            </w:r>
            <w:r w:rsidR="004C0DCB">
              <w:rPr>
                <w:noProof/>
                <w:webHidden/>
              </w:rPr>
              <w:fldChar w:fldCharType="end"/>
            </w:r>
          </w:hyperlink>
        </w:p>
        <w:p w14:paraId="3504D25F" w14:textId="77777777" w:rsidR="004C0DCB" w:rsidRDefault="00D175FB">
          <w:pPr>
            <w:pStyle w:val="TM2"/>
            <w:tabs>
              <w:tab w:val="right" w:leader="dot" w:pos="9060"/>
            </w:tabs>
            <w:rPr>
              <w:rFonts w:eastAsiaTheme="minorEastAsia"/>
              <w:noProof/>
              <w:lang w:eastAsia="fr-FR"/>
            </w:rPr>
          </w:pPr>
          <w:hyperlink w:anchor="_Toc21449041" w:history="1">
            <w:r w:rsidR="004C0DCB" w:rsidRPr="004E0A16">
              <w:rPr>
                <w:rStyle w:val="Lienhypertexte"/>
                <w:noProof/>
              </w:rPr>
              <w:t>Baseline de l’ODD 3.8</w:t>
            </w:r>
            <w:r w:rsidR="004C0DCB">
              <w:rPr>
                <w:noProof/>
                <w:webHidden/>
              </w:rPr>
              <w:tab/>
            </w:r>
            <w:r w:rsidR="004C0DCB">
              <w:rPr>
                <w:noProof/>
                <w:webHidden/>
              </w:rPr>
              <w:fldChar w:fldCharType="begin"/>
            </w:r>
            <w:r w:rsidR="004C0DCB">
              <w:rPr>
                <w:noProof/>
                <w:webHidden/>
              </w:rPr>
              <w:instrText xml:space="preserve"> PAGEREF _Toc21449041 \h </w:instrText>
            </w:r>
            <w:r w:rsidR="004C0DCB">
              <w:rPr>
                <w:noProof/>
                <w:webHidden/>
              </w:rPr>
            </w:r>
            <w:r w:rsidR="004C0DCB">
              <w:rPr>
                <w:noProof/>
                <w:webHidden/>
              </w:rPr>
              <w:fldChar w:fldCharType="separate"/>
            </w:r>
            <w:r w:rsidR="004C0DCB">
              <w:rPr>
                <w:noProof/>
                <w:webHidden/>
              </w:rPr>
              <w:t>42</w:t>
            </w:r>
            <w:r w:rsidR="004C0DCB">
              <w:rPr>
                <w:noProof/>
                <w:webHidden/>
              </w:rPr>
              <w:fldChar w:fldCharType="end"/>
            </w:r>
          </w:hyperlink>
        </w:p>
        <w:p w14:paraId="15076872" w14:textId="77777777" w:rsidR="004C0DCB" w:rsidRDefault="00D175FB">
          <w:pPr>
            <w:pStyle w:val="TM1"/>
            <w:tabs>
              <w:tab w:val="right" w:leader="dot" w:pos="9060"/>
            </w:tabs>
            <w:rPr>
              <w:rFonts w:eastAsiaTheme="minorEastAsia"/>
              <w:noProof/>
              <w:lang w:eastAsia="fr-FR"/>
            </w:rPr>
          </w:pPr>
          <w:hyperlink w:anchor="_Toc21449042" w:history="1">
            <w:r w:rsidR="004C0DCB" w:rsidRPr="004E0A16">
              <w:rPr>
                <w:rStyle w:val="Lienhypertexte"/>
                <w:noProof/>
              </w:rPr>
              <w:t>Plan d’actions (ébauche)</w:t>
            </w:r>
            <w:r w:rsidR="004C0DCB">
              <w:rPr>
                <w:noProof/>
                <w:webHidden/>
              </w:rPr>
              <w:tab/>
            </w:r>
            <w:r w:rsidR="004C0DCB">
              <w:rPr>
                <w:noProof/>
                <w:webHidden/>
              </w:rPr>
              <w:fldChar w:fldCharType="begin"/>
            </w:r>
            <w:r w:rsidR="004C0DCB">
              <w:rPr>
                <w:noProof/>
                <w:webHidden/>
              </w:rPr>
              <w:instrText xml:space="preserve"> PAGEREF _Toc21449042 \h </w:instrText>
            </w:r>
            <w:r w:rsidR="004C0DCB">
              <w:rPr>
                <w:noProof/>
                <w:webHidden/>
              </w:rPr>
            </w:r>
            <w:r w:rsidR="004C0DCB">
              <w:rPr>
                <w:noProof/>
                <w:webHidden/>
              </w:rPr>
              <w:fldChar w:fldCharType="separate"/>
            </w:r>
            <w:r w:rsidR="004C0DCB">
              <w:rPr>
                <w:noProof/>
                <w:webHidden/>
              </w:rPr>
              <w:t>43</w:t>
            </w:r>
            <w:r w:rsidR="004C0DCB">
              <w:rPr>
                <w:noProof/>
                <w:webHidden/>
              </w:rPr>
              <w:fldChar w:fldCharType="end"/>
            </w:r>
          </w:hyperlink>
        </w:p>
        <w:p w14:paraId="583EA066" w14:textId="77777777" w:rsidR="004C0DCB" w:rsidRDefault="00D175FB">
          <w:pPr>
            <w:pStyle w:val="TM1"/>
            <w:tabs>
              <w:tab w:val="right" w:leader="dot" w:pos="9060"/>
            </w:tabs>
            <w:rPr>
              <w:rFonts w:eastAsiaTheme="minorEastAsia"/>
              <w:noProof/>
              <w:lang w:eastAsia="fr-FR"/>
            </w:rPr>
          </w:pPr>
          <w:hyperlink w:anchor="_Toc21449043" w:history="1">
            <w:r w:rsidR="004C0DCB" w:rsidRPr="004E0A16">
              <w:rPr>
                <w:rStyle w:val="Lienhypertexte"/>
                <w:noProof/>
              </w:rPr>
              <w:t>Annexe : indicateurs CSU du Niger</w:t>
            </w:r>
            <w:r w:rsidR="004C0DCB">
              <w:rPr>
                <w:noProof/>
                <w:webHidden/>
              </w:rPr>
              <w:tab/>
            </w:r>
            <w:r w:rsidR="004C0DCB">
              <w:rPr>
                <w:noProof/>
                <w:webHidden/>
              </w:rPr>
              <w:fldChar w:fldCharType="begin"/>
            </w:r>
            <w:r w:rsidR="004C0DCB">
              <w:rPr>
                <w:noProof/>
                <w:webHidden/>
              </w:rPr>
              <w:instrText xml:space="preserve"> PAGEREF _Toc21449043 \h </w:instrText>
            </w:r>
            <w:r w:rsidR="004C0DCB">
              <w:rPr>
                <w:noProof/>
                <w:webHidden/>
              </w:rPr>
            </w:r>
            <w:r w:rsidR="004C0DCB">
              <w:rPr>
                <w:noProof/>
                <w:webHidden/>
              </w:rPr>
              <w:fldChar w:fldCharType="separate"/>
            </w:r>
            <w:r w:rsidR="004C0DCB">
              <w:rPr>
                <w:noProof/>
                <w:webHidden/>
              </w:rPr>
              <w:t>45</w:t>
            </w:r>
            <w:r w:rsidR="004C0DCB">
              <w:rPr>
                <w:noProof/>
                <w:webHidden/>
              </w:rPr>
              <w:fldChar w:fldCharType="end"/>
            </w:r>
          </w:hyperlink>
        </w:p>
        <w:p w14:paraId="759C51BA" w14:textId="77777777" w:rsidR="004C0DCB" w:rsidRDefault="00D175FB">
          <w:pPr>
            <w:pStyle w:val="TM1"/>
            <w:tabs>
              <w:tab w:val="right" w:leader="dot" w:pos="9060"/>
            </w:tabs>
            <w:rPr>
              <w:rFonts w:eastAsiaTheme="minorEastAsia"/>
              <w:noProof/>
              <w:lang w:eastAsia="fr-FR"/>
            </w:rPr>
          </w:pPr>
          <w:hyperlink w:anchor="_Toc21449044" w:history="1">
            <w:r w:rsidR="004C0DCB" w:rsidRPr="004E0A16">
              <w:rPr>
                <w:rStyle w:val="Lienhypertexte"/>
                <w:noProof/>
              </w:rPr>
              <w:t>Annexe : calcul des indicateurs de la CSU</w:t>
            </w:r>
            <w:r w:rsidR="004C0DCB">
              <w:rPr>
                <w:noProof/>
                <w:webHidden/>
              </w:rPr>
              <w:tab/>
            </w:r>
            <w:r w:rsidR="004C0DCB">
              <w:rPr>
                <w:noProof/>
                <w:webHidden/>
              </w:rPr>
              <w:fldChar w:fldCharType="begin"/>
            </w:r>
            <w:r w:rsidR="004C0DCB">
              <w:rPr>
                <w:noProof/>
                <w:webHidden/>
              </w:rPr>
              <w:instrText xml:space="preserve"> PAGEREF _Toc21449044 \h </w:instrText>
            </w:r>
            <w:r w:rsidR="004C0DCB">
              <w:rPr>
                <w:noProof/>
                <w:webHidden/>
              </w:rPr>
            </w:r>
            <w:r w:rsidR="004C0DCB">
              <w:rPr>
                <w:noProof/>
                <w:webHidden/>
              </w:rPr>
              <w:fldChar w:fldCharType="separate"/>
            </w:r>
            <w:r w:rsidR="004C0DCB">
              <w:rPr>
                <w:noProof/>
                <w:webHidden/>
              </w:rPr>
              <w:t>47</w:t>
            </w:r>
            <w:r w:rsidR="004C0DCB">
              <w:rPr>
                <w:noProof/>
                <w:webHidden/>
              </w:rPr>
              <w:fldChar w:fldCharType="end"/>
            </w:r>
          </w:hyperlink>
        </w:p>
        <w:p w14:paraId="08F84343" w14:textId="77777777" w:rsidR="00BF29A2" w:rsidRDefault="00BF29A2">
          <w:r>
            <w:rPr>
              <w:b/>
              <w:bCs/>
            </w:rPr>
            <w:fldChar w:fldCharType="end"/>
          </w:r>
        </w:p>
      </w:sdtContent>
    </w:sdt>
    <w:p w14:paraId="37390A07" w14:textId="77777777" w:rsidR="00BF29A2" w:rsidRDefault="00BF29A2">
      <w:pPr>
        <w:rPr>
          <w:rFonts w:cstheme="minorHAnsi"/>
          <w:b/>
          <w:i/>
          <w:sz w:val="24"/>
          <w:szCs w:val="24"/>
        </w:rPr>
      </w:pPr>
    </w:p>
    <w:p w14:paraId="22427A39" w14:textId="77777777" w:rsidR="00BF29A2" w:rsidRDefault="00BF29A2">
      <w:pPr>
        <w:rPr>
          <w:rFonts w:cstheme="minorHAnsi"/>
          <w:b/>
          <w:i/>
          <w:sz w:val="24"/>
          <w:szCs w:val="24"/>
        </w:rPr>
      </w:pPr>
      <w:r>
        <w:rPr>
          <w:rFonts w:cstheme="minorHAnsi"/>
          <w:b/>
          <w:i/>
          <w:sz w:val="24"/>
          <w:szCs w:val="24"/>
        </w:rPr>
        <w:br w:type="page"/>
      </w:r>
    </w:p>
    <w:p w14:paraId="6B57A1B7" w14:textId="77777777" w:rsidR="008D5D3A" w:rsidRDefault="008D5D3A" w:rsidP="00BF29A2">
      <w:pPr>
        <w:pStyle w:val="Titre1"/>
      </w:pPr>
      <w:bookmarkStart w:id="1" w:name="_Toc21449003"/>
      <w:r>
        <w:lastRenderedPageBreak/>
        <w:t>Abréviations</w:t>
      </w:r>
      <w:bookmarkEnd w:id="1"/>
    </w:p>
    <w:p w14:paraId="1BE3CE7D" w14:textId="77777777" w:rsidR="00E4665A" w:rsidRDefault="00E4665A" w:rsidP="00E4665A"/>
    <w:tbl>
      <w:tblPr>
        <w:tblW w:w="8440" w:type="dxa"/>
        <w:tblInd w:w="55" w:type="dxa"/>
        <w:tblCellMar>
          <w:left w:w="70" w:type="dxa"/>
          <w:right w:w="70" w:type="dxa"/>
        </w:tblCellMar>
        <w:tblLook w:val="04A0" w:firstRow="1" w:lastRow="0" w:firstColumn="1" w:lastColumn="0" w:noHBand="0" w:noVBand="1"/>
      </w:tblPr>
      <w:tblGrid>
        <w:gridCol w:w="1200"/>
        <w:gridCol w:w="7240"/>
      </w:tblGrid>
      <w:tr w:rsidR="0047090C" w:rsidRPr="0047090C" w14:paraId="1238CA6B" w14:textId="77777777" w:rsidTr="0047090C">
        <w:trPr>
          <w:trHeight w:val="300"/>
        </w:trPr>
        <w:tc>
          <w:tcPr>
            <w:tcW w:w="12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0D753F3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AFDH</w:t>
            </w:r>
          </w:p>
        </w:tc>
        <w:tc>
          <w:tcPr>
            <w:tcW w:w="7240" w:type="dxa"/>
            <w:tcBorders>
              <w:top w:val="single" w:sz="8" w:space="0" w:color="auto"/>
              <w:left w:val="nil"/>
              <w:bottom w:val="single" w:sz="4" w:space="0" w:color="auto"/>
              <w:right w:val="single" w:sz="8" w:space="0" w:color="auto"/>
            </w:tcBorders>
            <w:shd w:val="clear" w:color="auto" w:fill="auto"/>
            <w:noWrap/>
            <w:vAlign w:val="bottom"/>
            <w:hideMark/>
          </w:tcPr>
          <w:p w14:paraId="660613F7"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p>
        </w:tc>
      </w:tr>
      <w:tr w:rsidR="0047090C" w:rsidRPr="0047090C" w14:paraId="68719244"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27BA1CA0" w14:textId="77777777" w:rsidR="0047090C" w:rsidRPr="0047090C" w:rsidRDefault="00537315" w:rsidP="0047090C">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AMU</w:t>
            </w:r>
          </w:p>
        </w:tc>
        <w:tc>
          <w:tcPr>
            <w:tcW w:w="7240" w:type="dxa"/>
            <w:tcBorders>
              <w:top w:val="nil"/>
              <w:left w:val="nil"/>
              <w:bottom w:val="single" w:sz="4" w:space="0" w:color="auto"/>
              <w:right w:val="single" w:sz="8" w:space="0" w:color="auto"/>
            </w:tcBorders>
            <w:shd w:val="clear" w:color="auto" w:fill="auto"/>
            <w:noWrap/>
            <w:vAlign w:val="bottom"/>
            <w:hideMark/>
          </w:tcPr>
          <w:p w14:paraId="29E8F0FB" w14:textId="77777777" w:rsidR="0047090C" w:rsidRPr="0047090C" w:rsidRDefault="00537315" w:rsidP="0047090C">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Assurance Maladie Universelle</w:t>
            </w:r>
          </w:p>
        </w:tc>
      </w:tr>
      <w:tr w:rsidR="0047090C" w:rsidRPr="0047090C" w14:paraId="0B41668E"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680526A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CNS</w:t>
            </w:r>
          </w:p>
        </w:tc>
        <w:tc>
          <w:tcPr>
            <w:tcW w:w="7240" w:type="dxa"/>
            <w:tcBorders>
              <w:top w:val="nil"/>
              <w:left w:val="nil"/>
              <w:bottom w:val="single" w:sz="4" w:space="0" w:color="auto"/>
              <w:right w:val="single" w:sz="8" w:space="0" w:color="auto"/>
            </w:tcBorders>
            <w:shd w:val="clear" w:color="auto" w:fill="auto"/>
            <w:noWrap/>
            <w:vAlign w:val="bottom"/>
            <w:hideMark/>
          </w:tcPr>
          <w:p w14:paraId="28A98ADF"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Compte Nationaux de la Santé</w:t>
            </w:r>
          </w:p>
        </w:tc>
      </w:tr>
      <w:tr w:rsidR="0047090C" w:rsidRPr="0047090C" w14:paraId="174B4D0D"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67080B6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CNS</w:t>
            </w:r>
          </w:p>
        </w:tc>
        <w:tc>
          <w:tcPr>
            <w:tcW w:w="7240" w:type="dxa"/>
            <w:tcBorders>
              <w:top w:val="nil"/>
              <w:left w:val="nil"/>
              <w:bottom w:val="single" w:sz="4" w:space="0" w:color="auto"/>
              <w:right w:val="single" w:sz="8" w:space="0" w:color="auto"/>
            </w:tcBorders>
            <w:shd w:val="clear" w:color="auto" w:fill="auto"/>
            <w:noWrap/>
            <w:vAlign w:val="bottom"/>
            <w:hideMark/>
          </w:tcPr>
          <w:p w14:paraId="3AA9987A"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 xml:space="preserve">Comité National </w:t>
            </w:r>
            <w:r w:rsidR="000B5EFA">
              <w:rPr>
                <w:rFonts w:ascii="Calibri" w:eastAsia="Times New Roman" w:hAnsi="Calibri" w:cs="Calibri"/>
                <w:color w:val="000000"/>
                <w:lang w:eastAsia="fr-FR"/>
              </w:rPr>
              <w:t xml:space="preserve">de </w:t>
            </w:r>
            <w:r w:rsidR="00206E5C">
              <w:rPr>
                <w:rFonts w:ascii="Calibri" w:eastAsia="Times New Roman" w:hAnsi="Calibri" w:cs="Calibri"/>
                <w:color w:val="000000"/>
                <w:lang w:eastAsia="fr-FR"/>
              </w:rPr>
              <w:t>Santé</w:t>
            </w:r>
          </w:p>
        </w:tc>
      </w:tr>
      <w:tr w:rsidR="0047090C" w:rsidRPr="0047090C" w14:paraId="23B632EB"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3ED79F3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CTNS</w:t>
            </w:r>
          </w:p>
        </w:tc>
        <w:tc>
          <w:tcPr>
            <w:tcW w:w="7240" w:type="dxa"/>
            <w:tcBorders>
              <w:top w:val="nil"/>
              <w:left w:val="nil"/>
              <w:bottom w:val="single" w:sz="4" w:space="0" w:color="auto"/>
              <w:right w:val="single" w:sz="8" w:space="0" w:color="auto"/>
            </w:tcBorders>
            <w:shd w:val="clear" w:color="auto" w:fill="auto"/>
            <w:noWrap/>
            <w:vAlign w:val="bottom"/>
            <w:hideMark/>
          </w:tcPr>
          <w:p w14:paraId="7103393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0B5EFA">
              <w:rPr>
                <w:rFonts w:ascii="Calibri" w:eastAsia="Times New Roman" w:hAnsi="Calibri" w:cs="Calibri"/>
                <w:color w:val="000000"/>
                <w:lang w:eastAsia="fr-FR"/>
              </w:rPr>
              <w:t>Comité Technique national de Santé</w:t>
            </w:r>
          </w:p>
        </w:tc>
      </w:tr>
      <w:tr w:rsidR="0047090C" w:rsidRPr="0047090C" w14:paraId="79D4351B"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1FCC2FA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CSI</w:t>
            </w:r>
          </w:p>
        </w:tc>
        <w:tc>
          <w:tcPr>
            <w:tcW w:w="7240" w:type="dxa"/>
            <w:tcBorders>
              <w:top w:val="nil"/>
              <w:left w:val="nil"/>
              <w:bottom w:val="single" w:sz="4" w:space="0" w:color="auto"/>
              <w:right w:val="single" w:sz="8" w:space="0" w:color="auto"/>
            </w:tcBorders>
            <w:shd w:val="clear" w:color="auto" w:fill="auto"/>
            <w:noWrap/>
            <w:vAlign w:val="bottom"/>
            <w:hideMark/>
          </w:tcPr>
          <w:p w14:paraId="774DAC34"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0B5EFA">
              <w:rPr>
                <w:rFonts w:ascii="Calibri" w:eastAsia="Times New Roman" w:hAnsi="Calibri" w:cs="Calibri"/>
                <w:color w:val="000000"/>
                <w:lang w:eastAsia="fr-FR"/>
              </w:rPr>
              <w:t xml:space="preserve">Centre </w:t>
            </w:r>
            <w:r w:rsidR="00206E5C">
              <w:rPr>
                <w:rFonts w:ascii="Calibri" w:eastAsia="Times New Roman" w:hAnsi="Calibri" w:cs="Calibri"/>
                <w:color w:val="000000"/>
                <w:lang w:eastAsia="fr-FR"/>
              </w:rPr>
              <w:t>de Santé Intégrée</w:t>
            </w:r>
          </w:p>
        </w:tc>
      </w:tr>
      <w:tr w:rsidR="0047090C" w:rsidRPr="0047090C" w14:paraId="1E63782B"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5D065481"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CSU</w:t>
            </w:r>
          </w:p>
        </w:tc>
        <w:tc>
          <w:tcPr>
            <w:tcW w:w="7240" w:type="dxa"/>
            <w:tcBorders>
              <w:top w:val="nil"/>
              <w:left w:val="nil"/>
              <w:bottom w:val="single" w:sz="4" w:space="0" w:color="auto"/>
              <w:right w:val="single" w:sz="8" w:space="0" w:color="auto"/>
            </w:tcBorders>
            <w:shd w:val="clear" w:color="auto" w:fill="auto"/>
            <w:noWrap/>
            <w:vAlign w:val="bottom"/>
            <w:hideMark/>
          </w:tcPr>
          <w:p w14:paraId="56E4B0E7"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Couverture Sanitaire Universelle</w:t>
            </w:r>
          </w:p>
        </w:tc>
      </w:tr>
      <w:tr w:rsidR="0047090C" w:rsidRPr="0047090C" w14:paraId="065C6ECD"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6905D2D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DALYS</w:t>
            </w:r>
          </w:p>
        </w:tc>
        <w:tc>
          <w:tcPr>
            <w:tcW w:w="7240" w:type="dxa"/>
            <w:tcBorders>
              <w:top w:val="nil"/>
              <w:left w:val="nil"/>
              <w:bottom w:val="single" w:sz="4" w:space="0" w:color="auto"/>
              <w:right w:val="single" w:sz="8" w:space="0" w:color="auto"/>
            </w:tcBorders>
            <w:shd w:val="clear" w:color="auto" w:fill="auto"/>
            <w:noWrap/>
            <w:vAlign w:val="bottom"/>
            <w:hideMark/>
          </w:tcPr>
          <w:p w14:paraId="1F75D440"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t xml:space="preserve">Nombres </w:t>
            </w:r>
            <w:r w:rsidR="00206E5C" w:rsidRPr="006B5114">
              <w:t>d'années de vie perdues corrigées de l'incapacité</w:t>
            </w:r>
          </w:p>
        </w:tc>
      </w:tr>
      <w:tr w:rsidR="0047090C" w:rsidRPr="0047090C" w14:paraId="32602C05"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23134FE5"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DHIS</w:t>
            </w:r>
          </w:p>
        </w:tc>
        <w:tc>
          <w:tcPr>
            <w:tcW w:w="7240" w:type="dxa"/>
            <w:tcBorders>
              <w:top w:val="nil"/>
              <w:left w:val="nil"/>
              <w:bottom w:val="single" w:sz="4" w:space="0" w:color="auto"/>
              <w:right w:val="single" w:sz="8" w:space="0" w:color="auto"/>
            </w:tcBorders>
            <w:shd w:val="clear" w:color="auto" w:fill="auto"/>
            <w:noWrap/>
            <w:vAlign w:val="bottom"/>
            <w:hideMark/>
          </w:tcPr>
          <w:p w14:paraId="36ECB81E"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sidRPr="003A2FEB">
              <w:t>District Software information sur la santé</w:t>
            </w:r>
          </w:p>
        </w:tc>
      </w:tr>
      <w:tr w:rsidR="0047090C" w:rsidRPr="0047090C" w14:paraId="30211A85"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2E857C7B"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DOS</w:t>
            </w:r>
          </w:p>
        </w:tc>
        <w:tc>
          <w:tcPr>
            <w:tcW w:w="7240" w:type="dxa"/>
            <w:tcBorders>
              <w:top w:val="nil"/>
              <w:left w:val="nil"/>
              <w:bottom w:val="single" w:sz="4" w:space="0" w:color="auto"/>
              <w:right w:val="single" w:sz="8" w:space="0" w:color="auto"/>
            </w:tcBorders>
            <w:shd w:val="clear" w:color="auto" w:fill="auto"/>
            <w:noWrap/>
            <w:vAlign w:val="bottom"/>
            <w:hideMark/>
          </w:tcPr>
          <w:p w14:paraId="52054B28"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 xml:space="preserve">Direction de </w:t>
            </w:r>
            <w:r w:rsidR="000B5EFA">
              <w:rPr>
                <w:rFonts w:ascii="Calibri" w:eastAsia="Times New Roman" w:hAnsi="Calibri" w:cs="Calibri"/>
                <w:color w:val="000000"/>
                <w:lang w:eastAsia="fr-FR"/>
              </w:rPr>
              <w:t xml:space="preserve">l’Organisation </w:t>
            </w:r>
            <w:r w:rsidR="00206E5C">
              <w:rPr>
                <w:rFonts w:ascii="Calibri" w:eastAsia="Times New Roman" w:hAnsi="Calibri" w:cs="Calibri"/>
                <w:color w:val="000000"/>
                <w:lang w:eastAsia="fr-FR"/>
              </w:rPr>
              <w:t>de Soins</w:t>
            </w:r>
          </w:p>
        </w:tc>
      </w:tr>
      <w:tr w:rsidR="0047090C" w:rsidRPr="0047090C" w14:paraId="62E710F9"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010323C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DRSP</w:t>
            </w:r>
          </w:p>
        </w:tc>
        <w:tc>
          <w:tcPr>
            <w:tcW w:w="7240" w:type="dxa"/>
            <w:tcBorders>
              <w:top w:val="nil"/>
              <w:left w:val="nil"/>
              <w:bottom w:val="single" w:sz="4" w:space="0" w:color="auto"/>
              <w:right w:val="single" w:sz="8" w:space="0" w:color="auto"/>
            </w:tcBorders>
            <w:shd w:val="clear" w:color="auto" w:fill="auto"/>
            <w:noWrap/>
            <w:vAlign w:val="bottom"/>
            <w:hideMark/>
          </w:tcPr>
          <w:p w14:paraId="707F68DE"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 xml:space="preserve">Direction Régionale de la Santé Publique </w:t>
            </w:r>
          </w:p>
        </w:tc>
      </w:tr>
      <w:tr w:rsidR="0047090C" w:rsidRPr="0047090C" w14:paraId="2229BA2D"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5582FD4B"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DTS</w:t>
            </w:r>
          </w:p>
        </w:tc>
        <w:tc>
          <w:tcPr>
            <w:tcW w:w="7240" w:type="dxa"/>
            <w:tcBorders>
              <w:top w:val="nil"/>
              <w:left w:val="nil"/>
              <w:bottom w:val="single" w:sz="4" w:space="0" w:color="auto"/>
              <w:right w:val="single" w:sz="8" w:space="0" w:color="auto"/>
            </w:tcBorders>
            <w:shd w:val="clear" w:color="auto" w:fill="auto"/>
            <w:noWrap/>
            <w:vAlign w:val="bottom"/>
            <w:hideMark/>
          </w:tcPr>
          <w:p w14:paraId="1D3C021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Dépenses Totales de Santé</w:t>
            </w:r>
          </w:p>
        </w:tc>
      </w:tr>
      <w:tr w:rsidR="0047090C" w:rsidRPr="0047090C" w14:paraId="730FF19E"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35D8073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ECVMA</w:t>
            </w:r>
          </w:p>
        </w:tc>
        <w:tc>
          <w:tcPr>
            <w:tcW w:w="7240" w:type="dxa"/>
            <w:tcBorders>
              <w:top w:val="nil"/>
              <w:left w:val="nil"/>
              <w:bottom w:val="single" w:sz="4" w:space="0" w:color="auto"/>
              <w:right w:val="single" w:sz="8" w:space="0" w:color="auto"/>
            </w:tcBorders>
            <w:shd w:val="clear" w:color="auto" w:fill="auto"/>
            <w:noWrap/>
            <w:vAlign w:val="bottom"/>
            <w:hideMark/>
          </w:tcPr>
          <w:p w14:paraId="3B98E181"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sidRPr="003A2FEB">
              <w:rPr>
                <w:rFonts w:ascii="Calibri" w:eastAsia="Times New Roman" w:hAnsi="Calibri" w:cs="Calibri"/>
                <w:color w:val="000000"/>
                <w:lang w:eastAsia="fr-FR"/>
              </w:rPr>
              <w:t>Enquête Nationale sur les Conditions de Vie des Ménages et l'Agriculture</w:t>
            </w:r>
          </w:p>
        </w:tc>
      </w:tr>
      <w:tr w:rsidR="0047090C" w:rsidRPr="0047090C" w14:paraId="3F8D1601"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45B53FD9"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EDS-MICS</w:t>
            </w:r>
          </w:p>
        </w:tc>
        <w:tc>
          <w:tcPr>
            <w:tcW w:w="7240" w:type="dxa"/>
            <w:tcBorders>
              <w:top w:val="nil"/>
              <w:left w:val="nil"/>
              <w:bottom w:val="single" w:sz="4" w:space="0" w:color="auto"/>
              <w:right w:val="single" w:sz="8" w:space="0" w:color="auto"/>
            </w:tcBorders>
            <w:shd w:val="clear" w:color="auto" w:fill="auto"/>
            <w:noWrap/>
            <w:vAlign w:val="bottom"/>
            <w:hideMark/>
          </w:tcPr>
          <w:p w14:paraId="555F2EA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sidRPr="003A2FEB">
              <w:rPr>
                <w:rFonts w:ascii="Calibri" w:eastAsia="Times New Roman" w:hAnsi="Calibri" w:cs="Calibri"/>
                <w:color w:val="000000"/>
                <w:lang w:eastAsia="fr-FR"/>
              </w:rPr>
              <w:t>Enquête Démographique et de Santé et à Indicateurs Multiples</w:t>
            </w:r>
          </w:p>
        </w:tc>
      </w:tr>
      <w:tr w:rsidR="0047090C" w:rsidRPr="0047090C" w14:paraId="3E6F7065"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229208B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EHA</w:t>
            </w:r>
          </w:p>
        </w:tc>
        <w:tc>
          <w:tcPr>
            <w:tcW w:w="7240" w:type="dxa"/>
            <w:tcBorders>
              <w:top w:val="nil"/>
              <w:left w:val="nil"/>
              <w:bottom w:val="single" w:sz="4" w:space="0" w:color="auto"/>
              <w:right w:val="single" w:sz="8" w:space="0" w:color="auto"/>
            </w:tcBorders>
            <w:shd w:val="clear" w:color="auto" w:fill="auto"/>
            <w:noWrap/>
            <w:vAlign w:val="bottom"/>
            <w:hideMark/>
          </w:tcPr>
          <w:p w14:paraId="57645075"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Eau, Hygiène et Assainissement</w:t>
            </w:r>
          </w:p>
        </w:tc>
      </w:tr>
      <w:tr w:rsidR="0047090C" w:rsidRPr="0047090C" w14:paraId="2877120C"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5437AF01"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FBP</w:t>
            </w:r>
          </w:p>
        </w:tc>
        <w:tc>
          <w:tcPr>
            <w:tcW w:w="7240" w:type="dxa"/>
            <w:tcBorders>
              <w:top w:val="nil"/>
              <w:left w:val="nil"/>
              <w:bottom w:val="single" w:sz="4" w:space="0" w:color="auto"/>
              <w:right w:val="single" w:sz="8" w:space="0" w:color="auto"/>
            </w:tcBorders>
            <w:shd w:val="clear" w:color="auto" w:fill="auto"/>
            <w:noWrap/>
            <w:vAlign w:val="bottom"/>
            <w:hideMark/>
          </w:tcPr>
          <w:p w14:paraId="77418ACF"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Financement Basé sur la performance</w:t>
            </w:r>
          </w:p>
        </w:tc>
      </w:tr>
      <w:tr w:rsidR="0047090C" w:rsidRPr="0047090C" w14:paraId="35C602C1"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7AFC3118"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FCS</w:t>
            </w:r>
          </w:p>
        </w:tc>
        <w:tc>
          <w:tcPr>
            <w:tcW w:w="7240" w:type="dxa"/>
            <w:tcBorders>
              <w:top w:val="nil"/>
              <w:left w:val="nil"/>
              <w:bottom w:val="single" w:sz="4" w:space="0" w:color="auto"/>
              <w:right w:val="single" w:sz="8" w:space="0" w:color="auto"/>
            </w:tcBorders>
            <w:shd w:val="clear" w:color="auto" w:fill="auto"/>
            <w:noWrap/>
            <w:vAlign w:val="bottom"/>
            <w:hideMark/>
          </w:tcPr>
          <w:p w14:paraId="37F464A6"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Fonds Commun Santé</w:t>
            </w:r>
          </w:p>
        </w:tc>
      </w:tr>
      <w:tr w:rsidR="0047090C" w:rsidRPr="0047090C" w14:paraId="0D47CB81"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086486C6"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GRH</w:t>
            </w:r>
          </w:p>
        </w:tc>
        <w:tc>
          <w:tcPr>
            <w:tcW w:w="7240" w:type="dxa"/>
            <w:tcBorders>
              <w:top w:val="nil"/>
              <w:left w:val="nil"/>
              <w:bottom w:val="single" w:sz="4" w:space="0" w:color="auto"/>
              <w:right w:val="single" w:sz="8" w:space="0" w:color="auto"/>
            </w:tcBorders>
            <w:shd w:val="clear" w:color="auto" w:fill="auto"/>
            <w:noWrap/>
            <w:vAlign w:val="bottom"/>
            <w:hideMark/>
          </w:tcPr>
          <w:p w14:paraId="1393198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Gestion des Ressources Humaines</w:t>
            </w:r>
          </w:p>
        </w:tc>
      </w:tr>
      <w:tr w:rsidR="0047090C" w:rsidRPr="0047090C" w14:paraId="188F6262"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1656DDD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GTN</w:t>
            </w:r>
          </w:p>
        </w:tc>
        <w:tc>
          <w:tcPr>
            <w:tcW w:w="7240" w:type="dxa"/>
            <w:tcBorders>
              <w:top w:val="nil"/>
              <w:left w:val="nil"/>
              <w:bottom w:val="single" w:sz="4" w:space="0" w:color="auto"/>
              <w:right w:val="single" w:sz="8" w:space="0" w:color="auto"/>
            </w:tcBorders>
            <w:shd w:val="clear" w:color="auto" w:fill="auto"/>
            <w:noWrap/>
            <w:vAlign w:val="bottom"/>
            <w:hideMark/>
          </w:tcPr>
          <w:p w14:paraId="1D887F7B" w14:textId="77777777" w:rsidR="0047090C" w:rsidRPr="0047090C" w:rsidRDefault="0047090C" w:rsidP="00971E95">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 xml:space="preserve">Groupe </w:t>
            </w:r>
            <w:r w:rsidR="00971E95">
              <w:rPr>
                <w:rFonts w:ascii="Calibri" w:eastAsia="Times New Roman" w:hAnsi="Calibri" w:cs="Calibri"/>
                <w:color w:val="000000"/>
                <w:lang w:eastAsia="fr-FR"/>
              </w:rPr>
              <w:t>de Travail</w:t>
            </w:r>
            <w:r w:rsidR="00206E5C">
              <w:rPr>
                <w:rFonts w:ascii="Calibri" w:eastAsia="Times New Roman" w:hAnsi="Calibri" w:cs="Calibri"/>
                <w:color w:val="000000"/>
                <w:lang w:eastAsia="fr-FR"/>
              </w:rPr>
              <w:t xml:space="preserve"> National sur la CSU</w:t>
            </w:r>
          </w:p>
        </w:tc>
      </w:tr>
      <w:tr w:rsidR="0047090C" w:rsidRPr="0047090C" w14:paraId="320ECC7B"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4FBE1521"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GTR</w:t>
            </w:r>
          </w:p>
        </w:tc>
        <w:tc>
          <w:tcPr>
            <w:tcW w:w="7240" w:type="dxa"/>
            <w:tcBorders>
              <w:top w:val="nil"/>
              <w:left w:val="nil"/>
              <w:bottom w:val="single" w:sz="4" w:space="0" w:color="auto"/>
              <w:right w:val="single" w:sz="8" w:space="0" w:color="auto"/>
            </w:tcBorders>
            <w:shd w:val="clear" w:color="auto" w:fill="auto"/>
            <w:noWrap/>
            <w:vAlign w:val="bottom"/>
            <w:hideMark/>
          </w:tcPr>
          <w:p w14:paraId="4A3D706C" w14:textId="77777777" w:rsidR="0047090C" w:rsidRPr="0047090C" w:rsidRDefault="0047090C" w:rsidP="00971E95">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 xml:space="preserve">Groupe </w:t>
            </w:r>
            <w:r w:rsidR="00971E95">
              <w:rPr>
                <w:rFonts w:ascii="Calibri" w:eastAsia="Times New Roman" w:hAnsi="Calibri" w:cs="Calibri"/>
                <w:color w:val="000000"/>
                <w:lang w:eastAsia="fr-FR"/>
              </w:rPr>
              <w:t>de Travail</w:t>
            </w:r>
            <w:r w:rsidR="00206E5C">
              <w:rPr>
                <w:rFonts w:ascii="Calibri" w:eastAsia="Times New Roman" w:hAnsi="Calibri" w:cs="Calibri"/>
                <w:color w:val="000000"/>
                <w:lang w:eastAsia="fr-FR"/>
              </w:rPr>
              <w:t xml:space="preserve"> Restreint sur la CSU</w:t>
            </w:r>
          </w:p>
        </w:tc>
      </w:tr>
      <w:tr w:rsidR="0047090C" w:rsidRPr="0047090C" w14:paraId="15EBD57E"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7CC75E1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HTA</w:t>
            </w:r>
          </w:p>
        </w:tc>
        <w:tc>
          <w:tcPr>
            <w:tcW w:w="7240" w:type="dxa"/>
            <w:tcBorders>
              <w:top w:val="nil"/>
              <w:left w:val="nil"/>
              <w:bottom w:val="single" w:sz="4" w:space="0" w:color="auto"/>
              <w:right w:val="single" w:sz="8" w:space="0" w:color="auto"/>
            </w:tcBorders>
            <w:shd w:val="clear" w:color="auto" w:fill="auto"/>
            <w:noWrap/>
            <w:vAlign w:val="bottom"/>
            <w:hideMark/>
          </w:tcPr>
          <w:p w14:paraId="0771057A"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Hypertension Artérielle</w:t>
            </w:r>
          </w:p>
        </w:tc>
      </w:tr>
      <w:tr w:rsidR="0047090C" w:rsidRPr="0047090C" w14:paraId="567FF31B"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1369F0C8"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INS</w:t>
            </w:r>
          </w:p>
        </w:tc>
        <w:tc>
          <w:tcPr>
            <w:tcW w:w="7240" w:type="dxa"/>
            <w:tcBorders>
              <w:top w:val="nil"/>
              <w:left w:val="nil"/>
              <w:bottom w:val="single" w:sz="4" w:space="0" w:color="auto"/>
              <w:right w:val="single" w:sz="8" w:space="0" w:color="auto"/>
            </w:tcBorders>
            <w:shd w:val="clear" w:color="auto" w:fill="auto"/>
            <w:noWrap/>
            <w:vAlign w:val="bottom"/>
            <w:hideMark/>
          </w:tcPr>
          <w:p w14:paraId="6246F05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0B5EFA">
              <w:rPr>
                <w:rFonts w:ascii="Calibri" w:eastAsia="Times New Roman" w:hAnsi="Calibri" w:cs="Calibri"/>
                <w:color w:val="000000"/>
                <w:lang w:eastAsia="fr-FR"/>
              </w:rPr>
              <w:t>Institut National de la Statistique</w:t>
            </w:r>
          </w:p>
        </w:tc>
      </w:tr>
      <w:tr w:rsidR="0047090C" w:rsidRPr="0047090C" w14:paraId="21A2DA16"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059E2C0D"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IST/VIH</w:t>
            </w:r>
          </w:p>
        </w:tc>
        <w:tc>
          <w:tcPr>
            <w:tcW w:w="7240" w:type="dxa"/>
            <w:tcBorders>
              <w:top w:val="nil"/>
              <w:left w:val="nil"/>
              <w:bottom w:val="single" w:sz="4" w:space="0" w:color="auto"/>
              <w:right w:val="single" w:sz="8" w:space="0" w:color="auto"/>
            </w:tcBorders>
            <w:shd w:val="clear" w:color="auto" w:fill="auto"/>
            <w:noWrap/>
            <w:vAlign w:val="bottom"/>
            <w:hideMark/>
          </w:tcPr>
          <w:p w14:paraId="200CAF0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206E5C">
              <w:rPr>
                <w:rFonts w:ascii="Calibri" w:eastAsia="Times New Roman" w:hAnsi="Calibri" w:cs="Calibri"/>
                <w:color w:val="000000"/>
                <w:lang w:eastAsia="fr-FR"/>
              </w:rPr>
              <w:t xml:space="preserve">Infection Sexuellement Transmissible / </w:t>
            </w:r>
            <w:r w:rsidR="003A2FEB" w:rsidRPr="003A2FEB">
              <w:rPr>
                <w:rFonts w:ascii="Calibri" w:eastAsia="Times New Roman" w:hAnsi="Calibri" w:cs="Calibri"/>
                <w:color w:val="000000"/>
                <w:lang w:eastAsia="fr-FR"/>
              </w:rPr>
              <w:t>virus de l’immunodéficience humaine</w:t>
            </w:r>
          </w:p>
        </w:tc>
      </w:tr>
      <w:tr w:rsidR="0047090C" w:rsidRPr="0047090C" w14:paraId="75371B81"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7F954937"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MEG</w:t>
            </w:r>
          </w:p>
        </w:tc>
        <w:tc>
          <w:tcPr>
            <w:tcW w:w="7240" w:type="dxa"/>
            <w:tcBorders>
              <w:top w:val="nil"/>
              <w:left w:val="nil"/>
              <w:bottom w:val="single" w:sz="4" w:space="0" w:color="auto"/>
              <w:right w:val="single" w:sz="8" w:space="0" w:color="auto"/>
            </w:tcBorders>
            <w:shd w:val="clear" w:color="auto" w:fill="auto"/>
            <w:noWrap/>
            <w:vAlign w:val="bottom"/>
            <w:hideMark/>
          </w:tcPr>
          <w:p w14:paraId="1D26D146"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Médicaments Essentiels Génériques</w:t>
            </w:r>
          </w:p>
        </w:tc>
      </w:tr>
      <w:tr w:rsidR="0047090C" w:rsidRPr="0047090C" w14:paraId="4C51CA62"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5E272317"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MH/A</w:t>
            </w:r>
          </w:p>
        </w:tc>
        <w:tc>
          <w:tcPr>
            <w:tcW w:w="7240" w:type="dxa"/>
            <w:tcBorders>
              <w:top w:val="nil"/>
              <w:left w:val="nil"/>
              <w:bottom w:val="single" w:sz="4" w:space="0" w:color="auto"/>
              <w:right w:val="single" w:sz="8" w:space="0" w:color="auto"/>
            </w:tcBorders>
            <w:shd w:val="clear" w:color="auto" w:fill="auto"/>
            <w:noWrap/>
            <w:vAlign w:val="bottom"/>
            <w:hideMark/>
          </w:tcPr>
          <w:p w14:paraId="1E7A13AE"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 xml:space="preserve">Ministère de </w:t>
            </w:r>
            <w:r w:rsidR="000B5EFA">
              <w:rPr>
                <w:rFonts w:ascii="Calibri" w:eastAsia="Times New Roman" w:hAnsi="Calibri" w:cs="Calibri"/>
                <w:color w:val="000000"/>
                <w:lang w:eastAsia="fr-FR"/>
              </w:rPr>
              <w:t xml:space="preserve">l’Hydraulique </w:t>
            </w:r>
            <w:r w:rsidR="003A2FEB">
              <w:rPr>
                <w:rFonts w:ascii="Calibri" w:eastAsia="Times New Roman" w:hAnsi="Calibri" w:cs="Calibri"/>
                <w:color w:val="000000"/>
                <w:lang w:eastAsia="fr-FR"/>
              </w:rPr>
              <w:t>et de l’Assainissement</w:t>
            </w:r>
          </w:p>
        </w:tc>
      </w:tr>
      <w:tr w:rsidR="0047090C" w:rsidRPr="0047090C" w14:paraId="7AB31DB2"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78CDF91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MSP</w:t>
            </w:r>
          </w:p>
        </w:tc>
        <w:tc>
          <w:tcPr>
            <w:tcW w:w="7240" w:type="dxa"/>
            <w:tcBorders>
              <w:top w:val="nil"/>
              <w:left w:val="nil"/>
              <w:bottom w:val="single" w:sz="4" w:space="0" w:color="auto"/>
              <w:right w:val="single" w:sz="8" w:space="0" w:color="auto"/>
            </w:tcBorders>
            <w:shd w:val="clear" w:color="auto" w:fill="auto"/>
            <w:noWrap/>
            <w:vAlign w:val="bottom"/>
            <w:hideMark/>
          </w:tcPr>
          <w:p w14:paraId="10D94830"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Ministère de la Santé Publique</w:t>
            </w:r>
          </w:p>
        </w:tc>
      </w:tr>
      <w:tr w:rsidR="0047090C" w:rsidRPr="0047090C" w14:paraId="1D6D3955"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448721B6"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MT</w:t>
            </w:r>
          </w:p>
        </w:tc>
        <w:tc>
          <w:tcPr>
            <w:tcW w:w="7240" w:type="dxa"/>
            <w:tcBorders>
              <w:top w:val="nil"/>
              <w:left w:val="nil"/>
              <w:bottom w:val="single" w:sz="4" w:space="0" w:color="auto"/>
              <w:right w:val="single" w:sz="8" w:space="0" w:color="auto"/>
            </w:tcBorders>
            <w:shd w:val="clear" w:color="auto" w:fill="auto"/>
            <w:noWrap/>
            <w:vAlign w:val="bottom"/>
            <w:hideMark/>
          </w:tcPr>
          <w:p w14:paraId="0F251A4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Maladies Transmissibles</w:t>
            </w:r>
          </w:p>
        </w:tc>
      </w:tr>
      <w:tr w:rsidR="0047090C" w:rsidRPr="0047090C" w14:paraId="0EC93C70"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023D462D"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MTA</w:t>
            </w:r>
          </w:p>
        </w:tc>
        <w:tc>
          <w:tcPr>
            <w:tcW w:w="7240" w:type="dxa"/>
            <w:tcBorders>
              <w:top w:val="nil"/>
              <w:left w:val="nil"/>
              <w:bottom w:val="single" w:sz="4" w:space="0" w:color="auto"/>
              <w:right w:val="single" w:sz="8" w:space="0" w:color="auto"/>
            </w:tcBorders>
            <w:shd w:val="clear" w:color="auto" w:fill="auto"/>
            <w:noWrap/>
            <w:vAlign w:val="bottom"/>
            <w:hideMark/>
          </w:tcPr>
          <w:p w14:paraId="03B9ED17"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sidRPr="00076E2C">
              <w:rPr>
                <w:rFonts w:cs="Calibri"/>
              </w:rPr>
              <w:t>Médicaments Traditionnels Améliorés</w:t>
            </w:r>
          </w:p>
        </w:tc>
      </w:tr>
      <w:tr w:rsidR="0047090C" w:rsidRPr="0047090C" w14:paraId="65DF627D"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59205E2E"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MNT</w:t>
            </w:r>
          </w:p>
        </w:tc>
        <w:tc>
          <w:tcPr>
            <w:tcW w:w="7240" w:type="dxa"/>
            <w:tcBorders>
              <w:top w:val="nil"/>
              <w:left w:val="nil"/>
              <w:bottom w:val="single" w:sz="4" w:space="0" w:color="auto"/>
              <w:right w:val="single" w:sz="8" w:space="0" w:color="auto"/>
            </w:tcBorders>
            <w:shd w:val="clear" w:color="auto" w:fill="auto"/>
            <w:noWrap/>
            <w:vAlign w:val="bottom"/>
            <w:hideMark/>
          </w:tcPr>
          <w:p w14:paraId="49CA02EF"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Maladies Non Transmissibles</w:t>
            </w:r>
          </w:p>
        </w:tc>
      </w:tr>
      <w:tr w:rsidR="0047090C" w:rsidRPr="0047090C" w14:paraId="6AA7ED0A"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45D2432E"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ODD</w:t>
            </w:r>
          </w:p>
        </w:tc>
        <w:tc>
          <w:tcPr>
            <w:tcW w:w="7240" w:type="dxa"/>
            <w:tcBorders>
              <w:top w:val="nil"/>
              <w:left w:val="nil"/>
              <w:bottom w:val="single" w:sz="4" w:space="0" w:color="auto"/>
              <w:right w:val="single" w:sz="8" w:space="0" w:color="auto"/>
            </w:tcBorders>
            <w:shd w:val="clear" w:color="auto" w:fill="auto"/>
            <w:noWrap/>
            <w:vAlign w:val="bottom"/>
            <w:hideMark/>
          </w:tcPr>
          <w:p w14:paraId="2E681986"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Objectif de Développement Durable</w:t>
            </w:r>
          </w:p>
        </w:tc>
      </w:tr>
      <w:tr w:rsidR="0047090C" w:rsidRPr="0047090C" w14:paraId="7366385D"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473D7DC9"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ONPPC</w:t>
            </w:r>
          </w:p>
        </w:tc>
        <w:tc>
          <w:tcPr>
            <w:tcW w:w="7240" w:type="dxa"/>
            <w:tcBorders>
              <w:top w:val="nil"/>
              <w:left w:val="nil"/>
              <w:bottom w:val="single" w:sz="4" w:space="0" w:color="auto"/>
              <w:right w:val="single" w:sz="8" w:space="0" w:color="auto"/>
            </w:tcBorders>
            <w:shd w:val="clear" w:color="auto" w:fill="auto"/>
            <w:noWrap/>
            <w:vAlign w:val="bottom"/>
            <w:hideMark/>
          </w:tcPr>
          <w:p w14:paraId="1D0F6A1A"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sidRPr="003A2FEB">
              <w:rPr>
                <w:rFonts w:ascii="Calibri" w:eastAsia="Times New Roman" w:hAnsi="Calibri" w:cs="Calibri"/>
                <w:color w:val="000000"/>
                <w:lang w:eastAsia="fr-FR"/>
              </w:rPr>
              <w:t>Office National des Produits Pharmaceutiques et Chimiques</w:t>
            </w:r>
          </w:p>
        </w:tc>
      </w:tr>
      <w:tr w:rsidR="0047090C" w:rsidRPr="0047090C" w14:paraId="2CE221C5"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338D4E95"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PAA</w:t>
            </w:r>
          </w:p>
        </w:tc>
        <w:tc>
          <w:tcPr>
            <w:tcW w:w="7240" w:type="dxa"/>
            <w:tcBorders>
              <w:top w:val="nil"/>
              <w:left w:val="nil"/>
              <w:bottom w:val="single" w:sz="4" w:space="0" w:color="auto"/>
              <w:right w:val="single" w:sz="8" w:space="0" w:color="auto"/>
            </w:tcBorders>
            <w:shd w:val="clear" w:color="auto" w:fill="auto"/>
            <w:noWrap/>
            <w:vAlign w:val="bottom"/>
            <w:hideMark/>
          </w:tcPr>
          <w:p w14:paraId="4F0C7B47"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0B5EFA">
              <w:rPr>
                <w:rFonts w:ascii="Calibri" w:eastAsia="Times New Roman" w:hAnsi="Calibri" w:cs="Calibri"/>
                <w:color w:val="000000"/>
                <w:lang w:eastAsia="fr-FR"/>
              </w:rPr>
              <w:t>Plans d’Actions Annuels</w:t>
            </w:r>
          </w:p>
        </w:tc>
      </w:tr>
      <w:tr w:rsidR="0047090C" w:rsidRPr="0047090C" w14:paraId="6CC33D5C"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7A364746"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PAP</w:t>
            </w:r>
          </w:p>
        </w:tc>
        <w:tc>
          <w:tcPr>
            <w:tcW w:w="7240" w:type="dxa"/>
            <w:tcBorders>
              <w:top w:val="nil"/>
              <w:left w:val="nil"/>
              <w:bottom w:val="single" w:sz="4" w:space="0" w:color="auto"/>
              <w:right w:val="single" w:sz="8" w:space="0" w:color="auto"/>
            </w:tcBorders>
            <w:shd w:val="clear" w:color="auto" w:fill="auto"/>
            <w:noWrap/>
            <w:vAlign w:val="bottom"/>
            <w:hideMark/>
          </w:tcPr>
          <w:p w14:paraId="0F5937ED"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0B5EFA">
              <w:rPr>
                <w:rFonts w:ascii="Calibri" w:eastAsia="Times New Roman" w:hAnsi="Calibri" w:cs="Calibri"/>
                <w:color w:val="000000"/>
                <w:lang w:eastAsia="fr-FR"/>
              </w:rPr>
              <w:t>P</w:t>
            </w:r>
            <w:r w:rsidR="007A2854">
              <w:rPr>
                <w:rFonts w:ascii="Calibri" w:eastAsia="Times New Roman" w:hAnsi="Calibri" w:cs="Calibri"/>
                <w:color w:val="000000"/>
                <w:lang w:eastAsia="fr-FR"/>
              </w:rPr>
              <w:t xml:space="preserve">rojet </w:t>
            </w:r>
            <w:r w:rsidR="000B5EFA">
              <w:rPr>
                <w:rFonts w:ascii="Calibri" w:eastAsia="Times New Roman" w:hAnsi="Calibri" w:cs="Calibri"/>
                <w:color w:val="000000"/>
                <w:lang w:eastAsia="fr-FR"/>
              </w:rPr>
              <w:t>A</w:t>
            </w:r>
            <w:r w:rsidR="007A2854">
              <w:rPr>
                <w:rFonts w:ascii="Calibri" w:eastAsia="Times New Roman" w:hAnsi="Calibri" w:cs="Calibri"/>
                <w:color w:val="000000"/>
                <w:lang w:eastAsia="fr-FR"/>
              </w:rPr>
              <w:t xml:space="preserve">nnuel </w:t>
            </w:r>
            <w:r w:rsidR="00DB64ED">
              <w:rPr>
                <w:rFonts w:ascii="Calibri" w:eastAsia="Times New Roman" w:hAnsi="Calibri" w:cs="Calibri"/>
                <w:color w:val="000000"/>
                <w:lang w:eastAsia="fr-FR"/>
              </w:rPr>
              <w:t xml:space="preserve">de </w:t>
            </w:r>
            <w:r w:rsidR="000B5EFA">
              <w:rPr>
                <w:rFonts w:ascii="Calibri" w:eastAsia="Times New Roman" w:hAnsi="Calibri" w:cs="Calibri"/>
                <w:color w:val="000000"/>
                <w:lang w:eastAsia="fr-FR"/>
              </w:rPr>
              <w:t>P</w:t>
            </w:r>
            <w:r w:rsidR="00DB64ED">
              <w:rPr>
                <w:rFonts w:ascii="Calibri" w:eastAsia="Times New Roman" w:hAnsi="Calibri" w:cs="Calibri"/>
                <w:color w:val="000000"/>
                <w:lang w:eastAsia="fr-FR"/>
              </w:rPr>
              <w:t>e</w:t>
            </w:r>
            <w:r w:rsidR="000B5EFA">
              <w:rPr>
                <w:rFonts w:ascii="Calibri" w:eastAsia="Times New Roman" w:hAnsi="Calibri" w:cs="Calibri"/>
                <w:color w:val="000000"/>
                <w:lang w:eastAsia="fr-FR"/>
              </w:rPr>
              <w:t>r</w:t>
            </w:r>
            <w:r w:rsidR="00DB64ED">
              <w:rPr>
                <w:rFonts w:ascii="Calibri" w:eastAsia="Times New Roman" w:hAnsi="Calibri" w:cs="Calibri"/>
                <w:color w:val="000000"/>
                <w:lang w:eastAsia="fr-FR"/>
              </w:rPr>
              <w:t>formance</w:t>
            </w:r>
          </w:p>
        </w:tc>
      </w:tr>
      <w:tr w:rsidR="0047090C" w:rsidRPr="0047090C" w14:paraId="639BED69"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1915F074"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PCA</w:t>
            </w:r>
          </w:p>
        </w:tc>
        <w:tc>
          <w:tcPr>
            <w:tcW w:w="7240" w:type="dxa"/>
            <w:tcBorders>
              <w:top w:val="nil"/>
              <w:left w:val="nil"/>
              <w:bottom w:val="single" w:sz="4" w:space="0" w:color="auto"/>
              <w:right w:val="single" w:sz="8" w:space="0" w:color="auto"/>
            </w:tcBorders>
            <w:shd w:val="clear" w:color="auto" w:fill="auto"/>
            <w:noWrap/>
            <w:vAlign w:val="bottom"/>
            <w:hideMark/>
          </w:tcPr>
          <w:p w14:paraId="79B659B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Paquet Complémentaire d’Activités</w:t>
            </w:r>
          </w:p>
        </w:tc>
      </w:tr>
      <w:tr w:rsidR="0047090C" w:rsidRPr="0047090C" w14:paraId="73D40182"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6FEFB6C6"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PDS</w:t>
            </w:r>
          </w:p>
        </w:tc>
        <w:tc>
          <w:tcPr>
            <w:tcW w:w="7240" w:type="dxa"/>
            <w:tcBorders>
              <w:top w:val="nil"/>
              <w:left w:val="nil"/>
              <w:bottom w:val="single" w:sz="4" w:space="0" w:color="auto"/>
              <w:right w:val="single" w:sz="8" w:space="0" w:color="auto"/>
            </w:tcBorders>
            <w:shd w:val="clear" w:color="auto" w:fill="auto"/>
            <w:noWrap/>
            <w:vAlign w:val="bottom"/>
            <w:hideMark/>
          </w:tcPr>
          <w:p w14:paraId="5A43BDC4"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P</w:t>
            </w:r>
            <w:r w:rsidR="000B5EFA">
              <w:rPr>
                <w:rFonts w:ascii="Calibri" w:eastAsia="Times New Roman" w:hAnsi="Calibri" w:cs="Calibri"/>
                <w:color w:val="000000"/>
                <w:lang w:eastAsia="fr-FR"/>
              </w:rPr>
              <w:t>lan</w:t>
            </w:r>
            <w:r w:rsidR="003A2FEB">
              <w:rPr>
                <w:rFonts w:ascii="Calibri" w:eastAsia="Times New Roman" w:hAnsi="Calibri" w:cs="Calibri"/>
                <w:color w:val="000000"/>
                <w:lang w:eastAsia="fr-FR"/>
              </w:rPr>
              <w:t xml:space="preserve"> de Développement Sanitaire</w:t>
            </w:r>
          </w:p>
        </w:tc>
      </w:tr>
      <w:tr w:rsidR="0047090C" w:rsidRPr="0047090C" w14:paraId="5E3392B7"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274ADB5A"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PDES</w:t>
            </w:r>
          </w:p>
        </w:tc>
        <w:tc>
          <w:tcPr>
            <w:tcW w:w="7240" w:type="dxa"/>
            <w:tcBorders>
              <w:top w:val="nil"/>
              <w:left w:val="nil"/>
              <w:bottom w:val="single" w:sz="4" w:space="0" w:color="auto"/>
              <w:right w:val="single" w:sz="8" w:space="0" w:color="auto"/>
            </w:tcBorders>
            <w:shd w:val="clear" w:color="auto" w:fill="auto"/>
            <w:noWrap/>
            <w:vAlign w:val="bottom"/>
            <w:hideMark/>
          </w:tcPr>
          <w:p w14:paraId="7DCDE0B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971E95">
              <w:rPr>
                <w:rFonts w:ascii="Calibri" w:eastAsia="Times New Roman" w:hAnsi="Calibri" w:cs="Calibri"/>
                <w:color w:val="000000"/>
                <w:lang w:eastAsia="fr-FR"/>
              </w:rPr>
              <w:t xml:space="preserve">Plan </w:t>
            </w:r>
            <w:r w:rsidR="003A2FEB">
              <w:rPr>
                <w:rFonts w:ascii="Calibri" w:eastAsia="Times New Roman" w:hAnsi="Calibri" w:cs="Calibri"/>
                <w:color w:val="000000"/>
                <w:lang w:eastAsia="fr-FR"/>
              </w:rPr>
              <w:t>de Développement Economique et Social</w:t>
            </w:r>
          </w:p>
        </w:tc>
      </w:tr>
      <w:tr w:rsidR="0047090C" w:rsidRPr="0047090C" w14:paraId="2EBDCEDD"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7B907196"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PEV</w:t>
            </w:r>
          </w:p>
        </w:tc>
        <w:tc>
          <w:tcPr>
            <w:tcW w:w="7240" w:type="dxa"/>
            <w:tcBorders>
              <w:top w:val="nil"/>
              <w:left w:val="nil"/>
              <w:bottom w:val="single" w:sz="4" w:space="0" w:color="auto"/>
              <w:right w:val="single" w:sz="8" w:space="0" w:color="auto"/>
            </w:tcBorders>
            <w:shd w:val="clear" w:color="auto" w:fill="auto"/>
            <w:noWrap/>
            <w:vAlign w:val="bottom"/>
            <w:hideMark/>
          </w:tcPr>
          <w:p w14:paraId="6F62720A"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Programme Elargi de Vaccination</w:t>
            </w:r>
          </w:p>
        </w:tc>
      </w:tr>
      <w:tr w:rsidR="0047090C" w:rsidRPr="0047090C" w14:paraId="2CE99DAD"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42B5B70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PIB</w:t>
            </w:r>
          </w:p>
        </w:tc>
        <w:tc>
          <w:tcPr>
            <w:tcW w:w="7240" w:type="dxa"/>
            <w:tcBorders>
              <w:top w:val="nil"/>
              <w:left w:val="nil"/>
              <w:bottom w:val="single" w:sz="4" w:space="0" w:color="auto"/>
              <w:right w:val="single" w:sz="8" w:space="0" w:color="auto"/>
            </w:tcBorders>
            <w:shd w:val="clear" w:color="auto" w:fill="auto"/>
            <w:noWrap/>
            <w:vAlign w:val="bottom"/>
            <w:hideMark/>
          </w:tcPr>
          <w:p w14:paraId="503C1B21"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Produit Intérieur Brut</w:t>
            </w:r>
          </w:p>
        </w:tc>
      </w:tr>
      <w:tr w:rsidR="0047090C" w:rsidRPr="0047090C" w14:paraId="41C2C972"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1952C3C7"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PMA</w:t>
            </w:r>
          </w:p>
        </w:tc>
        <w:tc>
          <w:tcPr>
            <w:tcW w:w="7240" w:type="dxa"/>
            <w:tcBorders>
              <w:top w:val="nil"/>
              <w:left w:val="nil"/>
              <w:bottom w:val="single" w:sz="4" w:space="0" w:color="auto"/>
              <w:right w:val="single" w:sz="8" w:space="0" w:color="auto"/>
            </w:tcBorders>
            <w:shd w:val="clear" w:color="auto" w:fill="auto"/>
            <w:noWrap/>
            <w:vAlign w:val="bottom"/>
            <w:hideMark/>
          </w:tcPr>
          <w:p w14:paraId="172D592D"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Paquet Minimum d’Activités</w:t>
            </w:r>
          </w:p>
        </w:tc>
      </w:tr>
      <w:tr w:rsidR="0047090C" w:rsidRPr="0047090C" w14:paraId="01A7ECD2"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68B6F9C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PNB</w:t>
            </w:r>
          </w:p>
        </w:tc>
        <w:tc>
          <w:tcPr>
            <w:tcW w:w="7240" w:type="dxa"/>
            <w:tcBorders>
              <w:top w:val="nil"/>
              <w:left w:val="nil"/>
              <w:bottom w:val="single" w:sz="4" w:space="0" w:color="auto"/>
              <w:right w:val="single" w:sz="8" w:space="0" w:color="auto"/>
            </w:tcBorders>
            <w:shd w:val="clear" w:color="auto" w:fill="auto"/>
            <w:noWrap/>
            <w:vAlign w:val="bottom"/>
            <w:hideMark/>
          </w:tcPr>
          <w:p w14:paraId="4E99E9B7"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Produit National Brut</w:t>
            </w:r>
          </w:p>
        </w:tc>
      </w:tr>
      <w:tr w:rsidR="0047090C" w:rsidRPr="0047090C" w14:paraId="1CD933C3"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2234F7E0"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PNSN</w:t>
            </w:r>
          </w:p>
        </w:tc>
        <w:tc>
          <w:tcPr>
            <w:tcW w:w="7240" w:type="dxa"/>
            <w:tcBorders>
              <w:top w:val="nil"/>
              <w:left w:val="nil"/>
              <w:bottom w:val="single" w:sz="4" w:space="0" w:color="auto"/>
              <w:right w:val="single" w:sz="8" w:space="0" w:color="auto"/>
            </w:tcBorders>
            <w:shd w:val="clear" w:color="auto" w:fill="auto"/>
            <w:noWrap/>
            <w:vAlign w:val="bottom"/>
            <w:hideMark/>
          </w:tcPr>
          <w:p w14:paraId="6516201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sidRPr="003A2FEB">
              <w:rPr>
                <w:rFonts w:ascii="Calibri" w:eastAsia="Times New Roman" w:hAnsi="Calibri" w:cs="Calibri"/>
                <w:color w:val="000000"/>
                <w:lang w:eastAsia="fr-FR"/>
              </w:rPr>
              <w:t>Politique Nationale de Sécurité Nutritionnelle</w:t>
            </w:r>
          </w:p>
        </w:tc>
      </w:tr>
      <w:tr w:rsidR="0047090C" w:rsidRPr="0047090C" w14:paraId="7EC38885"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53A37A2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PIB</w:t>
            </w:r>
          </w:p>
        </w:tc>
        <w:tc>
          <w:tcPr>
            <w:tcW w:w="7240" w:type="dxa"/>
            <w:tcBorders>
              <w:top w:val="nil"/>
              <w:left w:val="nil"/>
              <w:bottom w:val="single" w:sz="4" w:space="0" w:color="auto"/>
              <w:right w:val="single" w:sz="8" w:space="0" w:color="auto"/>
            </w:tcBorders>
            <w:shd w:val="clear" w:color="auto" w:fill="auto"/>
            <w:noWrap/>
            <w:vAlign w:val="bottom"/>
            <w:hideMark/>
          </w:tcPr>
          <w:p w14:paraId="41915054"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Produit Intérieur Brut</w:t>
            </w:r>
          </w:p>
        </w:tc>
      </w:tr>
      <w:tr w:rsidR="0047090C" w:rsidRPr="0047090C" w14:paraId="02C7DB5B"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2E5946A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lastRenderedPageBreak/>
              <w:t>PTF</w:t>
            </w:r>
          </w:p>
        </w:tc>
        <w:tc>
          <w:tcPr>
            <w:tcW w:w="7240" w:type="dxa"/>
            <w:tcBorders>
              <w:top w:val="nil"/>
              <w:left w:val="nil"/>
              <w:bottom w:val="single" w:sz="4" w:space="0" w:color="auto"/>
              <w:right w:val="single" w:sz="8" w:space="0" w:color="auto"/>
            </w:tcBorders>
            <w:shd w:val="clear" w:color="auto" w:fill="auto"/>
            <w:noWrap/>
            <w:vAlign w:val="bottom"/>
            <w:hideMark/>
          </w:tcPr>
          <w:p w14:paraId="31F7997B"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Partenaire Technique et Financier</w:t>
            </w:r>
          </w:p>
        </w:tc>
      </w:tr>
      <w:tr w:rsidR="0047090C" w:rsidRPr="0047090C" w14:paraId="06F24058"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4836D31A"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PRODEHA</w:t>
            </w:r>
          </w:p>
        </w:tc>
        <w:tc>
          <w:tcPr>
            <w:tcW w:w="7240" w:type="dxa"/>
            <w:tcBorders>
              <w:top w:val="nil"/>
              <w:left w:val="nil"/>
              <w:bottom w:val="single" w:sz="4" w:space="0" w:color="auto"/>
              <w:right w:val="single" w:sz="8" w:space="0" w:color="auto"/>
            </w:tcBorders>
            <w:shd w:val="clear" w:color="auto" w:fill="auto"/>
            <w:noWrap/>
            <w:vAlign w:val="bottom"/>
            <w:hideMark/>
          </w:tcPr>
          <w:p w14:paraId="7A4D6A41"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Programme de Développement de l’Eau, Hygiène et Assainissement</w:t>
            </w:r>
          </w:p>
        </w:tc>
      </w:tr>
      <w:tr w:rsidR="0047090C" w:rsidRPr="0047090C" w14:paraId="13A9C7E3"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169B25D8"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RAMO</w:t>
            </w:r>
          </w:p>
        </w:tc>
        <w:tc>
          <w:tcPr>
            <w:tcW w:w="7240" w:type="dxa"/>
            <w:tcBorders>
              <w:top w:val="nil"/>
              <w:left w:val="nil"/>
              <w:bottom w:val="single" w:sz="4" w:space="0" w:color="auto"/>
              <w:right w:val="single" w:sz="8" w:space="0" w:color="auto"/>
            </w:tcBorders>
            <w:shd w:val="clear" w:color="auto" w:fill="auto"/>
            <w:noWrap/>
            <w:vAlign w:val="bottom"/>
            <w:hideMark/>
          </w:tcPr>
          <w:p w14:paraId="590799F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0B5EFA">
              <w:rPr>
                <w:rFonts w:ascii="Calibri" w:eastAsia="Times New Roman" w:hAnsi="Calibri" w:cs="Calibri"/>
                <w:color w:val="000000"/>
                <w:lang w:eastAsia="fr-FR"/>
              </w:rPr>
              <w:t>Rapport Annuel de Mise en oe</w:t>
            </w:r>
            <w:r w:rsidR="00847E6C">
              <w:rPr>
                <w:rFonts w:ascii="Calibri" w:eastAsia="Times New Roman" w:hAnsi="Calibri" w:cs="Calibri"/>
                <w:color w:val="000000"/>
                <w:lang w:eastAsia="fr-FR"/>
              </w:rPr>
              <w:t>u</w:t>
            </w:r>
            <w:r w:rsidR="000B5EFA">
              <w:rPr>
                <w:rFonts w:ascii="Calibri" w:eastAsia="Times New Roman" w:hAnsi="Calibri" w:cs="Calibri"/>
                <w:color w:val="000000"/>
                <w:lang w:eastAsia="fr-FR"/>
              </w:rPr>
              <w:t>vre</w:t>
            </w:r>
          </w:p>
        </w:tc>
      </w:tr>
      <w:tr w:rsidR="0047090C" w:rsidRPr="0047090C" w14:paraId="4F47DAA0"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73660350"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RAP</w:t>
            </w:r>
          </w:p>
        </w:tc>
        <w:tc>
          <w:tcPr>
            <w:tcW w:w="7240" w:type="dxa"/>
            <w:tcBorders>
              <w:top w:val="nil"/>
              <w:left w:val="nil"/>
              <w:bottom w:val="single" w:sz="4" w:space="0" w:color="auto"/>
              <w:right w:val="single" w:sz="8" w:space="0" w:color="auto"/>
            </w:tcBorders>
            <w:shd w:val="clear" w:color="auto" w:fill="auto"/>
            <w:noWrap/>
            <w:vAlign w:val="bottom"/>
            <w:hideMark/>
          </w:tcPr>
          <w:p w14:paraId="2B9A0894"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847E6C">
              <w:rPr>
                <w:rFonts w:ascii="Calibri" w:eastAsia="Times New Roman" w:hAnsi="Calibri" w:cs="Calibri"/>
                <w:color w:val="000000"/>
                <w:lang w:eastAsia="fr-FR"/>
              </w:rPr>
              <w:t>Rapport Annuel du Programme</w:t>
            </w:r>
          </w:p>
        </w:tc>
      </w:tr>
      <w:tr w:rsidR="0047090C" w:rsidRPr="0047090C" w14:paraId="3B0F48DA"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129B033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RGPH</w:t>
            </w:r>
          </w:p>
        </w:tc>
        <w:tc>
          <w:tcPr>
            <w:tcW w:w="7240" w:type="dxa"/>
            <w:tcBorders>
              <w:top w:val="nil"/>
              <w:left w:val="nil"/>
              <w:bottom w:val="single" w:sz="4" w:space="0" w:color="auto"/>
              <w:right w:val="single" w:sz="8" w:space="0" w:color="auto"/>
            </w:tcBorders>
            <w:shd w:val="clear" w:color="auto" w:fill="auto"/>
            <w:noWrap/>
            <w:vAlign w:val="bottom"/>
            <w:hideMark/>
          </w:tcPr>
          <w:p w14:paraId="5FD64B30" w14:textId="77777777" w:rsidR="0047090C" w:rsidRPr="0047090C" w:rsidRDefault="0047090C" w:rsidP="002A2CA3">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sidRPr="003A2FEB">
              <w:rPr>
                <w:rFonts w:ascii="Calibri" w:eastAsia="Times New Roman" w:hAnsi="Calibri" w:cs="Calibri"/>
                <w:color w:val="000000"/>
                <w:lang w:eastAsia="fr-FR"/>
              </w:rPr>
              <w:t>Recensement  Général de la Population et de l’</w:t>
            </w:r>
            <w:r w:rsidR="002A2CA3">
              <w:rPr>
                <w:rFonts w:ascii="Calibri" w:eastAsia="Times New Roman" w:hAnsi="Calibri" w:cs="Calibri"/>
                <w:color w:val="000000"/>
                <w:lang w:eastAsia="fr-FR"/>
              </w:rPr>
              <w:t>H</w:t>
            </w:r>
            <w:r w:rsidR="003A2FEB" w:rsidRPr="003A2FEB">
              <w:rPr>
                <w:rFonts w:ascii="Calibri" w:eastAsia="Times New Roman" w:hAnsi="Calibri" w:cs="Calibri"/>
                <w:color w:val="000000"/>
                <w:lang w:eastAsia="fr-FR"/>
              </w:rPr>
              <w:t>abitat</w:t>
            </w:r>
          </w:p>
        </w:tc>
      </w:tr>
      <w:tr w:rsidR="0047090C" w:rsidRPr="0047090C" w14:paraId="3D5C3323"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546AB9E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RHS</w:t>
            </w:r>
          </w:p>
        </w:tc>
        <w:tc>
          <w:tcPr>
            <w:tcW w:w="7240" w:type="dxa"/>
            <w:tcBorders>
              <w:top w:val="nil"/>
              <w:left w:val="nil"/>
              <w:bottom w:val="single" w:sz="4" w:space="0" w:color="auto"/>
              <w:right w:val="single" w:sz="8" w:space="0" w:color="auto"/>
            </w:tcBorders>
            <w:shd w:val="clear" w:color="auto" w:fill="auto"/>
            <w:noWrap/>
            <w:vAlign w:val="bottom"/>
            <w:hideMark/>
          </w:tcPr>
          <w:p w14:paraId="1D6B6DB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Ressources Humaines en Santé</w:t>
            </w:r>
          </w:p>
        </w:tc>
      </w:tr>
      <w:tr w:rsidR="0047090C" w:rsidRPr="0047090C" w14:paraId="6503B63E"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152287A8"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SDDE</w:t>
            </w:r>
          </w:p>
        </w:tc>
        <w:tc>
          <w:tcPr>
            <w:tcW w:w="7240" w:type="dxa"/>
            <w:tcBorders>
              <w:top w:val="nil"/>
              <w:left w:val="nil"/>
              <w:bottom w:val="single" w:sz="4" w:space="0" w:color="auto"/>
              <w:right w:val="single" w:sz="8" w:space="0" w:color="auto"/>
            </w:tcBorders>
            <w:shd w:val="clear" w:color="auto" w:fill="auto"/>
            <w:noWrap/>
            <w:vAlign w:val="bottom"/>
            <w:hideMark/>
          </w:tcPr>
          <w:p w14:paraId="68BAE583"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Stratégie de Développement Durable de l’élevage</w:t>
            </w:r>
          </w:p>
        </w:tc>
      </w:tr>
      <w:tr w:rsidR="0047090C" w:rsidRPr="0047090C" w14:paraId="24AC9450"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5A7358B1"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SIS</w:t>
            </w:r>
          </w:p>
        </w:tc>
        <w:tc>
          <w:tcPr>
            <w:tcW w:w="7240" w:type="dxa"/>
            <w:tcBorders>
              <w:top w:val="nil"/>
              <w:left w:val="nil"/>
              <w:bottom w:val="single" w:sz="4" w:space="0" w:color="auto"/>
              <w:right w:val="single" w:sz="8" w:space="0" w:color="auto"/>
            </w:tcBorders>
            <w:shd w:val="clear" w:color="auto" w:fill="auto"/>
            <w:noWrap/>
            <w:vAlign w:val="bottom"/>
            <w:hideMark/>
          </w:tcPr>
          <w:p w14:paraId="161E54E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Système d’Information Sanitaire</w:t>
            </w:r>
          </w:p>
        </w:tc>
      </w:tr>
      <w:tr w:rsidR="0047090C" w:rsidRPr="0047090C" w14:paraId="3E0C9339"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0BC28BD8"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SNIS</w:t>
            </w:r>
          </w:p>
        </w:tc>
        <w:tc>
          <w:tcPr>
            <w:tcW w:w="7240" w:type="dxa"/>
            <w:tcBorders>
              <w:top w:val="nil"/>
              <w:left w:val="nil"/>
              <w:bottom w:val="single" w:sz="4" w:space="0" w:color="auto"/>
              <w:right w:val="single" w:sz="8" w:space="0" w:color="auto"/>
            </w:tcBorders>
            <w:shd w:val="clear" w:color="auto" w:fill="auto"/>
            <w:noWrap/>
            <w:vAlign w:val="bottom"/>
            <w:hideMark/>
          </w:tcPr>
          <w:p w14:paraId="417B9B96"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Système National d’Information Sanitaire</w:t>
            </w:r>
          </w:p>
        </w:tc>
      </w:tr>
      <w:tr w:rsidR="0047090C" w:rsidRPr="0047090C" w14:paraId="41FE78AA"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0378C15C"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SUN</w:t>
            </w:r>
          </w:p>
        </w:tc>
        <w:tc>
          <w:tcPr>
            <w:tcW w:w="7240" w:type="dxa"/>
            <w:tcBorders>
              <w:top w:val="nil"/>
              <w:left w:val="nil"/>
              <w:bottom w:val="single" w:sz="4" w:space="0" w:color="auto"/>
              <w:right w:val="single" w:sz="8" w:space="0" w:color="auto"/>
            </w:tcBorders>
            <w:shd w:val="clear" w:color="auto" w:fill="auto"/>
            <w:noWrap/>
            <w:vAlign w:val="bottom"/>
            <w:hideMark/>
          </w:tcPr>
          <w:p w14:paraId="4A9E9D1F"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Scaling Up Nutrition (réseau)</w:t>
            </w:r>
          </w:p>
        </w:tc>
      </w:tr>
      <w:tr w:rsidR="0047090C" w:rsidRPr="0047090C" w14:paraId="387FAA57" w14:textId="77777777" w:rsidTr="0047090C">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14:paraId="5A67F9C2"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TB</w:t>
            </w:r>
          </w:p>
        </w:tc>
        <w:tc>
          <w:tcPr>
            <w:tcW w:w="7240" w:type="dxa"/>
            <w:tcBorders>
              <w:top w:val="nil"/>
              <w:left w:val="nil"/>
              <w:bottom w:val="single" w:sz="4" w:space="0" w:color="auto"/>
              <w:right w:val="single" w:sz="8" w:space="0" w:color="auto"/>
            </w:tcBorders>
            <w:shd w:val="clear" w:color="auto" w:fill="auto"/>
            <w:noWrap/>
            <w:vAlign w:val="bottom"/>
            <w:hideMark/>
          </w:tcPr>
          <w:p w14:paraId="61E565CF"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Tuberculose</w:t>
            </w:r>
          </w:p>
        </w:tc>
      </w:tr>
      <w:tr w:rsidR="0047090C" w:rsidRPr="0047090C" w14:paraId="4F12D2F7" w14:textId="77777777" w:rsidTr="0047090C">
        <w:trPr>
          <w:trHeight w:val="315"/>
        </w:trPr>
        <w:tc>
          <w:tcPr>
            <w:tcW w:w="1200" w:type="dxa"/>
            <w:tcBorders>
              <w:top w:val="nil"/>
              <w:left w:val="single" w:sz="8" w:space="0" w:color="auto"/>
              <w:bottom w:val="single" w:sz="8" w:space="0" w:color="auto"/>
              <w:right w:val="single" w:sz="4" w:space="0" w:color="auto"/>
            </w:tcBorders>
            <w:shd w:val="clear" w:color="auto" w:fill="auto"/>
            <w:noWrap/>
            <w:vAlign w:val="bottom"/>
            <w:hideMark/>
          </w:tcPr>
          <w:p w14:paraId="14B693EA" w14:textId="77777777" w:rsidR="0047090C" w:rsidRPr="0047090C" w:rsidRDefault="0047090C" w:rsidP="0047090C">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UEMOA</w:t>
            </w:r>
          </w:p>
        </w:tc>
        <w:tc>
          <w:tcPr>
            <w:tcW w:w="7240" w:type="dxa"/>
            <w:tcBorders>
              <w:top w:val="nil"/>
              <w:left w:val="nil"/>
              <w:bottom w:val="single" w:sz="8" w:space="0" w:color="auto"/>
              <w:right w:val="single" w:sz="8" w:space="0" w:color="auto"/>
            </w:tcBorders>
            <w:shd w:val="clear" w:color="auto" w:fill="auto"/>
            <w:noWrap/>
            <w:vAlign w:val="bottom"/>
            <w:hideMark/>
          </w:tcPr>
          <w:p w14:paraId="3B553659" w14:textId="77777777" w:rsidR="0047090C" w:rsidRPr="0047090C" w:rsidRDefault="0047090C" w:rsidP="00971E95">
            <w:pPr>
              <w:spacing w:after="0" w:line="240" w:lineRule="auto"/>
              <w:rPr>
                <w:rFonts w:ascii="Calibri" w:eastAsia="Times New Roman" w:hAnsi="Calibri" w:cs="Calibri"/>
                <w:color w:val="000000"/>
                <w:lang w:eastAsia="fr-FR"/>
              </w:rPr>
            </w:pPr>
            <w:r w:rsidRPr="0047090C">
              <w:rPr>
                <w:rFonts w:ascii="Calibri" w:eastAsia="Times New Roman" w:hAnsi="Calibri" w:cs="Calibri"/>
                <w:color w:val="000000"/>
                <w:lang w:eastAsia="fr-FR"/>
              </w:rPr>
              <w:t> </w:t>
            </w:r>
            <w:r w:rsidR="003A2FEB">
              <w:rPr>
                <w:rFonts w:ascii="Calibri" w:eastAsia="Times New Roman" w:hAnsi="Calibri" w:cs="Calibri"/>
                <w:color w:val="000000"/>
                <w:lang w:eastAsia="fr-FR"/>
              </w:rPr>
              <w:t xml:space="preserve">Union Economique et Monétaire </w:t>
            </w:r>
            <w:r w:rsidR="00971E95">
              <w:rPr>
                <w:rFonts w:ascii="Calibri" w:eastAsia="Times New Roman" w:hAnsi="Calibri" w:cs="Calibri"/>
                <w:color w:val="000000"/>
                <w:lang w:eastAsia="fr-FR"/>
              </w:rPr>
              <w:t>Ouest Africaine</w:t>
            </w:r>
          </w:p>
        </w:tc>
      </w:tr>
    </w:tbl>
    <w:p w14:paraId="20343762" w14:textId="77777777" w:rsidR="00E4665A" w:rsidRPr="00E4665A" w:rsidRDefault="00E4665A" w:rsidP="00E4665A"/>
    <w:p w14:paraId="0E3D626D" w14:textId="77777777" w:rsidR="008D5D3A" w:rsidRDefault="008D5D3A">
      <w:pPr>
        <w:rPr>
          <w:rFonts w:asciiTheme="majorHAnsi" w:eastAsiaTheme="majorEastAsia" w:hAnsiTheme="majorHAnsi" w:cstheme="majorBidi"/>
          <w:b/>
          <w:bCs/>
          <w:color w:val="365F91" w:themeColor="accent1" w:themeShade="BF"/>
          <w:sz w:val="28"/>
          <w:szCs w:val="28"/>
        </w:rPr>
      </w:pPr>
      <w:r>
        <w:br w:type="page"/>
      </w:r>
    </w:p>
    <w:p w14:paraId="63F5AF6F" w14:textId="77777777" w:rsidR="00AD660A" w:rsidRPr="00BF29A2" w:rsidRDefault="00AD660A" w:rsidP="00BF29A2">
      <w:pPr>
        <w:pStyle w:val="Titre1"/>
      </w:pPr>
      <w:bookmarkStart w:id="2" w:name="_Toc21449004"/>
      <w:r w:rsidRPr="00BF29A2">
        <w:lastRenderedPageBreak/>
        <w:t>Résumé</w:t>
      </w:r>
      <w:bookmarkEnd w:id="2"/>
      <w:r w:rsidRPr="00BF29A2">
        <w:t xml:space="preserve"> </w:t>
      </w:r>
    </w:p>
    <w:p w14:paraId="63582C3C" w14:textId="77777777" w:rsidR="006F11DB" w:rsidRDefault="006F11DB" w:rsidP="006F11DB">
      <w:r w:rsidRPr="004420DD">
        <w:t xml:space="preserve">Dans le Programme de Renaissance Acte II, le Président de la République du Niger a pris l’engagement de relever les défis d’améliorer l’état de santé de la population de manière significative. La Couverture Sanitaire Universelle a fait tout récemment l’objet d’une résolution aux Nations Unies. Cette résolution reconnaît que la CSU est le terme englobant la réalisation d'une vie saine et du bien-être pour tous à tous les âges. La présente stratégie </w:t>
      </w:r>
      <w:r>
        <w:t xml:space="preserve">nationale de la CSU (2021-2030) </w:t>
      </w:r>
      <w:r w:rsidRPr="004420DD">
        <w:t>se propose de mobiliser l’ensemble du pays dans l’atteinte de l’objectif 3 des ODD, à savoir « Permettre à tous de vivre en bonne santé et promouvoir le bien-être de tous à tout âge ».</w:t>
      </w:r>
      <w:r>
        <w:t xml:space="preserve"> Les résultats attendus de la stratégie sont que :</w:t>
      </w:r>
    </w:p>
    <w:p w14:paraId="48A5DDC0" w14:textId="77777777" w:rsidR="006F11DB" w:rsidRPr="004420DD" w:rsidRDefault="006F11DB" w:rsidP="006F11DB">
      <w:pPr>
        <w:pStyle w:val="Paragraphedeliste"/>
        <w:numPr>
          <w:ilvl w:val="0"/>
          <w:numId w:val="48"/>
        </w:numPr>
        <w:rPr>
          <w:rFonts w:asciiTheme="majorHAnsi" w:eastAsiaTheme="majorEastAsia" w:hAnsiTheme="majorHAnsi" w:cstheme="majorBidi"/>
          <w:b/>
          <w:bCs/>
          <w:color w:val="365F91" w:themeColor="accent1" w:themeShade="BF"/>
          <w:sz w:val="28"/>
          <w:szCs w:val="28"/>
        </w:rPr>
      </w:pPr>
      <w:r>
        <w:t xml:space="preserve">L’ensemble de la population du Niger est en meilleure santé, notamment parce que les </w:t>
      </w:r>
      <w:r w:rsidRPr="004420DD">
        <w:rPr>
          <w:b/>
        </w:rPr>
        <w:t>déterminants de la santé</w:t>
      </w:r>
      <w:r>
        <w:t>, d’ordre comportemental, environnemental et métabolique, sont mieux pris en considération sur le plan individuel et collectif ;</w:t>
      </w:r>
    </w:p>
    <w:p w14:paraId="1E38F46E" w14:textId="77777777" w:rsidR="006F11DB" w:rsidRPr="004420DD" w:rsidRDefault="006F11DB" w:rsidP="006F11DB">
      <w:pPr>
        <w:pStyle w:val="Paragraphedeliste"/>
        <w:rPr>
          <w:rFonts w:asciiTheme="majorHAnsi" w:eastAsiaTheme="majorEastAsia" w:hAnsiTheme="majorHAnsi" w:cstheme="majorBidi"/>
          <w:b/>
          <w:bCs/>
          <w:color w:val="365F91" w:themeColor="accent1" w:themeShade="BF"/>
          <w:sz w:val="28"/>
          <w:szCs w:val="28"/>
        </w:rPr>
      </w:pPr>
    </w:p>
    <w:p w14:paraId="0A05E619" w14:textId="77777777" w:rsidR="006F11DB" w:rsidRPr="004420DD" w:rsidRDefault="006F11DB" w:rsidP="006F11DB">
      <w:pPr>
        <w:pStyle w:val="Paragraphedeliste"/>
        <w:numPr>
          <w:ilvl w:val="0"/>
          <w:numId w:val="48"/>
        </w:numPr>
        <w:rPr>
          <w:rFonts w:asciiTheme="majorHAnsi" w:eastAsiaTheme="majorEastAsia" w:hAnsiTheme="majorHAnsi" w:cstheme="majorBidi"/>
          <w:b/>
          <w:bCs/>
          <w:color w:val="365F91" w:themeColor="accent1" w:themeShade="BF"/>
          <w:sz w:val="28"/>
          <w:szCs w:val="28"/>
        </w:rPr>
      </w:pPr>
      <w:r>
        <w:t xml:space="preserve">L’ensemble de la population du Niger dispose d’une </w:t>
      </w:r>
      <w:r w:rsidRPr="004420DD">
        <w:rPr>
          <w:b/>
        </w:rPr>
        <w:t>offre de services de santé</w:t>
      </w:r>
      <w:r>
        <w:t xml:space="preserve"> </w:t>
      </w:r>
      <w:r w:rsidR="00847E6C">
        <w:t xml:space="preserve">de qualité </w:t>
      </w:r>
      <w:r>
        <w:t>qui lui garantit une prise en charge adéquate, dans le cadre d’un système de santé efficient et résilient ;</w:t>
      </w:r>
    </w:p>
    <w:p w14:paraId="1F590129" w14:textId="77777777" w:rsidR="006F11DB" w:rsidRPr="004420DD" w:rsidRDefault="006F11DB" w:rsidP="006F11DB">
      <w:pPr>
        <w:pStyle w:val="Paragraphedeliste"/>
        <w:rPr>
          <w:rFonts w:asciiTheme="majorHAnsi" w:eastAsiaTheme="majorEastAsia" w:hAnsiTheme="majorHAnsi" w:cstheme="majorBidi"/>
          <w:b/>
          <w:bCs/>
          <w:color w:val="365F91" w:themeColor="accent1" w:themeShade="BF"/>
          <w:sz w:val="28"/>
          <w:szCs w:val="28"/>
        </w:rPr>
      </w:pPr>
    </w:p>
    <w:p w14:paraId="348E3E96" w14:textId="77777777" w:rsidR="006F11DB" w:rsidRPr="004420DD" w:rsidRDefault="006F11DB" w:rsidP="006F11DB">
      <w:pPr>
        <w:pStyle w:val="Paragraphedeliste"/>
        <w:numPr>
          <w:ilvl w:val="0"/>
          <w:numId w:val="48"/>
        </w:numPr>
        <w:rPr>
          <w:rFonts w:asciiTheme="majorHAnsi" w:eastAsiaTheme="majorEastAsia" w:hAnsiTheme="majorHAnsi" w:cstheme="majorBidi"/>
          <w:b/>
          <w:bCs/>
          <w:color w:val="365F91" w:themeColor="accent1" w:themeShade="BF"/>
          <w:sz w:val="28"/>
          <w:szCs w:val="28"/>
        </w:rPr>
      </w:pPr>
      <w:r>
        <w:t xml:space="preserve">L’ensemble de la population du Niger </w:t>
      </w:r>
      <w:r w:rsidR="008566D6">
        <w:t>utilise les</w:t>
      </w:r>
      <w:r>
        <w:t xml:space="preserve"> services de santé sans difficulté financière, grâce à un système de financement de la santé performant et une protection financière contre le risque maladie basée sur une assurance maladie universelle.</w:t>
      </w:r>
    </w:p>
    <w:p w14:paraId="5003DF47" w14:textId="77777777" w:rsidR="006F11DB" w:rsidRDefault="006F11DB" w:rsidP="006F11DB">
      <w:r>
        <w:t>La stratégie propose 10 axes d’intervention et met l’accent sur quatre hypothèses fondamentales :</w:t>
      </w:r>
    </w:p>
    <w:p w14:paraId="3F997804" w14:textId="77777777" w:rsidR="006F11DB" w:rsidRDefault="006F11DB" w:rsidP="006F11DB">
      <w:pPr>
        <w:pStyle w:val="Sansinterligne"/>
      </w:pPr>
      <w:r w:rsidRPr="004420DD">
        <w:t>Axe stratégique n°1 : amélioration de l’état nutritionnel de la population</w:t>
      </w:r>
    </w:p>
    <w:p w14:paraId="7D9E0764" w14:textId="77777777" w:rsidR="006F11DB" w:rsidRDefault="006F11DB" w:rsidP="006F11DB">
      <w:pPr>
        <w:pStyle w:val="Sansinterligne"/>
      </w:pPr>
      <w:r w:rsidRPr="004420DD">
        <w:t xml:space="preserve">Axe stratégique n°2 : </w:t>
      </w:r>
      <w:r w:rsidR="00971E95">
        <w:t>a</w:t>
      </w:r>
      <w:r w:rsidRPr="004420DD">
        <w:t>mélioration de l'accès à l’eau potable, à l’hygiène et à l’assainissement</w:t>
      </w:r>
    </w:p>
    <w:p w14:paraId="328E94A5" w14:textId="77777777" w:rsidR="006F11DB" w:rsidRDefault="006F11DB" w:rsidP="006F11DB">
      <w:pPr>
        <w:pStyle w:val="Sansinterligne"/>
      </w:pPr>
      <w:r w:rsidRPr="004420DD">
        <w:t>Axe stratégique n°3 : amélioration de la lutte contre la pollution</w:t>
      </w:r>
    </w:p>
    <w:p w14:paraId="22E94799" w14:textId="77777777" w:rsidR="006F11DB" w:rsidRDefault="006F11DB" w:rsidP="006F11DB">
      <w:pPr>
        <w:pStyle w:val="Sansinterligne"/>
      </w:pPr>
      <w:r w:rsidRPr="004420DD">
        <w:t>Axe stratégique n°4 : amélioration de la gouvernance et du leadership du secteur de la santé</w:t>
      </w:r>
    </w:p>
    <w:p w14:paraId="6A6C8143" w14:textId="77777777" w:rsidR="006F11DB" w:rsidRDefault="006F11DB" w:rsidP="006F11DB">
      <w:pPr>
        <w:pStyle w:val="Sansinterligne"/>
      </w:pPr>
      <w:r w:rsidRPr="004420DD">
        <w:t>Axe stratégique n°5 : amélioration de l’accès aux soins et services de santé</w:t>
      </w:r>
    </w:p>
    <w:p w14:paraId="5FA7C885" w14:textId="77777777" w:rsidR="006F11DB" w:rsidRDefault="006F11DB" w:rsidP="006F11DB">
      <w:pPr>
        <w:pStyle w:val="Sansinterligne"/>
      </w:pPr>
      <w:r w:rsidRPr="004420DD">
        <w:t>Axe stratégique n°6 : amélioration des prestations de soins et services de santé</w:t>
      </w:r>
    </w:p>
    <w:p w14:paraId="42C486B6" w14:textId="77777777" w:rsidR="006F11DB" w:rsidRDefault="006F11DB" w:rsidP="006F11DB">
      <w:pPr>
        <w:pStyle w:val="Sansinterligne"/>
      </w:pPr>
      <w:r w:rsidRPr="004420DD">
        <w:t xml:space="preserve">Axe stratégique n°7 : </w:t>
      </w:r>
      <w:r w:rsidR="00971E95">
        <w:t>f</w:t>
      </w:r>
      <w:r w:rsidRPr="004420DD">
        <w:t>onctionnement optimal de la politique d’exemption de paiement pour les enfants de moins de 5 ans et les femmes enceintes.</w:t>
      </w:r>
    </w:p>
    <w:p w14:paraId="0870B948" w14:textId="77777777" w:rsidR="006F11DB" w:rsidRDefault="00971E95" w:rsidP="006F11DB">
      <w:pPr>
        <w:pStyle w:val="Sansinterligne"/>
      </w:pPr>
      <w:r>
        <w:t>Axe stratégique n°8 : m</w:t>
      </w:r>
      <w:r w:rsidR="006F11DB" w:rsidRPr="004420DD">
        <w:t>ise en œuvre progressive d’une assurance maladie universelle</w:t>
      </w:r>
    </w:p>
    <w:p w14:paraId="6780A55E" w14:textId="77777777" w:rsidR="006F11DB" w:rsidRDefault="006F11DB" w:rsidP="006F11DB">
      <w:pPr>
        <w:pStyle w:val="Sansinterligne"/>
      </w:pPr>
      <w:r w:rsidRPr="004420DD">
        <w:t xml:space="preserve">Axe stratégique n°9 : </w:t>
      </w:r>
      <w:r w:rsidR="00971E95">
        <w:t>d</w:t>
      </w:r>
      <w:r w:rsidR="00847E6C">
        <w:t>éfinition d’un paquet</w:t>
      </w:r>
      <w:r w:rsidRPr="004420DD">
        <w:t xml:space="preserve"> de soins adapté aux besoins et aux moyens nationaux </w:t>
      </w:r>
    </w:p>
    <w:p w14:paraId="4D54F96A" w14:textId="77777777" w:rsidR="006F11DB" w:rsidRDefault="006F11DB" w:rsidP="006F11DB">
      <w:pPr>
        <w:pStyle w:val="Sansinterligne"/>
      </w:pPr>
      <w:r w:rsidRPr="004420DD">
        <w:t xml:space="preserve">Axe stratégique n°10 : </w:t>
      </w:r>
      <w:r w:rsidR="00971E95">
        <w:t>i</w:t>
      </w:r>
      <w:r w:rsidR="00423B36">
        <w:t>ntégration</w:t>
      </w:r>
      <w:r w:rsidR="00971E95">
        <w:t xml:space="preserve"> accrue et optimale</w:t>
      </w:r>
      <w:r w:rsidR="00423B36">
        <w:t xml:space="preserve"> d</w:t>
      </w:r>
      <w:r w:rsidRPr="004420DD">
        <w:t>es financements et autres interventions des partenaires dans les circuits nationaux</w:t>
      </w:r>
    </w:p>
    <w:p w14:paraId="4FF1316C" w14:textId="77777777" w:rsidR="006F11DB" w:rsidRDefault="006F11DB" w:rsidP="006F11DB">
      <w:pPr>
        <w:pStyle w:val="Sansinterligne"/>
      </w:pPr>
    </w:p>
    <w:p w14:paraId="7301D4DF" w14:textId="77777777" w:rsidR="006F11DB" w:rsidRDefault="006F11DB" w:rsidP="006F11DB">
      <w:pPr>
        <w:pStyle w:val="Sansinterligne"/>
      </w:pPr>
      <w:r w:rsidRPr="004420DD">
        <w:t>Hypothèse n°1 : plus de santé est obtenu avec l’argent disponible, et plus de ressources publiques nationales sont mises à disposition pour la santé</w:t>
      </w:r>
    </w:p>
    <w:p w14:paraId="28506AA5" w14:textId="77777777" w:rsidR="006F11DB" w:rsidRDefault="006F11DB" w:rsidP="006F11DB">
      <w:pPr>
        <w:pStyle w:val="Sansinterligne"/>
      </w:pPr>
      <w:r w:rsidRPr="004420DD">
        <w:t>Hypothèse n°2 : le dialogue national dans toutes ses dimensions est amélioré, y compris le dialogue politique, social et sociétal, et l’intégration de la problématique du genre</w:t>
      </w:r>
    </w:p>
    <w:p w14:paraId="30180AB1" w14:textId="77777777" w:rsidR="006F11DB" w:rsidRDefault="006F11DB" w:rsidP="006F11DB">
      <w:pPr>
        <w:pStyle w:val="Sansinterligne"/>
      </w:pPr>
      <w:r w:rsidRPr="004420DD">
        <w:t>Hypothèse n°3 : les défis de la CSU étant profondément adaptatifs, tout est mis en œuvre pour un meilleur leadership</w:t>
      </w:r>
      <w:r w:rsidR="00423B36">
        <w:t xml:space="preserve"> de qui ?</w:t>
      </w:r>
    </w:p>
    <w:p w14:paraId="255EFE78" w14:textId="77777777" w:rsidR="006F11DB" w:rsidRDefault="006F11DB" w:rsidP="006F11DB">
      <w:pPr>
        <w:pStyle w:val="Sansinterligne"/>
      </w:pPr>
      <w:r w:rsidRPr="004420DD">
        <w:t>Hypoth</w:t>
      </w:r>
      <w:r w:rsidR="00866A12">
        <w:t xml:space="preserve">èse n°4 : </w:t>
      </w:r>
      <w:r w:rsidR="00810053">
        <w:t>é</w:t>
      </w:r>
      <w:r w:rsidR="00810053" w:rsidRPr="00810053">
        <w:t>vo</w:t>
      </w:r>
      <w:r w:rsidR="00810053">
        <w:t xml:space="preserve">lution favorable de la société </w:t>
      </w:r>
      <w:r w:rsidR="00810053" w:rsidRPr="00810053">
        <w:t>sur le plan démographique et éducatif / culturel</w:t>
      </w:r>
    </w:p>
    <w:p w14:paraId="48551716" w14:textId="77777777" w:rsidR="006F11DB" w:rsidRDefault="006F11DB" w:rsidP="006F11DB"/>
    <w:p w14:paraId="03638A80" w14:textId="77777777" w:rsidR="006F11DB" w:rsidRPr="004420DD" w:rsidRDefault="006F11DB" w:rsidP="006F11DB">
      <w:pPr>
        <w:rPr>
          <w:rFonts w:asciiTheme="majorHAnsi" w:eastAsiaTheme="majorEastAsia" w:hAnsiTheme="majorHAnsi" w:cstheme="majorBidi"/>
          <w:b/>
          <w:bCs/>
          <w:color w:val="365F91" w:themeColor="accent1" w:themeShade="BF"/>
          <w:sz w:val="28"/>
          <w:szCs w:val="28"/>
        </w:rPr>
      </w:pPr>
      <w:r>
        <w:t xml:space="preserve">La mise en œuvre de la stratégie se fera au niveau des différents secteurs concernés, mais le suivi-évaluation </w:t>
      </w:r>
      <w:r w:rsidR="00423B36">
        <w:t xml:space="preserve">se fera </w:t>
      </w:r>
      <w:r>
        <w:t xml:space="preserve"> au niveau intersectoriel</w:t>
      </w:r>
      <w:r w:rsidRPr="004420DD">
        <w:t xml:space="preserve"> </w:t>
      </w:r>
      <w:r>
        <w:t>et le portage au niveau du gouvernement.</w:t>
      </w:r>
    </w:p>
    <w:p w14:paraId="1CC50C5F" w14:textId="77777777" w:rsidR="003F3FAC" w:rsidRDefault="00423B36" w:rsidP="00BF29A2">
      <w:pPr>
        <w:pStyle w:val="Titre1"/>
      </w:pPr>
      <w:bookmarkStart w:id="3" w:name="_Toc21449005"/>
      <w:r>
        <w:t>C</w:t>
      </w:r>
      <w:r w:rsidR="003F3FAC" w:rsidRPr="00BF29A2">
        <w:t>ontexte</w:t>
      </w:r>
      <w:bookmarkEnd w:id="3"/>
    </w:p>
    <w:p w14:paraId="4E785102" w14:textId="77777777" w:rsidR="00122B15" w:rsidRPr="00122B15" w:rsidRDefault="00122B15" w:rsidP="00122B15"/>
    <w:p w14:paraId="78C891EA" w14:textId="77777777" w:rsidR="00122B15" w:rsidRPr="00122B15" w:rsidRDefault="00122B15" w:rsidP="00122B15">
      <w:r w:rsidRPr="00B25963">
        <w:rPr>
          <w:noProof/>
          <w:lang w:eastAsia="fr-FR"/>
        </w:rPr>
        <w:drawing>
          <wp:inline distT="0" distB="0" distL="0" distR="0" wp14:anchorId="219EEC4C" wp14:editId="68DBD0E9">
            <wp:extent cx="5743575" cy="4305300"/>
            <wp:effectExtent l="0" t="0" r="9525" b="0"/>
            <wp:docPr id="301"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575" cy="4305300"/>
                    </a:xfrm>
                    <a:prstGeom prst="rect">
                      <a:avLst/>
                    </a:prstGeom>
                    <a:noFill/>
                    <a:ln>
                      <a:noFill/>
                    </a:ln>
                  </pic:spPr>
                </pic:pic>
              </a:graphicData>
            </a:graphic>
          </wp:inline>
        </w:drawing>
      </w:r>
    </w:p>
    <w:p w14:paraId="4192B631" w14:textId="77777777" w:rsidR="00F02A89" w:rsidRPr="002A495B" w:rsidRDefault="00300AA5" w:rsidP="00C90DAE">
      <w:pPr>
        <w:rPr>
          <w:rFonts w:cstheme="minorHAnsi"/>
          <w:i/>
          <w:sz w:val="24"/>
          <w:szCs w:val="24"/>
          <w:u w:val="single"/>
        </w:rPr>
      </w:pPr>
      <w:r w:rsidRPr="002A495B">
        <w:rPr>
          <w:rFonts w:cstheme="minorHAnsi"/>
          <w:i/>
          <w:sz w:val="24"/>
          <w:szCs w:val="24"/>
          <w:u w:val="single"/>
        </w:rPr>
        <w:t xml:space="preserve">Carte </w:t>
      </w:r>
      <w:r w:rsidR="002A495B">
        <w:rPr>
          <w:rFonts w:cstheme="minorHAnsi"/>
          <w:i/>
          <w:sz w:val="24"/>
          <w:szCs w:val="24"/>
          <w:u w:val="single"/>
        </w:rPr>
        <w:t xml:space="preserve">administrative </w:t>
      </w:r>
      <w:r w:rsidRPr="002A495B">
        <w:rPr>
          <w:rFonts w:cstheme="minorHAnsi"/>
          <w:i/>
          <w:sz w:val="24"/>
          <w:szCs w:val="24"/>
          <w:u w:val="single"/>
        </w:rPr>
        <w:t>du Niger</w:t>
      </w:r>
    </w:p>
    <w:p w14:paraId="34645D21" w14:textId="77777777" w:rsidR="00C90DAE" w:rsidRPr="00C90DAE" w:rsidRDefault="00C90DAE" w:rsidP="00C90DAE">
      <w:pPr>
        <w:rPr>
          <w:rFonts w:cstheme="minorHAnsi"/>
          <w:sz w:val="24"/>
          <w:szCs w:val="24"/>
        </w:rPr>
      </w:pPr>
      <w:r w:rsidRPr="00C90DAE">
        <w:rPr>
          <w:rFonts w:cstheme="minorHAnsi"/>
          <w:sz w:val="24"/>
          <w:szCs w:val="24"/>
        </w:rPr>
        <w:t xml:space="preserve">Le Niger est un pays enclavé, situé en Afrique de </w:t>
      </w:r>
      <w:r w:rsidR="002A2CA3">
        <w:rPr>
          <w:rFonts w:cstheme="minorHAnsi"/>
          <w:sz w:val="24"/>
          <w:szCs w:val="24"/>
        </w:rPr>
        <w:t xml:space="preserve">l’Ouest avec une superficie de 1 266 491 </w:t>
      </w:r>
      <w:r w:rsidRPr="00C90DAE">
        <w:rPr>
          <w:rFonts w:cstheme="minorHAnsi"/>
          <w:sz w:val="24"/>
          <w:szCs w:val="24"/>
        </w:rPr>
        <w:t xml:space="preserve">km². Ses caractéristiques physiques sont marquées par des </w:t>
      </w:r>
      <w:r w:rsidR="00866A12">
        <w:rPr>
          <w:rFonts w:cstheme="minorHAnsi"/>
          <w:sz w:val="24"/>
          <w:szCs w:val="24"/>
        </w:rPr>
        <w:t>terrains</w:t>
      </w:r>
      <w:r w:rsidRPr="00C90DAE">
        <w:rPr>
          <w:rFonts w:cstheme="minorHAnsi"/>
          <w:sz w:val="24"/>
          <w:szCs w:val="24"/>
        </w:rPr>
        <w:t xml:space="preserve"> écologiques fragiles et en constante dégradation. Les trois quarts du pays sont désertiques et le quart restant est constitué d’une zone sahélienne et soudanienne dans la partie Sud. L’essentiel des activités agro-pastorales est concentré dans ce quart du territoire national où les précipitations sont aléatoires, irrégulières, déficitaires dans le temps et dans l’espace, et en baisse régulière sur les 30 dernières années. Cette situation a entrainé une aggravation du processus de désertification et une instabilité de la production agro-pastorale. Ce processus de fragilisation du système écologique est renforcé par l’impact du changement climatique, devenu une préoccupation de premier ordre pour le pays. </w:t>
      </w:r>
    </w:p>
    <w:p w14:paraId="095580FA" w14:textId="77777777" w:rsidR="00C90DAE" w:rsidRPr="00C90DAE" w:rsidRDefault="00C90DAE" w:rsidP="00C90DAE">
      <w:pPr>
        <w:rPr>
          <w:rFonts w:cstheme="minorHAnsi"/>
          <w:sz w:val="24"/>
          <w:szCs w:val="24"/>
        </w:rPr>
      </w:pPr>
      <w:r w:rsidRPr="00C90DAE">
        <w:rPr>
          <w:rFonts w:cstheme="minorHAnsi"/>
          <w:sz w:val="24"/>
          <w:szCs w:val="24"/>
        </w:rPr>
        <w:t>Les résultats définitifs du dernier Recensement  Général de la Population et de l’</w:t>
      </w:r>
      <w:r w:rsidR="002A2CA3">
        <w:rPr>
          <w:rFonts w:cstheme="minorHAnsi"/>
          <w:sz w:val="24"/>
          <w:szCs w:val="24"/>
        </w:rPr>
        <w:t>H</w:t>
      </w:r>
      <w:r w:rsidRPr="00C90DAE">
        <w:rPr>
          <w:rFonts w:cstheme="minorHAnsi"/>
          <w:sz w:val="24"/>
          <w:szCs w:val="24"/>
        </w:rPr>
        <w:t>abitat (RGPH/</w:t>
      </w:r>
      <w:r w:rsidR="00AC7079" w:rsidRPr="00C90DAE">
        <w:rPr>
          <w:rFonts w:cstheme="minorHAnsi"/>
          <w:sz w:val="24"/>
          <w:szCs w:val="24"/>
        </w:rPr>
        <w:t>201</w:t>
      </w:r>
      <w:r w:rsidR="00AC7079">
        <w:rPr>
          <w:rFonts w:cstheme="minorHAnsi"/>
          <w:sz w:val="24"/>
          <w:szCs w:val="24"/>
        </w:rPr>
        <w:t>2</w:t>
      </w:r>
      <w:r w:rsidRPr="00C90DAE">
        <w:rPr>
          <w:rFonts w:cstheme="minorHAnsi"/>
          <w:sz w:val="24"/>
          <w:szCs w:val="24"/>
        </w:rPr>
        <w:t xml:space="preserve">) ont estimé la population du Niger à </w:t>
      </w:r>
      <w:r w:rsidR="00C43FB7">
        <w:rPr>
          <w:rFonts w:cstheme="minorHAnsi"/>
          <w:sz w:val="24"/>
          <w:szCs w:val="24"/>
        </w:rPr>
        <w:t>22.300.000</w:t>
      </w:r>
      <w:r w:rsidRPr="00C90DAE">
        <w:rPr>
          <w:rFonts w:cstheme="minorHAnsi"/>
          <w:sz w:val="24"/>
          <w:szCs w:val="24"/>
        </w:rPr>
        <w:t xml:space="preserve"> habitants en 201</w:t>
      </w:r>
      <w:r w:rsidR="00C43FB7">
        <w:rPr>
          <w:rFonts w:cstheme="minorHAnsi"/>
          <w:sz w:val="24"/>
          <w:szCs w:val="24"/>
        </w:rPr>
        <w:t>9</w:t>
      </w:r>
      <w:r w:rsidRPr="00C90DAE">
        <w:rPr>
          <w:rFonts w:cstheme="minorHAnsi"/>
          <w:sz w:val="24"/>
          <w:szCs w:val="24"/>
        </w:rPr>
        <w:t xml:space="preserve"> avec un taux d’accroissement moyen annuel de l’ordre de 3,9%. L’indice Synthétique de Fécondité reste très élevé, de l’ordre de 7,6 enfants par femme en âge de procréer (15-49 ans) (EDS-MICS IV2012) contre 7,1 (EDS-MICS III 2006). Ce nombre le plus élevé au monde constitue une préoccupation majeure pour la santé de la population. En effet, la  croissance de la population entraîne une forte demande en infrastructures sanitaires et a également une influence sur l’offre de soins. </w:t>
      </w:r>
    </w:p>
    <w:p w14:paraId="30419CF6" w14:textId="77777777" w:rsidR="00C90DAE" w:rsidRPr="00C90DAE" w:rsidRDefault="00C90DAE" w:rsidP="00C90DAE">
      <w:pPr>
        <w:rPr>
          <w:rFonts w:cstheme="minorHAnsi"/>
          <w:sz w:val="24"/>
          <w:szCs w:val="24"/>
        </w:rPr>
      </w:pPr>
      <w:r w:rsidRPr="00C90DAE">
        <w:rPr>
          <w:rFonts w:cstheme="minorHAnsi"/>
          <w:sz w:val="24"/>
          <w:szCs w:val="24"/>
        </w:rPr>
        <w:t xml:space="preserve">Le Niger a enregistré ces dernières années des progrès importants sur certains indicateurs socio-économiques malgré quelques disparités au niveau régional.  </w:t>
      </w:r>
    </w:p>
    <w:p w14:paraId="602F4E4D" w14:textId="77777777" w:rsidR="00122B15" w:rsidRPr="00122B15" w:rsidRDefault="00122B15" w:rsidP="00122B15">
      <w:pPr>
        <w:jc w:val="both"/>
        <w:rPr>
          <w:rFonts w:cstheme="minorHAnsi"/>
          <w:sz w:val="24"/>
          <w:szCs w:val="24"/>
        </w:rPr>
      </w:pPr>
      <w:r w:rsidRPr="00C90DAE">
        <w:rPr>
          <w:rFonts w:cstheme="minorHAnsi"/>
          <w:sz w:val="24"/>
          <w:szCs w:val="24"/>
        </w:rPr>
        <w:t>Le taux d</w:t>
      </w:r>
      <w:r w:rsidR="00866A12">
        <w:rPr>
          <w:rFonts w:cstheme="minorHAnsi"/>
          <w:sz w:val="24"/>
          <w:szCs w:val="24"/>
        </w:rPr>
        <w:t>e croissance réel de l’économie est passé de 5,0% en 2016</w:t>
      </w:r>
      <w:r w:rsidRPr="00C90DAE">
        <w:rPr>
          <w:rFonts w:cstheme="minorHAnsi"/>
          <w:sz w:val="24"/>
          <w:szCs w:val="24"/>
        </w:rPr>
        <w:t xml:space="preserve"> à 4,9% en 2017 malgré l’instabilité du secteur primaire marquée par des variations climatiques fréquentes. Cette évolution de l’activité économique est essentiellement imputable à la prépondérance du secteur primaire (43,4% du PIB en 2017) tirée par la production agricole (accroissement de 25,7% en 2017</w:t>
      </w:r>
      <w:r w:rsidRPr="00122B15">
        <w:rPr>
          <w:rFonts w:cstheme="minorHAnsi"/>
          <w:sz w:val="24"/>
          <w:szCs w:val="24"/>
        </w:rPr>
        <w:t>). Dans le domaine de  l’élevage pour lequel le Niger a un avantage comparatif indéniable dans la sous-région ouest-africaine, il contribue à plus de 11% dans la constitution du PIB nationale et à plus de 25 %</w:t>
      </w:r>
      <w:r w:rsidRPr="00866A12">
        <w:rPr>
          <w:rFonts w:cstheme="minorHAnsi"/>
          <w:sz w:val="16"/>
          <w:szCs w:val="24"/>
        </w:rPr>
        <w:footnoteReference w:id="1"/>
      </w:r>
      <w:r w:rsidRPr="00122B15">
        <w:rPr>
          <w:rFonts w:cstheme="minorHAnsi"/>
          <w:sz w:val="24"/>
          <w:szCs w:val="24"/>
        </w:rPr>
        <w:t xml:space="preserve"> du budget des ménages. Cette forte contribution fait de ce sous-secteur  une arme efficace dans l’inlassable lutte contre la pauvreté et l’insécurité alimentaire, en raison non seulement de son apport en produits animaux de haute valeur nutritive mais aussi et surtout par la création d’emplois et de revenus substantiels en milieu rural. (SDDE 2013-2035)</w:t>
      </w:r>
    </w:p>
    <w:p w14:paraId="11DBBE03" w14:textId="77777777" w:rsidR="00122B15" w:rsidRPr="00122B15" w:rsidRDefault="00122B15" w:rsidP="00122B15">
      <w:pPr>
        <w:jc w:val="both"/>
        <w:rPr>
          <w:rFonts w:cstheme="minorHAnsi"/>
          <w:sz w:val="24"/>
          <w:szCs w:val="24"/>
        </w:rPr>
      </w:pPr>
      <w:r w:rsidRPr="00122B15">
        <w:rPr>
          <w:rFonts w:cstheme="minorHAnsi"/>
          <w:sz w:val="24"/>
          <w:szCs w:val="24"/>
        </w:rPr>
        <w:t xml:space="preserve">En terme nominal, le Produit Intérieur Brut (PIB) enregistre une progression de 4,8%, passant de 4510,9 milliards de FCFA en 2016 à 4726,4 milliards de FCFA en 2017. </w:t>
      </w:r>
    </w:p>
    <w:p w14:paraId="36152AFE" w14:textId="77777777" w:rsidR="00122B15" w:rsidRPr="00C90DAE" w:rsidRDefault="00122B15" w:rsidP="00122B15">
      <w:pPr>
        <w:jc w:val="both"/>
        <w:rPr>
          <w:rFonts w:cstheme="minorHAnsi"/>
          <w:sz w:val="24"/>
          <w:szCs w:val="24"/>
        </w:rPr>
      </w:pPr>
      <w:r w:rsidRPr="00C90DAE">
        <w:rPr>
          <w:rFonts w:cstheme="minorHAnsi"/>
          <w:sz w:val="24"/>
          <w:szCs w:val="24"/>
        </w:rPr>
        <w:t xml:space="preserve">Cette évolution du PIB nominal en 2017 s’est traduite par une légère augmentation du PIB par tête. Rapporté par habitant, le PIB nominal enregistre une hausse de 0,8% en 2017, passant de 234 317 FCFA en 2016 à 236 300 FCFA en 2017, après celle de 1,2% en 2016. (Comptes Rapides 2017, INS). </w:t>
      </w:r>
    </w:p>
    <w:p w14:paraId="651F2B10" w14:textId="77777777" w:rsidR="00122B15" w:rsidRPr="00C90DAE" w:rsidRDefault="00122B15" w:rsidP="00122B15">
      <w:pPr>
        <w:jc w:val="both"/>
        <w:rPr>
          <w:rFonts w:cstheme="minorHAnsi"/>
          <w:sz w:val="24"/>
          <w:szCs w:val="24"/>
        </w:rPr>
      </w:pPr>
      <w:r w:rsidRPr="00C90DAE">
        <w:rPr>
          <w:rFonts w:cstheme="minorHAnsi"/>
          <w:sz w:val="24"/>
          <w:szCs w:val="24"/>
        </w:rPr>
        <w:t xml:space="preserve">La plupart des indicateurs sociaux du pays en 2017 ont augmentés  :(i) plus de la moitié (50,13%) de la population a accès aux centres de santé dans un rayon de 0-5 km, (ii) 28,4% de la population sont alphabétisés en 2014, (iii) le taux brut de scolarisation  est de 77,7% en 2017 (selon le tableau de bord social de l’INS 2017), (iv) la couverture globale en eau potable est de 57,5% en 2015 (selon le tableau de bord social de l’INS de 2017),  </w:t>
      </w:r>
    </w:p>
    <w:p w14:paraId="77C3E804" w14:textId="77777777" w:rsidR="00122B15" w:rsidRPr="00C90DAE" w:rsidRDefault="002A2CA3" w:rsidP="00122B15">
      <w:pPr>
        <w:rPr>
          <w:rFonts w:cstheme="minorHAnsi"/>
          <w:sz w:val="24"/>
          <w:szCs w:val="24"/>
        </w:rPr>
      </w:pPr>
      <w:r>
        <w:rPr>
          <w:rFonts w:cstheme="minorHAnsi"/>
          <w:sz w:val="24"/>
          <w:szCs w:val="24"/>
        </w:rPr>
        <w:t>L</w:t>
      </w:r>
      <w:r w:rsidRPr="00C90DAE">
        <w:rPr>
          <w:rFonts w:cstheme="minorHAnsi"/>
          <w:sz w:val="24"/>
          <w:szCs w:val="24"/>
        </w:rPr>
        <w:t xml:space="preserve">’indice de développement humain </w:t>
      </w:r>
      <w:r>
        <w:rPr>
          <w:rFonts w:cstheme="minorHAnsi"/>
          <w:sz w:val="24"/>
          <w:szCs w:val="24"/>
        </w:rPr>
        <w:t xml:space="preserve">du </w:t>
      </w:r>
      <w:r w:rsidRPr="00C90DAE">
        <w:rPr>
          <w:rFonts w:cstheme="minorHAnsi"/>
          <w:sz w:val="24"/>
          <w:szCs w:val="24"/>
        </w:rPr>
        <w:t xml:space="preserve">Niger </w:t>
      </w:r>
      <w:r>
        <w:rPr>
          <w:rFonts w:cstheme="minorHAnsi"/>
          <w:sz w:val="24"/>
          <w:szCs w:val="24"/>
        </w:rPr>
        <w:t>demeure</w:t>
      </w:r>
      <w:r w:rsidRPr="00C90DAE">
        <w:rPr>
          <w:rFonts w:cstheme="minorHAnsi"/>
          <w:sz w:val="24"/>
          <w:szCs w:val="24"/>
        </w:rPr>
        <w:t xml:space="preserve"> encore </w:t>
      </w:r>
      <w:r>
        <w:rPr>
          <w:rFonts w:cstheme="minorHAnsi"/>
          <w:sz w:val="24"/>
          <w:szCs w:val="24"/>
        </w:rPr>
        <w:t>bas</w:t>
      </w:r>
      <w:r w:rsidRPr="00C90DAE">
        <w:rPr>
          <w:rFonts w:cstheme="minorHAnsi"/>
          <w:sz w:val="24"/>
          <w:szCs w:val="24"/>
        </w:rPr>
        <w:t xml:space="preserve"> dans le classement </w:t>
      </w:r>
      <w:r w:rsidRPr="00122B15">
        <w:rPr>
          <w:rFonts w:cstheme="minorHAnsi"/>
          <w:sz w:val="24"/>
          <w:szCs w:val="24"/>
        </w:rPr>
        <w:t xml:space="preserve">avec 0,354 </w:t>
      </w:r>
      <w:r w:rsidR="00122B15" w:rsidRPr="00122B15">
        <w:rPr>
          <w:rFonts w:cstheme="minorHAnsi"/>
          <w:sz w:val="24"/>
          <w:szCs w:val="24"/>
        </w:rPr>
        <w:t xml:space="preserve">(l’unité) </w:t>
      </w:r>
      <w:r w:rsidR="00122B15" w:rsidRPr="00C90DAE">
        <w:rPr>
          <w:rFonts w:cstheme="minorHAnsi"/>
          <w:sz w:val="24"/>
          <w:szCs w:val="24"/>
        </w:rPr>
        <w:t xml:space="preserve">en 2017 (INS, TBS Décembre 2018). Environ 45,1 % de la population nigérienne vivent en dessous du seuil de pauvreté (moins d’un dollar US par jour) selon les données de l’enquête ECVMA-2014 de l’INS. L’accroissement rapide de la population exerce de fortes pressions sur les infrastructures socioéconomiques de base et limite l’effet des gains de croissance économique encore irréguliers et tributaires des aléas climatiques.  </w:t>
      </w:r>
    </w:p>
    <w:p w14:paraId="31A8CE2D" w14:textId="77777777" w:rsidR="00C90DAE" w:rsidRPr="00C90DAE" w:rsidRDefault="00C90DAE" w:rsidP="00C90DAE">
      <w:pPr>
        <w:rPr>
          <w:rFonts w:cstheme="minorHAnsi"/>
          <w:sz w:val="24"/>
          <w:szCs w:val="24"/>
        </w:rPr>
      </w:pPr>
      <w:r w:rsidRPr="00C90DAE">
        <w:rPr>
          <w:rFonts w:cstheme="minorHAnsi"/>
          <w:sz w:val="24"/>
          <w:szCs w:val="24"/>
        </w:rPr>
        <w:t xml:space="preserve"> </w:t>
      </w:r>
    </w:p>
    <w:p w14:paraId="33FA5D67" w14:textId="77777777" w:rsidR="00093848" w:rsidRDefault="00093848" w:rsidP="00BF29A2">
      <w:pPr>
        <w:pStyle w:val="Titre1"/>
      </w:pPr>
      <w:bookmarkStart w:id="4" w:name="_Toc21449006"/>
      <w:r>
        <w:t>Justification</w:t>
      </w:r>
      <w:bookmarkEnd w:id="4"/>
      <w:r>
        <w:t xml:space="preserve"> </w:t>
      </w:r>
    </w:p>
    <w:p w14:paraId="26DE1615" w14:textId="77777777" w:rsidR="001E2F83" w:rsidRDefault="001E2F83"/>
    <w:p w14:paraId="3101D90E" w14:textId="77777777" w:rsidR="003F3AF5" w:rsidRDefault="003F3AF5" w:rsidP="00F02A89">
      <w:pPr>
        <w:jc w:val="both"/>
        <w:rPr>
          <w:rFonts w:cstheme="minorHAnsi"/>
          <w:sz w:val="24"/>
          <w:szCs w:val="24"/>
        </w:rPr>
      </w:pPr>
      <w:r>
        <w:rPr>
          <w:rFonts w:cstheme="minorHAnsi"/>
          <w:sz w:val="24"/>
          <w:szCs w:val="24"/>
        </w:rPr>
        <w:t xml:space="preserve">La CSU </w:t>
      </w:r>
      <w:r w:rsidRPr="004137CB">
        <w:rPr>
          <w:rFonts w:cstheme="minorHAnsi"/>
          <w:sz w:val="24"/>
          <w:szCs w:val="24"/>
        </w:rPr>
        <w:t>signifie</w:t>
      </w:r>
      <w:r>
        <w:rPr>
          <w:rFonts w:cstheme="minorHAnsi"/>
          <w:sz w:val="24"/>
          <w:szCs w:val="24"/>
        </w:rPr>
        <w:t xml:space="preserve"> </w:t>
      </w:r>
      <w:r w:rsidRPr="004137CB">
        <w:rPr>
          <w:rFonts w:cstheme="minorHAnsi"/>
          <w:sz w:val="24"/>
          <w:szCs w:val="24"/>
        </w:rPr>
        <w:t>que toutes les personnes et les communautés peuvent utiliser les services de santé promotionnels, préventifs, curatifs, de réadaptation et de soins palliatifs dont elles ont besoin, de qualité suffisante pour être efficaces, tout en veillant à ce que l'utilisation de ces services n'exposent pas les particuliers et les familles à des difficultés financières</w:t>
      </w:r>
      <w:r>
        <w:rPr>
          <w:rFonts w:cstheme="minorHAnsi"/>
          <w:sz w:val="24"/>
          <w:szCs w:val="24"/>
        </w:rPr>
        <w:t xml:space="preserve">. </w:t>
      </w:r>
    </w:p>
    <w:p w14:paraId="2EF0B51F" w14:textId="77777777" w:rsidR="00F02A89" w:rsidRDefault="008566D6" w:rsidP="00F02A89">
      <w:pPr>
        <w:jc w:val="both"/>
        <w:rPr>
          <w:rFonts w:cstheme="minorHAnsi"/>
          <w:sz w:val="24"/>
          <w:szCs w:val="24"/>
        </w:rPr>
      </w:pPr>
      <w:r>
        <w:rPr>
          <w:rFonts w:cstheme="minorHAnsi"/>
          <w:sz w:val="24"/>
          <w:szCs w:val="24"/>
        </w:rPr>
        <w:t xml:space="preserve">La CSU a fait l’objet d’une résolution des </w:t>
      </w:r>
      <w:r w:rsidR="003F3AF5">
        <w:rPr>
          <w:rFonts w:cstheme="minorHAnsi"/>
          <w:sz w:val="24"/>
          <w:szCs w:val="24"/>
        </w:rPr>
        <w:t>Nations U</w:t>
      </w:r>
      <w:r>
        <w:rPr>
          <w:rFonts w:cstheme="minorHAnsi"/>
          <w:sz w:val="24"/>
          <w:szCs w:val="24"/>
        </w:rPr>
        <w:t>nies en 2012 (67</w:t>
      </w:r>
      <w:r w:rsidRPr="00C47C22">
        <w:rPr>
          <w:rFonts w:cstheme="minorHAnsi"/>
          <w:sz w:val="24"/>
          <w:szCs w:val="24"/>
          <w:vertAlign w:val="superscript"/>
        </w:rPr>
        <w:t>ème</w:t>
      </w:r>
      <w:r>
        <w:rPr>
          <w:rFonts w:cstheme="minorHAnsi"/>
          <w:sz w:val="24"/>
          <w:szCs w:val="24"/>
        </w:rPr>
        <w:t xml:space="preserve"> assemblée générale) et de plusieurs déclarations dont la dernière plus récemment en septembre 2019</w:t>
      </w:r>
      <w:r w:rsidR="003F3AF5">
        <w:rPr>
          <w:rFonts w:cstheme="minorHAnsi"/>
          <w:sz w:val="24"/>
          <w:szCs w:val="24"/>
        </w:rPr>
        <w:t xml:space="preserve"> (74</w:t>
      </w:r>
      <w:r w:rsidR="003F3AF5" w:rsidRPr="003F3AF5">
        <w:rPr>
          <w:rFonts w:cstheme="minorHAnsi"/>
          <w:sz w:val="24"/>
          <w:szCs w:val="24"/>
          <w:vertAlign w:val="superscript"/>
        </w:rPr>
        <w:t>ème</w:t>
      </w:r>
      <w:r w:rsidR="003F3AF5">
        <w:rPr>
          <w:rFonts w:cstheme="minorHAnsi"/>
          <w:sz w:val="24"/>
          <w:szCs w:val="24"/>
        </w:rPr>
        <w:t xml:space="preserve"> session)</w:t>
      </w:r>
      <w:r>
        <w:rPr>
          <w:rFonts w:cstheme="minorHAnsi"/>
          <w:sz w:val="24"/>
          <w:szCs w:val="24"/>
        </w:rPr>
        <w:t xml:space="preserve">. Cette dernière déclaration </w:t>
      </w:r>
      <w:r w:rsidR="00F02A89">
        <w:rPr>
          <w:rFonts w:cstheme="minorHAnsi"/>
          <w:sz w:val="24"/>
          <w:szCs w:val="24"/>
        </w:rPr>
        <w:t>reconnaît que</w:t>
      </w:r>
      <w:r w:rsidR="00F02A89" w:rsidRPr="004137CB">
        <w:rPr>
          <w:rFonts w:cstheme="minorHAnsi"/>
          <w:sz w:val="24"/>
          <w:szCs w:val="24"/>
        </w:rPr>
        <w:t xml:space="preserve"> la couverture sanitaire universelle exige un changement de paradigme et que la CSU est le terme englobant la réalisation d'une vie saine et du bien-être pour tous à tous les âges</w:t>
      </w:r>
      <w:r w:rsidR="00F02A89">
        <w:rPr>
          <w:rFonts w:cstheme="minorHAnsi"/>
          <w:sz w:val="24"/>
          <w:szCs w:val="24"/>
        </w:rPr>
        <w:t>.</w:t>
      </w:r>
      <w:r w:rsidR="00F02A89" w:rsidRPr="004137CB">
        <w:rPr>
          <w:rFonts w:cstheme="minorHAnsi"/>
          <w:sz w:val="24"/>
          <w:szCs w:val="24"/>
        </w:rPr>
        <w:t xml:space="preserve"> </w:t>
      </w:r>
      <w:r w:rsidR="003F3AF5">
        <w:rPr>
          <w:rFonts w:cstheme="minorHAnsi"/>
          <w:sz w:val="24"/>
          <w:szCs w:val="24"/>
        </w:rPr>
        <w:t>S</w:t>
      </w:r>
      <w:r w:rsidR="003F3AF5">
        <w:t>elon</w:t>
      </w:r>
      <w:r w:rsidR="003F3AF5" w:rsidRPr="004420DD">
        <w:t xml:space="preserve"> </w:t>
      </w:r>
      <w:r w:rsidR="003F3AF5" w:rsidRPr="003F3AF5">
        <w:rPr>
          <w:rFonts w:cstheme="minorHAnsi"/>
          <w:sz w:val="24"/>
          <w:szCs w:val="24"/>
        </w:rPr>
        <w:t>le Secrétaire Général de l’ONU cette déclaration politique est « non seulement l’accord le plus global jamais passé sur la santé universelle », mais aussi « une vision pour la couverture sanitaire universelle d’ici à 2030 ».</w:t>
      </w:r>
      <w:r w:rsidR="003F3AF5">
        <w:rPr>
          <w:rFonts w:ascii="Arial" w:eastAsia="Times New Roman" w:hAnsi="Arial" w:cs="Arial"/>
          <w:color w:val="333333"/>
          <w:sz w:val="24"/>
          <w:szCs w:val="24"/>
        </w:rPr>
        <w:t xml:space="preserve"> </w:t>
      </w:r>
    </w:p>
    <w:p w14:paraId="6361213A" w14:textId="77777777" w:rsidR="00F02A89" w:rsidRDefault="00F02A89" w:rsidP="00F02A89">
      <w:pPr>
        <w:jc w:val="both"/>
        <w:rPr>
          <w:rFonts w:cstheme="minorHAnsi"/>
          <w:sz w:val="24"/>
          <w:szCs w:val="24"/>
        </w:rPr>
      </w:pPr>
      <w:r w:rsidRPr="004137CB">
        <w:rPr>
          <w:rFonts w:cstheme="minorHAnsi"/>
          <w:sz w:val="24"/>
          <w:szCs w:val="24"/>
        </w:rPr>
        <w:t xml:space="preserve">Dans le Programme de Renaissance Acte II, le Président de la République </w:t>
      </w:r>
      <w:r w:rsidR="002A2CA3">
        <w:rPr>
          <w:rFonts w:cstheme="minorHAnsi"/>
          <w:sz w:val="24"/>
          <w:szCs w:val="24"/>
        </w:rPr>
        <w:t xml:space="preserve">du Niger </w:t>
      </w:r>
      <w:r w:rsidRPr="004137CB">
        <w:rPr>
          <w:rFonts w:cstheme="minorHAnsi"/>
          <w:sz w:val="24"/>
          <w:szCs w:val="24"/>
        </w:rPr>
        <w:t>a pris l’engagement de relever les défis d’améliorer l’état de santé de la population de manière significative. A terme, l’objectif poursuivi est de garantir la bonne santé, de promouvoir le bien-être de tous à tous les âges, d’éradiquer les principales maladies (ODD3).</w:t>
      </w:r>
    </w:p>
    <w:p w14:paraId="2044AC67" w14:textId="77777777" w:rsidR="00F02A89" w:rsidRDefault="00F02A89" w:rsidP="00F02A89">
      <w:pPr>
        <w:spacing w:line="240" w:lineRule="auto"/>
        <w:jc w:val="both"/>
        <w:rPr>
          <w:rFonts w:cstheme="minorHAnsi"/>
          <w:sz w:val="24"/>
          <w:szCs w:val="24"/>
        </w:rPr>
      </w:pPr>
      <w:r w:rsidRPr="00BF29A2">
        <w:rPr>
          <w:rFonts w:cstheme="minorHAnsi"/>
          <w:sz w:val="24"/>
          <w:szCs w:val="24"/>
        </w:rPr>
        <w:t xml:space="preserve">Sur le plan du pilotage, le gouvernement a mis en place le Groupe technique National (GTN) </w:t>
      </w:r>
      <w:r>
        <w:rPr>
          <w:rFonts w:cstheme="minorHAnsi"/>
          <w:sz w:val="24"/>
          <w:szCs w:val="24"/>
        </w:rPr>
        <w:t>dès</w:t>
      </w:r>
      <w:r w:rsidRPr="00BF29A2">
        <w:rPr>
          <w:rFonts w:cstheme="minorHAnsi"/>
          <w:sz w:val="24"/>
          <w:szCs w:val="24"/>
        </w:rPr>
        <w:t xml:space="preserve"> 2014 avec pour mission de conduire le processus de mise en œuvre de la CSU. Pour résoudre le problème lié à la faible fonctionnalité de ce dernier, le gouvernement a mis en place le Groupe Restreint de Travail (GTR). En plus de ces organes, le pays dispose d’un cadre stratégique devant contribuer à faire avancer l’agenda de la CSU (Plan Développement économique et Social, Politique Nationale de Protection Sociale, Politique Nationale de la Santé, Plan de Développement Sanitaire, loi s</w:t>
      </w:r>
      <w:r w:rsidR="00866A12">
        <w:rPr>
          <w:rFonts w:cstheme="minorHAnsi"/>
          <w:sz w:val="24"/>
          <w:szCs w:val="24"/>
        </w:rPr>
        <w:t xml:space="preserve">ur la Protection Sociale, etc.). </w:t>
      </w:r>
    </w:p>
    <w:p w14:paraId="0596A857" w14:textId="77777777" w:rsidR="00093848" w:rsidRPr="00F02A89" w:rsidRDefault="00F02A89">
      <w:pPr>
        <w:rPr>
          <w:rFonts w:cstheme="minorHAnsi"/>
          <w:sz w:val="24"/>
          <w:szCs w:val="24"/>
        </w:rPr>
      </w:pPr>
      <w:r>
        <w:rPr>
          <w:rFonts w:cstheme="minorHAnsi"/>
          <w:sz w:val="24"/>
          <w:szCs w:val="24"/>
        </w:rPr>
        <w:t xml:space="preserve">Une part importante de la CSU est </w:t>
      </w:r>
      <w:r w:rsidR="00E30B5F">
        <w:rPr>
          <w:rFonts w:cstheme="minorHAnsi"/>
          <w:sz w:val="24"/>
          <w:szCs w:val="24"/>
        </w:rPr>
        <w:t>liée</w:t>
      </w:r>
      <w:r>
        <w:rPr>
          <w:rFonts w:cstheme="minorHAnsi"/>
          <w:sz w:val="24"/>
          <w:szCs w:val="24"/>
        </w:rPr>
        <w:t xml:space="preserve"> au financement de la santé, dont les objectifs de performance relève</w:t>
      </w:r>
      <w:r w:rsidR="008566D6">
        <w:rPr>
          <w:rFonts w:cstheme="minorHAnsi"/>
          <w:sz w:val="24"/>
          <w:szCs w:val="24"/>
        </w:rPr>
        <w:t>nt</w:t>
      </w:r>
      <w:r>
        <w:rPr>
          <w:rFonts w:cstheme="minorHAnsi"/>
          <w:sz w:val="24"/>
          <w:szCs w:val="24"/>
        </w:rPr>
        <w:t xml:space="preserve"> de l’ODD 3.8.2. Or la Stratégie Nationale de Financement de la Santé au Niger date de 2012 et le constat a été fait qu’elle méritait d’être mise à jour. Afin de s’aligner sur les préoccupations plus larges qu’appréhende la CSU, le Ministère de la Santé a décidé d’actualiser les orientations stratégiques du financement de la santé au sein d’un plan stratégique </w:t>
      </w:r>
      <w:r w:rsidR="00E30B5F">
        <w:rPr>
          <w:rFonts w:cstheme="minorHAnsi"/>
          <w:sz w:val="24"/>
          <w:szCs w:val="24"/>
        </w:rPr>
        <w:t xml:space="preserve">de la </w:t>
      </w:r>
      <w:r>
        <w:rPr>
          <w:rFonts w:cstheme="minorHAnsi"/>
          <w:sz w:val="24"/>
          <w:szCs w:val="24"/>
        </w:rPr>
        <w:t>CSU, qui aborde donc également les aspects de performance de l’offre de soins (ODD 3.8.1), y compris en ce qui concerne les déterminants de la santé.</w:t>
      </w:r>
      <w:r>
        <w:br w:type="page"/>
      </w:r>
    </w:p>
    <w:p w14:paraId="7FC4B891" w14:textId="77777777" w:rsidR="003F3FAC" w:rsidRPr="00BF29A2" w:rsidRDefault="003F3FAC" w:rsidP="00BF29A2">
      <w:pPr>
        <w:pStyle w:val="Titre1"/>
      </w:pPr>
      <w:bookmarkStart w:id="5" w:name="_Toc21449007"/>
      <w:r w:rsidRPr="00BF29A2">
        <w:t xml:space="preserve">Le diagnostic </w:t>
      </w:r>
      <w:r w:rsidR="00F8057D" w:rsidRPr="00BF29A2">
        <w:t>de la CSU</w:t>
      </w:r>
      <w:bookmarkEnd w:id="5"/>
      <w:r w:rsidR="00F8057D" w:rsidRPr="00BF29A2">
        <w:t xml:space="preserve"> </w:t>
      </w:r>
    </w:p>
    <w:p w14:paraId="38E97DE6" w14:textId="77777777" w:rsidR="00D97799" w:rsidRDefault="00D97799" w:rsidP="00D97799">
      <w:pPr>
        <w:pStyle w:val="Titre2"/>
      </w:pPr>
      <w:bookmarkStart w:id="6" w:name="_Toc21449008"/>
      <w:r>
        <w:t>Etat de santé de la population</w:t>
      </w:r>
      <w:bookmarkEnd w:id="6"/>
    </w:p>
    <w:p w14:paraId="708FB7B2" w14:textId="77777777" w:rsidR="00D97799" w:rsidRDefault="00D97799" w:rsidP="00D97799"/>
    <w:p w14:paraId="54870B05" w14:textId="77777777" w:rsidR="00D97799" w:rsidRDefault="00D97799" w:rsidP="00D97799">
      <w:pPr>
        <w:rPr>
          <w:i/>
        </w:rPr>
      </w:pPr>
      <w:r w:rsidRPr="00D97799">
        <w:rPr>
          <w:i/>
        </w:rPr>
        <w:t>Les données de base de la santé au Niger</w:t>
      </w:r>
    </w:p>
    <w:p w14:paraId="5BBE9342" w14:textId="77777777" w:rsidR="004744D3" w:rsidRPr="004744D3" w:rsidRDefault="004744D3" w:rsidP="00D97799">
      <w:r w:rsidRPr="004744D3">
        <w:t>L’espérance de vie au Niger reste basse relativement à l’ensemble des pays du monde</w:t>
      </w:r>
      <w:r>
        <w:t xml:space="preserve"> (154ème rang sur 183)</w:t>
      </w:r>
      <w:r w:rsidRPr="004744D3">
        <w:t xml:space="preserve">. Mais </w:t>
      </w:r>
      <w:r>
        <w:t>par exemple l’espérance de vie à la naissance augmente très vite (cf. graphique).</w:t>
      </w:r>
    </w:p>
    <w:p w14:paraId="39244004" w14:textId="77777777" w:rsidR="004744D3" w:rsidRPr="004744D3" w:rsidRDefault="004744D3" w:rsidP="00D97799">
      <w:pPr>
        <w:rPr>
          <w:u w:val="single"/>
        </w:rPr>
      </w:pPr>
      <w:r w:rsidRPr="004744D3">
        <w:rPr>
          <w:u w:val="single"/>
        </w:rPr>
        <w:t>Différentes données d’espérance de vie au Niger (estimation 2015)</w:t>
      </w:r>
      <w:r w:rsidRPr="004744D3">
        <w:rPr>
          <w:rStyle w:val="Appelnotedebasdep"/>
          <w:color w:val="FF0000"/>
          <w:u w:val="single"/>
        </w:rPr>
        <w:t xml:space="preserve"> </w:t>
      </w:r>
      <w:r w:rsidRPr="004744D3">
        <w:rPr>
          <w:rStyle w:val="Appelnotedebasdep"/>
          <w:u w:val="single"/>
        </w:rPr>
        <w:footnoteReference w:id="2"/>
      </w:r>
    </w:p>
    <w:p w14:paraId="3EB8A8A7" w14:textId="77777777" w:rsidR="004744D3" w:rsidRPr="004744D3" w:rsidRDefault="004744D3" w:rsidP="00D97799">
      <w:r>
        <w:rPr>
          <w:noProof/>
          <w:lang w:eastAsia="fr-FR"/>
        </w:rPr>
        <w:drawing>
          <wp:inline distT="0" distB="0" distL="0" distR="0" wp14:anchorId="53EA686A" wp14:editId="62B48851">
            <wp:extent cx="5759450" cy="582925"/>
            <wp:effectExtent l="0" t="0" r="0" b="825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59450" cy="582925"/>
                    </a:xfrm>
                    <a:prstGeom prst="rect">
                      <a:avLst/>
                    </a:prstGeom>
                  </pic:spPr>
                </pic:pic>
              </a:graphicData>
            </a:graphic>
          </wp:inline>
        </w:drawing>
      </w:r>
      <w:r w:rsidRPr="004744D3">
        <w:rPr>
          <w:noProof/>
          <w:lang w:eastAsia="fr-FR"/>
        </w:rPr>
        <w:drawing>
          <wp:inline distT="0" distB="0" distL="0" distR="0" wp14:anchorId="42DE7526" wp14:editId="6B4117F5">
            <wp:extent cx="5759450" cy="164101"/>
            <wp:effectExtent l="0" t="0" r="0" b="762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59450" cy="164101"/>
                    </a:xfrm>
                    <a:prstGeom prst="rect">
                      <a:avLst/>
                    </a:prstGeom>
                  </pic:spPr>
                </pic:pic>
              </a:graphicData>
            </a:graphic>
          </wp:inline>
        </w:drawing>
      </w:r>
    </w:p>
    <w:p w14:paraId="4D2AE848" w14:textId="77777777" w:rsidR="004744D3" w:rsidRPr="004744D3" w:rsidRDefault="004744D3" w:rsidP="00D97799">
      <w:pPr>
        <w:rPr>
          <w:u w:val="single"/>
        </w:rPr>
      </w:pPr>
      <w:r w:rsidRPr="004744D3">
        <w:rPr>
          <w:u w:val="single"/>
        </w:rPr>
        <w:t>Espérance de vie à la naissance (2017)</w:t>
      </w:r>
      <w:r>
        <w:rPr>
          <w:rStyle w:val="Appelnotedebasdep"/>
          <w:u w:val="single"/>
        </w:rPr>
        <w:footnoteReference w:id="3"/>
      </w:r>
    </w:p>
    <w:p w14:paraId="021DF54A" w14:textId="77777777" w:rsidR="004744D3" w:rsidRPr="004744D3" w:rsidRDefault="004744D3" w:rsidP="00D97799">
      <w:r>
        <w:rPr>
          <w:noProof/>
          <w:lang w:eastAsia="fr-FR"/>
        </w:rPr>
        <w:drawing>
          <wp:inline distT="0" distB="0" distL="0" distR="0" wp14:anchorId="3B40F416" wp14:editId="45E0C0FD">
            <wp:extent cx="5759450" cy="3649407"/>
            <wp:effectExtent l="0" t="0" r="0" b="825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59450" cy="3649407"/>
                    </a:xfrm>
                    <a:prstGeom prst="rect">
                      <a:avLst/>
                    </a:prstGeom>
                  </pic:spPr>
                </pic:pic>
              </a:graphicData>
            </a:graphic>
          </wp:inline>
        </w:drawing>
      </w:r>
    </w:p>
    <w:p w14:paraId="5257D745" w14:textId="77777777" w:rsidR="004744D3" w:rsidRDefault="004744D3">
      <w:pPr>
        <w:rPr>
          <w:i/>
        </w:rPr>
      </w:pPr>
      <w:r>
        <w:rPr>
          <w:i/>
        </w:rPr>
        <w:br w:type="page"/>
      </w:r>
    </w:p>
    <w:p w14:paraId="0EEA6589" w14:textId="77777777" w:rsidR="00D97799" w:rsidRPr="00D97799" w:rsidRDefault="00D97799" w:rsidP="00D97799">
      <w:pPr>
        <w:rPr>
          <w:i/>
        </w:rPr>
      </w:pPr>
      <w:r w:rsidRPr="00D97799">
        <w:rPr>
          <w:i/>
        </w:rPr>
        <w:t xml:space="preserve">Diagnostic de la situation épidémiologique </w:t>
      </w:r>
    </w:p>
    <w:p w14:paraId="5145FFBA" w14:textId="77777777" w:rsidR="00012D78" w:rsidRDefault="00012D78" w:rsidP="00012D78">
      <w:r>
        <w:t xml:space="preserve">La morbidité est dominée par de nombreuses maladies transmissibles endémiques et endémo-épidémiques (infections respiratoires aigües, paludisme, maladies diarrhéiques, malnutrition, etc.) et l’émergence des maladies non transmissibles (hypertension artérielle, diabète, cancers, goutte, obésité, etc. </w:t>
      </w:r>
    </w:p>
    <w:p w14:paraId="05705CF0" w14:textId="77777777" w:rsidR="00012D78" w:rsidRPr="00012D78" w:rsidRDefault="00012D78" w:rsidP="00012D78">
      <w:pPr>
        <w:rPr>
          <w:u w:val="single"/>
        </w:rPr>
      </w:pPr>
      <w:r>
        <w:rPr>
          <w:u w:val="single"/>
        </w:rPr>
        <w:t>Tableau : p</w:t>
      </w:r>
      <w:r w:rsidRPr="00012D78">
        <w:rPr>
          <w:u w:val="single"/>
        </w:rPr>
        <w:t xml:space="preserve">rincipales morbidités par tranches d’âge au Niger en </w:t>
      </w:r>
      <w:r w:rsidRPr="004744D3">
        <w:rPr>
          <w:u w:val="single"/>
        </w:rPr>
        <w:t xml:space="preserve">2017 </w:t>
      </w:r>
    </w:p>
    <w:p w14:paraId="42AA18E9" w14:textId="77777777" w:rsidR="00012D78" w:rsidRDefault="00012D78" w:rsidP="00012D78">
      <w:r w:rsidRPr="00012D78">
        <w:rPr>
          <w:noProof/>
          <w:lang w:eastAsia="fr-FR"/>
        </w:rPr>
        <w:drawing>
          <wp:inline distT="0" distB="0" distL="0" distR="0" wp14:anchorId="5A58914F" wp14:editId="12CB7704">
            <wp:extent cx="5759450" cy="312955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59450" cy="3129550"/>
                    </a:xfrm>
                    <a:prstGeom prst="rect">
                      <a:avLst/>
                    </a:prstGeom>
                  </pic:spPr>
                </pic:pic>
              </a:graphicData>
            </a:graphic>
          </wp:inline>
        </w:drawing>
      </w:r>
    </w:p>
    <w:p w14:paraId="128A858E" w14:textId="77777777" w:rsidR="00012D78" w:rsidRDefault="00012D78">
      <w:pPr>
        <w:rPr>
          <w:i/>
        </w:rPr>
      </w:pPr>
      <w:r>
        <w:rPr>
          <w:i/>
        </w:rPr>
        <w:br w:type="page"/>
      </w:r>
    </w:p>
    <w:p w14:paraId="67324311" w14:textId="77777777" w:rsidR="00D97799" w:rsidRPr="00D97799" w:rsidRDefault="00D97799" w:rsidP="00D97799">
      <w:pPr>
        <w:rPr>
          <w:i/>
        </w:rPr>
      </w:pPr>
      <w:r w:rsidRPr="00D97799">
        <w:rPr>
          <w:i/>
        </w:rPr>
        <w:t>Les déterminants de la santé au Niger</w:t>
      </w:r>
    </w:p>
    <w:p w14:paraId="0E43E302" w14:textId="77777777" w:rsidR="00012D78" w:rsidRDefault="00012D78" w:rsidP="00012D78">
      <w:r>
        <w:t>Les DALYS</w:t>
      </w:r>
      <w:r w:rsidRPr="00BF29A2">
        <w:rPr>
          <w:rStyle w:val="Appelnotedebasdep"/>
          <w:rFonts w:cstheme="minorHAnsi"/>
          <w:sz w:val="24"/>
          <w:szCs w:val="24"/>
        </w:rPr>
        <w:footnoteReference w:id="4"/>
      </w:r>
      <w:r>
        <w:t xml:space="preserve"> (nombres </w:t>
      </w:r>
      <w:r w:rsidRPr="006B5114">
        <w:t xml:space="preserve">d'années de vie perdues corrigées de l'incapacité) </w:t>
      </w:r>
      <w:r>
        <w:t xml:space="preserve">donnent une image fidèle de la situation épidémiologique nationale. </w:t>
      </w:r>
    </w:p>
    <w:p w14:paraId="5D68728E" w14:textId="77777777" w:rsidR="00012D78" w:rsidRDefault="00012D78" w:rsidP="00012D78">
      <w:r>
        <w:t xml:space="preserve">L’illustration suivante montre d’une part les causes de DALYS et d’autre part leur poids relatif. Il apparaît que les premières causes sont  quelques maladies transmissibles bien connues telles que le paludisme, les infections respiratoires, les diarrhées, ou encore les problèmes néonataux (en rouge). Les maladies non transmissibles (en bleu), même si elles augmentent fortement, restent moins importantes. Quant aux accidents (en vert), leur part dans les DALYS reste limitée. </w:t>
      </w:r>
    </w:p>
    <w:p w14:paraId="0AFF9F96" w14:textId="77777777" w:rsidR="00012D78" w:rsidRDefault="00012D78" w:rsidP="00012D78">
      <w:r>
        <w:t xml:space="preserve">Par ailleurs, une autre illustration montre le poids des déterminants de la santé dans la survenue de ces causes, qui apparait en couleur sombre (en bleu, rouge ou vert). Les déterminants de la santé représentent de fait plus de 50% des problèmes de santé. On comprend que l’amélioration des déterminants de la santé peut permettre de réduire considérablement la morbidité et la mortalité au Niger. Les déterminants sont classés en 3 catégories : comportementaux, environnementaux, et métaboliques. </w:t>
      </w:r>
    </w:p>
    <w:p w14:paraId="0B99E37C" w14:textId="77777777" w:rsidR="00012D78" w:rsidRPr="00AB1F76" w:rsidRDefault="00012D78" w:rsidP="00012D78"/>
    <w:p w14:paraId="29B8C30C" w14:textId="77777777" w:rsidR="00012D78" w:rsidRDefault="00012D78" w:rsidP="00012D78">
      <w:pPr>
        <w:pStyle w:val="Paragraphedeliste"/>
        <w:ind w:left="142"/>
        <w:rPr>
          <w:rFonts w:cstheme="minorHAnsi"/>
          <w:sz w:val="24"/>
          <w:szCs w:val="24"/>
        </w:rPr>
      </w:pPr>
      <w:r>
        <w:rPr>
          <w:noProof/>
          <w:lang w:eastAsia="fr-FR"/>
        </w:rPr>
        <w:drawing>
          <wp:inline distT="0" distB="0" distL="0" distR="0" wp14:anchorId="22A19CD6" wp14:editId="2D0A830D">
            <wp:extent cx="5759450" cy="3932910"/>
            <wp:effectExtent l="0" t="0" r="0" b="0"/>
            <wp:docPr id="305"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59450" cy="3932910"/>
                    </a:xfrm>
                    <a:prstGeom prst="rect">
                      <a:avLst/>
                    </a:prstGeom>
                  </pic:spPr>
                </pic:pic>
              </a:graphicData>
            </a:graphic>
          </wp:inline>
        </w:drawing>
      </w:r>
    </w:p>
    <w:p w14:paraId="301F6346" w14:textId="77777777" w:rsidR="00012D78" w:rsidRDefault="00012D78" w:rsidP="00012D78">
      <w:pPr>
        <w:pStyle w:val="Paragraphedeliste"/>
        <w:rPr>
          <w:rFonts w:cstheme="minorHAnsi"/>
          <w:sz w:val="24"/>
          <w:szCs w:val="24"/>
        </w:rPr>
      </w:pPr>
    </w:p>
    <w:p w14:paraId="3F304BF2" w14:textId="77777777" w:rsidR="00012D78" w:rsidRDefault="00012D78" w:rsidP="00012D78">
      <w:pPr>
        <w:pStyle w:val="Paragraphedeliste"/>
        <w:rPr>
          <w:rFonts w:cstheme="minorHAnsi"/>
          <w:sz w:val="24"/>
          <w:szCs w:val="24"/>
        </w:rPr>
      </w:pPr>
    </w:p>
    <w:p w14:paraId="3ADE62BF" w14:textId="77777777" w:rsidR="00012D78" w:rsidRDefault="00012D78" w:rsidP="00012D78">
      <w:pPr>
        <w:pStyle w:val="Paragraphedeliste"/>
        <w:rPr>
          <w:rFonts w:cstheme="minorHAnsi"/>
          <w:sz w:val="24"/>
          <w:szCs w:val="24"/>
        </w:rPr>
      </w:pPr>
    </w:p>
    <w:p w14:paraId="007F1F71" w14:textId="77777777" w:rsidR="00012D78" w:rsidRDefault="00012D78" w:rsidP="00012D78">
      <w:pPr>
        <w:rPr>
          <w:rFonts w:cstheme="minorHAnsi"/>
          <w:sz w:val="24"/>
          <w:szCs w:val="24"/>
        </w:rPr>
      </w:pPr>
      <w:r>
        <w:rPr>
          <w:rFonts w:cstheme="minorHAnsi"/>
          <w:sz w:val="24"/>
          <w:szCs w:val="24"/>
        </w:rPr>
        <w:t>A un niveau plus fin de décomposition, les déterminants sont classés en différentes catégories.</w:t>
      </w:r>
      <w:r w:rsidRPr="007E07D3">
        <w:rPr>
          <w:rFonts w:cstheme="minorHAnsi"/>
          <w:sz w:val="24"/>
          <w:szCs w:val="24"/>
        </w:rPr>
        <w:t xml:space="preserve"> </w:t>
      </w:r>
      <w:r w:rsidRPr="00BF29A2">
        <w:rPr>
          <w:rFonts w:cstheme="minorHAnsi"/>
          <w:sz w:val="24"/>
          <w:szCs w:val="24"/>
        </w:rPr>
        <w:t>L’illustration suivante</w:t>
      </w:r>
      <w:r>
        <w:rPr>
          <w:rStyle w:val="Appelnotedebasdep"/>
          <w:rFonts w:cstheme="minorHAnsi"/>
          <w:sz w:val="24"/>
          <w:szCs w:val="24"/>
        </w:rPr>
        <w:footnoteReference w:id="5"/>
      </w:r>
      <w:r w:rsidRPr="00BF29A2">
        <w:rPr>
          <w:rFonts w:cstheme="minorHAnsi"/>
          <w:sz w:val="24"/>
          <w:szCs w:val="24"/>
        </w:rPr>
        <w:t xml:space="preserve"> permet de visualiser les principaux déterminants de la mortalité au Niger (liste à gauche), leur poids relatif (longueur du trait), ainsi que leurs conséquences en termes de maladies (légende de droite) :</w:t>
      </w:r>
    </w:p>
    <w:p w14:paraId="27E5F4AA" w14:textId="77777777" w:rsidR="00012D78" w:rsidRDefault="00012D78" w:rsidP="00012D78">
      <w:pPr>
        <w:rPr>
          <w:rFonts w:cstheme="minorHAnsi"/>
          <w:sz w:val="24"/>
          <w:szCs w:val="24"/>
        </w:rPr>
      </w:pPr>
      <w:r>
        <w:rPr>
          <w:noProof/>
          <w:lang w:eastAsia="fr-FR"/>
        </w:rPr>
        <w:drawing>
          <wp:inline distT="0" distB="0" distL="0" distR="0" wp14:anchorId="0752643D" wp14:editId="7EDC3BD1">
            <wp:extent cx="5759450" cy="3144858"/>
            <wp:effectExtent l="0" t="0" r="0" b="0"/>
            <wp:docPr id="306" name="Imag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59450" cy="3144858"/>
                    </a:xfrm>
                    <a:prstGeom prst="rect">
                      <a:avLst/>
                    </a:prstGeom>
                  </pic:spPr>
                </pic:pic>
              </a:graphicData>
            </a:graphic>
          </wp:inline>
        </w:drawing>
      </w:r>
    </w:p>
    <w:p w14:paraId="3BE7E398" w14:textId="77777777" w:rsidR="00012D78" w:rsidRDefault="00012D78" w:rsidP="00012D78">
      <w:pPr>
        <w:rPr>
          <w:rFonts w:cstheme="minorHAnsi"/>
          <w:sz w:val="24"/>
          <w:szCs w:val="24"/>
        </w:rPr>
      </w:pPr>
      <w:r>
        <w:rPr>
          <w:rFonts w:cstheme="minorHAnsi"/>
          <w:sz w:val="24"/>
          <w:szCs w:val="24"/>
        </w:rPr>
        <w:t>On voit que parmi les causes premières de la mauvaise santé de la population au Niger se trouve en tête la malnutrition, suivie des problèmes d’eau, d’hygiène et d’assainissement, puis la pollution de l’air, l’hypertension artérielle, etc…</w:t>
      </w:r>
    </w:p>
    <w:p w14:paraId="4A130849" w14:textId="77777777" w:rsidR="00D97799" w:rsidRDefault="00D97799" w:rsidP="00D97799"/>
    <w:p w14:paraId="5731B461" w14:textId="77777777" w:rsidR="00D97799" w:rsidRPr="00D97799" w:rsidRDefault="00D97799" w:rsidP="00D97799"/>
    <w:p w14:paraId="28E1E19B" w14:textId="77777777" w:rsidR="00D97799" w:rsidRDefault="00D97799">
      <w:pPr>
        <w:rPr>
          <w:rFonts w:asciiTheme="majorHAnsi" w:eastAsiaTheme="majorEastAsia" w:hAnsiTheme="majorHAnsi" w:cstheme="majorBidi"/>
          <w:b/>
          <w:bCs/>
          <w:color w:val="4F81BD" w:themeColor="accent1"/>
          <w:sz w:val="26"/>
          <w:szCs w:val="26"/>
        </w:rPr>
      </w:pPr>
      <w:r>
        <w:br w:type="page"/>
      </w:r>
    </w:p>
    <w:p w14:paraId="7C98AE27" w14:textId="77777777" w:rsidR="003F3FAC" w:rsidRPr="00BF29A2" w:rsidRDefault="003F3FAC" w:rsidP="00BF29A2">
      <w:pPr>
        <w:pStyle w:val="Titre2"/>
      </w:pPr>
      <w:bookmarkStart w:id="7" w:name="_Toc21449009"/>
      <w:r w:rsidRPr="00BF29A2">
        <w:t>Diagnostic du système de santé</w:t>
      </w:r>
      <w:bookmarkEnd w:id="7"/>
      <w:r w:rsidRPr="00BF29A2">
        <w:t xml:space="preserve"> </w:t>
      </w:r>
    </w:p>
    <w:p w14:paraId="085E0CE0" w14:textId="77777777" w:rsidR="00F8057D" w:rsidRPr="00BF29A2" w:rsidRDefault="00F8057D" w:rsidP="00F8057D">
      <w:pPr>
        <w:spacing w:line="240" w:lineRule="auto"/>
        <w:jc w:val="both"/>
        <w:rPr>
          <w:rFonts w:cstheme="minorHAnsi"/>
          <w:i/>
          <w:sz w:val="24"/>
          <w:szCs w:val="24"/>
        </w:rPr>
      </w:pPr>
      <w:r w:rsidRPr="00BF29A2">
        <w:rPr>
          <w:rFonts w:cstheme="minorHAnsi"/>
          <w:i/>
          <w:sz w:val="24"/>
          <w:szCs w:val="24"/>
        </w:rPr>
        <w:t>Prestations des services de santé</w:t>
      </w:r>
    </w:p>
    <w:p w14:paraId="1B20A6D9" w14:textId="77777777" w:rsidR="005352FD" w:rsidRDefault="005352FD" w:rsidP="005352FD">
      <w:pPr>
        <w:spacing w:line="240" w:lineRule="auto"/>
        <w:jc w:val="both"/>
        <w:rPr>
          <w:rFonts w:cstheme="minorHAnsi"/>
          <w:sz w:val="24"/>
          <w:szCs w:val="24"/>
        </w:rPr>
      </w:pPr>
      <w:r w:rsidRPr="00BF29A2">
        <w:rPr>
          <w:rFonts w:cstheme="minorHAnsi"/>
          <w:sz w:val="24"/>
          <w:szCs w:val="24"/>
        </w:rPr>
        <w:t xml:space="preserve">L’utilisation des services de santé qui étaient à 23% en 2005 a augmenté progressivement pour atteindre 70% </w:t>
      </w:r>
      <w:r w:rsidR="004B4EAD">
        <w:rPr>
          <w:rFonts w:cstheme="minorHAnsi"/>
          <w:sz w:val="24"/>
          <w:szCs w:val="24"/>
        </w:rPr>
        <w:t>(</w:t>
      </w:r>
      <w:r w:rsidR="00E30B5F">
        <w:rPr>
          <w:rFonts w:cstheme="minorHAnsi"/>
          <w:sz w:val="24"/>
          <w:szCs w:val="24"/>
        </w:rPr>
        <w:t>2009</w:t>
      </w:r>
      <w:r w:rsidR="004B4EAD">
        <w:rPr>
          <w:rFonts w:cstheme="minorHAnsi"/>
          <w:sz w:val="24"/>
          <w:szCs w:val="24"/>
        </w:rPr>
        <w:t xml:space="preserve">) </w:t>
      </w:r>
      <w:r w:rsidR="00B65E81">
        <w:rPr>
          <w:rFonts w:cstheme="minorHAnsi"/>
          <w:sz w:val="24"/>
          <w:szCs w:val="24"/>
        </w:rPr>
        <w:t>du fait de l’institution de la</w:t>
      </w:r>
      <w:r w:rsidRPr="00BF29A2">
        <w:rPr>
          <w:rFonts w:cstheme="minorHAnsi"/>
          <w:sz w:val="24"/>
          <w:szCs w:val="24"/>
        </w:rPr>
        <w:t xml:space="preserve"> mesure de gratuité. Elle a ensuite commencé à baisser jusqu’à 5</w:t>
      </w:r>
      <w:r w:rsidR="008566D6">
        <w:rPr>
          <w:rFonts w:cstheme="minorHAnsi"/>
          <w:sz w:val="24"/>
          <w:szCs w:val="24"/>
        </w:rPr>
        <w:t>1.36% en 2016 et 48.35% en 2018</w:t>
      </w:r>
      <w:r w:rsidRPr="00BF29A2">
        <w:rPr>
          <w:rFonts w:cstheme="minorHAnsi"/>
          <w:sz w:val="24"/>
          <w:szCs w:val="24"/>
        </w:rPr>
        <w:t xml:space="preserve"> </w:t>
      </w:r>
      <w:r w:rsidR="008566D6" w:rsidRPr="00AB4345">
        <w:rPr>
          <w:rFonts w:cstheme="minorHAnsi"/>
          <w:sz w:val="24"/>
          <w:szCs w:val="24"/>
        </w:rPr>
        <w:t>traduisant un déclin de l’attractivité des services de santé pour la population</w:t>
      </w:r>
      <w:r w:rsidR="008566D6" w:rsidRPr="00BF29A2">
        <w:rPr>
          <w:rFonts w:cstheme="minorHAnsi"/>
          <w:sz w:val="24"/>
          <w:szCs w:val="24"/>
        </w:rPr>
        <w:t xml:space="preserve">. </w:t>
      </w:r>
      <w:r w:rsidR="008566D6">
        <w:rPr>
          <w:rFonts w:cstheme="minorHAnsi"/>
          <w:sz w:val="24"/>
          <w:szCs w:val="24"/>
        </w:rPr>
        <w:t>Cette baisse est certainement en lien avec le non-paiement des subsides de la gratuité</w:t>
      </w:r>
      <w:r w:rsidR="00F02A89">
        <w:rPr>
          <w:rFonts w:cstheme="minorHAnsi"/>
          <w:sz w:val="24"/>
          <w:szCs w:val="24"/>
        </w:rPr>
        <w:t>.</w:t>
      </w:r>
    </w:p>
    <w:p w14:paraId="4EAD9285" w14:textId="77777777" w:rsidR="00122B15" w:rsidRPr="00BF29A2" w:rsidRDefault="00122B15" w:rsidP="00122B15">
      <w:pPr>
        <w:spacing w:line="240" w:lineRule="auto"/>
        <w:jc w:val="both"/>
        <w:rPr>
          <w:rFonts w:cstheme="minorHAnsi"/>
          <w:i/>
          <w:sz w:val="24"/>
          <w:szCs w:val="24"/>
        </w:rPr>
      </w:pPr>
      <w:r w:rsidRPr="00BF29A2">
        <w:rPr>
          <w:rFonts w:cstheme="minorHAnsi"/>
          <w:i/>
          <w:sz w:val="24"/>
          <w:szCs w:val="24"/>
        </w:rPr>
        <w:t>Ressources humaines pour la santé</w:t>
      </w:r>
    </w:p>
    <w:p w14:paraId="73DAE14A" w14:textId="77777777" w:rsidR="00E30B5F" w:rsidRPr="00BF29A2" w:rsidRDefault="00E30B5F" w:rsidP="00E30B5F">
      <w:pPr>
        <w:spacing w:line="240" w:lineRule="auto"/>
        <w:jc w:val="both"/>
        <w:rPr>
          <w:rFonts w:cstheme="minorHAnsi"/>
          <w:sz w:val="24"/>
          <w:szCs w:val="24"/>
        </w:rPr>
      </w:pPr>
      <w:r w:rsidRPr="00BF29A2">
        <w:rPr>
          <w:rFonts w:cstheme="minorHAnsi"/>
          <w:sz w:val="24"/>
          <w:szCs w:val="24"/>
        </w:rPr>
        <w:t xml:space="preserve">Le Ministère de la santé </w:t>
      </w:r>
      <w:r w:rsidR="00971E95">
        <w:rPr>
          <w:rFonts w:cstheme="minorHAnsi"/>
          <w:sz w:val="24"/>
          <w:szCs w:val="24"/>
        </w:rPr>
        <w:t xml:space="preserve">publique </w:t>
      </w:r>
      <w:r w:rsidRPr="00BF29A2">
        <w:rPr>
          <w:rFonts w:cstheme="minorHAnsi"/>
          <w:sz w:val="24"/>
          <w:szCs w:val="24"/>
        </w:rPr>
        <w:t xml:space="preserve">dispose d’un </w:t>
      </w:r>
      <w:r>
        <w:rPr>
          <w:rFonts w:cstheme="minorHAnsi"/>
          <w:sz w:val="24"/>
          <w:szCs w:val="24"/>
        </w:rPr>
        <w:t>P</w:t>
      </w:r>
      <w:r w:rsidRPr="00BF29A2">
        <w:rPr>
          <w:rFonts w:cstheme="minorHAnsi"/>
          <w:sz w:val="24"/>
          <w:szCs w:val="24"/>
        </w:rPr>
        <w:t xml:space="preserve">lan de </w:t>
      </w:r>
      <w:r>
        <w:rPr>
          <w:rFonts w:cstheme="minorHAnsi"/>
          <w:sz w:val="24"/>
          <w:szCs w:val="24"/>
        </w:rPr>
        <w:t>D</w:t>
      </w:r>
      <w:r w:rsidRPr="00BF29A2">
        <w:rPr>
          <w:rFonts w:cstheme="minorHAnsi"/>
          <w:sz w:val="24"/>
          <w:szCs w:val="24"/>
        </w:rPr>
        <w:t xml:space="preserve">éveloppement </w:t>
      </w:r>
      <w:r>
        <w:rPr>
          <w:rFonts w:cstheme="minorHAnsi"/>
          <w:sz w:val="24"/>
          <w:szCs w:val="24"/>
        </w:rPr>
        <w:t>des Ressources Humaines (PDRH)</w:t>
      </w:r>
      <w:r w:rsidRPr="00BF29A2">
        <w:rPr>
          <w:rFonts w:cstheme="minorHAnsi"/>
          <w:sz w:val="24"/>
          <w:szCs w:val="24"/>
        </w:rPr>
        <w:t xml:space="preserve"> pour la période 2011-2020, qui </w:t>
      </w:r>
      <w:r w:rsidR="00971E95">
        <w:rPr>
          <w:rFonts w:cstheme="minorHAnsi"/>
          <w:sz w:val="24"/>
          <w:szCs w:val="24"/>
        </w:rPr>
        <w:t>devra</w:t>
      </w:r>
      <w:r w:rsidRPr="00BF29A2">
        <w:rPr>
          <w:rFonts w:cstheme="minorHAnsi"/>
          <w:sz w:val="24"/>
          <w:szCs w:val="24"/>
        </w:rPr>
        <w:t xml:space="preserve"> donc être renouvelé</w:t>
      </w:r>
      <w:r w:rsidR="00971E95">
        <w:rPr>
          <w:rFonts w:cstheme="minorHAnsi"/>
          <w:sz w:val="24"/>
          <w:szCs w:val="24"/>
        </w:rPr>
        <w:t xml:space="preserve"> bientôt</w:t>
      </w:r>
      <w:r w:rsidRPr="00BF29A2">
        <w:rPr>
          <w:rFonts w:cstheme="minorHAnsi"/>
          <w:sz w:val="24"/>
          <w:szCs w:val="24"/>
        </w:rPr>
        <w:t>.</w:t>
      </w:r>
    </w:p>
    <w:p w14:paraId="2F01C015" w14:textId="77777777" w:rsidR="00122B15" w:rsidRPr="00BF29A2" w:rsidRDefault="00E30B5F" w:rsidP="00E30B5F">
      <w:pPr>
        <w:spacing w:line="240" w:lineRule="auto"/>
        <w:jc w:val="both"/>
        <w:rPr>
          <w:rFonts w:cstheme="minorHAnsi"/>
          <w:sz w:val="24"/>
          <w:szCs w:val="24"/>
        </w:rPr>
      </w:pPr>
      <w:r w:rsidRPr="00BF29A2">
        <w:rPr>
          <w:rFonts w:cstheme="minorHAnsi"/>
          <w:sz w:val="24"/>
          <w:szCs w:val="24"/>
        </w:rPr>
        <w:t>La densité de professionnels de santé est très faible</w:t>
      </w:r>
      <w:r>
        <w:rPr>
          <w:rFonts w:cstheme="minorHAnsi"/>
          <w:sz w:val="24"/>
          <w:szCs w:val="24"/>
        </w:rPr>
        <w:t>,</w:t>
      </w:r>
      <w:r w:rsidRPr="00BF29A2">
        <w:rPr>
          <w:rFonts w:cstheme="minorHAnsi"/>
          <w:sz w:val="24"/>
          <w:szCs w:val="24"/>
        </w:rPr>
        <w:t xml:space="preserve"> estimée à 0.4 pour 1000 habitants </w:t>
      </w:r>
      <w:r>
        <w:rPr>
          <w:rFonts w:cstheme="minorHAnsi"/>
          <w:sz w:val="24"/>
          <w:szCs w:val="24"/>
        </w:rPr>
        <w:t>alors que</w:t>
      </w:r>
      <w:r w:rsidRPr="00BF29A2">
        <w:rPr>
          <w:rFonts w:cstheme="minorHAnsi"/>
          <w:sz w:val="24"/>
          <w:szCs w:val="24"/>
        </w:rPr>
        <w:t xml:space="preserve"> 4.45 pour 1000 habitants </w:t>
      </w:r>
      <w:r>
        <w:rPr>
          <w:rFonts w:cstheme="minorHAnsi"/>
          <w:sz w:val="24"/>
          <w:szCs w:val="24"/>
        </w:rPr>
        <w:t xml:space="preserve">est </w:t>
      </w:r>
      <w:r w:rsidRPr="00BF29A2">
        <w:rPr>
          <w:rFonts w:cstheme="minorHAnsi"/>
          <w:sz w:val="24"/>
          <w:szCs w:val="24"/>
        </w:rPr>
        <w:t>estimée nécessaire pour augmenter les chances du pays à réaliser les ODD.</w:t>
      </w:r>
      <w:r w:rsidR="00122B15" w:rsidRPr="00BF29A2">
        <w:rPr>
          <w:rFonts w:cstheme="minorHAnsi"/>
          <w:sz w:val="24"/>
          <w:szCs w:val="24"/>
        </w:rPr>
        <w:t xml:space="preserve"> Les RHS sont disponibles sur le marché de l’emploi (environ 2000 professionnels de santé obtiennent leur</w:t>
      </w:r>
      <w:r w:rsidR="00C87C96">
        <w:rPr>
          <w:rFonts w:cstheme="minorHAnsi"/>
          <w:sz w:val="24"/>
          <w:szCs w:val="24"/>
        </w:rPr>
        <w:t>s</w:t>
      </w:r>
      <w:r w:rsidR="00122B15" w:rsidRPr="00BF29A2">
        <w:rPr>
          <w:rFonts w:cstheme="minorHAnsi"/>
          <w:sz w:val="24"/>
          <w:szCs w:val="24"/>
        </w:rPr>
        <w:t xml:space="preserve"> diplômes chaque année</w:t>
      </w:r>
      <w:r w:rsidR="00122B15" w:rsidRPr="00122B15">
        <w:rPr>
          <w:rFonts w:cstheme="minorHAnsi"/>
          <w:sz w:val="24"/>
          <w:szCs w:val="24"/>
        </w:rPr>
        <w:t xml:space="preserve">), </w:t>
      </w:r>
      <w:r w:rsidR="008566D6">
        <w:rPr>
          <w:rFonts w:cstheme="minorHAnsi"/>
          <w:sz w:val="24"/>
          <w:szCs w:val="24"/>
        </w:rPr>
        <w:t>à l’exception de certaines spécialités médicales et paramédicales comme les radiologues, les anesthésistes. Malgré la disponibilité des RHS</w:t>
      </w:r>
      <w:r w:rsidR="008566D6" w:rsidRPr="00122B15">
        <w:rPr>
          <w:rFonts w:cstheme="minorHAnsi"/>
          <w:sz w:val="24"/>
          <w:szCs w:val="24"/>
        </w:rPr>
        <w:t xml:space="preserve"> </w:t>
      </w:r>
      <w:r w:rsidR="00122B15" w:rsidRPr="00122B15">
        <w:rPr>
          <w:rFonts w:cstheme="minorHAnsi"/>
          <w:sz w:val="24"/>
          <w:szCs w:val="24"/>
        </w:rPr>
        <w:t xml:space="preserve">le recrutement est </w:t>
      </w:r>
      <w:r>
        <w:rPr>
          <w:rFonts w:cstheme="minorHAnsi"/>
          <w:sz w:val="24"/>
          <w:szCs w:val="24"/>
        </w:rPr>
        <w:t>bien en deçà de la demande </w:t>
      </w:r>
      <w:r w:rsidR="00F02A89">
        <w:rPr>
          <w:rFonts w:cstheme="minorHAnsi"/>
          <w:sz w:val="24"/>
          <w:szCs w:val="24"/>
        </w:rPr>
        <w:t>;</w:t>
      </w:r>
      <w:r w:rsidR="00122B15" w:rsidRPr="00122B15">
        <w:rPr>
          <w:rFonts w:cstheme="minorHAnsi"/>
          <w:sz w:val="24"/>
          <w:szCs w:val="24"/>
        </w:rPr>
        <w:t xml:space="preserve"> en outre </w:t>
      </w:r>
      <w:r w:rsidR="00122B15" w:rsidRPr="00BF29A2">
        <w:rPr>
          <w:rFonts w:cstheme="minorHAnsi"/>
          <w:sz w:val="24"/>
          <w:szCs w:val="24"/>
        </w:rPr>
        <w:t xml:space="preserve">la question de rétention du personnel en milieu rural reste toujours non résolue. En plus, il n’existe pas de plan de relève pour le personnel affecté en zone difficile. </w:t>
      </w:r>
    </w:p>
    <w:p w14:paraId="7132A431" w14:textId="77777777" w:rsidR="00122B15" w:rsidRPr="00122B15" w:rsidRDefault="00122B15" w:rsidP="00122B15">
      <w:pPr>
        <w:spacing w:line="240" w:lineRule="auto"/>
        <w:jc w:val="both"/>
        <w:rPr>
          <w:rFonts w:cstheme="minorHAnsi"/>
          <w:i/>
          <w:sz w:val="24"/>
          <w:szCs w:val="24"/>
        </w:rPr>
      </w:pPr>
      <w:r w:rsidRPr="00122B15">
        <w:rPr>
          <w:rFonts w:cstheme="minorHAnsi"/>
          <w:i/>
          <w:sz w:val="24"/>
          <w:szCs w:val="24"/>
        </w:rPr>
        <w:t>Produits médicaux et Médicaments</w:t>
      </w:r>
    </w:p>
    <w:p w14:paraId="3ED1DF57" w14:textId="77777777" w:rsidR="00E30B5F" w:rsidRDefault="00E30B5F" w:rsidP="00E30B5F">
      <w:pPr>
        <w:spacing w:line="240" w:lineRule="auto"/>
        <w:jc w:val="both"/>
        <w:rPr>
          <w:rFonts w:cstheme="minorHAnsi"/>
          <w:sz w:val="24"/>
          <w:szCs w:val="24"/>
        </w:rPr>
      </w:pPr>
      <w:r w:rsidRPr="00BF29A2">
        <w:rPr>
          <w:rFonts w:cstheme="minorHAnsi"/>
          <w:sz w:val="24"/>
          <w:szCs w:val="24"/>
        </w:rPr>
        <w:t xml:space="preserve">Le Niger </w:t>
      </w:r>
      <w:r>
        <w:rPr>
          <w:rFonts w:cstheme="minorHAnsi"/>
          <w:sz w:val="24"/>
          <w:szCs w:val="24"/>
        </w:rPr>
        <w:t>est doté d’un</w:t>
      </w:r>
      <w:r w:rsidRPr="00BF29A2">
        <w:rPr>
          <w:rFonts w:cstheme="minorHAnsi"/>
          <w:sz w:val="24"/>
          <w:szCs w:val="24"/>
        </w:rPr>
        <w:t xml:space="preserve"> plan stratégique pour une chaine unique d’approvisionnement en produits de santé. </w:t>
      </w:r>
      <w:r>
        <w:rPr>
          <w:rFonts w:cstheme="minorHAnsi"/>
          <w:sz w:val="24"/>
          <w:szCs w:val="24"/>
        </w:rPr>
        <w:t xml:space="preserve">En plus, </w:t>
      </w:r>
      <w:r w:rsidRPr="00BF29A2">
        <w:rPr>
          <w:rFonts w:cstheme="minorHAnsi"/>
          <w:sz w:val="24"/>
          <w:szCs w:val="24"/>
        </w:rPr>
        <w:t xml:space="preserve"> deux engagements importants </w:t>
      </w:r>
      <w:r>
        <w:rPr>
          <w:rFonts w:cstheme="minorHAnsi"/>
          <w:sz w:val="24"/>
          <w:szCs w:val="24"/>
        </w:rPr>
        <w:t>ont été souscrits</w:t>
      </w:r>
      <w:r w:rsidRPr="00BF29A2">
        <w:rPr>
          <w:rFonts w:cstheme="minorHAnsi"/>
          <w:sz w:val="24"/>
          <w:szCs w:val="24"/>
        </w:rPr>
        <w:t xml:space="preserve">: </w:t>
      </w:r>
      <w:r>
        <w:rPr>
          <w:rFonts w:cstheme="minorHAnsi"/>
          <w:sz w:val="24"/>
          <w:szCs w:val="24"/>
        </w:rPr>
        <w:t>i)</w:t>
      </w:r>
      <w:r w:rsidRPr="00BF29A2">
        <w:rPr>
          <w:rFonts w:cstheme="minorHAnsi"/>
          <w:sz w:val="24"/>
          <w:szCs w:val="24"/>
        </w:rPr>
        <w:t xml:space="preserve"> la révision du statut de la Direction de la Pharmacie et de la Médecine Traditionnelle en agence du médicament et </w:t>
      </w:r>
      <w:r>
        <w:rPr>
          <w:rFonts w:cstheme="minorHAnsi"/>
          <w:sz w:val="24"/>
          <w:szCs w:val="24"/>
        </w:rPr>
        <w:t>ii)</w:t>
      </w:r>
      <w:r w:rsidRPr="00BF29A2">
        <w:rPr>
          <w:rFonts w:cstheme="minorHAnsi"/>
          <w:sz w:val="24"/>
          <w:szCs w:val="24"/>
        </w:rPr>
        <w:t xml:space="preserve"> faire évoluer le statut de l’ONPPC en un statut plus approprié lui devant lui permettre de jouer son rôle dans la mise en œuvre de la chaine unique d’approvisionnement en produits de santé. </w:t>
      </w:r>
      <w:r>
        <w:rPr>
          <w:rFonts w:cstheme="minorHAnsi"/>
          <w:sz w:val="24"/>
          <w:szCs w:val="24"/>
        </w:rPr>
        <w:t>O</w:t>
      </w:r>
      <w:r w:rsidRPr="00BF29A2">
        <w:rPr>
          <w:rFonts w:cstheme="minorHAnsi"/>
          <w:sz w:val="24"/>
          <w:szCs w:val="24"/>
        </w:rPr>
        <w:t xml:space="preserve">n note </w:t>
      </w:r>
      <w:r w:rsidR="00866A12">
        <w:rPr>
          <w:rFonts w:cstheme="minorHAnsi"/>
          <w:sz w:val="24"/>
          <w:szCs w:val="24"/>
        </w:rPr>
        <w:t xml:space="preserve">encore aujourd’hui </w:t>
      </w:r>
      <w:r w:rsidRPr="00BF29A2">
        <w:rPr>
          <w:rFonts w:cstheme="minorHAnsi"/>
          <w:sz w:val="24"/>
          <w:szCs w:val="24"/>
        </w:rPr>
        <w:t>une faible capacité de l’ONPPC à satisfaire les besoins en produits de santé du fait entre autre de l’accumulation de retard de remboursement par le gouvernement à l’ONPPC dans le cadre de la gratuité</w:t>
      </w:r>
      <w:r>
        <w:rPr>
          <w:rFonts w:cstheme="minorHAnsi"/>
          <w:sz w:val="24"/>
          <w:szCs w:val="24"/>
        </w:rPr>
        <w:t>,</w:t>
      </w:r>
      <w:r w:rsidRPr="00BF29A2">
        <w:rPr>
          <w:rFonts w:cstheme="minorHAnsi"/>
          <w:sz w:val="24"/>
          <w:szCs w:val="24"/>
        </w:rPr>
        <w:t xml:space="preserve"> une insuffisance des ressources humaines en quantité et en qualité</w:t>
      </w:r>
      <w:r w:rsidRPr="00122B15">
        <w:rPr>
          <w:rFonts w:cstheme="minorHAnsi"/>
          <w:sz w:val="24"/>
          <w:szCs w:val="24"/>
        </w:rPr>
        <w:t xml:space="preserve"> ainsi que la prolifération de la vente des produi</w:t>
      </w:r>
      <w:r w:rsidR="00866A12">
        <w:rPr>
          <w:rFonts w:cstheme="minorHAnsi"/>
          <w:sz w:val="24"/>
          <w:szCs w:val="24"/>
        </w:rPr>
        <w:t>t</w:t>
      </w:r>
      <w:r w:rsidRPr="00122B15">
        <w:rPr>
          <w:rFonts w:cstheme="minorHAnsi"/>
          <w:sz w:val="24"/>
          <w:szCs w:val="24"/>
        </w:rPr>
        <w:t>s</w:t>
      </w:r>
      <w:r w:rsidR="00866A12">
        <w:rPr>
          <w:rFonts w:cstheme="minorHAnsi"/>
          <w:sz w:val="24"/>
          <w:szCs w:val="24"/>
        </w:rPr>
        <w:t xml:space="preserve"> de</w:t>
      </w:r>
      <w:r w:rsidRPr="00122B15">
        <w:rPr>
          <w:rFonts w:cstheme="minorHAnsi"/>
          <w:sz w:val="24"/>
          <w:szCs w:val="24"/>
        </w:rPr>
        <w:t xml:space="preserve"> contre</w:t>
      </w:r>
      <w:r>
        <w:rPr>
          <w:rFonts w:cstheme="minorHAnsi"/>
          <w:sz w:val="24"/>
          <w:szCs w:val="24"/>
        </w:rPr>
        <w:t>façon.</w:t>
      </w:r>
    </w:p>
    <w:p w14:paraId="1471EA0B" w14:textId="77777777" w:rsidR="00D41D0C" w:rsidRPr="00D41D0C" w:rsidRDefault="00D41D0C" w:rsidP="00D41D0C">
      <w:pPr>
        <w:autoSpaceDE w:val="0"/>
        <w:autoSpaceDN w:val="0"/>
        <w:adjustRightInd w:val="0"/>
        <w:jc w:val="both"/>
        <w:rPr>
          <w:rFonts w:cstheme="minorHAnsi"/>
          <w:sz w:val="24"/>
          <w:szCs w:val="24"/>
        </w:rPr>
      </w:pPr>
      <w:r w:rsidRPr="007064B6">
        <w:rPr>
          <w:rFonts w:cstheme="minorHAnsi"/>
          <w:sz w:val="24"/>
          <w:szCs w:val="24"/>
        </w:rPr>
        <w:t xml:space="preserve">Dans un souci de garantir une meilleure prise en charge, une </w:t>
      </w:r>
      <w:r w:rsidRPr="00C47C22">
        <w:rPr>
          <w:rFonts w:cstheme="minorHAnsi"/>
          <w:sz w:val="24"/>
          <w:szCs w:val="24"/>
        </w:rPr>
        <w:t>Direction des Laboratoires de Santé est créée</w:t>
      </w:r>
      <w:r w:rsidRPr="007064B6">
        <w:rPr>
          <w:rFonts w:cstheme="minorHAnsi"/>
          <w:sz w:val="24"/>
          <w:szCs w:val="24"/>
        </w:rPr>
        <w:t xml:space="preserve"> </w:t>
      </w:r>
      <w:r w:rsidRPr="00C47C22">
        <w:rPr>
          <w:rFonts w:cstheme="minorHAnsi"/>
          <w:sz w:val="24"/>
          <w:szCs w:val="24"/>
        </w:rPr>
        <w:t>avec pour mission principale de participer à la conception,</w:t>
      </w:r>
      <w:r w:rsidRPr="007064B6">
        <w:rPr>
          <w:rFonts w:cstheme="minorHAnsi"/>
          <w:sz w:val="24"/>
          <w:szCs w:val="24"/>
        </w:rPr>
        <w:t xml:space="preserve"> à la mise en œuvre</w:t>
      </w:r>
      <w:r w:rsidRPr="00C47C22">
        <w:rPr>
          <w:rFonts w:cstheme="minorHAnsi"/>
          <w:sz w:val="24"/>
          <w:szCs w:val="24"/>
        </w:rPr>
        <w:t xml:space="preserve">, au suivi et à l’évaluation des stratégies nationales en matière de laboratoire. </w:t>
      </w:r>
      <w:r w:rsidR="009E2964" w:rsidRPr="00C47C22">
        <w:rPr>
          <w:rFonts w:cstheme="minorHAnsi"/>
          <w:sz w:val="24"/>
          <w:szCs w:val="24"/>
        </w:rPr>
        <w:t>Malgré</w:t>
      </w:r>
      <w:r w:rsidRPr="00C47C22">
        <w:rPr>
          <w:rFonts w:cstheme="minorHAnsi"/>
          <w:sz w:val="24"/>
          <w:szCs w:val="24"/>
        </w:rPr>
        <w:t xml:space="preserve"> cela, l</w:t>
      </w:r>
      <w:r w:rsidRPr="00D41D0C">
        <w:rPr>
          <w:rFonts w:cstheme="minorHAnsi"/>
          <w:sz w:val="24"/>
          <w:szCs w:val="24"/>
        </w:rPr>
        <w:t xml:space="preserve">es services de laboratoire souffrent de l’inadaptation des infrastructures aux évolutions technologiques, de l’insuffisance en ressources humaines qualifiées, en équipements et intrants. Ces facteurs limitent considérablement le développement de la  biologie et du laboratoire au Niger. </w:t>
      </w:r>
    </w:p>
    <w:p w14:paraId="712C6EE0" w14:textId="77777777" w:rsidR="00D41D0C" w:rsidRDefault="00D41D0C" w:rsidP="00E30B5F">
      <w:pPr>
        <w:spacing w:line="240" w:lineRule="auto"/>
        <w:jc w:val="both"/>
        <w:rPr>
          <w:rFonts w:cstheme="minorHAnsi"/>
          <w:sz w:val="24"/>
          <w:szCs w:val="24"/>
        </w:rPr>
      </w:pPr>
    </w:p>
    <w:p w14:paraId="50A68122" w14:textId="77777777" w:rsidR="00D41D0C" w:rsidRDefault="00D41D0C" w:rsidP="00E30B5F">
      <w:pPr>
        <w:spacing w:line="240" w:lineRule="auto"/>
        <w:jc w:val="both"/>
        <w:rPr>
          <w:rFonts w:cstheme="minorHAnsi"/>
          <w:sz w:val="24"/>
          <w:szCs w:val="24"/>
        </w:rPr>
      </w:pPr>
    </w:p>
    <w:p w14:paraId="1EB4D5A3" w14:textId="77777777" w:rsidR="007679D9" w:rsidRPr="00122B15" w:rsidRDefault="007679D9" w:rsidP="00E30B5F">
      <w:pPr>
        <w:spacing w:line="240" w:lineRule="auto"/>
        <w:jc w:val="both"/>
        <w:rPr>
          <w:rFonts w:cstheme="minorHAnsi"/>
          <w:sz w:val="24"/>
          <w:szCs w:val="24"/>
        </w:rPr>
      </w:pPr>
    </w:p>
    <w:p w14:paraId="1A74915A" w14:textId="77777777" w:rsidR="00122B15" w:rsidRPr="00122B15" w:rsidRDefault="00122B15" w:rsidP="00122B15">
      <w:pPr>
        <w:spacing w:line="240" w:lineRule="auto"/>
        <w:jc w:val="both"/>
        <w:rPr>
          <w:rFonts w:cstheme="minorHAnsi"/>
          <w:i/>
          <w:sz w:val="24"/>
          <w:szCs w:val="24"/>
        </w:rPr>
      </w:pPr>
      <w:r w:rsidRPr="00122B15">
        <w:rPr>
          <w:rFonts w:cstheme="minorHAnsi"/>
          <w:i/>
          <w:sz w:val="24"/>
          <w:szCs w:val="24"/>
        </w:rPr>
        <w:t>Infrastructures et équipements médicaux</w:t>
      </w:r>
    </w:p>
    <w:p w14:paraId="04F8F9F3" w14:textId="77777777" w:rsidR="00E30B5F" w:rsidRPr="00BF29A2" w:rsidRDefault="00E30B5F" w:rsidP="00E30B5F">
      <w:pPr>
        <w:spacing w:line="240" w:lineRule="auto"/>
        <w:jc w:val="both"/>
        <w:rPr>
          <w:rFonts w:cstheme="minorHAnsi"/>
          <w:sz w:val="24"/>
          <w:szCs w:val="24"/>
        </w:rPr>
      </w:pPr>
      <w:r w:rsidRPr="00BF29A2">
        <w:rPr>
          <w:rFonts w:cstheme="minorHAnsi"/>
          <w:sz w:val="24"/>
          <w:szCs w:val="24"/>
        </w:rPr>
        <w:t xml:space="preserve">La couverture sanitaire </w:t>
      </w:r>
      <w:r>
        <w:rPr>
          <w:rFonts w:cstheme="minorHAnsi"/>
          <w:sz w:val="24"/>
          <w:szCs w:val="24"/>
        </w:rPr>
        <w:t>est passée</w:t>
      </w:r>
      <w:r w:rsidRPr="00BF29A2">
        <w:rPr>
          <w:rFonts w:cstheme="minorHAnsi"/>
          <w:sz w:val="24"/>
          <w:szCs w:val="24"/>
        </w:rPr>
        <w:t xml:space="preserve"> de 48,36% en 2016, </w:t>
      </w:r>
      <w:r>
        <w:rPr>
          <w:rFonts w:cstheme="minorHAnsi"/>
          <w:sz w:val="24"/>
          <w:szCs w:val="24"/>
        </w:rPr>
        <w:t>à</w:t>
      </w:r>
      <w:r w:rsidRPr="00BF29A2">
        <w:rPr>
          <w:rFonts w:cstheme="minorHAnsi"/>
          <w:sz w:val="24"/>
          <w:szCs w:val="24"/>
        </w:rPr>
        <w:t xml:space="preserve"> à 50,63</w:t>
      </w:r>
      <w:r>
        <w:rPr>
          <w:rFonts w:cstheme="minorHAnsi"/>
          <w:sz w:val="24"/>
          <w:szCs w:val="24"/>
        </w:rPr>
        <w:t xml:space="preserve"> en 2018</w:t>
      </w:r>
      <w:r w:rsidRPr="00BF29A2">
        <w:rPr>
          <w:rFonts w:cstheme="minorHAnsi"/>
          <w:sz w:val="24"/>
          <w:szCs w:val="24"/>
        </w:rPr>
        <w:t xml:space="preserve">. </w:t>
      </w:r>
      <w:r>
        <w:rPr>
          <w:rFonts w:cstheme="minorHAnsi"/>
          <w:sz w:val="24"/>
          <w:szCs w:val="24"/>
        </w:rPr>
        <w:t xml:space="preserve">Bien que </w:t>
      </w:r>
      <w:r w:rsidRPr="00BF29A2">
        <w:rPr>
          <w:rFonts w:cstheme="minorHAnsi"/>
          <w:sz w:val="24"/>
          <w:szCs w:val="24"/>
        </w:rPr>
        <w:t xml:space="preserve"> de nouveaux Centres de Santé Intégrés (CSI) </w:t>
      </w:r>
      <w:r>
        <w:rPr>
          <w:rFonts w:cstheme="minorHAnsi"/>
          <w:sz w:val="24"/>
          <w:szCs w:val="24"/>
        </w:rPr>
        <w:t xml:space="preserve">ont été construits et  de nombreuses cases de santé transformées en CSI, </w:t>
      </w:r>
      <w:r w:rsidRPr="00BF29A2">
        <w:rPr>
          <w:rFonts w:cstheme="minorHAnsi"/>
          <w:sz w:val="24"/>
          <w:szCs w:val="24"/>
        </w:rPr>
        <w:t xml:space="preserve">l’impact attendu </w:t>
      </w:r>
      <w:r>
        <w:rPr>
          <w:rFonts w:cstheme="minorHAnsi"/>
          <w:sz w:val="24"/>
          <w:szCs w:val="24"/>
        </w:rPr>
        <w:t xml:space="preserve">a été très peu significatif </w:t>
      </w:r>
      <w:r w:rsidRPr="00BF29A2">
        <w:rPr>
          <w:rFonts w:cstheme="minorHAnsi"/>
          <w:sz w:val="24"/>
          <w:szCs w:val="24"/>
        </w:rPr>
        <w:t>sur l’amélioration de la couverture sanitaire</w:t>
      </w:r>
      <w:r>
        <w:rPr>
          <w:rFonts w:cstheme="minorHAnsi"/>
          <w:sz w:val="24"/>
          <w:szCs w:val="24"/>
        </w:rPr>
        <w:t xml:space="preserve">. </w:t>
      </w:r>
      <w:r w:rsidRPr="005352FD">
        <w:rPr>
          <w:rFonts w:cstheme="minorHAnsi"/>
          <w:sz w:val="24"/>
          <w:szCs w:val="24"/>
        </w:rPr>
        <w:t>41 cases de santé ont été transformées en CSI en 2017 et 2018 sur une prévision de 120 soit un taux de réalisation de 34%. En cause, le non approvisionnement des lignes budgétaires, la lenteur dans le payement des décompte, la faible capacité des entreprises à mobiliser les ressources</w:t>
      </w:r>
      <w:r w:rsidRPr="004F044B">
        <w:rPr>
          <w:rFonts w:cstheme="minorHAnsi"/>
          <w:sz w:val="24"/>
          <w:szCs w:val="24"/>
        </w:rPr>
        <w:t xml:space="preserve"> </w:t>
      </w:r>
      <w:r w:rsidRPr="00122B15">
        <w:rPr>
          <w:rFonts w:cstheme="minorHAnsi"/>
          <w:sz w:val="24"/>
          <w:szCs w:val="24"/>
        </w:rPr>
        <w:t>financières</w:t>
      </w:r>
      <w:r w:rsidRPr="005352FD">
        <w:rPr>
          <w:rFonts w:cstheme="minorHAnsi"/>
          <w:sz w:val="24"/>
          <w:szCs w:val="24"/>
        </w:rPr>
        <w:t>, et l’insuffisance des ressources humaines et des moyens logistiques en matière de suivi de la co</w:t>
      </w:r>
      <w:r>
        <w:rPr>
          <w:rFonts w:cstheme="minorHAnsi"/>
          <w:sz w:val="24"/>
          <w:szCs w:val="24"/>
        </w:rPr>
        <w:t>nstruction des infrastructures.</w:t>
      </w:r>
    </w:p>
    <w:p w14:paraId="5E9980FE" w14:textId="77777777" w:rsidR="00E30B5F" w:rsidRDefault="00E30B5F" w:rsidP="00E30B5F">
      <w:pPr>
        <w:spacing w:line="240" w:lineRule="auto"/>
        <w:jc w:val="both"/>
        <w:rPr>
          <w:rFonts w:cstheme="minorHAnsi"/>
          <w:sz w:val="24"/>
          <w:szCs w:val="24"/>
        </w:rPr>
      </w:pPr>
      <w:r>
        <w:rPr>
          <w:rFonts w:cstheme="minorHAnsi"/>
          <w:sz w:val="24"/>
          <w:szCs w:val="24"/>
        </w:rPr>
        <w:t>U</w:t>
      </w:r>
      <w:r w:rsidRPr="00BF29A2">
        <w:rPr>
          <w:rFonts w:cstheme="minorHAnsi"/>
          <w:sz w:val="24"/>
          <w:szCs w:val="24"/>
        </w:rPr>
        <w:t>n projet d’actualisation de la carte sanitaire</w:t>
      </w:r>
      <w:r>
        <w:rPr>
          <w:rFonts w:cstheme="minorHAnsi"/>
          <w:sz w:val="24"/>
          <w:szCs w:val="24"/>
        </w:rPr>
        <w:t xml:space="preserve"> est en cours</w:t>
      </w:r>
      <w:r w:rsidRPr="00BF29A2">
        <w:rPr>
          <w:rFonts w:cstheme="minorHAnsi"/>
          <w:sz w:val="24"/>
          <w:szCs w:val="24"/>
        </w:rPr>
        <w:t>. Dans le but de rapprocher  l’offre de la demande de santé,</w:t>
      </w:r>
      <w:r>
        <w:rPr>
          <w:rFonts w:cstheme="minorHAnsi"/>
          <w:sz w:val="24"/>
          <w:szCs w:val="24"/>
        </w:rPr>
        <w:t xml:space="preserve"> ainsi que l’amélioration de la gestion des districts,</w:t>
      </w:r>
      <w:r w:rsidRPr="00BF29A2">
        <w:rPr>
          <w:rFonts w:cstheme="minorHAnsi"/>
          <w:sz w:val="24"/>
          <w:szCs w:val="24"/>
        </w:rPr>
        <w:t xml:space="preserve"> le pays vient de créer </w:t>
      </w:r>
      <w:r>
        <w:rPr>
          <w:rFonts w:cstheme="minorHAnsi"/>
          <w:sz w:val="24"/>
          <w:szCs w:val="24"/>
        </w:rPr>
        <w:t>30</w:t>
      </w:r>
      <w:r w:rsidRPr="00BF29A2">
        <w:rPr>
          <w:rFonts w:cstheme="minorHAnsi"/>
          <w:sz w:val="24"/>
          <w:szCs w:val="24"/>
        </w:rPr>
        <w:t xml:space="preserve"> nouveaux districts sanitaires</w:t>
      </w:r>
      <w:r>
        <w:rPr>
          <w:rFonts w:cstheme="minorHAnsi"/>
          <w:sz w:val="24"/>
          <w:szCs w:val="24"/>
        </w:rPr>
        <w:t>.</w:t>
      </w:r>
    </w:p>
    <w:p w14:paraId="41F68670" w14:textId="77777777" w:rsidR="00E30B5F" w:rsidRDefault="00E30B5F" w:rsidP="00E30B5F">
      <w:pPr>
        <w:spacing w:line="240" w:lineRule="auto"/>
        <w:jc w:val="both"/>
        <w:rPr>
          <w:rFonts w:cstheme="minorHAnsi"/>
          <w:sz w:val="24"/>
          <w:szCs w:val="24"/>
        </w:rPr>
      </w:pPr>
      <w:r w:rsidRPr="00BF29A2">
        <w:rPr>
          <w:rFonts w:cstheme="minorHAnsi"/>
          <w:sz w:val="24"/>
          <w:szCs w:val="24"/>
        </w:rPr>
        <w:t xml:space="preserve">Cependant, plusieurs infrastructures et équipements ne répondent plus aux normes soit en raison de leur état de vétusté ou d’un manque de maintenance adéquat. </w:t>
      </w:r>
    </w:p>
    <w:p w14:paraId="29903B53" w14:textId="77777777" w:rsidR="00F8057D" w:rsidRPr="00BF29A2" w:rsidRDefault="00F8057D" w:rsidP="00F8057D">
      <w:pPr>
        <w:spacing w:line="240" w:lineRule="auto"/>
        <w:jc w:val="both"/>
        <w:rPr>
          <w:rFonts w:cstheme="minorHAnsi"/>
          <w:i/>
          <w:sz w:val="24"/>
          <w:szCs w:val="24"/>
        </w:rPr>
      </w:pPr>
      <w:r w:rsidRPr="00BF29A2">
        <w:rPr>
          <w:rFonts w:cstheme="minorHAnsi"/>
          <w:i/>
          <w:sz w:val="24"/>
          <w:szCs w:val="24"/>
        </w:rPr>
        <w:t>Système d’information sanitaire (SIS) et de génération de données probantes pour la santé.</w:t>
      </w:r>
    </w:p>
    <w:p w14:paraId="1D40A151" w14:textId="77777777" w:rsidR="00E30B5F" w:rsidRPr="00BF29A2" w:rsidRDefault="00E30B5F" w:rsidP="00E30B5F">
      <w:pPr>
        <w:spacing w:line="240" w:lineRule="auto"/>
        <w:jc w:val="both"/>
        <w:rPr>
          <w:rFonts w:cstheme="minorHAnsi"/>
          <w:sz w:val="24"/>
          <w:szCs w:val="24"/>
        </w:rPr>
      </w:pPr>
      <w:r w:rsidRPr="00BF29A2">
        <w:rPr>
          <w:rFonts w:cstheme="minorHAnsi"/>
          <w:sz w:val="24"/>
          <w:szCs w:val="24"/>
        </w:rPr>
        <w:t xml:space="preserve">Le pays dispose d’un Plan stratégique du </w:t>
      </w:r>
      <w:r>
        <w:rPr>
          <w:rFonts w:cstheme="minorHAnsi"/>
          <w:sz w:val="24"/>
          <w:szCs w:val="24"/>
        </w:rPr>
        <w:t>S</w:t>
      </w:r>
      <w:r w:rsidRPr="00BF29A2">
        <w:rPr>
          <w:rFonts w:cstheme="minorHAnsi"/>
          <w:sz w:val="24"/>
          <w:szCs w:val="24"/>
        </w:rPr>
        <w:t xml:space="preserve">ystème </w:t>
      </w:r>
      <w:r>
        <w:rPr>
          <w:rFonts w:cstheme="minorHAnsi"/>
          <w:sz w:val="24"/>
          <w:szCs w:val="24"/>
        </w:rPr>
        <w:t>N</w:t>
      </w:r>
      <w:r w:rsidRPr="00BF29A2">
        <w:rPr>
          <w:rFonts w:cstheme="minorHAnsi"/>
          <w:sz w:val="24"/>
          <w:szCs w:val="24"/>
        </w:rPr>
        <w:t>ational d’</w:t>
      </w:r>
      <w:r>
        <w:rPr>
          <w:rFonts w:cstheme="minorHAnsi"/>
          <w:sz w:val="24"/>
          <w:szCs w:val="24"/>
        </w:rPr>
        <w:t>I</w:t>
      </w:r>
      <w:r w:rsidRPr="00BF29A2">
        <w:rPr>
          <w:rFonts w:cstheme="minorHAnsi"/>
          <w:sz w:val="24"/>
          <w:szCs w:val="24"/>
        </w:rPr>
        <w:t xml:space="preserve">nformation </w:t>
      </w:r>
      <w:r>
        <w:rPr>
          <w:rFonts w:cstheme="minorHAnsi"/>
          <w:sz w:val="24"/>
          <w:szCs w:val="24"/>
        </w:rPr>
        <w:t>S</w:t>
      </w:r>
      <w:r w:rsidRPr="00BF29A2">
        <w:rPr>
          <w:rFonts w:cstheme="minorHAnsi"/>
          <w:sz w:val="24"/>
          <w:szCs w:val="24"/>
        </w:rPr>
        <w:t>anitaire </w:t>
      </w:r>
      <w:r>
        <w:rPr>
          <w:rFonts w:cstheme="minorHAnsi"/>
          <w:sz w:val="24"/>
          <w:szCs w:val="24"/>
        </w:rPr>
        <w:t>2013-2022.</w:t>
      </w:r>
      <w:r w:rsidRPr="00BF29A2">
        <w:rPr>
          <w:rFonts w:cstheme="minorHAnsi"/>
          <w:sz w:val="24"/>
          <w:szCs w:val="24"/>
        </w:rPr>
        <w:t xml:space="preserve"> </w:t>
      </w:r>
      <w:r>
        <w:rPr>
          <w:rFonts w:cstheme="minorHAnsi"/>
          <w:sz w:val="24"/>
          <w:szCs w:val="24"/>
        </w:rPr>
        <w:t>U</w:t>
      </w:r>
      <w:r w:rsidRPr="00BF29A2">
        <w:rPr>
          <w:rFonts w:cstheme="minorHAnsi"/>
          <w:sz w:val="24"/>
          <w:szCs w:val="24"/>
        </w:rPr>
        <w:t>ne plateforme unique de collecte et analyse des données, le DHIS2 vient d’être mis en place et près de 3000 agents de santé formés à son l’utilisatio</w:t>
      </w:r>
      <w:r w:rsidR="00866A12">
        <w:rPr>
          <w:rFonts w:cstheme="minorHAnsi"/>
          <w:sz w:val="24"/>
          <w:szCs w:val="24"/>
        </w:rPr>
        <w:t xml:space="preserve">n. Les CSI publics et quelques </w:t>
      </w:r>
      <w:r w:rsidRPr="00BF29A2">
        <w:rPr>
          <w:rFonts w:cstheme="minorHAnsi"/>
          <w:sz w:val="24"/>
          <w:szCs w:val="24"/>
        </w:rPr>
        <w:t>formation</w:t>
      </w:r>
      <w:r>
        <w:rPr>
          <w:rFonts w:cstheme="minorHAnsi"/>
          <w:sz w:val="24"/>
          <w:szCs w:val="24"/>
        </w:rPr>
        <w:t>s</w:t>
      </w:r>
      <w:r w:rsidRPr="00BF29A2">
        <w:rPr>
          <w:rFonts w:cstheme="minorHAnsi"/>
          <w:sz w:val="24"/>
          <w:szCs w:val="24"/>
        </w:rPr>
        <w:t xml:space="preserve"> sanitaires privées viennent d’être équipées avec du matériel informatique pour le traitement des données. La complétude était de 97% en 2017 et 80% en 2018. </w:t>
      </w:r>
      <w:r>
        <w:rPr>
          <w:rFonts w:cstheme="minorHAnsi"/>
          <w:sz w:val="24"/>
          <w:szCs w:val="24"/>
        </w:rPr>
        <w:t xml:space="preserve">Etant </w:t>
      </w:r>
      <w:r w:rsidRPr="00BF29A2">
        <w:rPr>
          <w:rFonts w:cstheme="minorHAnsi"/>
          <w:sz w:val="24"/>
          <w:szCs w:val="24"/>
        </w:rPr>
        <w:t>à son dixième exercice depuis 2002</w:t>
      </w:r>
      <w:r>
        <w:rPr>
          <w:rFonts w:cstheme="minorHAnsi"/>
          <w:sz w:val="24"/>
          <w:szCs w:val="24"/>
        </w:rPr>
        <w:t>, l</w:t>
      </w:r>
      <w:r w:rsidRPr="00BF29A2">
        <w:rPr>
          <w:rFonts w:cstheme="minorHAnsi"/>
          <w:sz w:val="24"/>
          <w:szCs w:val="24"/>
        </w:rPr>
        <w:t>e Niger est parmi les rares pays de la Région AFRO qui produi</w:t>
      </w:r>
      <w:r>
        <w:rPr>
          <w:rFonts w:cstheme="minorHAnsi"/>
          <w:sz w:val="24"/>
          <w:szCs w:val="24"/>
        </w:rPr>
        <w:t>t</w:t>
      </w:r>
      <w:r w:rsidRPr="00BF29A2">
        <w:rPr>
          <w:rFonts w:cstheme="minorHAnsi"/>
          <w:sz w:val="24"/>
          <w:szCs w:val="24"/>
        </w:rPr>
        <w:t xml:space="preserve"> régulièrement les comptes nationaux de la santé</w:t>
      </w:r>
      <w:r>
        <w:rPr>
          <w:rFonts w:cstheme="minorHAnsi"/>
          <w:sz w:val="24"/>
          <w:szCs w:val="24"/>
        </w:rPr>
        <w:t>.</w:t>
      </w:r>
    </w:p>
    <w:p w14:paraId="537962D0" w14:textId="77777777" w:rsidR="00F8057D" w:rsidRPr="00BF29A2" w:rsidRDefault="00F8057D" w:rsidP="00F8057D">
      <w:pPr>
        <w:spacing w:line="240" w:lineRule="auto"/>
        <w:jc w:val="both"/>
        <w:rPr>
          <w:rFonts w:cstheme="minorHAnsi"/>
          <w:sz w:val="24"/>
          <w:szCs w:val="24"/>
        </w:rPr>
      </w:pPr>
      <w:r w:rsidRPr="00BF29A2">
        <w:rPr>
          <w:rFonts w:cstheme="minorHAnsi"/>
          <w:sz w:val="24"/>
          <w:szCs w:val="24"/>
        </w:rPr>
        <w:t>Cependant, on note que le pays fait face à une faible qualité des données administratives, que l’Observatoire National de Santé n’est pas encore mis en place, et on assiste à une faible maitrise des  indicateurs clés ainsi que des sources de données pour le suivi de la CSU.</w:t>
      </w:r>
    </w:p>
    <w:p w14:paraId="72D09CDA" w14:textId="77777777" w:rsidR="00012D78" w:rsidRDefault="00012D78">
      <w:pPr>
        <w:rPr>
          <w:rFonts w:asciiTheme="majorHAnsi" w:eastAsiaTheme="majorEastAsia" w:hAnsiTheme="majorHAnsi" w:cstheme="majorBidi"/>
          <w:b/>
          <w:bCs/>
          <w:color w:val="4F81BD" w:themeColor="accent1"/>
          <w:sz w:val="26"/>
          <w:szCs w:val="26"/>
        </w:rPr>
      </w:pPr>
      <w:r>
        <w:br w:type="page"/>
      </w:r>
    </w:p>
    <w:p w14:paraId="481E487D" w14:textId="77777777" w:rsidR="00A22125" w:rsidRDefault="003F3FAC" w:rsidP="00BF29A2">
      <w:pPr>
        <w:pStyle w:val="Titre2"/>
      </w:pPr>
      <w:bookmarkStart w:id="8" w:name="_Toc21449010"/>
      <w:r w:rsidRPr="00BF29A2">
        <w:t>Diagnostic du système de financement de la santé</w:t>
      </w:r>
      <w:bookmarkEnd w:id="8"/>
      <w:r w:rsidRPr="00BF29A2">
        <w:t xml:space="preserve"> </w:t>
      </w:r>
    </w:p>
    <w:p w14:paraId="4CCFAF76" w14:textId="77777777" w:rsidR="00F64372" w:rsidRPr="00F64372" w:rsidRDefault="00F64372" w:rsidP="00F64372"/>
    <w:p w14:paraId="568B29B7" w14:textId="77777777" w:rsidR="00A22125" w:rsidRPr="00BF29A2" w:rsidRDefault="00A22125" w:rsidP="00A22125">
      <w:pPr>
        <w:rPr>
          <w:rFonts w:cstheme="minorHAnsi"/>
          <w:sz w:val="24"/>
          <w:szCs w:val="24"/>
        </w:rPr>
      </w:pPr>
      <w:r w:rsidRPr="00BF29A2">
        <w:rPr>
          <w:rFonts w:cstheme="minorHAnsi"/>
          <w:sz w:val="24"/>
          <w:szCs w:val="24"/>
        </w:rPr>
        <w:t>Le système de financement de la santé dispose d’un  cadre analytique qui permet d’analyse</w:t>
      </w:r>
      <w:r w:rsidR="002A7E0E" w:rsidRPr="00BF29A2">
        <w:rPr>
          <w:rFonts w:cstheme="minorHAnsi"/>
          <w:sz w:val="24"/>
          <w:szCs w:val="24"/>
        </w:rPr>
        <w:t>r</w:t>
      </w:r>
      <w:r w:rsidRPr="00BF29A2">
        <w:rPr>
          <w:rFonts w:cstheme="minorHAnsi"/>
          <w:sz w:val="24"/>
          <w:szCs w:val="24"/>
        </w:rPr>
        <w:t xml:space="preserve"> ses performances. Celui-ci est illustré ainsi que suit</w:t>
      </w:r>
      <w:r w:rsidRPr="00BF29A2">
        <w:rPr>
          <w:rStyle w:val="Appelnotedebasdep"/>
          <w:rFonts w:cstheme="minorHAnsi"/>
          <w:sz w:val="24"/>
          <w:szCs w:val="24"/>
        </w:rPr>
        <w:footnoteReference w:id="6"/>
      </w:r>
      <w:r w:rsidRPr="00BF29A2">
        <w:rPr>
          <w:rFonts w:cstheme="minorHAnsi"/>
          <w:sz w:val="24"/>
          <w:szCs w:val="24"/>
        </w:rPr>
        <w:t> :</w:t>
      </w:r>
    </w:p>
    <w:p w14:paraId="33CC483E" w14:textId="77777777" w:rsidR="00A22125" w:rsidRPr="00BF29A2" w:rsidRDefault="00A22125" w:rsidP="00A22125">
      <w:pPr>
        <w:rPr>
          <w:rFonts w:cstheme="minorHAnsi"/>
          <w:sz w:val="24"/>
          <w:szCs w:val="24"/>
        </w:rPr>
      </w:pPr>
      <w:r w:rsidRPr="00BF29A2">
        <w:rPr>
          <w:rFonts w:cstheme="minorHAnsi"/>
          <w:noProof/>
          <w:sz w:val="24"/>
          <w:szCs w:val="24"/>
          <w:lang w:eastAsia="fr-FR"/>
        </w:rPr>
        <w:drawing>
          <wp:inline distT="0" distB="0" distL="0" distR="0" wp14:anchorId="61EFC1F3" wp14:editId="45F07F63">
            <wp:extent cx="5759450" cy="2264347"/>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59450" cy="2264347"/>
                    </a:xfrm>
                    <a:prstGeom prst="rect">
                      <a:avLst/>
                    </a:prstGeom>
                  </pic:spPr>
                </pic:pic>
              </a:graphicData>
            </a:graphic>
          </wp:inline>
        </w:drawing>
      </w:r>
    </w:p>
    <w:p w14:paraId="3EFC488B" w14:textId="77777777" w:rsidR="002A7E0E" w:rsidRPr="00BF29A2" w:rsidRDefault="00985C19" w:rsidP="00A22125">
      <w:pPr>
        <w:rPr>
          <w:rFonts w:cstheme="minorHAnsi"/>
          <w:sz w:val="24"/>
          <w:szCs w:val="24"/>
        </w:rPr>
      </w:pPr>
      <w:r>
        <w:rPr>
          <w:rFonts w:cstheme="minorHAnsi"/>
          <w:sz w:val="24"/>
          <w:szCs w:val="24"/>
        </w:rPr>
        <w:t>Un bref état des lieux d</w:t>
      </w:r>
      <w:r w:rsidR="002A7E0E" w:rsidRPr="00BF29A2">
        <w:rPr>
          <w:rFonts w:cstheme="minorHAnsi"/>
          <w:sz w:val="24"/>
          <w:szCs w:val="24"/>
        </w:rPr>
        <w:t xml:space="preserve">es trois fonctions principales du système </w:t>
      </w:r>
      <w:r>
        <w:rPr>
          <w:rFonts w:cstheme="minorHAnsi"/>
          <w:sz w:val="24"/>
          <w:szCs w:val="24"/>
        </w:rPr>
        <w:t>et de la gestion des finances publiques en santé se présente comme suit</w:t>
      </w:r>
      <w:r w:rsidR="002A7E0E" w:rsidRPr="00BF29A2">
        <w:rPr>
          <w:rFonts w:cstheme="minorHAnsi"/>
          <w:sz w:val="24"/>
          <w:szCs w:val="24"/>
        </w:rPr>
        <w:t> :</w:t>
      </w:r>
    </w:p>
    <w:p w14:paraId="6F77C40D" w14:textId="77777777" w:rsidR="002A7E0E" w:rsidRPr="00BF29A2" w:rsidRDefault="00971E95" w:rsidP="00A22125">
      <w:pPr>
        <w:rPr>
          <w:rFonts w:cstheme="minorHAnsi"/>
          <w:i/>
          <w:sz w:val="24"/>
          <w:szCs w:val="24"/>
          <w:u w:val="single"/>
        </w:rPr>
      </w:pPr>
      <w:r>
        <w:rPr>
          <w:rFonts w:cstheme="minorHAnsi"/>
          <w:i/>
          <w:sz w:val="24"/>
          <w:szCs w:val="24"/>
          <w:u w:val="single"/>
        </w:rPr>
        <w:t>Collecte</w:t>
      </w:r>
      <w:r w:rsidR="002A7E0E" w:rsidRPr="00BF29A2">
        <w:rPr>
          <w:rFonts w:cstheme="minorHAnsi"/>
          <w:i/>
          <w:sz w:val="24"/>
          <w:szCs w:val="24"/>
          <w:u w:val="single"/>
        </w:rPr>
        <w:t xml:space="preserve"> des ressources :</w:t>
      </w:r>
    </w:p>
    <w:p w14:paraId="60A91278" w14:textId="77777777" w:rsidR="002A7E0E" w:rsidRPr="00BF29A2" w:rsidRDefault="002A7E0E" w:rsidP="00A22125">
      <w:pPr>
        <w:rPr>
          <w:rFonts w:cstheme="minorHAnsi"/>
          <w:sz w:val="24"/>
          <w:szCs w:val="24"/>
        </w:rPr>
      </w:pPr>
      <w:r w:rsidRPr="00BF29A2">
        <w:rPr>
          <w:rFonts w:cstheme="minorHAnsi"/>
          <w:sz w:val="24"/>
          <w:szCs w:val="24"/>
        </w:rPr>
        <w:t xml:space="preserve">Les dépenses publiques de santé au Niger représentent </w:t>
      </w:r>
      <w:r w:rsidR="00B65E81">
        <w:rPr>
          <w:rFonts w:cstheme="minorHAnsi"/>
          <w:sz w:val="24"/>
          <w:szCs w:val="24"/>
        </w:rPr>
        <w:t>à peine plus de 2</w:t>
      </w:r>
      <w:r w:rsidRPr="00BF29A2">
        <w:rPr>
          <w:rFonts w:cstheme="minorHAnsi"/>
          <w:sz w:val="24"/>
          <w:szCs w:val="24"/>
        </w:rPr>
        <w:t>% du PIB</w:t>
      </w:r>
      <w:r w:rsidR="00B65E81">
        <w:rPr>
          <w:rStyle w:val="Appelnotedebasdep"/>
          <w:rFonts w:cstheme="minorHAnsi"/>
          <w:sz w:val="24"/>
          <w:szCs w:val="24"/>
        </w:rPr>
        <w:footnoteReference w:id="7"/>
      </w:r>
      <w:r w:rsidRPr="00BF29A2">
        <w:rPr>
          <w:rFonts w:cstheme="minorHAnsi"/>
          <w:sz w:val="24"/>
          <w:szCs w:val="24"/>
        </w:rPr>
        <w:t>. Dans la déclaration des Nations Unies du 23 Septembre 2019, il est suggéré « un objectif minimum de 5% du PIB ». Aussi l’effort public dans le financement de la santé au Niger est-il relativement bas</w:t>
      </w:r>
      <w:r w:rsidR="00B65E81">
        <w:rPr>
          <w:rFonts w:cstheme="minorHAnsi"/>
          <w:sz w:val="24"/>
          <w:szCs w:val="24"/>
        </w:rPr>
        <w:t xml:space="preserve"> pour atteindre la CSU</w:t>
      </w:r>
      <w:r w:rsidRPr="00BF29A2">
        <w:rPr>
          <w:rFonts w:cstheme="minorHAnsi"/>
          <w:sz w:val="24"/>
          <w:szCs w:val="24"/>
        </w:rPr>
        <w:t>.</w:t>
      </w:r>
    </w:p>
    <w:p w14:paraId="51366739" w14:textId="77777777" w:rsidR="002A7E0E" w:rsidRPr="00BF29A2" w:rsidRDefault="002A7E0E" w:rsidP="00A22125">
      <w:pPr>
        <w:rPr>
          <w:rFonts w:cstheme="minorHAnsi"/>
          <w:sz w:val="24"/>
          <w:szCs w:val="24"/>
        </w:rPr>
      </w:pPr>
      <w:r w:rsidRPr="00BF29A2">
        <w:rPr>
          <w:rFonts w:cstheme="minorHAnsi"/>
          <w:sz w:val="24"/>
          <w:szCs w:val="24"/>
        </w:rPr>
        <w:t>Cette situation est en partie compensée par l’effort consenti par les ménages </w:t>
      </w:r>
      <w:r w:rsidR="00D56EC9" w:rsidRPr="00BF29A2">
        <w:rPr>
          <w:rFonts w:cstheme="minorHAnsi"/>
          <w:sz w:val="24"/>
          <w:szCs w:val="24"/>
        </w:rPr>
        <w:t xml:space="preserve">qui contribuent à hauteur de </w:t>
      </w:r>
      <w:r w:rsidR="00F04741">
        <w:rPr>
          <w:rFonts w:cstheme="minorHAnsi"/>
          <w:sz w:val="24"/>
          <w:szCs w:val="24"/>
        </w:rPr>
        <w:t>45.86</w:t>
      </w:r>
      <w:r w:rsidR="00D56EC9" w:rsidRPr="00BF29A2">
        <w:rPr>
          <w:rFonts w:cstheme="minorHAnsi"/>
          <w:sz w:val="24"/>
          <w:szCs w:val="24"/>
        </w:rPr>
        <w:t>% des dépenses totales de santé nationales</w:t>
      </w:r>
      <w:r w:rsidR="00F04741">
        <w:rPr>
          <w:rFonts w:cstheme="minorHAnsi"/>
          <w:sz w:val="24"/>
          <w:szCs w:val="24"/>
        </w:rPr>
        <w:t xml:space="preserve"> en 2017, </w:t>
      </w:r>
      <w:r w:rsidR="00E30B5F">
        <w:rPr>
          <w:rFonts w:cstheme="minorHAnsi"/>
          <w:sz w:val="24"/>
          <w:szCs w:val="24"/>
        </w:rPr>
        <w:t>ce qui correspond à un montant de</w:t>
      </w:r>
      <w:r w:rsidR="00F04741">
        <w:rPr>
          <w:rFonts w:cstheme="minorHAnsi"/>
          <w:sz w:val="24"/>
          <w:szCs w:val="24"/>
        </w:rPr>
        <w:t xml:space="preserve"> 8.597 FCFA sur 18.475 FCFA par </w:t>
      </w:r>
      <w:r w:rsidR="00E30B5F">
        <w:rPr>
          <w:rFonts w:cstheme="minorHAnsi"/>
          <w:sz w:val="24"/>
          <w:szCs w:val="24"/>
        </w:rPr>
        <w:t>personne et par an</w:t>
      </w:r>
      <w:r w:rsidR="00D56EC9" w:rsidRPr="00BF29A2">
        <w:rPr>
          <w:rFonts w:cstheme="minorHAnsi"/>
          <w:sz w:val="24"/>
          <w:szCs w:val="24"/>
        </w:rPr>
        <w:t>. Ceci montre qu’</w:t>
      </w:r>
      <w:r w:rsidRPr="00BF29A2">
        <w:rPr>
          <w:rFonts w:cstheme="minorHAnsi"/>
          <w:sz w:val="24"/>
          <w:szCs w:val="24"/>
        </w:rPr>
        <w:t>une part très importante des dépenses de santé est laissée à la charge des populations.</w:t>
      </w:r>
    </w:p>
    <w:p w14:paraId="2F22E98C" w14:textId="77777777" w:rsidR="00D56EC9" w:rsidRPr="00BF29A2" w:rsidRDefault="00756F52" w:rsidP="00756F52">
      <w:pPr>
        <w:rPr>
          <w:rFonts w:cstheme="minorHAnsi"/>
          <w:sz w:val="24"/>
          <w:szCs w:val="24"/>
        </w:rPr>
      </w:pPr>
      <w:r w:rsidRPr="00756F52">
        <w:rPr>
          <w:rFonts w:cstheme="minorHAnsi"/>
          <w:sz w:val="24"/>
          <w:szCs w:val="24"/>
        </w:rPr>
        <w:t>Les transferts d'origine étrangère distribué</w:t>
      </w:r>
      <w:r>
        <w:rPr>
          <w:rFonts w:cstheme="minorHAnsi"/>
          <w:sz w:val="24"/>
          <w:szCs w:val="24"/>
        </w:rPr>
        <w:t xml:space="preserve">s par l'administration publique </w:t>
      </w:r>
      <w:r w:rsidRPr="00756F52">
        <w:rPr>
          <w:rFonts w:cstheme="minorHAnsi"/>
          <w:sz w:val="24"/>
          <w:szCs w:val="24"/>
        </w:rPr>
        <w:t>représentent</w:t>
      </w:r>
      <w:r>
        <w:rPr>
          <w:rFonts w:cstheme="minorHAnsi"/>
          <w:sz w:val="24"/>
          <w:szCs w:val="24"/>
        </w:rPr>
        <w:t xml:space="preserve"> 11,9% (</w:t>
      </w:r>
      <w:r w:rsidRPr="00756F52">
        <w:rPr>
          <w:rFonts w:cstheme="minorHAnsi"/>
          <w:sz w:val="24"/>
          <w:szCs w:val="24"/>
        </w:rPr>
        <w:t xml:space="preserve">43,682 milliards </w:t>
      </w:r>
      <w:r>
        <w:rPr>
          <w:rFonts w:cstheme="minorHAnsi"/>
          <w:sz w:val="24"/>
          <w:szCs w:val="24"/>
        </w:rPr>
        <w:t>FCFA</w:t>
      </w:r>
      <w:r w:rsidRPr="00756F52">
        <w:rPr>
          <w:rFonts w:cstheme="minorHAnsi"/>
          <w:sz w:val="24"/>
          <w:szCs w:val="24"/>
        </w:rPr>
        <w:t>) des dépenses courantes de santé en 2017</w:t>
      </w:r>
      <w:r>
        <w:rPr>
          <w:rFonts w:cstheme="minorHAnsi"/>
          <w:sz w:val="24"/>
          <w:szCs w:val="24"/>
        </w:rPr>
        <w:t xml:space="preserve">, ce qui est substantiel et semble promis à augmenter. </w:t>
      </w:r>
    </w:p>
    <w:p w14:paraId="696672A7" w14:textId="77777777" w:rsidR="002A7E0E" w:rsidRPr="00BF29A2" w:rsidRDefault="002A7E0E" w:rsidP="00A22125">
      <w:pPr>
        <w:rPr>
          <w:rFonts w:cstheme="minorHAnsi"/>
          <w:i/>
          <w:sz w:val="24"/>
          <w:szCs w:val="24"/>
          <w:u w:val="single"/>
        </w:rPr>
      </w:pPr>
      <w:r w:rsidRPr="00BF29A2">
        <w:rPr>
          <w:rFonts w:cstheme="minorHAnsi"/>
          <w:i/>
          <w:sz w:val="24"/>
          <w:szCs w:val="24"/>
          <w:u w:val="single"/>
        </w:rPr>
        <w:t>Mise en commun des ressources :</w:t>
      </w:r>
    </w:p>
    <w:p w14:paraId="1A4965DC" w14:textId="77777777" w:rsidR="00D56EC9" w:rsidRDefault="002A7E0E" w:rsidP="00A22125">
      <w:pPr>
        <w:rPr>
          <w:rFonts w:cstheme="minorHAnsi"/>
          <w:sz w:val="24"/>
          <w:szCs w:val="24"/>
        </w:rPr>
      </w:pPr>
      <w:r w:rsidRPr="00BF29A2">
        <w:rPr>
          <w:rFonts w:cstheme="minorHAnsi"/>
          <w:sz w:val="24"/>
          <w:szCs w:val="24"/>
        </w:rPr>
        <w:t xml:space="preserve">Les dépenses de santé des ménages </w:t>
      </w:r>
      <w:r w:rsidR="00D56EC9" w:rsidRPr="00BF29A2">
        <w:rPr>
          <w:rFonts w:cstheme="minorHAnsi"/>
          <w:sz w:val="24"/>
          <w:szCs w:val="24"/>
        </w:rPr>
        <w:t>ne sont pratiquement</w:t>
      </w:r>
      <w:r w:rsidRPr="00BF29A2">
        <w:rPr>
          <w:rFonts w:cstheme="minorHAnsi"/>
          <w:sz w:val="24"/>
          <w:szCs w:val="24"/>
        </w:rPr>
        <w:t xml:space="preserve"> </w:t>
      </w:r>
      <w:r w:rsidR="00D56EC9" w:rsidRPr="00BF29A2">
        <w:rPr>
          <w:rFonts w:cstheme="minorHAnsi"/>
          <w:sz w:val="24"/>
          <w:szCs w:val="24"/>
        </w:rPr>
        <w:t xml:space="preserve">que </w:t>
      </w:r>
      <w:r w:rsidRPr="00BF29A2">
        <w:rPr>
          <w:rFonts w:cstheme="minorHAnsi"/>
          <w:sz w:val="24"/>
          <w:szCs w:val="24"/>
        </w:rPr>
        <w:t>des paiements directs</w:t>
      </w:r>
      <w:r w:rsidR="00316F0B">
        <w:rPr>
          <w:rFonts w:cstheme="minorHAnsi"/>
          <w:sz w:val="24"/>
          <w:szCs w:val="24"/>
        </w:rPr>
        <w:t xml:space="preserve"> car les cotisations volontaires ou obligatoires sont très faibles. Or ces paiements directs sont très </w:t>
      </w:r>
      <w:r w:rsidR="00F04741">
        <w:rPr>
          <w:rFonts w:cstheme="minorHAnsi"/>
          <w:sz w:val="24"/>
          <w:szCs w:val="24"/>
        </w:rPr>
        <w:t>élevés</w:t>
      </w:r>
      <w:r w:rsidR="00316F0B">
        <w:rPr>
          <w:rFonts w:cstheme="minorHAnsi"/>
          <w:sz w:val="24"/>
          <w:szCs w:val="24"/>
        </w:rPr>
        <w:t xml:space="preserve"> puisqu’elles r</w:t>
      </w:r>
      <w:r w:rsidR="00B65E81">
        <w:rPr>
          <w:rFonts w:cstheme="minorHAnsi"/>
          <w:sz w:val="24"/>
          <w:szCs w:val="24"/>
        </w:rPr>
        <w:t>eprésentent</w:t>
      </w:r>
      <w:r w:rsidR="00B65E81" w:rsidRPr="00B65E81">
        <w:rPr>
          <w:rFonts w:cstheme="minorHAnsi"/>
          <w:sz w:val="24"/>
          <w:szCs w:val="24"/>
        </w:rPr>
        <w:t xml:space="preserve"> </w:t>
      </w:r>
      <w:r w:rsidR="00316F0B">
        <w:rPr>
          <w:rFonts w:cstheme="minorHAnsi"/>
          <w:sz w:val="24"/>
          <w:szCs w:val="24"/>
        </w:rPr>
        <w:t>47.83</w:t>
      </w:r>
      <w:r w:rsidR="00756F52" w:rsidRPr="00756F52">
        <w:rPr>
          <w:rFonts w:cstheme="minorHAnsi"/>
          <w:sz w:val="24"/>
          <w:szCs w:val="24"/>
        </w:rPr>
        <w:t>%</w:t>
      </w:r>
      <w:r w:rsidR="00756F52" w:rsidRPr="00BF29A2">
        <w:rPr>
          <w:rFonts w:cstheme="minorHAnsi"/>
          <w:sz w:val="24"/>
          <w:szCs w:val="24"/>
        </w:rPr>
        <w:t xml:space="preserve"> </w:t>
      </w:r>
      <w:r w:rsidR="00F04741">
        <w:rPr>
          <w:rFonts w:cstheme="minorHAnsi"/>
          <w:sz w:val="24"/>
          <w:szCs w:val="24"/>
        </w:rPr>
        <w:t>des dépenses</w:t>
      </w:r>
      <w:r w:rsidR="00756F52" w:rsidRPr="00756F52">
        <w:rPr>
          <w:rFonts w:cstheme="minorHAnsi"/>
          <w:sz w:val="24"/>
          <w:szCs w:val="24"/>
        </w:rPr>
        <w:t xml:space="preserve"> </w:t>
      </w:r>
      <w:r w:rsidR="00316F0B">
        <w:rPr>
          <w:rFonts w:cstheme="minorHAnsi"/>
          <w:sz w:val="24"/>
          <w:szCs w:val="24"/>
        </w:rPr>
        <w:t>courantes</w:t>
      </w:r>
      <w:r w:rsidR="00E30B5F">
        <w:rPr>
          <w:rStyle w:val="Appelnotedebasdep"/>
          <w:rFonts w:cstheme="minorHAnsi"/>
          <w:sz w:val="24"/>
          <w:szCs w:val="24"/>
        </w:rPr>
        <w:footnoteReference w:id="8"/>
      </w:r>
      <w:r w:rsidR="00756F52" w:rsidRPr="00756F52">
        <w:rPr>
          <w:rFonts w:cstheme="minorHAnsi"/>
          <w:sz w:val="24"/>
          <w:szCs w:val="24"/>
        </w:rPr>
        <w:t xml:space="preserve"> de santé</w:t>
      </w:r>
      <w:r w:rsidR="00756F52">
        <w:rPr>
          <w:rFonts w:cstheme="minorHAnsi"/>
          <w:sz w:val="24"/>
          <w:szCs w:val="24"/>
        </w:rPr>
        <w:t xml:space="preserve"> en 2017. </w:t>
      </w:r>
      <w:r w:rsidR="00D56EC9" w:rsidRPr="00BF29A2">
        <w:rPr>
          <w:rFonts w:cstheme="minorHAnsi"/>
          <w:sz w:val="24"/>
          <w:szCs w:val="24"/>
        </w:rPr>
        <w:t xml:space="preserve">Ceci signifie </w:t>
      </w:r>
      <w:r w:rsidRPr="00BF29A2">
        <w:rPr>
          <w:rFonts w:cstheme="minorHAnsi"/>
          <w:sz w:val="24"/>
          <w:szCs w:val="24"/>
        </w:rPr>
        <w:t>que beaucoup de ménages tombent dans la pauvreté pour cause de dépenses catastrophiques. La mise en commun des ressources est donc très limitée</w:t>
      </w:r>
      <w:r w:rsidR="00D56EC9" w:rsidRPr="00BF29A2">
        <w:rPr>
          <w:rFonts w:cstheme="minorHAnsi"/>
          <w:sz w:val="24"/>
          <w:szCs w:val="24"/>
        </w:rPr>
        <w:t xml:space="preserve"> et ne</w:t>
      </w:r>
      <w:r w:rsidRPr="00BF29A2">
        <w:rPr>
          <w:rFonts w:cstheme="minorHAnsi"/>
          <w:sz w:val="24"/>
          <w:szCs w:val="24"/>
        </w:rPr>
        <w:t xml:space="preserve"> se produit pratiquement qu’au niveau du budget de l’Etat sur des postes comme celui des ressources humaines en santé, ou encore la gratuité des soins</w:t>
      </w:r>
      <w:r w:rsidR="0059217F">
        <w:rPr>
          <w:rFonts w:cstheme="minorHAnsi"/>
          <w:sz w:val="24"/>
          <w:szCs w:val="24"/>
        </w:rPr>
        <w:t xml:space="preserve"> pour les femmes enceintes et les enfants de moins de 5 ans</w:t>
      </w:r>
      <w:r w:rsidRPr="00BF29A2">
        <w:rPr>
          <w:rFonts w:cstheme="minorHAnsi"/>
          <w:sz w:val="24"/>
          <w:szCs w:val="24"/>
        </w:rPr>
        <w:t xml:space="preserve">. </w:t>
      </w:r>
    </w:p>
    <w:p w14:paraId="0CD55FB3" w14:textId="77777777" w:rsidR="0059217F" w:rsidRDefault="0059217F" w:rsidP="00A22125">
      <w:pPr>
        <w:rPr>
          <w:rFonts w:cstheme="minorHAnsi"/>
          <w:sz w:val="24"/>
          <w:szCs w:val="24"/>
        </w:rPr>
      </w:pPr>
      <w:r>
        <w:rPr>
          <w:rFonts w:cstheme="minorHAnsi"/>
          <w:sz w:val="24"/>
          <w:szCs w:val="24"/>
        </w:rPr>
        <w:t>Le niveau de protection social</w:t>
      </w:r>
      <w:r w:rsidR="00E30B5F">
        <w:rPr>
          <w:rFonts w:cstheme="minorHAnsi"/>
          <w:sz w:val="24"/>
          <w:szCs w:val="24"/>
        </w:rPr>
        <w:t>e</w:t>
      </w:r>
      <w:r>
        <w:rPr>
          <w:rFonts w:cstheme="minorHAnsi"/>
          <w:sz w:val="24"/>
          <w:szCs w:val="24"/>
        </w:rPr>
        <w:t xml:space="preserve"> devrait être louable avec ce mécanisme puisqu’il concerne près de 25</w:t>
      </w:r>
      <w:r w:rsidR="00756F52">
        <w:rPr>
          <w:rFonts w:cstheme="minorHAnsi"/>
          <w:sz w:val="24"/>
          <w:szCs w:val="24"/>
        </w:rPr>
        <w:t>%</w:t>
      </w:r>
      <w:r>
        <w:rPr>
          <w:rFonts w:cstheme="minorHAnsi"/>
          <w:sz w:val="24"/>
          <w:szCs w:val="24"/>
        </w:rPr>
        <w:t xml:space="preserve"> de la population</w:t>
      </w:r>
      <w:r w:rsidR="00866A12">
        <w:rPr>
          <w:rFonts w:cstheme="minorHAnsi"/>
          <w:sz w:val="24"/>
          <w:szCs w:val="24"/>
        </w:rPr>
        <w:t xml:space="preserve"> (femmes enceintes et enfants de moins de 5 ans) </w:t>
      </w:r>
      <w:r>
        <w:rPr>
          <w:rFonts w:cstheme="minorHAnsi"/>
          <w:sz w:val="24"/>
          <w:szCs w:val="24"/>
        </w:rPr>
        <w:t xml:space="preserve">et couvre des services essentiels. Néanmoins l’évolution du niveau de paiement direct des ménages montre que la couverture contre le risque financier est limitée et qu’elle </w:t>
      </w:r>
      <w:r w:rsidR="001040FA">
        <w:rPr>
          <w:rFonts w:cstheme="minorHAnsi"/>
          <w:sz w:val="24"/>
          <w:szCs w:val="24"/>
        </w:rPr>
        <w:t>ne s’améliore pas</w:t>
      </w:r>
      <w:r>
        <w:rPr>
          <w:rFonts w:cstheme="minorHAnsi"/>
          <w:sz w:val="24"/>
          <w:szCs w:val="24"/>
        </w:rPr>
        <w:t>, ceci interrogeant le fonctionnement du mécanisme de gratuité :</w:t>
      </w:r>
    </w:p>
    <w:p w14:paraId="70C50109" w14:textId="77777777" w:rsidR="0059217F" w:rsidRPr="00BF29A2" w:rsidRDefault="00F04741" w:rsidP="00A22125">
      <w:pPr>
        <w:rPr>
          <w:rFonts w:cstheme="minorHAnsi"/>
          <w:sz w:val="24"/>
          <w:szCs w:val="24"/>
        </w:rPr>
      </w:pPr>
      <w:r>
        <w:rPr>
          <w:rFonts w:cstheme="minorHAnsi"/>
          <w:noProof/>
          <w:sz w:val="24"/>
          <w:szCs w:val="24"/>
          <w:lang w:eastAsia="fr-FR"/>
        </w:rPr>
        <w:drawing>
          <wp:inline distT="0" distB="0" distL="0" distR="0" wp14:anchorId="3653D953" wp14:editId="49C50F42">
            <wp:extent cx="5913120" cy="1914962"/>
            <wp:effectExtent l="0" t="0" r="0" b="9525"/>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3060" cy="1911704"/>
                    </a:xfrm>
                    <a:prstGeom prst="rect">
                      <a:avLst/>
                    </a:prstGeom>
                    <a:noFill/>
                  </pic:spPr>
                </pic:pic>
              </a:graphicData>
            </a:graphic>
          </wp:inline>
        </w:drawing>
      </w:r>
    </w:p>
    <w:p w14:paraId="50C59A26" w14:textId="77777777" w:rsidR="00E972F3" w:rsidRPr="00BF29A2" w:rsidRDefault="00D56EC9" w:rsidP="00A22125">
      <w:pPr>
        <w:rPr>
          <w:rFonts w:cstheme="minorHAnsi"/>
          <w:sz w:val="24"/>
          <w:szCs w:val="24"/>
        </w:rPr>
      </w:pPr>
      <w:r w:rsidRPr="00BF29A2">
        <w:rPr>
          <w:rFonts w:cstheme="minorHAnsi"/>
          <w:sz w:val="24"/>
          <w:szCs w:val="24"/>
        </w:rPr>
        <w:t>L’expérience du « Fonds Commun » va dans le sens d’un</w:t>
      </w:r>
      <w:r w:rsidR="00866A12">
        <w:rPr>
          <w:rFonts w:cstheme="minorHAnsi"/>
          <w:sz w:val="24"/>
          <w:szCs w:val="24"/>
        </w:rPr>
        <w:t>e mutualisation des ressources extérieures en l’occurrence</w:t>
      </w:r>
      <w:r w:rsidRPr="00BF29A2">
        <w:rPr>
          <w:rFonts w:cstheme="minorHAnsi"/>
          <w:sz w:val="24"/>
          <w:szCs w:val="24"/>
        </w:rPr>
        <w:t xml:space="preserve"> ; malheureusement les partenaires ont tendance à utiliser ce dispositif comme une unité de gestion et reviennent à des financements dédiés. </w:t>
      </w:r>
      <w:r w:rsidR="002A7E0E" w:rsidRPr="00BF29A2">
        <w:rPr>
          <w:rFonts w:cstheme="minorHAnsi"/>
          <w:sz w:val="24"/>
          <w:szCs w:val="24"/>
        </w:rPr>
        <w:t xml:space="preserve">La réforme des budgets-programmes doit </w:t>
      </w:r>
      <w:r w:rsidRPr="00BF29A2">
        <w:rPr>
          <w:rFonts w:cstheme="minorHAnsi"/>
          <w:sz w:val="24"/>
          <w:szCs w:val="24"/>
        </w:rPr>
        <w:t xml:space="preserve">par contre durablement </w:t>
      </w:r>
      <w:r w:rsidR="002A7E0E" w:rsidRPr="00BF29A2">
        <w:rPr>
          <w:rFonts w:cstheme="minorHAnsi"/>
          <w:sz w:val="24"/>
          <w:szCs w:val="24"/>
        </w:rPr>
        <w:t xml:space="preserve">améliorer la mutualisation des fonds au </w:t>
      </w:r>
      <w:r w:rsidRPr="00BF29A2">
        <w:rPr>
          <w:rFonts w:cstheme="minorHAnsi"/>
          <w:sz w:val="24"/>
          <w:szCs w:val="24"/>
        </w:rPr>
        <w:t>sein</w:t>
      </w:r>
      <w:r w:rsidR="002A7E0E" w:rsidRPr="00BF29A2">
        <w:rPr>
          <w:rFonts w:cstheme="minorHAnsi"/>
          <w:sz w:val="24"/>
          <w:szCs w:val="24"/>
        </w:rPr>
        <w:t xml:space="preserve"> des </w:t>
      </w:r>
      <w:r w:rsidRPr="00BF29A2">
        <w:rPr>
          <w:rFonts w:cstheme="minorHAnsi"/>
          <w:sz w:val="24"/>
          <w:szCs w:val="24"/>
        </w:rPr>
        <w:t>programmes</w:t>
      </w:r>
      <w:r w:rsidR="002A7E0E" w:rsidRPr="00BF29A2">
        <w:rPr>
          <w:rFonts w:cstheme="minorHAnsi"/>
          <w:sz w:val="24"/>
          <w:szCs w:val="24"/>
        </w:rPr>
        <w:t>.</w:t>
      </w:r>
      <w:r w:rsidRPr="00BF29A2">
        <w:rPr>
          <w:rFonts w:cstheme="minorHAnsi"/>
          <w:sz w:val="24"/>
          <w:szCs w:val="24"/>
        </w:rPr>
        <w:t xml:space="preserve"> </w:t>
      </w:r>
    </w:p>
    <w:p w14:paraId="47B78297" w14:textId="77777777" w:rsidR="00D56EC9" w:rsidRPr="00BF29A2" w:rsidRDefault="00D56EC9" w:rsidP="00A22125">
      <w:pPr>
        <w:rPr>
          <w:rFonts w:cstheme="minorHAnsi"/>
          <w:i/>
          <w:sz w:val="24"/>
          <w:szCs w:val="24"/>
          <w:u w:val="single"/>
        </w:rPr>
      </w:pPr>
      <w:r w:rsidRPr="00BF29A2">
        <w:rPr>
          <w:rFonts w:cstheme="minorHAnsi"/>
          <w:i/>
          <w:sz w:val="24"/>
          <w:szCs w:val="24"/>
          <w:u w:val="single"/>
        </w:rPr>
        <w:t xml:space="preserve">L’achat </w:t>
      </w:r>
      <w:r w:rsidR="00971E95">
        <w:rPr>
          <w:rFonts w:cstheme="minorHAnsi"/>
          <w:i/>
          <w:sz w:val="24"/>
          <w:szCs w:val="24"/>
          <w:u w:val="single"/>
        </w:rPr>
        <w:t xml:space="preserve">des services et le paiement </w:t>
      </w:r>
      <w:r w:rsidRPr="00BF29A2">
        <w:rPr>
          <w:rFonts w:cstheme="minorHAnsi"/>
          <w:i/>
          <w:sz w:val="24"/>
          <w:szCs w:val="24"/>
          <w:u w:val="single"/>
        </w:rPr>
        <w:t xml:space="preserve">des </w:t>
      </w:r>
      <w:r w:rsidR="00971E95">
        <w:rPr>
          <w:rFonts w:cstheme="minorHAnsi"/>
          <w:i/>
          <w:sz w:val="24"/>
          <w:szCs w:val="24"/>
          <w:u w:val="single"/>
        </w:rPr>
        <w:t>prestataires (inclus les allocations)</w:t>
      </w:r>
    </w:p>
    <w:p w14:paraId="6619AC13" w14:textId="77777777" w:rsidR="00E071F1" w:rsidRDefault="00D56EC9" w:rsidP="00E071F1">
      <w:pPr>
        <w:spacing w:line="240" w:lineRule="auto"/>
        <w:jc w:val="both"/>
        <w:rPr>
          <w:rFonts w:cstheme="minorHAnsi"/>
          <w:sz w:val="24"/>
          <w:szCs w:val="24"/>
        </w:rPr>
      </w:pPr>
      <w:r w:rsidRPr="00BF29A2">
        <w:rPr>
          <w:rFonts w:cstheme="minorHAnsi"/>
          <w:sz w:val="24"/>
          <w:szCs w:val="24"/>
        </w:rPr>
        <w:t xml:space="preserve">La question posée ici relève du caractère dit « stratégique » ou non des dépenses de santé. </w:t>
      </w:r>
      <w:r w:rsidR="009C06D0" w:rsidRPr="00BF29A2">
        <w:rPr>
          <w:rFonts w:cstheme="minorHAnsi"/>
          <w:sz w:val="24"/>
          <w:szCs w:val="24"/>
        </w:rPr>
        <w:t xml:space="preserve">Les dispositifs qui </w:t>
      </w:r>
      <w:r w:rsidR="00971E95">
        <w:rPr>
          <w:rFonts w:cstheme="minorHAnsi"/>
          <w:sz w:val="24"/>
          <w:szCs w:val="24"/>
        </w:rPr>
        <w:t>lient les dépenses à</w:t>
      </w:r>
      <w:r w:rsidR="009C06D0" w:rsidRPr="00BF29A2">
        <w:rPr>
          <w:rFonts w:cstheme="minorHAnsi"/>
          <w:sz w:val="24"/>
          <w:szCs w:val="24"/>
        </w:rPr>
        <w:t xml:space="preserve"> un suivi de l’information peuvent s’améliorer avec le DPPD, mais ils sont encore sous-optimaux. Par exemple le remboursement des dépenses des prestataires de soins de santé relatives à l’exemption de paiements des enfants de moins de 5 ans n’est pas assis sur un dispositif de contrôle financier et médical suffisant</w:t>
      </w:r>
      <w:r w:rsidR="00AB1F76">
        <w:rPr>
          <w:rFonts w:cstheme="minorHAnsi"/>
          <w:sz w:val="24"/>
          <w:szCs w:val="24"/>
        </w:rPr>
        <w:t>, ni une quelconque contractualisation ou conventionnement</w:t>
      </w:r>
      <w:r w:rsidR="009C06D0" w:rsidRPr="00BF29A2">
        <w:rPr>
          <w:rFonts w:cstheme="minorHAnsi"/>
          <w:sz w:val="24"/>
          <w:szCs w:val="24"/>
        </w:rPr>
        <w:t xml:space="preserve">. </w:t>
      </w:r>
      <w:r w:rsidR="00E071F1">
        <w:rPr>
          <w:rFonts w:cstheme="minorHAnsi"/>
          <w:sz w:val="24"/>
          <w:szCs w:val="24"/>
        </w:rPr>
        <w:t>Du reste, le mécanisme couvre</w:t>
      </w:r>
      <w:r w:rsidR="00E071F1" w:rsidRPr="00BF29A2">
        <w:rPr>
          <w:rFonts w:cstheme="minorHAnsi"/>
          <w:sz w:val="24"/>
          <w:szCs w:val="24"/>
        </w:rPr>
        <w:t xml:space="preserve"> </w:t>
      </w:r>
      <w:r w:rsidR="00E071F1">
        <w:rPr>
          <w:rFonts w:cstheme="minorHAnsi"/>
          <w:sz w:val="24"/>
          <w:szCs w:val="24"/>
        </w:rPr>
        <w:t xml:space="preserve">théoriquement sans distinction </w:t>
      </w:r>
      <w:r w:rsidR="00E071F1" w:rsidRPr="00BF29A2">
        <w:rPr>
          <w:rFonts w:cstheme="minorHAnsi"/>
          <w:sz w:val="24"/>
          <w:szCs w:val="24"/>
        </w:rPr>
        <w:t>tous les enfants de moins de 5 ans et toutes les femmes enceintes quel que s</w:t>
      </w:r>
      <w:r w:rsidR="00E071F1">
        <w:rPr>
          <w:rFonts w:cstheme="minorHAnsi"/>
          <w:sz w:val="24"/>
          <w:szCs w:val="24"/>
        </w:rPr>
        <w:t xml:space="preserve">oit leur niveau socioéconomique, </w:t>
      </w:r>
      <w:r w:rsidR="00866A12">
        <w:rPr>
          <w:rFonts w:cstheme="minorHAnsi"/>
          <w:sz w:val="24"/>
          <w:szCs w:val="24"/>
        </w:rPr>
        <w:t>et</w:t>
      </w:r>
      <w:r w:rsidR="00E071F1">
        <w:rPr>
          <w:rFonts w:cstheme="minorHAnsi"/>
          <w:sz w:val="24"/>
          <w:szCs w:val="24"/>
        </w:rPr>
        <w:t xml:space="preserve"> </w:t>
      </w:r>
      <w:r w:rsidR="00E071F1" w:rsidRPr="00BF29A2">
        <w:rPr>
          <w:rFonts w:cstheme="minorHAnsi"/>
          <w:sz w:val="24"/>
          <w:szCs w:val="24"/>
        </w:rPr>
        <w:t xml:space="preserve">le remboursement aux prestataires de soins de santé ne se fait que très partiellement et avec beaucoup de retard. </w:t>
      </w:r>
    </w:p>
    <w:p w14:paraId="01EB5136" w14:textId="77777777" w:rsidR="005C41C9" w:rsidRDefault="00AB1F76" w:rsidP="00E071F1">
      <w:pPr>
        <w:spacing w:line="240" w:lineRule="auto"/>
        <w:jc w:val="both"/>
        <w:rPr>
          <w:rFonts w:cstheme="minorHAnsi"/>
          <w:sz w:val="24"/>
          <w:szCs w:val="24"/>
        </w:rPr>
      </w:pPr>
      <w:r>
        <w:rPr>
          <w:rFonts w:cstheme="minorHAnsi"/>
          <w:sz w:val="24"/>
          <w:szCs w:val="24"/>
        </w:rPr>
        <w:t xml:space="preserve">Certains projets initiés par des </w:t>
      </w:r>
      <w:r w:rsidR="00866A12">
        <w:rPr>
          <w:rFonts w:cstheme="minorHAnsi"/>
          <w:sz w:val="24"/>
          <w:szCs w:val="24"/>
        </w:rPr>
        <w:t>PTF</w:t>
      </w:r>
      <w:r>
        <w:rPr>
          <w:rFonts w:cstheme="minorHAnsi"/>
          <w:sz w:val="24"/>
          <w:szCs w:val="24"/>
        </w:rPr>
        <w:t xml:space="preserve"> expérimentent l’achat stratégique dans le cadre de la prise en charge de certaines prestations de la gratuité, d’autres prestations médicales, </w:t>
      </w:r>
      <w:r w:rsidR="00866A12">
        <w:rPr>
          <w:rFonts w:cstheme="minorHAnsi"/>
          <w:sz w:val="24"/>
          <w:szCs w:val="24"/>
        </w:rPr>
        <w:t>et</w:t>
      </w:r>
      <w:r>
        <w:rPr>
          <w:rFonts w:cstheme="minorHAnsi"/>
          <w:sz w:val="24"/>
          <w:szCs w:val="24"/>
        </w:rPr>
        <w:t xml:space="preserve"> d’activités de soutien</w:t>
      </w:r>
      <w:r w:rsidR="00866A12">
        <w:rPr>
          <w:rFonts w:cstheme="minorHAnsi"/>
          <w:sz w:val="24"/>
          <w:szCs w:val="24"/>
        </w:rPr>
        <w:t>, ou même de toutes les prestations de qualité</w:t>
      </w:r>
      <w:r>
        <w:rPr>
          <w:rFonts w:cstheme="minorHAnsi"/>
          <w:sz w:val="24"/>
          <w:szCs w:val="24"/>
        </w:rPr>
        <w:t xml:space="preserve">. Mais ces expériences relèvent pour le moment de pilotes ou de propositions isolées non </w:t>
      </w:r>
      <w:r w:rsidR="00866A12">
        <w:rPr>
          <w:rFonts w:cstheme="minorHAnsi"/>
          <w:sz w:val="24"/>
          <w:szCs w:val="24"/>
        </w:rPr>
        <w:t xml:space="preserve">encore </w:t>
      </w:r>
      <w:r>
        <w:rPr>
          <w:rFonts w:cstheme="minorHAnsi"/>
          <w:sz w:val="24"/>
          <w:szCs w:val="24"/>
        </w:rPr>
        <w:t>systématisées ni institutionnalisées.</w:t>
      </w:r>
    </w:p>
    <w:p w14:paraId="3B974535" w14:textId="77777777" w:rsidR="00E071F1" w:rsidRDefault="00E071F1" w:rsidP="00A22125">
      <w:pPr>
        <w:rPr>
          <w:rFonts w:cstheme="minorHAnsi"/>
          <w:sz w:val="24"/>
          <w:szCs w:val="24"/>
        </w:rPr>
      </w:pPr>
      <w:r>
        <w:rPr>
          <w:rFonts w:cstheme="minorHAnsi"/>
          <w:sz w:val="24"/>
          <w:szCs w:val="24"/>
        </w:rPr>
        <w:t xml:space="preserve">La mise à disposition de l’ensemble des ressources (infrastructures, RHS, allocations de crédits et subventions) ne répond pas de manière optimale à l’idéal de répartition stratégique. </w:t>
      </w:r>
      <w:r w:rsidR="00866A12">
        <w:rPr>
          <w:rFonts w:cstheme="minorHAnsi"/>
          <w:sz w:val="24"/>
          <w:szCs w:val="24"/>
        </w:rPr>
        <w:t>Pour aller dans ce sens u</w:t>
      </w:r>
      <w:r>
        <w:rPr>
          <w:rFonts w:cstheme="minorHAnsi"/>
          <w:sz w:val="24"/>
          <w:szCs w:val="24"/>
        </w:rPr>
        <w:t>ne amélioration des outils de gestion de l’information, la priorisation par le leadership,</w:t>
      </w:r>
      <w:r w:rsidR="00866A12">
        <w:rPr>
          <w:rFonts w:cstheme="minorHAnsi"/>
          <w:sz w:val="24"/>
          <w:szCs w:val="24"/>
        </w:rPr>
        <w:t xml:space="preserve"> ainsi que</w:t>
      </w:r>
      <w:r>
        <w:rPr>
          <w:rFonts w:cstheme="minorHAnsi"/>
          <w:sz w:val="24"/>
          <w:szCs w:val="24"/>
        </w:rPr>
        <w:t xml:space="preserve"> la transparence et la redevabilité</w:t>
      </w:r>
      <w:r w:rsidR="00866A12">
        <w:rPr>
          <w:rFonts w:cstheme="minorHAnsi"/>
          <w:sz w:val="24"/>
          <w:szCs w:val="24"/>
        </w:rPr>
        <w:t xml:space="preserve"> doivent être améliorés</w:t>
      </w:r>
      <w:r w:rsidR="006F606D">
        <w:rPr>
          <w:rFonts w:cstheme="minorHAnsi"/>
          <w:sz w:val="24"/>
          <w:szCs w:val="24"/>
        </w:rPr>
        <w:t>.</w:t>
      </w:r>
    </w:p>
    <w:p w14:paraId="3546CBC3" w14:textId="77777777" w:rsidR="00985C19" w:rsidRPr="00985C19" w:rsidRDefault="00985C19" w:rsidP="00A22125">
      <w:pPr>
        <w:rPr>
          <w:rFonts w:cstheme="minorHAnsi"/>
          <w:i/>
          <w:sz w:val="24"/>
          <w:szCs w:val="24"/>
          <w:u w:val="single"/>
        </w:rPr>
      </w:pPr>
      <w:r w:rsidRPr="00985C19">
        <w:rPr>
          <w:rFonts w:cstheme="minorHAnsi"/>
          <w:i/>
          <w:sz w:val="24"/>
          <w:szCs w:val="24"/>
          <w:u w:val="single"/>
        </w:rPr>
        <w:t>Gestion des finances publiques</w:t>
      </w:r>
      <w:r w:rsidR="00474A8A">
        <w:rPr>
          <w:rFonts w:cstheme="minorHAnsi"/>
          <w:i/>
          <w:sz w:val="24"/>
          <w:szCs w:val="24"/>
          <w:u w:val="single"/>
        </w:rPr>
        <w:t xml:space="preserve"> (cycle budgétaire)</w:t>
      </w:r>
    </w:p>
    <w:p w14:paraId="7803C995" w14:textId="77777777" w:rsidR="00985C19" w:rsidRPr="00474A8A" w:rsidRDefault="00985C19" w:rsidP="00985C19">
      <w:pPr>
        <w:rPr>
          <w:rFonts w:cstheme="minorHAnsi"/>
          <w:sz w:val="24"/>
          <w:szCs w:val="24"/>
        </w:rPr>
      </w:pPr>
      <w:r w:rsidRPr="00985C19">
        <w:rPr>
          <w:rFonts w:cstheme="minorHAnsi"/>
          <w:sz w:val="24"/>
          <w:szCs w:val="24"/>
        </w:rPr>
        <w:t xml:space="preserve">Malgré le cadre budgétaire national, la persistance d'une budgétisation parallèle pour les financements </w:t>
      </w:r>
      <w:r w:rsidR="005C41C9">
        <w:rPr>
          <w:rFonts w:cstheme="minorHAnsi"/>
          <w:sz w:val="24"/>
          <w:szCs w:val="24"/>
        </w:rPr>
        <w:t xml:space="preserve">du </w:t>
      </w:r>
      <w:r w:rsidRPr="00985C19">
        <w:rPr>
          <w:rFonts w:cstheme="minorHAnsi"/>
          <w:sz w:val="24"/>
          <w:szCs w:val="24"/>
        </w:rPr>
        <w:t>PAA et pour l</w:t>
      </w:r>
      <w:r w:rsidR="00F02A89">
        <w:rPr>
          <w:rFonts w:cstheme="minorHAnsi"/>
          <w:sz w:val="24"/>
          <w:szCs w:val="24"/>
        </w:rPr>
        <w:t>es financements de l’Etat (PAP)</w:t>
      </w:r>
      <w:r w:rsidRPr="00985C19">
        <w:rPr>
          <w:rFonts w:cstheme="minorHAnsi"/>
          <w:sz w:val="24"/>
          <w:szCs w:val="24"/>
        </w:rPr>
        <w:t xml:space="preserve"> pose un problème d’alignement et d’intégration de certaines interventions au cycle budgétaire normal. </w:t>
      </w:r>
      <w:r w:rsidR="00474A8A" w:rsidRPr="00474A8A">
        <w:rPr>
          <w:rFonts w:cstheme="minorHAnsi"/>
          <w:sz w:val="24"/>
          <w:szCs w:val="24"/>
        </w:rPr>
        <w:t>Alors que le Proj</w:t>
      </w:r>
      <w:r w:rsidR="00F02A89">
        <w:rPr>
          <w:rFonts w:cstheme="minorHAnsi"/>
          <w:sz w:val="24"/>
          <w:szCs w:val="24"/>
        </w:rPr>
        <w:t>et Annuel de Performances (PAP)</w:t>
      </w:r>
      <w:r w:rsidR="00474A8A" w:rsidRPr="00474A8A">
        <w:rPr>
          <w:rFonts w:cstheme="minorHAnsi"/>
          <w:sz w:val="24"/>
          <w:szCs w:val="24"/>
        </w:rPr>
        <w:t xml:space="preserve"> préparé chaque année intègre les priorités nationales en termes de cycle de planification, cette approche n’est toujours pas reflétée dans les Plans d’Actions Annuels (PAA).</w:t>
      </w:r>
      <w:r w:rsidR="008566D6" w:rsidRPr="008566D6">
        <w:rPr>
          <w:rFonts w:cstheme="minorHAnsi"/>
          <w:sz w:val="24"/>
          <w:szCs w:val="24"/>
        </w:rPr>
        <w:t xml:space="preserve"> </w:t>
      </w:r>
      <w:r w:rsidR="008566D6">
        <w:rPr>
          <w:rFonts w:cstheme="minorHAnsi"/>
          <w:sz w:val="24"/>
          <w:szCs w:val="24"/>
        </w:rPr>
        <w:t>En plus le PAP lui-même n’intègre pas toujours toutes les priorités notamment celles en lien avec les reformes.</w:t>
      </w:r>
    </w:p>
    <w:p w14:paraId="44595FDA" w14:textId="77777777" w:rsidR="00474A8A" w:rsidRPr="00474A8A" w:rsidRDefault="00474A8A" w:rsidP="00474A8A">
      <w:pPr>
        <w:rPr>
          <w:rFonts w:cstheme="minorHAnsi"/>
          <w:sz w:val="24"/>
          <w:szCs w:val="24"/>
        </w:rPr>
      </w:pPr>
      <w:r w:rsidRPr="00474A8A">
        <w:rPr>
          <w:rFonts w:cstheme="minorHAnsi"/>
          <w:sz w:val="24"/>
          <w:szCs w:val="24"/>
        </w:rPr>
        <w:t>Au niveau de l’exécution, on déplore une libération insuffisante des crédits annoncés, u</w:t>
      </w:r>
      <w:r w:rsidR="00F02A89">
        <w:rPr>
          <w:rFonts w:cstheme="minorHAnsi"/>
          <w:sz w:val="24"/>
          <w:szCs w:val="24"/>
        </w:rPr>
        <w:t>n retard dans leur libération</w:t>
      </w:r>
      <w:r w:rsidRPr="00474A8A">
        <w:rPr>
          <w:rFonts w:cstheme="minorHAnsi"/>
          <w:sz w:val="24"/>
          <w:szCs w:val="24"/>
        </w:rPr>
        <w:t>, et une lourdeur des procédures de décaissement des crédits de l’Etat. C’est pourquoi on dénote une faible consommation des crédits du budget de l’Etat.</w:t>
      </w:r>
    </w:p>
    <w:p w14:paraId="33BEF873" w14:textId="77777777" w:rsidR="00D97799" w:rsidRDefault="00474A8A">
      <w:r w:rsidRPr="00474A8A">
        <w:rPr>
          <w:rFonts w:cstheme="minorHAnsi"/>
          <w:sz w:val="24"/>
          <w:szCs w:val="24"/>
        </w:rPr>
        <w:t xml:space="preserve">Le suivi-évaluation du budget est caractérisée par l’existence d'un guide de </w:t>
      </w:r>
      <w:r w:rsidR="00D84C92">
        <w:rPr>
          <w:rFonts w:cstheme="minorHAnsi"/>
          <w:sz w:val="24"/>
          <w:szCs w:val="24"/>
        </w:rPr>
        <w:t>suivi-évaluation</w:t>
      </w:r>
      <w:r w:rsidR="00D84C92" w:rsidRPr="00474A8A">
        <w:rPr>
          <w:rFonts w:cstheme="minorHAnsi"/>
          <w:sz w:val="24"/>
          <w:szCs w:val="24"/>
        </w:rPr>
        <w:t xml:space="preserve"> </w:t>
      </w:r>
      <w:r w:rsidRPr="00474A8A">
        <w:rPr>
          <w:rFonts w:cstheme="minorHAnsi"/>
          <w:sz w:val="24"/>
          <w:szCs w:val="24"/>
        </w:rPr>
        <w:t xml:space="preserve">du PDS (qui fait ressortir les  réalisations physiques, les réalisations financières et les taux d’absorbions des crédits alloués), l’existence d’évaluations semestrielles et annuelles des activités et l’élaboration de rapports périodiques. </w:t>
      </w:r>
      <w:r w:rsidR="00E30B5F">
        <w:rPr>
          <w:rFonts w:cstheme="minorHAnsi"/>
          <w:sz w:val="24"/>
          <w:szCs w:val="24"/>
        </w:rPr>
        <w:t>I</w:t>
      </w:r>
      <w:r w:rsidRPr="00474A8A">
        <w:rPr>
          <w:rFonts w:cstheme="minorHAnsi"/>
          <w:sz w:val="24"/>
          <w:szCs w:val="24"/>
        </w:rPr>
        <w:t>l existe encore une insuffisance dans l'analyse des performances à tous les niveaux en tenant compte des budgets utilisés. Un premier exercice de rapportage basé sur des performances a été produit en 2019 (pour 2018) mais sa qualité reste à améliorer.</w:t>
      </w:r>
      <w:r w:rsidR="00CD389F">
        <w:br w:type="page"/>
      </w:r>
    </w:p>
    <w:p w14:paraId="404E2DD7" w14:textId="77777777" w:rsidR="00CD389F" w:rsidRPr="00CD389F" w:rsidRDefault="00D97799" w:rsidP="00CD389F">
      <w:pPr>
        <w:pStyle w:val="Titre1"/>
      </w:pPr>
      <w:bookmarkStart w:id="9" w:name="_Toc21449011"/>
      <w:r>
        <w:t>V</w:t>
      </w:r>
      <w:r w:rsidR="00CD389F" w:rsidRPr="00CD389F">
        <w:t>ision, objectif</w:t>
      </w:r>
      <w:r w:rsidR="00CD389F">
        <w:t xml:space="preserve"> général</w:t>
      </w:r>
      <w:r w:rsidR="00CD389F" w:rsidRPr="00CD389F">
        <w:t xml:space="preserve"> et résultats attendus</w:t>
      </w:r>
      <w:bookmarkEnd w:id="9"/>
    </w:p>
    <w:p w14:paraId="124177AF" w14:textId="77777777" w:rsidR="00CD389F" w:rsidRDefault="00CD389F" w:rsidP="00474A8A">
      <w:pPr>
        <w:spacing w:after="0" w:line="240" w:lineRule="auto"/>
        <w:rPr>
          <w:rFonts w:cstheme="minorHAnsi"/>
          <w:sz w:val="24"/>
          <w:szCs w:val="24"/>
        </w:rPr>
      </w:pPr>
    </w:p>
    <w:p w14:paraId="74994199" w14:textId="77777777" w:rsidR="00CD389F" w:rsidRDefault="00CD389F" w:rsidP="00CD389F">
      <w:pPr>
        <w:pStyle w:val="Titre2"/>
      </w:pPr>
      <w:bookmarkStart w:id="10" w:name="_Toc21449012"/>
      <w:r>
        <w:t>Vision</w:t>
      </w:r>
      <w:bookmarkEnd w:id="10"/>
    </w:p>
    <w:p w14:paraId="3676804C" w14:textId="77777777" w:rsidR="00CD389F" w:rsidRDefault="00F02A89" w:rsidP="00474A8A">
      <w:pPr>
        <w:spacing w:after="0" w:line="240" w:lineRule="auto"/>
        <w:rPr>
          <w:rFonts w:cstheme="minorHAnsi"/>
          <w:sz w:val="24"/>
          <w:szCs w:val="24"/>
        </w:rPr>
      </w:pPr>
      <w:r>
        <w:rPr>
          <w:rFonts w:cstheme="minorHAnsi"/>
          <w:sz w:val="24"/>
          <w:szCs w:val="24"/>
        </w:rPr>
        <w:t xml:space="preserve">La vision est celle de la Couverture Sanitaire Universelle, qui </w:t>
      </w:r>
      <w:r w:rsidRPr="00F02A89">
        <w:rPr>
          <w:rFonts w:cstheme="minorHAnsi"/>
          <w:sz w:val="24"/>
          <w:szCs w:val="24"/>
        </w:rPr>
        <w:t>signifie que toutes les personnes et les communautés peuvent utiliser les services de santé promotionnels, préventifs, curatifs, de réadaptation et de soins palliatifs dont elles ont besoin, de qualité suffisante pour être efficaces, tout en veillant à ce que l'utilisation de ces services n'exposent pas les particuliers et les familles à des difficultés financières.</w:t>
      </w:r>
    </w:p>
    <w:p w14:paraId="7B24A4DE" w14:textId="77777777" w:rsidR="00CD389F" w:rsidRDefault="00CD389F" w:rsidP="00474A8A">
      <w:pPr>
        <w:spacing w:after="0" w:line="240" w:lineRule="auto"/>
        <w:rPr>
          <w:rFonts w:cstheme="minorHAnsi"/>
          <w:sz w:val="24"/>
          <w:szCs w:val="24"/>
        </w:rPr>
      </w:pPr>
    </w:p>
    <w:p w14:paraId="47D5E0DE" w14:textId="77777777" w:rsidR="00CD389F" w:rsidRDefault="00CD389F" w:rsidP="00CD389F">
      <w:pPr>
        <w:pStyle w:val="Titre2"/>
      </w:pPr>
      <w:bookmarkStart w:id="11" w:name="_Toc21449013"/>
      <w:r>
        <w:t>Objectif général</w:t>
      </w:r>
      <w:bookmarkEnd w:id="11"/>
    </w:p>
    <w:p w14:paraId="7320872D" w14:textId="77777777" w:rsidR="00CD389F" w:rsidRDefault="00CD389F" w:rsidP="00474A8A">
      <w:pPr>
        <w:spacing w:after="0" w:line="240" w:lineRule="auto"/>
        <w:rPr>
          <w:rFonts w:cstheme="minorHAnsi"/>
          <w:sz w:val="24"/>
          <w:szCs w:val="24"/>
        </w:rPr>
      </w:pPr>
    </w:p>
    <w:p w14:paraId="41EEC415" w14:textId="77777777" w:rsidR="00F02A89" w:rsidRDefault="00F02A89" w:rsidP="00474A8A">
      <w:pPr>
        <w:spacing w:after="0" w:line="240" w:lineRule="auto"/>
        <w:rPr>
          <w:rFonts w:cstheme="minorHAnsi"/>
          <w:sz w:val="24"/>
          <w:szCs w:val="24"/>
        </w:rPr>
      </w:pPr>
      <w:r>
        <w:rPr>
          <w:rFonts w:cstheme="minorHAnsi"/>
          <w:sz w:val="24"/>
          <w:szCs w:val="24"/>
        </w:rPr>
        <w:t>L’objectif général de la stratégie nationale CSU est d’élever la CSU au rang d’un nouveau paradigme capable de mobiliser l’ensemble du pays dans l’atteinte de l’objectif 3 des ODD, à savoir « </w:t>
      </w:r>
      <w:r w:rsidR="00E30B5F">
        <w:rPr>
          <w:rFonts w:cstheme="minorHAnsi"/>
          <w:sz w:val="24"/>
          <w:szCs w:val="24"/>
        </w:rPr>
        <w:t>p</w:t>
      </w:r>
      <w:r w:rsidRPr="00F02A89">
        <w:rPr>
          <w:rFonts w:cstheme="minorHAnsi"/>
          <w:sz w:val="24"/>
          <w:szCs w:val="24"/>
        </w:rPr>
        <w:t>ermettre à tous de vivre en bonne santé et promouvoir le bien-être de tous à tout âge ».</w:t>
      </w:r>
    </w:p>
    <w:p w14:paraId="7FE5217B" w14:textId="77777777" w:rsidR="00CD389F" w:rsidRDefault="00CD389F" w:rsidP="00474A8A">
      <w:pPr>
        <w:spacing w:after="0" w:line="240" w:lineRule="auto"/>
        <w:rPr>
          <w:rFonts w:cstheme="minorHAnsi"/>
          <w:sz w:val="24"/>
          <w:szCs w:val="24"/>
        </w:rPr>
      </w:pPr>
    </w:p>
    <w:p w14:paraId="1442734F" w14:textId="77777777" w:rsidR="00CD389F" w:rsidRDefault="00CD389F" w:rsidP="00CD389F">
      <w:pPr>
        <w:pStyle w:val="Titre2"/>
      </w:pPr>
      <w:bookmarkStart w:id="12" w:name="_Toc21449014"/>
      <w:r>
        <w:t>Résultats attendus</w:t>
      </w:r>
      <w:bookmarkEnd w:id="12"/>
    </w:p>
    <w:p w14:paraId="544E487B" w14:textId="77777777" w:rsidR="00CD389F" w:rsidRPr="00BF29A2" w:rsidRDefault="00CD389F" w:rsidP="00474A8A">
      <w:pPr>
        <w:spacing w:after="0" w:line="240" w:lineRule="auto"/>
        <w:rPr>
          <w:rFonts w:cstheme="minorHAnsi"/>
          <w:sz w:val="24"/>
          <w:szCs w:val="24"/>
        </w:rPr>
      </w:pPr>
    </w:p>
    <w:p w14:paraId="5A3F8C05" w14:textId="77777777" w:rsidR="00F429F5" w:rsidRDefault="00F429F5">
      <w:r>
        <w:t xml:space="preserve">Les résultats attendus se situent au niveau de la population du Niger. Ils se déclinent selon les </w:t>
      </w:r>
      <w:r w:rsidR="009C0D04">
        <w:t>3</w:t>
      </w:r>
      <w:r>
        <w:t xml:space="preserve"> </w:t>
      </w:r>
      <w:r w:rsidR="009C0D04">
        <w:t>piliers de la CSU et les 4 objectifs de la présente stratégie</w:t>
      </w:r>
      <w:r>
        <w:t> :</w:t>
      </w:r>
    </w:p>
    <w:p w14:paraId="52EB86E3" w14:textId="77777777" w:rsidR="008566D6" w:rsidRDefault="00DB64ED" w:rsidP="008566D6">
      <w:pPr>
        <w:ind w:left="360"/>
        <w:rPr>
          <w:rFonts w:asciiTheme="majorHAnsi" w:eastAsiaTheme="majorEastAsia" w:hAnsiTheme="majorHAnsi" w:cstheme="majorBidi"/>
          <w:b/>
          <w:bCs/>
          <w:color w:val="365F91" w:themeColor="accent1" w:themeShade="BF"/>
          <w:sz w:val="28"/>
          <w:szCs w:val="28"/>
        </w:rPr>
      </w:pPr>
      <w:r>
        <w:t xml:space="preserve">1. </w:t>
      </w:r>
      <w:r w:rsidR="00F429F5">
        <w:t>L’ensemble de la population du Niger est en meilleure santé, notamment parce que les déterminants de la santé, d’ordre comportemental, environnemental et métabolique, sont mieux pris en considération sur le plan individuel et collectif ;</w:t>
      </w:r>
    </w:p>
    <w:p w14:paraId="30A2A1F6" w14:textId="77777777" w:rsidR="00F429F5" w:rsidRPr="008566D6" w:rsidRDefault="00DB64ED" w:rsidP="008566D6">
      <w:pPr>
        <w:ind w:left="360"/>
        <w:rPr>
          <w:rFonts w:asciiTheme="majorHAnsi" w:eastAsiaTheme="majorEastAsia" w:hAnsiTheme="majorHAnsi" w:cstheme="majorBidi"/>
          <w:b/>
          <w:bCs/>
          <w:color w:val="365F91" w:themeColor="accent1" w:themeShade="BF"/>
          <w:sz w:val="28"/>
          <w:szCs w:val="28"/>
        </w:rPr>
      </w:pPr>
      <w:r>
        <w:t xml:space="preserve">2. </w:t>
      </w:r>
      <w:r w:rsidR="00F429F5">
        <w:t xml:space="preserve">L’ensemble de la population du Niger dispose d’une offre de services de santé </w:t>
      </w:r>
      <w:r>
        <w:t xml:space="preserve">de qualité </w:t>
      </w:r>
      <w:r w:rsidR="00F429F5">
        <w:t>qui lui garantit une prise en charge adéquate, dans le cadre d’un système de santé efficient et résilient ;</w:t>
      </w:r>
    </w:p>
    <w:p w14:paraId="6A2C18A1" w14:textId="77777777" w:rsidR="00CD389F" w:rsidRPr="00DB64ED" w:rsidRDefault="00DB64ED" w:rsidP="002A495B">
      <w:pPr>
        <w:ind w:left="360"/>
        <w:rPr>
          <w:rFonts w:asciiTheme="majorHAnsi" w:eastAsiaTheme="majorEastAsia" w:hAnsiTheme="majorHAnsi" w:cstheme="majorBidi"/>
          <w:b/>
          <w:bCs/>
          <w:color w:val="365F91" w:themeColor="accent1" w:themeShade="BF"/>
          <w:sz w:val="28"/>
          <w:szCs w:val="28"/>
        </w:rPr>
      </w:pPr>
      <w:r>
        <w:t xml:space="preserve">3. </w:t>
      </w:r>
      <w:r w:rsidR="00F429F5">
        <w:t xml:space="preserve">L’ensemble de la population du Niger </w:t>
      </w:r>
      <w:r w:rsidR="008566D6">
        <w:t>utilise les</w:t>
      </w:r>
      <w:r w:rsidR="00F429F5">
        <w:t xml:space="preserve"> services de santé </w:t>
      </w:r>
      <w:r>
        <w:t xml:space="preserve">de qualité </w:t>
      </w:r>
      <w:r w:rsidR="00F429F5">
        <w:t>sans difficulté</w:t>
      </w:r>
      <w:r>
        <w:t>s</w:t>
      </w:r>
      <w:r w:rsidR="00F429F5">
        <w:t xml:space="preserve"> financière</w:t>
      </w:r>
      <w:r>
        <w:t>s</w:t>
      </w:r>
      <w:r w:rsidR="00F429F5">
        <w:t xml:space="preserve">, grâce à </w:t>
      </w:r>
      <w:r w:rsidR="009C0D04">
        <w:t xml:space="preserve">un </w:t>
      </w:r>
      <w:r w:rsidR="00F429F5">
        <w:t>système de financement de la santé performant</w:t>
      </w:r>
      <w:r w:rsidR="009C0D04">
        <w:t xml:space="preserve"> et une protection financière </w:t>
      </w:r>
      <w:r w:rsidR="000F7DCB">
        <w:t xml:space="preserve">contre le risque maladie basée </w:t>
      </w:r>
      <w:r w:rsidR="009C0D04">
        <w:t>sur une assurance maladie universelle</w:t>
      </w:r>
      <w:r w:rsidR="00F429F5">
        <w:t>.</w:t>
      </w:r>
      <w:r w:rsidR="00CD389F">
        <w:br w:type="page"/>
      </w:r>
    </w:p>
    <w:p w14:paraId="38B9D685" w14:textId="77777777" w:rsidR="003F3FAC" w:rsidRPr="00BF29A2" w:rsidRDefault="003F3FAC" w:rsidP="00BF29A2">
      <w:pPr>
        <w:pStyle w:val="Titre1"/>
      </w:pPr>
      <w:bookmarkStart w:id="13" w:name="_Toc21449015"/>
      <w:r w:rsidRPr="00BF29A2">
        <w:t>Les orientations stratégiques :</w:t>
      </w:r>
      <w:bookmarkEnd w:id="13"/>
      <w:r w:rsidRPr="00BF29A2">
        <w:t xml:space="preserve"> </w:t>
      </w:r>
    </w:p>
    <w:p w14:paraId="4C6773B9" w14:textId="77777777" w:rsidR="003F3FAC" w:rsidRDefault="00FB412A" w:rsidP="00BF29A2">
      <w:pPr>
        <w:pStyle w:val="Titre2"/>
      </w:pPr>
      <w:bookmarkStart w:id="14" w:name="_Toc21449016"/>
      <w:r>
        <w:t xml:space="preserve">OS n°1 : </w:t>
      </w:r>
      <w:r w:rsidR="00AB1F76">
        <w:t>A</w:t>
      </w:r>
      <w:r w:rsidR="003F3FAC" w:rsidRPr="00BF29A2">
        <w:t>mélioration des déterminants de la santé</w:t>
      </w:r>
      <w:bookmarkEnd w:id="14"/>
      <w:r w:rsidR="00A22125" w:rsidRPr="00BF29A2">
        <w:t xml:space="preserve"> </w:t>
      </w:r>
    </w:p>
    <w:p w14:paraId="37CF5E05" w14:textId="77777777" w:rsidR="00012D78" w:rsidRDefault="00012D78" w:rsidP="007E07D3">
      <w:pPr>
        <w:rPr>
          <w:rFonts w:cstheme="minorHAnsi"/>
          <w:sz w:val="24"/>
          <w:szCs w:val="24"/>
        </w:rPr>
      </w:pPr>
    </w:p>
    <w:p w14:paraId="2956A92E" w14:textId="77777777" w:rsidR="007E07D3" w:rsidRPr="00F64372" w:rsidRDefault="006B5114" w:rsidP="007E07D3">
      <w:r>
        <w:rPr>
          <w:rFonts w:cstheme="minorHAnsi"/>
          <w:sz w:val="24"/>
          <w:szCs w:val="24"/>
        </w:rPr>
        <w:t>A un niveau désagrégé, l’illust</w:t>
      </w:r>
      <w:r w:rsidR="007E07D3">
        <w:rPr>
          <w:rFonts w:cstheme="minorHAnsi"/>
          <w:sz w:val="24"/>
          <w:szCs w:val="24"/>
        </w:rPr>
        <w:t>ration suivante détaille les causes premières </w:t>
      </w:r>
      <w:r w:rsidR="0020278D">
        <w:rPr>
          <w:rFonts w:cstheme="minorHAnsi"/>
          <w:sz w:val="24"/>
          <w:szCs w:val="24"/>
        </w:rPr>
        <w:t xml:space="preserve">de mauvaise santé </w:t>
      </w:r>
      <w:r w:rsidR="007E07D3">
        <w:rPr>
          <w:rFonts w:cstheme="minorHAnsi"/>
          <w:sz w:val="24"/>
          <w:szCs w:val="24"/>
        </w:rPr>
        <w:t>:</w:t>
      </w:r>
    </w:p>
    <w:p w14:paraId="7CA5087F" w14:textId="77777777" w:rsidR="007E07D3" w:rsidRPr="00BF29A2" w:rsidRDefault="007E07D3" w:rsidP="007E07D3">
      <w:pPr>
        <w:rPr>
          <w:rFonts w:cstheme="minorHAnsi"/>
          <w:sz w:val="24"/>
          <w:szCs w:val="24"/>
        </w:rPr>
      </w:pPr>
      <w:r w:rsidRPr="00BF29A2">
        <w:rPr>
          <w:rFonts w:cstheme="minorHAnsi"/>
          <w:noProof/>
          <w:sz w:val="24"/>
          <w:szCs w:val="24"/>
          <w:lang w:eastAsia="fr-FR"/>
        </w:rPr>
        <w:drawing>
          <wp:inline distT="0" distB="0" distL="0" distR="0" wp14:anchorId="27E7231B" wp14:editId="693A8B43">
            <wp:extent cx="5759450" cy="3192619"/>
            <wp:effectExtent l="0" t="0" r="0" b="825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59450" cy="3192619"/>
                    </a:xfrm>
                    <a:prstGeom prst="rect">
                      <a:avLst/>
                    </a:prstGeom>
                  </pic:spPr>
                </pic:pic>
              </a:graphicData>
            </a:graphic>
          </wp:inline>
        </w:drawing>
      </w:r>
    </w:p>
    <w:p w14:paraId="6243F894" w14:textId="77777777" w:rsidR="007E07D3" w:rsidRPr="00BF29A2" w:rsidRDefault="007E07D3" w:rsidP="007E07D3">
      <w:pPr>
        <w:rPr>
          <w:rFonts w:cstheme="minorHAnsi"/>
          <w:sz w:val="24"/>
          <w:szCs w:val="24"/>
        </w:rPr>
      </w:pPr>
      <w:r w:rsidRPr="00BF29A2">
        <w:rPr>
          <w:rFonts w:cstheme="minorHAnsi"/>
          <w:sz w:val="24"/>
          <w:szCs w:val="24"/>
        </w:rPr>
        <w:t>Rapporté à l’ensemble de la mortalité au Niger, ces données nous disent que </w:t>
      </w:r>
      <w:r>
        <w:rPr>
          <w:rFonts w:cstheme="minorHAnsi"/>
          <w:sz w:val="24"/>
          <w:szCs w:val="24"/>
        </w:rPr>
        <w:t>l</w:t>
      </w:r>
      <w:r w:rsidRPr="00BF29A2">
        <w:rPr>
          <w:rFonts w:cstheme="minorHAnsi"/>
          <w:sz w:val="24"/>
          <w:szCs w:val="24"/>
        </w:rPr>
        <w:t xml:space="preserve">es </w:t>
      </w:r>
      <w:r>
        <w:rPr>
          <w:rFonts w:cstheme="minorHAnsi"/>
          <w:sz w:val="24"/>
          <w:szCs w:val="24"/>
        </w:rPr>
        <w:t>causes</w:t>
      </w:r>
      <w:r w:rsidRPr="00BF29A2">
        <w:rPr>
          <w:rFonts w:cstheme="minorHAnsi"/>
          <w:sz w:val="24"/>
          <w:szCs w:val="24"/>
        </w:rPr>
        <w:t xml:space="preserve"> sont respectivement </w:t>
      </w:r>
      <w:r w:rsidR="008566D6">
        <w:rPr>
          <w:rFonts w:cstheme="minorHAnsi"/>
          <w:sz w:val="24"/>
          <w:szCs w:val="24"/>
        </w:rPr>
        <w:t>responsables</w:t>
      </w:r>
      <w:r w:rsidRPr="00BF29A2">
        <w:rPr>
          <w:rFonts w:cstheme="minorHAnsi"/>
          <w:sz w:val="24"/>
          <w:szCs w:val="24"/>
        </w:rPr>
        <w:t xml:space="preserve"> des pourcentages de décès suivants :</w:t>
      </w:r>
    </w:p>
    <w:tbl>
      <w:tblPr>
        <w:tblStyle w:val="Grilledutableau"/>
        <w:tblW w:w="5000" w:type="pct"/>
        <w:tblLook w:val="04A0" w:firstRow="1" w:lastRow="0" w:firstColumn="1" w:lastColumn="0" w:noHBand="0" w:noVBand="1"/>
      </w:tblPr>
      <w:tblGrid>
        <w:gridCol w:w="1410"/>
        <w:gridCol w:w="1405"/>
        <w:gridCol w:w="1676"/>
        <w:gridCol w:w="1751"/>
        <w:gridCol w:w="1419"/>
        <w:gridCol w:w="1399"/>
      </w:tblGrid>
      <w:tr w:rsidR="007E07D3" w:rsidRPr="00BF29A2" w14:paraId="36FECB3D" w14:textId="77777777" w:rsidTr="007444DB">
        <w:tc>
          <w:tcPr>
            <w:tcW w:w="802" w:type="pct"/>
          </w:tcPr>
          <w:p w14:paraId="64A43D20" w14:textId="77777777" w:rsidR="007E07D3" w:rsidRPr="00BF29A2" w:rsidRDefault="007E07D3" w:rsidP="007444DB">
            <w:pPr>
              <w:rPr>
                <w:rFonts w:cstheme="minorHAnsi"/>
                <w:sz w:val="24"/>
                <w:szCs w:val="24"/>
              </w:rPr>
            </w:pPr>
            <w:r w:rsidRPr="00BF29A2">
              <w:rPr>
                <w:rFonts w:cstheme="minorHAnsi"/>
                <w:sz w:val="24"/>
                <w:szCs w:val="24"/>
              </w:rPr>
              <w:t>cachexie</w:t>
            </w:r>
          </w:p>
        </w:tc>
        <w:tc>
          <w:tcPr>
            <w:tcW w:w="799" w:type="pct"/>
          </w:tcPr>
          <w:p w14:paraId="0BC9DC08" w14:textId="77777777" w:rsidR="007E07D3" w:rsidRPr="00BF29A2" w:rsidRDefault="007E07D3" w:rsidP="007444DB">
            <w:pPr>
              <w:rPr>
                <w:rFonts w:cstheme="minorHAnsi"/>
                <w:sz w:val="24"/>
                <w:szCs w:val="24"/>
              </w:rPr>
            </w:pPr>
            <w:r w:rsidRPr="00BF29A2">
              <w:rPr>
                <w:rFonts w:cstheme="minorHAnsi"/>
                <w:sz w:val="24"/>
                <w:szCs w:val="24"/>
              </w:rPr>
              <w:t>Eau non potable</w:t>
            </w:r>
          </w:p>
        </w:tc>
        <w:tc>
          <w:tcPr>
            <w:tcW w:w="807" w:type="pct"/>
          </w:tcPr>
          <w:p w14:paraId="5A0AC57E" w14:textId="77777777" w:rsidR="007E07D3" w:rsidRPr="00BF29A2" w:rsidRDefault="007E07D3" w:rsidP="007444DB">
            <w:pPr>
              <w:rPr>
                <w:rFonts w:cstheme="minorHAnsi"/>
                <w:sz w:val="24"/>
                <w:szCs w:val="24"/>
              </w:rPr>
            </w:pPr>
            <w:r>
              <w:rPr>
                <w:rFonts w:cstheme="minorHAnsi"/>
                <w:sz w:val="24"/>
                <w:szCs w:val="24"/>
              </w:rPr>
              <w:t>Accouchement avant terme</w:t>
            </w:r>
          </w:p>
        </w:tc>
        <w:tc>
          <w:tcPr>
            <w:tcW w:w="990" w:type="pct"/>
          </w:tcPr>
          <w:p w14:paraId="6A476184" w14:textId="77777777" w:rsidR="007E07D3" w:rsidRPr="00BF29A2" w:rsidRDefault="007E07D3" w:rsidP="007444DB">
            <w:pPr>
              <w:rPr>
                <w:rFonts w:cstheme="minorHAnsi"/>
                <w:sz w:val="24"/>
                <w:szCs w:val="24"/>
              </w:rPr>
            </w:pPr>
            <w:r w:rsidRPr="00BF29A2">
              <w:rPr>
                <w:rFonts w:cstheme="minorHAnsi"/>
                <w:sz w:val="24"/>
                <w:szCs w:val="24"/>
              </w:rPr>
              <w:t>Assainissement</w:t>
            </w:r>
          </w:p>
        </w:tc>
        <w:tc>
          <w:tcPr>
            <w:tcW w:w="807" w:type="pct"/>
          </w:tcPr>
          <w:p w14:paraId="4F74F0A0" w14:textId="77777777" w:rsidR="007E07D3" w:rsidRPr="00BF29A2" w:rsidRDefault="007E07D3" w:rsidP="007444DB">
            <w:pPr>
              <w:rPr>
                <w:rFonts w:cstheme="minorHAnsi"/>
                <w:sz w:val="24"/>
                <w:szCs w:val="24"/>
              </w:rPr>
            </w:pPr>
            <w:r w:rsidRPr="00BF29A2">
              <w:rPr>
                <w:rFonts w:cstheme="minorHAnsi"/>
                <w:sz w:val="24"/>
                <w:szCs w:val="24"/>
              </w:rPr>
              <w:t>Pollution intérieure</w:t>
            </w:r>
          </w:p>
        </w:tc>
        <w:tc>
          <w:tcPr>
            <w:tcW w:w="795" w:type="pct"/>
          </w:tcPr>
          <w:p w14:paraId="544004A3" w14:textId="77777777" w:rsidR="007E07D3" w:rsidRPr="00BF29A2" w:rsidRDefault="007E07D3" w:rsidP="007444DB">
            <w:pPr>
              <w:rPr>
                <w:rFonts w:cstheme="minorHAnsi"/>
                <w:sz w:val="24"/>
                <w:szCs w:val="24"/>
              </w:rPr>
            </w:pPr>
            <w:r w:rsidRPr="00BF29A2">
              <w:rPr>
                <w:rFonts w:cstheme="minorHAnsi"/>
                <w:sz w:val="24"/>
                <w:szCs w:val="24"/>
              </w:rPr>
              <w:t>Lavage des mains</w:t>
            </w:r>
          </w:p>
        </w:tc>
      </w:tr>
      <w:tr w:rsidR="007E07D3" w:rsidRPr="00BF29A2" w14:paraId="12C8BEF3" w14:textId="77777777" w:rsidTr="007444DB">
        <w:tc>
          <w:tcPr>
            <w:tcW w:w="802" w:type="pct"/>
          </w:tcPr>
          <w:p w14:paraId="67C7BDD2" w14:textId="77777777" w:rsidR="007E07D3" w:rsidRPr="00BF29A2" w:rsidRDefault="007E07D3" w:rsidP="007444DB">
            <w:pPr>
              <w:rPr>
                <w:rFonts w:cstheme="minorHAnsi"/>
                <w:b/>
                <w:i/>
                <w:sz w:val="24"/>
                <w:szCs w:val="24"/>
              </w:rPr>
            </w:pPr>
            <w:r w:rsidRPr="00BF29A2">
              <w:rPr>
                <w:rFonts w:cstheme="minorHAnsi"/>
                <w:b/>
                <w:i/>
                <w:sz w:val="24"/>
                <w:szCs w:val="24"/>
              </w:rPr>
              <w:t>15.52%</w:t>
            </w:r>
          </w:p>
        </w:tc>
        <w:tc>
          <w:tcPr>
            <w:tcW w:w="799" w:type="pct"/>
          </w:tcPr>
          <w:p w14:paraId="74CA193F" w14:textId="77777777" w:rsidR="007E07D3" w:rsidRPr="00BF29A2" w:rsidRDefault="007E07D3" w:rsidP="007444DB">
            <w:pPr>
              <w:rPr>
                <w:rFonts w:cstheme="minorHAnsi"/>
                <w:b/>
                <w:i/>
                <w:sz w:val="24"/>
                <w:szCs w:val="24"/>
              </w:rPr>
            </w:pPr>
            <w:r w:rsidRPr="00BF29A2">
              <w:rPr>
                <w:rFonts w:cstheme="minorHAnsi"/>
                <w:b/>
                <w:i/>
                <w:sz w:val="24"/>
                <w:szCs w:val="24"/>
              </w:rPr>
              <w:t>10.75%</w:t>
            </w:r>
          </w:p>
        </w:tc>
        <w:tc>
          <w:tcPr>
            <w:tcW w:w="807" w:type="pct"/>
          </w:tcPr>
          <w:p w14:paraId="08377EAD" w14:textId="77777777" w:rsidR="007E07D3" w:rsidRPr="00BF29A2" w:rsidRDefault="007E07D3" w:rsidP="007444DB">
            <w:pPr>
              <w:rPr>
                <w:rFonts w:cstheme="minorHAnsi"/>
                <w:b/>
                <w:i/>
                <w:sz w:val="24"/>
                <w:szCs w:val="24"/>
              </w:rPr>
            </w:pPr>
            <w:r w:rsidRPr="00BF29A2">
              <w:rPr>
                <w:rFonts w:cstheme="minorHAnsi"/>
                <w:b/>
                <w:i/>
                <w:sz w:val="24"/>
                <w:szCs w:val="24"/>
              </w:rPr>
              <w:t>8.8%</w:t>
            </w:r>
          </w:p>
        </w:tc>
        <w:tc>
          <w:tcPr>
            <w:tcW w:w="990" w:type="pct"/>
          </w:tcPr>
          <w:p w14:paraId="54035ED4" w14:textId="77777777" w:rsidR="007E07D3" w:rsidRPr="00BF29A2" w:rsidRDefault="007E07D3" w:rsidP="007444DB">
            <w:pPr>
              <w:rPr>
                <w:rFonts w:cstheme="minorHAnsi"/>
                <w:b/>
                <w:i/>
                <w:sz w:val="24"/>
                <w:szCs w:val="24"/>
              </w:rPr>
            </w:pPr>
            <w:r w:rsidRPr="00BF29A2">
              <w:rPr>
                <w:rFonts w:cstheme="minorHAnsi"/>
                <w:b/>
                <w:i/>
                <w:sz w:val="24"/>
                <w:szCs w:val="24"/>
              </w:rPr>
              <w:t>8.46%</w:t>
            </w:r>
          </w:p>
        </w:tc>
        <w:tc>
          <w:tcPr>
            <w:tcW w:w="807" w:type="pct"/>
          </w:tcPr>
          <w:p w14:paraId="2059DCC2" w14:textId="77777777" w:rsidR="007E07D3" w:rsidRPr="00BF29A2" w:rsidRDefault="007E07D3" w:rsidP="007444DB">
            <w:pPr>
              <w:rPr>
                <w:rFonts w:cstheme="minorHAnsi"/>
                <w:b/>
                <w:i/>
                <w:sz w:val="24"/>
                <w:szCs w:val="24"/>
              </w:rPr>
            </w:pPr>
            <w:r>
              <w:rPr>
                <w:rFonts w:cstheme="minorHAnsi"/>
                <w:b/>
                <w:i/>
                <w:sz w:val="24"/>
                <w:szCs w:val="24"/>
              </w:rPr>
              <w:t>7.62</w:t>
            </w:r>
            <w:r w:rsidRPr="00BF29A2">
              <w:rPr>
                <w:rFonts w:cstheme="minorHAnsi"/>
                <w:b/>
                <w:i/>
                <w:sz w:val="24"/>
                <w:szCs w:val="24"/>
              </w:rPr>
              <w:t>%</w:t>
            </w:r>
          </w:p>
        </w:tc>
        <w:tc>
          <w:tcPr>
            <w:tcW w:w="795" w:type="pct"/>
          </w:tcPr>
          <w:p w14:paraId="3276CDFA" w14:textId="77777777" w:rsidR="007E07D3" w:rsidRPr="00BF29A2" w:rsidRDefault="007E07D3" w:rsidP="007444DB">
            <w:pPr>
              <w:rPr>
                <w:rFonts w:cstheme="minorHAnsi"/>
                <w:b/>
                <w:i/>
                <w:sz w:val="24"/>
                <w:szCs w:val="24"/>
              </w:rPr>
            </w:pPr>
            <w:r w:rsidRPr="00BF29A2">
              <w:rPr>
                <w:rFonts w:cstheme="minorHAnsi"/>
                <w:b/>
                <w:i/>
                <w:sz w:val="24"/>
                <w:szCs w:val="24"/>
              </w:rPr>
              <w:t>7.03%</w:t>
            </w:r>
          </w:p>
        </w:tc>
      </w:tr>
    </w:tbl>
    <w:p w14:paraId="3A521C90" w14:textId="77777777" w:rsidR="007E07D3" w:rsidRPr="00BF29A2" w:rsidRDefault="007E07D3" w:rsidP="007E07D3">
      <w:pPr>
        <w:rPr>
          <w:rFonts w:cstheme="minorHAnsi"/>
          <w:b/>
          <w:i/>
          <w:sz w:val="24"/>
          <w:szCs w:val="24"/>
        </w:rPr>
      </w:pPr>
    </w:p>
    <w:tbl>
      <w:tblPr>
        <w:tblStyle w:val="Grilledutableau"/>
        <w:tblW w:w="5000" w:type="pct"/>
        <w:tblLook w:val="04A0" w:firstRow="1" w:lastRow="0" w:firstColumn="1" w:lastColumn="0" w:noHBand="0" w:noVBand="1"/>
      </w:tblPr>
      <w:tblGrid>
        <w:gridCol w:w="1478"/>
        <w:gridCol w:w="1479"/>
        <w:gridCol w:w="1479"/>
        <w:gridCol w:w="1479"/>
        <w:gridCol w:w="1477"/>
        <w:gridCol w:w="1668"/>
      </w:tblGrid>
      <w:tr w:rsidR="007E07D3" w:rsidRPr="00BF29A2" w14:paraId="25F5A9FE" w14:textId="77777777" w:rsidTr="007444DB">
        <w:tc>
          <w:tcPr>
            <w:tcW w:w="834" w:type="pct"/>
          </w:tcPr>
          <w:p w14:paraId="7B1E8132" w14:textId="77777777" w:rsidR="007E07D3" w:rsidRPr="00BF29A2" w:rsidRDefault="007E07D3" w:rsidP="007444DB">
            <w:pPr>
              <w:rPr>
                <w:rFonts w:cstheme="minorHAnsi"/>
                <w:sz w:val="24"/>
                <w:szCs w:val="24"/>
              </w:rPr>
            </w:pPr>
            <w:r>
              <w:rPr>
                <w:rFonts w:cstheme="minorHAnsi"/>
                <w:sz w:val="24"/>
                <w:szCs w:val="24"/>
              </w:rPr>
              <w:t>Petit</w:t>
            </w:r>
            <w:r w:rsidRPr="00BF29A2">
              <w:rPr>
                <w:rFonts w:cstheme="minorHAnsi"/>
                <w:sz w:val="24"/>
                <w:szCs w:val="24"/>
              </w:rPr>
              <w:t xml:space="preserve"> poids à la naissance</w:t>
            </w:r>
          </w:p>
        </w:tc>
        <w:tc>
          <w:tcPr>
            <w:tcW w:w="834" w:type="pct"/>
          </w:tcPr>
          <w:p w14:paraId="5C4F66E7" w14:textId="77777777" w:rsidR="007E07D3" w:rsidRPr="00BF29A2" w:rsidRDefault="007E07D3" w:rsidP="007444DB">
            <w:pPr>
              <w:rPr>
                <w:rFonts w:cstheme="minorHAnsi"/>
                <w:sz w:val="24"/>
                <w:szCs w:val="24"/>
              </w:rPr>
            </w:pPr>
            <w:r w:rsidRPr="00BF29A2">
              <w:rPr>
                <w:rFonts w:cstheme="minorHAnsi"/>
                <w:sz w:val="24"/>
                <w:szCs w:val="24"/>
              </w:rPr>
              <w:t>Insuffisance pondérale</w:t>
            </w:r>
          </w:p>
        </w:tc>
        <w:tc>
          <w:tcPr>
            <w:tcW w:w="834" w:type="pct"/>
          </w:tcPr>
          <w:p w14:paraId="6D2BA2FA" w14:textId="77777777" w:rsidR="007E07D3" w:rsidRPr="00BF29A2" w:rsidRDefault="007E07D3" w:rsidP="007444DB">
            <w:pPr>
              <w:rPr>
                <w:rFonts w:cstheme="minorHAnsi"/>
                <w:sz w:val="24"/>
                <w:szCs w:val="24"/>
              </w:rPr>
            </w:pPr>
            <w:r w:rsidRPr="00BF29A2">
              <w:rPr>
                <w:rFonts w:cstheme="minorHAnsi"/>
                <w:sz w:val="24"/>
                <w:szCs w:val="24"/>
              </w:rPr>
              <w:t>Pression sanguine élevée</w:t>
            </w:r>
          </w:p>
        </w:tc>
        <w:tc>
          <w:tcPr>
            <w:tcW w:w="834" w:type="pct"/>
          </w:tcPr>
          <w:p w14:paraId="3E1842B6" w14:textId="77777777" w:rsidR="007E07D3" w:rsidRPr="00BF29A2" w:rsidRDefault="007E07D3" w:rsidP="007444DB">
            <w:pPr>
              <w:rPr>
                <w:rFonts w:cstheme="minorHAnsi"/>
                <w:sz w:val="24"/>
                <w:szCs w:val="24"/>
              </w:rPr>
            </w:pPr>
            <w:r w:rsidRPr="00BF29A2">
              <w:rPr>
                <w:rFonts w:cstheme="minorHAnsi"/>
                <w:sz w:val="24"/>
                <w:szCs w:val="24"/>
              </w:rPr>
              <w:t>Déficience en Vitamine A</w:t>
            </w:r>
          </w:p>
        </w:tc>
        <w:tc>
          <w:tcPr>
            <w:tcW w:w="833" w:type="pct"/>
          </w:tcPr>
          <w:p w14:paraId="43C41D8E" w14:textId="77777777" w:rsidR="007E07D3" w:rsidRPr="00BF29A2" w:rsidRDefault="007E07D3" w:rsidP="007444DB">
            <w:pPr>
              <w:rPr>
                <w:rFonts w:cstheme="minorHAnsi"/>
                <w:sz w:val="24"/>
                <w:szCs w:val="24"/>
              </w:rPr>
            </w:pPr>
            <w:r w:rsidRPr="00BF29A2">
              <w:rPr>
                <w:rFonts w:cstheme="minorHAnsi"/>
                <w:sz w:val="24"/>
                <w:szCs w:val="24"/>
              </w:rPr>
              <w:t>Retard de croissance des enfants</w:t>
            </w:r>
          </w:p>
        </w:tc>
        <w:tc>
          <w:tcPr>
            <w:tcW w:w="833" w:type="pct"/>
          </w:tcPr>
          <w:p w14:paraId="55AE9778" w14:textId="77777777" w:rsidR="007E07D3" w:rsidRPr="00BF29A2" w:rsidRDefault="003C297D" w:rsidP="007444DB">
            <w:pPr>
              <w:rPr>
                <w:rFonts w:cstheme="minorHAnsi"/>
                <w:sz w:val="24"/>
                <w:szCs w:val="24"/>
              </w:rPr>
            </w:pPr>
            <w:r>
              <w:rPr>
                <w:rFonts w:cstheme="minorHAnsi"/>
                <w:sz w:val="24"/>
                <w:szCs w:val="24"/>
              </w:rPr>
              <w:t>Hyperg</w:t>
            </w:r>
            <w:r w:rsidR="007E07D3" w:rsidRPr="00BF29A2">
              <w:rPr>
                <w:rFonts w:cstheme="minorHAnsi"/>
                <w:sz w:val="24"/>
                <w:szCs w:val="24"/>
              </w:rPr>
              <w:t>lycémie</w:t>
            </w:r>
          </w:p>
        </w:tc>
      </w:tr>
      <w:tr w:rsidR="007E07D3" w:rsidRPr="00BF29A2" w14:paraId="0FC5D021" w14:textId="77777777" w:rsidTr="007444DB">
        <w:tc>
          <w:tcPr>
            <w:tcW w:w="834" w:type="pct"/>
          </w:tcPr>
          <w:p w14:paraId="5C872F1E" w14:textId="77777777" w:rsidR="007E07D3" w:rsidRPr="00BF29A2" w:rsidRDefault="007E07D3" w:rsidP="007444DB">
            <w:pPr>
              <w:rPr>
                <w:rFonts w:cstheme="minorHAnsi"/>
                <w:b/>
                <w:i/>
                <w:sz w:val="24"/>
                <w:szCs w:val="24"/>
              </w:rPr>
            </w:pPr>
            <w:r w:rsidRPr="00BF29A2">
              <w:rPr>
                <w:rFonts w:cstheme="minorHAnsi"/>
                <w:b/>
                <w:i/>
                <w:sz w:val="24"/>
                <w:szCs w:val="24"/>
              </w:rPr>
              <w:t>6.247%</w:t>
            </w:r>
          </w:p>
        </w:tc>
        <w:tc>
          <w:tcPr>
            <w:tcW w:w="834" w:type="pct"/>
          </w:tcPr>
          <w:p w14:paraId="4927746E" w14:textId="77777777" w:rsidR="007E07D3" w:rsidRPr="00BF29A2" w:rsidRDefault="007E07D3" w:rsidP="007444DB">
            <w:pPr>
              <w:rPr>
                <w:rFonts w:cstheme="minorHAnsi"/>
                <w:b/>
                <w:i/>
                <w:sz w:val="24"/>
                <w:szCs w:val="24"/>
              </w:rPr>
            </w:pPr>
            <w:r w:rsidRPr="00BF29A2">
              <w:rPr>
                <w:rFonts w:cstheme="minorHAnsi"/>
                <w:b/>
                <w:i/>
                <w:sz w:val="24"/>
                <w:szCs w:val="24"/>
              </w:rPr>
              <w:t>5.34%</w:t>
            </w:r>
          </w:p>
        </w:tc>
        <w:tc>
          <w:tcPr>
            <w:tcW w:w="834" w:type="pct"/>
          </w:tcPr>
          <w:p w14:paraId="09AA7455" w14:textId="77777777" w:rsidR="007E07D3" w:rsidRPr="00BF29A2" w:rsidRDefault="007E07D3" w:rsidP="007444DB">
            <w:pPr>
              <w:rPr>
                <w:rFonts w:cstheme="minorHAnsi"/>
                <w:b/>
                <w:i/>
                <w:sz w:val="24"/>
                <w:szCs w:val="24"/>
              </w:rPr>
            </w:pPr>
            <w:r w:rsidRPr="00BF29A2">
              <w:rPr>
                <w:rFonts w:cstheme="minorHAnsi"/>
                <w:b/>
                <w:i/>
                <w:sz w:val="24"/>
                <w:szCs w:val="24"/>
              </w:rPr>
              <w:t>5%</w:t>
            </w:r>
          </w:p>
        </w:tc>
        <w:tc>
          <w:tcPr>
            <w:tcW w:w="834" w:type="pct"/>
          </w:tcPr>
          <w:p w14:paraId="6B3DA895" w14:textId="77777777" w:rsidR="007E07D3" w:rsidRPr="00BF29A2" w:rsidRDefault="007E07D3" w:rsidP="007444DB">
            <w:pPr>
              <w:rPr>
                <w:rFonts w:cstheme="minorHAnsi"/>
                <w:b/>
                <w:i/>
                <w:sz w:val="24"/>
                <w:szCs w:val="24"/>
              </w:rPr>
            </w:pPr>
            <w:r w:rsidRPr="00BF29A2">
              <w:rPr>
                <w:rFonts w:cstheme="minorHAnsi"/>
                <w:b/>
                <w:i/>
                <w:sz w:val="24"/>
                <w:szCs w:val="24"/>
              </w:rPr>
              <w:t>4.2%</w:t>
            </w:r>
          </w:p>
        </w:tc>
        <w:tc>
          <w:tcPr>
            <w:tcW w:w="833" w:type="pct"/>
          </w:tcPr>
          <w:p w14:paraId="377955D0" w14:textId="77777777" w:rsidR="007E07D3" w:rsidRPr="00BF29A2" w:rsidRDefault="007E07D3" w:rsidP="007444DB">
            <w:pPr>
              <w:rPr>
                <w:rFonts w:cstheme="minorHAnsi"/>
                <w:b/>
                <w:i/>
                <w:sz w:val="24"/>
                <w:szCs w:val="24"/>
              </w:rPr>
            </w:pPr>
            <w:r w:rsidRPr="00BF29A2">
              <w:rPr>
                <w:rFonts w:cstheme="minorHAnsi"/>
                <w:b/>
                <w:i/>
                <w:sz w:val="24"/>
                <w:szCs w:val="24"/>
              </w:rPr>
              <w:t>3.94%</w:t>
            </w:r>
          </w:p>
        </w:tc>
        <w:tc>
          <w:tcPr>
            <w:tcW w:w="833" w:type="pct"/>
          </w:tcPr>
          <w:p w14:paraId="44DDE5CD" w14:textId="77777777" w:rsidR="007E07D3" w:rsidRPr="00BF29A2" w:rsidRDefault="007E07D3" w:rsidP="007444DB">
            <w:pPr>
              <w:rPr>
                <w:rFonts w:cstheme="minorHAnsi"/>
                <w:b/>
                <w:i/>
                <w:sz w:val="24"/>
                <w:szCs w:val="24"/>
              </w:rPr>
            </w:pPr>
            <w:r w:rsidRPr="00BF29A2">
              <w:rPr>
                <w:rFonts w:cstheme="minorHAnsi"/>
                <w:b/>
                <w:i/>
                <w:sz w:val="24"/>
                <w:szCs w:val="24"/>
              </w:rPr>
              <w:t>3.495%</w:t>
            </w:r>
          </w:p>
        </w:tc>
      </w:tr>
    </w:tbl>
    <w:p w14:paraId="32CE2F9F" w14:textId="77777777" w:rsidR="007E07D3" w:rsidRDefault="007E07D3" w:rsidP="007E07D3">
      <w:pPr>
        <w:rPr>
          <w:rFonts w:cstheme="minorHAnsi"/>
          <w:b/>
          <w:i/>
          <w:sz w:val="24"/>
          <w:szCs w:val="24"/>
        </w:rPr>
      </w:pPr>
    </w:p>
    <w:p w14:paraId="2B05B1FE" w14:textId="77777777" w:rsidR="007E07D3" w:rsidRPr="007E07D3" w:rsidRDefault="007E07D3" w:rsidP="007E07D3">
      <w:pPr>
        <w:rPr>
          <w:rFonts w:cstheme="minorHAnsi"/>
          <w:sz w:val="24"/>
          <w:szCs w:val="24"/>
        </w:rPr>
      </w:pPr>
      <w:r w:rsidRPr="007E07D3">
        <w:rPr>
          <w:rFonts w:cstheme="minorHAnsi"/>
          <w:sz w:val="24"/>
          <w:szCs w:val="24"/>
        </w:rPr>
        <w:t>Conséquemment, la présente stratégie CSU propose 3 axes stratégiques dédiés aux trois premières causes de la mauvaise santé de la population du Niger</w:t>
      </w:r>
      <w:r w:rsidR="000E6FB8">
        <w:rPr>
          <w:rStyle w:val="Appelnotedebasdep"/>
          <w:rFonts w:cstheme="minorHAnsi"/>
          <w:sz w:val="24"/>
          <w:szCs w:val="24"/>
        </w:rPr>
        <w:footnoteReference w:id="9"/>
      </w:r>
      <w:r w:rsidRPr="007E07D3">
        <w:rPr>
          <w:rFonts w:cstheme="minorHAnsi"/>
          <w:sz w:val="24"/>
          <w:szCs w:val="24"/>
        </w:rPr>
        <w:t>.</w:t>
      </w:r>
    </w:p>
    <w:p w14:paraId="148A1ED7" w14:textId="77777777" w:rsidR="007E07D3" w:rsidRPr="00BF29A2" w:rsidRDefault="007E07D3" w:rsidP="007E07D3">
      <w:pPr>
        <w:rPr>
          <w:rFonts w:cstheme="minorHAnsi"/>
          <w:b/>
          <w:i/>
          <w:sz w:val="24"/>
          <w:szCs w:val="24"/>
        </w:rPr>
      </w:pPr>
    </w:p>
    <w:p w14:paraId="11CDCF1D" w14:textId="77777777" w:rsidR="003F3FAC" w:rsidRDefault="00B85C9A" w:rsidP="00AD4430">
      <w:pPr>
        <w:pStyle w:val="Titre2"/>
      </w:pPr>
      <w:bookmarkStart w:id="15" w:name="_Toc21449017"/>
      <w:r>
        <w:t>Axe stratégique n°1 : a</w:t>
      </w:r>
      <w:r w:rsidR="0079394A">
        <w:t>mélioration de l’état nutritionnel</w:t>
      </w:r>
      <w:r w:rsidR="00AB1F76">
        <w:t xml:space="preserve"> de la population</w:t>
      </w:r>
      <w:bookmarkEnd w:id="15"/>
    </w:p>
    <w:p w14:paraId="1F8F3712" w14:textId="77777777" w:rsidR="00FB5FE3" w:rsidRDefault="00FB5FE3" w:rsidP="00FB5FE3"/>
    <w:p w14:paraId="54407578" w14:textId="77777777" w:rsidR="00FB5FE3" w:rsidRPr="009017E2" w:rsidRDefault="00FB5FE3" w:rsidP="00FB5FE3">
      <w:pPr>
        <w:rPr>
          <w:rFonts w:cstheme="minorHAnsi"/>
          <w:bCs/>
          <w:iCs/>
          <w:sz w:val="24"/>
          <w:szCs w:val="24"/>
        </w:rPr>
      </w:pPr>
      <w:r>
        <w:rPr>
          <w:rFonts w:cstheme="minorHAnsi"/>
          <w:bCs/>
          <w:iCs/>
          <w:sz w:val="24"/>
          <w:szCs w:val="24"/>
        </w:rPr>
        <w:t>Des niveaux de prévalence élevés (au-dessus des seuils d’alerte) persistent tant pour la malnutrition aigüe que la malnutrition chronique. Appliqués à une population en forte croissante, le nombre d’enfants affectés par la malnutrition augmente considérablement chaque année.</w:t>
      </w:r>
    </w:p>
    <w:p w14:paraId="47E764D2" w14:textId="77777777" w:rsidR="00FB5FE3" w:rsidRDefault="00FB5FE3" w:rsidP="00FB5FE3">
      <w:pPr>
        <w:rPr>
          <w:rFonts w:cstheme="minorHAnsi"/>
          <w:b/>
          <w:i/>
          <w:sz w:val="24"/>
          <w:szCs w:val="24"/>
        </w:rPr>
      </w:pPr>
      <w:r w:rsidRPr="00AE734B">
        <w:rPr>
          <w:rFonts w:cstheme="minorHAnsi"/>
          <w:noProof/>
          <w:sz w:val="20"/>
          <w:szCs w:val="20"/>
          <w:lang w:eastAsia="fr-FR"/>
        </w:rPr>
        <w:drawing>
          <wp:inline distT="0" distB="0" distL="0" distR="0" wp14:anchorId="05FD7BFC" wp14:editId="688A2293">
            <wp:extent cx="4972050" cy="2800350"/>
            <wp:effectExtent l="0" t="0" r="0" b="0"/>
            <wp:docPr id="36" name="Graphique 36">
              <a:extLst xmlns:a="http://schemas.openxmlformats.org/drawingml/2006/main">
                <a:ext uri="{FF2B5EF4-FFF2-40B4-BE49-F238E27FC236}">
                  <a16:creationId xmlns:a16="http://schemas.microsoft.com/office/drawing/2014/main" id="{6DFF0421-9144-47D7-9827-AA0F8A237B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313992B" w14:textId="77777777" w:rsidR="00FB5FE3" w:rsidRDefault="00FB5FE3" w:rsidP="002E3BE8">
      <w:pPr>
        <w:rPr>
          <w:rFonts w:cstheme="minorHAnsi"/>
          <w:bCs/>
          <w:iCs/>
          <w:sz w:val="24"/>
          <w:szCs w:val="24"/>
        </w:rPr>
      </w:pPr>
      <w:r>
        <w:rPr>
          <w:rFonts w:cstheme="minorHAnsi"/>
          <w:bCs/>
          <w:iCs/>
          <w:sz w:val="24"/>
          <w:szCs w:val="24"/>
        </w:rPr>
        <w:t xml:space="preserve">En plus des effets de la malnutrition sur l’état de santé, la morbidité et la mortalité, la malnutrition pèse lourdement sur le développement psycho moteur et cognitif des enfants. Enfin à l’échelle du pays cela représente un manque à gagner en termes de développement socioéconomique et de croissance. </w:t>
      </w:r>
    </w:p>
    <w:p w14:paraId="71E7C808" w14:textId="77777777" w:rsidR="00FB5FE3" w:rsidRDefault="00FB5FE3" w:rsidP="00FB5FE3">
      <w:pPr>
        <w:rPr>
          <w:rFonts w:cstheme="minorHAnsi"/>
          <w:sz w:val="24"/>
          <w:szCs w:val="24"/>
        </w:rPr>
      </w:pPr>
      <w:r>
        <w:rPr>
          <w:rFonts w:cstheme="minorHAnsi"/>
          <w:sz w:val="24"/>
          <w:szCs w:val="24"/>
        </w:rPr>
        <w:t>Conscient du défi que représente la nutrition, le Niger a souscrit à plusieurs engagements internationaux dans ce domaine, qui doivent également contribuer à l’ODD2. On peut noter en particulier les cibles de l’Assemblée Mondiale de la Santé à l’horizon 2025.</w:t>
      </w:r>
    </w:p>
    <w:p w14:paraId="63F1CAB3" w14:textId="77777777" w:rsidR="002E3BE8" w:rsidRPr="00CF6834" w:rsidRDefault="00FB5FE3" w:rsidP="00FB5FE3">
      <w:pPr>
        <w:rPr>
          <w:rFonts w:cstheme="minorHAnsi"/>
          <w:sz w:val="24"/>
          <w:szCs w:val="24"/>
        </w:rPr>
      </w:pPr>
      <w:r>
        <w:rPr>
          <w:rFonts w:cstheme="minorHAnsi"/>
          <w:sz w:val="24"/>
          <w:szCs w:val="24"/>
        </w:rPr>
        <w:t>Le Niger s’est aussi doté d’une Politique Nationale multisectorielle de Sécurité Nutritionnelle qui décline les interventions nécessaires dans une large gamme de secteurs (Productions, Education, Environnement, Protection Sociale, Réponses aux crises, Communication…) pour espérer améliorer durablement l’état nutritionnel de la population. Se</w:t>
      </w:r>
      <w:r w:rsidR="002E3BE8" w:rsidRPr="00CF6834">
        <w:rPr>
          <w:rFonts w:cstheme="minorHAnsi"/>
          <w:sz w:val="24"/>
          <w:szCs w:val="24"/>
        </w:rPr>
        <w:t xml:space="preserve">s objectifs stratégiques sont : </w:t>
      </w:r>
    </w:p>
    <w:p w14:paraId="4DFA0F2A" w14:textId="77777777" w:rsidR="002E3BE8" w:rsidRPr="00CF6834" w:rsidRDefault="002E3BE8" w:rsidP="002E3BE8">
      <w:pPr>
        <w:pStyle w:val="Paragraphedeliste"/>
        <w:numPr>
          <w:ilvl w:val="0"/>
          <w:numId w:val="29"/>
        </w:numPr>
        <w:jc w:val="both"/>
        <w:rPr>
          <w:rFonts w:cstheme="minorHAnsi"/>
          <w:sz w:val="24"/>
          <w:szCs w:val="24"/>
        </w:rPr>
      </w:pPr>
      <w:r w:rsidRPr="00CF6834">
        <w:rPr>
          <w:rFonts w:cstheme="minorHAnsi"/>
          <w:sz w:val="24"/>
          <w:szCs w:val="24"/>
        </w:rPr>
        <w:t xml:space="preserve">Mobiliser l’ensemble des secteurs et des acteurs nécessaires à </w:t>
      </w:r>
      <w:r w:rsidR="008566D6">
        <w:rPr>
          <w:rFonts w:cstheme="minorHAnsi"/>
          <w:sz w:val="24"/>
          <w:szCs w:val="24"/>
        </w:rPr>
        <w:t>la lutte contre la malnutrition ;</w:t>
      </w:r>
    </w:p>
    <w:p w14:paraId="0D24ABCE" w14:textId="77777777" w:rsidR="002E3BE8" w:rsidRPr="00CF6834" w:rsidRDefault="002E3BE8" w:rsidP="002E3BE8">
      <w:pPr>
        <w:pStyle w:val="Paragraphedeliste"/>
        <w:numPr>
          <w:ilvl w:val="0"/>
          <w:numId w:val="29"/>
        </w:numPr>
        <w:jc w:val="both"/>
        <w:rPr>
          <w:rFonts w:cstheme="minorHAnsi"/>
          <w:sz w:val="24"/>
          <w:szCs w:val="24"/>
        </w:rPr>
      </w:pPr>
      <w:r w:rsidRPr="00CF6834">
        <w:rPr>
          <w:rFonts w:cstheme="minorHAnsi"/>
          <w:sz w:val="24"/>
          <w:szCs w:val="24"/>
        </w:rPr>
        <w:t>Rendre effectives,  la coordination multisectorielle, la redevabilité des secteurs et acteurs</w:t>
      </w:r>
      <w:r w:rsidR="008566D6">
        <w:rPr>
          <w:rFonts w:cstheme="minorHAnsi"/>
          <w:sz w:val="24"/>
          <w:szCs w:val="24"/>
        </w:rPr>
        <w:t> ;</w:t>
      </w:r>
    </w:p>
    <w:p w14:paraId="52DFC6BE" w14:textId="77777777" w:rsidR="002E3BE8" w:rsidRPr="00CF6834" w:rsidRDefault="002E3BE8" w:rsidP="002E3BE8">
      <w:pPr>
        <w:pStyle w:val="Paragraphedeliste"/>
        <w:numPr>
          <w:ilvl w:val="0"/>
          <w:numId w:val="29"/>
        </w:numPr>
        <w:jc w:val="both"/>
        <w:rPr>
          <w:rFonts w:cstheme="minorHAnsi"/>
          <w:sz w:val="24"/>
          <w:szCs w:val="24"/>
        </w:rPr>
      </w:pPr>
      <w:r w:rsidRPr="00CF6834">
        <w:rPr>
          <w:rFonts w:cstheme="minorHAnsi"/>
          <w:sz w:val="24"/>
          <w:szCs w:val="24"/>
        </w:rPr>
        <w:t>Assurer la cohérence des interventions  ainsi que l’intégration de la nutrition dans tous les programmes de développement</w:t>
      </w:r>
      <w:r w:rsidR="008566D6">
        <w:rPr>
          <w:rFonts w:cstheme="minorHAnsi"/>
          <w:sz w:val="24"/>
          <w:szCs w:val="24"/>
        </w:rPr>
        <w:t> ;</w:t>
      </w:r>
      <w:r w:rsidRPr="00CF6834">
        <w:rPr>
          <w:rFonts w:cstheme="minorHAnsi"/>
          <w:sz w:val="24"/>
          <w:szCs w:val="24"/>
        </w:rPr>
        <w:t xml:space="preserve"> </w:t>
      </w:r>
    </w:p>
    <w:p w14:paraId="6DD836BF" w14:textId="77777777" w:rsidR="002E3BE8" w:rsidRPr="00CF6834" w:rsidRDefault="002E3BE8" w:rsidP="002E3BE8">
      <w:pPr>
        <w:pStyle w:val="Paragraphedeliste"/>
        <w:numPr>
          <w:ilvl w:val="0"/>
          <w:numId w:val="29"/>
        </w:numPr>
        <w:jc w:val="both"/>
        <w:rPr>
          <w:rFonts w:cstheme="minorHAnsi"/>
          <w:sz w:val="24"/>
          <w:szCs w:val="24"/>
        </w:rPr>
      </w:pPr>
      <w:r w:rsidRPr="00CF6834">
        <w:rPr>
          <w:rFonts w:cstheme="minorHAnsi"/>
          <w:sz w:val="24"/>
          <w:szCs w:val="24"/>
        </w:rPr>
        <w:t>Le renforcement de l’environnement institutionnel et du partenariat</w:t>
      </w:r>
      <w:r w:rsidR="008566D6">
        <w:rPr>
          <w:rFonts w:cstheme="minorHAnsi"/>
          <w:sz w:val="24"/>
          <w:szCs w:val="24"/>
        </w:rPr>
        <w:t> ;</w:t>
      </w:r>
    </w:p>
    <w:p w14:paraId="1AB9216B" w14:textId="77777777" w:rsidR="002E3BE8" w:rsidRPr="00CF6834" w:rsidRDefault="002E3BE8" w:rsidP="002E3BE8">
      <w:pPr>
        <w:pStyle w:val="Paragraphedeliste"/>
        <w:numPr>
          <w:ilvl w:val="0"/>
          <w:numId w:val="29"/>
        </w:numPr>
        <w:jc w:val="both"/>
        <w:rPr>
          <w:rFonts w:ascii="Times New Roman" w:hAnsi="Times New Roman" w:cs="Times New Roman"/>
          <w:sz w:val="24"/>
          <w:szCs w:val="24"/>
        </w:rPr>
      </w:pPr>
      <w:r w:rsidRPr="00CF6834">
        <w:rPr>
          <w:rFonts w:cstheme="minorHAnsi"/>
          <w:sz w:val="24"/>
          <w:szCs w:val="24"/>
        </w:rPr>
        <w:t>Favoriser l’engagement des décideurs, des PTF et des leaders d’opinion pour la sécurité nutritionnelle</w:t>
      </w:r>
      <w:r w:rsidR="008566D6">
        <w:rPr>
          <w:rFonts w:cstheme="minorHAnsi"/>
          <w:sz w:val="24"/>
          <w:szCs w:val="24"/>
        </w:rPr>
        <w:t>.</w:t>
      </w:r>
    </w:p>
    <w:p w14:paraId="4B43CC3A" w14:textId="77777777" w:rsidR="002E3BE8" w:rsidRPr="00CF6834" w:rsidRDefault="00CF6834" w:rsidP="002E3BE8">
      <w:pPr>
        <w:rPr>
          <w:rFonts w:cstheme="minorHAnsi"/>
          <w:sz w:val="24"/>
          <w:szCs w:val="24"/>
        </w:rPr>
      </w:pPr>
      <w:r>
        <w:rPr>
          <w:rFonts w:cstheme="minorHAnsi"/>
          <w:sz w:val="24"/>
          <w:szCs w:val="24"/>
        </w:rPr>
        <w:t xml:space="preserve">La </w:t>
      </w:r>
      <w:r w:rsidR="002E3BE8" w:rsidRPr="00CF6834">
        <w:rPr>
          <w:rFonts w:cstheme="minorHAnsi"/>
          <w:sz w:val="24"/>
          <w:szCs w:val="24"/>
        </w:rPr>
        <w:t xml:space="preserve">nutrition </w:t>
      </w:r>
      <w:r>
        <w:rPr>
          <w:rFonts w:cstheme="minorHAnsi"/>
          <w:sz w:val="24"/>
          <w:szCs w:val="24"/>
        </w:rPr>
        <w:t>doit devenir</w:t>
      </w:r>
      <w:r w:rsidR="002E3BE8" w:rsidRPr="00CF6834">
        <w:rPr>
          <w:rFonts w:cstheme="minorHAnsi"/>
          <w:sz w:val="24"/>
          <w:szCs w:val="24"/>
        </w:rPr>
        <w:t xml:space="preserve"> une priorité et </w:t>
      </w:r>
      <w:r>
        <w:rPr>
          <w:rFonts w:cstheme="minorHAnsi"/>
          <w:sz w:val="24"/>
          <w:szCs w:val="24"/>
        </w:rPr>
        <w:t>être</w:t>
      </w:r>
      <w:r w:rsidR="002E3BE8" w:rsidRPr="00CF6834">
        <w:rPr>
          <w:rFonts w:cstheme="minorHAnsi"/>
          <w:sz w:val="24"/>
          <w:szCs w:val="24"/>
        </w:rPr>
        <w:t xml:space="preserve"> positionnée au plus haut niveau par les leaders politiques. Alors les décideurs et les donateurs utiliseront le savoir et les évidences scientifiques récents, suivront le cadre de résultats de la PNSN, et seront en mesure de mobiliser un financement adéquat. Il est également nécessaire que les fournisseurs de services et les </w:t>
      </w:r>
      <w:r w:rsidR="00FB5FE3">
        <w:rPr>
          <w:rFonts w:cstheme="minorHAnsi"/>
          <w:sz w:val="24"/>
          <w:szCs w:val="24"/>
        </w:rPr>
        <w:t>responsables</w:t>
      </w:r>
      <w:r w:rsidR="002E3BE8" w:rsidRPr="00CF6834">
        <w:rPr>
          <w:rFonts w:cstheme="minorHAnsi"/>
          <w:sz w:val="24"/>
          <w:szCs w:val="24"/>
        </w:rPr>
        <w:t xml:space="preserve"> so</w:t>
      </w:r>
      <w:r>
        <w:rPr>
          <w:rFonts w:cstheme="minorHAnsi"/>
          <w:sz w:val="24"/>
          <w:szCs w:val="24"/>
        </w:rPr>
        <w:t>ie</w:t>
      </w:r>
      <w:r w:rsidR="002E3BE8" w:rsidRPr="00CF6834">
        <w:rPr>
          <w:rFonts w:cstheme="minorHAnsi"/>
          <w:sz w:val="24"/>
          <w:szCs w:val="24"/>
        </w:rPr>
        <w:t>nt motivés et utilisent les connaissances et les compétences acquises pour mettre en œuvre et gérer des interventions nutritionnelles. Enfin il faut que tous les secteurs : EHA, agriculture</w:t>
      </w:r>
      <w:r>
        <w:rPr>
          <w:rFonts w:cstheme="minorHAnsi"/>
          <w:sz w:val="24"/>
          <w:szCs w:val="24"/>
        </w:rPr>
        <w:t xml:space="preserve"> </w:t>
      </w:r>
      <w:r w:rsidR="002E3BE8" w:rsidRPr="00CF6834">
        <w:rPr>
          <w:rFonts w:cstheme="minorHAnsi"/>
          <w:sz w:val="24"/>
          <w:szCs w:val="24"/>
        </w:rPr>
        <w:t>/</w:t>
      </w:r>
      <w:r>
        <w:rPr>
          <w:rFonts w:cstheme="minorHAnsi"/>
          <w:sz w:val="24"/>
          <w:szCs w:val="24"/>
        </w:rPr>
        <w:t xml:space="preserve"> </w:t>
      </w:r>
      <w:r w:rsidR="002E3BE8" w:rsidRPr="00CF6834">
        <w:rPr>
          <w:rFonts w:cstheme="minorHAnsi"/>
          <w:sz w:val="24"/>
          <w:szCs w:val="24"/>
        </w:rPr>
        <w:t>élevage</w:t>
      </w:r>
      <w:r>
        <w:rPr>
          <w:rFonts w:cstheme="minorHAnsi"/>
          <w:sz w:val="24"/>
          <w:szCs w:val="24"/>
        </w:rPr>
        <w:t xml:space="preserve"> </w:t>
      </w:r>
      <w:r w:rsidR="002E3BE8" w:rsidRPr="00CF6834">
        <w:rPr>
          <w:rFonts w:cstheme="minorHAnsi"/>
          <w:sz w:val="24"/>
          <w:szCs w:val="24"/>
        </w:rPr>
        <w:t>/</w:t>
      </w:r>
      <w:r>
        <w:rPr>
          <w:rFonts w:cstheme="minorHAnsi"/>
          <w:sz w:val="24"/>
          <w:szCs w:val="24"/>
        </w:rPr>
        <w:t xml:space="preserve"> </w:t>
      </w:r>
      <w:r w:rsidR="002E3BE8" w:rsidRPr="00CF6834">
        <w:rPr>
          <w:rFonts w:cstheme="minorHAnsi"/>
          <w:sz w:val="24"/>
          <w:szCs w:val="24"/>
        </w:rPr>
        <w:t xml:space="preserve">pêche, éducation, protection sociale et santé aient des ressources et des capacités suffisantes (infrastructures, systèmes et ressources humaines) pour mener à bien les interventions propres à leur mandat, et qui peuvent être complétés par des interventions sensibles à la nutrition de la PNSN. </w:t>
      </w:r>
    </w:p>
    <w:p w14:paraId="02FEBC6B" w14:textId="77777777" w:rsidR="002E3BE8" w:rsidRPr="00CF6834" w:rsidRDefault="002E3BE8" w:rsidP="002E3BE8">
      <w:pPr>
        <w:rPr>
          <w:rFonts w:cstheme="minorHAnsi"/>
          <w:sz w:val="24"/>
          <w:szCs w:val="24"/>
        </w:rPr>
      </w:pPr>
      <w:r w:rsidRPr="00CF6834">
        <w:rPr>
          <w:rFonts w:cstheme="minorHAnsi"/>
          <w:sz w:val="24"/>
          <w:szCs w:val="24"/>
        </w:rPr>
        <w:t>Sur le plan opérationnel, la stratégie doit se déployer notamment par :</w:t>
      </w:r>
    </w:p>
    <w:p w14:paraId="018F0534" w14:textId="77777777" w:rsidR="002E3BE8" w:rsidRDefault="002E3BE8" w:rsidP="002E3BE8">
      <w:pPr>
        <w:pStyle w:val="Paragraphedeliste"/>
        <w:numPr>
          <w:ilvl w:val="0"/>
          <w:numId w:val="29"/>
        </w:numPr>
        <w:rPr>
          <w:rFonts w:cstheme="minorHAnsi"/>
          <w:sz w:val="24"/>
          <w:szCs w:val="24"/>
        </w:rPr>
      </w:pPr>
      <w:r w:rsidRPr="00CF6834">
        <w:rPr>
          <w:rFonts w:cstheme="minorHAnsi"/>
          <w:sz w:val="24"/>
          <w:szCs w:val="24"/>
        </w:rPr>
        <w:t>La participation  de la communauté, des leaders d'opinion et des individus par l’utilisation des  informations acquises pour assurer des changements positifs dans les normes sociales non optimales qui sont directement ou indirectement liées à la nutrition (par exemple, l'autonomisation des femmes, le mariage des enfants, la planification familiale).</w:t>
      </w:r>
    </w:p>
    <w:p w14:paraId="66C75570" w14:textId="77777777" w:rsidR="00CF6834" w:rsidRPr="00CF6834" w:rsidRDefault="00CF6834" w:rsidP="00CF6834">
      <w:pPr>
        <w:pStyle w:val="Paragraphedeliste"/>
        <w:ind w:left="1080"/>
        <w:rPr>
          <w:rFonts w:cstheme="minorHAnsi"/>
          <w:sz w:val="24"/>
          <w:szCs w:val="24"/>
        </w:rPr>
      </w:pPr>
    </w:p>
    <w:p w14:paraId="08258759" w14:textId="77777777" w:rsidR="002E3BE8" w:rsidRPr="00CF6834" w:rsidRDefault="002E3BE8" w:rsidP="002E3BE8">
      <w:pPr>
        <w:pStyle w:val="Paragraphedeliste"/>
        <w:numPr>
          <w:ilvl w:val="0"/>
          <w:numId w:val="29"/>
        </w:numPr>
        <w:rPr>
          <w:rFonts w:cstheme="minorHAnsi"/>
          <w:sz w:val="24"/>
          <w:szCs w:val="24"/>
        </w:rPr>
      </w:pPr>
      <w:r w:rsidRPr="00CF6834">
        <w:rPr>
          <w:rFonts w:cstheme="minorHAnsi"/>
          <w:sz w:val="24"/>
          <w:szCs w:val="24"/>
        </w:rPr>
        <w:t>La mise à l’échelle des interventions à impact prouvé sur la nutrition :</w:t>
      </w:r>
    </w:p>
    <w:p w14:paraId="22C603A7" w14:textId="77777777" w:rsidR="002E3BE8" w:rsidRPr="00CF6834" w:rsidRDefault="002E3BE8" w:rsidP="002E3BE8">
      <w:pPr>
        <w:pStyle w:val="Paragraphedeliste"/>
        <w:numPr>
          <w:ilvl w:val="1"/>
          <w:numId w:val="29"/>
        </w:numPr>
        <w:rPr>
          <w:rFonts w:cstheme="minorHAnsi"/>
          <w:sz w:val="24"/>
          <w:szCs w:val="24"/>
        </w:rPr>
      </w:pPr>
      <w:r w:rsidRPr="00CF6834">
        <w:rPr>
          <w:rFonts w:cstheme="minorHAnsi"/>
          <w:sz w:val="24"/>
          <w:szCs w:val="24"/>
        </w:rPr>
        <w:t>Nutrition maternelle optimale pendant la grossesse</w:t>
      </w:r>
    </w:p>
    <w:p w14:paraId="2186D87D" w14:textId="77777777" w:rsidR="002E3BE8" w:rsidRPr="00CF6834" w:rsidRDefault="002E3BE8" w:rsidP="002E3BE8">
      <w:pPr>
        <w:pStyle w:val="Paragraphedeliste"/>
        <w:numPr>
          <w:ilvl w:val="1"/>
          <w:numId w:val="29"/>
        </w:numPr>
        <w:rPr>
          <w:rFonts w:cstheme="minorHAnsi"/>
          <w:sz w:val="24"/>
          <w:szCs w:val="24"/>
        </w:rPr>
      </w:pPr>
      <w:r w:rsidRPr="00CF6834">
        <w:rPr>
          <w:rFonts w:cstheme="minorHAnsi"/>
          <w:sz w:val="24"/>
          <w:szCs w:val="24"/>
        </w:rPr>
        <w:t xml:space="preserve">Alimentation du nourrisson et du jeune enfant </w:t>
      </w:r>
    </w:p>
    <w:p w14:paraId="4D2BFD70" w14:textId="77777777" w:rsidR="002E3BE8" w:rsidRPr="00CF6834" w:rsidRDefault="002E3BE8" w:rsidP="002E3BE8">
      <w:pPr>
        <w:pStyle w:val="Paragraphedeliste"/>
        <w:numPr>
          <w:ilvl w:val="1"/>
          <w:numId w:val="29"/>
        </w:numPr>
        <w:rPr>
          <w:rFonts w:cstheme="minorHAnsi"/>
          <w:sz w:val="24"/>
          <w:szCs w:val="24"/>
        </w:rPr>
      </w:pPr>
      <w:r w:rsidRPr="00CF6834">
        <w:rPr>
          <w:rFonts w:cstheme="minorHAnsi"/>
          <w:sz w:val="24"/>
          <w:szCs w:val="24"/>
        </w:rPr>
        <w:t>Supplémentation en Micronutriment</w:t>
      </w:r>
      <w:r w:rsidR="009301E7">
        <w:rPr>
          <w:rFonts w:cstheme="minorHAnsi"/>
          <w:sz w:val="24"/>
          <w:szCs w:val="24"/>
        </w:rPr>
        <w:t>s</w:t>
      </w:r>
      <w:r w:rsidR="000E6FB8">
        <w:rPr>
          <w:rFonts w:cstheme="minorHAnsi"/>
          <w:sz w:val="24"/>
          <w:szCs w:val="24"/>
        </w:rPr>
        <w:t xml:space="preserve"> pour les enfants à</w:t>
      </w:r>
      <w:r w:rsidRPr="00CF6834">
        <w:rPr>
          <w:rFonts w:cstheme="minorHAnsi"/>
          <w:sz w:val="24"/>
          <w:szCs w:val="24"/>
        </w:rPr>
        <w:t xml:space="preserve"> risque</w:t>
      </w:r>
    </w:p>
    <w:p w14:paraId="2BA69D36" w14:textId="77777777" w:rsidR="002E3BE8" w:rsidRPr="00CF6834" w:rsidRDefault="002E3BE8" w:rsidP="002E3BE8">
      <w:pPr>
        <w:pStyle w:val="Paragraphedeliste"/>
        <w:numPr>
          <w:ilvl w:val="1"/>
          <w:numId w:val="29"/>
        </w:numPr>
        <w:rPr>
          <w:rFonts w:cstheme="minorHAnsi"/>
          <w:sz w:val="24"/>
          <w:szCs w:val="24"/>
        </w:rPr>
      </w:pPr>
      <w:r w:rsidRPr="00CF6834">
        <w:rPr>
          <w:rFonts w:cstheme="minorHAnsi"/>
          <w:sz w:val="24"/>
          <w:szCs w:val="24"/>
        </w:rPr>
        <w:t xml:space="preserve">Prise en charge </w:t>
      </w:r>
      <w:r w:rsidR="000E6FB8">
        <w:rPr>
          <w:rFonts w:cstheme="minorHAnsi"/>
          <w:sz w:val="24"/>
          <w:szCs w:val="24"/>
        </w:rPr>
        <w:t>Intégrée de la Malnutrition aigü</w:t>
      </w:r>
      <w:r w:rsidRPr="00CF6834">
        <w:rPr>
          <w:rFonts w:cstheme="minorHAnsi"/>
          <w:sz w:val="24"/>
          <w:szCs w:val="24"/>
        </w:rPr>
        <w:t xml:space="preserve">e </w:t>
      </w:r>
    </w:p>
    <w:p w14:paraId="31E9ED32" w14:textId="77777777" w:rsidR="00515C25" w:rsidRDefault="002E3BE8" w:rsidP="002E3BE8">
      <w:pPr>
        <w:pStyle w:val="Paragraphedeliste"/>
        <w:numPr>
          <w:ilvl w:val="1"/>
          <w:numId w:val="29"/>
        </w:numPr>
        <w:rPr>
          <w:rFonts w:cstheme="minorHAnsi"/>
          <w:sz w:val="24"/>
          <w:szCs w:val="24"/>
        </w:rPr>
      </w:pPr>
      <w:r w:rsidRPr="00CF6834">
        <w:rPr>
          <w:rFonts w:cstheme="minorHAnsi"/>
          <w:sz w:val="24"/>
          <w:szCs w:val="24"/>
        </w:rPr>
        <w:t>Prise en charge de la malnutrition aigüe sévère</w:t>
      </w:r>
    </w:p>
    <w:p w14:paraId="763D6310" w14:textId="77777777" w:rsidR="00FB5FE3" w:rsidRPr="00FB5FE3" w:rsidRDefault="00FB5FE3" w:rsidP="00FB5FE3">
      <w:pPr>
        <w:rPr>
          <w:rFonts w:cstheme="minorHAnsi"/>
          <w:sz w:val="24"/>
          <w:szCs w:val="24"/>
        </w:rPr>
      </w:pPr>
      <w:r>
        <w:rPr>
          <w:rFonts w:cstheme="minorHAnsi"/>
          <w:sz w:val="24"/>
          <w:szCs w:val="24"/>
        </w:rPr>
        <w:t>Tout ceci ne pourra être réalisé qu’avec un effort budgétaire dédié à la hauteur de l’engagement manifesté.</w:t>
      </w:r>
    </w:p>
    <w:p w14:paraId="2C0E5D17" w14:textId="77777777" w:rsidR="00012D78" w:rsidRDefault="00012D78">
      <w:pPr>
        <w:rPr>
          <w:rFonts w:asciiTheme="majorHAnsi" w:eastAsiaTheme="majorEastAsia" w:hAnsiTheme="majorHAnsi" w:cstheme="majorBidi"/>
          <w:b/>
          <w:bCs/>
          <w:color w:val="4F81BD" w:themeColor="accent1"/>
          <w:sz w:val="26"/>
          <w:szCs w:val="26"/>
        </w:rPr>
      </w:pPr>
      <w:r>
        <w:br w:type="page"/>
      </w:r>
    </w:p>
    <w:p w14:paraId="3E1613FF" w14:textId="77777777" w:rsidR="00093848" w:rsidRPr="00AD4430" w:rsidRDefault="00FB412A" w:rsidP="00AD4430">
      <w:pPr>
        <w:pStyle w:val="Titre2"/>
        <w:rPr>
          <w:rStyle w:val="Titre2Car"/>
          <w:b/>
          <w:bCs/>
        </w:rPr>
      </w:pPr>
      <w:bookmarkStart w:id="16" w:name="_Toc21449018"/>
      <w:r w:rsidRPr="00AD4430">
        <w:t xml:space="preserve">Axe stratégique n°2 : </w:t>
      </w:r>
      <w:r w:rsidR="00093848" w:rsidRPr="00AD4430">
        <w:t xml:space="preserve">Amélioration de l'accès à l’eau potable, à l’hygiène et à </w:t>
      </w:r>
      <w:r w:rsidR="00093848" w:rsidRPr="00AD4430">
        <w:rPr>
          <w:rStyle w:val="Titre2Car"/>
          <w:b/>
          <w:bCs/>
        </w:rPr>
        <w:t>l’assainissement</w:t>
      </w:r>
      <w:bookmarkEnd w:id="16"/>
    </w:p>
    <w:p w14:paraId="7009F2E7" w14:textId="77777777" w:rsidR="00093848" w:rsidRPr="00122B15" w:rsidRDefault="00093848" w:rsidP="00093848">
      <w:pPr>
        <w:rPr>
          <w:rFonts w:cstheme="minorHAnsi"/>
          <w:sz w:val="24"/>
          <w:szCs w:val="24"/>
        </w:rPr>
      </w:pPr>
      <w:r w:rsidRPr="00122B15">
        <w:rPr>
          <w:rFonts w:cstheme="minorHAnsi"/>
          <w:sz w:val="24"/>
          <w:szCs w:val="24"/>
        </w:rPr>
        <w:t>Les objectifs spécifiques du secteur sont largement des cibles chiffrées et les ambitions suivantes sont reten</w:t>
      </w:r>
      <w:r w:rsidR="00FB412A" w:rsidRPr="00122B15">
        <w:rPr>
          <w:rFonts w:cstheme="minorHAnsi"/>
          <w:sz w:val="24"/>
          <w:szCs w:val="24"/>
        </w:rPr>
        <w:t>ues dans le cadre de l’ODD n°6. Pour opérationnaliser la mise en œuvre des activités du Programme Sectoriel, Eau, Hygiène et Assainissement (PROSEHA-2016-2030), le MH/A doit matérialiser les sous-programmes constituant le PROSEHA à travers leurs objectifs opérationnels.</w:t>
      </w:r>
    </w:p>
    <w:p w14:paraId="48B87CE1" w14:textId="77777777" w:rsidR="00FB412A" w:rsidRPr="00122B15" w:rsidRDefault="00093848" w:rsidP="00FB412A">
      <w:pPr>
        <w:pStyle w:val="Sansinterligne"/>
        <w:numPr>
          <w:ilvl w:val="0"/>
          <w:numId w:val="29"/>
        </w:numPr>
        <w:ind w:left="426" w:hanging="426"/>
        <w:rPr>
          <w:rFonts w:cstheme="minorHAnsi"/>
          <w:sz w:val="24"/>
          <w:szCs w:val="24"/>
        </w:rPr>
      </w:pPr>
      <w:r w:rsidRPr="00122B15">
        <w:rPr>
          <w:rFonts w:cstheme="minorHAnsi"/>
          <w:sz w:val="24"/>
          <w:szCs w:val="24"/>
        </w:rPr>
        <w:t>A l’horizon 2030, assurer l’accès universel et équitable à l’eau potable, à un coût abordable (ODD Cible 6.1 : Sous-programme Alimentation en Eau Potable)</w:t>
      </w:r>
    </w:p>
    <w:p w14:paraId="689BB268" w14:textId="77777777" w:rsidR="00FB412A" w:rsidRPr="00122B15" w:rsidRDefault="00FB412A" w:rsidP="00FB412A">
      <w:pPr>
        <w:pStyle w:val="Sansinterligne"/>
        <w:ind w:left="426" w:hanging="426"/>
        <w:rPr>
          <w:rFonts w:cstheme="minorHAnsi"/>
          <w:sz w:val="24"/>
          <w:szCs w:val="24"/>
        </w:rPr>
      </w:pPr>
    </w:p>
    <w:p w14:paraId="3818247C" w14:textId="77777777" w:rsidR="00FB412A" w:rsidRPr="00122B15" w:rsidRDefault="00FB412A" w:rsidP="00FB412A">
      <w:pPr>
        <w:pStyle w:val="Sansinterligne"/>
        <w:numPr>
          <w:ilvl w:val="0"/>
          <w:numId w:val="43"/>
        </w:numPr>
        <w:ind w:left="426" w:hanging="426"/>
        <w:rPr>
          <w:rFonts w:cstheme="minorHAnsi"/>
          <w:sz w:val="24"/>
          <w:szCs w:val="24"/>
        </w:rPr>
      </w:pPr>
      <w:r w:rsidRPr="00122B15">
        <w:rPr>
          <w:rFonts w:cstheme="minorHAnsi"/>
          <w:sz w:val="24"/>
          <w:szCs w:val="24"/>
        </w:rPr>
        <w:t xml:space="preserve"> Assurer l’accès universel et équitable à l’eau potable à un coût abordable en milieu rural.  </w:t>
      </w:r>
    </w:p>
    <w:p w14:paraId="113C87AF" w14:textId="77777777" w:rsidR="00FB412A" w:rsidRPr="00122B15" w:rsidRDefault="00FB412A" w:rsidP="00FB412A">
      <w:pPr>
        <w:pStyle w:val="Sansinterligne"/>
        <w:numPr>
          <w:ilvl w:val="0"/>
          <w:numId w:val="43"/>
        </w:numPr>
        <w:ind w:left="426" w:hanging="426"/>
        <w:rPr>
          <w:rFonts w:cstheme="minorHAnsi"/>
          <w:sz w:val="24"/>
          <w:szCs w:val="24"/>
        </w:rPr>
      </w:pPr>
      <w:r w:rsidRPr="00122B15">
        <w:rPr>
          <w:rFonts w:cstheme="minorHAnsi"/>
          <w:sz w:val="24"/>
          <w:szCs w:val="24"/>
        </w:rPr>
        <w:t>Assurer l’accès universel à l’eau potable à un coût abordable en milieu urbain.</w:t>
      </w:r>
    </w:p>
    <w:p w14:paraId="5A2E07DC" w14:textId="77777777" w:rsidR="00FB412A" w:rsidRPr="00122B15" w:rsidRDefault="00FB412A" w:rsidP="00FB412A">
      <w:pPr>
        <w:pStyle w:val="Sansinterligne"/>
        <w:ind w:left="426" w:hanging="426"/>
        <w:rPr>
          <w:rFonts w:cstheme="minorHAnsi"/>
          <w:sz w:val="24"/>
          <w:szCs w:val="24"/>
        </w:rPr>
      </w:pPr>
    </w:p>
    <w:p w14:paraId="32F0611C" w14:textId="77777777" w:rsidR="00093848" w:rsidRPr="00122B15" w:rsidRDefault="00093848" w:rsidP="00FB412A">
      <w:pPr>
        <w:pStyle w:val="Sansinterligne"/>
        <w:numPr>
          <w:ilvl w:val="0"/>
          <w:numId w:val="29"/>
        </w:numPr>
        <w:ind w:left="426" w:hanging="426"/>
        <w:rPr>
          <w:rFonts w:cstheme="minorHAnsi"/>
          <w:sz w:val="24"/>
          <w:szCs w:val="24"/>
        </w:rPr>
      </w:pPr>
      <w:r w:rsidRPr="00122B15">
        <w:rPr>
          <w:rFonts w:cstheme="minorHAnsi"/>
          <w:sz w:val="24"/>
          <w:szCs w:val="24"/>
        </w:rPr>
        <w:t>A l’horizon 2030, assurer l’accès de tous, dans des conditions équitables, à des services d’assainissement et d’hygiène adéquats, mettre fin à la défécation en plein air, en accordant une attention particulière aux besoins des femmes et des filles et des personnes en situation vulnérable et réduire de moitié la proportion d’eaux usées non traitées (ODD Cible 6.2 : Sous-programme Hygiène et Assainissement).</w:t>
      </w:r>
    </w:p>
    <w:p w14:paraId="4ACA2F03" w14:textId="77777777" w:rsidR="00FB412A" w:rsidRPr="00122B15" w:rsidRDefault="00FB412A" w:rsidP="00FB412A">
      <w:pPr>
        <w:pStyle w:val="Sansinterligne"/>
        <w:ind w:left="426" w:hanging="426"/>
        <w:rPr>
          <w:rFonts w:cstheme="minorHAnsi"/>
          <w:sz w:val="24"/>
          <w:szCs w:val="24"/>
        </w:rPr>
      </w:pPr>
    </w:p>
    <w:p w14:paraId="497A56A3" w14:textId="77777777" w:rsidR="00FB412A" w:rsidRPr="00122B15" w:rsidRDefault="00FB412A" w:rsidP="00FB412A">
      <w:pPr>
        <w:pStyle w:val="Paragraphedeliste"/>
        <w:numPr>
          <w:ilvl w:val="0"/>
          <w:numId w:val="43"/>
        </w:numPr>
        <w:autoSpaceDE w:val="0"/>
        <w:autoSpaceDN w:val="0"/>
        <w:adjustRightInd w:val="0"/>
        <w:spacing w:after="0" w:line="240" w:lineRule="auto"/>
        <w:ind w:left="426" w:hanging="426"/>
        <w:rPr>
          <w:rFonts w:cstheme="minorHAnsi"/>
          <w:sz w:val="24"/>
          <w:szCs w:val="24"/>
        </w:rPr>
      </w:pPr>
      <w:r w:rsidRPr="00122B15">
        <w:rPr>
          <w:rFonts w:cstheme="minorHAnsi"/>
          <w:sz w:val="24"/>
          <w:szCs w:val="24"/>
        </w:rPr>
        <w:t>Améliorer l’assainissement et hygiène des ménages ;</w:t>
      </w:r>
    </w:p>
    <w:p w14:paraId="755A8F2B" w14:textId="77777777" w:rsidR="00FB412A" w:rsidRPr="00122B15" w:rsidRDefault="00FB412A" w:rsidP="00FB412A">
      <w:pPr>
        <w:pStyle w:val="Paragraphedeliste"/>
        <w:numPr>
          <w:ilvl w:val="0"/>
          <w:numId w:val="43"/>
        </w:numPr>
        <w:autoSpaceDE w:val="0"/>
        <w:autoSpaceDN w:val="0"/>
        <w:adjustRightInd w:val="0"/>
        <w:spacing w:after="0" w:line="240" w:lineRule="auto"/>
        <w:ind w:left="426" w:hanging="426"/>
        <w:rPr>
          <w:rFonts w:cstheme="minorHAnsi"/>
          <w:sz w:val="24"/>
          <w:szCs w:val="24"/>
        </w:rPr>
      </w:pPr>
      <w:r w:rsidRPr="00122B15">
        <w:rPr>
          <w:rFonts w:cstheme="minorHAnsi"/>
          <w:sz w:val="24"/>
          <w:szCs w:val="24"/>
        </w:rPr>
        <w:t>Améliorer l’assainissement et hygiène des établissements scolaires ;</w:t>
      </w:r>
    </w:p>
    <w:p w14:paraId="2E334A4D" w14:textId="77777777" w:rsidR="00FB412A" w:rsidRPr="00122B15" w:rsidRDefault="00FB412A" w:rsidP="00FB412A">
      <w:pPr>
        <w:pStyle w:val="Paragraphedeliste"/>
        <w:numPr>
          <w:ilvl w:val="0"/>
          <w:numId w:val="43"/>
        </w:numPr>
        <w:autoSpaceDE w:val="0"/>
        <w:autoSpaceDN w:val="0"/>
        <w:adjustRightInd w:val="0"/>
        <w:spacing w:after="0" w:line="240" w:lineRule="auto"/>
        <w:ind w:left="426" w:hanging="426"/>
        <w:rPr>
          <w:rFonts w:cstheme="minorHAnsi"/>
          <w:sz w:val="24"/>
          <w:szCs w:val="24"/>
        </w:rPr>
      </w:pPr>
      <w:r w:rsidRPr="00122B15">
        <w:rPr>
          <w:rFonts w:cstheme="minorHAnsi"/>
          <w:sz w:val="24"/>
          <w:szCs w:val="24"/>
        </w:rPr>
        <w:t>Améliorer l’assainissement et hygiène des formations sanitaires ;</w:t>
      </w:r>
    </w:p>
    <w:p w14:paraId="00B6322F" w14:textId="77777777" w:rsidR="00FB412A" w:rsidRPr="00122B15" w:rsidRDefault="00FB412A" w:rsidP="00FB412A">
      <w:pPr>
        <w:pStyle w:val="Paragraphedeliste"/>
        <w:numPr>
          <w:ilvl w:val="0"/>
          <w:numId w:val="43"/>
        </w:numPr>
        <w:autoSpaceDE w:val="0"/>
        <w:autoSpaceDN w:val="0"/>
        <w:adjustRightInd w:val="0"/>
        <w:spacing w:after="0" w:line="240" w:lineRule="auto"/>
        <w:ind w:left="426" w:hanging="426"/>
        <w:rPr>
          <w:rFonts w:cstheme="minorHAnsi"/>
          <w:sz w:val="24"/>
          <w:szCs w:val="24"/>
        </w:rPr>
      </w:pPr>
      <w:r w:rsidRPr="00122B15">
        <w:rPr>
          <w:rFonts w:cstheme="minorHAnsi"/>
          <w:sz w:val="24"/>
          <w:szCs w:val="24"/>
        </w:rPr>
        <w:t>Améliorer l’assainissement et hygiène des autres lieux de vie</w:t>
      </w:r>
    </w:p>
    <w:p w14:paraId="68AFF01E" w14:textId="77777777" w:rsidR="00FB412A" w:rsidRPr="00122B15" w:rsidRDefault="00FB412A" w:rsidP="00FB412A">
      <w:pPr>
        <w:pStyle w:val="Paragraphedeliste"/>
        <w:numPr>
          <w:ilvl w:val="0"/>
          <w:numId w:val="43"/>
        </w:numPr>
        <w:autoSpaceDE w:val="0"/>
        <w:autoSpaceDN w:val="0"/>
        <w:adjustRightInd w:val="0"/>
        <w:spacing w:after="0" w:line="240" w:lineRule="auto"/>
        <w:ind w:left="426" w:hanging="426"/>
        <w:rPr>
          <w:rFonts w:cstheme="minorHAnsi"/>
          <w:sz w:val="24"/>
          <w:szCs w:val="24"/>
        </w:rPr>
      </w:pPr>
      <w:r w:rsidRPr="00122B15">
        <w:rPr>
          <w:rFonts w:cstheme="minorHAnsi"/>
          <w:sz w:val="24"/>
          <w:szCs w:val="24"/>
        </w:rPr>
        <w:t>Renforcer les capacités institutionnelles pour la gestion de l’hygiène et de l’assainissement.</w:t>
      </w:r>
    </w:p>
    <w:p w14:paraId="409B8DD6" w14:textId="77777777" w:rsidR="00FB412A" w:rsidRPr="00122B15" w:rsidRDefault="00FB412A" w:rsidP="00FB412A">
      <w:pPr>
        <w:pStyle w:val="Sansinterligne"/>
        <w:ind w:left="426" w:hanging="426"/>
        <w:rPr>
          <w:rFonts w:cstheme="minorHAnsi"/>
          <w:sz w:val="24"/>
          <w:szCs w:val="24"/>
        </w:rPr>
      </w:pPr>
    </w:p>
    <w:p w14:paraId="2A9D0F01" w14:textId="77777777" w:rsidR="00093848" w:rsidRPr="00122B15" w:rsidRDefault="00093848" w:rsidP="00FB412A">
      <w:pPr>
        <w:pStyle w:val="Sansinterligne"/>
        <w:numPr>
          <w:ilvl w:val="0"/>
          <w:numId w:val="29"/>
        </w:numPr>
        <w:ind w:left="426" w:hanging="426"/>
        <w:rPr>
          <w:rFonts w:cstheme="minorHAnsi"/>
          <w:sz w:val="24"/>
          <w:szCs w:val="24"/>
        </w:rPr>
      </w:pPr>
      <w:r w:rsidRPr="00122B15">
        <w:rPr>
          <w:rFonts w:cstheme="minorHAnsi"/>
          <w:sz w:val="24"/>
          <w:szCs w:val="24"/>
        </w:rPr>
        <w:t>A l’horizon 2030, mettre en œuvre une gestion intégrée et une utilisation rationnelle des ressources en eau à tous les niveaux tout en réduisant les pollutions et en protégeant les écosystèmes liés à l’eau, notamment les montagnes, les forêts, les zones humides, les rivières, les aquifères et les lacs (ODD Cibles 6.3 à 6.6 : Sous-programme Connaissance, suivi et protection des ressources en eau).</w:t>
      </w:r>
    </w:p>
    <w:p w14:paraId="66555F0B" w14:textId="77777777" w:rsidR="00FB412A" w:rsidRPr="00122B15" w:rsidRDefault="00FB412A" w:rsidP="00FB412A">
      <w:pPr>
        <w:pStyle w:val="Sansinterligne"/>
        <w:ind w:left="426" w:hanging="426"/>
        <w:rPr>
          <w:rFonts w:cstheme="minorHAnsi"/>
          <w:sz w:val="24"/>
          <w:szCs w:val="24"/>
        </w:rPr>
      </w:pPr>
    </w:p>
    <w:p w14:paraId="742C2659" w14:textId="77777777" w:rsidR="00093848" w:rsidRPr="00122B15" w:rsidRDefault="00093848" w:rsidP="00FB412A">
      <w:pPr>
        <w:pStyle w:val="Sansinterligne"/>
        <w:numPr>
          <w:ilvl w:val="0"/>
          <w:numId w:val="29"/>
        </w:numPr>
        <w:ind w:left="426" w:hanging="426"/>
        <w:rPr>
          <w:rFonts w:cstheme="minorHAnsi"/>
          <w:sz w:val="24"/>
          <w:szCs w:val="24"/>
        </w:rPr>
      </w:pPr>
      <w:r w:rsidRPr="00122B15">
        <w:rPr>
          <w:rFonts w:cstheme="minorHAnsi"/>
          <w:sz w:val="24"/>
          <w:szCs w:val="24"/>
        </w:rPr>
        <w:t>A l’horizon 2030, améliorer la gouvernance, renforcer les capacités nationales et renforcer la participation citoyenne en ce qui concerne la gestion de l’eau et de l’assainissement (ODD Cibles 6a &amp; 6b : Sous-programme Gouvernance).</w:t>
      </w:r>
    </w:p>
    <w:p w14:paraId="5CC8201D" w14:textId="77777777" w:rsidR="00FB412A" w:rsidRPr="00122B15" w:rsidRDefault="00FB412A" w:rsidP="00FB412A">
      <w:pPr>
        <w:pStyle w:val="Paragraphedeliste"/>
        <w:ind w:left="426" w:hanging="426"/>
        <w:rPr>
          <w:rFonts w:cstheme="minorHAnsi"/>
          <w:sz w:val="24"/>
          <w:szCs w:val="24"/>
        </w:rPr>
      </w:pPr>
    </w:p>
    <w:p w14:paraId="0484D513" w14:textId="77777777" w:rsidR="00FB412A" w:rsidRPr="00122B15" w:rsidRDefault="00FB412A" w:rsidP="00FB412A">
      <w:pPr>
        <w:pStyle w:val="Paragraphedeliste"/>
        <w:numPr>
          <w:ilvl w:val="0"/>
          <w:numId w:val="43"/>
        </w:numPr>
        <w:autoSpaceDE w:val="0"/>
        <w:autoSpaceDN w:val="0"/>
        <w:adjustRightInd w:val="0"/>
        <w:spacing w:after="0" w:line="240" w:lineRule="auto"/>
        <w:ind w:left="426" w:hanging="426"/>
        <w:rPr>
          <w:rFonts w:cstheme="minorHAnsi"/>
          <w:sz w:val="24"/>
          <w:szCs w:val="24"/>
        </w:rPr>
      </w:pPr>
      <w:r w:rsidRPr="00122B15">
        <w:rPr>
          <w:rFonts w:cstheme="minorHAnsi"/>
          <w:sz w:val="24"/>
          <w:szCs w:val="24"/>
        </w:rPr>
        <w:t>Le leadership et la satisfaction durable des besoins de financement du secteur est assuré par l'Etat</w:t>
      </w:r>
    </w:p>
    <w:p w14:paraId="76EEF9E3" w14:textId="77777777" w:rsidR="00FB412A" w:rsidRPr="00122B15" w:rsidRDefault="00FB412A" w:rsidP="00FB412A">
      <w:pPr>
        <w:pStyle w:val="Paragraphedeliste"/>
        <w:numPr>
          <w:ilvl w:val="0"/>
          <w:numId w:val="43"/>
        </w:numPr>
        <w:autoSpaceDE w:val="0"/>
        <w:autoSpaceDN w:val="0"/>
        <w:adjustRightInd w:val="0"/>
        <w:spacing w:after="0" w:line="240" w:lineRule="auto"/>
        <w:ind w:left="426" w:hanging="426"/>
        <w:rPr>
          <w:rFonts w:cstheme="minorHAnsi"/>
          <w:sz w:val="24"/>
          <w:szCs w:val="24"/>
        </w:rPr>
      </w:pPr>
      <w:r w:rsidRPr="00122B15">
        <w:rPr>
          <w:rFonts w:cstheme="minorHAnsi"/>
          <w:sz w:val="24"/>
          <w:szCs w:val="24"/>
        </w:rPr>
        <w:t xml:space="preserve">La coordination, le suivi-évaluation et la régulation du secteur </w:t>
      </w:r>
      <w:r w:rsidR="000E6FB8">
        <w:rPr>
          <w:rFonts w:cstheme="minorHAnsi"/>
          <w:sz w:val="24"/>
          <w:szCs w:val="24"/>
        </w:rPr>
        <w:t>sont</w:t>
      </w:r>
      <w:r w:rsidRPr="00122B15">
        <w:rPr>
          <w:rFonts w:cstheme="minorHAnsi"/>
          <w:sz w:val="24"/>
          <w:szCs w:val="24"/>
        </w:rPr>
        <w:t xml:space="preserve"> assuré</w:t>
      </w:r>
      <w:r w:rsidR="000E6FB8">
        <w:rPr>
          <w:rFonts w:cstheme="minorHAnsi"/>
          <w:sz w:val="24"/>
          <w:szCs w:val="24"/>
        </w:rPr>
        <w:t>s</w:t>
      </w:r>
      <w:r w:rsidRPr="00122B15">
        <w:rPr>
          <w:rFonts w:cstheme="minorHAnsi"/>
          <w:sz w:val="24"/>
          <w:szCs w:val="24"/>
        </w:rPr>
        <w:t xml:space="preserve"> par l'Etat </w:t>
      </w:r>
    </w:p>
    <w:p w14:paraId="48F57E50" w14:textId="77777777" w:rsidR="00FB412A" w:rsidRPr="00122B15" w:rsidRDefault="00FB412A" w:rsidP="00FB412A">
      <w:pPr>
        <w:pStyle w:val="Paragraphedeliste"/>
        <w:numPr>
          <w:ilvl w:val="0"/>
          <w:numId w:val="43"/>
        </w:numPr>
        <w:autoSpaceDE w:val="0"/>
        <w:autoSpaceDN w:val="0"/>
        <w:adjustRightInd w:val="0"/>
        <w:spacing w:after="0" w:line="240" w:lineRule="auto"/>
        <w:ind w:left="426" w:hanging="426"/>
        <w:rPr>
          <w:rFonts w:cstheme="minorHAnsi"/>
          <w:sz w:val="24"/>
          <w:szCs w:val="24"/>
        </w:rPr>
      </w:pPr>
      <w:r w:rsidRPr="00122B15">
        <w:rPr>
          <w:rFonts w:cstheme="minorHAnsi"/>
          <w:sz w:val="24"/>
          <w:szCs w:val="24"/>
        </w:rPr>
        <w:t xml:space="preserve">Soutenir </w:t>
      </w:r>
      <w:r w:rsidR="000E6FB8">
        <w:rPr>
          <w:rFonts w:cstheme="minorHAnsi"/>
          <w:sz w:val="24"/>
          <w:szCs w:val="24"/>
        </w:rPr>
        <w:t xml:space="preserve">et </w:t>
      </w:r>
      <w:r w:rsidRPr="00122B15">
        <w:rPr>
          <w:rFonts w:cstheme="minorHAnsi"/>
          <w:sz w:val="24"/>
          <w:szCs w:val="24"/>
        </w:rPr>
        <w:t xml:space="preserve">renforcer la société pour la protection et la défense des citoyens </w:t>
      </w:r>
      <w:r w:rsidR="000E6FB8">
        <w:rPr>
          <w:rFonts w:cstheme="minorHAnsi"/>
          <w:sz w:val="24"/>
          <w:szCs w:val="24"/>
        </w:rPr>
        <w:t>et usagers des services public</w:t>
      </w:r>
      <w:r w:rsidRPr="00122B15">
        <w:rPr>
          <w:rFonts w:cstheme="minorHAnsi"/>
          <w:sz w:val="24"/>
          <w:szCs w:val="24"/>
        </w:rPr>
        <w:t>s en application de l'AFDH</w:t>
      </w:r>
    </w:p>
    <w:p w14:paraId="0CFB9EDA" w14:textId="77777777" w:rsidR="00FB412A" w:rsidRPr="00122B15" w:rsidRDefault="00FB412A" w:rsidP="00FB412A">
      <w:pPr>
        <w:pStyle w:val="Sansinterligne"/>
        <w:ind w:left="426" w:hanging="426"/>
        <w:rPr>
          <w:rFonts w:cstheme="minorHAnsi"/>
          <w:sz w:val="24"/>
          <w:szCs w:val="24"/>
        </w:rPr>
      </w:pPr>
    </w:p>
    <w:p w14:paraId="2C09D83B" w14:textId="77777777" w:rsidR="00093848" w:rsidRPr="00122B15" w:rsidRDefault="00093848" w:rsidP="00FB412A">
      <w:pPr>
        <w:pStyle w:val="Sansinterligne"/>
        <w:numPr>
          <w:ilvl w:val="0"/>
          <w:numId w:val="29"/>
        </w:numPr>
        <w:ind w:left="426" w:hanging="426"/>
        <w:rPr>
          <w:rFonts w:cstheme="minorHAnsi"/>
          <w:sz w:val="24"/>
          <w:szCs w:val="24"/>
        </w:rPr>
      </w:pPr>
      <w:r w:rsidRPr="00122B15">
        <w:rPr>
          <w:rFonts w:cstheme="minorHAnsi"/>
          <w:sz w:val="24"/>
          <w:szCs w:val="24"/>
        </w:rPr>
        <w:t>A l'horizon 2030, assurer l'accès à l'eau de qualité en quantité suffisante et de façon équitable pour tous les usagers de l'espace pastoral dans la quiétude et la solidarité.</w:t>
      </w:r>
    </w:p>
    <w:p w14:paraId="10B90A68" w14:textId="77777777" w:rsidR="0080780D" w:rsidRDefault="00A22125" w:rsidP="00AD4430">
      <w:pPr>
        <w:pStyle w:val="Titre2"/>
      </w:pPr>
      <w:bookmarkStart w:id="17" w:name="_Toc21449019"/>
      <w:r w:rsidRPr="00122B15">
        <w:t>A</w:t>
      </w:r>
      <w:r w:rsidR="000720F9" w:rsidRPr="00122B15">
        <w:t>xe stratégique n°3 : a</w:t>
      </w:r>
      <w:r w:rsidRPr="00122B15">
        <w:t>mélioration de la</w:t>
      </w:r>
      <w:r w:rsidR="00EB27CA" w:rsidRPr="00122B15">
        <w:t xml:space="preserve"> lutte contre la pollution</w:t>
      </w:r>
      <w:bookmarkEnd w:id="17"/>
    </w:p>
    <w:p w14:paraId="25D0E963" w14:textId="77777777" w:rsidR="00AB1F76" w:rsidRPr="00122B15" w:rsidRDefault="00AB1F76" w:rsidP="00AB1F76">
      <w:pPr>
        <w:pStyle w:val="Sansinterligne"/>
        <w:ind w:left="1440"/>
        <w:rPr>
          <w:rFonts w:cstheme="minorHAnsi"/>
          <w:b/>
          <w:sz w:val="24"/>
          <w:szCs w:val="24"/>
        </w:rPr>
      </w:pPr>
    </w:p>
    <w:p w14:paraId="5A9637E1" w14:textId="77777777" w:rsidR="003C297D" w:rsidRPr="003C297D" w:rsidRDefault="004C20AA" w:rsidP="003C297D">
      <w:pPr>
        <w:rPr>
          <w:rFonts w:cstheme="minorHAnsi"/>
          <w:sz w:val="24"/>
          <w:szCs w:val="24"/>
        </w:rPr>
      </w:pPr>
      <w:r w:rsidRPr="00122B15">
        <w:rPr>
          <w:rFonts w:cstheme="minorHAnsi"/>
          <w:sz w:val="24"/>
          <w:szCs w:val="24"/>
        </w:rPr>
        <w:t xml:space="preserve">La pollution est un déterminant de la santé qui a longtemps été oubliée et dont on voit aujourd’hui le poids. </w:t>
      </w:r>
      <w:r w:rsidR="003C297D">
        <w:rPr>
          <w:rFonts w:cstheme="minorHAnsi"/>
          <w:sz w:val="24"/>
          <w:szCs w:val="24"/>
        </w:rPr>
        <w:t>En particulier a</w:t>
      </w:r>
      <w:r w:rsidRPr="00122B15">
        <w:rPr>
          <w:rFonts w:cstheme="minorHAnsi"/>
          <w:sz w:val="24"/>
          <w:szCs w:val="24"/>
        </w:rPr>
        <w:t xml:space="preserve">u Niger, </w:t>
      </w:r>
      <w:r w:rsidR="00DC4B54" w:rsidRPr="00122B15">
        <w:rPr>
          <w:rFonts w:cstheme="minorHAnsi"/>
          <w:sz w:val="24"/>
          <w:szCs w:val="24"/>
        </w:rPr>
        <w:t xml:space="preserve">la pollution </w:t>
      </w:r>
      <w:r w:rsidR="00AB1F76">
        <w:rPr>
          <w:rFonts w:cstheme="minorHAnsi"/>
          <w:sz w:val="24"/>
          <w:szCs w:val="24"/>
        </w:rPr>
        <w:t xml:space="preserve">de l’air </w:t>
      </w:r>
      <w:r w:rsidR="003C297D">
        <w:rPr>
          <w:rFonts w:cstheme="minorHAnsi"/>
          <w:sz w:val="24"/>
          <w:szCs w:val="24"/>
        </w:rPr>
        <w:t xml:space="preserve">des ménages </w:t>
      </w:r>
      <w:r w:rsidR="00DC4B54">
        <w:rPr>
          <w:rFonts w:cstheme="minorHAnsi"/>
          <w:sz w:val="24"/>
          <w:szCs w:val="24"/>
        </w:rPr>
        <w:t>est la cause de 7.62% des DALYs</w:t>
      </w:r>
      <w:r w:rsidR="006B5114">
        <w:rPr>
          <w:rFonts w:cstheme="minorHAnsi"/>
          <w:sz w:val="24"/>
          <w:szCs w:val="24"/>
        </w:rPr>
        <w:t>.</w:t>
      </w:r>
      <w:r w:rsidR="00C844D2">
        <w:rPr>
          <w:rFonts w:cstheme="minorHAnsi"/>
          <w:sz w:val="24"/>
          <w:szCs w:val="24"/>
        </w:rPr>
        <w:t xml:space="preserve"> Elle</w:t>
      </w:r>
      <w:r w:rsidR="003C297D">
        <w:rPr>
          <w:rFonts w:cstheme="minorHAnsi"/>
          <w:sz w:val="24"/>
          <w:szCs w:val="24"/>
        </w:rPr>
        <w:t xml:space="preserve"> </w:t>
      </w:r>
      <w:r w:rsidR="00122B15">
        <w:rPr>
          <w:rFonts w:cstheme="minorHAnsi"/>
          <w:sz w:val="24"/>
          <w:szCs w:val="24"/>
        </w:rPr>
        <w:t xml:space="preserve">contribue significativement à </w:t>
      </w:r>
      <w:r w:rsidR="00122B15" w:rsidRPr="00122B15">
        <w:rPr>
          <w:rFonts w:cstheme="minorHAnsi"/>
          <w:sz w:val="24"/>
          <w:szCs w:val="24"/>
        </w:rPr>
        <w:t xml:space="preserve">la morbidité et </w:t>
      </w:r>
      <w:r w:rsidR="008566D6">
        <w:rPr>
          <w:rFonts w:cstheme="minorHAnsi"/>
          <w:sz w:val="24"/>
          <w:szCs w:val="24"/>
        </w:rPr>
        <w:t xml:space="preserve">la </w:t>
      </w:r>
      <w:r w:rsidR="00122B15" w:rsidRPr="00122B15">
        <w:rPr>
          <w:rFonts w:cstheme="minorHAnsi"/>
          <w:sz w:val="24"/>
          <w:szCs w:val="24"/>
        </w:rPr>
        <w:t xml:space="preserve">mortalité liées </w:t>
      </w:r>
      <w:r w:rsidR="003C297D">
        <w:rPr>
          <w:rFonts w:cstheme="minorHAnsi"/>
          <w:sz w:val="24"/>
          <w:szCs w:val="24"/>
        </w:rPr>
        <w:t xml:space="preserve">notamment </w:t>
      </w:r>
      <w:r w:rsidR="00122B15" w:rsidRPr="00122B15">
        <w:rPr>
          <w:rFonts w:cstheme="minorHAnsi"/>
          <w:sz w:val="24"/>
          <w:szCs w:val="24"/>
        </w:rPr>
        <w:t xml:space="preserve">aux infections respiratoires. </w:t>
      </w:r>
      <w:r w:rsidR="003C297D" w:rsidRPr="003C297D">
        <w:rPr>
          <w:rFonts w:cstheme="minorHAnsi"/>
          <w:sz w:val="24"/>
          <w:szCs w:val="24"/>
        </w:rPr>
        <w:t xml:space="preserve">Dans les pays à </w:t>
      </w:r>
      <w:r w:rsidR="003C297D">
        <w:rPr>
          <w:rFonts w:cstheme="minorHAnsi"/>
          <w:sz w:val="24"/>
          <w:szCs w:val="24"/>
        </w:rPr>
        <w:t>revenu faible et intermédiaire la pollution est cause de :</w:t>
      </w:r>
    </w:p>
    <w:p w14:paraId="4FEAA66D" w14:textId="77777777" w:rsidR="003C297D" w:rsidRPr="003C297D" w:rsidRDefault="003C297D" w:rsidP="003C297D">
      <w:pPr>
        <w:pStyle w:val="Sansinterligne"/>
        <w:rPr>
          <w:rFonts w:cstheme="minorHAnsi"/>
          <w:sz w:val="24"/>
          <w:szCs w:val="24"/>
        </w:rPr>
      </w:pPr>
      <w:r w:rsidRPr="003C297D">
        <w:rPr>
          <w:rFonts w:cstheme="minorHAnsi"/>
          <w:sz w:val="24"/>
          <w:szCs w:val="24"/>
        </w:rPr>
        <w:t xml:space="preserve">- 25% de tous les décès par accident vasculaire cérébral, </w:t>
      </w:r>
    </w:p>
    <w:p w14:paraId="77FF8ED1" w14:textId="77777777" w:rsidR="003C297D" w:rsidRPr="003C297D" w:rsidRDefault="003C297D" w:rsidP="003C297D">
      <w:pPr>
        <w:pStyle w:val="Sansinterligne"/>
        <w:rPr>
          <w:rFonts w:cstheme="minorHAnsi"/>
          <w:sz w:val="24"/>
          <w:szCs w:val="24"/>
        </w:rPr>
      </w:pPr>
      <w:r w:rsidRPr="003C297D">
        <w:rPr>
          <w:rFonts w:cstheme="minorHAnsi"/>
          <w:sz w:val="24"/>
          <w:szCs w:val="24"/>
        </w:rPr>
        <w:t xml:space="preserve">- 15% des décès dus à une cardiopathie ischémique, </w:t>
      </w:r>
    </w:p>
    <w:p w14:paraId="2216E55C" w14:textId="77777777" w:rsidR="003C297D" w:rsidRPr="003C297D" w:rsidRDefault="003C297D" w:rsidP="003C297D">
      <w:pPr>
        <w:pStyle w:val="Sansinterligne"/>
        <w:rPr>
          <w:rFonts w:cstheme="minorHAnsi"/>
          <w:sz w:val="24"/>
          <w:szCs w:val="24"/>
        </w:rPr>
      </w:pPr>
      <w:r w:rsidRPr="003C297D">
        <w:rPr>
          <w:rFonts w:cstheme="minorHAnsi"/>
          <w:sz w:val="24"/>
          <w:szCs w:val="24"/>
        </w:rPr>
        <w:t xml:space="preserve">- 17% des décès dus au cancer du poumon, </w:t>
      </w:r>
    </w:p>
    <w:p w14:paraId="6369B098" w14:textId="77777777" w:rsidR="003C297D" w:rsidRPr="003C297D" w:rsidRDefault="003C297D" w:rsidP="003C297D">
      <w:pPr>
        <w:pStyle w:val="Sansinterligne"/>
        <w:rPr>
          <w:rFonts w:cstheme="minorHAnsi"/>
          <w:sz w:val="24"/>
          <w:szCs w:val="24"/>
        </w:rPr>
      </w:pPr>
      <w:r w:rsidRPr="003C297D">
        <w:rPr>
          <w:rFonts w:cstheme="minorHAnsi"/>
          <w:sz w:val="24"/>
          <w:szCs w:val="24"/>
        </w:rPr>
        <w:t xml:space="preserve">- </w:t>
      </w:r>
      <w:r>
        <w:rPr>
          <w:rFonts w:cstheme="minorHAnsi"/>
          <w:sz w:val="24"/>
          <w:szCs w:val="24"/>
        </w:rPr>
        <w:t>P</w:t>
      </w:r>
      <w:r w:rsidRPr="003C297D">
        <w:rPr>
          <w:rFonts w:cstheme="minorHAnsi"/>
          <w:sz w:val="24"/>
          <w:szCs w:val="24"/>
        </w:rPr>
        <w:t xml:space="preserve">lus de 33% de tous les décès dus à la bronchopneumopathie chronique obstructive </w:t>
      </w:r>
    </w:p>
    <w:p w14:paraId="68A89D92" w14:textId="77777777" w:rsidR="003C297D" w:rsidRPr="003C297D" w:rsidRDefault="003C297D" w:rsidP="003C297D">
      <w:pPr>
        <w:pStyle w:val="Sansinterligne"/>
        <w:rPr>
          <w:rFonts w:cstheme="minorHAnsi"/>
          <w:sz w:val="24"/>
          <w:szCs w:val="24"/>
        </w:rPr>
      </w:pPr>
      <w:r>
        <w:rPr>
          <w:rFonts w:cstheme="minorHAnsi"/>
          <w:sz w:val="24"/>
          <w:szCs w:val="24"/>
        </w:rPr>
        <w:t>- P</w:t>
      </w:r>
      <w:r w:rsidRPr="003C297D">
        <w:rPr>
          <w:rFonts w:cstheme="minorHAnsi"/>
          <w:sz w:val="24"/>
          <w:szCs w:val="24"/>
        </w:rPr>
        <w:t>rès du quart de la charge de morbidité de la cataracte</w:t>
      </w:r>
    </w:p>
    <w:p w14:paraId="27B1C887" w14:textId="77777777" w:rsidR="003C297D" w:rsidRDefault="003C297D" w:rsidP="003C297D">
      <w:pPr>
        <w:pStyle w:val="Sansinterligne"/>
        <w:rPr>
          <w:rFonts w:cstheme="minorHAnsi"/>
          <w:sz w:val="24"/>
          <w:szCs w:val="24"/>
        </w:rPr>
      </w:pPr>
      <w:r w:rsidRPr="003C297D">
        <w:rPr>
          <w:rFonts w:cstheme="minorHAnsi"/>
          <w:sz w:val="24"/>
          <w:szCs w:val="24"/>
        </w:rPr>
        <w:t xml:space="preserve">- </w:t>
      </w:r>
      <w:r w:rsidR="00E96B92" w:rsidRPr="003C297D">
        <w:rPr>
          <w:rFonts w:cstheme="minorHAnsi"/>
          <w:sz w:val="24"/>
          <w:szCs w:val="24"/>
        </w:rPr>
        <w:t xml:space="preserve">50% </w:t>
      </w:r>
      <w:r>
        <w:rPr>
          <w:rFonts w:cstheme="minorHAnsi"/>
          <w:sz w:val="24"/>
          <w:szCs w:val="24"/>
        </w:rPr>
        <w:t>des décès dus aux pneumonies…</w:t>
      </w:r>
    </w:p>
    <w:p w14:paraId="6A669864" w14:textId="77777777" w:rsidR="003C297D" w:rsidRDefault="003C297D" w:rsidP="003C297D">
      <w:pPr>
        <w:pStyle w:val="Sansinterligne"/>
        <w:rPr>
          <w:rFonts w:cstheme="minorHAnsi"/>
          <w:sz w:val="24"/>
          <w:szCs w:val="24"/>
        </w:rPr>
      </w:pPr>
    </w:p>
    <w:p w14:paraId="7CF11AC0" w14:textId="77777777" w:rsidR="00AB1F76" w:rsidRDefault="00122B15" w:rsidP="00122B15">
      <w:pPr>
        <w:rPr>
          <w:rFonts w:cstheme="minorHAnsi"/>
          <w:sz w:val="24"/>
          <w:szCs w:val="24"/>
        </w:rPr>
      </w:pPr>
      <w:r w:rsidRPr="00122B15">
        <w:rPr>
          <w:rFonts w:cstheme="minorHAnsi"/>
          <w:sz w:val="24"/>
          <w:szCs w:val="24"/>
        </w:rPr>
        <w:t xml:space="preserve">Les stratégies mise </w:t>
      </w:r>
      <w:r w:rsidR="000E6FB8">
        <w:rPr>
          <w:rFonts w:cstheme="minorHAnsi"/>
          <w:sz w:val="24"/>
          <w:szCs w:val="24"/>
        </w:rPr>
        <w:t>en œuvre</w:t>
      </w:r>
      <w:r w:rsidRPr="00122B15">
        <w:rPr>
          <w:rFonts w:cstheme="minorHAnsi"/>
          <w:sz w:val="24"/>
          <w:szCs w:val="24"/>
        </w:rPr>
        <w:t xml:space="preserve"> devront être élaborées par des diagnostics qui doivent encore largement être réalisés</w:t>
      </w:r>
      <w:r w:rsidR="003C297D">
        <w:rPr>
          <w:rFonts w:cstheme="minorHAnsi"/>
          <w:sz w:val="24"/>
          <w:szCs w:val="24"/>
        </w:rPr>
        <w:t xml:space="preserve"> au Niger</w:t>
      </w:r>
      <w:r w:rsidRPr="00122B15">
        <w:rPr>
          <w:rFonts w:cstheme="minorHAnsi"/>
          <w:sz w:val="24"/>
          <w:szCs w:val="24"/>
        </w:rPr>
        <w:t>, tant cette préoccupatio</w:t>
      </w:r>
      <w:r w:rsidR="003C297D">
        <w:rPr>
          <w:rFonts w:cstheme="minorHAnsi"/>
          <w:sz w:val="24"/>
          <w:szCs w:val="24"/>
        </w:rPr>
        <w:t>n est récente et souvent laissée</w:t>
      </w:r>
      <w:r w:rsidRPr="00122B15">
        <w:rPr>
          <w:rFonts w:cstheme="minorHAnsi"/>
          <w:sz w:val="24"/>
          <w:szCs w:val="24"/>
        </w:rPr>
        <w:t xml:space="preserve"> pour compte.</w:t>
      </w:r>
    </w:p>
    <w:p w14:paraId="489C4391" w14:textId="77777777" w:rsidR="00122B15" w:rsidRPr="00122B15" w:rsidRDefault="00AB1F76" w:rsidP="00122B15">
      <w:pPr>
        <w:rPr>
          <w:rFonts w:cstheme="minorHAnsi"/>
          <w:sz w:val="24"/>
          <w:szCs w:val="24"/>
        </w:rPr>
      </w:pPr>
      <w:r>
        <w:rPr>
          <w:rFonts w:cstheme="minorHAnsi"/>
          <w:sz w:val="24"/>
          <w:szCs w:val="24"/>
        </w:rPr>
        <w:t>La lutte contre la pollution concerne également la pollution des sols et la pollution de l’eau.</w:t>
      </w:r>
    </w:p>
    <w:p w14:paraId="2DD8E96B" w14:textId="77777777" w:rsidR="00515C25" w:rsidRPr="00BF29A2" w:rsidRDefault="00515C25">
      <w:pPr>
        <w:rPr>
          <w:rFonts w:cstheme="minorHAnsi"/>
          <w:sz w:val="24"/>
          <w:szCs w:val="24"/>
        </w:rPr>
      </w:pPr>
      <w:r w:rsidRPr="00BF29A2">
        <w:rPr>
          <w:rFonts w:cstheme="minorHAnsi"/>
          <w:sz w:val="24"/>
          <w:szCs w:val="24"/>
        </w:rPr>
        <w:br w:type="page"/>
      </w:r>
    </w:p>
    <w:p w14:paraId="757F7C3E" w14:textId="77777777" w:rsidR="003F3FAC" w:rsidRPr="00BF29A2" w:rsidRDefault="005310D7" w:rsidP="00BF29A2">
      <w:pPr>
        <w:pStyle w:val="Titre2"/>
      </w:pPr>
      <w:bookmarkStart w:id="18" w:name="_Toc21449020"/>
      <w:r>
        <w:t xml:space="preserve">OS n°2 : </w:t>
      </w:r>
      <w:r w:rsidR="003F3FAC" w:rsidRPr="00BF29A2">
        <w:t xml:space="preserve">Amélioration </w:t>
      </w:r>
      <w:r>
        <w:t>de l’offre de services de santé</w:t>
      </w:r>
      <w:bookmarkEnd w:id="18"/>
      <w:r w:rsidR="00A22125" w:rsidRPr="00BF29A2">
        <w:t xml:space="preserve"> </w:t>
      </w:r>
    </w:p>
    <w:p w14:paraId="36CE5694" w14:textId="77777777" w:rsidR="0087441C" w:rsidRDefault="0087441C" w:rsidP="003F3FAC">
      <w:pPr>
        <w:pStyle w:val="Paragraphedeliste"/>
        <w:rPr>
          <w:rFonts w:cstheme="minorHAnsi"/>
          <w:sz w:val="24"/>
          <w:szCs w:val="24"/>
        </w:rPr>
      </w:pPr>
    </w:p>
    <w:p w14:paraId="24DC2F94" w14:textId="77777777" w:rsidR="00076E2C" w:rsidRDefault="00076E2C" w:rsidP="00076E2C">
      <w:pPr>
        <w:jc w:val="both"/>
        <w:rPr>
          <w:rFonts w:cs="Calibri"/>
        </w:rPr>
      </w:pPr>
      <w:r w:rsidRPr="005540CD">
        <w:rPr>
          <w:rFonts w:cs="Calibri"/>
        </w:rPr>
        <w:t>Le Conseil des Ministres de l’UEMOA a adopté un nouveau cadre harmonisé de gestion des finances publiques à travers six (6) directives dont la directive</w:t>
      </w:r>
      <w:r>
        <w:rPr>
          <w:rFonts w:cs="Calibri"/>
        </w:rPr>
        <w:t xml:space="preserve"> N°6 portant lois des finances. </w:t>
      </w:r>
      <w:r w:rsidRPr="005540CD">
        <w:rPr>
          <w:rFonts w:cs="Calibri"/>
        </w:rPr>
        <w:t>Dans cette perspective le Niger a transposé la directive N°6 par l’adoption de la Loi n°2012-09 du 26 mars 2012, portant loi organique relative aux lois de finances. Désormais, les crédits budgétaires doivent être « spécialisés par programme et par dotation »</w:t>
      </w:r>
      <w:r>
        <w:rPr>
          <w:rFonts w:cs="Calibri"/>
        </w:rPr>
        <w:t>. Le Ministère de la santé a arrêté 3 programmes comme suit</w:t>
      </w:r>
      <w:r w:rsidR="000E6FB8" w:rsidRPr="000E6FB8">
        <w:rPr>
          <w:rFonts w:cs="Calibri"/>
        </w:rPr>
        <w:t xml:space="preserve"> </w:t>
      </w:r>
      <w:r w:rsidR="000E6FB8">
        <w:rPr>
          <w:rFonts w:cs="Calibri"/>
        </w:rPr>
        <w:t>dans son PDS 2017-2021 </w:t>
      </w:r>
      <w:r>
        <w:rPr>
          <w:rFonts w:cs="Calibri"/>
        </w:rPr>
        <w:t> :</w:t>
      </w:r>
    </w:p>
    <w:p w14:paraId="2E1A0301" w14:textId="77777777" w:rsidR="00076E2C" w:rsidRDefault="00076E2C" w:rsidP="00076E2C">
      <w:pPr>
        <w:rPr>
          <w:rFonts w:cs="Calibri"/>
        </w:rPr>
      </w:pPr>
      <w:r w:rsidRPr="009221C2">
        <w:rPr>
          <w:noProof/>
          <w:lang w:eastAsia="fr-FR"/>
        </w:rPr>
        <w:drawing>
          <wp:inline distT="0" distB="0" distL="0" distR="0" wp14:anchorId="165D4BCE" wp14:editId="1431CE9E">
            <wp:extent cx="5454687" cy="5747967"/>
            <wp:effectExtent l="0" t="0" r="0" b="5715"/>
            <wp:docPr id="309" name="Imag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4186" cy="5747439"/>
                    </a:xfrm>
                    <a:prstGeom prst="rect">
                      <a:avLst/>
                    </a:prstGeom>
                    <a:noFill/>
                    <a:ln>
                      <a:noFill/>
                    </a:ln>
                  </pic:spPr>
                </pic:pic>
              </a:graphicData>
            </a:graphic>
          </wp:inline>
        </w:drawing>
      </w:r>
    </w:p>
    <w:p w14:paraId="36F206B8" w14:textId="77777777" w:rsidR="00076E2C" w:rsidRDefault="00076E2C" w:rsidP="00076E2C">
      <w:pPr>
        <w:rPr>
          <w:rFonts w:cs="Calibri"/>
        </w:rPr>
      </w:pPr>
    </w:p>
    <w:p w14:paraId="7DF89403" w14:textId="77777777" w:rsidR="00076E2C" w:rsidRDefault="00076E2C">
      <w:pPr>
        <w:rPr>
          <w:rFonts w:asciiTheme="majorHAnsi" w:eastAsiaTheme="majorEastAsia" w:hAnsiTheme="majorHAnsi" w:cstheme="majorBidi"/>
          <w:b/>
          <w:bCs/>
          <w:color w:val="4F81BD" w:themeColor="accent1"/>
          <w:sz w:val="26"/>
          <w:szCs w:val="26"/>
        </w:rPr>
      </w:pPr>
      <w:r>
        <w:rPr>
          <w:rFonts w:cs="Calibri"/>
        </w:rPr>
        <w:t xml:space="preserve">Les programmes sont définis dans une logique de mise en œuvre d’actions cohérentes et de financement sur la base de résultats. Ils doivent donc être repris comme autant d’axes stratégiques pour l’amélioration de l’offre de services de santé, qui est l’objectif </w:t>
      </w:r>
      <w:r w:rsidR="000E6FB8">
        <w:rPr>
          <w:rFonts w:cs="Calibri"/>
        </w:rPr>
        <w:t xml:space="preserve">stratégique </w:t>
      </w:r>
      <w:r>
        <w:rPr>
          <w:rFonts w:cs="Calibri"/>
        </w:rPr>
        <w:t>n°2 de la présente stratégie de la Couverture Sanitaire Universelle au Niger.</w:t>
      </w:r>
      <w:r>
        <w:br w:type="page"/>
      </w:r>
    </w:p>
    <w:p w14:paraId="445328C2" w14:textId="77777777" w:rsidR="00076E2C" w:rsidRDefault="00076E2C" w:rsidP="00076E2C">
      <w:pPr>
        <w:pStyle w:val="Titre2"/>
      </w:pPr>
      <w:bookmarkStart w:id="19" w:name="_Toc21449021"/>
      <w:r>
        <w:t>Axe stratégique n°4 : amélioration de la gouvernance et du leadership du secteur de la santé</w:t>
      </w:r>
      <w:bookmarkEnd w:id="19"/>
    </w:p>
    <w:p w14:paraId="454F6315" w14:textId="77777777" w:rsidR="00076E2C" w:rsidRDefault="00076E2C" w:rsidP="00076E2C"/>
    <w:p w14:paraId="1198F6D9" w14:textId="77777777" w:rsidR="00076E2C" w:rsidRPr="00076E2C" w:rsidRDefault="00076E2C" w:rsidP="00076E2C">
      <w:pPr>
        <w:jc w:val="both"/>
        <w:rPr>
          <w:rFonts w:cs="Calibri"/>
        </w:rPr>
      </w:pPr>
      <w:r w:rsidRPr="00076E2C">
        <w:rPr>
          <w:rFonts w:cs="Calibri"/>
        </w:rPr>
        <w:t xml:space="preserve">Le Niger a fourni d’importants efforts pour améliorer la gouvernance dans le secteur de la santé.  C’est dans ce cadre qu’une Inspection Générale de la Santé a été mise en place. Dans le but de renforcer la gouvernance, un audit institutionnel a été commandité par le MSP en 2015. Cet audit a identifié  un certain nombre d’insuffisances qui portent sur les aspects suivants : la planification sectorielle, la décentralisation et la déconcentration, le dialogue politique et la coordination sectorielle, l’inspection, le contrôle et la recevabilité,  la mise en œuvre des réformes et le partenariat. </w:t>
      </w:r>
    </w:p>
    <w:p w14:paraId="34428A9F" w14:textId="77777777" w:rsidR="00076E2C" w:rsidRPr="009221C2" w:rsidRDefault="00076E2C" w:rsidP="00076E2C">
      <w:r>
        <w:t>Un certain nombre de réformes sont donc envisagées ou déjà en cours :</w:t>
      </w:r>
    </w:p>
    <w:p w14:paraId="77CCBA8B" w14:textId="77777777" w:rsidR="00076E2C" w:rsidRPr="00076E2C" w:rsidRDefault="00076E2C" w:rsidP="00076E2C">
      <w:pPr>
        <w:pStyle w:val="Paragraphedeliste"/>
        <w:numPr>
          <w:ilvl w:val="0"/>
          <w:numId w:val="46"/>
        </w:numPr>
        <w:jc w:val="both"/>
        <w:rPr>
          <w:rFonts w:cs="Calibri"/>
        </w:rPr>
      </w:pPr>
      <w:r w:rsidRPr="00076E2C">
        <w:rPr>
          <w:rFonts w:cs="Calibri"/>
        </w:rPr>
        <w:t>La couverture universelle en santé elle-même;</w:t>
      </w:r>
    </w:p>
    <w:p w14:paraId="041D5CF6" w14:textId="77777777" w:rsidR="00076E2C" w:rsidRPr="00076E2C" w:rsidRDefault="00076E2C" w:rsidP="00076E2C">
      <w:pPr>
        <w:pStyle w:val="Paragraphedeliste"/>
        <w:numPr>
          <w:ilvl w:val="0"/>
          <w:numId w:val="46"/>
        </w:numPr>
        <w:jc w:val="both"/>
        <w:rPr>
          <w:rFonts w:cs="Calibri"/>
        </w:rPr>
      </w:pPr>
      <w:r w:rsidRPr="00076E2C">
        <w:rPr>
          <w:rFonts w:cs="Calibri"/>
        </w:rPr>
        <w:t>L’organisation du système d’information sanitaire en particulier la révision du SNIS pour les besoins de la mise en œuvre du PDS et répondre à la mesure des performances du système de santé ainsi que la mise en place des tableaux de bord permettant le suivi efficace des interventions à tous les niveaux ;</w:t>
      </w:r>
    </w:p>
    <w:p w14:paraId="75840395" w14:textId="77777777" w:rsidR="00076E2C" w:rsidRPr="00076E2C" w:rsidRDefault="00076E2C" w:rsidP="00076E2C">
      <w:pPr>
        <w:pStyle w:val="Paragraphedeliste"/>
        <w:numPr>
          <w:ilvl w:val="0"/>
          <w:numId w:val="46"/>
        </w:numPr>
        <w:jc w:val="both"/>
        <w:rPr>
          <w:rFonts w:cs="Calibri"/>
        </w:rPr>
      </w:pPr>
      <w:r w:rsidRPr="00076E2C">
        <w:rPr>
          <w:rFonts w:cs="Calibri"/>
        </w:rPr>
        <w:t>Le financement basé sur les résultats ou gestion axée sur la performance ;</w:t>
      </w:r>
    </w:p>
    <w:p w14:paraId="648A7080" w14:textId="77777777" w:rsidR="00076E2C" w:rsidRPr="00076E2C" w:rsidRDefault="00076E2C" w:rsidP="00076E2C">
      <w:pPr>
        <w:pStyle w:val="Paragraphedeliste"/>
        <w:numPr>
          <w:ilvl w:val="0"/>
          <w:numId w:val="46"/>
        </w:numPr>
        <w:jc w:val="both"/>
        <w:rPr>
          <w:rFonts w:cs="Calibri"/>
        </w:rPr>
      </w:pPr>
      <w:r w:rsidRPr="00076E2C">
        <w:rPr>
          <w:rFonts w:cs="Calibri"/>
        </w:rPr>
        <w:t>Le transfert des compétences et des ressources de l’Etat aux collectivités territoriales.</w:t>
      </w:r>
    </w:p>
    <w:p w14:paraId="2E0AC4A1" w14:textId="77777777" w:rsidR="00076E2C" w:rsidRPr="00076E2C" w:rsidRDefault="00076E2C" w:rsidP="00076E2C">
      <w:pPr>
        <w:jc w:val="both"/>
        <w:rPr>
          <w:rFonts w:cs="Calibri"/>
        </w:rPr>
      </w:pPr>
      <w:r w:rsidRPr="00076E2C">
        <w:rPr>
          <w:rFonts w:cs="Calibri"/>
        </w:rPr>
        <w:t>De plus, les ressources humaines en santé sont aujourd’hui au sein de ce programme. Or cette question est l’une des plus fondamentales pour l’amélioration de l’offre de services de santé. Un certain nombre d’objectifs spécifiques relève de ce pilier du système de santé :</w:t>
      </w:r>
    </w:p>
    <w:p w14:paraId="6E261E11" w14:textId="77777777" w:rsidR="00076E2C" w:rsidRPr="00076E2C" w:rsidRDefault="00076E2C" w:rsidP="00076E2C">
      <w:pPr>
        <w:pStyle w:val="Paragraphedeliste"/>
        <w:numPr>
          <w:ilvl w:val="0"/>
          <w:numId w:val="46"/>
        </w:numPr>
        <w:jc w:val="both"/>
        <w:rPr>
          <w:rFonts w:cs="Calibri"/>
        </w:rPr>
      </w:pPr>
      <w:r w:rsidRPr="00076E2C">
        <w:rPr>
          <w:rFonts w:cs="Calibri"/>
        </w:rPr>
        <w:t>Doter 80% des structures sanitaires en personnels conformément aux besoins identifiés.</w:t>
      </w:r>
    </w:p>
    <w:p w14:paraId="475C5A40" w14:textId="77777777" w:rsidR="00076E2C" w:rsidRPr="00076E2C" w:rsidRDefault="00076E2C" w:rsidP="00076E2C">
      <w:pPr>
        <w:pStyle w:val="Paragraphedeliste"/>
        <w:numPr>
          <w:ilvl w:val="0"/>
          <w:numId w:val="46"/>
        </w:numPr>
        <w:jc w:val="both"/>
        <w:rPr>
          <w:rFonts w:cs="Calibri"/>
        </w:rPr>
      </w:pPr>
      <w:r w:rsidRPr="00076E2C">
        <w:rPr>
          <w:rFonts w:cs="Calibri"/>
        </w:rPr>
        <w:t>Planifier la formation initiale et continue conformément aux besoins identifiés auprès de la totalité des structures sanitaires.</w:t>
      </w:r>
    </w:p>
    <w:p w14:paraId="3CFF2EA1" w14:textId="77777777" w:rsidR="00076E2C" w:rsidRPr="00076E2C" w:rsidRDefault="00076E2C" w:rsidP="00076E2C">
      <w:pPr>
        <w:pStyle w:val="Paragraphedeliste"/>
        <w:numPr>
          <w:ilvl w:val="0"/>
          <w:numId w:val="46"/>
        </w:numPr>
        <w:jc w:val="both"/>
        <w:rPr>
          <w:rFonts w:cs="Calibri"/>
        </w:rPr>
      </w:pPr>
      <w:r w:rsidRPr="00076E2C">
        <w:rPr>
          <w:rFonts w:cs="Calibri"/>
        </w:rPr>
        <w:t>Gérer les carrières de tous les agents de santé au sein des différentes catégories d’emplois de la fonction publique.</w:t>
      </w:r>
    </w:p>
    <w:p w14:paraId="24ACA71D" w14:textId="77777777" w:rsidR="00C43FB7" w:rsidRPr="00C43FB7" w:rsidRDefault="00C43FB7" w:rsidP="00C43FB7">
      <w:pPr>
        <w:pStyle w:val="Paragraphedeliste"/>
        <w:numPr>
          <w:ilvl w:val="0"/>
          <w:numId w:val="46"/>
        </w:numPr>
        <w:rPr>
          <w:rFonts w:cs="Calibri"/>
        </w:rPr>
      </w:pPr>
      <w:r w:rsidRPr="00C43FB7">
        <w:rPr>
          <w:rFonts w:cs="Calibri"/>
        </w:rPr>
        <w:t>Mettre en place un dispositif de certification et d’accréditation des écoles de formations en santé.</w:t>
      </w:r>
    </w:p>
    <w:p w14:paraId="0E93C819" w14:textId="77777777" w:rsidR="00076E2C" w:rsidRPr="00076E2C" w:rsidRDefault="00076E2C" w:rsidP="00076E2C">
      <w:pPr>
        <w:pStyle w:val="Paragraphedeliste"/>
        <w:numPr>
          <w:ilvl w:val="0"/>
          <w:numId w:val="46"/>
        </w:numPr>
        <w:jc w:val="both"/>
        <w:rPr>
          <w:rFonts w:cs="Calibri"/>
        </w:rPr>
      </w:pPr>
      <w:r w:rsidRPr="00076E2C">
        <w:rPr>
          <w:rFonts w:cs="Calibri"/>
        </w:rPr>
        <w:t>Développer la gestion prévisionnelle des postes au niveau central, DRSP et districts sanitaires</w:t>
      </w:r>
    </w:p>
    <w:p w14:paraId="56702246" w14:textId="77777777" w:rsidR="00076E2C" w:rsidRPr="00076E2C" w:rsidRDefault="00076E2C" w:rsidP="00076E2C">
      <w:pPr>
        <w:pStyle w:val="Paragraphedeliste"/>
        <w:numPr>
          <w:ilvl w:val="0"/>
          <w:numId w:val="46"/>
        </w:numPr>
        <w:jc w:val="both"/>
        <w:rPr>
          <w:rFonts w:cs="Calibri"/>
        </w:rPr>
      </w:pPr>
      <w:r w:rsidRPr="00076E2C">
        <w:rPr>
          <w:rFonts w:cs="Calibri"/>
        </w:rPr>
        <w:t xml:space="preserve">Mettre en place des mesures motivationnelles dans toutes les formations sanitaires dans le cadre </w:t>
      </w:r>
      <w:r w:rsidR="006E10F9">
        <w:rPr>
          <w:rFonts w:cs="Calibri"/>
        </w:rPr>
        <w:t>de la gestion axée sur les résultats</w:t>
      </w:r>
      <w:r w:rsidRPr="00076E2C">
        <w:rPr>
          <w:rFonts w:cs="Calibri"/>
        </w:rPr>
        <w:t>.</w:t>
      </w:r>
    </w:p>
    <w:p w14:paraId="26DFC44D" w14:textId="77777777" w:rsidR="00076E2C" w:rsidRDefault="00076E2C" w:rsidP="00076E2C">
      <w:pPr>
        <w:pStyle w:val="Paragraphedeliste"/>
        <w:numPr>
          <w:ilvl w:val="0"/>
          <w:numId w:val="46"/>
        </w:numPr>
        <w:jc w:val="both"/>
        <w:rPr>
          <w:rFonts w:cs="Calibri"/>
        </w:rPr>
      </w:pPr>
      <w:r w:rsidRPr="00076E2C">
        <w:rPr>
          <w:rFonts w:cs="Calibri"/>
        </w:rPr>
        <w:t>Renforcer la capacité de GRH à tous les niveaux de la pyramide sanitaire</w:t>
      </w:r>
    </w:p>
    <w:p w14:paraId="717A94E3" w14:textId="77777777" w:rsidR="000E6FB8" w:rsidRPr="00076E2C" w:rsidRDefault="000E6FB8" w:rsidP="000E6FB8">
      <w:pPr>
        <w:pStyle w:val="Paragraphedeliste"/>
        <w:numPr>
          <w:ilvl w:val="0"/>
          <w:numId w:val="46"/>
        </w:numPr>
        <w:jc w:val="both"/>
        <w:rPr>
          <w:rFonts w:cs="Calibri"/>
        </w:rPr>
      </w:pPr>
      <w:r w:rsidRPr="00076E2C">
        <w:rPr>
          <w:rFonts w:cs="Calibri"/>
        </w:rPr>
        <w:t>La mise en œuvre d’actions de promotion de l’installation des médecins en zone rurale ;</w:t>
      </w:r>
    </w:p>
    <w:p w14:paraId="06AEBD48" w14:textId="77777777" w:rsidR="00076E2C" w:rsidRDefault="00076E2C" w:rsidP="00076E2C">
      <w:pPr>
        <w:pStyle w:val="Titre2"/>
      </w:pPr>
      <w:bookmarkStart w:id="20" w:name="_Toc21449022"/>
      <w:r>
        <w:t>Axe stratégique n°5 : amélioration de l’accès aux soins et services de santé</w:t>
      </w:r>
      <w:r>
        <w:rPr>
          <w:rStyle w:val="Appelnotedebasdep"/>
          <w:rFonts w:cs="Calibri"/>
          <w:sz w:val="22"/>
          <w:szCs w:val="22"/>
        </w:rPr>
        <w:footnoteReference w:id="10"/>
      </w:r>
      <w:bookmarkEnd w:id="20"/>
    </w:p>
    <w:p w14:paraId="78A02D86" w14:textId="77777777" w:rsidR="00076E2C" w:rsidRPr="00076E2C" w:rsidRDefault="00076E2C" w:rsidP="00076E2C">
      <w:pPr>
        <w:jc w:val="both"/>
        <w:rPr>
          <w:rFonts w:cs="Calibri"/>
        </w:rPr>
      </w:pPr>
      <w:r w:rsidRPr="00076E2C">
        <w:rPr>
          <w:rFonts w:cs="Calibri"/>
        </w:rPr>
        <w:t>Cet axe stratégique comprend notamment deux piliers essentiels du système de santé, à savoir les infrastructures et équipements (et leur maintenance) ainsi que les médicaments et autres produits de santé. Les orientations majeur</w:t>
      </w:r>
      <w:r>
        <w:rPr>
          <w:rFonts w:cs="Calibri"/>
        </w:rPr>
        <w:t>e</w:t>
      </w:r>
      <w:r w:rsidRPr="00076E2C">
        <w:rPr>
          <w:rFonts w:cs="Calibri"/>
        </w:rPr>
        <w:t>s de cet axe sont les suivantes :</w:t>
      </w:r>
    </w:p>
    <w:p w14:paraId="33FF5AA0" w14:textId="77777777" w:rsidR="00076E2C" w:rsidRPr="00076E2C" w:rsidRDefault="00076E2C" w:rsidP="00076E2C">
      <w:pPr>
        <w:rPr>
          <w:rFonts w:cs="Calibri"/>
          <w:i/>
        </w:rPr>
      </w:pPr>
      <w:r w:rsidRPr="00076E2C">
        <w:rPr>
          <w:rFonts w:cs="Calibri"/>
          <w:i/>
        </w:rPr>
        <w:t xml:space="preserve">Infrastructures et équipements (et leur maintenance) </w:t>
      </w:r>
    </w:p>
    <w:p w14:paraId="66448A28" w14:textId="77777777" w:rsidR="00076E2C" w:rsidRPr="00076E2C" w:rsidRDefault="00076E2C" w:rsidP="00076E2C">
      <w:pPr>
        <w:pStyle w:val="Paragraphedeliste"/>
        <w:numPr>
          <w:ilvl w:val="0"/>
          <w:numId w:val="19"/>
        </w:numPr>
        <w:rPr>
          <w:rFonts w:cs="Calibri"/>
        </w:rPr>
      </w:pPr>
      <w:r w:rsidRPr="00076E2C">
        <w:rPr>
          <w:rFonts w:cs="Calibri"/>
        </w:rPr>
        <w:t>Mise en œuvre de la stratégie nationale de maintenance</w:t>
      </w:r>
    </w:p>
    <w:p w14:paraId="6E751F28" w14:textId="77777777" w:rsidR="00076E2C" w:rsidRPr="00076E2C" w:rsidRDefault="00076E2C" w:rsidP="00076E2C">
      <w:pPr>
        <w:pStyle w:val="Paragraphedeliste"/>
        <w:numPr>
          <w:ilvl w:val="0"/>
          <w:numId w:val="19"/>
        </w:numPr>
        <w:rPr>
          <w:rFonts w:cs="Calibri"/>
        </w:rPr>
      </w:pPr>
      <w:r w:rsidRPr="00076E2C">
        <w:rPr>
          <w:rFonts w:cs="Calibri"/>
        </w:rPr>
        <w:t xml:space="preserve">Mise en œuvre de nouvelles normes et standard </w:t>
      </w:r>
    </w:p>
    <w:p w14:paraId="1E3940B0" w14:textId="77777777" w:rsidR="00076E2C" w:rsidRPr="00076E2C" w:rsidRDefault="00076E2C" w:rsidP="00076E2C">
      <w:pPr>
        <w:pStyle w:val="Paragraphedeliste"/>
        <w:numPr>
          <w:ilvl w:val="0"/>
          <w:numId w:val="19"/>
        </w:numPr>
        <w:rPr>
          <w:rFonts w:cs="Calibri"/>
        </w:rPr>
      </w:pPr>
      <w:r w:rsidRPr="00076E2C">
        <w:rPr>
          <w:rFonts w:cs="Calibri"/>
        </w:rPr>
        <w:t>Recours au PPP dans la construction des infrastructures sanitaire</w:t>
      </w:r>
    </w:p>
    <w:p w14:paraId="15735CDB" w14:textId="77777777" w:rsidR="00076E2C" w:rsidRDefault="00076E2C" w:rsidP="00076E2C">
      <w:pPr>
        <w:pStyle w:val="Paragraphedeliste"/>
        <w:numPr>
          <w:ilvl w:val="0"/>
          <w:numId w:val="19"/>
        </w:numPr>
        <w:rPr>
          <w:rFonts w:cs="Calibri"/>
        </w:rPr>
      </w:pPr>
      <w:r w:rsidRPr="00076E2C">
        <w:rPr>
          <w:rFonts w:cs="Calibri"/>
        </w:rPr>
        <w:t>Mise en œuvre de la Recherche Action en matière de maintenance</w:t>
      </w:r>
    </w:p>
    <w:p w14:paraId="05BE0AE3" w14:textId="77777777" w:rsidR="000E6FB8" w:rsidRPr="00076E2C" w:rsidRDefault="000E6FB8" w:rsidP="000E6FB8">
      <w:pPr>
        <w:pStyle w:val="Paragraphedeliste"/>
        <w:numPr>
          <w:ilvl w:val="0"/>
          <w:numId w:val="19"/>
        </w:numPr>
        <w:jc w:val="both"/>
        <w:rPr>
          <w:rFonts w:cs="Calibri"/>
        </w:rPr>
      </w:pPr>
      <w:r w:rsidRPr="00076E2C">
        <w:rPr>
          <w:rFonts w:cs="Calibri"/>
        </w:rPr>
        <w:t>Le développement du partenariat avec le secteur privé dans l'offre des soins et des services, au travers de la contractualisation, en privilégiant les avantages comparatifs ;</w:t>
      </w:r>
    </w:p>
    <w:p w14:paraId="66B46B52" w14:textId="77777777" w:rsidR="00076E2C" w:rsidRPr="00076E2C" w:rsidRDefault="00076E2C" w:rsidP="00076E2C">
      <w:pPr>
        <w:rPr>
          <w:rFonts w:cs="Calibri"/>
          <w:i/>
        </w:rPr>
      </w:pPr>
      <w:r w:rsidRPr="00076E2C">
        <w:rPr>
          <w:rFonts w:cs="Calibri"/>
          <w:i/>
        </w:rPr>
        <w:t>Médicaments et autres produits de santé :</w:t>
      </w:r>
    </w:p>
    <w:p w14:paraId="32862638" w14:textId="77777777" w:rsidR="008566D6" w:rsidRPr="00076E2C" w:rsidRDefault="008566D6" w:rsidP="008566D6">
      <w:pPr>
        <w:pStyle w:val="Paragraphedeliste"/>
        <w:numPr>
          <w:ilvl w:val="0"/>
          <w:numId w:val="19"/>
        </w:numPr>
        <w:rPr>
          <w:rFonts w:cs="Calibri"/>
        </w:rPr>
      </w:pPr>
      <w:r w:rsidRPr="00076E2C">
        <w:rPr>
          <w:rFonts w:cs="Calibri"/>
        </w:rPr>
        <w:t>Renforcement du cadre juridique du secteur pharmaceutique</w:t>
      </w:r>
      <w:r>
        <w:rPr>
          <w:rFonts w:cs="Calibri"/>
        </w:rPr>
        <w:t> ;</w:t>
      </w:r>
    </w:p>
    <w:p w14:paraId="5F750EBB" w14:textId="77777777" w:rsidR="006E10F9" w:rsidRPr="00076E2C" w:rsidRDefault="006E10F9" w:rsidP="006E10F9">
      <w:pPr>
        <w:pStyle w:val="Paragraphedeliste"/>
        <w:numPr>
          <w:ilvl w:val="0"/>
          <w:numId w:val="19"/>
        </w:numPr>
        <w:jc w:val="both"/>
        <w:rPr>
          <w:rFonts w:cs="Calibri"/>
        </w:rPr>
      </w:pPr>
      <w:r w:rsidRPr="00076E2C">
        <w:rPr>
          <w:rFonts w:cs="Calibri"/>
        </w:rPr>
        <w:t>La réforme du secteur pharmaceutique en mettant un accent particulier sur la réorganisation de l'ONPPC par la définition des nouvelles missions de services, l'ouverture de son conseil d'administration aux partenaires techniques et financiers et la dotation d'un fonds de roulement conséquent en vue de permettre à cette structure de jouer pleinement son rôle ;</w:t>
      </w:r>
    </w:p>
    <w:p w14:paraId="28C2F45A" w14:textId="77777777" w:rsidR="008566D6" w:rsidRPr="00076E2C" w:rsidRDefault="008566D6" w:rsidP="008566D6">
      <w:pPr>
        <w:pStyle w:val="Paragraphedeliste"/>
        <w:numPr>
          <w:ilvl w:val="0"/>
          <w:numId w:val="19"/>
        </w:numPr>
        <w:rPr>
          <w:rFonts w:cs="Calibri"/>
        </w:rPr>
      </w:pPr>
      <w:r w:rsidRPr="00076E2C">
        <w:rPr>
          <w:rFonts w:cs="Calibri"/>
        </w:rPr>
        <w:t xml:space="preserve">Renforcement de la chaine d’approvisionnement </w:t>
      </w:r>
      <w:r>
        <w:rPr>
          <w:rFonts w:cs="Calibri"/>
        </w:rPr>
        <w:t xml:space="preserve">en produits de santé </w:t>
      </w:r>
      <w:r w:rsidRPr="00076E2C">
        <w:rPr>
          <w:rFonts w:cs="Calibri"/>
        </w:rPr>
        <w:t>(</w:t>
      </w:r>
      <w:r>
        <w:rPr>
          <w:rFonts w:cs="Calibri"/>
        </w:rPr>
        <w:t>r</w:t>
      </w:r>
      <w:r w:rsidRPr="00076E2C">
        <w:rPr>
          <w:rFonts w:cs="Calibri"/>
        </w:rPr>
        <w:t xml:space="preserve">ecapitaliser l’ONPPC, </w:t>
      </w:r>
      <w:r>
        <w:rPr>
          <w:rFonts w:cs="Calibri"/>
        </w:rPr>
        <w:t>r</w:t>
      </w:r>
      <w:r w:rsidRPr="00076E2C">
        <w:rPr>
          <w:rFonts w:cs="Calibri"/>
        </w:rPr>
        <w:t xml:space="preserve">enforcer </w:t>
      </w:r>
      <w:r w:rsidR="00CC5F3B">
        <w:rPr>
          <w:rFonts w:cs="Calibri"/>
        </w:rPr>
        <w:t>s</w:t>
      </w:r>
      <w:r w:rsidRPr="00076E2C">
        <w:rPr>
          <w:rFonts w:cs="Calibri"/>
        </w:rPr>
        <w:t xml:space="preserve">a capacité de stockage et en régions, </w:t>
      </w:r>
      <w:r>
        <w:rPr>
          <w:rFonts w:cs="Calibri"/>
        </w:rPr>
        <w:t>r</w:t>
      </w:r>
      <w:r w:rsidRPr="00076E2C">
        <w:rPr>
          <w:rFonts w:cs="Calibri"/>
        </w:rPr>
        <w:t xml:space="preserve">enforcer la capacité de distribution </w:t>
      </w:r>
      <w:r>
        <w:rPr>
          <w:rFonts w:cs="Calibri"/>
        </w:rPr>
        <w:t>des produits de santé</w:t>
      </w:r>
      <w:r w:rsidRPr="00076E2C">
        <w:rPr>
          <w:rFonts w:cs="Calibri"/>
        </w:rPr>
        <w:t xml:space="preserve">, </w:t>
      </w:r>
      <w:r>
        <w:rPr>
          <w:rFonts w:cs="Calibri"/>
        </w:rPr>
        <w:t>a</w:t>
      </w:r>
      <w:r w:rsidRPr="00076E2C">
        <w:rPr>
          <w:rFonts w:cs="Calibri"/>
        </w:rPr>
        <w:t>méliorer la gestion interne de l’ONPPC et son circuit de distribution)</w:t>
      </w:r>
      <w:r>
        <w:rPr>
          <w:rFonts w:cs="Calibri"/>
        </w:rPr>
        <w:t> ;</w:t>
      </w:r>
    </w:p>
    <w:p w14:paraId="5A24E10F" w14:textId="77777777" w:rsidR="00076E2C" w:rsidRPr="00076E2C" w:rsidRDefault="00076E2C" w:rsidP="00076E2C">
      <w:pPr>
        <w:pStyle w:val="Paragraphedeliste"/>
        <w:numPr>
          <w:ilvl w:val="0"/>
          <w:numId w:val="19"/>
        </w:numPr>
        <w:rPr>
          <w:rFonts w:cs="Calibri"/>
        </w:rPr>
      </w:pPr>
      <w:r w:rsidRPr="00076E2C">
        <w:rPr>
          <w:rFonts w:cs="Calibri"/>
        </w:rPr>
        <w:t>Renforcement de  la production locale des médicaments</w:t>
      </w:r>
      <w:r w:rsidR="008566D6">
        <w:rPr>
          <w:rFonts w:cs="Calibri"/>
        </w:rPr>
        <w:t> ;</w:t>
      </w:r>
    </w:p>
    <w:p w14:paraId="53DAD769" w14:textId="77777777" w:rsidR="00076E2C" w:rsidRPr="00076E2C" w:rsidRDefault="00076E2C" w:rsidP="00076E2C">
      <w:pPr>
        <w:pStyle w:val="Paragraphedeliste"/>
        <w:numPr>
          <w:ilvl w:val="0"/>
          <w:numId w:val="19"/>
        </w:numPr>
        <w:rPr>
          <w:rFonts w:cs="Calibri"/>
        </w:rPr>
      </w:pPr>
      <w:r w:rsidRPr="00076E2C">
        <w:rPr>
          <w:rFonts w:cs="Calibri"/>
        </w:rPr>
        <w:t>Renforcement du contrôle de qualité des médicaments</w:t>
      </w:r>
      <w:r w:rsidR="008566D6">
        <w:rPr>
          <w:rFonts w:cs="Calibri"/>
        </w:rPr>
        <w:t> ;</w:t>
      </w:r>
    </w:p>
    <w:p w14:paraId="0D86C49E" w14:textId="77777777" w:rsidR="00076E2C" w:rsidRPr="00076E2C" w:rsidRDefault="00076E2C" w:rsidP="00076E2C">
      <w:pPr>
        <w:pStyle w:val="Paragraphedeliste"/>
        <w:numPr>
          <w:ilvl w:val="0"/>
          <w:numId w:val="19"/>
        </w:numPr>
        <w:rPr>
          <w:rFonts w:cs="Calibri"/>
        </w:rPr>
      </w:pPr>
      <w:r w:rsidRPr="00076E2C">
        <w:rPr>
          <w:rFonts w:cs="Calibri"/>
        </w:rPr>
        <w:t>Disponibilité  en médicaments, sang et dérivés de qualité dans les formations sanitaires</w:t>
      </w:r>
    </w:p>
    <w:p w14:paraId="0631A357" w14:textId="77777777" w:rsidR="00076E2C" w:rsidRPr="00076E2C" w:rsidRDefault="00C844D2" w:rsidP="00076E2C">
      <w:pPr>
        <w:pStyle w:val="Paragraphedeliste"/>
        <w:numPr>
          <w:ilvl w:val="0"/>
          <w:numId w:val="19"/>
        </w:numPr>
        <w:rPr>
          <w:rFonts w:cs="Calibri"/>
        </w:rPr>
      </w:pPr>
      <w:r>
        <w:rPr>
          <w:rFonts w:cs="Calibri"/>
        </w:rPr>
        <w:t>Intensification de</w:t>
      </w:r>
      <w:r w:rsidR="00076E2C" w:rsidRPr="00076E2C">
        <w:rPr>
          <w:rFonts w:cs="Calibri"/>
        </w:rPr>
        <w:t xml:space="preserve"> la lutte contre la vente illicite des médicaments et </w:t>
      </w:r>
      <w:r>
        <w:rPr>
          <w:rFonts w:cs="Calibri"/>
        </w:rPr>
        <w:t xml:space="preserve">des </w:t>
      </w:r>
      <w:r w:rsidR="00076E2C" w:rsidRPr="00076E2C">
        <w:rPr>
          <w:rFonts w:cs="Calibri"/>
        </w:rPr>
        <w:t>médicaments contrefaits</w:t>
      </w:r>
      <w:r w:rsidR="008566D6">
        <w:rPr>
          <w:rFonts w:cs="Calibri"/>
        </w:rPr>
        <w:t> ;</w:t>
      </w:r>
    </w:p>
    <w:p w14:paraId="3953EE16" w14:textId="77777777" w:rsidR="00076E2C" w:rsidRPr="00076E2C" w:rsidRDefault="00076E2C" w:rsidP="00076E2C">
      <w:pPr>
        <w:pStyle w:val="Paragraphedeliste"/>
        <w:numPr>
          <w:ilvl w:val="0"/>
          <w:numId w:val="19"/>
        </w:numPr>
        <w:rPr>
          <w:rFonts w:cs="Calibri"/>
        </w:rPr>
      </w:pPr>
      <w:r w:rsidRPr="00076E2C">
        <w:rPr>
          <w:rFonts w:cs="Calibri"/>
        </w:rPr>
        <w:t xml:space="preserve">Mise en place d’une agence </w:t>
      </w:r>
      <w:r w:rsidR="00C43FB7">
        <w:rPr>
          <w:rFonts w:cs="Calibri"/>
        </w:rPr>
        <w:t>de règlementation pharmaceutique</w:t>
      </w:r>
      <w:r w:rsidR="008566D6">
        <w:rPr>
          <w:rFonts w:cs="Calibri"/>
        </w:rPr>
        <w:t> ;</w:t>
      </w:r>
    </w:p>
    <w:p w14:paraId="63E1A5A5" w14:textId="77777777" w:rsidR="00076E2C" w:rsidRPr="00076E2C" w:rsidRDefault="00076E2C" w:rsidP="00076E2C">
      <w:pPr>
        <w:pStyle w:val="Paragraphedeliste"/>
        <w:numPr>
          <w:ilvl w:val="0"/>
          <w:numId w:val="19"/>
        </w:numPr>
        <w:rPr>
          <w:rFonts w:cs="Calibri"/>
        </w:rPr>
      </w:pPr>
      <w:r w:rsidRPr="00076E2C">
        <w:rPr>
          <w:rFonts w:cs="Calibri"/>
        </w:rPr>
        <w:t>Renforcement de  la Direction de la Pharmacie et de la Médecine Traditionnelle</w:t>
      </w:r>
      <w:r w:rsidR="008566D6">
        <w:rPr>
          <w:rFonts w:cs="Calibri"/>
        </w:rPr>
        <w:t> ;</w:t>
      </w:r>
    </w:p>
    <w:p w14:paraId="629C9B1B" w14:textId="77777777" w:rsidR="00076E2C" w:rsidRDefault="00076E2C" w:rsidP="00076E2C">
      <w:pPr>
        <w:pStyle w:val="Paragraphedeliste"/>
        <w:numPr>
          <w:ilvl w:val="0"/>
          <w:numId w:val="19"/>
        </w:numPr>
        <w:rPr>
          <w:rFonts w:cs="Calibri"/>
        </w:rPr>
      </w:pPr>
      <w:r w:rsidRPr="00076E2C">
        <w:rPr>
          <w:rFonts w:cs="Calibri"/>
        </w:rPr>
        <w:t>Renforcement  des capacités des services sur les technologies de production des Médicaments Traditionnels Améliorés (MTA)</w:t>
      </w:r>
      <w:r w:rsidR="008566D6">
        <w:rPr>
          <w:rFonts w:cs="Calibri"/>
        </w:rPr>
        <w:t> ;</w:t>
      </w:r>
    </w:p>
    <w:p w14:paraId="2CF757CA" w14:textId="77777777" w:rsidR="00C43FB7" w:rsidRPr="00C43FB7" w:rsidRDefault="00C43FB7" w:rsidP="00C43FB7">
      <w:pPr>
        <w:pStyle w:val="Paragraphedeliste"/>
        <w:numPr>
          <w:ilvl w:val="0"/>
          <w:numId w:val="19"/>
        </w:numPr>
        <w:rPr>
          <w:rFonts w:cs="Calibri"/>
        </w:rPr>
      </w:pPr>
      <w:r w:rsidRPr="00C43FB7">
        <w:rPr>
          <w:rFonts w:cs="Calibri"/>
        </w:rPr>
        <w:t>Intégration des modules de formation de la médecine traditionnelle dans le curricula de formation des écoles et universités ;</w:t>
      </w:r>
    </w:p>
    <w:p w14:paraId="27EFB953" w14:textId="77777777" w:rsidR="00076E2C" w:rsidRDefault="00076E2C" w:rsidP="00076E2C">
      <w:pPr>
        <w:pStyle w:val="Paragraphedeliste"/>
        <w:numPr>
          <w:ilvl w:val="0"/>
          <w:numId w:val="19"/>
        </w:numPr>
        <w:rPr>
          <w:rFonts w:cs="Calibri"/>
        </w:rPr>
      </w:pPr>
      <w:r w:rsidRPr="00076E2C">
        <w:rPr>
          <w:rFonts w:cs="Calibri"/>
        </w:rPr>
        <w:t>Encadrement des tradipraticiens dans l'organisation de la filière MT</w:t>
      </w:r>
      <w:r w:rsidR="008566D6">
        <w:rPr>
          <w:rFonts w:cs="Calibri"/>
        </w:rPr>
        <w:t> ;</w:t>
      </w:r>
    </w:p>
    <w:p w14:paraId="32A56FEF" w14:textId="77777777" w:rsidR="00EA6FCD" w:rsidRDefault="00EA6FCD" w:rsidP="00EA6FCD">
      <w:pPr>
        <w:rPr>
          <w:rFonts w:cs="Calibri"/>
        </w:rPr>
      </w:pPr>
      <w:r>
        <w:rPr>
          <w:rFonts w:cs="Calibri"/>
        </w:rPr>
        <w:t>Mais encore :</w:t>
      </w:r>
    </w:p>
    <w:p w14:paraId="0FC3E1F1" w14:textId="77777777" w:rsidR="00EA6FCD" w:rsidRDefault="00EA6FCD" w:rsidP="00EA6FCD">
      <w:pPr>
        <w:pStyle w:val="Paragraphedeliste"/>
        <w:numPr>
          <w:ilvl w:val="0"/>
          <w:numId w:val="19"/>
        </w:numPr>
        <w:rPr>
          <w:rFonts w:cs="Calibri"/>
        </w:rPr>
      </w:pPr>
      <w:r w:rsidRPr="00076E2C">
        <w:rPr>
          <w:rFonts w:cs="Calibri"/>
        </w:rPr>
        <w:t>Le développement du partenariat avec le secteur privé dans l'offre des soins et des services, au travers de la contractualisation, en privilégiant les avantages comparatifs </w:t>
      </w:r>
    </w:p>
    <w:p w14:paraId="68BFA447" w14:textId="77777777" w:rsidR="005310EF" w:rsidRPr="005310EF" w:rsidRDefault="005310EF" w:rsidP="005310EF">
      <w:pPr>
        <w:rPr>
          <w:rFonts w:cs="Calibri"/>
        </w:rPr>
      </w:pPr>
      <w:r>
        <w:rPr>
          <w:rFonts w:cs="Calibri"/>
        </w:rPr>
        <w:t xml:space="preserve">Cet axe concourra au renforcement des soins de santé </w:t>
      </w:r>
      <w:r w:rsidR="006E10F9">
        <w:rPr>
          <w:rFonts w:cs="Calibri"/>
        </w:rPr>
        <w:t>primaires</w:t>
      </w:r>
      <w:r>
        <w:rPr>
          <w:rFonts w:cs="Calibri"/>
        </w:rPr>
        <w:t xml:space="preserve"> en priorité.</w:t>
      </w:r>
    </w:p>
    <w:p w14:paraId="1B0E2DCF" w14:textId="77777777" w:rsidR="00076E2C" w:rsidRDefault="00076E2C" w:rsidP="00076E2C">
      <w:pPr>
        <w:pStyle w:val="Titre2"/>
      </w:pPr>
      <w:bookmarkStart w:id="21" w:name="_Toc21449023"/>
      <w:r>
        <w:t>Axe stratégique n°6 : amélioration des prestations de soins et services de santé</w:t>
      </w:r>
      <w:bookmarkEnd w:id="21"/>
    </w:p>
    <w:p w14:paraId="0A0014E7" w14:textId="77777777" w:rsidR="00076E2C" w:rsidRPr="00076E2C" w:rsidRDefault="00076E2C" w:rsidP="00076E2C">
      <w:pPr>
        <w:autoSpaceDE w:val="0"/>
        <w:autoSpaceDN w:val="0"/>
        <w:adjustRightInd w:val="0"/>
        <w:spacing w:after="0" w:line="240" w:lineRule="auto"/>
        <w:jc w:val="both"/>
        <w:rPr>
          <w:rFonts w:cs="Calibri"/>
        </w:rPr>
      </w:pPr>
      <w:r w:rsidRPr="00076E2C">
        <w:rPr>
          <w:rFonts w:cs="Calibri"/>
        </w:rPr>
        <w:t>Pour tendre vers la CSU et accélérer l’atteinte des ODD relatifs à la santé, le pays a opté pour le développement de la stratégie intégrée sur la santé de la femme, du nouveau-né, de l’enfant et de l’adolescent. Par ailleurs, les interventions mises à échelle concernent la santé de la mère y compris la Planification familiale, la santé de l’enfant et adolescents, la prévention et la lutte contre, le paludisme, la tuberculose, les IST/VIH, les maladies cible du PEV, les cancers gynécologiques et les maladies non transmissibles. De plus et depuis plus d’une décennie, le Niger fait face à des crises alimentaires et nutritionnelles quasi récurrentes. A ces crises s’ajoutent les épidémies (la méningite, le choléra, la rougeole, le paludisme, la fièvre de la vallée du rift et l’hépatite E) et les inondations qui affectent surtout les couches de la population les plus vulnérables.</w:t>
      </w:r>
    </w:p>
    <w:p w14:paraId="402E85F5" w14:textId="77777777" w:rsidR="00076E2C" w:rsidRPr="00076E2C" w:rsidRDefault="00076E2C" w:rsidP="00076E2C">
      <w:pPr>
        <w:rPr>
          <w:rFonts w:cs="Calibri"/>
        </w:rPr>
      </w:pPr>
    </w:p>
    <w:p w14:paraId="53D5F001" w14:textId="77777777" w:rsidR="000E6FB8" w:rsidRDefault="00076E2C" w:rsidP="000E6FB8">
      <w:pPr>
        <w:pStyle w:val="Paragraphedeliste"/>
        <w:numPr>
          <w:ilvl w:val="0"/>
          <w:numId w:val="46"/>
        </w:numPr>
        <w:jc w:val="both"/>
        <w:rPr>
          <w:rFonts w:cs="Calibri"/>
        </w:rPr>
      </w:pPr>
      <w:r w:rsidRPr="00076E2C">
        <w:rPr>
          <w:rFonts w:cs="Calibri"/>
        </w:rPr>
        <w:t>Le développement d'une approche communautaire intégrée autour des cases de santé y compris la prise en char</w:t>
      </w:r>
      <w:r w:rsidR="00E4665A">
        <w:rPr>
          <w:rFonts w:cs="Calibri"/>
        </w:rPr>
        <w:t>ge communautaire des cas</w:t>
      </w:r>
      <w:r w:rsidRPr="00076E2C">
        <w:rPr>
          <w:rFonts w:cs="Calibri"/>
        </w:rPr>
        <w:t xml:space="preserve"> avec un accent particulier sur le niveau communautaire pour la prise en charge des trois maladies les plus tueuses d’enfants (diarrhées-pneumonie-paludisme) et sur la prise en charge communautaire de la mère et du nouveau-né. </w:t>
      </w:r>
    </w:p>
    <w:p w14:paraId="516534B2" w14:textId="77777777" w:rsidR="006E10F9" w:rsidRPr="00076E2C" w:rsidRDefault="006E10F9" w:rsidP="006E10F9">
      <w:pPr>
        <w:pStyle w:val="Paragraphedeliste"/>
        <w:numPr>
          <w:ilvl w:val="0"/>
          <w:numId w:val="46"/>
        </w:numPr>
        <w:jc w:val="both"/>
        <w:rPr>
          <w:rFonts w:cs="Calibri"/>
        </w:rPr>
      </w:pPr>
      <w:bookmarkStart w:id="22" w:name="RANGE!A12"/>
      <w:r w:rsidRPr="00076E2C">
        <w:rPr>
          <w:rFonts w:cs="Calibri"/>
        </w:rPr>
        <w:t>La mise en place d’un dispositif d’amélioration de la qualité dans le système de santé y compris la création des comités pharmaceutique, thérapeutique et de recherche au niveau de chaque établissement hospitalier et  la mise en place de dispositifs de certification et d’accréditation des structures sanitaires</w:t>
      </w:r>
      <w:bookmarkEnd w:id="22"/>
      <w:r w:rsidRPr="00076E2C">
        <w:rPr>
          <w:rFonts w:cs="Calibri"/>
        </w:rPr>
        <w:t> ;</w:t>
      </w:r>
    </w:p>
    <w:p w14:paraId="32A384CE" w14:textId="77777777" w:rsidR="000E6FB8" w:rsidRPr="000E6FB8" w:rsidRDefault="000E6FB8" w:rsidP="000E6FB8">
      <w:pPr>
        <w:pStyle w:val="Paragraphedeliste"/>
        <w:numPr>
          <w:ilvl w:val="0"/>
          <w:numId w:val="46"/>
        </w:numPr>
        <w:jc w:val="both"/>
        <w:rPr>
          <w:rFonts w:cs="Calibri"/>
        </w:rPr>
      </w:pPr>
      <w:r w:rsidRPr="00076E2C">
        <w:rPr>
          <w:rFonts w:cs="Calibri"/>
        </w:rPr>
        <w:t>La mise en place des mesures organisationnelles et institutionnelles pour l'amélioration des performances des districts à fort poids démographique (plus de 500 000 habitants) et de nombre élevé de CSI ;</w:t>
      </w:r>
    </w:p>
    <w:p w14:paraId="462A9B24" w14:textId="77777777" w:rsidR="00C43FB7" w:rsidRPr="00AA0AAA" w:rsidRDefault="00C43FB7" w:rsidP="00C43FB7">
      <w:pPr>
        <w:pStyle w:val="Paragraphedeliste"/>
        <w:numPr>
          <w:ilvl w:val="0"/>
          <w:numId w:val="19"/>
        </w:numPr>
        <w:rPr>
          <w:rFonts w:cs="Calibri"/>
        </w:rPr>
      </w:pPr>
      <w:r w:rsidRPr="00534A97">
        <w:rPr>
          <w:rFonts w:cs="Calibri"/>
        </w:rPr>
        <w:t>Le développement des stratégies visant à améliorer la couverture des besoins en Soins Obstétricaux Néonatals d’Urgence de Base (SONUB) sont couverts ;</w:t>
      </w:r>
    </w:p>
    <w:p w14:paraId="6B8E98C8" w14:textId="77777777" w:rsidR="00076E2C" w:rsidRDefault="00076E2C" w:rsidP="00076E2C">
      <w:pPr>
        <w:pStyle w:val="Paragraphedeliste"/>
        <w:numPr>
          <w:ilvl w:val="0"/>
          <w:numId w:val="19"/>
        </w:numPr>
        <w:rPr>
          <w:rFonts w:cs="Calibri"/>
        </w:rPr>
      </w:pPr>
      <w:r w:rsidRPr="00076E2C">
        <w:rPr>
          <w:rFonts w:cs="Calibri"/>
        </w:rPr>
        <w:t>L’institutionnalisation de la Surveillance des Décès Maternels et Riposte (SDMR) au niveau institutionnel et communautaire et a rendu obligatoire la notification et l’audit des décès maternels à tous les niveaux.</w:t>
      </w:r>
    </w:p>
    <w:p w14:paraId="58880F4A" w14:textId="77777777" w:rsidR="00C43FB7" w:rsidRPr="00AA0AAA" w:rsidRDefault="00C43FB7" w:rsidP="00C43FB7">
      <w:pPr>
        <w:pStyle w:val="Paragraphedeliste"/>
        <w:numPr>
          <w:ilvl w:val="0"/>
          <w:numId w:val="19"/>
        </w:numPr>
        <w:rPr>
          <w:rFonts w:cs="Calibri"/>
        </w:rPr>
      </w:pPr>
      <w:r w:rsidRPr="00534A97">
        <w:rPr>
          <w:rFonts w:cs="Calibri"/>
        </w:rPr>
        <w:t>Le renforcement des capacités opérationnelles pour la prévention, le dépistage et la prise en charge des maladies non transmissibles à tous les niveaux de la pyramide sanitaire ;</w:t>
      </w:r>
    </w:p>
    <w:p w14:paraId="76BF739B" w14:textId="77777777" w:rsidR="00076E2C" w:rsidRPr="00076E2C" w:rsidRDefault="00076E2C" w:rsidP="00076E2C">
      <w:pPr>
        <w:pStyle w:val="Paragraphedeliste"/>
        <w:numPr>
          <w:ilvl w:val="0"/>
          <w:numId w:val="19"/>
        </w:numPr>
        <w:rPr>
          <w:rFonts w:cs="Calibri"/>
        </w:rPr>
      </w:pPr>
      <w:r w:rsidRPr="00076E2C">
        <w:rPr>
          <w:rFonts w:cs="Calibri"/>
        </w:rPr>
        <w:t>La délégation des tâches dans le cadre de la prestation des soins et services de santé.</w:t>
      </w:r>
    </w:p>
    <w:p w14:paraId="29C2E677" w14:textId="77777777" w:rsidR="00076E2C" w:rsidRPr="00076E2C" w:rsidRDefault="00076E2C" w:rsidP="00076E2C">
      <w:pPr>
        <w:pStyle w:val="Paragraphedeliste"/>
        <w:numPr>
          <w:ilvl w:val="0"/>
          <w:numId w:val="19"/>
        </w:numPr>
        <w:rPr>
          <w:rFonts w:cs="Calibri"/>
        </w:rPr>
      </w:pPr>
      <w:r w:rsidRPr="00076E2C">
        <w:rPr>
          <w:rFonts w:cs="Calibri"/>
        </w:rPr>
        <w:t>Développement de traitement à travers les nouvelles technologies de l’information et de communication (traitement à distance)</w:t>
      </w:r>
    </w:p>
    <w:p w14:paraId="35101F19" w14:textId="77777777" w:rsidR="00076E2C" w:rsidRPr="00076E2C" w:rsidRDefault="00076E2C" w:rsidP="00076E2C">
      <w:pPr>
        <w:pStyle w:val="Paragraphedeliste"/>
        <w:numPr>
          <w:ilvl w:val="0"/>
          <w:numId w:val="19"/>
        </w:numPr>
        <w:jc w:val="both"/>
        <w:rPr>
          <w:rFonts w:cs="Calibri"/>
        </w:rPr>
      </w:pPr>
      <w:r w:rsidRPr="00076E2C">
        <w:rPr>
          <w:rFonts w:cs="Calibri"/>
        </w:rPr>
        <w:t>L’appropriation des moyens mis en œuvre dans le cadre de la sécurité sanitaire</w:t>
      </w:r>
    </w:p>
    <w:p w14:paraId="4685E0F1" w14:textId="77777777" w:rsidR="00076E2C" w:rsidRDefault="00076E2C" w:rsidP="00076E2C">
      <w:pPr>
        <w:pStyle w:val="Paragraphedeliste"/>
        <w:numPr>
          <w:ilvl w:val="0"/>
          <w:numId w:val="19"/>
        </w:numPr>
        <w:jc w:val="both"/>
        <w:rPr>
          <w:rFonts w:cs="Calibri"/>
        </w:rPr>
      </w:pPr>
      <w:r w:rsidRPr="00076E2C">
        <w:rPr>
          <w:rFonts w:cs="Calibri"/>
        </w:rPr>
        <w:t xml:space="preserve">La transition et le relèvement après la riposte à une situation d’urgence ou à une catastrophe. </w:t>
      </w:r>
    </w:p>
    <w:p w14:paraId="191355BE" w14:textId="77777777" w:rsidR="00076E2C" w:rsidRDefault="005310EF">
      <w:pPr>
        <w:rPr>
          <w:rFonts w:asciiTheme="majorHAnsi" w:eastAsiaTheme="majorEastAsia" w:hAnsiTheme="majorHAnsi" w:cstheme="majorBidi"/>
          <w:b/>
          <w:bCs/>
          <w:color w:val="4F81BD" w:themeColor="accent1"/>
          <w:sz w:val="26"/>
          <w:szCs w:val="26"/>
        </w:rPr>
      </w:pPr>
      <w:r w:rsidRPr="005310EF">
        <w:rPr>
          <w:rFonts w:cs="Calibri"/>
        </w:rPr>
        <w:t>Cet axe concourra au renforcement des soins de santé de base en priorité.</w:t>
      </w:r>
      <w:r w:rsidR="00076E2C">
        <w:br w:type="page"/>
      </w:r>
    </w:p>
    <w:p w14:paraId="15CD2BD9" w14:textId="77777777" w:rsidR="007444DB" w:rsidRDefault="007444DB" w:rsidP="007444DB">
      <w:pPr>
        <w:pStyle w:val="Titre2"/>
      </w:pPr>
      <w:bookmarkStart w:id="23" w:name="_Toc21449024"/>
      <w:r>
        <w:t xml:space="preserve">O.S n°3 : Amélioration de la </w:t>
      </w:r>
      <w:r w:rsidRPr="00BF29A2">
        <w:t>Protection Financière contre le risque maladie</w:t>
      </w:r>
      <w:bookmarkEnd w:id="23"/>
      <w:r w:rsidRPr="00BF29A2">
        <w:t xml:space="preserve"> </w:t>
      </w:r>
    </w:p>
    <w:p w14:paraId="7B17E4CB" w14:textId="77777777" w:rsidR="007444DB" w:rsidRPr="005332F5" w:rsidRDefault="007444DB" w:rsidP="007444DB"/>
    <w:p w14:paraId="5EB12C17" w14:textId="77777777" w:rsidR="007444DB" w:rsidRDefault="007444DB" w:rsidP="007444DB">
      <w:pPr>
        <w:jc w:val="both"/>
      </w:pPr>
      <w:r>
        <w:t xml:space="preserve">Le Niger a développé depuis les indépendances une série de mécanismes de couverture du risque maladie.  Ces régimes sont essentiellement des régimes non contributif (Gratuités, exemptions, dotation budgétaire pour les fonctionnaires…) ainsi que des régimes contributifs (couverture des salariés du privé, mutuelles de santé, assurance maladie commerciale). Les régimes non-contributifs sont financés par l’Etat et les PTF. </w:t>
      </w:r>
    </w:p>
    <w:p w14:paraId="4DF5615F" w14:textId="77777777" w:rsidR="007444DB" w:rsidRDefault="007444DB" w:rsidP="007444DB">
      <w:r>
        <w:t>L’orientation stratégique concernant la protection financière contre le risque maladie comporte deux axes.</w:t>
      </w:r>
    </w:p>
    <w:p w14:paraId="59A54C62" w14:textId="77777777" w:rsidR="007444DB" w:rsidRDefault="007444DB" w:rsidP="007444DB">
      <w:pPr>
        <w:pStyle w:val="Titre2"/>
      </w:pPr>
      <w:bookmarkStart w:id="24" w:name="_Toc21449025"/>
      <w:r>
        <w:t>Axe stratégique n°7 : fonctionnement optimal de la politique d’exemption de paiement pour les enfants de moins de 5 ans et les femmes enceintes.</w:t>
      </w:r>
      <w:bookmarkEnd w:id="24"/>
    </w:p>
    <w:p w14:paraId="35702165" w14:textId="77777777" w:rsidR="007444DB" w:rsidRDefault="007444DB" w:rsidP="007444DB"/>
    <w:p w14:paraId="29BDF8B5" w14:textId="77777777" w:rsidR="007444DB" w:rsidRDefault="007444DB" w:rsidP="007444DB">
      <w:pPr>
        <w:rPr>
          <w:rFonts w:cstheme="minorHAnsi"/>
          <w:sz w:val="24"/>
          <w:szCs w:val="24"/>
        </w:rPr>
      </w:pPr>
      <w:r>
        <w:rPr>
          <w:rFonts w:cstheme="minorHAnsi"/>
          <w:sz w:val="24"/>
          <w:szCs w:val="24"/>
        </w:rPr>
        <w:t xml:space="preserve">La politique relative à cette exemption est </w:t>
      </w:r>
      <w:r w:rsidRPr="00D070BC">
        <w:rPr>
          <w:rFonts w:cstheme="minorHAnsi"/>
          <w:b/>
          <w:sz w:val="24"/>
          <w:szCs w:val="24"/>
        </w:rPr>
        <w:t xml:space="preserve">la politique </w:t>
      </w:r>
      <w:r>
        <w:rPr>
          <w:rFonts w:cstheme="minorHAnsi"/>
          <w:b/>
          <w:sz w:val="24"/>
          <w:szCs w:val="24"/>
        </w:rPr>
        <w:t>nationale « </w:t>
      </w:r>
      <w:r w:rsidRPr="00D070BC">
        <w:rPr>
          <w:rFonts w:cstheme="minorHAnsi"/>
          <w:b/>
          <w:sz w:val="24"/>
          <w:szCs w:val="24"/>
        </w:rPr>
        <w:t>phare</w:t>
      </w:r>
      <w:r>
        <w:rPr>
          <w:rFonts w:cstheme="minorHAnsi"/>
          <w:b/>
          <w:sz w:val="24"/>
          <w:szCs w:val="24"/>
        </w:rPr>
        <w:t> »</w:t>
      </w:r>
      <w:r w:rsidRPr="00D070BC">
        <w:rPr>
          <w:rFonts w:cstheme="minorHAnsi"/>
          <w:b/>
          <w:sz w:val="24"/>
          <w:szCs w:val="24"/>
        </w:rPr>
        <w:t xml:space="preserve"> en matière de </w:t>
      </w:r>
      <w:r w:rsidRPr="00FD179C">
        <w:rPr>
          <w:rFonts w:cstheme="minorHAnsi"/>
          <w:b/>
          <w:sz w:val="24"/>
          <w:szCs w:val="24"/>
        </w:rPr>
        <w:t>couverture du risque maladie. Elle a vocation à offrir une couverture financière importante</w:t>
      </w:r>
      <w:r>
        <w:rPr>
          <w:rFonts w:cstheme="minorHAnsi"/>
          <w:sz w:val="24"/>
          <w:szCs w:val="24"/>
        </w:rPr>
        <w:t xml:space="preserve"> à environ un quart de la population. Son fonctionnement dans des conditions optimales constituera donc un pas gigantesque vers la CSU. Pour ce faire, une refonte du dispositif est nécessaire qui garantisse aux financeurs l’effectivité des soins faisant l’objet d’une demande de remboursement et l’utilisation optimale de ces financements. </w:t>
      </w:r>
    </w:p>
    <w:p w14:paraId="77FB097F" w14:textId="77777777" w:rsidR="007444DB" w:rsidRPr="00E67171" w:rsidRDefault="007444DB" w:rsidP="007444DB">
      <w:pPr>
        <w:rPr>
          <w:rFonts w:cstheme="minorHAnsi"/>
          <w:sz w:val="24"/>
          <w:szCs w:val="24"/>
        </w:rPr>
      </w:pPr>
      <w:r>
        <w:rPr>
          <w:rFonts w:cstheme="minorHAnsi"/>
          <w:sz w:val="24"/>
          <w:szCs w:val="24"/>
        </w:rPr>
        <w:t xml:space="preserve">Ceci sera fait d’une part avec le transfert de la gestion à une unité de gestion professionnelle. D’autre part, le dispositif sera efficace et pérenne à condition que les financements soient effectifs et correspondent au minimum aux coûts de prise en charge non couverts par les salaires et subventions à l’offre de service.  Ces financements, issus de l’Etat et des partenaires financiers, doivent être mis à disposition dans des conditions de fluidité et de garantie de décaissement régulier au plus haut niveau de l’engagement de l’Etat. Enfin une révision éventuelle de la garantie pourra être envisagée : pour que le panier de services pris en charge soit plus cohérent et complet, et éventuellement pour qu’il coûte moins cher tout en s’inscrivant dans davantage d’équité. </w:t>
      </w:r>
      <w:r w:rsidRPr="00E67171">
        <w:rPr>
          <w:rFonts w:cstheme="minorHAnsi"/>
          <w:sz w:val="24"/>
          <w:szCs w:val="24"/>
        </w:rPr>
        <w:t>Plus précisément :</w:t>
      </w:r>
    </w:p>
    <w:p w14:paraId="74A853DB" w14:textId="77777777" w:rsidR="007444DB" w:rsidRPr="00E67171" w:rsidRDefault="007444DB" w:rsidP="007444DB">
      <w:pPr>
        <w:pStyle w:val="Paragraphedeliste"/>
        <w:numPr>
          <w:ilvl w:val="0"/>
          <w:numId w:val="34"/>
        </w:numPr>
        <w:rPr>
          <w:rFonts w:cstheme="minorHAnsi"/>
          <w:sz w:val="24"/>
          <w:szCs w:val="24"/>
        </w:rPr>
      </w:pPr>
      <w:r w:rsidRPr="00E67171">
        <w:rPr>
          <w:rFonts w:cstheme="minorHAnsi"/>
          <w:sz w:val="24"/>
          <w:szCs w:val="24"/>
        </w:rPr>
        <w:t>Sur le plan organisationnel :</w:t>
      </w:r>
    </w:p>
    <w:p w14:paraId="78A5E92C" w14:textId="77777777" w:rsidR="007444DB" w:rsidRDefault="007444DB" w:rsidP="007444DB">
      <w:pPr>
        <w:rPr>
          <w:rFonts w:cstheme="minorHAnsi"/>
          <w:sz w:val="24"/>
          <w:szCs w:val="24"/>
        </w:rPr>
      </w:pPr>
      <w:r>
        <w:rPr>
          <w:rFonts w:cstheme="minorHAnsi"/>
          <w:sz w:val="24"/>
          <w:szCs w:val="24"/>
        </w:rPr>
        <w:t xml:space="preserve">La professionnalisation de la mise en œuvre de cette gratuité revient à mettre en place un dispositif d’assurance santé pour les mères et les enfants provisoirement gratuit, avec ou sans identification et immatriculation. Il s’agit donc notamment de professionnaliser la fonction centrale de l’assurance qui est la gestion du risque, ainsi que les fonctions connexes (notamment monitoring et contrôle). Il s’agit également de mieux garantir la gestion financière.  </w:t>
      </w:r>
    </w:p>
    <w:p w14:paraId="0FEF3D7D" w14:textId="77777777" w:rsidR="007444DB" w:rsidRDefault="00971E95" w:rsidP="007444DB">
      <w:pPr>
        <w:rPr>
          <w:rFonts w:cstheme="minorHAnsi"/>
          <w:sz w:val="24"/>
          <w:szCs w:val="24"/>
        </w:rPr>
      </w:pPr>
      <w:r>
        <w:rPr>
          <w:rFonts w:cstheme="minorHAnsi"/>
          <w:color w:val="FF0000"/>
          <w:sz w:val="24"/>
          <w:szCs w:val="24"/>
        </w:rPr>
        <w:t>Au moment du présent projet de document de stratégie,</w:t>
      </w:r>
      <w:r w:rsidR="007444DB" w:rsidRPr="002B48C8">
        <w:rPr>
          <w:rFonts w:cstheme="minorHAnsi"/>
          <w:color w:val="FF0000"/>
          <w:sz w:val="24"/>
          <w:szCs w:val="24"/>
        </w:rPr>
        <w:t xml:space="preserve"> 3 options-type sont à l’étude pour servir de définition à un dispositif adapté : le renforcement de la cellule aujourd’hui en charge de la gratuité au niveau de la DEP (et son éventuelle transfert à la  DOS), la création d’une sous-unité de gestion de la gratuité au niveau de l’unité de gestion du Fonds Commun Santé, et la création d’une institution spécifique avec autonomie financière. Cette partie sera mieux renseignée lorsque les propositions techniques seront faites et la décision politique prise</w:t>
      </w:r>
      <w:r w:rsidR="007444DB">
        <w:rPr>
          <w:rFonts w:cstheme="minorHAnsi"/>
          <w:sz w:val="24"/>
          <w:szCs w:val="24"/>
        </w:rPr>
        <w:t>.</w:t>
      </w:r>
    </w:p>
    <w:p w14:paraId="6816ABAA" w14:textId="77777777" w:rsidR="007444DB" w:rsidRDefault="007444DB" w:rsidP="007444DB">
      <w:pPr>
        <w:pStyle w:val="Paragraphedeliste"/>
        <w:numPr>
          <w:ilvl w:val="0"/>
          <w:numId w:val="34"/>
        </w:numPr>
        <w:rPr>
          <w:rFonts w:cstheme="minorHAnsi"/>
          <w:sz w:val="24"/>
          <w:szCs w:val="24"/>
        </w:rPr>
      </w:pPr>
      <w:r>
        <w:rPr>
          <w:rFonts w:cstheme="minorHAnsi"/>
          <w:sz w:val="24"/>
          <w:szCs w:val="24"/>
        </w:rPr>
        <w:t>Sur le plan financier :</w:t>
      </w:r>
    </w:p>
    <w:p w14:paraId="48C48EFF" w14:textId="77777777" w:rsidR="007444DB" w:rsidRDefault="007444DB" w:rsidP="007444DB">
      <w:pPr>
        <w:rPr>
          <w:rFonts w:cstheme="minorHAnsi"/>
          <w:sz w:val="24"/>
          <w:szCs w:val="24"/>
        </w:rPr>
      </w:pPr>
      <w:r>
        <w:rPr>
          <w:rFonts w:cstheme="minorHAnsi"/>
          <w:sz w:val="24"/>
          <w:szCs w:val="24"/>
        </w:rPr>
        <w:t xml:space="preserve">L’évolution de la CSU dépend en grande partie de l’évolution de la protection contre le risque financier et le financement des prestataires de services de santé ; au Niger ceci revient pour le moment au bon fonctionnement du mécanisme de gratuité pour les enfants et les femmes enceintes ; in fine l’évolution immédiate de la CSU dépend largement de la rigueur avec laquelle le mécanisme de gratuité assurera le remboursement des prestataires dans les années à venir. Ceci est la raison pour laquelle </w:t>
      </w:r>
      <w:r w:rsidRPr="00F34C19">
        <w:rPr>
          <w:rFonts w:cstheme="minorHAnsi"/>
          <w:b/>
          <w:sz w:val="24"/>
          <w:szCs w:val="24"/>
        </w:rPr>
        <w:t>il est fondamental que l’Etat garantisse la budgétisation, la mobilisation, et le décaissement à temps des financements nécessaires aux remboursements des factures de soins de santé de cette gratuité.</w:t>
      </w:r>
    </w:p>
    <w:p w14:paraId="37AE983D" w14:textId="77777777" w:rsidR="007444DB" w:rsidRDefault="007444DB" w:rsidP="007444DB">
      <w:pPr>
        <w:rPr>
          <w:rFonts w:cstheme="minorHAnsi"/>
          <w:sz w:val="24"/>
          <w:szCs w:val="24"/>
        </w:rPr>
      </w:pPr>
      <w:r>
        <w:rPr>
          <w:rFonts w:cstheme="minorHAnsi"/>
          <w:sz w:val="24"/>
          <w:szCs w:val="24"/>
        </w:rPr>
        <w:t xml:space="preserve">Pour ce faire, la ligne budgétaire consacrée à la gratuité sera abondée année après année de 8 milliards de FCFA au démarrage de cette stratégie (2021) et évoluera en fonction des besoins. </w:t>
      </w:r>
      <w:r w:rsidR="00C43FB7">
        <w:rPr>
          <w:rFonts w:cstheme="minorHAnsi"/>
          <w:sz w:val="24"/>
          <w:szCs w:val="24"/>
        </w:rPr>
        <w:t>Ces derniers</w:t>
      </w:r>
      <w:r>
        <w:rPr>
          <w:rFonts w:cstheme="minorHAnsi"/>
          <w:sz w:val="24"/>
          <w:szCs w:val="24"/>
        </w:rPr>
        <w:t xml:space="preserve"> seront définis par l’analyse des dépenses en prestations par l’unité de gestion, l’évolution des services proposés, voire la population ciblée si décision est prise de restreindre l’éligibilité à la population la moins solvable uniquement. De plus les partenaires financiers seront largement mobilisés pour participer au financement du régime, dans une collaboration conditionnée toutefois au respect de ses engagements par l’Etat lui-même.</w:t>
      </w:r>
    </w:p>
    <w:p w14:paraId="40134090" w14:textId="77777777" w:rsidR="007444DB" w:rsidRDefault="007444DB" w:rsidP="007444DB">
      <w:pPr>
        <w:pStyle w:val="Paragraphedeliste"/>
        <w:numPr>
          <w:ilvl w:val="0"/>
          <w:numId w:val="34"/>
        </w:numPr>
        <w:rPr>
          <w:rFonts w:cstheme="minorHAnsi"/>
          <w:sz w:val="24"/>
          <w:szCs w:val="24"/>
        </w:rPr>
      </w:pPr>
      <w:r>
        <w:rPr>
          <w:rFonts w:cstheme="minorHAnsi"/>
          <w:sz w:val="24"/>
          <w:szCs w:val="24"/>
        </w:rPr>
        <w:t>Sur le plan de la prise en charge</w:t>
      </w:r>
    </w:p>
    <w:p w14:paraId="3DA0BD70" w14:textId="77777777" w:rsidR="007444DB" w:rsidRDefault="006E10F9" w:rsidP="007444DB">
      <w:pPr>
        <w:tabs>
          <w:tab w:val="left" w:pos="3388"/>
        </w:tabs>
        <w:rPr>
          <w:rFonts w:cstheme="minorHAnsi"/>
          <w:sz w:val="24"/>
          <w:szCs w:val="24"/>
        </w:rPr>
      </w:pPr>
      <w:r>
        <w:rPr>
          <w:rFonts w:cstheme="minorHAnsi"/>
          <w:sz w:val="24"/>
          <w:szCs w:val="24"/>
        </w:rPr>
        <w:t>L</w:t>
      </w:r>
      <w:r w:rsidR="007444DB">
        <w:rPr>
          <w:rFonts w:cstheme="minorHAnsi"/>
          <w:sz w:val="24"/>
          <w:szCs w:val="24"/>
        </w:rPr>
        <w:t>’ensemble de la population des enfants de moins de 5 ans et des femmes enceintes est aujourd’hui éligible à la gratuité. La charge est donc entièrement aux subventions quel que soit le revenu du bénéficiaire. Cette « universalité » est également discutable du point de vue de la recherche de l’équité, qui invite le plus souvent l’Etat à redistribuer les moyens vers les populations les moins loties financièrement et/ou les plus vulnérables. Aussi le dispositif pourra être ciblé à ces populations, notamment s’il est avéré que le coût du ciblage n’atteint pas le gain fait sur les dépenses</w:t>
      </w:r>
      <w:r>
        <w:rPr>
          <w:rFonts w:cstheme="minorHAnsi"/>
          <w:sz w:val="24"/>
          <w:szCs w:val="24"/>
        </w:rPr>
        <w:t>.</w:t>
      </w:r>
    </w:p>
    <w:p w14:paraId="5A904575" w14:textId="77777777" w:rsidR="006E10F9" w:rsidRDefault="006E10F9" w:rsidP="007444DB">
      <w:pPr>
        <w:tabs>
          <w:tab w:val="left" w:pos="3388"/>
        </w:tabs>
        <w:rPr>
          <w:rFonts w:cstheme="minorHAnsi"/>
          <w:sz w:val="24"/>
          <w:szCs w:val="24"/>
        </w:rPr>
      </w:pPr>
    </w:p>
    <w:p w14:paraId="6BC57630" w14:textId="77777777" w:rsidR="007444DB" w:rsidRDefault="007444DB" w:rsidP="007444DB">
      <w:r>
        <w:br w:type="page"/>
      </w:r>
    </w:p>
    <w:p w14:paraId="115403BB" w14:textId="77777777" w:rsidR="007444DB" w:rsidRDefault="007444DB" w:rsidP="007444DB">
      <w:pPr>
        <w:pStyle w:val="Titre2"/>
      </w:pPr>
      <w:bookmarkStart w:id="25" w:name="_Toc21449026"/>
      <w:r>
        <w:t>Axe stratégique n°8 : Mise en œuvre progressive d’une assurance maladie universelle</w:t>
      </w:r>
      <w:bookmarkEnd w:id="25"/>
    </w:p>
    <w:p w14:paraId="5F1FCCD0" w14:textId="77777777" w:rsidR="007444DB" w:rsidRDefault="007444DB" w:rsidP="007444DB"/>
    <w:p w14:paraId="62012406" w14:textId="77777777" w:rsidR="007444DB" w:rsidRDefault="007444DB" w:rsidP="007444DB">
      <w:pPr>
        <w:rPr>
          <w:rFonts w:cstheme="minorHAnsi"/>
          <w:sz w:val="24"/>
          <w:szCs w:val="24"/>
        </w:rPr>
      </w:pPr>
      <w:r w:rsidRPr="00A94CF1">
        <w:rPr>
          <w:rFonts w:cstheme="minorHAnsi"/>
          <w:b/>
          <w:sz w:val="24"/>
          <w:szCs w:val="24"/>
        </w:rPr>
        <w:t>A long terme (10 ans),</w:t>
      </w:r>
      <w:r>
        <w:rPr>
          <w:rFonts w:cstheme="minorHAnsi"/>
          <w:sz w:val="24"/>
          <w:szCs w:val="24"/>
        </w:rPr>
        <w:t xml:space="preserve"> le Niger aura remplacé le mécanisme de gratuité pour les enfants de moins de 5 ans et les femmes enceinte par une assurance maladie universelle (AMU), solidaire et nationale, à laquelle l’ensemble de la population sera assujetti.</w:t>
      </w:r>
    </w:p>
    <w:p w14:paraId="60CFD990" w14:textId="77777777" w:rsidR="007444DB" w:rsidRDefault="007444DB" w:rsidP="007444DB">
      <w:pPr>
        <w:rPr>
          <w:rFonts w:cstheme="minorHAnsi"/>
          <w:sz w:val="24"/>
          <w:szCs w:val="24"/>
        </w:rPr>
      </w:pPr>
      <w:r>
        <w:rPr>
          <w:rFonts w:cstheme="minorHAnsi"/>
          <w:sz w:val="24"/>
          <w:szCs w:val="24"/>
        </w:rPr>
        <w:t xml:space="preserve">Cette assurance maladie universelle, constituée sur la base d’un ou de plusieurs régimes, sera gérée par une institution indépendante conformément aux dispositions légales qui auront été prises. Le dispositif s’appuiera sur les mutuelles de santé, sur les autorités locales, et sur les nouvelles technologies pour se déployer sur l’ensemble du territoire. Il sera sous tutelle du Ministère en charge de la protection sociale, et régulé par une autorité autonome. </w:t>
      </w:r>
    </w:p>
    <w:p w14:paraId="20DA4BEC" w14:textId="77777777" w:rsidR="007444DB" w:rsidRDefault="007444DB" w:rsidP="007444DB">
      <w:pPr>
        <w:rPr>
          <w:rFonts w:cstheme="minorHAnsi"/>
          <w:sz w:val="24"/>
          <w:szCs w:val="24"/>
        </w:rPr>
      </w:pPr>
      <w:r w:rsidRPr="00A94CF1">
        <w:rPr>
          <w:rFonts w:cstheme="minorHAnsi"/>
          <w:b/>
          <w:sz w:val="24"/>
          <w:szCs w:val="24"/>
        </w:rPr>
        <w:t>Dans un premier temps (court terme),</w:t>
      </w:r>
      <w:r>
        <w:rPr>
          <w:rFonts w:cstheme="minorHAnsi"/>
          <w:sz w:val="24"/>
          <w:szCs w:val="24"/>
        </w:rPr>
        <w:t xml:space="preserve"> il s’agira de préparer les conditions de développement de la couverture du risque maladie universelle. Ceci se</w:t>
      </w:r>
      <w:r w:rsidR="006E10F9">
        <w:rPr>
          <w:rFonts w:cstheme="minorHAnsi"/>
          <w:sz w:val="24"/>
          <w:szCs w:val="24"/>
        </w:rPr>
        <w:t xml:space="preserve"> fe</w:t>
      </w:r>
      <w:r>
        <w:rPr>
          <w:rFonts w:cstheme="minorHAnsi"/>
          <w:sz w:val="24"/>
          <w:szCs w:val="24"/>
        </w:rPr>
        <w:t>ra notamment de la façon suivante :</w:t>
      </w:r>
    </w:p>
    <w:p w14:paraId="719F51B5" w14:textId="77777777" w:rsidR="007444DB" w:rsidRDefault="007444DB" w:rsidP="007444DB">
      <w:pPr>
        <w:pStyle w:val="Paragraphedeliste"/>
        <w:numPr>
          <w:ilvl w:val="0"/>
          <w:numId w:val="47"/>
        </w:numPr>
        <w:rPr>
          <w:rFonts w:cstheme="minorHAnsi"/>
          <w:sz w:val="24"/>
          <w:szCs w:val="24"/>
        </w:rPr>
      </w:pPr>
      <w:r>
        <w:rPr>
          <w:rFonts w:cstheme="minorHAnsi"/>
          <w:sz w:val="24"/>
          <w:szCs w:val="24"/>
        </w:rPr>
        <w:t xml:space="preserve">La définition de l’AMU dans toutes </w:t>
      </w:r>
      <w:r w:rsidR="00195382">
        <w:rPr>
          <w:rFonts w:cstheme="minorHAnsi"/>
          <w:sz w:val="24"/>
          <w:szCs w:val="24"/>
        </w:rPr>
        <w:t xml:space="preserve">ses </w:t>
      </w:r>
      <w:r>
        <w:rPr>
          <w:rFonts w:cstheme="minorHAnsi"/>
          <w:sz w:val="24"/>
          <w:szCs w:val="24"/>
        </w:rPr>
        <w:t>composantes sera finalisée par des études et des débats nationaux. Notamment :</w:t>
      </w:r>
    </w:p>
    <w:p w14:paraId="080E76B5" w14:textId="77777777" w:rsidR="005774EC" w:rsidRDefault="005774EC" w:rsidP="005774EC">
      <w:pPr>
        <w:pStyle w:val="Paragraphedeliste"/>
        <w:rPr>
          <w:rFonts w:cstheme="minorHAnsi"/>
          <w:sz w:val="24"/>
          <w:szCs w:val="24"/>
        </w:rPr>
      </w:pPr>
    </w:p>
    <w:p w14:paraId="2DECAB3D" w14:textId="77777777" w:rsidR="007444DB" w:rsidRDefault="007444DB" w:rsidP="007444DB">
      <w:pPr>
        <w:pStyle w:val="Paragraphedeliste"/>
        <w:numPr>
          <w:ilvl w:val="1"/>
          <w:numId w:val="47"/>
        </w:numPr>
        <w:rPr>
          <w:rFonts w:cstheme="minorHAnsi"/>
          <w:sz w:val="24"/>
          <w:szCs w:val="24"/>
        </w:rPr>
      </w:pPr>
      <w:r w:rsidRPr="00400D6F">
        <w:rPr>
          <w:rFonts w:cstheme="minorHAnsi"/>
          <w:sz w:val="24"/>
          <w:szCs w:val="24"/>
        </w:rPr>
        <w:t>La définition du panier de soins de l’AMU, son coût, son financement</w:t>
      </w:r>
      <w:r>
        <w:rPr>
          <w:rFonts w:cstheme="minorHAnsi"/>
          <w:sz w:val="24"/>
          <w:szCs w:val="24"/>
        </w:rPr>
        <w:t> ;</w:t>
      </w:r>
    </w:p>
    <w:p w14:paraId="6B720073" w14:textId="77777777" w:rsidR="007444DB" w:rsidRDefault="007444DB" w:rsidP="007444DB">
      <w:pPr>
        <w:pStyle w:val="Paragraphedeliste"/>
        <w:numPr>
          <w:ilvl w:val="1"/>
          <w:numId w:val="47"/>
        </w:numPr>
        <w:rPr>
          <w:rFonts w:cstheme="minorHAnsi"/>
          <w:sz w:val="24"/>
          <w:szCs w:val="24"/>
        </w:rPr>
      </w:pPr>
      <w:r>
        <w:rPr>
          <w:rFonts w:cstheme="minorHAnsi"/>
          <w:sz w:val="24"/>
          <w:szCs w:val="24"/>
        </w:rPr>
        <w:t>Le</w:t>
      </w:r>
      <w:r w:rsidRPr="00400D6F">
        <w:rPr>
          <w:rFonts w:cstheme="minorHAnsi"/>
          <w:sz w:val="24"/>
          <w:szCs w:val="24"/>
        </w:rPr>
        <w:t xml:space="preserve"> choix </w:t>
      </w:r>
      <w:r>
        <w:rPr>
          <w:rFonts w:cstheme="minorHAnsi"/>
          <w:sz w:val="24"/>
          <w:szCs w:val="24"/>
        </w:rPr>
        <w:t xml:space="preserve">définitif </w:t>
      </w:r>
      <w:r w:rsidRPr="00400D6F">
        <w:rPr>
          <w:rFonts w:cstheme="minorHAnsi"/>
          <w:sz w:val="24"/>
          <w:szCs w:val="24"/>
        </w:rPr>
        <w:t xml:space="preserve">de mettre </w:t>
      </w:r>
      <w:r>
        <w:rPr>
          <w:rFonts w:cstheme="minorHAnsi"/>
          <w:sz w:val="24"/>
          <w:szCs w:val="24"/>
        </w:rPr>
        <w:t>en place un</w:t>
      </w:r>
      <w:r w:rsidRPr="00400D6F">
        <w:rPr>
          <w:rFonts w:cstheme="minorHAnsi"/>
          <w:sz w:val="24"/>
          <w:szCs w:val="24"/>
        </w:rPr>
        <w:t xml:space="preserve"> </w:t>
      </w:r>
      <w:r>
        <w:rPr>
          <w:rFonts w:cstheme="minorHAnsi"/>
          <w:sz w:val="24"/>
          <w:szCs w:val="24"/>
        </w:rPr>
        <w:t>régime plutôt que plusieurs ;</w:t>
      </w:r>
    </w:p>
    <w:p w14:paraId="0F882BF3" w14:textId="77777777" w:rsidR="007444DB" w:rsidRDefault="007444DB" w:rsidP="007444DB">
      <w:pPr>
        <w:pStyle w:val="Paragraphedeliste"/>
        <w:numPr>
          <w:ilvl w:val="1"/>
          <w:numId w:val="47"/>
        </w:numPr>
        <w:rPr>
          <w:rFonts w:cstheme="minorHAnsi"/>
          <w:sz w:val="24"/>
          <w:szCs w:val="24"/>
        </w:rPr>
      </w:pPr>
      <w:r>
        <w:rPr>
          <w:rFonts w:cstheme="minorHAnsi"/>
          <w:sz w:val="24"/>
          <w:szCs w:val="24"/>
        </w:rPr>
        <w:t>Le fonctionnement d’une « Agence Nationale de l’Assurance Maladie », dont la Tutelle sera confiée au Ministère en charge de la Protection Sociale ;</w:t>
      </w:r>
    </w:p>
    <w:p w14:paraId="760AB99A" w14:textId="77777777" w:rsidR="006E10F9" w:rsidRDefault="006E10F9" w:rsidP="006E10F9">
      <w:pPr>
        <w:pStyle w:val="Paragraphedeliste"/>
        <w:numPr>
          <w:ilvl w:val="1"/>
          <w:numId w:val="47"/>
        </w:numPr>
        <w:rPr>
          <w:rFonts w:cstheme="minorHAnsi"/>
          <w:sz w:val="24"/>
          <w:szCs w:val="24"/>
        </w:rPr>
      </w:pPr>
      <w:r>
        <w:rPr>
          <w:rFonts w:cstheme="minorHAnsi"/>
          <w:sz w:val="24"/>
          <w:szCs w:val="24"/>
        </w:rPr>
        <w:t>La représentativité de la population et la participation communautaire</w:t>
      </w:r>
    </w:p>
    <w:p w14:paraId="147F4F38" w14:textId="77777777" w:rsidR="007444DB" w:rsidRDefault="007444DB" w:rsidP="007444DB">
      <w:pPr>
        <w:pStyle w:val="Paragraphedeliste"/>
        <w:numPr>
          <w:ilvl w:val="1"/>
          <w:numId w:val="47"/>
        </w:numPr>
        <w:rPr>
          <w:rFonts w:cstheme="minorHAnsi"/>
          <w:sz w:val="24"/>
          <w:szCs w:val="24"/>
        </w:rPr>
      </w:pPr>
      <w:r>
        <w:rPr>
          <w:rFonts w:cstheme="minorHAnsi"/>
          <w:sz w:val="24"/>
          <w:szCs w:val="24"/>
        </w:rPr>
        <w:t>L</w:t>
      </w:r>
      <w:r w:rsidRPr="00400D6F">
        <w:rPr>
          <w:rFonts w:cstheme="minorHAnsi"/>
          <w:sz w:val="24"/>
          <w:szCs w:val="24"/>
        </w:rPr>
        <w:t xml:space="preserve">e rôle </w:t>
      </w:r>
      <w:r>
        <w:rPr>
          <w:rFonts w:cstheme="minorHAnsi"/>
          <w:sz w:val="24"/>
          <w:szCs w:val="24"/>
        </w:rPr>
        <w:t>donné aux</w:t>
      </w:r>
      <w:r w:rsidRPr="00400D6F">
        <w:rPr>
          <w:rFonts w:cstheme="minorHAnsi"/>
          <w:sz w:val="24"/>
          <w:szCs w:val="24"/>
        </w:rPr>
        <w:t xml:space="preserve"> mutuel</w:t>
      </w:r>
      <w:r>
        <w:rPr>
          <w:rFonts w:cstheme="minorHAnsi"/>
          <w:sz w:val="24"/>
          <w:szCs w:val="24"/>
        </w:rPr>
        <w:t>les de santé dans le dispositif, qui sera en</w:t>
      </w:r>
      <w:r w:rsidRPr="00400D6F">
        <w:rPr>
          <w:rFonts w:cstheme="minorHAnsi"/>
          <w:sz w:val="24"/>
          <w:szCs w:val="24"/>
        </w:rPr>
        <w:t xml:space="preserve"> fonction de </w:t>
      </w:r>
      <w:r>
        <w:rPr>
          <w:rFonts w:cstheme="minorHAnsi"/>
          <w:sz w:val="24"/>
          <w:szCs w:val="24"/>
        </w:rPr>
        <w:t>leur</w:t>
      </w:r>
      <w:r w:rsidRPr="00400D6F">
        <w:rPr>
          <w:rFonts w:cstheme="minorHAnsi"/>
          <w:sz w:val="24"/>
          <w:szCs w:val="24"/>
        </w:rPr>
        <w:t xml:space="preserve"> capacité à proposer des solutions à coût compétitif pour la délégation des fonctions de proximité par </w:t>
      </w:r>
      <w:r>
        <w:rPr>
          <w:rFonts w:cstheme="minorHAnsi"/>
          <w:sz w:val="24"/>
          <w:szCs w:val="24"/>
        </w:rPr>
        <w:t>l’Agence</w:t>
      </w:r>
      <w:r w:rsidRPr="00400D6F">
        <w:rPr>
          <w:rFonts w:cstheme="minorHAnsi"/>
          <w:sz w:val="24"/>
          <w:szCs w:val="24"/>
        </w:rPr>
        <w:t xml:space="preserve"> : IEC, identification de</w:t>
      </w:r>
      <w:r>
        <w:rPr>
          <w:rFonts w:cstheme="minorHAnsi"/>
          <w:sz w:val="24"/>
          <w:szCs w:val="24"/>
        </w:rPr>
        <w:t>s</w:t>
      </w:r>
      <w:r w:rsidRPr="00400D6F">
        <w:rPr>
          <w:rFonts w:cstheme="minorHAnsi"/>
          <w:sz w:val="24"/>
          <w:szCs w:val="24"/>
        </w:rPr>
        <w:t xml:space="preserve"> population</w:t>
      </w:r>
      <w:r>
        <w:rPr>
          <w:rFonts w:cstheme="minorHAnsi"/>
          <w:sz w:val="24"/>
          <w:szCs w:val="24"/>
        </w:rPr>
        <w:t>s</w:t>
      </w:r>
      <w:r w:rsidRPr="00400D6F">
        <w:rPr>
          <w:rFonts w:cstheme="minorHAnsi"/>
          <w:sz w:val="24"/>
          <w:szCs w:val="24"/>
        </w:rPr>
        <w:t>, pré-immatriculation, collecte de cotisation</w:t>
      </w:r>
      <w:r>
        <w:rPr>
          <w:rFonts w:cstheme="minorHAnsi"/>
          <w:sz w:val="24"/>
          <w:szCs w:val="24"/>
        </w:rPr>
        <w:t>s</w:t>
      </w:r>
      <w:r w:rsidRPr="00400D6F">
        <w:rPr>
          <w:rFonts w:cstheme="minorHAnsi"/>
          <w:sz w:val="24"/>
          <w:szCs w:val="24"/>
        </w:rPr>
        <w:t>, contrôle de l’ef</w:t>
      </w:r>
      <w:r>
        <w:rPr>
          <w:rFonts w:cstheme="minorHAnsi"/>
          <w:sz w:val="24"/>
          <w:szCs w:val="24"/>
        </w:rPr>
        <w:t>fectivité des prises en charge ;</w:t>
      </w:r>
    </w:p>
    <w:p w14:paraId="730EDE00" w14:textId="77777777" w:rsidR="006E10F9" w:rsidRDefault="00A67DBB" w:rsidP="006E10F9">
      <w:pPr>
        <w:pStyle w:val="Paragraphedeliste"/>
        <w:numPr>
          <w:ilvl w:val="1"/>
          <w:numId w:val="47"/>
        </w:numPr>
        <w:rPr>
          <w:rFonts w:cstheme="minorHAnsi"/>
          <w:sz w:val="24"/>
          <w:szCs w:val="24"/>
        </w:rPr>
      </w:pPr>
      <w:r>
        <w:rPr>
          <w:rFonts w:cstheme="minorHAnsi"/>
          <w:sz w:val="24"/>
          <w:szCs w:val="24"/>
        </w:rPr>
        <w:t>L’i</w:t>
      </w:r>
      <w:r w:rsidR="006E10F9">
        <w:rPr>
          <w:rFonts w:cstheme="minorHAnsi"/>
          <w:sz w:val="24"/>
          <w:szCs w:val="24"/>
        </w:rPr>
        <w:t>nformatisation de la gestion de l’assurance et des assurés</w:t>
      </w:r>
    </w:p>
    <w:p w14:paraId="1C678ADB" w14:textId="77777777" w:rsidR="006E10F9" w:rsidRDefault="00A67DBB" w:rsidP="006E10F9">
      <w:pPr>
        <w:pStyle w:val="Paragraphedeliste"/>
        <w:numPr>
          <w:ilvl w:val="1"/>
          <w:numId w:val="47"/>
        </w:numPr>
        <w:rPr>
          <w:rFonts w:cstheme="minorHAnsi"/>
          <w:sz w:val="24"/>
          <w:szCs w:val="24"/>
        </w:rPr>
      </w:pPr>
      <w:r>
        <w:rPr>
          <w:rFonts w:cstheme="minorHAnsi"/>
          <w:sz w:val="24"/>
          <w:szCs w:val="24"/>
        </w:rPr>
        <w:t>La g</w:t>
      </w:r>
      <w:r w:rsidR="006E10F9">
        <w:rPr>
          <w:rFonts w:cstheme="minorHAnsi"/>
          <w:sz w:val="24"/>
          <w:szCs w:val="24"/>
        </w:rPr>
        <w:t>estion du risque financier (travail actuariel)</w:t>
      </w:r>
    </w:p>
    <w:p w14:paraId="4B46B9EA" w14:textId="77777777" w:rsidR="006E10F9" w:rsidRDefault="00A67DBB" w:rsidP="006E10F9">
      <w:pPr>
        <w:pStyle w:val="Paragraphedeliste"/>
        <w:numPr>
          <w:ilvl w:val="1"/>
          <w:numId w:val="47"/>
        </w:numPr>
        <w:rPr>
          <w:rFonts w:cstheme="minorHAnsi"/>
          <w:sz w:val="24"/>
          <w:szCs w:val="24"/>
        </w:rPr>
      </w:pPr>
      <w:r>
        <w:rPr>
          <w:rFonts w:cstheme="minorHAnsi"/>
          <w:sz w:val="24"/>
          <w:szCs w:val="24"/>
        </w:rPr>
        <w:t>Le c</w:t>
      </w:r>
      <w:r w:rsidR="006E10F9">
        <w:rPr>
          <w:rFonts w:cstheme="minorHAnsi"/>
          <w:sz w:val="24"/>
          <w:szCs w:val="24"/>
        </w:rPr>
        <w:t>ontrôle de la prestation et des assurés</w:t>
      </w:r>
    </w:p>
    <w:p w14:paraId="73573559" w14:textId="77777777" w:rsidR="006E10F9" w:rsidRDefault="00A67DBB" w:rsidP="006E10F9">
      <w:pPr>
        <w:pStyle w:val="Paragraphedeliste"/>
        <w:numPr>
          <w:ilvl w:val="1"/>
          <w:numId w:val="47"/>
        </w:numPr>
        <w:rPr>
          <w:rFonts w:cstheme="minorHAnsi"/>
          <w:sz w:val="24"/>
          <w:szCs w:val="24"/>
        </w:rPr>
      </w:pPr>
      <w:r>
        <w:rPr>
          <w:rFonts w:cstheme="minorHAnsi"/>
          <w:sz w:val="24"/>
          <w:szCs w:val="24"/>
        </w:rPr>
        <w:t>La d</w:t>
      </w:r>
      <w:r w:rsidR="006E10F9">
        <w:rPr>
          <w:rFonts w:cstheme="minorHAnsi"/>
          <w:sz w:val="24"/>
          <w:szCs w:val="24"/>
        </w:rPr>
        <w:t>éfense des droits des patients</w:t>
      </w:r>
    </w:p>
    <w:p w14:paraId="73A69462" w14:textId="77777777" w:rsidR="006E10F9" w:rsidRDefault="00A67DBB" w:rsidP="006E10F9">
      <w:pPr>
        <w:pStyle w:val="Paragraphedeliste"/>
        <w:numPr>
          <w:ilvl w:val="1"/>
          <w:numId w:val="47"/>
        </w:numPr>
        <w:rPr>
          <w:rFonts w:cstheme="minorHAnsi"/>
          <w:sz w:val="24"/>
          <w:szCs w:val="24"/>
        </w:rPr>
      </w:pPr>
      <w:r>
        <w:rPr>
          <w:rFonts w:cstheme="minorHAnsi"/>
          <w:sz w:val="24"/>
          <w:szCs w:val="24"/>
        </w:rPr>
        <w:t>L’</w:t>
      </w:r>
      <w:r w:rsidR="006E10F9">
        <w:rPr>
          <w:rFonts w:cstheme="minorHAnsi"/>
          <w:sz w:val="24"/>
          <w:szCs w:val="24"/>
        </w:rPr>
        <w:t>nstauration de commissions permanentes paritaires (Etat, offre, demande (représentant les intérêts des usagers) pour négocier les accords</w:t>
      </w:r>
    </w:p>
    <w:p w14:paraId="589779F2" w14:textId="77777777" w:rsidR="007444DB" w:rsidRDefault="007444DB" w:rsidP="007444DB">
      <w:pPr>
        <w:rPr>
          <w:rFonts w:cstheme="minorHAnsi"/>
          <w:sz w:val="24"/>
          <w:szCs w:val="24"/>
        </w:rPr>
      </w:pPr>
      <w:r w:rsidRPr="00A94CF1">
        <w:rPr>
          <w:rFonts w:cstheme="minorHAnsi"/>
          <w:b/>
          <w:sz w:val="24"/>
          <w:szCs w:val="24"/>
        </w:rPr>
        <w:t>Dans un second temps (moyen terme),</w:t>
      </w:r>
      <w:r>
        <w:rPr>
          <w:rFonts w:cstheme="minorHAnsi"/>
          <w:sz w:val="24"/>
          <w:szCs w:val="24"/>
        </w:rPr>
        <w:t xml:space="preserve"> l’Agence sera créée et l’AMU commencera à être mise en œuvre. En particulier, il conviendra d’initier le travail d’identification des populations par segments (chaque segment contribuant différemment au régime ou étant affilié à différents régimes), de démarrer les prises en charge pour le secteur formel, et de basculer les populations vulnérables bénéficiaires de la gratuité en bénéficiaires du régime de l’assurance universelle.</w:t>
      </w:r>
    </w:p>
    <w:p w14:paraId="462E2CFA" w14:textId="77777777" w:rsidR="007444DB" w:rsidRDefault="007444DB" w:rsidP="007444DB">
      <w:pPr>
        <w:rPr>
          <w:rFonts w:cstheme="minorHAnsi"/>
          <w:sz w:val="24"/>
          <w:szCs w:val="24"/>
        </w:rPr>
      </w:pPr>
      <w:r>
        <w:rPr>
          <w:rFonts w:cstheme="minorHAnsi"/>
          <w:sz w:val="24"/>
          <w:szCs w:val="24"/>
        </w:rPr>
        <w:t>Le moyen terme verra d’abord la mise en place des conditions</w:t>
      </w:r>
      <w:r w:rsidRPr="0045222A">
        <w:rPr>
          <w:rFonts w:cstheme="minorHAnsi"/>
          <w:i/>
          <w:sz w:val="24"/>
          <w:szCs w:val="24"/>
        </w:rPr>
        <w:t xml:space="preserve"> </w:t>
      </w:r>
      <w:r w:rsidRPr="0045222A">
        <w:rPr>
          <w:rFonts w:cstheme="minorHAnsi"/>
          <w:sz w:val="24"/>
          <w:szCs w:val="24"/>
        </w:rPr>
        <w:t>légales, institutionnelles et organisationnelles pour la gestion d’une assurance maladie à vocation universelle</w:t>
      </w:r>
      <w:r>
        <w:rPr>
          <w:rFonts w:cstheme="minorHAnsi"/>
          <w:sz w:val="24"/>
          <w:szCs w:val="24"/>
        </w:rPr>
        <w:t xml:space="preserve">. </w:t>
      </w:r>
    </w:p>
    <w:p w14:paraId="74805A85" w14:textId="77777777" w:rsidR="007444DB" w:rsidRDefault="007444DB" w:rsidP="007444DB">
      <w:pPr>
        <w:rPr>
          <w:rFonts w:cstheme="minorHAnsi"/>
          <w:sz w:val="24"/>
          <w:szCs w:val="24"/>
        </w:rPr>
      </w:pPr>
      <w:r>
        <w:rPr>
          <w:rFonts w:cstheme="minorHAnsi"/>
          <w:sz w:val="24"/>
          <w:szCs w:val="24"/>
        </w:rPr>
        <w:t>En parallèle, un travail d’identification important sera mis en œuvre</w:t>
      </w:r>
      <w:r w:rsidR="006E10F9">
        <w:rPr>
          <w:rFonts w:cstheme="minorHAnsi"/>
          <w:sz w:val="24"/>
          <w:szCs w:val="24"/>
        </w:rPr>
        <w:t>, en collaboration avec les services de l’Etat civil</w:t>
      </w:r>
      <w:r>
        <w:rPr>
          <w:rFonts w:cstheme="minorHAnsi"/>
          <w:sz w:val="24"/>
          <w:szCs w:val="24"/>
        </w:rPr>
        <w:t xml:space="preserve">. Le pays souhaite en effet que la population qui n’a pas les moyens de contribuer à une assurance maladie solidaire puisse en bénéficier moyennant une assistance de l’Etat sous forme de subvention et/ou la solidarité des populations solvables. </w:t>
      </w:r>
      <w:r w:rsidRPr="00603354">
        <w:rPr>
          <w:rFonts w:cstheme="minorHAnsi"/>
          <w:sz w:val="24"/>
          <w:szCs w:val="24"/>
        </w:rPr>
        <w:t xml:space="preserve">Etant donné </w:t>
      </w:r>
      <w:r w:rsidR="00C43FB7">
        <w:rPr>
          <w:rFonts w:cstheme="minorHAnsi"/>
          <w:sz w:val="24"/>
          <w:szCs w:val="24"/>
        </w:rPr>
        <w:t>l’ampleur</w:t>
      </w:r>
      <w:r w:rsidRPr="00603354">
        <w:rPr>
          <w:rFonts w:cstheme="minorHAnsi"/>
          <w:sz w:val="24"/>
          <w:szCs w:val="24"/>
        </w:rPr>
        <w:t xml:space="preserve"> de la pauvreté au Niger (</w:t>
      </w:r>
      <w:r w:rsidRPr="00C90DAE">
        <w:rPr>
          <w:rFonts w:cstheme="minorHAnsi"/>
          <w:sz w:val="24"/>
          <w:szCs w:val="24"/>
        </w:rPr>
        <w:t>48,9 %</w:t>
      </w:r>
      <w:r>
        <w:rPr>
          <w:rFonts w:cstheme="minorHAnsi"/>
          <w:sz w:val="24"/>
          <w:szCs w:val="24"/>
        </w:rPr>
        <w:t xml:space="preserve"> en </w:t>
      </w:r>
      <w:r w:rsidRPr="0045222A">
        <w:rPr>
          <w:rFonts w:cstheme="minorHAnsi"/>
          <w:sz w:val="24"/>
          <w:szCs w:val="24"/>
        </w:rPr>
        <w:t>2011</w:t>
      </w:r>
      <w:r>
        <w:rPr>
          <w:rStyle w:val="Appelnotedebasdep"/>
          <w:rFonts w:cstheme="minorHAnsi"/>
          <w:sz w:val="24"/>
          <w:szCs w:val="24"/>
        </w:rPr>
        <w:footnoteReference w:id="11"/>
      </w:r>
      <w:r w:rsidRPr="00C90DAE">
        <w:rPr>
          <w:rFonts w:cstheme="minorHAnsi"/>
          <w:sz w:val="24"/>
          <w:szCs w:val="24"/>
        </w:rPr>
        <w:t xml:space="preserve">), </w:t>
      </w:r>
      <w:r>
        <w:rPr>
          <w:rFonts w:cstheme="minorHAnsi"/>
          <w:sz w:val="24"/>
          <w:szCs w:val="24"/>
        </w:rPr>
        <w:t>la question du ciblage de cette population interroge sur son coût et sa pertinence ; il faudra donc envisager l’efficience d’un dispositif fondé sur un ciblage des ménages, voire sur base géographique (par portion de territoire). Pour cette population le régime de gratuité des soins pour les enfants de moins de 5 ans et les femmes enceinte sera caduque et remplacé par une assurance maladie complète.</w:t>
      </w:r>
    </w:p>
    <w:p w14:paraId="7B1D8923" w14:textId="77777777" w:rsidR="007444DB" w:rsidRDefault="007444DB" w:rsidP="007444DB">
      <w:pPr>
        <w:rPr>
          <w:rFonts w:cstheme="minorHAnsi"/>
          <w:sz w:val="24"/>
          <w:szCs w:val="24"/>
        </w:rPr>
      </w:pPr>
      <w:r>
        <w:rPr>
          <w:rFonts w:cstheme="minorHAnsi"/>
          <w:sz w:val="24"/>
          <w:szCs w:val="24"/>
        </w:rPr>
        <w:t>Les populations du secteur formel pourront plus facilement être les premières bénéficiaires de l’assurance maladie universelle avec un taux de couverture élevé. Quant au secteur informel cotisant (non pauvre), son identification et sa participation sera plus difficile ; mais l’Agence s’appuiera sur l’expérience internationale (Maroc, Sénégal notamment à ce jour) pour étendre la couverture à leur endroit.</w:t>
      </w:r>
    </w:p>
    <w:p w14:paraId="3723086A" w14:textId="77777777" w:rsidR="003F3FAC" w:rsidRPr="003F7257" w:rsidRDefault="007444DB" w:rsidP="003F7257">
      <w:pPr>
        <w:pStyle w:val="Titre1"/>
      </w:pPr>
      <w:bookmarkStart w:id="26" w:name="_Toc21449027"/>
      <w:r w:rsidRPr="003F7257">
        <w:t>O.S n°4 : Rationalisation du</w:t>
      </w:r>
      <w:r w:rsidR="003F3FAC" w:rsidRPr="003F7257">
        <w:t xml:space="preserve"> </w:t>
      </w:r>
      <w:r w:rsidR="00AD660A" w:rsidRPr="003F7257">
        <w:t xml:space="preserve">système de financement de la santé </w:t>
      </w:r>
      <w:r w:rsidR="0020554B" w:rsidRPr="003F7257">
        <w:t>pour la CSU</w:t>
      </w:r>
      <w:bookmarkEnd w:id="26"/>
      <w:r w:rsidR="0020554B" w:rsidRPr="003F7257">
        <w:t xml:space="preserve"> </w:t>
      </w:r>
    </w:p>
    <w:p w14:paraId="5606985B" w14:textId="77777777" w:rsidR="000902A1" w:rsidRDefault="007444DB" w:rsidP="00BF29A2">
      <w:pPr>
        <w:pStyle w:val="Titre2"/>
      </w:pPr>
      <w:bookmarkStart w:id="27" w:name="_Toc21449028"/>
      <w:r>
        <w:t xml:space="preserve">Axe stratégique n°9 : </w:t>
      </w:r>
      <w:r w:rsidR="00971E95">
        <w:t>définition d’</w:t>
      </w:r>
      <w:r>
        <w:t>un</w:t>
      </w:r>
      <w:r w:rsidR="00BF29A2">
        <w:t xml:space="preserve"> paquet de soins</w:t>
      </w:r>
      <w:r w:rsidR="006E10F9">
        <w:t xml:space="preserve"> </w:t>
      </w:r>
      <w:r w:rsidR="006E10F9" w:rsidRPr="006E10F9">
        <w:rPr>
          <w:color w:val="FF0000"/>
        </w:rPr>
        <w:t>(et/ou paquet de services)</w:t>
      </w:r>
      <w:r>
        <w:t xml:space="preserve"> adapté aux besoins et aux moyens nationaux</w:t>
      </w:r>
      <w:bookmarkEnd w:id="27"/>
      <w:r>
        <w:t xml:space="preserve"> </w:t>
      </w:r>
    </w:p>
    <w:p w14:paraId="560FD0B2" w14:textId="77777777" w:rsidR="008D5D3A" w:rsidRPr="008D5D3A" w:rsidRDefault="008D5D3A" w:rsidP="008D5D3A"/>
    <w:p w14:paraId="37C61D3F" w14:textId="77777777" w:rsidR="006463D8" w:rsidRDefault="006463D8" w:rsidP="008D5D3A">
      <w:pPr>
        <w:rPr>
          <w:rFonts w:cstheme="minorHAnsi"/>
          <w:bCs/>
          <w:color w:val="FF0000"/>
          <w:sz w:val="24"/>
          <w:szCs w:val="24"/>
        </w:rPr>
      </w:pPr>
      <w:r w:rsidRPr="008D5D3A">
        <w:rPr>
          <w:rFonts w:cstheme="minorHAnsi"/>
          <w:bCs/>
          <w:color w:val="FF0000"/>
          <w:sz w:val="24"/>
          <w:szCs w:val="24"/>
        </w:rPr>
        <w:t>Le paquet de soins devra couvrir le PMA et le PCA dans leur entièreté, une partie du paquet secondaire régional et une partie du paquet tertiaire.</w:t>
      </w:r>
      <w:r w:rsidRPr="008D5D3A">
        <w:rPr>
          <w:rFonts w:cstheme="minorHAnsi"/>
          <w:bCs/>
          <w:color w:val="FF0000"/>
          <w:sz w:val="24"/>
          <w:szCs w:val="24"/>
        </w:rPr>
        <w:br/>
        <w:t>La définition détaillée du panier ainsi que les arbitrages se feront au décours d'une étude sur le panier dont l'étude actuarielle.</w:t>
      </w:r>
    </w:p>
    <w:p w14:paraId="465CD8E5" w14:textId="77777777" w:rsidR="006E10F9" w:rsidRPr="006E10F9" w:rsidRDefault="006E10F9" w:rsidP="006E10F9">
      <w:pPr>
        <w:pStyle w:val="Commentaire"/>
        <w:rPr>
          <w:rFonts w:cstheme="minorHAnsi"/>
          <w:bCs/>
          <w:color w:val="FF0000"/>
          <w:sz w:val="24"/>
          <w:szCs w:val="24"/>
        </w:rPr>
      </w:pPr>
      <w:r w:rsidRPr="006E10F9">
        <w:rPr>
          <w:rFonts w:cstheme="minorHAnsi"/>
          <w:bCs/>
          <w:color w:val="FF0000"/>
          <w:sz w:val="24"/>
          <w:szCs w:val="24"/>
        </w:rPr>
        <w:t>Nous pourrions parler d’un paquet de bénéfices car nous pourrions très bien penser assurer des services ‘non-offre de soins’ comme l’accès à l’eau, une cotisation donnant droit à un ticket modérateur réduit pour l’achat de l’eau….</w:t>
      </w:r>
    </w:p>
    <w:p w14:paraId="72F9AF51" w14:textId="77777777" w:rsidR="007444DB" w:rsidRDefault="007444DB" w:rsidP="007444DB"/>
    <w:p w14:paraId="6FC7A65E" w14:textId="77777777" w:rsidR="007444DB" w:rsidRDefault="007444DB" w:rsidP="007444DB">
      <w:pPr>
        <w:pStyle w:val="Titre2"/>
      </w:pPr>
      <w:bookmarkStart w:id="28" w:name="_Toc21449029"/>
      <w:r>
        <w:t xml:space="preserve">Axe stratégique n°10 : </w:t>
      </w:r>
      <w:r w:rsidR="00971E95">
        <w:t>intégration accru et optimale des</w:t>
      </w:r>
      <w:r>
        <w:t xml:space="preserve"> financements et autres interventions des partenaires dans les circuits nationaux</w:t>
      </w:r>
      <w:bookmarkEnd w:id="28"/>
    </w:p>
    <w:p w14:paraId="59464C5F" w14:textId="77777777" w:rsidR="007444DB" w:rsidRPr="007444DB" w:rsidRDefault="007444DB" w:rsidP="007444DB"/>
    <w:p w14:paraId="78ECCBD3" w14:textId="77777777" w:rsidR="00FB5FE3" w:rsidRDefault="007444DB" w:rsidP="00FB5FE3">
      <w:pPr>
        <w:rPr>
          <w:rFonts w:cstheme="minorHAnsi"/>
          <w:bCs/>
          <w:sz w:val="24"/>
          <w:szCs w:val="24"/>
        </w:rPr>
      </w:pPr>
      <w:r w:rsidRPr="00ED1638">
        <w:rPr>
          <w:rFonts w:cstheme="minorHAnsi"/>
          <w:bCs/>
          <w:sz w:val="24"/>
          <w:szCs w:val="24"/>
        </w:rPr>
        <w:t xml:space="preserve">Principalement il s’agira </w:t>
      </w:r>
      <w:r w:rsidR="00ED1638" w:rsidRPr="00ED1638">
        <w:rPr>
          <w:rFonts w:cstheme="minorHAnsi"/>
          <w:bCs/>
          <w:sz w:val="24"/>
          <w:szCs w:val="24"/>
        </w:rPr>
        <w:t>d’agir sur l’alignement d</w:t>
      </w:r>
      <w:r w:rsidRPr="00ED1638">
        <w:rPr>
          <w:rFonts w:cstheme="minorHAnsi"/>
          <w:bCs/>
          <w:sz w:val="24"/>
          <w:szCs w:val="24"/>
        </w:rPr>
        <w:t>es financements de la santé des partenaires sur les finances publiques</w:t>
      </w:r>
      <w:r w:rsidR="00ED1638" w:rsidRPr="00ED1638">
        <w:rPr>
          <w:rFonts w:cstheme="minorHAnsi"/>
          <w:bCs/>
          <w:sz w:val="24"/>
          <w:szCs w:val="24"/>
        </w:rPr>
        <w:t xml:space="preserve"> (appui budgétaire)</w:t>
      </w:r>
      <w:r w:rsidRPr="00ED1638">
        <w:rPr>
          <w:rFonts w:cstheme="minorHAnsi"/>
          <w:bCs/>
          <w:sz w:val="24"/>
          <w:szCs w:val="24"/>
        </w:rPr>
        <w:t xml:space="preserve"> ou</w:t>
      </w:r>
      <w:r w:rsidR="00ED1638" w:rsidRPr="00ED1638">
        <w:rPr>
          <w:rFonts w:cstheme="minorHAnsi"/>
          <w:bCs/>
          <w:sz w:val="24"/>
          <w:szCs w:val="24"/>
        </w:rPr>
        <w:t xml:space="preserve"> sinon conjointement sur les plans d’actions du Ministère.</w:t>
      </w:r>
      <w:r w:rsidRPr="00ED1638">
        <w:rPr>
          <w:rFonts w:cstheme="minorHAnsi"/>
          <w:bCs/>
          <w:sz w:val="24"/>
          <w:szCs w:val="24"/>
        </w:rPr>
        <w:t xml:space="preserve"> </w:t>
      </w:r>
      <w:r w:rsidR="00FB5FE3">
        <w:rPr>
          <w:rFonts w:cstheme="minorHAnsi"/>
          <w:bCs/>
          <w:sz w:val="24"/>
          <w:szCs w:val="24"/>
        </w:rPr>
        <w:t xml:space="preserve">Dans le cas de l’amélioration de la nutrition, cela doit être fait dans le dans le cadre de </w:t>
      </w:r>
      <w:r w:rsidR="00FB5FE3" w:rsidRPr="00FB5FE3">
        <w:rPr>
          <w:rFonts w:cstheme="minorHAnsi"/>
          <w:bCs/>
          <w:sz w:val="24"/>
          <w:szCs w:val="24"/>
        </w:rPr>
        <w:t>la pleine prise en compte des activités en lien avec la nutrition dans le système de santé.</w:t>
      </w:r>
    </w:p>
    <w:p w14:paraId="2F544C66" w14:textId="77777777" w:rsidR="00C623ED" w:rsidRPr="00C623ED" w:rsidRDefault="00C623ED" w:rsidP="00FB5FE3">
      <w:pPr>
        <w:rPr>
          <w:rFonts w:cstheme="minorHAnsi"/>
          <w:bCs/>
          <w:i/>
          <w:sz w:val="24"/>
          <w:szCs w:val="24"/>
        </w:rPr>
      </w:pPr>
      <w:r w:rsidRPr="00C623ED">
        <w:rPr>
          <w:rFonts w:cstheme="minorHAnsi"/>
          <w:bCs/>
          <w:i/>
          <w:sz w:val="24"/>
          <w:szCs w:val="24"/>
        </w:rPr>
        <w:t>Financements de la santé</w:t>
      </w:r>
    </w:p>
    <w:p w14:paraId="5003AA83" w14:textId="77777777" w:rsidR="001C336A" w:rsidRDefault="001C336A" w:rsidP="001C336A">
      <w:pPr>
        <w:rPr>
          <w:rFonts w:cstheme="minorHAnsi"/>
          <w:bCs/>
          <w:sz w:val="24"/>
          <w:szCs w:val="24"/>
        </w:rPr>
      </w:pPr>
      <w:r w:rsidRPr="001C336A">
        <w:rPr>
          <w:rFonts w:cstheme="minorHAnsi"/>
          <w:bCs/>
          <w:sz w:val="24"/>
          <w:szCs w:val="24"/>
        </w:rPr>
        <w:t>Da</w:t>
      </w:r>
      <w:r>
        <w:rPr>
          <w:rFonts w:cstheme="minorHAnsi"/>
          <w:bCs/>
          <w:sz w:val="24"/>
          <w:szCs w:val="24"/>
        </w:rPr>
        <w:t>ns le cadre du fond</w:t>
      </w:r>
      <w:r w:rsidR="004347A3">
        <w:rPr>
          <w:rFonts w:cstheme="minorHAnsi"/>
          <w:bCs/>
          <w:sz w:val="24"/>
          <w:szCs w:val="24"/>
        </w:rPr>
        <w:t>s</w:t>
      </w:r>
      <w:r>
        <w:rPr>
          <w:rFonts w:cstheme="minorHAnsi"/>
          <w:bCs/>
          <w:sz w:val="24"/>
          <w:szCs w:val="24"/>
        </w:rPr>
        <w:t xml:space="preserve"> commun</w:t>
      </w:r>
      <w:r w:rsidRPr="001C336A">
        <w:rPr>
          <w:rFonts w:cstheme="minorHAnsi"/>
          <w:bCs/>
          <w:sz w:val="24"/>
          <w:szCs w:val="24"/>
        </w:rPr>
        <w:t xml:space="preserve"> de mise en œuvre du PDS des partenaires se sont regroupés pour avoir des procédures de gestion commune. Les procédures du fond </w:t>
      </w:r>
      <w:r w:rsidR="003C497C" w:rsidRPr="001C336A">
        <w:rPr>
          <w:rFonts w:cstheme="minorHAnsi"/>
          <w:bCs/>
          <w:sz w:val="24"/>
          <w:szCs w:val="24"/>
        </w:rPr>
        <w:t>commun se</w:t>
      </w:r>
      <w:r w:rsidRPr="001C336A">
        <w:rPr>
          <w:rFonts w:cstheme="minorHAnsi"/>
          <w:bCs/>
          <w:sz w:val="24"/>
          <w:szCs w:val="24"/>
        </w:rPr>
        <w:t xml:space="preserve"> sont avérées très efficaces</w:t>
      </w:r>
      <w:r>
        <w:rPr>
          <w:rFonts w:cstheme="minorHAnsi"/>
          <w:bCs/>
          <w:sz w:val="24"/>
          <w:szCs w:val="24"/>
        </w:rPr>
        <w:t xml:space="preserve"> et</w:t>
      </w:r>
      <w:r w:rsidRPr="001C336A">
        <w:rPr>
          <w:rFonts w:cstheme="minorHAnsi"/>
          <w:bCs/>
          <w:sz w:val="24"/>
          <w:szCs w:val="24"/>
        </w:rPr>
        <w:t xml:space="preserve"> sont </w:t>
      </w:r>
      <w:r w:rsidR="003C497C">
        <w:rPr>
          <w:rFonts w:cstheme="minorHAnsi"/>
          <w:bCs/>
          <w:sz w:val="24"/>
          <w:szCs w:val="24"/>
        </w:rPr>
        <w:t xml:space="preserve">en grande partie </w:t>
      </w:r>
      <w:r w:rsidRPr="001C336A">
        <w:rPr>
          <w:rFonts w:cstheme="minorHAnsi"/>
          <w:bCs/>
          <w:sz w:val="24"/>
          <w:szCs w:val="24"/>
        </w:rPr>
        <w:t>à la base de l'exécution des dépenses dans les PAA</w:t>
      </w:r>
      <w:r w:rsidR="00FB5FE3" w:rsidRPr="00FB5FE3">
        <w:rPr>
          <w:rFonts w:cstheme="minorHAnsi"/>
          <w:bCs/>
          <w:sz w:val="24"/>
          <w:szCs w:val="24"/>
        </w:rPr>
        <w:t xml:space="preserve"> </w:t>
      </w:r>
      <w:r w:rsidR="00FB5FE3">
        <w:rPr>
          <w:rFonts w:cstheme="minorHAnsi"/>
          <w:bCs/>
          <w:sz w:val="24"/>
          <w:szCs w:val="24"/>
        </w:rPr>
        <w:t>des structures du Ministère de la Santé</w:t>
      </w:r>
      <w:r w:rsidRPr="001C336A">
        <w:rPr>
          <w:rFonts w:cstheme="minorHAnsi"/>
          <w:bCs/>
          <w:sz w:val="24"/>
          <w:szCs w:val="24"/>
        </w:rPr>
        <w:t>.</w:t>
      </w:r>
      <w:r>
        <w:rPr>
          <w:rFonts w:cstheme="minorHAnsi"/>
          <w:bCs/>
          <w:sz w:val="24"/>
          <w:szCs w:val="24"/>
        </w:rPr>
        <w:t xml:space="preserve"> Les partenaires poursuivront leur collaboration dans ce sens, en veillant à favoriser très largement la mise en commun des fonds plutôt que des fonds dédiés.</w:t>
      </w:r>
      <w:r w:rsidRPr="001C336A">
        <w:rPr>
          <w:rFonts w:cstheme="minorHAnsi"/>
          <w:bCs/>
          <w:sz w:val="24"/>
          <w:szCs w:val="24"/>
        </w:rPr>
        <w:t xml:space="preserve"> Les dépenses des autres PTF devront </w:t>
      </w:r>
      <w:r w:rsidR="007444DB">
        <w:rPr>
          <w:rFonts w:cstheme="minorHAnsi"/>
          <w:bCs/>
          <w:sz w:val="24"/>
          <w:szCs w:val="24"/>
        </w:rPr>
        <w:t>également</w:t>
      </w:r>
      <w:r w:rsidRPr="001C336A">
        <w:rPr>
          <w:rFonts w:cstheme="minorHAnsi"/>
          <w:bCs/>
          <w:sz w:val="24"/>
          <w:szCs w:val="24"/>
        </w:rPr>
        <w:t xml:space="preserve"> intégrer </w:t>
      </w:r>
      <w:r w:rsidR="003C497C">
        <w:rPr>
          <w:rFonts w:cstheme="minorHAnsi"/>
          <w:bCs/>
          <w:sz w:val="24"/>
          <w:szCs w:val="24"/>
        </w:rPr>
        <w:t xml:space="preserve">autant que possible, </w:t>
      </w:r>
      <w:r w:rsidRPr="001C336A">
        <w:rPr>
          <w:rFonts w:cstheme="minorHAnsi"/>
          <w:bCs/>
          <w:sz w:val="24"/>
          <w:szCs w:val="24"/>
        </w:rPr>
        <w:t>le fonds commun.</w:t>
      </w:r>
      <w:r>
        <w:rPr>
          <w:rFonts w:cstheme="minorHAnsi"/>
          <w:bCs/>
          <w:sz w:val="24"/>
          <w:szCs w:val="24"/>
        </w:rPr>
        <w:t xml:space="preserve"> En tout état de cause, </w:t>
      </w:r>
      <w:r w:rsidRPr="001C336A">
        <w:rPr>
          <w:rFonts w:cstheme="minorHAnsi"/>
          <w:bCs/>
          <w:sz w:val="24"/>
          <w:szCs w:val="24"/>
        </w:rPr>
        <w:t>le Ministère devra clairement définir ses priorités annuelles sur lesquelles les PTF devront s'aligner</w:t>
      </w:r>
      <w:r>
        <w:rPr>
          <w:rFonts w:cstheme="minorHAnsi"/>
          <w:bCs/>
          <w:sz w:val="24"/>
          <w:szCs w:val="24"/>
        </w:rPr>
        <w:t>.</w:t>
      </w:r>
    </w:p>
    <w:p w14:paraId="37B14C0A" w14:textId="77777777" w:rsidR="00C623ED" w:rsidRPr="00C623ED" w:rsidRDefault="00C623ED" w:rsidP="001C336A">
      <w:pPr>
        <w:rPr>
          <w:rFonts w:cstheme="minorHAnsi"/>
          <w:bCs/>
          <w:i/>
          <w:sz w:val="24"/>
          <w:szCs w:val="24"/>
        </w:rPr>
      </w:pPr>
      <w:r w:rsidRPr="00C623ED">
        <w:rPr>
          <w:rFonts w:cstheme="minorHAnsi"/>
          <w:bCs/>
          <w:i/>
          <w:sz w:val="24"/>
          <w:szCs w:val="24"/>
        </w:rPr>
        <w:t>Alignement et intégration pour l’amélioration de la nutrition</w:t>
      </w:r>
    </w:p>
    <w:p w14:paraId="27BEFD6B" w14:textId="77777777" w:rsidR="00C623ED" w:rsidRPr="00C623ED" w:rsidRDefault="00C623ED" w:rsidP="00C623ED">
      <w:pPr>
        <w:rPr>
          <w:rFonts w:cstheme="minorHAnsi"/>
          <w:bCs/>
          <w:sz w:val="24"/>
          <w:szCs w:val="24"/>
        </w:rPr>
      </w:pPr>
      <w:r w:rsidRPr="00C623ED">
        <w:rPr>
          <w:rFonts w:cstheme="minorHAnsi"/>
          <w:bCs/>
          <w:sz w:val="24"/>
          <w:szCs w:val="24"/>
        </w:rPr>
        <w:t>Les efforts d’intégration effective des actions de prise en charge médicale de la malnutrition aigüe (principalement financées par les partenaires extérieurs) doivent se poursuivre de même que l’investissement dans les activités à haut impact promotionnelles et préventives.</w:t>
      </w:r>
    </w:p>
    <w:p w14:paraId="650CA6EB" w14:textId="77777777" w:rsidR="00C623ED" w:rsidRPr="00C623ED" w:rsidRDefault="00C623ED" w:rsidP="00C623ED">
      <w:pPr>
        <w:rPr>
          <w:rFonts w:cstheme="minorHAnsi"/>
          <w:bCs/>
          <w:sz w:val="24"/>
          <w:szCs w:val="24"/>
        </w:rPr>
      </w:pPr>
      <w:r w:rsidRPr="00C623ED">
        <w:rPr>
          <w:rFonts w:cstheme="minorHAnsi"/>
          <w:bCs/>
          <w:sz w:val="24"/>
          <w:szCs w:val="24"/>
        </w:rPr>
        <w:t>Le plan d’action de la PNSN prévoit notamment l’intégration au niveau des différents secteurs (Santé, Agriculture / Elevage, Education, Eau/Hygiène/Assainissement Protection Sociale, Communication) et des sous-secteurs de la Santé (Directions de la Nutrition, Santé de la Mère et de l’Enfant, Hygiène publique / Assainissement, programme MNT…).</w:t>
      </w:r>
    </w:p>
    <w:p w14:paraId="316C764A" w14:textId="77777777" w:rsidR="00C623ED" w:rsidRPr="00C623ED" w:rsidRDefault="00C623ED" w:rsidP="00C623ED">
      <w:pPr>
        <w:rPr>
          <w:rFonts w:cstheme="minorHAnsi"/>
          <w:bCs/>
          <w:sz w:val="24"/>
          <w:szCs w:val="24"/>
        </w:rPr>
      </w:pPr>
      <w:r>
        <w:rPr>
          <w:rFonts w:cstheme="minorHAnsi"/>
          <w:bCs/>
          <w:sz w:val="24"/>
          <w:szCs w:val="24"/>
        </w:rPr>
        <w:t>C’est dans cette perspective que l</w:t>
      </w:r>
      <w:r w:rsidRPr="00C623ED">
        <w:rPr>
          <w:rFonts w:cstheme="minorHAnsi"/>
          <w:bCs/>
          <w:sz w:val="24"/>
          <w:szCs w:val="24"/>
        </w:rPr>
        <w:t>’alignement des partenaires sur les besoins devra être renforcé</w:t>
      </w:r>
      <w:r>
        <w:rPr>
          <w:rFonts w:cstheme="minorHAnsi"/>
          <w:bCs/>
          <w:sz w:val="24"/>
          <w:szCs w:val="24"/>
        </w:rPr>
        <w:t>, notamment</w:t>
      </w:r>
      <w:r w:rsidRPr="00C623ED">
        <w:rPr>
          <w:rFonts w:cstheme="minorHAnsi"/>
          <w:bCs/>
          <w:sz w:val="24"/>
          <w:szCs w:val="24"/>
        </w:rPr>
        <w:t xml:space="preserve"> par un plus grand leadership national. Il est vrai que les financements extérieurs sont très importants notamment sur la prise en charge (intrants, ressources humaines...) ; leur intégration sera d’autant plus accrue qu’ils suivront les circuits des financements publics ou seront mutualisés. </w:t>
      </w:r>
    </w:p>
    <w:p w14:paraId="2902C475" w14:textId="77777777" w:rsidR="00C623ED" w:rsidRDefault="00C623ED" w:rsidP="00C623ED">
      <w:pPr>
        <w:rPr>
          <w:rFonts w:asciiTheme="majorHAnsi" w:eastAsiaTheme="majorEastAsia" w:hAnsiTheme="majorHAnsi" w:cstheme="majorBidi"/>
          <w:b/>
          <w:bCs/>
          <w:color w:val="4F81BD" w:themeColor="accent1"/>
          <w:sz w:val="26"/>
          <w:szCs w:val="26"/>
        </w:rPr>
      </w:pPr>
      <w:r w:rsidRPr="00ED1638">
        <w:rPr>
          <w:highlight w:val="yellow"/>
        </w:rPr>
        <w:t>.</w:t>
      </w:r>
      <w:r>
        <w:br w:type="page"/>
      </w:r>
    </w:p>
    <w:p w14:paraId="6A379298" w14:textId="77777777" w:rsidR="00600733" w:rsidRDefault="00600733" w:rsidP="00BF29A2">
      <w:pPr>
        <w:pStyle w:val="Titre2"/>
      </w:pPr>
      <w:bookmarkStart w:id="29" w:name="_Toc21449030"/>
      <w:r w:rsidRPr="00BF29A2">
        <w:t>Canaux de f</w:t>
      </w:r>
      <w:r w:rsidR="003F3FAC" w:rsidRPr="00BF29A2">
        <w:t xml:space="preserve">inancement </w:t>
      </w:r>
      <w:r w:rsidRPr="00BF29A2">
        <w:t>et répartition</w:t>
      </w:r>
      <w:r w:rsidR="00474A8A">
        <w:t xml:space="preserve"> à long terme (10 ans)</w:t>
      </w:r>
      <w:bookmarkEnd w:id="29"/>
    </w:p>
    <w:p w14:paraId="70FFC61B" w14:textId="77777777" w:rsidR="002378D9" w:rsidRPr="002378D9" w:rsidRDefault="002378D9" w:rsidP="002378D9"/>
    <w:p w14:paraId="1F5FE170" w14:textId="77777777" w:rsidR="00474A8A" w:rsidRDefault="00600733" w:rsidP="00600733">
      <w:pPr>
        <w:rPr>
          <w:rFonts w:cstheme="minorHAnsi"/>
          <w:sz w:val="24"/>
          <w:szCs w:val="24"/>
        </w:rPr>
      </w:pPr>
      <w:r w:rsidRPr="00BF29A2">
        <w:rPr>
          <w:rFonts w:cstheme="minorHAnsi"/>
          <w:sz w:val="24"/>
          <w:szCs w:val="24"/>
        </w:rPr>
        <w:t xml:space="preserve">Les canaux de  financement de la santé font l’objet de la revue des « Comptes de la Santé » régulièrement établis au Niger. Le schéma de financement </w:t>
      </w:r>
      <w:r w:rsidR="00474A8A">
        <w:rPr>
          <w:rFonts w:cstheme="minorHAnsi"/>
          <w:sz w:val="24"/>
          <w:szCs w:val="24"/>
        </w:rPr>
        <w:t>prévu à terme (10 ans)</w:t>
      </w:r>
      <w:r w:rsidRPr="00BF29A2">
        <w:rPr>
          <w:rFonts w:cstheme="minorHAnsi"/>
          <w:sz w:val="24"/>
          <w:szCs w:val="24"/>
        </w:rPr>
        <w:t xml:space="preserve"> est illustré ci-après, où l’on voit que </w:t>
      </w:r>
      <w:r w:rsidR="00474A8A">
        <w:rPr>
          <w:rFonts w:cstheme="minorHAnsi"/>
          <w:sz w:val="24"/>
          <w:szCs w:val="24"/>
        </w:rPr>
        <w:t xml:space="preserve">les </w:t>
      </w:r>
      <w:r w:rsidRPr="00BF29A2">
        <w:rPr>
          <w:rFonts w:cstheme="minorHAnsi"/>
          <w:sz w:val="24"/>
          <w:szCs w:val="24"/>
        </w:rPr>
        <w:t>deux réformes essentielles prévues pour améliorer à la fois la mobilisation des ressources, leur mise en commun et l’achat stratégique des prestations</w:t>
      </w:r>
      <w:r w:rsidR="00474A8A">
        <w:rPr>
          <w:rFonts w:cstheme="minorHAnsi"/>
          <w:sz w:val="24"/>
          <w:szCs w:val="24"/>
        </w:rPr>
        <w:t>, clarifie totalement les circuits de financement</w:t>
      </w:r>
      <w:r w:rsidRPr="00BF29A2">
        <w:rPr>
          <w:rFonts w:cstheme="minorHAnsi"/>
          <w:sz w:val="24"/>
          <w:szCs w:val="24"/>
        </w:rPr>
        <w:t xml:space="preserve">. </w:t>
      </w:r>
      <w:r w:rsidR="00474A8A">
        <w:rPr>
          <w:rFonts w:cstheme="minorHAnsi"/>
          <w:sz w:val="24"/>
          <w:szCs w:val="24"/>
        </w:rPr>
        <w:t>Les deux réformes en question sont</w:t>
      </w:r>
      <w:r w:rsidRPr="00BF29A2">
        <w:rPr>
          <w:rFonts w:cstheme="minorHAnsi"/>
          <w:sz w:val="24"/>
          <w:szCs w:val="24"/>
        </w:rPr>
        <w:t xml:space="preserve"> la réforme des budget-programmes et </w:t>
      </w:r>
      <w:r w:rsidR="00474A8A">
        <w:rPr>
          <w:rFonts w:cstheme="minorHAnsi"/>
          <w:sz w:val="24"/>
          <w:szCs w:val="24"/>
        </w:rPr>
        <w:t>l’</w:t>
      </w:r>
      <w:r w:rsidRPr="00BF29A2">
        <w:rPr>
          <w:rFonts w:cstheme="minorHAnsi"/>
          <w:sz w:val="24"/>
          <w:szCs w:val="24"/>
        </w:rPr>
        <w:t xml:space="preserve">assurance maladie universelle. </w:t>
      </w:r>
    </w:p>
    <w:p w14:paraId="3C584142" w14:textId="77777777" w:rsidR="003F3FAC" w:rsidRPr="00BF29A2" w:rsidRDefault="00600733" w:rsidP="00600733">
      <w:pPr>
        <w:rPr>
          <w:rFonts w:cstheme="minorHAnsi"/>
          <w:sz w:val="24"/>
          <w:szCs w:val="24"/>
        </w:rPr>
      </w:pPr>
      <w:r w:rsidRPr="00BF29A2">
        <w:rPr>
          <w:rFonts w:cstheme="minorHAnsi"/>
          <w:sz w:val="24"/>
          <w:szCs w:val="24"/>
        </w:rPr>
        <w:t>A termes, le système de financement de la santé ressemblera donc au schéma présenté.</w:t>
      </w:r>
    </w:p>
    <w:p w14:paraId="20CC43F7" w14:textId="77777777" w:rsidR="00600733" w:rsidRPr="00BF29A2" w:rsidRDefault="00600733" w:rsidP="00600733">
      <w:pPr>
        <w:rPr>
          <w:rFonts w:cstheme="minorHAnsi"/>
          <w:sz w:val="24"/>
          <w:szCs w:val="24"/>
        </w:rPr>
      </w:pPr>
      <w:r w:rsidRPr="00BF29A2">
        <w:rPr>
          <w:rFonts w:cstheme="minorHAnsi"/>
          <w:sz w:val="24"/>
          <w:szCs w:val="24"/>
        </w:rPr>
        <w:t xml:space="preserve">Dans ce schéma, il </w:t>
      </w:r>
      <w:r w:rsidR="003C497C">
        <w:rPr>
          <w:rFonts w:cstheme="minorHAnsi"/>
          <w:sz w:val="24"/>
          <w:szCs w:val="24"/>
        </w:rPr>
        <w:t>y a</w:t>
      </w:r>
      <w:r w:rsidR="003C497C" w:rsidRPr="00BF29A2">
        <w:rPr>
          <w:rFonts w:cstheme="minorHAnsi"/>
          <w:sz w:val="24"/>
          <w:szCs w:val="24"/>
        </w:rPr>
        <w:t xml:space="preserve"> </w:t>
      </w:r>
      <w:r w:rsidRPr="00BF29A2">
        <w:rPr>
          <w:rFonts w:cstheme="minorHAnsi"/>
          <w:sz w:val="24"/>
          <w:szCs w:val="24"/>
        </w:rPr>
        <w:t>également une logique qui prévaut dans la répartition des rôles des agents de financements :</w:t>
      </w:r>
    </w:p>
    <w:p w14:paraId="57581D0A" w14:textId="77777777" w:rsidR="00600733" w:rsidRPr="00BF29A2" w:rsidRDefault="00600733" w:rsidP="00600733">
      <w:pPr>
        <w:pStyle w:val="Paragraphedeliste"/>
        <w:numPr>
          <w:ilvl w:val="0"/>
          <w:numId w:val="12"/>
        </w:numPr>
        <w:rPr>
          <w:rFonts w:cstheme="minorHAnsi"/>
          <w:sz w:val="24"/>
          <w:szCs w:val="24"/>
        </w:rPr>
      </w:pPr>
      <w:r w:rsidRPr="00BF29A2">
        <w:rPr>
          <w:rFonts w:cstheme="minorHAnsi"/>
          <w:sz w:val="24"/>
          <w:szCs w:val="24"/>
        </w:rPr>
        <w:t xml:space="preserve">L’Etat assure le </w:t>
      </w:r>
      <w:r w:rsidR="00277D84" w:rsidRPr="00BF29A2">
        <w:rPr>
          <w:rFonts w:cstheme="minorHAnsi"/>
          <w:sz w:val="24"/>
          <w:szCs w:val="24"/>
        </w:rPr>
        <w:t xml:space="preserve">financement des investissements, la disponibilité des ressources humaines en quantité et en qualité, la disponibilité </w:t>
      </w:r>
      <w:r w:rsidR="003C497C">
        <w:rPr>
          <w:rFonts w:cstheme="minorHAnsi"/>
          <w:sz w:val="24"/>
          <w:szCs w:val="24"/>
        </w:rPr>
        <w:t>à</w:t>
      </w:r>
      <w:r w:rsidR="003C497C" w:rsidRPr="00BF29A2">
        <w:rPr>
          <w:rFonts w:cstheme="minorHAnsi"/>
          <w:sz w:val="24"/>
          <w:szCs w:val="24"/>
        </w:rPr>
        <w:t xml:space="preserve"> </w:t>
      </w:r>
      <w:r w:rsidR="00277D84" w:rsidRPr="00BF29A2">
        <w:rPr>
          <w:rFonts w:cstheme="minorHAnsi"/>
          <w:sz w:val="24"/>
          <w:szCs w:val="24"/>
        </w:rPr>
        <w:t>priori d’une offre de soins</w:t>
      </w:r>
      <w:r w:rsidR="002378D9">
        <w:rPr>
          <w:rFonts w:cstheme="minorHAnsi"/>
          <w:sz w:val="24"/>
          <w:szCs w:val="24"/>
        </w:rPr>
        <w:t xml:space="preserve"> (infrastructure, matériel, fonctionnement de base)</w:t>
      </w:r>
      <w:r w:rsidR="00277D84" w:rsidRPr="00BF29A2">
        <w:rPr>
          <w:rFonts w:cstheme="minorHAnsi"/>
          <w:sz w:val="24"/>
          <w:szCs w:val="24"/>
        </w:rPr>
        <w:t>, la gestion des programmes de santé publique, les urgence</w:t>
      </w:r>
      <w:r w:rsidR="002378D9">
        <w:rPr>
          <w:rFonts w:cstheme="minorHAnsi"/>
          <w:sz w:val="24"/>
          <w:szCs w:val="24"/>
        </w:rPr>
        <w:t>s sanitaires, les épidémies. </w:t>
      </w:r>
      <w:r w:rsidR="003C497C">
        <w:rPr>
          <w:rFonts w:cstheme="minorHAnsi"/>
          <w:sz w:val="24"/>
          <w:szCs w:val="24"/>
        </w:rPr>
        <w:t>En outre, il doit assurer une fonction de régulation du secteur.</w:t>
      </w:r>
    </w:p>
    <w:p w14:paraId="6A5EFF51" w14:textId="77777777" w:rsidR="00277D84" w:rsidRPr="00BF29A2" w:rsidRDefault="00277D84" w:rsidP="00277D84">
      <w:pPr>
        <w:pStyle w:val="Paragraphedeliste"/>
        <w:rPr>
          <w:rFonts w:cstheme="minorHAnsi"/>
          <w:sz w:val="24"/>
          <w:szCs w:val="24"/>
        </w:rPr>
      </w:pPr>
    </w:p>
    <w:p w14:paraId="5975BBD6" w14:textId="77777777" w:rsidR="00277D84" w:rsidRPr="00BF29A2" w:rsidRDefault="00277D84" w:rsidP="00600733">
      <w:pPr>
        <w:pStyle w:val="Paragraphedeliste"/>
        <w:numPr>
          <w:ilvl w:val="0"/>
          <w:numId w:val="12"/>
        </w:numPr>
        <w:rPr>
          <w:rFonts w:cstheme="minorHAnsi"/>
          <w:sz w:val="24"/>
          <w:szCs w:val="24"/>
        </w:rPr>
      </w:pPr>
      <w:r w:rsidRPr="00BF29A2">
        <w:rPr>
          <w:rFonts w:cstheme="minorHAnsi"/>
          <w:sz w:val="24"/>
          <w:szCs w:val="24"/>
        </w:rPr>
        <w:t>Les partenaires financiers de l’Etat alignent leurs financements, soit sur le budget général de l’Etat, soit sur les programmes budgétaires</w:t>
      </w:r>
      <w:r w:rsidR="002378D9">
        <w:rPr>
          <w:rFonts w:cstheme="minorHAnsi"/>
          <w:sz w:val="24"/>
          <w:szCs w:val="24"/>
        </w:rPr>
        <w:t>.</w:t>
      </w:r>
    </w:p>
    <w:p w14:paraId="14B3F2C9" w14:textId="77777777" w:rsidR="00277D84" w:rsidRPr="00BF29A2" w:rsidRDefault="00277D84" w:rsidP="00277D84">
      <w:pPr>
        <w:pStyle w:val="Paragraphedeliste"/>
        <w:rPr>
          <w:rFonts w:cstheme="minorHAnsi"/>
          <w:sz w:val="24"/>
          <w:szCs w:val="24"/>
        </w:rPr>
      </w:pPr>
    </w:p>
    <w:p w14:paraId="5675CE07" w14:textId="77777777" w:rsidR="00277D84" w:rsidRPr="00BF29A2" w:rsidRDefault="00277D84" w:rsidP="00600733">
      <w:pPr>
        <w:pStyle w:val="Paragraphedeliste"/>
        <w:numPr>
          <w:ilvl w:val="0"/>
          <w:numId w:val="12"/>
        </w:numPr>
        <w:rPr>
          <w:rFonts w:cstheme="minorHAnsi"/>
          <w:sz w:val="24"/>
          <w:szCs w:val="24"/>
        </w:rPr>
      </w:pPr>
      <w:r w:rsidRPr="00BF29A2">
        <w:rPr>
          <w:rFonts w:cstheme="minorHAnsi"/>
          <w:sz w:val="24"/>
          <w:szCs w:val="24"/>
        </w:rPr>
        <w:t>L’Assurance Maladie assure le paiement en tiers-payant de la partie du paquet de services qui constitue son panier de soins. Comme il est dit infra, ce panier couvre des services à la personne.</w:t>
      </w:r>
      <w:r w:rsidR="00EE2796">
        <w:rPr>
          <w:rFonts w:cstheme="minorHAnsi"/>
          <w:sz w:val="24"/>
          <w:szCs w:val="24"/>
        </w:rPr>
        <w:t xml:space="preserve"> Les ressources de la Caisse Nationale d’Assurance Maladie seront largement issues de l’Etat dans la mesure où la capacité contributive d’une très grande partie de la population nigérienne est limitée.</w:t>
      </w:r>
    </w:p>
    <w:p w14:paraId="006DC78D" w14:textId="77777777" w:rsidR="00277D84" w:rsidRPr="00BF29A2" w:rsidRDefault="00277D84" w:rsidP="00277D84">
      <w:pPr>
        <w:pStyle w:val="Paragraphedeliste"/>
        <w:rPr>
          <w:rFonts w:cstheme="minorHAnsi"/>
          <w:sz w:val="24"/>
          <w:szCs w:val="24"/>
        </w:rPr>
      </w:pPr>
    </w:p>
    <w:p w14:paraId="0E8D1A02" w14:textId="77777777" w:rsidR="00277D84" w:rsidRPr="00BF29A2" w:rsidRDefault="00277D84" w:rsidP="00600733">
      <w:pPr>
        <w:pStyle w:val="Paragraphedeliste"/>
        <w:numPr>
          <w:ilvl w:val="0"/>
          <w:numId w:val="12"/>
        </w:numPr>
        <w:rPr>
          <w:rFonts w:cstheme="minorHAnsi"/>
          <w:sz w:val="24"/>
          <w:szCs w:val="24"/>
        </w:rPr>
      </w:pPr>
      <w:r w:rsidRPr="00BF29A2">
        <w:rPr>
          <w:rFonts w:cstheme="minorHAnsi"/>
          <w:sz w:val="24"/>
          <w:szCs w:val="24"/>
        </w:rPr>
        <w:t>Les ménages contribuent encore à la santé sous forme de paiement direct, pour ce qui reste du recouvrement des coûts en dehors du panier de soins de l’assurance maladie.</w:t>
      </w:r>
    </w:p>
    <w:p w14:paraId="562B7187" w14:textId="77777777" w:rsidR="00277D84" w:rsidRPr="00BF29A2" w:rsidRDefault="00277D84" w:rsidP="00277D84">
      <w:pPr>
        <w:pStyle w:val="Paragraphedeliste"/>
        <w:rPr>
          <w:rFonts w:cstheme="minorHAnsi"/>
          <w:sz w:val="24"/>
          <w:szCs w:val="24"/>
        </w:rPr>
      </w:pPr>
    </w:p>
    <w:p w14:paraId="5BAF333A" w14:textId="77777777" w:rsidR="00277D84" w:rsidRPr="00BF29A2" w:rsidRDefault="00277D84" w:rsidP="00277D84">
      <w:pPr>
        <w:rPr>
          <w:rFonts w:cstheme="minorHAnsi"/>
          <w:sz w:val="24"/>
          <w:szCs w:val="24"/>
        </w:rPr>
      </w:pPr>
      <w:r w:rsidRPr="00BF29A2">
        <w:rPr>
          <w:rFonts w:cstheme="minorHAnsi"/>
          <w:sz w:val="24"/>
          <w:szCs w:val="24"/>
        </w:rPr>
        <w:t>Enfin dans ce schéma, les volumes auront évolué par rapport à la situation présente</w:t>
      </w:r>
      <w:r w:rsidR="002378D9">
        <w:rPr>
          <w:rFonts w:cstheme="minorHAnsi"/>
          <w:sz w:val="24"/>
          <w:szCs w:val="24"/>
        </w:rPr>
        <w:t xml:space="preserve"> (cf. infra « indicateurs »)</w:t>
      </w:r>
      <w:r w:rsidRPr="00BF29A2">
        <w:rPr>
          <w:rFonts w:cstheme="minorHAnsi"/>
          <w:sz w:val="24"/>
          <w:szCs w:val="24"/>
        </w:rPr>
        <w:t>. En particulier :</w:t>
      </w:r>
    </w:p>
    <w:p w14:paraId="6B4D1EDF" w14:textId="77777777" w:rsidR="00600733" w:rsidRPr="00BF29A2" w:rsidRDefault="00277D84" w:rsidP="00277D84">
      <w:pPr>
        <w:pStyle w:val="Paragraphedeliste"/>
        <w:numPr>
          <w:ilvl w:val="0"/>
          <w:numId w:val="12"/>
        </w:numPr>
        <w:rPr>
          <w:rFonts w:cstheme="minorHAnsi"/>
          <w:sz w:val="24"/>
          <w:szCs w:val="24"/>
        </w:rPr>
      </w:pPr>
      <w:r w:rsidRPr="00BF29A2">
        <w:rPr>
          <w:rFonts w:cstheme="minorHAnsi"/>
          <w:sz w:val="24"/>
          <w:szCs w:val="24"/>
        </w:rPr>
        <w:t>Les ressources domestiques de l’Eta</w:t>
      </w:r>
      <w:r w:rsidR="004C04DB">
        <w:rPr>
          <w:rFonts w:cstheme="minorHAnsi"/>
          <w:sz w:val="24"/>
          <w:szCs w:val="24"/>
        </w:rPr>
        <w:t>t auront sensiblement augmenté</w:t>
      </w:r>
    </w:p>
    <w:p w14:paraId="08A632F2" w14:textId="77777777" w:rsidR="00277D84" w:rsidRPr="00BF29A2" w:rsidRDefault="00277D84" w:rsidP="00277D84">
      <w:pPr>
        <w:pStyle w:val="Paragraphedeliste"/>
        <w:numPr>
          <w:ilvl w:val="0"/>
          <w:numId w:val="12"/>
        </w:numPr>
        <w:rPr>
          <w:rFonts w:cstheme="minorHAnsi"/>
          <w:sz w:val="24"/>
          <w:szCs w:val="24"/>
        </w:rPr>
      </w:pPr>
      <w:r w:rsidRPr="00BF29A2">
        <w:rPr>
          <w:rFonts w:cstheme="minorHAnsi"/>
          <w:sz w:val="24"/>
          <w:szCs w:val="24"/>
        </w:rPr>
        <w:t>Les ressources mises en commun dans la gestion de l’assurance maladie seront substantielles</w:t>
      </w:r>
    </w:p>
    <w:p w14:paraId="6AFD30F9" w14:textId="77777777" w:rsidR="000902A1" w:rsidRPr="00BF29A2" w:rsidRDefault="00277D84" w:rsidP="00277D84">
      <w:pPr>
        <w:pStyle w:val="Paragraphedeliste"/>
        <w:numPr>
          <w:ilvl w:val="0"/>
          <w:numId w:val="12"/>
        </w:numPr>
        <w:rPr>
          <w:rFonts w:cstheme="minorHAnsi"/>
          <w:sz w:val="24"/>
          <w:szCs w:val="24"/>
        </w:rPr>
      </w:pPr>
      <w:r w:rsidRPr="00BF29A2">
        <w:rPr>
          <w:rFonts w:cstheme="minorHAnsi"/>
          <w:sz w:val="24"/>
          <w:szCs w:val="24"/>
        </w:rPr>
        <w:t>Le paiement direct de ménages aura considérablement diminué.</w:t>
      </w:r>
    </w:p>
    <w:p w14:paraId="0E4CB01B" w14:textId="77777777" w:rsidR="00A46F97" w:rsidRPr="00BF29A2" w:rsidRDefault="00A46F97">
      <w:pPr>
        <w:rPr>
          <w:rFonts w:cstheme="minorHAnsi"/>
          <w:color w:val="FF0000"/>
          <w:sz w:val="24"/>
          <w:szCs w:val="24"/>
        </w:rPr>
      </w:pPr>
      <w:r w:rsidRPr="00BF29A2">
        <w:rPr>
          <w:rFonts w:cstheme="minorHAnsi"/>
          <w:color w:val="FF0000"/>
          <w:sz w:val="24"/>
          <w:szCs w:val="24"/>
        </w:rPr>
        <w:br w:type="page"/>
      </w:r>
    </w:p>
    <w:p w14:paraId="2F0CA1CC" w14:textId="77777777" w:rsidR="004B2E69" w:rsidRPr="00BF29A2" w:rsidRDefault="004B2E69" w:rsidP="000902A1">
      <w:pPr>
        <w:pStyle w:val="Paragraphedeliste"/>
        <w:numPr>
          <w:ilvl w:val="0"/>
          <w:numId w:val="2"/>
        </w:numPr>
        <w:rPr>
          <w:rFonts w:cstheme="minorHAnsi"/>
          <w:color w:val="FF0000"/>
          <w:sz w:val="24"/>
          <w:szCs w:val="24"/>
        </w:rPr>
        <w:sectPr w:rsidR="004B2E69" w:rsidRPr="00BF29A2" w:rsidSect="001F0332">
          <w:footerReference w:type="default" r:id="rId22"/>
          <w:pgSz w:w="11906" w:h="16838"/>
          <w:pgMar w:top="1418" w:right="1418" w:bottom="1418" w:left="1418" w:header="709" w:footer="709" w:gutter="0"/>
          <w:cols w:space="708"/>
          <w:docGrid w:linePitch="360"/>
        </w:sectPr>
      </w:pPr>
    </w:p>
    <w:p w14:paraId="12A7EC79" w14:textId="77777777" w:rsidR="000902A1" w:rsidRPr="00BF29A2" w:rsidRDefault="000902A1" w:rsidP="00BF29A2">
      <w:pPr>
        <w:ind w:left="720"/>
        <w:rPr>
          <w:rFonts w:cstheme="minorHAnsi"/>
          <w:i/>
          <w:sz w:val="24"/>
          <w:szCs w:val="24"/>
          <w:u w:val="single"/>
        </w:rPr>
      </w:pPr>
      <w:r w:rsidRPr="00BF29A2">
        <w:rPr>
          <w:rFonts w:cstheme="minorHAnsi"/>
          <w:i/>
          <w:sz w:val="24"/>
          <w:szCs w:val="24"/>
          <w:u w:val="single"/>
        </w:rPr>
        <w:t>Financement de la CSU</w:t>
      </w:r>
      <w:r w:rsidR="001B17C8" w:rsidRPr="00BF29A2">
        <w:rPr>
          <w:rFonts w:cstheme="minorHAnsi"/>
          <w:i/>
          <w:sz w:val="24"/>
          <w:szCs w:val="24"/>
          <w:u w:val="single"/>
        </w:rPr>
        <w:t> : schéma du système de financement de la santé</w:t>
      </w:r>
      <w:r w:rsidR="00474A8A">
        <w:rPr>
          <w:rFonts w:cstheme="minorHAnsi"/>
          <w:i/>
          <w:sz w:val="24"/>
          <w:szCs w:val="24"/>
          <w:u w:val="single"/>
        </w:rPr>
        <w:t xml:space="preserve"> à terme (10 ans)</w:t>
      </w:r>
    </w:p>
    <w:p w14:paraId="4F279DDF" w14:textId="77777777" w:rsidR="00277D84" w:rsidRPr="00BF29A2" w:rsidRDefault="00277D84" w:rsidP="00277D84">
      <w:pPr>
        <w:pStyle w:val="Paragraphedeliste"/>
        <w:ind w:left="1080"/>
        <w:rPr>
          <w:rFonts w:cstheme="minorHAnsi"/>
          <w:sz w:val="24"/>
          <w:szCs w:val="24"/>
        </w:rPr>
      </w:pPr>
      <w:r w:rsidRPr="00BF29A2">
        <w:rPr>
          <w:rFonts w:cstheme="minorHAnsi"/>
          <w:noProof/>
          <w:sz w:val="24"/>
          <w:szCs w:val="24"/>
          <w:lang w:eastAsia="fr-FR"/>
        </w:rPr>
        <mc:AlternateContent>
          <mc:Choice Requires="wps">
            <w:drawing>
              <wp:anchor distT="0" distB="0" distL="114300" distR="114300" simplePos="0" relativeHeight="251665408" behindDoc="0" locked="0" layoutInCell="1" allowOverlap="1" wp14:anchorId="55D04064" wp14:editId="314310A0">
                <wp:simplePos x="0" y="0"/>
                <wp:positionH relativeFrom="column">
                  <wp:posOffset>6728669</wp:posOffset>
                </wp:positionH>
                <wp:positionV relativeFrom="paragraph">
                  <wp:posOffset>177942</wp:posOffset>
                </wp:positionV>
                <wp:extent cx="1828800" cy="657661"/>
                <wp:effectExtent l="57150" t="38100" r="76200" b="104775"/>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57661"/>
                        </a:xfrm>
                        <a:prstGeom prst="rect">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091EA98D" w14:textId="77777777" w:rsidR="007679D9" w:rsidRPr="00A87DBB" w:rsidRDefault="007679D9" w:rsidP="00277D84">
                            <w:pPr>
                              <w:jc w:val="center"/>
                              <w:rPr>
                                <w:sz w:val="28"/>
                              </w:rPr>
                            </w:pPr>
                            <w:r>
                              <w:rPr>
                                <w:sz w:val="28"/>
                              </w:rPr>
                              <w:t>Financements hors budget éventuel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7B029A" id="_x0000_t202" coordsize="21600,21600" o:spt="202" path="m,l,21600r21600,l21600,xe">
                <v:stroke joinstyle="miter"/>
                <v:path gradientshapeok="t" o:connecttype="rect"/>
              </v:shapetype>
              <v:shape id="Zone de texte 4" o:spid="_x0000_s1026" type="#_x0000_t202" style="position:absolute;left:0;text-align:left;margin-left:529.8pt;margin-top:14pt;width:2in;height:5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" fillcolor="#a5d5e2 [1624]" strokecolor="#40a7c2 [3048]">
                <v:fill color2="#e4f2f6 [504]" rotate="t" angle="180" colors="0 #9eeaff;22938f #bbefff;1 #e4f9ff" focus="100%" type="gradient"/>
                <v:shadow on="t" color="black" opacity="24903f" origin=",.5" offset="0,.55556mm"/>
                <v:textbox>
                  <w:txbxContent>
                    <w:p w:rsidR="007679D9" w:rsidRPr="00A87DBB" w:rsidRDefault="007679D9" w:rsidP="00277D84">
                      <w:pPr>
                        <w:jc w:val="center"/>
                        <w:rPr>
                          <w:sz w:val="28"/>
                        </w:rPr>
                      </w:pPr>
                      <w:r>
                        <w:rPr>
                          <w:sz w:val="28"/>
                        </w:rPr>
                        <w:t>Financements hors budget éventuel</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64384" behindDoc="0" locked="0" layoutInCell="1" allowOverlap="1" wp14:anchorId="74E18ADC" wp14:editId="0B9917BB">
                <wp:simplePos x="0" y="0"/>
                <wp:positionH relativeFrom="column">
                  <wp:posOffset>3735070</wp:posOffset>
                </wp:positionH>
                <wp:positionV relativeFrom="paragraph">
                  <wp:posOffset>290830</wp:posOffset>
                </wp:positionV>
                <wp:extent cx="1828800" cy="541655"/>
                <wp:effectExtent l="57150" t="38100" r="76200" b="8699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41655"/>
                        </a:xfrm>
                        <a:prstGeom prst="rect">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5D9F06C2" w14:textId="77777777" w:rsidR="007679D9" w:rsidRPr="00A87DBB" w:rsidRDefault="007679D9" w:rsidP="00277D84">
                            <w:pPr>
                              <w:jc w:val="center"/>
                              <w:rPr>
                                <w:sz w:val="28"/>
                              </w:rPr>
                            </w:pPr>
                            <w:r>
                              <w:rPr>
                                <w:sz w:val="28"/>
                              </w:rPr>
                              <w:t>Budget de l’Etat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64097" id="Zone de texte 2" o:spid="_x0000_s1027" type="#_x0000_t202" style="position:absolute;left:0;text-align:left;margin-left:294.1pt;margin-top:22.9pt;width:2in;height:4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" fillcolor="#a5d5e2 [1624]" strokecolor="#40a7c2 [3048]">
                <v:fill color2="#e4f2f6 [504]" rotate="t" angle="180" colors="0 #9eeaff;22938f #bbefff;1 #e4f9ff" focus="100%" type="gradient"/>
                <v:shadow on="t" color="black" opacity="24903f" origin=",.5" offset="0,.55556mm"/>
                <v:textbox>
                  <w:txbxContent>
                    <w:p w:rsidR="007679D9" w:rsidRPr="00A87DBB" w:rsidRDefault="007679D9" w:rsidP="00277D84">
                      <w:pPr>
                        <w:jc w:val="center"/>
                        <w:rPr>
                          <w:sz w:val="28"/>
                        </w:rPr>
                      </w:pPr>
                      <w:r>
                        <w:rPr>
                          <w:sz w:val="28"/>
                        </w:rPr>
                        <w:t>Budget de l’Etat</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63360" behindDoc="0" locked="0" layoutInCell="1" allowOverlap="1" wp14:anchorId="0B301384" wp14:editId="4E69535E">
                <wp:simplePos x="0" y="0"/>
                <wp:positionH relativeFrom="column">
                  <wp:posOffset>502920</wp:posOffset>
                </wp:positionH>
                <wp:positionV relativeFrom="paragraph">
                  <wp:posOffset>291465</wp:posOffset>
                </wp:positionV>
                <wp:extent cx="1828800" cy="551815"/>
                <wp:effectExtent l="57150" t="38100" r="76200" b="9588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51815"/>
                        </a:xfrm>
                        <a:prstGeom prst="rect">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1A796F7D" w14:textId="77777777" w:rsidR="007679D9" w:rsidRPr="00A87DBB" w:rsidRDefault="007679D9" w:rsidP="00277D84">
                            <w:pPr>
                              <w:jc w:val="center"/>
                              <w:rPr>
                                <w:sz w:val="28"/>
                              </w:rPr>
                            </w:pPr>
                            <w:r w:rsidRPr="00A87DBB">
                              <w:rPr>
                                <w:sz w:val="28"/>
                              </w:rPr>
                              <w:t>Partenaires financiers</w:t>
                            </w:r>
                            <w:r>
                              <w:rPr>
                                <w:sz w:val="28"/>
                              </w:rPr>
                              <w:t xml:space="preserve"> de la santé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6C594" id="_x0000_s1028" type="#_x0000_t202" style="position:absolute;left:0;text-align:left;margin-left:39.6pt;margin-top:22.95pt;width:2in;height:4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" fillcolor="#a5d5e2 [1624]" strokecolor="#40a7c2 [3048]">
                <v:fill color2="#e4f2f6 [504]" rotate="t" angle="180" colors="0 #9eeaff;22938f #bbefff;1 #e4f9ff" focus="100%" type="gradient"/>
                <v:shadow on="t" color="black" opacity="24903f" origin=",.5" offset="0,.55556mm"/>
                <v:textbox>
                  <w:txbxContent>
                    <w:p w:rsidR="007679D9" w:rsidRPr="00A87DBB" w:rsidRDefault="007679D9" w:rsidP="00277D84">
                      <w:pPr>
                        <w:jc w:val="center"/>
                        <w:rPr>
                          <w:sz w:val="28"/>
                        </w:rPr>
                      </w:pPr>
                      <w:r w:rsidRPr="00A87DBB">
                        <w:rPr>
                          <w:sz w:val="28"/>
                        </w:rPr>
                        <w:t>Partenaires financiers</w:t>
                      </w:r>
                      <w:r>
                        <w:rPr>
                          <w:sz w:val="28"/>
                        </w:rPr>
                        <w:t xml:space="preserve"> de la santé</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94080" behindDoc="0" locked="0" layoutInCell="1" allowOverlap="1" wp14:anchorId="39B021A1" wp14:editId="3506E738">
                <wp:simplePos x="0" y="0"/>
                <wp:positionH relativeFrom="column">
                  <wp:posOffset>5086335</wp:posOffset>
                </wp:positionH>
                <wp:positionV relativeFrom="paragraph">
                  <wp:posOffset>2753567</wp:posOffset>
                </wp:positionV>
                <wp:extent cx="1467293" cy="1446028"/>
                <wp:effectExtent l="0" t="0" r="19050" b="20955"/>
                <wp:wrapNone/>
                <wp:docPr id="296" name="Zone de texte 296"/>
                <wp:cNvGraphicFramePr/>
                <a:graphic xmlns:a="http://schemas.openxmlformats.org/drawingml/2006/main">
                  <a:graphicData uri="http://schemas.microsoft.com/office/word/2010/wordprocessingShape">
                    <wps:wsp>
                      <wps:cNvSpPr txBox="1"/>
                      <wps:spPr>
                        <a:xfrm>
                          <a:off x="0" y="0"/>
                          <a:ext cx="1467293" cy="144602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CDBE5F" w14:textId="77777777" w:rsidR="007679D9" w:rsidRDefault="007679D9" w:rsidP="00277D84">
                            <w:r>
                              <w:t>L’assurance maladie achète un panier de soins de santé, plutôt dans le curatif, qui paie le coût des intrants et une partie du fonctionnement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CC156" id="Zone de texte 296" o:spid="_x0000_s1029" type="#_x0000_t202" style="position:absolute;left:0;text-align:left;margin-left:400.5pt;margin-top:216.8pt;width:115.55pt;height:113.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" fillcolor="white [3201]" strokeweight=".5pt">
                <v:textbox>
                  <w:txbxContent>
                    <w:p w:rsidR="007679D9" w:rsidRDefault="007679D9" w:rsidP="00277D84">
                      <w:r>
                        <w:t>L’assurance maladie achète un panier de soins de santé, plutôt dans le curatif, qui paie le coût des intrants et une partie du fonctionnement</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93056" behindDoc="0" locked="0" layoutInCell="1" allowOverlap="1" wp14:anchorId="64E11EFE" wp14:editId="2B6ED356">
                <wp:simplePos x="0" y="0"/>
                <wp:positionH relativeFrom="column">
                  <wp:posOffset>4728210</wp:posOffset>
                </wp:positionH>
                <wp:positionV relativeFrom="paragraph">
                  <wp:posOffset>2468245</wp:posOffset>
                </wp:positionV>
                <wp:extent cx="2125980" cy="1967230"/>
                <wp:effectExtent l="57150" t="38100" r="83820" b="90170"/>
                <wp:wrapNone/>
                <wp:docPr id="295" name="Ellipse 295"/>
                <wp:cNvGraphicFramePr/>
                <a:graphic xmlns:a="http://schemas.openxmlformats.org/drawingml/2006/main">
                  <a:graphicData uri="http://schemas.microsoft.com/office/word/2010/wordprocessingShape">
                    <wps:wsp>
                      <wps:cNvSpPr/>
                      <wps:spPr>
                        <a:xfrm>
                          <a:off x="0" y="0"/>
                          <a:ext cx="2125980" cy="1967230"/>
                        </a:xfrm>
                        <a:prstGeom prst="ellipse">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9E0A1C" id="Ellipse 295" o:spid="_x0000_s1026" style="position:absolute;margin-left:372.3pt;margin-top:194.35pt;width:167.4pt;height:154.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" fillcolor="#fbcaa2 [1625]" strokecolor="#f68c36 [3049]">
                <v:fill color2="#fdefe3 [505]" rotate="t" angle="180" colors="0 #ffbe86;22938f #ffd0aa;1 #ffebdb" focus="100%" type="gradient"/>
                <v:shadow on="t" color="black" opacity="24903f" origin=",.5" offset="0,.55556mm"/>
              </v:oval>
            </w:pict>
          </mc:Fallback>
        </mc:AlternateContent>
      </w:r>
      <w:r w:rsidRPr="00BF29A2">
        <w:rPr>
          <w:rFonts w:cstheme="minorHAnsi"/>
          <w:noProof/>
          <w:sz w:val="24"/>
          <w:szCs w:val="24"/>
          <w:lang w:eastAsia="fr-FR"/>
        </w:rPr>
        <mc:AlternateContent>
          <mc:Choice Requires="wps">
            <w:drawing>
              <wp:anchor distT="0" distB="0" distL="114300" distR="114300" simplePos="0" relativeHeight="251659264" behindDoc="0" locked="0" layoutInCell="1" allowOverlap="1" wp14:anchorId="55AE54A5" wp14:editId="1BF225F2">
                <wp:simplePos x="0" y="0"/>
                <wp:positionH relativeFrom="column">
                  <wp:posOffset>6627495</wp:posOffset>
                </wp:positionH>
                <wp:positionV relativeFrom="paragraph">
                  <wp:posOffset>3326765</wp:posOffset>
                </wp:positionV>
                <wp:extent cx="2125980" cy="1967230"/>
                <wp:effectExtent l="76200" t="57150" r="83820" b="90170"/>
                <wp:wrapNone/>
                <wp:docPr id="293" name="Ellipse 293"/>
                <wp:cNvGraphicFramePr/>
                <a:graphic xmlns:a="http://schemas.openxmlformats.org/drawingml/2006/main">
                  <a:graphicData uri="http://schemas.microsoft.com/office/word/2010/wordprocessingShape">
                    <wps:wsp>
                      <wps:cNvSpPr/>
                      <wps:spPr>
                        <a:xfrm>
                          <a:off x="0" y="0"/>
                          <a:ext cx="2125980" cy="1967230"/>
                        </a:xfrm>
                        <a:prstGeom prst="ellipse">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080292" id="Ellipse 293" o:spid="_x0000_s1026" style="position:absolute;margin-left:521.85pt;margin-top:261.95pt;width:167.4pt;height:15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" fillcolor="#8064a2 [3207]" strokecolor="white [3201]" strokeweight="3pt">
                <v:shadow on="t" color="black" opacity="24903f" origin=",.5" offset="0,.55556mm"/>
              </v:oval>
            </w:pict>
          </mc:Fallback>
        </mc:AlternateContent>
      </w:r>
      <w:r w:rsidRPr="00BF29A2">
        <w:rPr>
          <w:rFonts w:cstheme="minorHAnsi"/>
          <w:noProof/>
          <w:sz w:val="24"/>
          <w:szCs w:val="24"/>
          <w:lang w:eastAsia="fr-FR"/>
        </w:rPr>
        <mc:AlternateContent>
          <mc:Choice Requires="wps">
            <w:drawing>
              <wp:anchor distT="0" distB="0" distL="114300" distR="114300" simplePos="0" relativeHeight="251692032" behindDoc="0" locked="0" layoutInCell="1" allowOverlap="1" wp14:anchorId="33A66CE3" wp14:editId="12AC0E3E">
                <wp:simplePos x="0" y="0"/>
                <wp:positionH relativeFrom="column">
                  <wp:posOffset>7000196</wp:posOffset>
                </wp:positionH>
                <wp:positionV relativeFrom="paragraph">
                  <wp:posOffset>3710497</wp:posOffset>
                </wp:positionV>
                <wp:extent cx="1477925" cy="1306830"/>
                <wp:effectExtent l="0" t="0" r="27305" b="26670"/>
                <wp:wrapNone/>
                <wp:docPr id="294" name="Zone de texte 294"/>
                <wp:cNvGraphicFramePr/>
                <a:graphic xmlns:a="http://schemas.openxmlformats.org/drawingml/2006/main">
                  <a:graphicData uri="http://schemas.microsoft.com/office/word/2010/wordprocessingShape">
                    <wps:wsp>
                      <wps:cNvSpPr txBox="1"/>
                      <wps:spPr>
                        <a:xfrm>
                          <a:off x="0" y="0"/>
                          <a:ext cx="1477925" cy="13068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F12FC4" w14:textId="77777777" w:rsidR="007679D9" w:rsidRDefault="007679D9" w:rsidP="00277D84">
                            <w:r>
                              <w:t>Les ménages cotisent à l’assurance maladie en fonction de leur capacité contributive. Ils paient un reliquat en paiement direct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881C8" id="Zone de texte 294" o:spid="_x0000_s1030" type="#_x0000_t202" style="position:absolute;left:0;text-align:left;margin-left:551.2pt;margin-top:292.15pt;width:116.35pt;height:102.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" fillcolor="white [3201]" strokeweight=".5pt">
                <v:textbox>
                  <w:txbxContent>
                    <w:p w:rsidR="007679D9" w:rsidRDefault="007679D9" w:rsidP="00277D84">
                      <w:r>
                        <w:t>Les ménages cotisent à l’assurance maladie en fonction de leur capacité contributive. Ils paient un reliquat en paiement direct</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71552" behindDoc="0" locked="0" layoutInCell="1" allowOverlap="1" wp14:anchorId="6DAB28D4" wp14:editId="5A4A31B8">
                <wp:simplePos x="0" y="0"/>
                <wp:positionH relativeFrom="column">
                  <wp:posOffset>3597275</wp:posOffset>
                </wp:positionH>
                <wp:positionV relativeFrom="paragraph">
                  <wp:posOffset>3178810</wp:posOffset>
                </wp:positionV>
                <wp:extent cx="3284855" cy="733425"/>
                <wp:effectExtent l="38100" t="0" r="29845" b="85725"/>
                <wp:wrapNone/>
                <wp:docPr id="11" name="Connecteur droit avec flèche 11"/>
                <wp:cNvGraphicFramePr/>
                <a:graphic xmlns:a="http://schemas.openxmlformats.org/drawingml/2006/main">
                  <a:graphicData uri="http://schemas.microsoft.com/office/word/2010/wordprocessingShape">
                    <wps:wsp>
                      <wps:cNvCnPr/>
                      <wps:spPr>
                        <a:xfrm flipH="1">
                          <a:off x="0" y="0"/>
                          <a:ext cx="3284855" cy="733425"/>
                        </a:xfrm>
                        <a:prstGeom prst="straightConnector1">
                          <a:avLst/>
                        </a:prstGeom>
                        <a:ln>
                          <a:tailEnd type="arrow"/>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82300D8" id="_x0000_t32" coordsize="21600,21600" o:spt="32" o:oned="t" path="m,l21600,21600e" filled="f">
                <v:path arrowok="t" fillok="f" o:connecttype="none"/>
                <o:lock v:ext="edit" shapetype="t"/>
              </v:shapetype>
              <v:shape id="Connecteur droit avec flèche 11" o:spid="_x0000_s1026" type="#_x0000_t32" style="position:absolute;margin-left:283.25pt;margin-top:250.3pt;width:258.65pt;height:57.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" strokecolor="#795d9b [3047]">
                <v:stroke endarrow="open"/>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70528" behindDoc="0" locked="0" layoutInCell="1" allowOverlap="1" wp14:anchorId="6B623E7A" wp14:editId="3303B7F8">
                <wp:simplePos x="0" y="0"/>
                <wp:positionH relativeFrom="column">
                  <wp:posOffset>6892290</wp:posOffset>
                </wp:positionH>
                <wp:positionV relativeFrom="paragraph">
                  <wp:posOffset>2974340</wp:posOffset>
                </wp:positionV>
                <wp:extent cx="1679575" cy="350520"/>
                <wp:effectExtent l="57150" t="38100" r="73025" b="8763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575" cy="350520"/>
                        </a:xfrm>
                        <a:prstGeom prst="rect">
                          <a:avLst/>
                        </a:prstGeom>
                        <a:ln>
                          <a:headEnd/>
                          <a:tailEnd/>
                        </a:ln>
                      </wps:spPr>
                      <wps:style>
                        <a:lnRef idx="1">
                          <a:schemeClr val="accent4"/>
                        </a:lnRef>
                        <a:fillRef idx="2">
                          <a:schemeClr val="accent4"/>
                        </a:fillRef>
                        <a:effectRef idx="1">
                          <a:schemeClr val="accent4"/>
                        </a:effectRef>
                        <a:fontRef idx="minor">
                          <a:schemeClr val="dk1"/>
                        </a:fontRef>
                      </wps:style>
                      <wps:txbx>
                        <w:txbxContent>
                          <w:p w14:paraId="5E34C9FC" w14:textId="77777777" w:rsidR="007679D9" w:rsidRPr="00A87DBB" w:rsidRDefault="007679D9" w:rsidP="00277D84">
                            <w:pPr>
                              <w:jc w:val="center"/>
                              <w:rPr>
                                <w:sz w:val="28"/>
                              </w:rPr>
                            </w:pPr>
                            <w:r>
                              <w:rPr>
                                <w:sz w:val="28"/>
                              </w:rPr>
                              <w:t>Ménages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684A9" id="_x0000_s1031" type="#_x0000_t202" style="position:absolute;left:0;text-align:left;margin-left:542.7pt;margin-top:234.2pt;width:132.25pt;height:2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" fillcolor="#bfb1d0 [1623]" strokecolor="#795d9b [3047]">
                <v:fill color2="#ece7f1 [503]" rotate="t" angle="180" colors="0 #c9b5e8;22938f #d9cbee;1 #f0eaf9" focus="100%" type="gradient"/>
                <v:shadow on="t" color="black" opacity="24903f" origin=",.5" offset="0,.55556mm"/>
                <v:textbox>
                  <w:txbxContent>
                    <w:p w:rsidR="007679D9" w:rsidRPr="00A87DBB" w:rsidRDefault="007679D9" w:rsidP="00277D84">
                      <w:pPr>
                        <w:jc w:val="center"/>
                        <w:rPr>
                          <w:sz w:val="28"/>
                        </w:rPr>
                      </w:pPr>
                      <w:r>
                        <w:rPr>
                          <w:sz w:val="28"/>
                        </w:rPr>
                        <w:t>Ménages</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77696" behindDoc="0" locked="0" layoutInCell="1" allowOverlap="1" wp14:anchorId="30B5836E" wp14:editId="3E7FE0BD">
                <wp:simplePos x="0" y="0"/>
                <wp:positionH relativeFrom="column">
                  <wp:posOffset>7764780</wp:posOffset>
                </wp:positionH>
                <wp:positionV relativeFrom="paragraph">
                  <wp:posOffset>2157730</wp:posOffset>
                </wp:positionV>
                <wp:extent cx="0" cy="839470"/>
                <wp:effectExtent l="95250" t="38100" r="57150" b="17780"/>
                <wp:wrapNone/>
                <wp:docPr id="20" name="Connecteur droit avec flèche 20"/>
                <wp:cNvGraphicFramePr/>
                <a:graphic xmlns:a="http://schemas.openxmlformats.org/drawingml/2006/main">
                  <a:graphicData uri="http://schemas.microsoft.com/office/word/2010/wordprocessingShape">
                    <wps:wsp>
                      <wps:cNvCnPr/>
                      <wps:spPr>
                        <a:xfrm flipV="1">
                          <a:off x="0" y="0"/>
                          <a:ext cx="0" cy="83947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BAFE7E" id="Connecteur droit avec flèche 20" o:spid="_x0000_s1026" type="#_x0000_t32" style="position:absolute;margin-left:611.4pt;margin-top:169.9pt;width:0;height:66.1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" strokecolor="#f68c36 [3049]">
                <v:stroke endarrow="open"/>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91008" behindDoc="0" locked="0" layoutInCell="1" allowOverlap="1" wp14:anchorId="4ADD7AF7" wp14:editId="2DC33A6F">
                <wp:simplePos x="0" y="0"/>
                <wp:positionH relativeFrom="column">
                  <wp:posOffset>215900</wp:posOffset>
                </wp:positionH>
                <wp:positionV relativeFrom="paragraph">
                  <wp:posOffset>3348990</wp:posOffset>
                </wp:positionV>
                <wp:extent cx="1402715" cy="1306830"/>
                <wp:effectExtent l="0" t="0" r="26035" b="26670"/>
                <wp:wrapNone/>
                <wp:docPr id="292" name="Zone de texte 292"/>
                <wp:cNvGraphicFramePr/>
                <a:graphic xmlns:a="http://schemas.openxmlformats.org/drawingml/2006/main">
                  <a:graphicData uri="http://schemas.microsoft.com/office/word/2010/wordprocessingShape">
                    <wps:wsp>
                      <wps:cNvSpPr txBox="1"/>
                      <wps:spPr>
                        <a:xfrm>
                          <a:off x="0" y="0"/>
                          <a:ext cx="1402715" cy="13068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3EBAA7" w14:textId="77777777" w:rsidR="007679D9" w:rsidRDefault="007679D9" w:rsidP="00277D84">
                            <w:r>
                              <w:t>Les programmes paient l’investissement, les RHS, et la mise en œuvre essentielle de la santé publique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A78D0" id="Zone de texte 292" o:spid="_x0000_s1032" type="#_x0000_t202" style="position:absolute;left:0;text-align:left;margin-left:17pt;margin-top:263.7pt;width:110.45pt;height:102.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" fillcolor="white [3201]" strokeweight=".5pt">
                <v:textbox>
                  <w:txbxContent>
                    <w:p w:rsidR="007679D9" w:rsidRDefault="007679D9" w:rsidP="00277D84">
                      <w:r>
                        <w:t>Les programmes paient l’investissement, les RHS, et la mise en œuvre essentielle de la santé publique</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89984" behindDoc="0" locked="0" layoutInCell="1" allowOverlap="1" wp14:anchorId="35A592F6" wp14:editId="2C03AAA8">
                <wp:simplePos x="0" y="0"/>
                <wp:positionH relativeFrom="column">
                  <wp:posOffset>-155575</wp:posOffset>
                </wp:positionH>
                <wp:positionV relativeFrom="paragraph">
                  <wp:posOffset>2976245</wp:posOffset>
                </wp:positionV>
                <wp:extent cx="2104390" cy="1913890"/>
                <wp:effectExtent l="76200" t="57150" r="67310" b="86360"/>
                <wp:wrapNone/>
                <wp:docPr id="291" name="Ellipse 291"/>
                <wp:cNvGraphicFramePr/>
                <a:graphic xmlns:a="http://schemas.openxmlformats.org/drawingml/2006/main">
                  <a:graphicData uri="http://schemas.microsoft.com/office/word/2010/wordprocessingShape">
                    <wps:wsp>
                      <wps:cNvSpPr/>
                      <wps:spPr>
                        <a:xfrm>
                          <a:off x="0" y="0"/>
                          <a:ext cx="2104390" cy="1913890"/>
                        </a:xfrm>
                        <a:prstGeom prst="ellipse">
                          <a:avLst/>
                        </a:prstGeom>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DC8B1A" id="Ellipse 291" o:spid="_x0000_s1026" style="position:absolute;margin-left:-12.25pt;margin-top:234.35pt;width:165.7pt;height:150.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" fillcolor="#9bbb59 [3206]" strokecolor="white [3201]" strokeweight="3pt">
                <v:shadow on="t" color="black" opacity="24903f" origin=",.5" offset="0,.55556mm"/>
              </v:oval>
            </w:pict>
          </mc:Fallback>
        </mc:AlternateContent>
      </w:r>
      <w:r w:rsidRPr="00BF29A2">
        <w:rPr>
          <w:rFonts w:cstheme="minorHAnsi"/>
          <w:noProof/>
          <w:sz w:val="24"/>
          <w:szCs w:val="24"/>
          <w:lang w:eastAsia="fr-FR"/>
        </w:rPr>
        <mc:AlternateContent>
          <mc:Choice Requires="wps">
            <w:drawing>
              <wp:anchor distT="0" distB="0" distL="114300" distR="114300" simplePos="0" relativeHeight="251687936" behindDoc="0" locked="0" layoutInCell="1" allowOverlap="1" wp14:anchorId="23B6A6DB" wp14:editId="312BDF66">
                <wp:simplePos x="0" y="0"/>
                <wp:positionH relativeFrom="column">
                  <wp:posOffset>2789703</wp:posOffset>
                </wp:positionH>
                <wp:positionV relativeFrom="paragraph">
                  <wp:posOffset>2158143</wp:posOffset>
                </wp:positionV>
                <wp:extent cx="467832" cy="1967024"/>
                <wp:effectExtent l="0" t="0" r="66040" b="52705"/>
                <wp:wrapNone/>
                <wp:docPr id="289" name="Connecteur droit avec flèche 289"/>
                <wp:cNvGraphicFramePr/>
                <a:graphic xmlns:a="http://schemas.openxmlformats.org/drawingml/2006/main">
                  <a:graphicData uri="http://schemas.microsoft.com/office/word/2010/wordprocessingShape">
                    <wps:wsp>
                      <wps:cNvCnPr/>
                      <wps:spPr>
                        <a:xfrm>
                          <a:off x="0" y="0"/>
                          <a:ext cx="467832" cy="1967024"/>
                        </a:xfrm>
                        <a:prstGeom prst="straightConnector1">
                          <a:avLst/>
                        </a:prstGeom>
                        <a:ln>
                          <a:tailEnd type="arrow"/>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31E618" id="Connecteur droit avec flèche 289" o:spid="_x0000_s1026" type="#_x0000_t32" style="position:absolute;margin-left:219.65pt;margin-top:169.95pt;width:36.85pt;height:154.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" strokecolor="#94b64e [3046]">
                <v:stroke endarrow="open"/>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88960" behindDoc="0" locked="0" layoutInCell="1" allowOverlap="1" wp14:anchorId="7B261C99" wp14:editId="002423E7">
                <wp:simplePos x="0" y="0"/>
                <wp:positionH relativeFrom="column">
                  <wp:posOffset>4001814</wp:posOffset>
                </wp:positionH>
                <wp:positionV relativeFrom="paragraph">
                  <wp:posOffset>2211306</wp:posOffset>
                </wp:positionV>
                <wp:extent cx="1201259" cy="2073349"/>
                <wp:effectExtent l="38100" t="0" r="18415" b="60325"/>
                <wp:wrapNone/>
                <wp:docPr id="290" name="Connecteur droit avec flèche 290"/>
                <wp:cNvGraphicFramePr/>
                <a:graphic xmlns:a="http://schemas.openxmlformats.org/drawingml/2006/main">
                  <a:graphicData uri="http://schemas.microsoft.com/office/word/2010/wordprocessingShape">
                    <wps:wsp>
                      <wps:cNvCnPr/>
                      <wps:spPr>
                        <a:xfrm flipH="1">
                          <a:off x="0" y="0"/>
                          <a:ext cx="1201259" cy="2073349"/>
                        </a:xfrm>
                        <a:prstGeom prst="straightConnector1">
                          <a:avLst/>
                        </a:prstGeom>
                        <a:ln>
                          <a:tailEnd type="arrow"/>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B99A51" id="Connecteur droit avec flèche 290" o:spid="_x0000_s1026" type="#_x0000_t32" style="position:absolute;margin-left:315.1pt;margin-top:174.1pt;width:94.6pt;height:163.2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" strokecolor="#94b64e [3046]">
                <v:stroke endarrow="open"/>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86912" behindDoc="0" locked="0" layoutInCell="1" allowOverlap="1" wp14:anchorId="05821463" wp14:editId="6A54C7AC">
                <wp:simplePos x="0" y="0"/>
                <wp:positionH relativeFrom="column">
                  <wp:posOffset>769516</wp:posOffset>
                </wp:positionH>
                <wp:positionV relativeFrom="paragraph">
                  <wp:posOffset>2158143</wp:posOffset>
                </wp:positionV>
                <wp:extent cx="1701209" cy="2286000"/>
                <wp:effectExtent l="0" t="0" r="70485" b="57150"/>
                <wp:wrapNone/>
                <wp:docPr id="288" name="Connecteur droit avec flèche 288"/>
                <wp:cNvGraphicFramePr/>
                <a:graphic xmlns:a="http://schemas.openxmlformats.org/drawingml/2006/main">
                  <a:graphicData uri="http://schemas.microsoft.com/office/word/2010/wordprocessingShape">
                    <wps:wsp>
                      <wps:cNvCnPr/>
                      <wps:spPr>
                        <a:xfrm>
                          <a:off x="0" y="0"/>
                          <a:ext cx="1701209" cy="2286000"/>
                        </a:xfrm>
                        <a:prstGeom prst="straightConnector1">
                          <a:avLst/>
                        </a:prstGeom>
                        <a:ln>
                          <a:tailEnd type="arrow"/>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w14:anchorId="02239653" id="Connecteur droit avec flèche 288" o:spid="_x0000_s1026" type="#_x0000_t32" style="position:absolute;margin-left:60.6pt;margin-top:169.95pt;width:133.95pt;height:180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" strokecolor="#94b64e [3046]">
                <v:stroke endarrow="open"/>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85888" behindDoc="0" locked="0" layoutInCell="1" allowOverlap="1" wp14:anchorId="517CF20D" wp14:editId="415ECB3E">
                <wp:simplePos x="0" y="0"/>
                <wp:positionH relativeFrom="column">
                  <wp:posOffset>4076065</wp:posOffset>
                </wp:positionH>
                <wp:positionV relativeFrom="paragraph">
                  <wp:posOffset>2157730</wp:posOffset>
                </wp:positionV>
                <wp:extent cx="2795905" cy="1403350"/>
                <wp:effectExtent l="38100" t="0" r="23495" b="63500"/>
                <wp:wrapNone/>
                <wp:docPr id="31" name="Connecteur droit avec flèche 31"/>
                <wp:cNvGraphicFramePr/>
                <a:graphic xmlns:a="http://schemas.openxmlformats.org/drawingml/2006/main">
                  <a:graphicData uri="http://schemas.microsoft.com/office/word/2010/wordprocessingShape">
                    <wps:wsp>
                      <wps:cNvCnPr/>
                      <wps:spPr>
                        <a:xfrm flipH="1">
                          <a:off x="0" y="0"/>
                          <a:ext cx="2795905" cy="140335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3DB77B" id="Connecteur droit avec flèche 31" o:spid="_x0000_s1026" type="#_x0000_t32" style="position:absolute;margin-left:320.95pt;margin-top:169.9pt;width:220.15pt;height:1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" strokecolor="#f68c36 [3049]">
                <v:stroke endarrow="open"/>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60288" behindDoc="0" locked="0" layoutInCell="1" allowOverlap="1" wp14:anchorId="6CA7E04A" wp14:editId="7F545DC1">
                <wp:simplePos x="0" y="0"/>
                <wp:positionH relativeFrom="column">
                  <wp:posOffset>1407470</wp:posOffset>
                </wp:positionH>
                <wp:positionV relativeFrom="paragraph">
                  <wp:posOffset>425037</wp:posOffset>
                </wp:positionV>
                <wp:extent cx="5443870" cy="669851"/>
                <wp:effectExtent l="0" t="0" r="42545" b="92710"/>
                <wp:wrapNone/>
                <wp:docPr id="25" name="Connecteur droit avec flèche 25"/>
                <wp:cNvGraphicFramePr/>
                <a:graphic xmlns:a="http://schemas.openxmlformats.org/drawingml/2006/main">
                  <a:graphicData uri="http://schemas.microsoft.com/office/word/2010/wordprocessingShape">
                    <wps:wsp>
                      <wps:cNvCnPr/>
                      <wps:spPr>
                        <a:xfrm>
                          <a:off x="0" y="0"/>
                          <a:ext cx="5443870" cy="66985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9D6D9D" id="Connecteur droit avec flèche 25" o:spid="_x0000_s1026" type="#_x0000_t32" style="position:absolute;margin-left:110.8pt;margin-top:33.45pt;width:428.65pt;height:5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" strokecolor="#4579b8 [3044]">
                <v:stroke endarrow="open"/>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69504" behindDoc="0" locked="0" layoutInCell="1" allowOverlap="1" wp14:anchorId="629DC473" wp14:editId="59865C0C">
                <wp:simplePos x="0" y="0"/>
                <wp:positionH relativeFrom="column">
                  <wp:posOffset>6852920</wp:posOffset>
                </wp:positionH>
                <wp:positionV relativeFrom="paragraph">
                  <wp:posOffset>1075055</wp:posOffset>
                </wp:positionV>
                <wp:extent cx="1903095" cy="1062990"/>
                <wp:effectExtent l="57150" t="38100" r="78105" b="9906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095" cy="1062990"/>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14:paraId="3DC8AA7C" w14:textId="77777777" w:rsidR="007679D9" w:rsidRPr="00A87DBB" w:rsidRDefault="007679D9" w:rsidP="00277D84">
                            <w:pPr>
                              <w:jc w:val="center"/>
                              <w:rPr>
                                <w:sz w:val="28"/>
                              </w:rPr>
                            </w:pPr>
                            <w:r>
                              <w:rPr>
                                <w:sz w:val="28"/>
                              </w:rPr>
                              <w:t>Caisse Autonome d’Assurance Maladie (création à moyen terme)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7386A" id="_x0000_s1033" type="#_x0000_t202" style="position:absolute;left:0;text-align:left;margin-left:539.6pt;margin-top:84.65pt;width:149.85pt;height:83.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" fillcolor="#fbcaa2 [1625]" strokecolor="#f68c36 [3049]">
                <v:fill color2="#fdefe3 [505]" rotate="t" angle="180" colors="0 #ffbe86;22938f #ffd0aa;1 #ffebdb" focus="100%" type="gradient"/>
                <v:shadow on="t" color="black" opacity="24903f" origin=",.5" offset="0,.55556mm"/>
                <v:textbox>
                  <w:txbxContent>
                    <w:p w:rsidR="007679D9" w:rsidRPr="00A87DBB" w:rsidRDefault="007679D9" w:rsidP="00277D84">
                      <w:pPr>
                        <w:jc w:val="center"/>
                        <w:rPr>
                          <w:sz w:val="28"/>
                        </w:rPr>
                      </w:pPr>
                      <w:r>
                        <w:rPr>
                          <w:sz w:val="28"/>
                        </w:rPr>
                        <w:t>Caisse Autonome d’Assurance Maladie (création à moyen terme)</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74624" behindDoc="0" locked="0" layoutInCell="1" allowOverlap="1" wp14:anchorId="12862442" wp14:editId="3F29C108">
                <wp:simplePos x="0" y="0"/>
                <wp:positionH relativeFrom="column">
                  <wp:posOffset>2119630</wp:posOffset>
                </wp:positionH>
                <wp:positionV relativeFrom="paragraph">
                  <wp:posOffset>3061335</wp:posOffset>
                </wp:positionV>
                <wp:extent cx="1551940" cy="1828165"/>
                <wp:effectExtent l="38100" t="19050" r="67310" b="76835"/>
                <wp:wrapNone/>
                <wp:docPr id="17" name="Connecteur droit 17"/>
                <wp:cNvGraphicFramePr/>
                <a:graphic xmlns:a="http://schemas.openxmlformats.org/drawingml/2006/main">
                  <a:graphicData uri="http://schemas.microsoft.com/office/word/2010/wordprocessingShape">
                    <wps:wsp>
                      <wps:cNvCnPr/>
                      <wps:spPr>
                        <a:xfrm flipH="1">
                          <a:off x="0" y="0"/>
                          <a:ext cx="1551940" cy="182816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0ECC6F" id="Connecteur droit 17"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241.05pt" to="289.1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" strokecolor="black [3200]" strokeweight="2pt">
                <v:shadow on="t" color="black" opacity="24903f" origin=",.5" offset="0,.55556mm"/>
              </v:line>
            </w:pict>
          </mc:Fallback>
        </mc:AlternateContent>
      </w:r>
      <w:r w:rsidRPr="00BF29A2">
        <w:rPr>
          <w:rFonts w:cstheme="minorHAnsi"/>
          <w:noProof/>
          <w:sz w:val="24"/>
          <w:szCs w:val="24"/>
          <w:lang w:eastAsia="fr-FR"/>
        </w:rPr>
        <mc:AlternateContent>
          <mc:Choice Requires="wps">
            <w:drawing>
              <wp:anchor distT="0" distB="0" distL="114300" distR="114300" simplePos="0" relativeHeight="251676672" behindDoc="0" locked="0" layoutInCell="1" allowOverlap="1" wp14:anchorId="3FDF2D91" wp14:editId="6FE3EF76">
                <wp:simplePos x="0" y="0"/>
                <wp:positionH relativeFrom="column">
                  <wp:posOffset>2119852</wp:posOffset>
                </wp:positionH>
                <wp:positionV relativeFrom="paragraph">
                  <wp:posOffset>4890076</wp:posOffset>
                </wp:positionV>
                <wp:extent cx="2976009" cy="635"/>
                <wp:effectExtent l="38100" t="38100" r="53340" b="94615"/>
                <wp:wrapNone/>
                <wp:docPr id="19" name="Connecteur droit 19"/>
                <wp:cNvGraphicFramePr/>
                <a:graphic xmlns:a="http://schemas.openxmlformats.org/drawingml/2006/main">
                  <a:graphicData uri="http://schemas.microsoft.com/office/word/2010/wordprocessingShape">
                    <wps:wsp>
                      <wps:cNvCnPr/>
                      <wps:spPr>
                        <a:xfrm flipH="1" flipV="1">
                          <a:off x="0" y="0"/>
                          <a:ext cx="2976009" cy="63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0294AF" id="Connecteur droit 19" o:spid="_x0000_s1026" style="position:absolute;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385.05pt" to="401.25pt,3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" strokecolor="black [3200]" strokeweight="2pt">
                <v:shadow on="t" color="black" opacity="24903f" origin=",.5" offset="0,.55556mm"/>
              </v:line>
            </w:pict>
          </mc:Fallback>
        </mc:AlternateContent>
      </w:r>
      <w:r w:rsidRPr="00BF29A2">
        <w:rPr>
          <w:rFonts w:cstheme="minorHAnsi"/>
          <w:noProof/>
          <w:sz w:val="24"/>
          <w:szCs w:val="24"/>
          <w:lang w:eastAsia="fr-FR"/>
        </w:rPr>
        <mc:AlternateContent>
          <mc:Choice Requires="wps">
            <w:drawing>
              <wp:anchor distT="0" distB="0" distL="114300" distR="114300" simplePos="0" relativeHeight="251675648" behindDoc="0" locked="0" layoutInCell="1" allowOverlap="1" wp14:anchorId="16666F44" wp14:editId="72C73EAB">
                <wp:simplePos x="0" y="0"/>
                <wp:positionH relativeFrom="column">
                  <wp:posOffset>3671555</wp:posOffset>
                </wp:positionH>
                <wp:positionV relativeFrom="paragraph">
                  <wp:posOffset>3061911</wp:posOffset>
                </wp:positionV>
                <wp:extent cx="1424837" cy="1828785"/>
                <wp:effectExtent l="38100" t="19050" r="61595" b="76835"/>
                <wp:wrapNone/>
                <wp:docPr id="18" name="Connecteur droit 18"/>
                <wp:cNvGraphicFramePr/>
                <a:graphic xmlns:a="http://schemas.openxmlformats.org/drawingml/2006/main">
                  <a:graphicData uri="http://schemas.microsoft.com/office/word/2010/wordprocessingShape">
                    <wps:wsp>
                      <wps:cNvCnPr/>
                      <wps:spPr>
                        <a:xfrm>
                          <a:off x="0" y="0"/>
                          <a:ext cx="1424837" cy="182878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D61053" id="Connecteur droit 1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1pt,241.1pt" to="401.3pt,3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" strokecolor="black [3200]" strokeweight="2pt">
                <v:shadow on="t" color="black" opacity="24903f" origin=",.5" offset="0,.55556mm"/>
              </v:line>
            </w:pict>
          </mc:Fallback>
        </mc:AlternateContent>
      </w:r>
      <w:r w:rsidRPr="00BF29A2">
        <w:rPr>
          <w:rFonts w:cstheme="minorHAnsi"/>
          <w:noProof/>
          <w:sz w:val="24"/>
          <w:szCs w:val="24"/>
          <w:lang w:eastAsia="fr-FR"/>
        </w:rPr>
        <mc:AlternateContent>
          <mc:Choice Requires="wps">
            <w:drawing>
              <wp:anchor distT="0" distB="0" distL="114300" distR="114300" simplePos="0" relativeHeight="251673600" behindDoc="0" locked="0" layoutInCell="1" allowOverlap="1" wp14:anchorId="60BC2473" wp14:editId="2CCF3335">
                <wp:simplePos x="0" y="0"/>
                <wp:positionH relativeFrom="column">
                  <wp:posOffset>2757805</wp:posOffset>
                </wp:positionH>
                <wp:positionV relativeFrom="paragraph">
                  <wp:posOffset>3561641</wp:posOffset>
                </wp:positionV>
                <wp:extent cx="1031240" cy="552539"/>
                <wp:effectExtent l="76200" t="57150" r="73660" b="95250"/>
                <wp:wrapNone/>
                <wp:docPr id="13" name="Triangle isocèle 13"/>
                <wp:cNvGraphicFramePr/>
                <a:graphic xmlns:a="http://schemas.openxmlformats.org/drawingml/2006/main">
                  <a:graphicData uri="http://schemas.microsoft.com/office/word/2010/wordprocessingShape">
                    <wps:wsp>
                      <wps:cNvSpPr/>
                      <wps:spPr>
                        <a:xfrm>
                          <a:off x="0" y="0"/>
                          <a:ext cx="1031240" cy="552539"/>
                        </a:xfrm>
                        <a:prstGeom prst="triangle">
                          <a:avLst>
                            <a:gd name="adj" fmla="val 45873"/>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70FE0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13" o:spid="_x0000_s1026" type="#_x0000_t5" style="position:absolute;margin-left:217.15pt;margin-top:280.45pt;width:81.2pt;height:4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" adj="9909" fillcolor="#8064a2 [3207]" strokecolor="white [3201]" strokeweight="3pt">
                <v:shadow on="t" color="black" opacity="24903f" origin=",.5" offset="0,.55556mm"/>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61312" behindDoc="0" locked="0" layoutInCell="1" allowOverlap="1" wp14:anchorId="23EC5385" wp14:editId="3C4CD1EF">
                <wp:simplePos x="0" y="0"/>
                <wp:positionH relativeFrom="column">
                  <wp:posOffset>2183647</wp:posOffset>
                </wp:positionH>
                <wp:positionV relativeFrom="paragraph">
                  <wp:posOffset>3061911</wp:posOffset>
                </wp:positionV>
                <wp:extent cx="2913321" cy="1828785"/>
                <wp:effectExtent l="57150" t="38100" r="78105" b="95885"/>
                <wp:wrapNone/>
                <wp:docPr id="16" name="Triangle isocèle 16"/>
                <wp:cNvGraphicFramePr/>
                <a:graphic xmlns:a="http://schemas.openxmlformats.org/drawingml/2006/main">
                  <a:graphicData uri="http://schemas.microsoft.com/office/word/2010/wordprocessingShape">
                    <wps:wsp>
                      <wps:cNvSpPr/>
                      <wps:spPr>
                        <a:xfrm>
                          <a:off x="0" y="0"/>
                          <a:ext cx="2913321" cy="1828785"/>
                        </a:xfrm>
                        <a:prstGeom prst="triangle">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389D4E5" id="Triangle isocèle 16" o:spid="_x0000_s1026" type="#_x0000_t5" style="position:absolute;margin-left:171.95pt;margin-top:241.1pt;width:229.4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" fillcolor="#fbcaa2 [1625]" strokecolor="#f68c36 [3049]">
                <v:fill color2="#fdefe3 [505]" rotate="t" angle="180" colors="0 #ffbe86;22938f #ffd0aa;1 #ffebdb" focus="100%" type="gradient"/>
                <v:shadow on="t" color="black" opacity="24903f" origin=",.5" offset="0,.55556mm"/>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62336" behindDoc="0" locked="0" layoutInCell="1" allowOverlap="1" wp14:anchorId="6A1E95A3" wp14:editId="325F89EC">
                <wp:simplePos x="0" y="0"/>
                <wp:positionH relativeFrom="column">
                  <wp:posOffset>2119852</wp:posOffset>
                </wp:positionH>
                <wp:positionV relativeFrom="paragraph">
                  <wp:posOffset>3561641</wp:posOffset>
                </wp:positionV>
                <wp:extent cx="2349795" cy="1329070"/>
                <wp:effectExtent l="76200" t="57150" r="50800" b="99695"/>
                <wp:wrapNone/>
                <wp:docPr id="14" name="Triangle isocèle 14"/>
                <wp:cNvGraphicFramePr/>
                <a:graphic xmlns:a="http://schemas.openxmlformats.org/drawingml/2006/main">
                  <a:graphicData uri="http://schemas.microsoft.com/office/word/2010/wordprocessingShape">
                    <wps:wsp>
                      <wps:cNvSpPr/>
                      <wps:spPr>
                        <a:xfrm>
                          <a:off x="0" y="0"/>
                          <a:ext cx="2349795" cy="1329070"/>
                        </a:xfrm>
                        <a:prstGeom prst="triangle">
                          <a:avLst>
                            <a:gd name="adj" fmla="val 49533"/>
                          </a:avLst>
                        </a:prstGeom>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7B610" id="Triangle isocèle 14" o:spid="_x0000_s1026" type="#_x0000_t5" style="position:absolute;margin-left:166.9pt;margin-top:280.45pt;width:185pt;height:10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" adj="10699" fillcolor="#9bbb59 [3206]" strokecolor="white [3201]" strokeweight="3pt">
                <v:shadow on="t" color="black" opacity="24903f" origin=",.5" offset="0,.55556mm"/>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72576" behindDoc="0" locked="0" layoutInCell="1" allowOverlap="1" wp14:anchorId="163AF84E" wp14:editId="6F548C71">
                <wp:simplePos x="0" y="0"/>
                <wp:positionH relativeFrom="column">
                  <wp:posOffset>2757805</wp:posOffset>
                </wp:positionH>
                <wp:positionV relativeFrom="paragraph">
                  <wp:posOffset>4124694</wp:posOffset>
                </wp:positionV>
                <wp:extent cx="1031240" cy="0"/>
                <wp:effectExtent l="38100" t="38100" r="54610" b="95250"/>
                <wp:wrapNone/>
                <wp:docPr id="12" name="Connecteur droit 12"/>
                <wp:cNvGraphicFramePr/>
                <a:graphic xmlns:a="http://schemas.openxmlformats.org/drawingml/2006/main">
                  <a:graphicData uri="http://schemas.microsoft.com/office/word/2010/wordprocessingShape">
                    <wps:wsp>
                      <wps:cNvCnPr/>
                      <wps:spPr>
                        <a:xfrm>
                          <a:off x="0" y="0"/>
                          <a:ext cx="1031240"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8D34C2" id="Connecteur droit 1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15pt,324.8pt" to="298.35pt,3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" strokecolor="#c0504d [3205]" strokeweight="2pt">
                <v:shadow on="t" color="black" opacity="24903f" origin=",.5" offset="0,.55556mm"/>
              </v:line>
            </w:pict>
          </mc:Fallback>
        </mc:AlternateContent>
      </w:r>
      <w:r w:rsidRPr="00BF29A2">
        <w:rPr>
          <w:rFonts w:cstheme="minorHAnsi"/>
          <w:noProof/>
          <w:sz w:val="24"/>
          <w:szCs w:val="24"/>
          <w:lang w:eastAsia="fr-FR"/>
        </w:rPr>
        <mc:AlternateContent>
          <mc:Choice Requires="wps">
            <w:drawing>
              <wp:anchor distT="0" distB="0" distL="114300" distR="114300" simplePos="0" relativeHeight="251668480" behindDoc="0" locked="0" layoutInCell="1" allowOverlap="1" wp14:anchorId="199CCF87" wp14:editId="2FD226EA">
                <wp:simplePos x="0" y="0"/>
                <wp:positionH relativeFrom="column">
                  <wp:posOffset>4185285</wp:posOffset>
                </wp:positionH>
                <wp:positionV relativeFrom="paragraph">
                  <wp:posOffset>1097280</wp:posOffset>
                </wp:positionV>
                <wp:extent cx="1903095" cy="1062990"/>
                <wp:effectExtent l="76200" t="57150" r="78105" b="9906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095" cy="1062990"/>
                        </a:xfrm>
                        <a:prstGeom prst="rect">
                          <a:avLst/>
                        </a:prstGeom>
                        <a:ln>
                          <a:headEnd/>
                          <a:tailEnd/>
                        </a:ln>
                      </wps:spPr>
                      <wps:style>
                        <a:lnRef idx="3">
                          <a:schemeClr val="lt1"/>
                        </a:lnRef>
                        <a:fillRef idx="1">
                          <a:schemeClr val="accent3"/>
                        </a:fillRef>
                        <a:effectRef idx="1">
                          <a:schemeClr val="accent3"/>
                        </a:effectRef>
                        <a:fontRef idx="minor">
                          <a:schemeClr val="lt1"/>
                        </a:fontRef>
                      </wps:style>
                      <wps:txbx>
                        <w:txbxContent>
                          <w:p w14:paraId="1C25DB59" w14:textId="77777777" w:rsidR="007679D9" w:rsidRPr="00A87DBB" w:rsidRDefault="007679D9" w:rsidP="00277D84">
                            <w:pPr>
                              <w:jc w:val="center"/>
                              <w:rPr>
                                <w:sz w:val="28"/>
                              </w:rPr>
                            </w:pPr>
                            <w:r>
                              <w:rPr>
                                <w:sz w:val="28"/>
                              </w:rPr>
                              <w:t>Programme « </w:t>
                            </w:r>
                            <w:r w:rsidRPr="00A87DBB">
                              <w:rPr>
                                <w:sz w:val="28"/>
                              </w:rPr>
                              <w:t>Prestations des soins et services de santé</w:t>
                            </w:r>
                            <w:r>
                              <w:rPr>
                                <w:sz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4F8F5" id="_x0000_s1034" type="#_x0000_t202" style="position:absolute;left:0;text-align:left;margin-left:329.55pt;margin-top:86.4pt;width:149.85pt;height:8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" fillcolor="#9bbb59 [3206]" strokecolor="white [3201]" strokeweight="3pt">
                <v:shadow on="t" color="black" opacity="24903f" origin=",.5" offset="0,.55556mm"/>
                <v:textbox>
                  <w:txbxContent>
                    <w:p w:rsidR="007679D9" w:rsidRPr="00A87DBB" w:rsidRDefault="007679D9" w:rsidP="00277D84">
                      <w:pPr>
                        <w:jc w:val="center"/>
                        <w:rPr>
                          <w:sz w:val="28"/>
                        </w:rPr>
                      </w:pPr>
                      <w:r>
                        <w:rPr>
                          <w:sz w:val="28"/>
                        </w:rPr>
                        <w:t>Programme « </w:t>
                      </w:r>
                      <w:r w:rsidRPr="00A87DBB">
                        <w:rPr>
                          <w:sz w:val="28"/>
                        </w:rPr>
                        <w:t>Prestations des soins et services de santé</w:t>
                      </w:r>
                      <w:r>
                        <w:rPr>
                          <w:sz w:val="28"/>
                        </w:rPr>
                        <w:t xml:space="preserve"> »</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67456" behindDoc="0" locked="0" layoutInCell="1" allowOverlap="1" wp14:anchorId="2C2BB3AE" wp14:editId="2398D76E">
                <wp:simplePos x="0" y="0"/>
                <wp:positionH relativeFrom="column">
                  <wp:posOffset>2016125</wp:posOffset>
                </wp:positionH>
                <wp:positionV relativeFrom="paragraph">
                  <wp:posOffset>1097915</wp:posOffset>
                </wp:positionV>
                <wp:extent cx="1903095" cy="1062990"/>
                <wp:effectExtent l="76200" t="57150" r="78105" b="99060"/>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095" cy="1062990"/>
                        </a:xfrm>
                        <a:prstGeom prst="rect">
                          <a:avLst/>
                        </a:prstGeom>
                        <a:ln>
                          <a:headEnd/>
                          <a:tailEnd/>
                        </a:ln>
                      </wps:spPr>
                      <wps:style>
                        <a:lnRef idx="3">
                          <a:schemeClr val="lt1"/>
                        </a:lnRef>
                        <a:fillRef idx="1">
                          <a:schemeClr val="accent3"/>
                        </a:fillRef>
                        <a:effectRef idx="1">
                          <a:schemeClr val="accent3"/>
                        </a:effectRef>
                        <a:fontRef idx="minor">
                          <a:schemeClr val="lt1"/>
                        </a:fontRef>
                      </wps:style>
                      <wps:txbx>
                        <w:txbxContent>
                          <w:p w14:paraId="45DA26C8" w14:textId="77777777" w:rsidR="007679D9" w:rsidRPr="00A87DBB" w:rsidRDefault="007679D9" w:rsidP="00277D84">
                            <w:pPr>
                              <w:jc w:val="center"/>
                              <w:rPr>
                                <w:sz w:val="28"/>
                              </w:rPr>
                            </w:pPr>
                            <w:r>
                              <w:rPr>
                                <w:sz w:val="28"/>
                              </w:rPr>
                              <w:t>Programme « </w:t>
                            </w:r>
                            <w:r w:rsidRPr="00A87DBB">
                              <w:rPr>
                                <w:sz w:val="28"/>
                              </w:rPr>
                              <w:t>Accès aux soins et services de santé</w:t>
                            </w:r>
                            <w:r>
                              <w:rPr>
                                <w:sz w:val="28"/>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CFDFB" id="_x0000_s1035" type="#_x0000_t202" style="position:absolute;left:0;text-align:left;margin-left:158.75pt;margin-top:86.45pt;width:149.85pt;height:83.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" fillcolor="#9bbb59 [3206]" strokecolor="white [3201]" strokeweight="3pt">
                <v:shadow on="t" color="black" opacity="24903f" origin=",.5" offset="0,.55556mm"/>
                <v:textbox>
                  <w:txbxContent>
                    <w:p w:rsidR="007679D9" w:rsidRPr="00A87DBB" w:rsidRDefault="007679D9" w:rsidP="00277D84">
                      <w:pPr>
                        <w:jc w:val="center"/>
                        <w:rPr>
                          <w:sz w:val="28"/>
                        </w:rPr>
                      </w:pPr>
                      <w:r>
                        <w:rPr>
                          <w:sz w:val="28"/>
                        </w:rPr>
                        <w:t>Programme « </w:t>
                      </w:r>
                      <w:r w:rsidRPr="00A87DBB">
                        <w:rPr>
                          <w:sz w:val="28"/>
                        </w:rPr>
                        <w:t>Accès aux soins et services de santé</w:t>
                      </w:r>
                      <w:r>
                        <w:rPr>
                          <w:sz w:val="28"/>
                        </w:rPr>
                        <w:t> »</w:t>
                      </w:r>
                    </w:p>
                  </w:txbxContent>
                </v:textbox>
              </v:shape>
            </w:pict>
          </mc:Fallback>
        </mc:AlternateContent>
      </w:r>
      <w:r w:rsidRPr="00BF29A2">
        <w:rPr>
          <w:rFonts w:cstheme="minorHAnsi"/>
          <w:noProof/>
          <w:sz w:val="24"/>
          <w:szCs w:val="24"/>
          <w:lang w:eastAsia="fr-FR"/>
        </w:rPr>
        <mc:AlternateContent>
          <mc:Choice Requires="wps">
            <w:drawing>
              <wp:anchor distT="0" distB="0" distL="114300" distR="114300" simplePos="0" relativeHeight="251666432" behindDoc="0" locked="0" layoutInCell="1" allowOverlap="1" wp14:anchorId="398D59CC" wp14:editId="7EBAC1D8">
                <wp:simplePos x="0" y="0"/>
                <wp:positionH relativeFrom="column">
                  <wp:posOffset>-156210</wp:posOffset>
                </wp:positionH>
                <wp:positionV relativeFrom="paragraph">
                  <wp:posOffset>1094105</wp:posOffset>
                </wp:positionV>
                <wp:extent cx="1903095" cy="1062990"/>
                <wp:effectExtent l="76200" t="57150" r="78105" b="9906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095" cy="1062990"/>
                        </a:xfrm>
                        <a:prstGeom prst="rect">
                          <a:avLst/>
                        </a:prstGeom>
                        <a:ln>
                          <a:headEnd/>
                          <a:tailEnd/>
                        </a:ln>
                      </wps:spPr>
                      <wps:style>
                        <a:lnRef idx="3">
                          <a:schemeClr val="lt1"/>
                        </a:lnRef>
                        <a:fillRef idx="1">
                          <a:schemeClr val="accent3"/>
                        </a:fillRef>
                        <a:effectRef idx="1">
                          <a:schemeClr val="accent3"/>
                        </a:effectRef>
                        <a:fontRef idx="minor">
                          <a:schemeClr val="lt1"/>
                        </a:fontRef>
                      </wps:style>
                      <wps:txbx>
                        <w:txbxContent>
                          <w:p w14:paraId="13640E81" w14:textId="77777777" w:rsidR="007679D9" w:rsidRPr="00A87DBB" w:rsidRDefault="007679D9" w:rsidP="00277D84">
                            <w:pPr>
                              <w:jc w:val="center"/>
                              <w:rPr>
                                <w:sz w:val="28"/>
                              </w:rPr>
                            </w:pPr>
                            <w:r>
                              <w:rPr>
                                <w:sz w:val="28"/>
                              </w:rPr>
                              <w:t>Programme « </w:t>
                            </w:r>
                            <w:r w:rsidRPr="00A87DBB">
                              <w:rPr>
                                <w:sz w:val="28"/>
                              </w:rPr>
                              <w:t>Pilotage et Administration de la politique du Ministère de la Santé</w:t>
                            </w:r>
                            <w:r>
                              <w:rPr>
                                <w:sz w:val="28"/>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31A53" id="_x0000_s1036" type="#_x0000_t202" style="position:absolute;left:0;text-align:left;margin-left:-12.3pt;margin-top:86.15pt;width:149.85pt;height:83.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" fillcolor="#9bbb59 [3206]" strokecolor="white [3201]" strokeweight="3pt">
                <v:shadow on="t" color="black" opacity="24903f" origin=",.5" offset="0,.55556mm"/>
                <v:textbox>
                  <w:txbxContent>
                    <w:p w:rsidR="007679D9" w:rsidRPr="00A87DBB" w:rsidRDefault="007679D9" w:rsidP="00277D84">
                      <w:pPr>
                        <w:jc w:val="center"/>
                        <w:rPr>
                          <w:sz w:val="28"/>
                        </w:rPr>
                      </w:pPr>
                      <w:r>
                        <w:rPr>
                          <w:sz w:val="28"/>
                        </w:rPr>
                        <w:t>Programme « </w:t>
                      </w:r>
                      <w:r w:rsidRPr="00A87DBB">
                        <w:rPr>
                          <w:sz w:val="28"/>
                        </w:rPr>
                        <w:t>Pilotage et Administration de la politique du Ministère de la Santé</w:t>
                      </w:r>
                      <w:r>
                        <w:rPr>
                          <w:sz w:val="28"/>
                        </w:rPr>
                        <w:t> »</w:t>
                      </w:r>
                    </w:p>
                  </w:txbxContent>
                </v:textbox>
              </v:shape>
            </w:pict>
          </mc:Fallback>
        </mc:AlternateContent>
      </w:r>
    </w:p>
    <w:p w14:paraId="3DE04B87" w14:textId="77777777" w:rsidR="001B17C8" w:rsidRPr="00BF29A2" w:rsidRDefault="00277D84" w:rsidP="000902A1">
      <w:pPr>
        <w:rPr>
          <w:rFonts w:cstheme="minorHAnsi"/>
          <w:color w:val="FF0000"/>
          <w:sz w:val="24"/>
          <w:szCs w:val="24"/>
        </w:rPr>
      </w:pPr>
      <w:r w:rsidRPr="00BF29A2">
        <w:rPr>
          <w:rFonts w:cstheme="minorHAnsi"/>
          <w:noProof/>
          <w:sz w:val="24"/>
          <w:szCs w:val="24"/>
          <w:lang w:eastAsia="fr-FR"/>
        </w:rPr>
        <mc:AlternateContent>
          <mc:Choice Requires="wps">
            <w:drawing>
              <wp:anchor distT="0" distB="0" distL="114300" distR="114300" simplePos="0" relativeHeight="251696128" behindDoc="0" locked="0" layoutInCell="1" allowOverlap="1" wp14:anchorId="5DAB7A65" wp14:editId="16836982">
                <wp:simplePos x="0" y="0"/>
                <wp:positionH relativeFrom="column">
                  <wp:posOffset>2332355</wp:posOffset>
                </wp:positionH>
                <wp:positionV relativeFrom="paragraph">
                  <wp:posOffset>217805</wp:posOffset>
                </wp:positionV>
                <wp:extent cx="1403350" cy="0"/>
                <wp:effectExtent l="0" t="76200" r="25400" b="114300"/>
                <wp:wrapNone/>
                <wp:docPr id="298" name="Connecteur droit avec flèche 298"/>
                <wp:cNvGraphicFramePr/>
                <a:graphic xmlns:a="http://schemas.openxmlformats.org/drawingml/2006/main">
                  <a:graphicData uri="http://schemas.microsoft.com/office/word/2010/wordprocessingShape">
                    <wps:wsp>
                      <wps:cNvCnPr/>
                      <wps:spPr>
                        <a:xfrm>
                          <a:off x="0" y="0"/>
                          <a:ext cx="14033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834F6A" id="Connecteur droit avec flèche 298" o:spid="_x0000_s1026" type="#_x0000_t32" style="position:absolute;margin-left:183.65pt;margin-top:17.15pt;width:110.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" strokecolor="#4579b8 [3044]">
                <v:stroke endarrow="open"/>
              </v:shape>
            </w:pict>
          </mc:Fallback>
        </mc:AlternateContent>
      </w:r>
    </w:p>
    <w:p w14:paraId="60BE59E0" w14:textId="77777777" w:rsidR="00515C25" w:rsidRPr="00BF29A2" w:rsidRDefault="00E4665A">
      <w:pPr>
        <w:rPr>
          <w:rFonts w:cstheme="minorHAnsi"/>
          <w:b/>
          <w:i/>
          <w:sz w:val="24"/>
          <w:szCs w:val="24"/>
        </w:rPr>
      </w:pPr>
      <w:r w:rsidRPr="00BF29A2">
        <w:rPr>
          <w:rFonts w:cstheme="minorHAnsi"/>
          <w:noProof/>
          <w:sz w:val="24"/>
          <w:szCs w:val="24"/>
          <w:lang w:eastAsia="fr-FR"/>
        </w:rPr>
        <mc:AlternateContent>
          <mc:Choice Requires="wps">
            <w:drawing>
              <wp:anchor distT="0" distB="0" distL="114300" distR="114300" simplePos="0" relativeHeight="251695104" behindDoc="0" locked="0" layoutInCell="1" allowOverlap="1" wp14:anchorId="4A735A85" wp14:editId="4664864B">
                <wp:simplePos x="0" y="0"/>
                <wp:positionH relativeFrom="column">
                  <wp:posOffset>1617345</wp:posOffset>
                </wp:positionH>
                <wp:positionV relativeFrom="paragraph">
                  <wp:posOffset>4210685</wp:posOffset>
                </wp:positionV>
                <wp:extent cx="4018915" cy="654685"/>
                <wp:effectExtent l="0" t="0" r="19685" b="12065"/>
                <wp:wrapNone/>
                <wp:docPr id="297" name="Zone de texte 297"/>
                <wp:cNvGraphicFramePr/>
                <a:graphic xmlns:a="http://schemas.openxmlformats.org/drawingml/2006/main">
                  <a:graphicData uri="http://schemas.microsoft.com/office/word/2010/wordprocessingShape">
                    <wps:wsp>
                      <wps:cNvSpPr txBox="1"/>
                      <wps:spPr>
                        <a:xfrm>
                          <a:off x="0" y="0"/>
                          <a:ext cx="4018915" cy="6546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D475A3" w14:textId="77777777" w:rsidR="007679D9" w:rsidRDefault="007679D9" w:rsidP="00277D84">
                            <w:r>
                              <w:t>Le paquet de soins disponible à tous les niveaux de la pyramide sanitaire est financé par différents mécanismes complémentaires – y compris la prise en charge de la malnutrition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9568B" id="Zone de texte 297" o:spid="_x0000_s1037" type="#_x0000_t202" style="position:absolute;margin-left:127.35pt;margin-top:331.55pt;width:316.45pt;height:51.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" fillcolor="white [3201]" strokeweight=".5pt">
                <v:textbox>
                  <w:txbxContent>
                    <w:p w:rsidR="007679D9" w:rsidRDefault="007679D9" w:rsidP="00277D84">
                      <w:r>
                        <w:t>Le paquet de soins disponible à tous les niveaux de la pyramide sanitaire est financé par différents mécanismes complémentaires – y compris la prise en charge de la malnutrition</w:t>
                      </w:r>
                    </w:p>
                  </w:txbxContent>
                </v:textbox>
              </v:shape>
            </w:pict>
          </mc:Fallback>
        </mc:AlternateContent>
      </w:r>
      <w:r w:rsidR="00277D84" w:rsidRPr="00BF29A2">
        <w:rPr>
          <w:rFonts w:cstheme="minorHAnsi"/>
          <w:noProof/>
          <w:sz w:val="24"/>
          <w:szCs w:val="24"/>
          <w:lang w:eastAsia="fr-FR"/>
        </w:rPr>
        <mc:AlternateContent>
          <mc:Choice Requires="wps">
            <w:drawing>
              <wp:anchor distT="0" distB="0" distL="114300" distR="114300" simplePos="0" relativeHeight="251684864" behindDoc="0" locked="0" layoutInCell="1" allowOverlap="1" wp14:anchorId="1980CD41" wp14:editId="7D4F0090">
                <wp:simplePos x="0" y="0"/>
                <wp:positionH relativeFrom="column">
                  <wp:posOffset>7711440</wp:posOffset>
                </wp:positionH>
                <wp:positionV relativeFrom="paragraph">
                  <wp:posOffset>191770</wp:posOffset>
                </wp:positionV>
                <wp:extent cx="0" cy="265430"/>
                <wp:effectExtent l="95250" t="0" r="57150" b="58420"/>
                <wp:wrapNone/>
                <wp:docPr id="30" name="Connecteur droit avec flèche 30"/>
                <wp:cNvGraphicFramePr/>
                <a:graphic xmlns:a="http://schemas.openxmlformats.org/drawingml/2006/main">
                  <a:graphicData uri="http://schemas.microsoft.com/office/word/2010/wordprocessingShape">
                    <wps:wsp>
                      <wps:cNvCnPr/>
                      <wps:spPr>
                        <a:xfrm>
                          <a:off x="0" y="0"/>
                          <a:ext cx="0" cy="26543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B6B555" id="Connecteur droit avec flèche 30" o:spid="_x0000_s1026" type="#_x0000_t32" style="position:absolute;margin-left:607.2pt;margin-top:15.1pt;width:0;height:20.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" strokecolor="#4579b8 [3044]">
                <v:stroke endarrow="open"/>
              </v:shape>
            </w:pict>
          </mc:Fallback>
        </mc:AlternateContent>
      </w:r>
      <w:r w:rsidR="00277D84" w:rsidRPr="00BF29A2">
        <w:rPr>
          <w:rFonts w:cstheme="minorHAnsi"/>
          <w:noProof/>
          <w:sz w:val="24"/>
          <w:szCs w:val="24"/>
          <w:lang w:eastAsia="fr-FR"/>
        </w:rPr>
        <mc:AlternateContent>
          <mc:Choice Requires="wps">
            <w:drawing>
              <wp:anchor distT="0" distB="0" distL="114300" distR="114300" simplePos="0" relativeHeight="251679744" behindDoc="0" locked="0" layoutInCell="1" allowOverlap="1" wp14:anchorId="5AD59F3A" wp14:editId="504A6B48">
                <wp:simplePos x="0" y="0"/>
                <wp:positionH relativeFrom="column">
                  <wp:posOffset>2990850</wp:posOffset>
                </wp:positionH>
                <wp:positionV relativeFrom="paragraph">
                  <wp:posOffset>202565</wp:posOffset>
                </wp:positionV>
                <wp:extent cx="1562100" cy="243840"/>
                <wp:effectExtent l="38100" t="0" r="19050" b="99060"/>
                <wp:wrapNone/>
                <wp:docPr id="22" name="Connecteur droit avec flèche 22"/>
                <wp:cNvGraphicFramePr/>
                <a:graphic xmlns:a="http://schemas.openxmlformats.org/drawingml/2006/main">
                  <a:graphicData uri="http://schemas.microsoft.com/office/word/2010/wordprocessingShape">
                    <wps:wsp>
                      <wps:cNvCnPr/>
                      <wps:spPr>
                        <a:xfrm flipH="1">
                          <a:off x="0" y="0"/>
                          <a:ext cx="1562100" cy="2438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C26BBD" id="Connecteur droit avec flèche 22" o:spid="_x0000_s1026" type="#_x0000_t32" style="position:absolute;margin-left:235.5pt;margin-top:15.95pt;width:123pt;height:19.2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" strokecolor="#4579b8 [3044]">
                <v:stroke endarrow="open"/>
              </v:shape>
            </w:pict>
          </mc:Fallback>
        </mc:AlternateContent>
      </w:r>
      <w:r w:rsidR="00277D84" w:rsidRPr="00BF29A2">
        <w:rPr>
          <w:rFonts w:cstheme="minorHAnsi"/>
          <w:noProof/>
          <w:sz w:val="24"/>
          <w:szCs w:val="24"/>
          <w:lang w:eastAsia="fr-FR"/>
        </w:rPr>
        <mc:AlternateContent>
          <mc:Choice Requires="wps">
            <w:drawing>
              <wp:anchor distT="0" distB="0" distL="114300" distR="114300" simplePos="0" relativeHeight="251680768" behindDoc="0" locked="0" layoutInCell="1" allowOverlap="1" wp14:anchorId="5202829F" wp14:editId="4559E2F5">
                <wp:simplePos x="0" y="0"/>
                <wp:positionH relativeFrom="column">
                  <wp:posOffset>906780</wp:posOffset>
                </wp:positionH>
                <wp:positionV relativeFrom="paragraph">
                  <wp:posOffset>191770</wp:posOffset>
                </wp:positionV>
                <wp:extent cx="2827655" cy="286385"/>
                <wp:effectExtent l="38100" t="0" r="10795" b="94615"/>
                <wp:wrapNone/>
                <wp:docPr id="23" name="Connecteur droit avec flèche 23"/>
                <wp:cNvGraphicFramePr/>
                <a:graphic xmlns:a="http://schemas.openxmlformats.org/drawingml/2006/main">
                  <a:graphicData uri="http://schemas.microsoft.com/office/word/2010/wordprocessingShape">
                    <wps:wsp>
                      <wps:cNvCnPr/>
                      <wps:spPr>
                        <a:xfrm flipH="1">
                          <a:off x="0" y="0"/>
                          <a:ext cx="2827655" cy="2863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69CDB3" id="Connecteur droit avec flèche 23" o:spid="_x0000_s1026" type="#_x0000_t32" style="position:absolute;margin-left:71.4pt;margin-top:15.1pt;width:222.65pt;height:22.5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" strokecolor="#4579b8 [3044]">
                <v:stroke endarrow="open"/>
              </v:shape>
            </w:pict>
          </mc:Fallback>
        </mc:AlternateContent>
      </w:r>
      <w:r w:rsidR="00277D84" w:rsidRPr="00BF29A2">
        <w:rPr>
          <w:rFonts w:cstheme="minorHAnsi"/>
          <w:noProof/>
          <w:sz w:val="24"/>
          <w:szCs w:val="24"/>
          <w:lang w:eastAsia="fr-FR"/>
        </w:rPr>
        <mc:AlternateContent>
          <mc:Choice Requires="wps">
            <w:drawing>
              <wp:anchor distT="0" distB="0" distL="114300" distR="114300" simplePos="0" relativeHeight="251683840" behindDoc="0" locked="0" layoutInCell="1" allowOverlap="1" wp14:anchorId="246498A3" wp14:editId="42407191">
                <wp:simplePos x="0" y="0"/>
                <wp:positionH relativeFrom="column">
                  <wp:posOffset>4915535</wp:posOffset>
                </wp:positionH>
                <wp:positionV relativeFrom="paragraph">
                  <wp:posOffset>202565</wp:posOffset>
                </wp:positionV>
                <wp:extent cx="179705" cy="276860"/>
                <wp:effectExtent l="0" t="0" r="48895" b="66040"/>
                <wp:wrapNone/>
                <wp:docPr id="28" name="Connecteur droit avec flèche 28"/>
                <wp:cNvGraphicFramePr/>
                <a:graphic xmlns:a="http://schemas.openxmlformats.org/drawingml/2006/main">
                  <a:graphicData uri="http://schemas.microsoft.com/office/word/2010/wordprocessingShape">
                    <wps:wsp>
                      <wps:cNvCnPr/>
                      <wps:spPr>
                        <a:xfrm>
                          <a:off x="0" y="0"/>
                          <a:ext cx="179705" cy="2768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A1D792" id="Connecteur droit avec flèche 28" o:spid="_x0000_s1026" type="#_x0000_t32" style="position:absolute;margin-left:387.05pt;margin-top:15.95pt;width:14.15pt;height:2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" strokecolor="#4579b8 [3044]">
                <v:stroke endarrow="open"/>
              </v:shape>
            </w:pict>
          </mc:Fallback>
        </mc:AlternateContent>
      </w:r>
      <w:r w:rsidR="00277D84" w:rsidRPr="00BF29A2">
        <w:rPr>
          <w:rFonts w:cstheme="minorHAnsi"/>
          <w:noProof/>
          <w:sz w:val="24"/>
          <w:szCs w:val="24"/>
          <w:lang w:eastAsia="fr-FR"/>
        </w:rPr>
        <mc:AlternateContent>
          <mc:Choice Requires="wps">
            <w:drawing>
              <wp:anchor distT="0" distB="0" distL="114300" distR="114300" simplePos="0" relativeHeight="251682816" behindDoc="0" locked="0" layoutInCell="1" allowOverlap="1" wp14:anchorId="3D51A509" wp14:editId="0035308D">
                <wp:simplePos x="0" y="0"/>
                <wp:positionH relativeFrom="column">
                  <wp:posOffset>2331720</wp:posOffset>
                </wp:positionH>
                <wp:positionV relativeFrom="paragraph">
                  <wp:posOffset>202565</wp:posOffset>
                </wp:positionV>
                <wp:extent cx="1849755" cy="255270"/>
                <wp:effectExtent l="0" t="0" r="74295" b="87630"/>
                <wp:wrapNone/>
                <wp:docPr id="26" name="Connecteur droit avec flèche 26"/>
                <wp:cNvGraphicFramePr/>
                <a:graphic xmlns:a="http://schemas.openxmlformats.org/drawingml/2006/main">
                  <a:graphicData uri="http://schemas.microsoft.com/office/word/2010/wordprocessingShape">
                    <wps:wsp>
                      <wps:cNvCnPr/>
                      <wps:spPr>
                        <a:xfrm>
                          <a:off x="0" y="0"/>
                          <a:ext cx="1849755" cy="2552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D06A86" id="Connecteur droit avec flèche 26" o:spid="_x0000_s1026" type="#_x0000_t32" style="position:absolute;margin-left:183.6pt;margin-top:15.95pt;width:145.65pt;height:20.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" strokecolor="#4579b8 [3044]">
                <v:stroke endarrow="open"/>
              </v:shape>
            </w:pict>
          </mc:Fallback>
        </mc:AlternateContent>
      </w:r>
      <w:r w:rsidR="00277D84" w:rsidRPr="00BF29A2">
        <w:rPr>
          <w:rFonts w:cstheme="minorHAnsi"/>
          <w:noProof/>
          <w:sz w:val="24"/>
          <w:szCs w:val="24"/>
          <w:lang w:eastAsia="fr-FR"/>
        </w:rPr>
        <mc:AlternateContent>
          <mc:Choice Requires="wps">
            <w:drawing>
              <wp:anchor distT="0" distB="0" distL="114300" distR="114300" simplePos="0" relativeHeight="251681792" behindDoc="0" locked="0" layoutInCell="1" allowOverlap="1" wp14:anchorId="13944261" wp14:editId="39C33CB6">
                <wp:simplePos x="0" y="0"/>
                <wp:positionH relativeFrom="column">
                  <wp:posOffset>2331720</wp:posOffset>
                </wp:positionH>
                <wp:positionV relativeFrom="paragraph">
                  <wp:posOffset>191135</wp:posOffset>
                </wp:positionV>
                <wp:extent cx="626745" cy="266065"/>
                <wp:effectExtent l="0" t="0" r="78105" b="76835"/>
                <wp:wrapNone/>
                <wp:docPr id="24" name="Connecteur droit avec flèche 24"/>
                <wp:cNvGraphicFramePr/>
                <a:graphic xmlns:a="http://schemas.openxmlformats.org/drawingml/2006/main">
                  <a:graphicData uri="http://schemas.microsoft.com/office/word/2010/wordprocessingShape">
                    <wps:wsp>
                      <wps:cNvCnPr/>
                      <wps:spPr>
                        <a:xfrm>
                          <a:off x="0" y="0"/>
                          <a:ext cx="626745" cy="2660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7E579F" id="Connecteur droit avec flèche 24" o:spid="_x0000_s1026" type="#_x0000_t32" style="position:absolute;margin-left:183.6pt;margin-top:15.05pt;width:49.35pt;height:20.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" strokecolor="#4579b8 [3044]">
                <v:stroke endarrow="open"/>
              </v:shape>
            </w:pict>
          </mc:Fallback>
        </mc:AlternateContent>
      </w:r>
      <w:r w:rsidR="00277D84" w:rsidRPr="00BF29A2">
        <w:rPr>
          <w:rFonts w:cstheme="minorHAnsi"/>
          <w:noProof/>
          <w:sz w:val="24"/>
          <w:szCs w:val="24"/>
          <w:lang w:eastAsia="fr-FR"/>
        </w:rPr>
        <mc:AlternateContent>
          <mc:Choice Requires="wps">
            <w:drawing>
              <wp:anchor distT="0" distB="0" distL="114300" distR="114300" simplePos="0" relativeHeight="251678720" behindDoc="0" locked="0" layoutInCell="1" allowOverlap="1" wp14:anchorId="11FCE02D" wp14:editId="2D30E408">
                <wp:simplePos x="0" y="0"/>
                <wp:positionH relativeFrom="column">
                  <wp:posOffset>768350</wp:posOffset>
                </wp:positionH>
                <wp:positionV relativeFrom="paragraph">
                  <wp:posOffset>201295</wp:posOffset>
                </wp:positionV>
                <wp:extent cx="318770" cy="245745"/>
                <wp:effectExtent l="38100" t="0" r="24130" b="59055"/>
                <wp:wrapNone/>
                <wp:docPr id="21" name="Connecteur droit avec flèche 21"/>
                <wp:cNvGraphicFramePr/>
                <a:graphic xmlns:a="http://schemas.openxmlformats.org/drawingml/2006/main">
                  <a:graphicData uri="http://schemas.microsoft.com/office/word/2010/wordprocessingShape">
                    <wps:wsp>
                      <wps:cNvCnPr/>
                      <wps:spPr>
                        <a:xfrm flipH="1">
                          <a:off x="0" y="0"/>
                          <a:ext cx="318770" cy="2457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86990B" id="Connecteur droit avec flèche 21" o:spid="_x0000_s1026" type="#_x0000_t32" style="position:absolute;margin-left:60.5pt;margin-top:15.85pt;width:25.1pt;height:19.3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" strokecolor="#4579b8 [3044]">
                <v:stroke endarrow="open"/>
              </v:shape>
            </w:pict>
          </mc:Fallback>
        </mc:AlternateContent>
      </w:r>
      <w:r w:rsidR="00515C25" w:rsidRPr="00BF29A2">
        <w:rPr>
          <w:rFonts w:cstheme="minorHAnsi"/>
          <w:b/>
          <w:i/>
          <w:sz w:val="24"/>
          <w:szCs w:val="24"/>
        </w:rPr>
        <w:br w:type="page"/>
      </w:r>
    </w:p>
    <w:p w14:paraId="018ACC6E" w14:textId="77777777" w:rsidR="004B2E69" w:rsidRPr="00BF29A2" w:rsidRDefault="004B2E69" w:rsidP="003F3FAC">
      <w:pPr>
        <w:rPr>
          <w:rFonts w:cstheme="minorHAnsi"/>
          <w:b/>
          <w:i/>
          <w:sz w:val="24"/>
          <w:szCs w:val="24"/>
        </w:rPr>
        <w:sectPr w:rsidR="004B2E69" w:rsidRPr="00BF29A2" w:rsidSect="004B2E69">
          <w:pgSz w:w="16838" w:h="11906" w:orient="landscape"/>
          <w:pgMar w:top="1418" w:right="1418" w:bottom="1418" w:left="1418" w:header="709" w:footer="709" w:gutter="0"/>
          <w:cols w:space="708"/>
          <w:docGrid w:linePitch="360"/>
        </w:sectPr>
      </w:pPr>
    </w:p>
    <w:p w14:paraId="44D15A92" w14:textId="77777777" w:rsidR="00122B15" w:rsidRDefault="00122B15" w:rsidP="00122B15">
      <w:pPr>
        <w:pStyle w:val="Titre1"/>
      </w:pPr>
      <w:bookmarkStart w:id="30" w:name="_Toc21449031"/>
      <w:r>
        <w:t>Hypothèses et risques</w:t>
      </w:r>
      <w:bookmarkEnd w:id="30"/>
    </w:p>
    <w:p w14:paraId="2E8C7F3D" w14:textId="77777777" w:rsidR="003F3FAC" w:rsidRPr="00BF29A2" w:rsidRDefault="00122B15" w:rsidP="00BF29A2">
      <w:pPr>
        <w:pStyle w:val="Titre2"/>
      </w:pPr>
      <w:bookmarkStart w:id="31" w:name="_Toc21449032"/>
      <w:r>
        <w:t xml:space="preserve">Hypothèse </w:t>
      </w:r>
      <w:r w:rsidR="008D5D3A">
        <w:t>n°</w:t>
      </w:r>
      <w:r>
        <w:t xml:space="preserve">1 : plus de santé est obtenu avec </w:t>
      </w:r>
      <w:r w:rsidR="003F3FAC" w:rsidRPr="00BF29A2">
        <w:t xml:space="preserve">l’argent </w:t>
      </w:r>
      <w:r>
        <w:t xml:space="preserve">disponible, </w:t>
      </w:r>
      <w:r w:rsidR="003F3FAC" w:rsidRPr="00BF29A2">
        <w:t xml:space="preserve">et plus </w:t>
      </w:r>
      <w:r>
        <w:t xml:space="preserve">de ressources publiques nationales sont mises à disposition </w:t>
      </w:r>
      <w:r w:rsidR="003F3FAC" w:rsidRPr="00BF29A2">
        <w:t>pour la santé</w:t>
      </w:r>
      <w:bookmarkEnd w:id="31"/>
      <w:r w:rsidR="003F3FAC" w:rsidRPr="00BF29A2">
        <w:t xml:space="preserve"> </w:t>
      </w:r>
    </w:p>
    <w:p w14:paraId="5EFA1130" w14:textId="77777777" w:rsidR="003F3FAC" w:rsidRPr="00BF29A2" w:rsidRDefault="003F3FAC" w:rsidP="003F3FAC">
      <w:pPr>
        <w:pStyle w:val="Paragraphedeliste"/>
        <w:ind w:left="1134"/>
        <w:rPr>
          <w:rFonts w:cstheme="minorHAnsi"/>
          <w:sz w:val="24"/>
          <w:szCs w:val="24"/>
        </w:rPr>
      </w:pPr>
    </w:p>
    <w:p w14:paraId="3A7249F6" w14:textId="77777777" w:rsidR="003F3FAC" w:rsidRPr="00C847ED" w:rsidRDefault="003F3FAC" w:rsidP="003F3FAC">
      <w:pPr>
        <w:pStyle w:val="Paragraphedeliste"/>
        <w:numPr>
          <w:ilvl w:val="0"/>
          <w:numId w:val="4"/>
        </w:numPr>
        <w:rPr>
          <w:rFonts w:cstheme="minorHAnsi"/>
          <w:b/>
          <w:sz w:val="24"/>
          <w:szCs w:val="24"/>
        </w:rPr>
      </w:pPr>
      <w:r w:rsidRPr="00C847ED">
        <w:rPr>
          <w:rFonts w:cstheme="minorHAnsi"/>
          <w:b/>
          <w:sz w:val="24"/>
          <w:szCs w:val="24"/>
        </w:rPr>
        <w:t>Amélioration de l’efficience à tous les niveaux</w:t>
      </w:r>
    </w:p>
    <w:p w14:paraId="4D8C2EF2" w14:textId="77777777" w:rsidR="0051115C" w:rsidRPr="0051115C" w:rsidRDefault="0051115C" w:rsidP="0051115C">
      <w:pPr>
        <w:rPr>
          <w:rFonts w:cstheme="minorHAnsi"/>
          <w:i/>
          <w:sz w:val="24"/>
          <w:szCs w:val="24"/>
        </w:rPr>
      </w:pPr>
      <w:r w:rsidRPr="0051115C">
        <w:rPr>
          <w:rFonts w:cstheme="minorHAnsi"/>
          <w:i/>
          <w:sz w:val="24"/>
          <w:szCs w:val="24"/>
        </w:rPr>
        <w:t>La mise en œuvre effective de la réforme des budget-programmes</w:t>
      </w:r>
    </w:p>
    <w:p w14:paraId="15F1C5D2" w14:textId="77777777" w:rsidR="00A01B4C" w:rsidRDefault="00A01B4C" w:rsidP="00A01B4C">
      <w:pPr>
        <w:rPr>
          <w:rFonts w:cstheme="minorHAnsi"/>
          <w:sz w:val="24"/>
          <w:szCs w:val="24"/>
        </w:rPr>
      </w:pPr>
      <w:r>
        <w:rPr>
          <w:rFonts w:cstheme="minorHAnsi"/>
          <w:sz w:val="24"/>
          <w:szCs w:val="24"/>
        </w:rPr>
        <w:t>La meilleure façon d’accroître l’assiette fiscale et d’améliorer l’efficience des dépenses. Or au Niger une réforme phare de la gestion des finances publiques est initiée, qui vise une gestion basée sur les résultats. La réforme des budgets-programme se présente comme la manière la plus structurelle d’améliorer l’efficience des dépenses de la CSU.</w:t>
      </w:r>
    </w:p>
    <w:p w14:paraId="773EBCD6" w14:textId="77777777" w:rsidR="00A01B4C" w:rsidRPr="00A01B4C" w:rsidRDefault="00A01B4C" w:rsidP="00A01B4C">
      <w:pPr>
        <w:rPr>
          <w:rFonts w:cstheme="minorHAnsi"/>
          <w:sz w:val="24"/>
          <w:szCs w:val="24"/>
        </w:rPr>
      </w:pPr>
      <w:r>
        <w:rPr>
          <w:rFonts w:cstheme="minorHAnsi"/>
          <w:sz w:val="24"/>
          <w:szCs w:val="24"/>
        </w:rPr>
        <w:t>Cette réforme</w:t>
      </w:r>
      <w:r w:rsidR="0051115C">
        <w:rPr>
          <w:rFonts w:cstheme="minorHAnsi"/>
          <w:sz w:val="24"/>
          <w:szCs w:val="24"/>
        </w:rPr>
        <w:t xml:space="preserve"> passe par une volonté politique et un effort redoublé de coopération entre les départements </w:t>
      </w:r>
      <w:r>
        <w:rPr>
          <w:rFonts w:cstheme="minorHAnsi"/>
          <w:sz w:val="24"/>
          <w:szCs w:val="24"/>
        </w:rPr>
        <w:t xml:space="preserve">sectoriels </w:t>
      </w:r>
      <w:r w:rsidR="0051115C">
        <w:rPr>
          <w:rFonts w:cstheme="minorHAnsi"/>
          <w:sz w:val="24"/>
          <w:szCs w:val="24"/>
        </w:rPr>
        <w:t xml:space="preserve">(à commencer par le Ministère de la Santé) et le Ministère des Finances. </w:t>
      </w:r>
      <w:r w:rsidR="0051115C" w:rsidRPr="00A01B4C">
        <w:rPr>
          <w:rFonts w:cstheme="minorHAnsi"/>
          <w:sz w:val="24"/>
          <w:szCs w:val="24"/>
        </w:rPr>
        <w:t xml:space="preserve">Les  ressources des ministères sectoriels  </w:t>
      </w:r>
      <w:r w:rsidRPr="00A01B4C">
        <w:rPr>
          <w:rFonts w:cstheme="minorHAnsi"/>
          <w:sz w:val="24"/>
          <w:szCs w:val="24"/>
        </w:rPr>
        <w:t>devront</w:t>
      </w:r>
      <w:r w:rsidR="0051115C" w:rsidRPr="00A01B4C">
        <w:rPr>
          <w:rFonts w:cstheme="minorHAnsi"/>
          <w:sz w:val="24"/>
          <w:szCs w:val="24"/>
        </w:rPr>
        <w:t xml:space="preserve">  être  gérées par les responsables des programmes</w:t>
      </w:r>
      <w:r w:rsidRPr="00A01B4C">
        <w:rPr>
          <w:rFonts w:cstheme="minorHAnsi"/>
          <w:sz w:val="24"/>
          <w:szCs w:val="24"/>
        </w:rPr>
        <w:t> ; il s’agira</w:t>
      </w:r>
      <w:r w:rsidR="0051115C" w:rsidRPr="00A01B4C">
        <w:rPr>
          <w:rFonts w:cstheme="minorHAnsi"/>
          <w:sz w:val="24"/>
          <w:szCs w:val="24"/>
        </w:rPr>
        <w:t xml:space="preserve"> de mettre la stratégie de déconcentration de l'ordonnancement en œuvre et de respecter la séparation des pouvoirs.</w:t>
      </w:r>
      <w:r w:rsidRPr="00A01B4C">
        <w:rPr>
          <w:rFonts w:cstheme="minorHAnsi"/>
          <w:sz w:val="24"/>
          <w:szCs w:val="24"/>
        </w:rPr>
        <w:t xml:space="preserve"> Il faudra également adapter les différe</w:t>
      </w:r>
      <w:r>
        <w:rPr>
          <w:rFonts w:cstheme="minorHAnsi"/>
          <w:sz w:val="24"/>
          <w:szCs w:val="24"/>
        </w:rPr>
        <w:t xml:space="preserve">nts outils de rapportage annuel, assurer une plus grande </w:t>
      </w:r>
      <w:r w:rsidRPr="00A01B4C">
        <w:rPr>
          <w:rFonts w:cstheme="minorHAnsi"/>
          <w:sz w:val="24"/>
          <w:szCs w:val="24"/>
        </w:rPr>
        <w:t>utilisation des solutions numériques</w:t>
      </w:r>
      <w:r>
        <w:rPr>
          <w:rFonts w:cstheme="minorHAnsi"/>
          <w:sz w:val="24"/>
          <w:szCs w:val="24"/>
        </w:rPr>
        <w:t>, et</w:t>
      </w:r>
      <w:r w:rsidRPr="00A01B4C">
        <w:rPr>
          <w:rFonts w:cstheme="minorHAnsi"/>
          <w:sz w:val="24"/>
          <w:szCs w:val="24"/>
        </w:rPr>
        <w:t xml:space="preserve"> mettre en place le cadre de suivi de la performance.</w:t>
      </w:r>
    </w:p>
    <w:p w14:paraId="3CDF5CBF" w14:textId="77777777" w:rsidR="00A01B4C" w:rsidRPr="005B3F52" w:rsidRDefault="005B3F52" w:rsidP="00A01B4C">
      <w:pPr>
        <w:rPr>
          <w:rFonts w:cstheme="minorHAnsi"/>
          <w:i/>
          <w:sz w:val="24"/>
          <w:szCs w:val="24"/>
        </w:rPr>
      </w:pPr>
      <w:r w:rsidRPr="005B3F52">
        <w:rPr>
          <w:rFonts w:cstheme="minorHAnsi"/>
          <w:i/>
          <w:sz w:val="24"/>
          <w:szCs w:val="24"/>
        </w:rPr>
        <w:t>L’utilisation optimum des financements dans le choix des dépenses</w:t>
      </w:r>
    </w:p>
    <w:p w14:paraId="5FF5E0BA" w14:textId="77777777" w:rsidR="0051115C" w:rsidRPr="0051115C" w:rsidRDefault="005B3F52" w:rsidP="00C847ED">
      <w:pPr>
        <w:rPr>
          <w:rFonts w:cstheme="minorHAnsi"/>
          <w:sz w:val="24"/>
          <w:szCs w:val="24"/>
        </w:rPr>
      </w:pPr>
      <w:r>
        <w:rPr>
          <w:rFonts w:cstheme="minorHAnsi"/>
          <w:sz w:val="24"/>
          <w:szCs w:val="24"/>
        </w:rPr>
        <w:t>Dans le secteur de la santé</w:t>
      </w:r>
      <w:r w:rsidR="00C847ED">
        <w:rPr>
          <w:rFonts w:cstheme="minorHAnsi"/>
          <w:sz w:val="24"/>
          <w:szCs w:val="24"/>
        </w:rPr>
        <w:t xml:space="preserve"> et les secteurs connexes</w:t>
      </w:r>
      <w:r>
        <w:rPr>
          <w:rFonts w:cstheme="minorHAnsi"/>
          <w:sz w:val="24"/>
          <w:szCs w:val="24"/>
        </w:rPr>
        <w:t xml:space="preserve">, l’efficience consiste aussi en l’achat stratégique, c’est-à-dire l’allocation de ressources et l’achat de services dans le sens d’un optimum de santé. Parmi les orientations plus précises, </w:t>
      </w:r>
      <w:r w:rsidR="00C847ED">
        <w:rPr>
          <w:rFonts w:cstheme="minorHAnsi"/>
          <w:sz w:val="24"/>
          <w:szCs w:val="24"/>
        </w:rPr>
        <w:t xml:space="preserve">on soulignera le choix des interventions à haut impact, l’importance de mettre l’accent sur la prévention et l’éducation à la santé, ou encore la recherche d’efficience dans les administrations publiques. Pour tout cela, la décentralisation </w:t>
      </w:r>
      <w:r>
        <w:rPr>
          <w:rFonts w:cstheme="minorHAnsi"/>
          <w:sz w:val="24"/>
          <w:szCs w:val="24"/>
        </w:rPr>
        <w:t xml:space="preserve"> </w:t>
      </w:r>
      <w:r w:rsidR="00C847ED">
        <w:rPr>
          <w:rFonts w:cstheme="minorHAnsi"/>
          <w:sz w:val="24"/>
          <w:szCs w:val="24"/>
        </w:rPr>
        <w:t>est encore une orientation fondamentale qui rapproche les politiques et les financements des besoins de la population.</w:t>
      </w:r>
    </w:p>
    <w:p w14:paraId="76BB3B80" w14:textId="77777777" w:rsidR="003F3FAC" w:rsidRPr="00C847ED" w:rsidRDefault="003F3FAC" w:rsidP="00C847ED">
      <w:pPr>
        <w:pStyle w:val="Paragraphedeliste"/>
        <w:numPr>
          <w:ilvl w:val="0"/>
          <w:numId w:val="4"/>
        </w:numPr>
        <w:rPr>
          <w:rFonts w:cstheme="minorHAnsi"/>
          <w:b/>
          <w:sz w:val="24"/>
          <w:szCs w:val="24"/>
        </w:rPr>
      </w:pPr>
      <w:r w:rsidRPr="00C847ED">
        <w:rPr>
          <w:rFonts w:cstheme="minorHAnsi"/>
          <w:b/>
          <w:sz w:val="24"/>
          <w:szCs w:val="24"/>
        </w:rPr>
        <w:t>Améliorat</w:t>
      </w:r>
      <w:r w:rsidR="00EE2796">
        <w:rPr>
          <w:rFonts w:cstheme="minorHAnsi"/>
          <w:b/>
          <w:sz w:val="24"/>
          <w:szCs w:val="24"/>
        </w:rPr>
        <w:t>ion du financement domestique de l’</w:t>
      </w:r>
      <w:r w:rsidRPr="00C847ED">
        <w:rPr>
          <w:rFonts w:cstheme="minorHAnsi"/>
          <w:b/>
          <w:sz w:val="24"/>
          <w:szCs w:val="24"/>
        </w:rPr>
        <w:t xml:space="preserve">Etat </w:t>
      </w:r>
    </w:p>
    <w:p w14:paraId="07E687FA" w14:textId="77777777" w:rsidR="00C847ED" w:rsidRDefault="00C847ED" w:rsidP="00C847ED">
      <w:pPr>
        <w:rPr>
          <w:rFonts w:cstheme="minorHAnsi"/>
          <w:sz w:val="24"/>
          <w:szCs w:val="24"/>
        </w:rPr>
      </w:pPr>
      <w:r w:rsidRPr="00C847ED">
        <w:rPr>
          <w:rFonts w:cstheme="minorHAnsi"/>
          <w:sz w:val="24"/>
          <w:szCs w:val="24"/>
        </w:rPr>
        <w:t>La Couverture Sanitaire Universelle</w:t>
      </w:r>
      <w:r>
        <w:rPr>
          <w:rFonts w:cstheme="minorHAnsi"/>
          <w:sz w:val="24"/>
          <w:szCs w:val="24"/>
        </w:rPr>
        <w:t xml:space="preserve">, parce qu’elle se veut universelle, requière une redistribution des moyens. Cette redistribution est le fait de l’Etat, que ce soit par l’impôt ou les prélèvements obligatoires. Qui plus est, le poids de la santé et des conditions de bien être dans l’économie est tel qu’une partie importante de la richesse doit être orientée vers elles. </w:t>
      </w:r>
    </w:p>
    <w:p w14:paraId="31FB39A5" w14:textId="77777777" w:rsidR="00CF451D" w:rsidRPr="00CF451D" w:rsidRDefault="00CF451D" w:rsidP="00C847ED">
      <w:pPr>
        <w:rPr>
          <w:rFonts w:cstheme="minorHAnsi"/>
          <w:i/>
          <w:sz w:val="24"/>
          <w:szCs w:val="24"/>
        </w:rPr>
      </w:pPr>
      <w:r w:rsidRPr="00CF451D">
        <w:rPr>
          <w:rFonts w:cstheme="minorHAnsi"/>
          <w:i/>
          <w:sz w:val="24"/>
          <w:szCs w:val="24"/>
        </w:rPr>
        <w:t>Objectif de dépenses publiques en santé :</w:t>
      </w:r>
    </w:p>
    <w:p w14:paraId="0DDF2EC9" w14:textId="77777777" w:rsidR="00C847ED" w:rsidRDefault="00C847ED" w:rsidP="00C847ED">
      <w:pPr>
        <w:rPr>
          <w:rFonts w:cstheme="minorHAnsi"/>
          <w:sz w:val="24"/>
          <w:szCs w:val="24"/>
        </w:rPr>
      </w:pPr>
      <w:r>
        <w:rPr>
          <w:rFonts w:cstheme="minorHAnsi"/>
          <w:sz w:val="24"/>
          <w:szCs w:val="24"/>
        </w:rPr>
        <w:t xml:space="preserve">La santé seule représente plus de 10% du PNB mondial ; or il ne s’agit pas dépenses non productives. Au contraire, il est prouvé que l’investissement en santé et une source de richesse, non seulement </w:t>
      </w:r>
      <w:r w:rsidR="00CF451D">
        <w:rPr>
          <w:rFonts w:cstheme="minorHAnsi"/>
          <w:sz w:val="24"/>
          <w:szCs w:val="24"/>
        </w:rPr>
        <w:t xml:space="preserve">parce que la bonne santé est une condition de capacité de production des individus, mais aussi parce que le secteur est un grand pourvoyeur d’emplois directs et indirects. </w:t>
      </w:r>
    </w:p>
    <w:p w14:paraId="46127F34" w14:textId="77777777" w:rsidR="00CF451D" w:rsidRDefault="00CF451D" w:rsidP="00C847ED">
      <w:pPr>
        <w:rPr>
          <w:rFonts w:cstheme="minorHAnsi"/>
          <w:sz w:val="24"/>
          <w:szCs w:val="24"/>
        </w:rPr>
      </w:pPr>
      <w:r>
        <w:rPr>
          <w:rFonts w:cstheme="minorHAnsi"/>
          <w:sz w:val="24"/>
          <w:szCs w:val="24"/>
        </w:rPr>
        <w:t>La récente déclaration sur la CSU aux Nations Unies déjà citée donne un objectif de 5% du PIB pour les dépenses publiques en santé. Aujourd’hui, le Niger s</w:t>
      </w:r>
      <w:r w:rsidR="00E630C0">
        <w:rPr>
          <w:rFonts w:cstheme="minorHAnsi"/>
          <w:sz w:val="24"/>
          <w:szCs w:val="24"/>
        </w:rPr>
        <w:t>’</w:t>
      </w:r>
      <w:r>
        <w:rPr>
          <w:rFonts w:cstheme="minorHAnsi"/>
          <w:sz w:val="24"/>
          <w:szCs w:val="24"/>
        </w:rPr>
        <w:t>e</w:t>
      </w:r>
      <w:r w:rsidR="00E630C0">
        <w:rPr>
          <w:rFonts w:cstheme="minorHAnsi"/>
          <w:sz w:val="24"/>
          <w:szCs w:val="24"/>
        </w:rPr>
        <w:t>st situé</w:t>
      </w:r>
      <w:r>
        <w:rPr>
          <w:rFonts w:cstheme="minorHAnsi"/>
          <w:sz w:val="24"/>
          <w:szCs w:val="24"/>
        </w:rPr>
        <w:t xml:space="preserve"> </w:t>
      </w:r>
      <w:r w:rsidR="00E972F3">
        <w:rPr>
          <w:rFonts w:cstheme="minorHAnsi"/>
          <w:sz w:val="24"/>
          <w:szCs w:val="24"/>
        </w:rPr>
        <w:t>légèrement au-dessus</w:t>
      </w:r>
      <w:r w:rsidRPr="00E972F3">
        <w:rPr>
          <w:rFonts w:cstheme="minorHAnsi"/>
          <w:sz w:val="24"/>
          <w:szCs w:val="24"/>
        </w:rPr>
        <w:t xml:space="preserve"> de 2%</w:t>
      </w:r>
      <w:r w:rsidR="00E630C0">
        <w:rPr>
          <w:rFonts w:cstheme="minorHAnsi"/>
          <w:sz w:val="24"/>
          <w:szCs w:val="24"/>
        </w:rPr>
        <w:t xml:space="preserve"> entre 2010 et 2016. D’après les CNS 2017, le dernier chiffre serait de 3.521%</w:t>
      </w:r>
      <w:r w:rsidR="00E630C0">
        <w:rPr>
          <w:rStyle w:val="Appelnotedebasdep"/>
          <w:rFonts w:cstheme="minorHAnsi"/>
          <w:sz w:val="24"/>
          <w:szCs w:val="24"/>
        </w:rPr>
        <w:footnoteReference w:id="12"/>
      </w:r>
      <w:r w:rsidRPr="00E972F3">
        <w:rPr>
          <w:rFonts w:cstheme="minorHAnsi"/>
          <w:sz w:val="24"/>
          <w:szCs w:val="24"/>
        </w:rPr>
        <w:t xml:space="preserve">. </w:t>
      </w:r>
      <w:r>
        <w:rPr>
          <w:rFonts w:cstheme="minorHAnsi"/>
          <w:sz w:val="24"/>
          <w:szCs w:val="24"/>
        </w:rPr>
        <w:t xml:space="preserve">Le tableau suivant montre </w:t>
      </w:r>
      <w:r w:rsidR="00E630C0">
        <w:rPr>
          <w:rFonts w:cstheme="minorHAnsi"/>
          <w:sz w:val="24"/>
          <w:szCs w:val="24"/>
        </w:rPr>
        <w:t xml:space="preserve">l’historique et </w:t>
      </w:r>
      <w:r>
        <w:rPr>
          <w:rFonts w:cstheme="minorHAnsi"/>
          <w:sz w:val="24"/>
          <w:szCs w:val="24"/>
        </w:rPr>
        <w:t>l’objectif d’évolution de ce taux dans l’optique d’atteindre l’engagement de la déclaration :</w:t>
      </w:r>
    </w:p>
    <w:p w14:paraId="4EA6D1D8" w14:textId="77777777" w:rsidR="00CF451D" w:rsidRPr="00CF451D" w:rsidRDefault="00CF451D" w:rsidP="00C847ED">
      <w:pPr>
        <w:rPr>
          <w:rFonts w:cstheme="minorHAnsi"/>
          <w:sz w:val="24"/>
          <w:szCs w:val="24"/>
          <w:u w:val="single"/>
        </w:rPr>
      </w:pPr>
      <w:r w:rsidRPr="00CF451D">
        <w:rPr>
          <w:rFonts w:cstheme="minorHAnsi"/>
          <w:sz w:val="24"/>
          <w:szCs w:val="24"/>
          <w:u w:val="single"/>
        </w:rPr>
        <w:t>Tableau : évolution de la part des dépenses publiques consacrées à la santé dans le PIB</w:t>
      </w:r>
      <w:r w:rsidR="00F31360">
        <w:rPr>
          <w:rStyle w:val="Appelnotedebasdep"/>
          <w:rFonts w:cstheme="minorHAnsi"/>
          <w:sz w:val="24"/>
          <w:szCs w:val="24"/>
          <w:u w:val="single"/>
        </w:rPr>
        <w:footnoteReference w:id="13"/>
      </w:r>
    </w:p>
    <w:p w14:paraId="70CD3125" w14:textId="77777777" w:rsidR="00CF451D" w:rsidRDefault="00EE2796" w:rsidP="00C847ED">
      <w:pPr>
        <w:rPr>
          <w:rFonts w:cstheme="minorHAnsi"/>
          <w:sz w:val="24"/>
          <w:szCs w:val="24"/>
        </w:rPr>
      </w:pPr>
      <w:r>
        <w:rPr>
          <w:rFonts w:cstheme="minorHAnsi"/>
          <w:noProof/>
          <w:sz w:val="24"/>
          <w:szCs w:val="24"/>
          <w:lang w:eastAsia="fr-FR"/>
        </w:rPr>
        <w:drawing>
          <wp:inline distT="0" distB="0" distL="0" distR="0" wp14:anchorId="47A8DDE6" wp14:editId="345595F9">
            <wp:extent cx="6261100" cy="1859280"/>
            <wp:effectExtent l="0" t="0" r="6350" b="762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61100" cy="1859280"/>
                    </a:xfrm>
                    <a:prstGeom prst="rect">
                      <a:avLst/>
                    </a:prstGeom>
                    <a:noFill/>
                  </pic:spPr>
                </pic:pic>
              </a:graphicData>
            </a:graphic>
          </wp:inline>
        </w:drawing>
      </w:r>
    </w:p>
    <w:p w14:paraId="0AE344F1" w14:textId="77777777" w:rsidR="00CF451D" w:rsidRDefault="00C32BEA" w:rsidP="00C847ED">
      <w:pPr>
        <w:rPr>
          <w:rFonts w:cstheme="minorHAnsi"/>
          <w:sz w:val="24"/>
          <w:szCs w:val="24"/>
        </w:rPr>
      </w:pPr>
      <w:r w:rsidRPr="00C32BEA">
        <w:rPr>
          <w:rFonts w:cstheme="minorHAnsi"/>
          <w:i/>
          <w:sz w:val="24"/>
          <w:szCs w:val="24"/>
          <w:u w:val="single"/>
        </w:rPr>
        <w:t>Source</w:t>
      </w:r>
      <w:r>
        <w:rPr>
          <w:rFonts w:cstheme="minorHAnsi"/>
          <w:sz w:val="24"/>
          <w:szCs w:val="24"/>
        </w:rPr>
        <w:t> : Comptes Nationaux de la Santé</w:t>
      </w:r>
    </w:p>
    <w:p w14:paraId="4BD885A0" w14:textId="77777777" w:rsidR="00CF451D" w:rsidRPr="00CF451D" w:rsidRDefault="00CF451D" w:rsidP="00C847ED">
      <w:pPr>
        <w:rPr>
          <w:rFonts w:cstheme="minorHAnsi"/>
          <w:i/>
          <w:sz w:val="24"/>
          <w:szCs w:val="24"/>
        </w:rPr>
      </w:pPr>
      <w:r w:rsidRPr="00CF451D">
        <w:rPr>
          <w:rFonts w:cstheme="minorHAnsi"/>
          <w:i/>
          <w:sz w:val="24"/>
          <w:szCs w:val="24"/>
        </w:rPr>
        <w:t>Objectif de dépenses publiques pour la CSU</w:t>
      </w:r>
    </w:p>
    <w:p w14:paraId="4C8B2E2E" w14:textId="77777777" w:rsidR="00CF451D" w:rsidRDefault="00CF451D" w:rsidP="00C847ED">
      <w:pPr>
        <w:rPr>
          <w:rFonts w:cstheme="minorHAnsi"/>
          <w:sz w:val="24"/>
          <w:szCs w:val="24"/>
        </w:rPr>
      </w:pPr>
      <w:r>
        <w:rPr>
          <w:rFonts w:cstheme="minorHAnsi"/>
          <w:sz w:val="24"/>
          <w:szCs w:val="24"/>
        </w:rPr>
        <w:t>Etendu à la CSU, cette réflexion explicite l’impérative nécessité et l’opportunité que représente pour l’Etat le financement de la CSU. Il s’agit en soit de financer le bien-être de la population, de le faire universellement – donc d’œuvrer pour la consolidation des fondements d’une société ou d’un Etat-nation -, et de le faire dans le cadre d’une économie productive, productive de bien-être.</w:t>
      </w:r>
    </w:p>
    <w:p w14:paraId="12777980" w14:textId="77777777" w:rsidR="00F31360" w:rsidRDefault="00CF451D">
      <w:pPr>
        <w:rPr>
          <w:rFonts w:cstheme="minorHAnsi"/>
          <w:sz w:val="24"/>
          <w:szCs w:val="24"/>
        </w:rPr>
      </w:pPr>
      <w:r w:rsidRPr="00C32BEA">
        <w:rPr>
          <w:rFonts w:cstheme="minorHAnsi"/>
          <w:sz w:val="24"/>
          <w:szCs w:val="24"/>
        </w:rPr>
        <w:t xml:space="preserve">L’initiative SUN </w:t>
      </w:r>
      <w:r w:rsidR="00C32BEA">
        <w:rPr>
          <w:rFonts w:cstheme="minorHAnsi"/>
          <w:sz w:val="24"/>
          <w:szCs w:val="24"/>
        </w:rPr>
        <w:t>propose</w:t>
      </w:r>
      <w:r w:rsidRPr="00C32BEA">
        <w:rPr>
          <w:rFonts w:cstheme="minorHAnsi"/>
          <w:sz w:val="24"/>
          <w:szCs w:val="24"/>
        </w:rPr>
        <w:t xml:space="preserve"> un suivi des dépenses de la lutte </w:t>
      </w:r>
      <w:r w:rsidR="00C32BEA">
        <w:rPr>
          <w:rFonts w:cstheme="minorHAnsi"/>
          <w:sz w:val="24"/>
          <w:szCs w:val="24"/>
        </w:rPr>
        <w:t xml:space="preserve">contre la malnutrition dans tous les secteurs avec une méthodologie intéressante qui pondère chaque intervention. </w:t>
      </w:r>
      <w:r>
        <w:rPr>
          <w:rFonts w:cstheme="minorHAnsi"/>
          <w:sz w:val="24"/>
          <w:szCs w:val="24"/>
        </w:rPr>
        <w:t xml:space="preserve">Un exercice de suivi du budget consacré à la CSU pourrait être fait, qui s’inspirera de la méthodologie développée dans le cadre de la lutte contre la malnutrition. </w:t>
      </w:r>
    </w:p>
    <w:p w14:paraId="0C7CCE5D" w14:textId="77777777" w:rsidR="00F31360" w:rsidRDefault="00F31360">
      <w:pPr>
        <w:rPr>
          <w:rFonts w:cstheme="minorHAnsi"/>
          <w:sz w:val="24"/>
          <w:szCs w:val="24"/>
        </w:rPr>
      </w:pPr>
      <w:r>
        <w:rPr>
          <w:rFonts w:cstheme="minorHAnsi"/>
          <w:sz w:val="24"/>
          <w:szCs w:val="24"/>
        </w:rPr>
        <w:br w:type="page"/>
      </w:r>
    </w:p>
    <w:p w14:paraId="2B05755E" w14:textId="77777777" w:rsidR="003F3FAC" w:rsidRDefault="00122B15" w:rsidP="00C32BEA">
      <w:pPr>
        <w:pStyle w:val="Titre2"/>
        <w:rPr>
          <w:rStyle w:val="Titre2Car"/>
          <w:b/>
          <w:bCs/>
        </w:rPr>
      </w:pPr>
      <w:bookmarkStart w:id="32" w:name="_Toc21449033"/>
      <w:r>
        <w:rPr>
          <w:rStyle w:val="Titre2Car"/>
          <w:b/>
          <w:bCs/>
        </w:rPr>
        <w:t>Hypothèse n°2 : l</w:t>
      </w:r>
      <w:r w:rsidR="003F3FAC" w:rsidRPr="00BF29A2">
        <w:rPr>
          <w:rStyle w:val="Titre2Car"/>
          <w:b/>
          <w:bCs/>
        </w:rPr>
        <w:t xml:space="preserve">e dialogue </w:t>
      </w:r>
      <w:r>
        <w:rPr>
          <w:rStyle w:val="Titre2Car"/>
          <w:b/>
          <w:bCs/>
        </w:rPr>
        <w:t xml:space="preserve">national dans toutes ses dimensions est amélioré, y compris le dialogue </w:t>
      </w:r>
      <w:r w:rsidR="003F3FAC" w:rsidRPr="00BF29A2">
        <w:rPr>
          <w:rStyle w:val="Titre2Car"/>
          <w:b/>
          <w:bCs/>
        </w:rPr>
        <w:t>politique, social et sociétal</w:t>
      </w:r>
      <w:r w:rsidR="00B835AF">
        <w:rPr>
          <w:rStyle w:val="Titre2Car"/>
          <w:b/>
          <w:bCs/>
        </w:rPr>
        <w:t>, et l’intégration de la problématique du genre</w:t>
      </w:r>
      <w:bookmarkEnd w:id="32"/>
      <w:r>
        <w:rPr>
          <w:rStyle w:val="Titre2Car"/>
          <w:b/>
          <w:bCs/>
        </w:rPr>
        <w:t xml:space="preserve"> </w:t>
      </w:r>
    </w:p>
    <w:p w14:paraId="0B7457BD" w14:textId="77777777" w:rsidR="00122B15" w:rsidRPr="00122B15" w:rsidRDefault="00122B15" w:rsidP="00122B15"/>
    <w:p w14:paraId="0956B72B" w14:textId="77777777" w:rsidR="003F3FAC" w:rsidRPr="002F723B" w:rsidRDefault="003F3FAC" w:rsidP="003F3FAC">
      <w:pPr>
        <w:pStyle w:val="Paragraphedeliste"/>
        <w:numPr>
          <w:ilvl w:val="1"/>
          <w:numId w:val="3"/>
        </w:numPr>
        <w:ind w:left="1843" w:hanging="425"/>
        <w:rPr>
          <w:rFonts w:cstheme="minorHAnsi"/>
          <w:b/>
          <w:sz w:val="24"/>
          <w:szCs w:val="24"/>
        </w:rPr>
      </w:pPr>
      <w:r w:rsidRPr="002F723B">
        <w:rPr>
          <w:rFonts w:cstheme="minorHAnsi"/>
          <w:b/>
          <w:sz w:val="24"/>
          <w:szCs w:val="24"/>
        </w:rPr>
        <w:t>L’intersectorialité</w:t>
      </w:r>
    </w:p>
    <w:p w14:paraId="5EBDA75D" w14:textId="77777777" w:rsidR="00CF451D" w:rsidRDefault="00CF451D" w:rsidP="00CF451D">
      <w:pPr>
        <w:rPr>
          <w:rFonts w:cstheme="minorHAnsi"/>
          <w:sz w:val="24"/>
          <w:szCs w:val="24"/>
        </w:rPr>
      </w:pPr>
      <w:r>
        <w:rPr>
          <w:rFonts w:cstheme="minorHAnsi"/>
          <w:sz w:val="24"/>
          <w:szCs w:val="24"/>
        </w:rPr>
        <w:t xml:space="preserve">La santé doit être de toutes les politiques, et la CSU est davantage encore une question d’intersectorialité. </w:t>
      </w:r>
    </w:p>
    <w:p w14:paraId="2CCA8436" w14:textId="77777777" w:rsidR="00CF451D" w:rsidRPr="00CF451D" w:rsidRDefault="00CF451D" w:rsidP="00CF451D">
      <w:pPr>
        <w:rPr>
          <w:rFonts w:cstheme="minorHAnsi"/>
          <w:sz w:val="24"/>
          <w:szCs w:val="24"/>
        </w:rPr>
      </w:pPr>
      <w:r>
        <w:rPr>
          <w:rFonts w:cstheme="minorHAnsi"/>
          <w:sz w:val="24"/>
          <w:szCs w:val="24"/>
        </w:rPr>
        <w:t>Une condition de réussite de la stratégie CSU tiendra à la capacité de l’administration à travailler de manière intersectorielle. Ceci signifie qu’il faut poursuivre les efforts pour trouver des moyens de collaborer entre Ministères et Institutions de l’Etat qui dépassent les cadres administratifs rigides</w:t>
      </w:r>
      <w:r w:rsidR="002F723B">
        <w:rPr>
          <w:rFonts w:cstheme="minorHAnsi"/>
          <w:sz w:val="24"/>
          <w:szCs w:val="24"/>
        </w:rPr>
        <w:t xml:space="preserve"> et développent des conditions de redevabilité – soit intersectoriels soit sectoriel dans le cadre d’activités intersectorielles (cf. également infra chapitre suivi/évaluation).</w:t>
      </w:r>
    </w:p>
    <w:p w14:paraId="703ED4E5" w14:textId="77777777" w:rsidR="003F3FAC" w:rsidRPr="002F723B" w:rsidRDefault="003F3FAC" w:rsidP="003F3FAC">
      <w:pPr>
        <w:pStyle w:val="Paragraphedeliste"/>
        <w:numPr>
          <w:ilvl w:val="1"/>
          <w:numId w:val="3"/>
        </w:numPr>
        <w:ind w:left="1843" w:hanging="425"/>
        <w:rPr>
          <w:rFonts w:cstheme="minorHAnsi"/>
          <w:b/>
          <w:sz w:val="24"/>
          <w:szCs w:val="24"/>
        </w:rPr>
      </w:pPr>
      <w:r w:rsidRPr="002F723B">
        <w:rPr>
          <w:rFonts w:cstheme="minorHAnsi"/>
          <w:b/>
          <w:sz w:val="24"/>
          <w:szCs w:val="24"/>
        </w:rPr>
        <w:t xml:space="preserve">Le dialogue </w:t>
      </w:r>
      <w:r w:rsidR="002F723B">
        <w:rPr>
          <w:rFonts w:cstheme="minorHAnsi"/>
          <w:b/>
          <w:sz w:val="24"/>
          <w:szCs w:val="24"/>
        </w:rPr>
        <w:t>social</w:t>
      </w:r>
      <w:r w:rsidRPr="002F723B">
        <w:rPr>
          <w:rFonts w:cstheme="minorHAnsi"/>
          <w:b/>
          <w:sz w:val="24"/>
          <w:szCs w:val="24"/>
        </w:rPr>
        <w:t xml:space="preserve"> et le partenariat public-privé</w:t>
      </w:r>
    </w:p>
    <w:p w14:paraId="357A47C2" w14:textId="77777777" w:rsidR="002F723B" w:rsidRDefault="002F723B" w:rsidP="002F723B">
      <w:pPr>
        <w:rPr>
          <w:rFonts w:cstheme="minorHAnsi"/>
          <w:sz w:val="24"/>
          <w:szCs w:val="24"/>
        </w:rPr>
      </w:pPr>
      <w:r>
        <w:rPr>
          <w:rFonts w:cstheme="minorHAnsi"/>
          <w:sz w:val="24"/>
          <w:szCs w:val="24"/>
        </w:rPr>
        <w:t>La CSU est un paradigme qui en appelle à la volonté politique mais qui ne peut être qu’un projet de société, soit un défi qui ne peut être porté que par la volonté du pays dans son ensemble d’aller vers le bien-être et d’y aller tous ensemble, c’est-à-dire en usant de solidarité.</w:t>
      </w:r>
    </w:p>
    <w:p w14:paraId="2F1FACFA" w14:textId="77777777" w:rsidR="002F723B" w:rsidRPr="002F723B" w:rsidRDefault="002F723B" w:rsidP="002F723B">
      <w:pPr>
        <w:rPr>
          <w:rFonts w:cstheme="minorHAnsi"/>
          <w:sz w:val="24"/>
          <w:szCs w:val="24"/>
        </w:rPr>
      </w:pPr>
      <w:r>
        <w:rPr>
          <w:rFonts w:cstheme="minorHAnsi"/>
          <w:sz w:val="24"/>
          <w:szCs w:val="24"/>
        </w:rPr>
        <w:t>Aussi le dialogue avec les corps constitués, avec les représentants des travailleurs, ou encore avec le secteur privé, est un dialogue qui doit être nourri pour que chacun tienne son rôle dans la tenue de l’objectif CSU.</w:t>
      </w:r>
    </w:p>
    <w:p w14:paraId="6D3BC1F1" w14:textId="77777777" w:rsidR="003F3FAC" w:rsidRPr="002F723B" w:rsidRDefault="003F3FAC" w:rsidP="003F3FAC">
      <w:pPr>
        <w:pStyle w:val="Paragraphedeliste"/>
        <w:numPr>
          <w:ilvl w:val="1"/>
          <w:numId w:val="3"/>
        </w:numPr>
        <w:ind w:left="1843" w:hanging="425"/>
        <w:rPr>
          <w:rFonts w:cstheme="minorHAnsi"/>
          <w:b/>
          <w:sz w:val="24"/>
          <w:szCs w:val="24"/>
        </w:rPr>
      </w:pPr>
      <w:r w:rsidRPr="002F723B">
        <w:rPr>
          <w:rFonts w:cstheme="minorHAnsi"/>
          <w:b/>
          <w:sz w:val="24"/>
          <w:szCs w:val="24"/>
        </w:rPr>
        <w:t>L’implication des populations</w:t>
      </w:r>
    </w:p>
    <w:p w14:paraId="288C3390" w14:textId="77777777" w:rsidR="002F723B" w:rsidRPr="002F723B" w:rsidRDefault="002F723B" w:rsidP="002F723B">
      <w:pPr>
        <w:rPr>
          <w:rFonts w:cstheme="minorHAnsi"/>
          <w:sz w:val="24"/>
          <w:szCs w:val="24"/>
        </w:rPr>
      </w:pPr>
      <w:r>
        <w:rPr>
          <w:rFonts w:cstheme="minorHAnsi"/>
          <w:sz w:val="24"/>
          <w:szCs w:val="24"/>
        </w:rPr>
        <w:t xml:space="preserve">Pour les mêmes raisons, les populations dans leur ensemble doivent faire partie du projet CSU. Celles-ci peuvent être impliquées notamment dans le cadre de la décentralisation, au niveau de la santé communautaire, dans le cadre des mutuelles de santé et autres guichets du tiers payant en santé ouverts </w:t>
      </w:r>
      <w:r w:rsidR="00EE2796">
        <w:rPr>
          <w:rFonts w:cstheme="minorHAnsi"/>
          <w:sz w:val="24"/>
          <w:szCs w:val="24"/>
        </w:rPr>
        <w:t>aux</w:t>
      </w:r>
      <w:r>
        <w:rPr>
          <w:rFonts w:cstheme="minorHAnsi"/>
          <w:sz w:val="24"/>
          <w:szCs w:val="24"/>
        </w:rPr>
        <w:t xml:space="preserve"> bénéficiaires, dans le dialogue avec les prestataires de services de santé…</w:t>
      </w:r>
      <w:r w:rsidR="00533028">
        <w:rPr>
          <w:rFonts w:cstheme="minorHAnsi"/>
          <w:sz w:val="24"/>
          <w:szCs w:val="24"/>
        </w:rPr>
        <w:t>Cela nécessitera l’adoption d’une nouvelle approche de la participation communautaire, qui mettrait mieux celle-ci au centre des actions de santé à la base.</w:t>
      </w:r>
    </w:p>
    <w:p w14:paraId="25A2DC47" w14:textId="77777777" w:rsidR="00B835AF" w:rsidRPr="002F723B" w:rsidRDefault="00B835AF" w:rsidP="003F3FAC">
      <w:pPr>
        <w:pStyle w:val="Paragraphedeliste"/>
        <w:numPr>
          <w:ilvl w:val="1"/>
          <w:numId w:val="3"/>
        </w:numPr>
        <w:ind w:left="1843" w:hanging="425"/>
        <w:rPr>
          <w:rFonts w:cstheme="minorHAnsi"/>
          <w:b/>
          <w:sz w:val="24"/>
          <w:szCs w:val="24"/>
        </w:rPr>
      </w:pPr>
      <w:r w:rsidRPr="002F723B">
        <w:rPr>
          <w:rFonts w:cstheme="minorHAnsi"/>
          <w:b/>
          <w:sz w:val="24"/>
          <w:szCs w:val="24"/>
        </w:rPr>
        <w:t>Prise en compte de la question du « genre »</w:t>
      </w:r>
    </w:p>
    <w:p w14:paraId="73E955C6" w14:textId="77777777" w:rsidR="008E735C" w:rsidRPr="00BF29A2" w:rsidRDefault="002F723B">
      <w:pPr>
        <w:rPr>
          <w:rFonts w:cstheme="minorHAnsi"/>
          <w:sz w:val="24"/>
          <w:szCs w:val="24"/>
        </w:rPr>
      </w:pPr>
      <w:r>
        <w:rPr>
          <w:rFonts w:cstheme="minorHAnsi"/>
          <w:sz w:val="24"/>
          <w:szCs w:val="24"/>
        </w:rPr>
        <w:t xml:space="preserve">Il a été dit que l’éducation est peut-être première dans l’atteinte de la CSU, parce que seuls une appréciation personnelle et </w:t>
      </w:r>
      <w:r w:rsidR="00442F08">
        <w:rPr>
          <w:rFonts w:cstheme="minorHAnsi"/>
          <w:sz w:val="24"/>
          <w:szCs w:val="24"/>
        </w:rPr>
        <w:t>un</w:t>
      </w:r>
      <w:r>
        <w:rPr>
          <w:rFonts w:cstheme="minorHAnsi"/>
          <w:sz w:val="24"/>
          <w:szCs w:val="24"/>
        </w:rPr>
        <w:t xml:space="preserve"> engagement individuel permettront à la population d’être en bonne santé. La question du genre s’inscrit dès l’éducation</w:t>
      </w:r>
      <w:r w:rsidR="00F951F9">
        <w:rPr>
          <w:rFonts w:cstheme="minorHAnsi"/>
          <w:sz w:val="24"/>
          <w:szCs w:val="24"/>
        </w:rPr>
        <w:t> : selon le Partenariat mondial pour l’éducation en 2015</w:t>
      </w:r>
      <w:r w:rsidR="00533028">
        <w:rPr>
          <w:rFonts w:cstheme="minorHAnsi"/>
          <w:sz w:val="24"/>
          <w:szCs w:val="24"/>
        </w:rPr>
        <w:t xml:space="preserve">, </w:t>
      </w:r>
      <w:r w:rsidR="00F951F9">
        <w:rPr>
          <w:rFonts w:cstheme="minorHAnsi"/>
          <w:sz w:val="24"/>
          <w:szCs w:val="24"/>
        </w:rPr>
        <w:t xml:space="preserve"> 62,2% des filles ont terminé l’école primaire contre 75,5% des garçons et le taux d’achèvement du premier cycle du secondaire s’élevait quant à lui à 13% pour les filles contre 18% pour les garçons</w:t>
      </w:r>
      <w:r>
        <w:rPr>
          <w:rFonts w:cstheme="minorHAnsi"/>
          <w:sz w:val="24"/>
          <w:szCs w:val="24"/>
        </w:rPr>
        <w:t>. Plus généralement, la préoccupation constante à la question de la participation des femmes à la stratégie CSU est une condition de réussite de celle-ci.</w:t>
      </w:r>
    </w:p>
    <w:p w14:paraId="598C7FCB" w14:textId="77777777" w:rsidR="003F3FAC" w:rsidRDefault="00122B15" w:rsidP="00FB412A">
      <w:pPr>
        <w:pStyle w:val="Titre2"/>
      </w:pPr>
      <w:bookmarkStart w:id="33" w:name="_Toc21449034"/>
      <w:r>
        <w:t>Hypothèse n°3 : les défis de la CSU étant profondément adaptatifs, tout est mis en œuvre pour un meilleur l</w:t>
      </w:r>
      <w:r w:rsidR="003F3FAC" w:rsidRPr="00BF29A2">
        <w:t>eadership</w:t>
      </w:r>
      <w:bookmarkEnd w:id="33"/>
      <w:r w:rsidR="008B7F98" w:rsidRPr="00BF29A2">
        <w:t xml:space="preserve"> </w:t>
      </w:r>
    </w:p>
    <w:p w14:paraId="7E0F7A1D" w14:textId="77777777" w:rsidR="00122B15" w:rsidRPr="00122B15" w:rsidRDefault="00122B15" w:rsidP="00122B15"/>
    <w:p w14:paraId="32CCB5E7" w14:textId="77777777" w:rsidR="003F3FAC" w:rsidRPr="00D069F1" w:rsidRDefault="0089724C" w:rsidP="00D069F1">
      <w:pPr>
        <w:pStyle w:val="Paragraphedeliste"/>
        <w:numPr>
          <w:ilvl w:val="0"/>
          <w:numId w:val="35"/>
        </w:numPr>
        <w:rPr>
          <w:rFonts w:cstheme="minorHAnsi"/>
          <w:i/>
          <w:sz w:val="24"/>
          <w:szCs w:val="24"/>
        </w:rPr>
      </w:pPr>
      <w:r>
        <w:rPr>
          <w:rFonts w:cstheme="minorHAnsi"/>
          <w:i/>
          <w:sz w:val="24"/>
          <w:szCs w:val="24"/>
        </w:rPr>
        <w:t xml:space="preserve">Leadership et </w:t>
      </w:r>
      <w:r w:rsidR="003F3FAC" w:rsidRPr="00D069F1">
        <w:rPr>
          <w:rFonts w:cstheme="minorHAnsi"/>
          <w:i/>
          <w:sz w:val="24"/>
          <w:szCs w:val="24"/>
        </w:rPr>
        <w:t>exemplarité</w:t>
      </w:r>
    </w:p>
    <w:p w14:paraId="726B330F" w14:textId="77777777" w:rsidR="0089724C" w:rsidRDefault="00D069F1" w:rsidP="00D069F1">
      <w:pPr>
        <w:rPr>
          <w:rFonts w:cstheme="minorHAnsi"/>
          <w:sz w:val="24"/>
          <w:szCs w:val="24"/>
        </w:rPr>
      </w:pPr>
      <w:r>
        <w:rPr>
          <w:rFonts w:cstheme="minorHAnsi"/>
          <w:sz w:val="24"/>
          <w:szCs w:val="24"/>
        </w:rPr>
        <w:t xml:space="preserve">Les différents diagnostics sectoriels et celui transversal de la CSU souligne l’importance du leadership pour avancer. Ceci peut être résumé par l’importance de la prise de conscience individuelle et la prise de responsabilités collectives </w:t>
      </w:r>
      <w:r w:rsidR="00DA72FF">
        <w:rPr>
          <w:rFonts w:cstheme="minorHAnsi"/>
          <w:sz w:val="24"/>
          <w:szCs w:val="24"/>
        </w:rPr>
        <w:t>sur la base de</w:t>
      </w:r>
      <w:r>
        <w:rPr>
          <w:rFonts w:cstheme="minorHAnsi"/>
          <w:sz w:val="24"/>
          <w:szCs w:val="24"/>
        </w:rPr>
        <w:t xml:space="preserve"> valeur</w:t>
      </w:r>
      <w:r w:rsidR="00DA72FF">
        <w:rPr>
          <w:rFonts w:cstheme="minorHAnsi"/>
          <w:sz w:val="24"/>
          <w:szCs w:val="24"/>
        </w:rPr>
        <w:t>s</w:t>
      </w:r>
      <w:r>
        <w:rPr>
          <w:rFonts w:cstheme="minorHAnsi"/>
          <w:sz w:val="24"/>
          <w:szCs w:val="24"/>
        </w:rPr>
        <w:t xml:space="preserve"> pour un changement national.</w:t>
      </w:r>
    </w:p>
    <w:p w14:paraId="1592C5FB" w14:textId="77777777" w:rsidR="00D069F1" w:rsidRDefault="0089724C" w:rsidP="00D069F1">
      <w:pPr>
        <w:rPr>
          <w:rFonts w:cstheme="minorHAnsi"/>
          <w:sz w:val="24"/>
          <w:szCs w:val="24"/>
        </w:rPr>
      </w:pPr>
      <w:r>
        <w:rPr>
          <w:rFonts w:cstheme="minorHAnsi"/>
          <w:sz w:val="24"/>
          <w:szCs w:val="24"/>
        </w:rPr>
        <w:t>La création d’une dynamique nationale en faveur de la CSU part alors de soi, en tant que chacun est acteur potentiel de changement et que le changement commence par soi. Si l</w:t>
      </w:r>
      <w:r w:rsidR="00D069F1">
        <w:rPr>
          <w:rFonts w:cstheme="minorHAnsi"/>
          <w:sz w:val="24"/>
          <w:szCs w:val="24"/>
        </w:rPr>
        <w:t xml:space="preserve">e leadership est appelé à jouer un rôle fondamental dans l’atteinte de la CSU, </w:t>
      </w:r>
      <w:r>
        <w:rPr>
          <w:rFonts w:cstheme="minorHAnsi"/>
          <w:sz w:val="24"/>
          <w:szCs w:val="24"/>
        </w:rPr>
        <w:t>c’est aussi</w:t>
      </w:r>
      <w:r w:rsidR="00D069F1">
        <w:rPr>
          <w:rFonts w:cstheme="minorHAnsi"/>
          <w:sz w:val="24"/>
          <w:szCs w:val="24"/>
        </w:rPr>
        <w:t xml:space="preserve"> par l’exemplarité. Chacun à son niveau doit se montrer en cohérence dans l’attention à sa </w:t>
      </w:r>
      <w:r>
        <w:rPr>
          <w:rFonts w:cstheme="minorHAnsi"/>
          <w:sz w:val="24"/>
          <w:szCs w:val="24"/>
        </w:rPr>
        <w:t>propre santé, et</w:t>
      </w:r>
      <w:r w:rsidR="00D069F1">
        <w:rPr>
          <w:rFonts w:cstheme="minorHAnsi"/>
          <w:sz w:val="24"/>
          <w:szCs w:val="24"/>
        </w:rPr>
        <w:t xml:space="preserve"> dans la recherche de performance et d’efficience de ses</w:t>
      </w:r>
      <w:r>
        <w:rPr>
          <w:rFonts w:cstheme="minorHAnsi"/>
          <w:sz w:val="24"/>
          <w:szCs w:val="24"/>
        </w:rPr>
        <w:t xml:space="preserve"> propres</w:t>
      </w:r>
      <w:r w:rsidR="00D069F1">
        <w:rPr>
          <w:rFonts w:cstheme="minorHAnsi"/>
          <w:sz w:val="24"/>
          <w:szCs w:val="24"/>
        </w:rPr>
        <w:t xml:space="preserve"> actions.</w:t>
      </w:r>
    </w:p>
    <w:p w14:paraId="3AC1E7A7" w14:textId="77777777" w:rsidR="0089724C" w:rsidRPr="00D069F1" w:rsidRDefault="0089724C" w:rsidP="00D069F1">
      <w:pPr>
        <w:rPr>
          <w:rFonts w:cstheme="minorHAnsi"/>
          <w:sz w:val="24"/>
          <w:szCs w:val="24"/>
        </w:rPr>
      </w:pPr>
      <w:r>
        <w:rPr>
          <w:rFonts w:cstheme="minorHAnsi"/>
          <w:sz w:val="24"/>
          <w:szCs w:val="24"/>
        </w:rPr>
        <w:t>L’engagement collectif peut alors se faire sur la base de l’écoute,</w:t>
      </w:r>
      <w:r w:rsidRPr="0089724C">
        <w:rPr>
          <w:rFonts w:cstheme="minorHAnsi"/>
          <w:sz w:val="24"/>
          <w:szCs w:val="24"/>
        </w:rPr>
        <w:t xml:space="preserve"> </w:t>
      </w:r>
      <w:r>
        <w:rPr>
          <w:rFonts w:cstheme="minorHAnsi"/>
          <w:sz w:val="24"/>
          <w:szCs w:val="24"/>
        </w:rPr>
        <w:t xml:space="preserve">de la compréhension de la perspective différente de l’autre dans ce domaine complexe et multiacteurs, de la réalité et de l’existant, et le meilleur chemin est pris pour aller de l’avant.  </w:t>
      </w:r>
    </w:p>
    <w:p w14:paraId="3BE0D7B9" w14:textId="77777777" w:rsidR="00D069F1" w:rsidRPr="00D069F1" w:rsidRDefault="003F3FAC" w:rsidP="00D069F1">
      <w:pPr>
        <w:pStyle w:val="Paragraphedeliste"/>
        <w:numPr>
          <w:ilvl w:val="0"/>
          <w:numId w:val="35"/>
        </w:numPr>
        <w:rPr>
          <w:rFonts w:cstheme="minorHAnsi"/>
          <w:i/>
          <w:sz w:val="24"/>
          <w:szCs w:val="24"/>
        </w:rPr>
      </w:pPr>
      <w:r w:rsidRPr="00D069F1">
        <w:rPr>
          <w:rFonts w:cstheme="minorHAnsi"/>
          <w:i/>
          <w:sz w:val="24"/>
          <w:szCs w:val="24"/>
        </w:rPr>
        <w:t>La responsabilité et la déontologie</w:t>
      </w:r>
    </w:p>
    <w:p w14:paraId="3BC096D2" w14:textId="77777777" w:rsidR="00B17550" w:rsidRDefault="00D069F1">
      <w:pPr>
        <w:rPr>
          <w:rFonts w:cstheme="minorHAnsi"/>
          <w:sz w:val="24"/>
          <w:szCs w:val="24"/>
        </w:rPr>
      </w:pPr>
      <w:r>
        <w:rPr>
          <w:rFonts w:cstheme="minorHAnsi"/>
          <w:sz w:val="24"/>
          <w:szCs w:val="24"/>
        </w:rPr>
        <w:t xml:space="preserve">Lorsqu’il s’agit de santé et plus généralement d’intervenir dans les domaines vitaux des populations, </w:t>
      </w:r>
      <w:r w:rsidR="0089724C">
        <w:rPr>
          <w:rFonts w:cstheme="minorHAnsi"/>
          <w:sz w:val="24"/>
          <w:szCs w:val="24"/>
        </w:rPr>
        <w:t xml:space="preserve">le leadership signifie aussi rapidement </w:t>
      </w:r>
      <w:r>
        <w:rPr>
          <w:rFonts w:cstheme="minorHAnsi"/>
          <w:sz w:val="24"/>
          <w:szCs w:val="24"/>
        </w:rPr>
        <w:t>la responsabilité et la déontologie. La prise en charge de l’individu, son éducation ou son accompagnement requièrent un haut niveau d’éthique.</w:t>
      </w:r>
    </w:p>
    <w:p w14:paraId="6666BC1F" w14:textId="77777777" w:rsidR="00FB412A" w:rsidRDefault="0089724C" w:rsidP="00FB412A">
      <w:pPr>
        <w:pStyle w:val="Titre2"/>
      </w:pPr>
      <w:bookmarkStart w:id="34" w:name="_Toc21449035"/>
      <w:r>
        <w:t>Hypothèse n°</w:t>
      </w:r>
      <w:r w:rsidR="00ED1638">
        <w:t>4</w:t>
      </w:r>
      <w:r>
        <w:t xml:space="preserve"> : </w:t>
      </w:r>
      <w:r w:rsidR="00FB412A" w:rsidRPr="00FB412A">
        <w:t xml:space="preserve">Evolution </w:t>
      </w:r>
      <w:r>
        <w:t>favorable</w:t>
      </w:r>
      <w:r w:rsidR="00FB412A" w:rsidRPr="00FB412A">
        <w:t xml:space="preserve"> de la société</w:t>
      </w:r>
      <w:r w:rsidR="000F7DCB">
        <w:t xml:space="preserve"> sur le plan démographique et éducatif / culturel</w:t>
      </w:r>
      <w:bookmarkEnd w:id="34"/>
    </w:p>
    <w:p w14:paraId="0E4BD632" w14:textId="77777777" w:rsidR="0089724C" w:rsidRPr="0089724C" w:rsidRDefault="0089724C" w:rsidP="0089724C"/>
    <w:p w14:paraId="0E64E2FB" w14:textId="77777777" w:rsidR="00FB412A" w:rsidRPr="00FB412A" w:rsidRDefault="00FB412A" w:rsidP="00FB412A">
      <w:pPr>
        <w:pStyle w:val="Paragraphedeliste"/>
        <w:numPr>
          <w:ilvl w:val="0"/>
          <w:numId w:val="45"/>
        </w:numPr>
        <w:rPr>
          <w:rFonts w:cstheme="minorHAnsi"/>
          <w:i/>
          <w:sz w:val="24"/>
          <w:szCs w:val="24"/>
        </w:rPr>
      </w:pPr>
      <w:r w:rsidRPr="00FB412A">
        <w:rPr>
          <w:rFonts w:cstheme="minorHAnsi"/>
          <w:i/>
          <w:sz w:val="24"/>
          <w:szCs w:val="24"/>
        </w:rPr>
        <w:t>Amélioration du dividende démographique</w:t>
      </w:r>
    </w:p>
    <w:p w14:paraId="4F646E1B" w14:textId="77777777" w:rsidR="00FB412A" w:rsidRDefault="00FB412A" w:rsidP="00FB412A">
      <w:pPr>
        <w:spacing w:after="160" w:line="259" w:lineRule="auto"/>
        <w:rPr>
          <w:rFonts w:cstheme="minorHAnsi"/>
          <w:sz w:val="24"/>
          <w:szCs w:val="24"/>
        </w:rPr>
      </w:pPr>
      <w:r>
        <w:rPr>
          <w:rFonts w:cstheme="minorHAnsi"/>
          <w:sz w:val="24"/>
          <w:szCs w:val="24"/>
        </w:rPr>
        <w:t xml:space="preserve">L’une des dimensions de la couverture sanitaire universelle est justement l’universalité. Le développement de la CSU est notamment jugé à l’aune de la population qui bénéficie de soins de santé de qualité sans encourir de difficulté financière. Dans ce cadre, le rapport entre la population qui participe à l’effort et la population qui bénéficie des avantages est crucial. Ce rapport n’est aujourd’hui que peu favorable au Niger, où </w:t>
      </w:r>
      <w:r w:rsidRPr="001040FA">
        <w:rPr>
          <w:rFonts w:cstheme="minorHAnsi"/>
          <w:sz w:val="24"/>
          <w:szCs w:val="24"/>
        </w:rPr>
        <w:t>La population se caractérise par sa jeunesse, 15 ans en moyenne, conséquence d’un taux de natalité très élevé. 19 % de la population est âgée de moins de 5 ans</w:t>
      </w:r>
      <w:r>
        <w:rPr>
          <w:rFonts w:cstheme="minorHAnsi"/>
          <w:sz w:val="24"/>
          <w:szCs w:val="24"/>
        </w:rPr>
        <w:t>.</w:t>
      </w:r>
    </w:p>
    <w:p w14:paraId="5AE0E11E" w14:textId="77777777" w:rsidR="00FB412A" w:rsidRPr="00DC4B54" w:rsidRDefault="00FB412A" w:rsidP="00FB412A">
      <w:pPr>
        <w:spacing w:after="160" w:line="259" w:lineRule="auto"/>
        <w:rPr>
          <w:rFonts w:cstheme="minorHAnsi"/>
          <w:sz w:val="24"/>
          <w:szCs w:val="24"/>
        </w:rPr>
      </w:pPr>
      <w:r>
        <w:rPr>
          <w:rFonts w:cstheme="minorHAnsi"/>
          <w:sz w:val="24"/>
          <w:szCs w:val="24"/>
        </w:rPr>
        <w:t>Aussi dans un contexte de contraintes au niveau des ressources, et dans un environnement menacé par le changement climatique et autres pressions extérieures, une meilleur maîtrise du taux « personnes productives / personnes dépendantes » sera un atout certain. Ceci passe avant tout par l’éducation, mais peut faire l’objet de stratégies multiples, que le paradigme de CSU peut aider à porter.</w:t>
      </w:r>
    </w:p>
    <w:p w14:paraId="0029178A" w14:textId="77777777" w:rsidR="00FB412A" w:rsidRPr="00FB412A" w:rsidRDefault="00FB412A" w:rsidP="00FB412A">
      <w:pPr>
        <w:pStyle w:val="Paragraphedeliste"/>
        <w:numPr>
          <w:ilvl w:val="0"/>
          <w:numId w:val="45"/>
        </w:numPr>
        <w:spacing w:after="160" w:line="259" w:lineRule="auto"/>
        <w:rPr>
          <w:rFonts w:cstheme="minorHAnsi"/>
          <w:i/>
          <w:sz w:val="24"/>
          <w:szCs w:val="24"/>
        </w:rPr>
      </w:pPr>
      <w:r w:rsidRPr="00FB412A">
        <w:rPr>
          <w:rFonts w:cstheme="minorHAnsi"/>
          <w:i/>
          <w:sz w:val="24"/>
          <w:szCs w:val="24"/>
        </w:rPr>
        <w:t>rôle transversal de l’éducation et des conceptions culturelles</w:t>
      </w:r>
    </w:p>
    <w:p w14:paraId="4378C23A" w14:textId="77777777" w:rsidR="00FB412A" w:rsidRDefault="00FB412A" w:rsidP="00FB412A">
      <w:pPr>
        <w:rPr>
          <w:rFonts w:cstheme="minorHAnsi"/>
          <w:sz w:val="24"/>
          <w:szCs w:val="24"/>
        </w:rPr>
      </w:pPr>
      <w:r>
        <w:rPr>
          <w:rFonts w:cstheme="minorHAnsi"/>
          <w:sz w:val="24"/>
          <w:szCs w:val="24"/>
        </w:rPr>
        <w:t>Le rôle de l’éducation dans les progrès de la Couverture Sanitaire Universelle mérite d’être mentionné en soit. La santé n’oublie jamais de parler d’éducation à la santé. L’eau, l’hygiène et l’assainissement mentionne l’éducation en matière d’hygiène et autre conditions d’accès à l’eau potable. La lutte contre la malnutrition passe également par l’éducation. De même la maîtrise de la démographie ne peut être que la résultante de choix personnels qui évoluent souvent avec l’éducation. Finalement elle est première en tout, et la CSU ne saurait être atteinte sans une attention spécifique des politiques publiques en matière d’éducation.</w:t>
      </w:r>
    </w:p>
    <w:p w14:paraId="0AC014A6" w14:textId="77777777" w:rsidR="00FB412A" w:rsidRDefault="00FB412A">
      <w:pPr>
        <w:rPr>
          <w:rFonts w:cstheme="minorHAnsi"/>
          <w:sz w:val="24"/>
          <w:szCs w:val="24"/>
        </w:rPr>
      </w:pPr>
      <w:r>
        <w:rPr>
          <w:rFonts w:cstheme="minorHAnsi"/>
          <w:sz w:val="24"/>
          <w:szCs w:val="24"/>
        </w:rPr>
        <w:t>Au fondement de l’éducation se trouvent également</w:t>
      </w:r>
      <w:r w:rsidRPr="00FB412A">
        <w:rPr>
          <w:rFonts w:cstheme="minorHAnsi"/>
          <w:sz w:val="24"/>
          <w:szCs w:val="24"/>
        </w:rPr>
        <w:t xml:space="preserve"> la religion et</w:t>
      </w:r>
      <w:r>
        <w:rPr>
          <w:rFonts w:cstheme="minorHAnsi"/>
          <w:sz w:val="24"/>
          <w:szCs w:val="24"/>
        </w:rPr>
        <w:t xml:space="preserve"> les</w:t>
      </w:r>
      <w:r w:rsidRPr="00FB412A">
        <w:rPr>
          <w:rFonts w:cstheme="minorHAnsi"/>
          <w:sz w:val="24"/>
          <w:szCs w:val="24"/>
        </w:rPr>
        <w:t xml:space="preserve"> autres conceptions culturelles</w:t>
      </w:r>
      <w:r>
        <w:rPr>
          <w:rFonts w:cstheme="minorHAnsi"/>
          <w:sz w:val="24"/>
          <w:szCs w:val="24"/>
        </w:rPr>
        <w:t xml:space="preserve"> de la population. Celles-ci peuvent être des conditions positives ou négatives</w:t>
      </w:r>
      <w:r w:rsidR="00AA792B">
        <w:rPr>
          <w:rFonts w:cstheme="minorHAnsi"/>
          <w:sz w:val="24"/>
          <w:szCs w:val="24"/>
        </w:rPr>
        <w:t xml:space="preserve"> pour évoluer</w:t>
      </w:r>
      <w:r>
        <w:rPr>
          <w:rFonts w:cstheme="minorHAnsi"/>
          <w:sz w:val="24"/>
          <w:szCs w:val="24"/>
        </w:rPr>
        <w:t xml:space="preserve"> vers un état de bien-être. </w:t>
      </w:r>
      <w:r w:rsidR="00ED1638">
        <w:rPr>
          <w:rFonts w:cstheme="minorHAnsi"/>
          <w:sz w:val="24"/>
          <w:szCs w:val="24"/>
        </w:rPr>
        <w:t>Chacun doit veiller à ce que la religion et les autres concepti</w:t>
      </w:r>
      <w:r w:rsidR="00442F08">
        <w:rPr>
          <w:rFonts w:cstheme="minorHAnsi"/>
          <w:sz w:val="24"/>
          <w:szCs w:val="24"/>
        </w:rPr>
        <w:t>ons culturelles servent le bien-</w:t>
      </w:r>
      <w:r w:rsidR="00ED1638">
        <w:rPr>
          <w:rFonts w:cstheme="minorHAnsi"/>
          <w:sz w:val="24"/>
          <w:szCs w:val="24"/>
        </w:rPr>
        <w:t>être de l’individu et la bonne santé de chacun et de tous.</w:t>
      </w:r>
    </w:p>
    <w:p w14:paraId="05E4E38C" w14:textId="77777777" w:rsidR="00122B15" w:rsidRDefault="00122B15" w:rsidP="00122B15">
      <w:pPr>
        <w:pStyle w:val="Titre2"/>
      </w:pPr>
      <w:bookmarkStart w:id="35" w:name="_Toc21449036"/>
      <w:r>
        <w:t>Risques</w:t>
      </w:r>
      <w:bookmarkEnd w:id="35"/>
    </w:p>
    <w:p w14:paraId="38FA3106" w14:textId="77777777" w:rsidR="0089724C" w:rsidRPr="0089724C" w:rsidRDefault="0089724C" w:rsidP="0089724C"/>
    <w:p w14:paraId="713791BD" w14:textId="77777777" w:rsidR="00122B15" w:rsidRPr="00122B15" w:rsidRDefault="00122B15" w:rsidP="00122B15">
      <w:pPr>
        <w:spacing w:after="240"/>
        <w:jc w:val="both"/>
        <w:rPr>
          <w:rFonts w:cstheme="minorHAnsi"/>
          <w:sz w:val="24"/>
          <w:szCs w:val="24"/>
        </w:rPr>
      </w:pPr>
      <w:r w:rsidRPr="00122B15">
        <w:rPr>
          <w:rFonts w:cstheme="minorHAnsi"/>
          <w:sz w:val="24"/>
          <w:szCs w:val="24"/>
        </w:rPr>
        <w:t xml:space="preserve">Les principaux risques dans l’atteinte de l’objectif général de la stratégie sont d’ordre </w:t>
      </w:r>
      <w:r w:rsidR="00DA72FF">
        <w:rPr>
          <w:rFonts w:cstheme="minorHAnsi"/>
          <w:sz w:val="24"/>
          <w:szCs w:val="24"/>
        </w:rPr>
        <w:t>é</w:t>
      </w:r>
      <w:r w:rsidRPr="00122B15">
        <w:rPr>
          <w:rFonts w:cstheme="minorHAnsi"/>
          <w:sz w:val="24"/>
          <w:szCs w:val="24"/>
        </w:rPr>
        <w:t>pidémique, financier, climatique</w:t>
      </w:r>
      <w:r w:rsidR="00DA72FF">
        <w:rPr>
          <w:rFonts w:cstheme="minorHAnsi"/>
          <w:sz w:val="24"/>
          <w:szCs w:val="24"/>
        </w:rPr>
        <w:t xml:space="preserve"> et sécuritaire</w:t>
      </w:r>
      <w:r w:rsidRPr="00122B15">
        <w:rPr>
          <w:rFonts w:cstheme="minorHAnsi"/>
          <w:sz w:val="24"/>
          <w:szCs w:val="24"/>
        </w:rPr>
        <w:t>.</w:t>
      </w:r>
    </w:p>
    <w:p w14:paraId="7BDEE256" w14:textId="77777777" w:rsidR="00122B15" w:rsidRPr="00122B15" w:rsidRDefault="00122B15" w:rsidP="00122B15">
      <w:pPr>
        <w:jc w:val="both"/>
        <w:rPr>
          <w:rFonts w:cstheme="minorHAnsi"/>
          <w:sz w:val="24"/>
          <w:szCs w:val="24"/>
        </w:rPr>
      </w:pPr>
      <w:r w:rsidRPr="00122B15">
        <w:rPr>
          <w:rFonts w:cstheme="minorHAnsi"/>
          <w:sz w:val="24"/>
          <w:szCs w:val="24"/>
        </w:rPr>
        <w:t xml:space="preserve">Le risque Sanitaire/ Epidémique : La situation qui prévaut dans les pays voisins, rend le Niger vulnérable sur le plan sanitaire. En effet les déplacements des populations à cause de l’insécurité peuvent être des sources de propagation des maladies, de la malnutrition des réfugiés (enfants et femmes) et même des autochtones   ayant accueillies et nourri les réfugiés en attendant l’aide de l’état et des partenaires.  </w:t>
      </w:r>
    </w:p>
    <w:p w14:paraId="309E05FD" w14:textId="77777777" w:rsidR="00122B15" w:rsidRPr="00122B15" w:rsidRDefault="00122B15" w:rsidP="00122B15">
      <w:pPr>
        <w:jc w:val="both"/>
        <w:rPr>
          <w:rFonts w:cstheme="minorHAnsi"/>
          <w:sz w:val="24"/>
          <w:szCs w:val="24"/>
        </w:rPr>
      </w:pPr>
      <w:r w:rsidRPr="00122B15">
        <w:rPr>
          <w:rFonts w:cstheme="minorHAnsi"/>
          <w:sz w:val="24"/>
          <w:szCs w:val="24"/>
        </w:rPr>
        <w:t xml:space="preserve">Le risque financier est principalement lié à la crise économique et financière mondiale. Cette crise peut affecter les pays amis et réduire le volume de l’aide publique au développement. Le risque financier pourrait être atténué si le Niger consent plus d’efforts dans la mobilisation des ressources internes et s’il diversifie ses partenaires. </w:t>
      </w:r>
    </w:p>
    <w:p w14:paraId="3958816B" w14:textId="77777777" w:rsidR="00122B15" w:rsidRPr="00122B15" w:rsidRDefault="00122B15" w:rsidP="00122B15">
      <w:pPr>
        <w:jc w:val="both"/>
        <w:rPr>
          <w:rFonts w:cstheme="minorHAnsi"/>
          <w:sz w:val="24"/>
          <w:szCs w:val="24"/>
        </w:rPr>
      </w:pPr>
      <w:r w:rsidRPr="00122B15">
        <w:rPr>
          <w:rFonts w:cstheme="minorHAnsi"/>
          <w:sz w:val="24"/>
          <w:szCs w:val="24"/>
        </w:rPr>
        <w:t>Quant au risque climatique, les changements du climat observés ces dernières années ont des effets négatifs sur la production agricole et animale. Ces effets ont pour conséquences, la baisse de productivité /mortalité des animaux ainsi  que  dans le domaine Agricole. L’indisponibilité en quantité et qualité entraine forcément la malnutrition et le développement de certaines maladies.</w:t>
      </w:r>
    </w:p>
    <w:p w14:paraId="1369BCCA" w14:textId="77777777" w:rsidR="00442F08" w:rsidRPr="00122B15" w:rsidRDefault="00442F08" w:rsidP="00442F08">
      <w:pPr>
        <w:jc w:val="both"/>
        <w:rPr>
          <w:rFonts w:cstheme="minorHAnsi"/>
          <w:sz w:val="24"/>
          <w:szCs w:val="24"/>
        </w:rPr>
      </w:pPr>
      <w:r>
        <w:rPr>
          <w:rFonts w:cstheme="minorHAnsi"/>
          <w:sz w:val="24"/>
          <w:szCs w:val="24"/>
        </w:rPr>
        <w:t>Si l</w:t>
      </w:r>
      <w:r w:rsidR="001F0071">
        <w:rPr>
          <w:rFonts w:cstheme="minorHAnsi"/>
          <w:sz w:val="24"/>
          <w:szCs w:val="24"/>
        </w:rPr>
        <w:t>a pression sur sécurité nationale</w:t>
      </w:r>
      <w:r>
        <w:rPr>
          <w:rFonts w:cstheme="minorHAnsi"/>
          <w:sz w:val="24"/>
          <w:szCs w:val="24"/>
        </w:rPr>
        <w:t xml:space="preserve"> perdure, il y a</w:t>
      </w:r>
      <w:r w:rsidR="001F0071">
        <w:rPr>
          <w:rFonts w:cstheme="minorHAnsi"/>
          <w:sz w:val="24"/>
          <w:szCs w:val="24"/>
        </w:rPr>
        <w:t>ura</w:t>
      </w:r>
      <w:r>
        <w:rPr>
          <w:rFonts w:cstheme="minorHAnsi"/>
          <w:sz w:val="24"/>
          <w:szCs w:val="24"/>
        </w:rPr>
        <w:t xml:space="preserve"> une conséquence directe non seulement sur la production de la richesse nationale mais aussi sa redistribution qui risque de se faire au détriment des secteurs sociaux dont la santé.</w:t>
      </w:r>
    </w:p>
    <w:p w14:paraId="5A7C5FD5" w14:textId="77777777" w:rsidR="00122B15" w:rsidRPr="00122B15" w:rsidRDefault="00122B15" w:rsidP="00122B15">
      <w:pPr>
        <w:jc w:val="both"/>
        <w:rPr>
          <w:rFonts w:cstheme="minorHAnsi"/>
          <w:sz w:val="24"/>
          <w:szCs w:val="24"/>
        </w:rPr>
      </w:pPr>
      <w:r w:rsidRPr="00122B15">
        <w:rPr>
          <w:rFonts w:cstheme="minorHAnsi"/>
          <w:sz w:val="24"/>
          <w:szCs w:val="24"/>
        </w:rPr>
        <w:t>La mise en œuvre de la SDDE permettra d’atténuer ce risque à travers la modernisation des modes de production et la prévention des risques</w:t>
      </w:r>
    </w:p>
    <w:p w14:paraId="70754F09" w14:textId="77777777" w:rsidR="00BF29A2" w:rsidRPr="00BF29A2" w:rsidRDefault="003F3FAC" w:rsidP="00F64372">
      <w:pPr>
        <w:pStyle w:val="Titre1"/>
      </w:pPr>
      <w:bookmarkStart w:id="36" w:name="_Toc21449037"/>
      <w:r w:rsidRPr="00BF29A2">
        <w:t>Le cadre de</w:t>
      </w:r>
      <w:r w:rsidR="00AA792B">
        <w:t xml:space="preserve"> mise en œuvre et de </w:t>
      </w:r>
      <w:r w:rsidRPr="00BF29A2">
        <w:t xml:space="preserve"> suivi-évaluation de la stratégie CSU</w:t>
      </w:r>
      <w:bookmarkEnd w:id="36"/>
      <w:r w:rsidRPr="00BF29A2">
        <w:t xml:space="preserve"> </w:t>
      </w:r>
    </w:p>
    <w:p w14:paraId="5F65F23F" w14:textId="77777777" w:rsidR="003F3FAC" w:rsidRDefault="003F3FAC" w:rsidP="00D069F1">
      <w:pPr>
        <w:pStyle w:val="Titre2"/>
      </w:pPr>
      <w:bookmarkStart w:id="37" w:name="_Toc21449038"/>
      <w:r w:rsidRPr="00BF29A2">
        <w:t>Les cadres de</w:t>
      </w:r>
      <w:r w:rsidR="00AA792B">
        <w:t xml:space="preserve"> mise en œuvre et de </w:t>
      </w:r>
      <w:r w:rsidRPr="00BF29A2">
        <w:t>suivi sectoriel</w:t>
      </w:r>
      <w:bookmarkEnd w:id="37"/>
    </w:p>
    <w:p w14:paraId="650B3CF7" w14:textId="77777777" w:rsidR="00D069F1" w:rsidRDefault="00D069F1" w:rsidP="00D069F1">
      <w:pPr>
        <w:rPr>
          <w:rFonts w:cstheme="minorHAnsi"/>
          <w:sz w:val="24"/>
          <w:szCs w:val="24"/>
        </w:rPr>
      </w:pPr>
      <w:r w:rsidRPr="00D069F1">
        <w:rPr>
          <w:rFonts w:cstheme="minorHAnsi"/>
          <w:sz w:val="24"/>
          <w:szCs w:val="24"/>
        </w:rPr>
        <w:t>La redevabilité concerne les dispositions formelles qui assurent la responsabilité. Au Ministère de la Santé, il y a ceux instaurés par la cour des compte</w:t>
      </w:r>
      <w:r w:rsidR="00422AF9">
        <w:rPr>
          <w:rFonts w:cstheme="minorHAnsi"/>
          <w:sz w:val="24"/>
          <w:szCs w:val="24"/>
        </w:rPr>
        <w:t>s</w:t>
      </w:r>
      <w:r w:rsidRPr="00D069F1">
        <w:rPr>
          <w:rFonts w:cstheme="minorHAnsi"/>
          <w:sz w:val="24"/>
          <w:szCs w:val="24"/>
        </w:rPr>
        <w:t xml:space="preserve"> et le PDES à travers la mise en place d'un mécanisme de contrôle des dépenses à postériori et l’existence d’un pôle de suivi conjoint de mise en œuvre du PDES (obligation de produire </w:t>
      </w:r>
      <w:r w:rsidR="00F717B7">
        <w:rPr>
          <w:rFonts w:cstheme="minorHAnsi"/>
          <w:sz w:val="24"/>
          <w:szCs w:val="24"/>
        </w:rPr>
        <w:t xml:space="preserve">le </w:t>
      </w:r>
      <w:r w:rsidRPr="00D069F1">
        <w:rPr>
          <w:rFonts w:cstheme="minorHAnsi"/>
          <w:sz w:val="24"/>
          <w:szCs w:val="24"/>
        </w:rPr>
        <w:t>RAP et existence</w:t>
      </w:r>
      <w:r w:rsidR="00F717B7">
        <w:rPr>
          <w:rFonts w:cstheme="minorHAnsi"/>
          <w:sz w:val="24"/>
          <w:szCs w:val="24"/>
        </w:rPr>
        <w:t xml:space="preserve"> du</w:t>
      </w:r>
      <w:r w:rsidRPr="00D069F1">
        <w:rPr>
          <w:rFonts w:cstheme="minorHAnsi"/>
          <w:sz w:val="24"/>
          <w:szCs w:val="24"/>
        </w:rPr>
        <w:t xml:space="preserve"> RAMO) mais aussi ceux </w:t>
      </w:r>
      <w:r w:rsidR="00B226D6" w:rsidRPr="00D069F1">
        <w:rPr>
          <w:rFonts w:cstheme="minorHAnsi"/>
          <w:sz w:val="24"/>
          <w:szCs w:val="24"/>
        </w:rPr>
        <w:t>instaur</w:t>
      </w:r>
      <w:r w:rsidR="00B226D6">
        <w:rPr>
          <w:rFonts w:cstheme="minorHAnsi"/>
          <w:sz w:val="24"/>
          <w:szCs w:val="24"/>
        </w:rPr>
        <w:t>é</w:t>
      </w:r>
      <w:r w:rsidR="00B226D6" w:rsidRPr="00D069F1">
        <w:rPr>
          <w:rFonts w:cstheme="minorHAnsi"/>
          <w:sz w:val="24"/>
          <w:szCs w:val="24"/>
        </w:rPr>
        <w:t xml:space="preserve">s </w:t>
      </w:r>
      <w:r w:rsidRPr="00D069F1">
        <w:rPr>
          <w:rFonts w:cstheme="minorHAnsi"/>
          <w:sz w:val="24"/>
          <w:szCs w:val="24"/>
        </w:rPr>
        <w:t xml:space="preserve">par le ministère de la </w:t>
      </w:r>
      <w:r w:rsidR="00B226D6" w:rsidRPr="00D069F1">
        <w:rPr>
          <w:rFonts w:cstheme="minorHAnsi"/>
          <w:sz w:val="24"/>
          <w:szCs w:val="24"/>
        </w:rPr>
        <w:t>sant</w:t>
      </w:r>
      <w:r w:rsidR="00B226D6">
        <w:rPr>
          <w:rFonts w:cstheme="minorHAnsi"/>
          <w:sz w:val="24"/>
          <w:szCs w:val="24"/>
        </w:rPr>
        <w:t>é</w:t>
      </w:r>
      <w:r w:rsidR="00B226D6" w:rsidRPr="00D069F1">
        <w:rPr>
          <w:rFonts w:cstheme="minorHAnsi"/>
          <w:sz w:val="24"/>
          <w:szCs w:val="24"/>
        </w:rPr>
        <w:t xml:space="preserve"> </w:t>
      </w:r>
      <w:r w:rsidRPr="00D069F1">
        <w:rPr>
          <w:rFonts w:cstheme="minorHAnsi"/>
          <w:sz w:val="24"/>
          <w:szCs w:val="24"/>
        </w:rPr>
        <w:t>et ses partenaires en particulier le FCS (cadre de concertation (CNS, CTNS), contrats de performance qui lient les structures sanitaires au FC</w:t>
      </w:r>
      <w:r w:rsidR="00E4665A">
        <w:rPr>
          <w:rFonts w:cstheme="minorHAnsi"/>
          <w:sz w:val="24"/>
          <w:szCs w:val="24"/>
        </w:rPr>
        <w:t>S</w:t>
      </w:r>
      <w:r w:rsidRPr="00D069F1">
        <w:rPr>
          <w:rFonts w:cstheme="minorHAnsi"/>
          <w:sz w:val="24"/>
          <w:szCs w:val="24"/>
        </w:rPr>
        <w:t xml:space="preserve">). Chaque secteur dispose ainsi de ces cadres, plus ou moins performants. Un enjeu important consistera à </w:t>
      </w:r>
      <w:r w:rsidR="00EE2796">
        <w:rPr>
          <w:rFonts w:cstheme="minorHAnsi"/>
          <w:sz w:val="24"/>
          <w:szCs w:val="24"/>
        </w:rPr>
        <w:t>les améliorer, comme le prévoi</w:t>
      </w:r>
      <w:r w:rsidRPr="00D069F1">
        <w:rPr>
          <w:rFonts w:cstheme="minorHAnsi"/>
          <w:sz w:val="24"/>
          <w:szCs w:val="24"/>
        </w:rPr>
        <w:t>t notamment la refonte du système de gratuité ou la réforme des budget-programme.</w:t>
      </w:r>
    </w:p>
    <w:p w14:paraId="7B2EC703" w14:textId="77777777" w:rsidR="00AA792B" w:rsidRPr="00147593" w:rsidRDefault="00147593" w:rsidP="00D069F1">
      <w:pPr>
        <w:rPr>
          <w:rFonts w:cstheme="minorHAnsi"/>
          <w:color w:val="FF0000"/>
          <w:sz w:val="24"/>
          <w:szCs w:val="24"/>
        </w:rPr>
      </w:pPr>
      <w:r w:rsidRPr="00147593">
        <w:rPr>
          <w:rFonts w:cstheme="minorHAnsi"/>
          <w:color w:val="FF0000"/>
          <w:sz w:val="24"/>
          <w:szCs w:val="24"/>
        </w:rPr>
        <w:t>La problématique de l’accès à l’eau potable, de l’hygiène et de l’assainissement dispose également de ses cadres de suivi. De plus l’amélioration de l’état nutritionnel de la population et la protection sociale en santé sont traités dans des cadres sectoriels et multisectoriels.</w:t>
      </w:r>
    </w:p>
    <w:p w14:paraId="4C95C4E3" w14:textId="77777777" w:rsidR="003F3FAC" w:rsidRDefault="003F3FAC" w:rsidP="00D069F1">
      <w:pPr>
        <w:pStyle w:val="Titre2"/>
      </w:pPr>
      <w:bookmarkStart w:id="38" w:name="_Toc21449039"/>
      <w:r w:rsidRPr="00BF29A2">
        <w:t>Le cadre de suivi</w:t>
      </w:r>
      <w:r w:rsidR="00B17550">
        <w:t>- évaluation</w:t>
      </w:r>
      <w:r w:rsidRPr="00BF29A2">
        <w:t xml:space="preserve"> de la CSU</w:t>
      </w:r>
      <w:bookmarkEnd w:id="38"/>
      <w:r w:rsidRPr="00BF29A2">
        <w:t xml:space="preserve"> </w:t>
      </w:r>
    </w:p>
    <w:p w14:paraId="28AF099D" w14:textId="77777777" w:rsidR="00B17550" w:rsidRDefault="00B17550" w:rsidP="00D069F1">
      <w:r>
        <w:t>Un Groupe de Travail National sur la CSU a été créé par l’arrêté 232/PM du 5 Décembre 2014. Le GTN est largement intersectoriel et présidé par le Secrétaire Général du Ministère de la Santé Publique. Il est l’organe d’orientation de tous les acteurs de la CSU au Niger avec pouvoirs de coordination, de pilotage du processus de mise en œuvre et de contrôle de l’exécution des programmes. A ce titre, il est responsable du suivi de la mise en œuvre de la présente stratégie CSU.</w:t>
      </w:r>
      <w:r w:rsidR="00E14ADB">
        <w:t xml:space="preserve"> </w:t>
      </w:r>
      <w:r w:rsidR="00442F08">
        <w:t>Dans</w:t>
      </w:r>
      <w:r w:rsidR="00E14ADB">
        <w:t xml:space="preserve"> le court terme</w:t>
      </w:r>
      <w:r w:rsidR="00442F08">
        <w:t>, des rencontres de suivi devront avoir lieu</w:t>
      </w:r>
      <w:r w:rsidR="00E14ADB">
        <w:t xml:space="preserve"> tous les 6 mois</w:t>
      </w:r>
      <w:r w:rsidR="00442F08">
        <w:t> ; par la suite, les rencontres seront annuelles.</w:t>
      </w:r>
    </w:p>
    <w:p w14:paraId="5E109B02" w14:textId="77777777" w:rsidR="00B17550" w:rsidRDefault="00B17550" w:rsidP="00D069F1">
      <w:r>
        <w:t>Cependant, la présente stratégie CSU doit être également suivie et éva</w:t>
      </w:r>
      <w:r w:rsidR="00442F08">
        <w:t>luée</w:t>
      </w:r>
      <w:r>
        <w:t xml:space="preserve"> au niveau politique ; ce sera au niveau du gouvernement. Une évaluation de la CSU devra être envisagé</w:t>
      </w:r>
      <w:r w:rsidR="001D200D">
        <w:t>e</w:t>
      </w:r>
      <w:r>
        <w:t xml:space="preserve"> à mi-parcours, soit </w:t>
      </w:r>
      <w:r w:rsidR="005416D5">
        <w:t>en 2026.</w:t>
      </w:r>
      <w:r w:rsidR="00E14ADB">
        <w:t xml:space="preserve"> </w:t>
      </w:r>
      <w:r w:rsidR="00442F08">
        <w:t>Dans les premières années de la mise en œuvre de la stratégie, sera évaluée tous les ans</w:t>
      </w:r>
      <w:r w:rsidR="00F717B7">
        <w:t xml:space="preserve">. </w:t>
      </w:r>
    </w:p>
    <w:p w14:paraId="3E1786CD" w14:textId="77777777" w:rsidR="00B17550" w:rsidRDefault="00B17550" w:rsidP="005416D5">
      <w:pPr>
        <w:pStyle w:val="Titre2"/>
      </w:pPr>
      <w:bookmarkStart w:id="39" w:name="_Toc21449040"/>
      <w:r>
        <w:t>Les indicateurs de la CSU</w:t>
      </w:r>
      <w:bookmarkEnd w:id="39"/>
    </w:p>
    <w:p w14:paraId="279B2F9B" w14:textId="77777777" w:rsidR="00431DEF" w:rsidRDefault="00431DEF" w:rsidP="00431DEF">
      <w:r>
        <w:t>Les indicateurs de la CSU ont été arrêtés dans un document</w:t>
      </w:r>
      <w:r>
        <w:rPr>
          <w:rStyle w:val="Appelnotedebasdep"/>
        </w:rPr>
        <w:footnoteReference w:id="14"/>
      </w:r>
      <w:r>
        <w:t xml:space="preserve"> de l’OMS et de la Banque Mondiale intitulé « rapport de suivi 2017 : la couverture santé universelle ». On trouvera en annexe quelques extraits qui explicitent ces indicateurs. Il est à noter cependant que les indicateurs 3.8.2 continuent à faire l’objet de débat et pourraient être révisés encore.</w:t>
      </w:r>
    </w:p>
    <w:p w14:paraId="077E0B94" w14:textId="77777777" w:rsidR="00431DEF" w:rsidRDefault="00431DEF" w:rsidP="00431DEF">
      <w:pPr>
        <w:pStyle w:val="Titre2"/>
      </w:pPr>
      <w:bookmarkStart w:id="40" w:name="_Toc21449041"/>
      <w:r>
        <w:t>Baseline</w:t>
      </w:r>
      <w:r w:rsidR="00F951F9">
        <w:t xml:space="preserve"> de l’ODD 3.8</w:t>
      </w:r>
      <w:bookmarkEnd w:id="40"/>
    </w:p>
    <w:p w14:paraId="098EDE12" w14:textId="77777777" w:rsidR="0044393C" w:rsidRPr="0044393C" w:rsidRDefault="0044393C" w:rsidP="00431DEF">
      <w:pPr>
        <w:rPr>
          <w:b/>
        </w:rPr>
      </w:pPr>
      <w:r w:rsidRPr="0044393C">
        <w:rPr>
          <w:b/>
        </w:rPr>
        <w:t>Indicateur 3.8 1 (couverture des services)</w:t>
      </w:r>
      <w:r w:rsidR="00EE2796">
        <w:rPr>
          <w:b/>
        </w:rPr>
        <w:t xml:space="preserve"> – index composite</w:t>
      </w:r>
    </w:p>
    <w:tbl>
      <w:tblPr>
        <w:tblStyle w:val="Grilledutableau"/>
        <w:tblW w:w="0" w:type="auto"/>
        <w:tblLook w:val="04A0" w:firstRow="1" w:lastRow="0" w:firstColumn="1" w:lastColumn="0" w:noHBand="0" w:noVBand="1"/>
      </w:tblPr>
      <w:tblGrid>
        <w:gridCol w:w="2358"/>
        <w:gridCol w:w="2240"/>
        <w:gridCol w:w="2236"/>
        <w:gridCol w:w="2240"/>
      </w:tblGrid>
      <w:tr w:rsidR="0044393C" w14:paraId="17DD821F" w14:textId="77777777" w:rsidTr="0044393C">
        <w:tc>
          <w:tcPr>
            <w:tcW w:w="2419" w:type="dxa"/>
          </w:tcPr>
          <w:p w14:paraId="48EA1FF2" w14:textId="77777777" w:rsidR="0044393C" w:rsidRDefault="0044393C" w:rsidP="00431DEF">
            <w:r>
              <w:t>Niger</w:t>
            </w:r>
          </w:p>
        </w:tc>
        <w:tc>
          <w:tcPr>
            <w:tcW w:w="2289" w:type="dxa"/>
          </w:tcPr>
          <w:p w14:paraId="58D864B9" w14:textId="77777777" w:rsidR="0044393C" w:rsidRDefault="0044393C" w:rsidP="00431DEF">
            <w:r>
              <w:t>Sénégal</w:t>
            </w:r>
          </w:p>
        </w:tc>
        <w:tc>
          <w:tcPr>
            <w:tcW w:w="2289" w:type="dxa"/>
          </w:tcPr>
          <w:p w14:paraId="009CF6EF" w14:textId="77777777" w:rsidR="0044393C" w:rsidRDefault="0044393C" w:rsidP="00431DEF">
            <w:r>
              <w:t>Maroc</w:t>
            </w:r>
          </w:p>
        </w:tc>
        <w:tc>
          <w:tcPr>
            <w:tcW w:w="2289" w:type="dxa"/>
          </w:tcPr>
          <w:p w14:paraId="20B9ED9E" w14:textId="77777777" w:rsidR="0044393C" w:rsidRDefault="0044393C" w:rsidP="00431DEF">
            <w:r>
              <w:t>Burkina Faso</w:t>
            </w:r>
          </w:p>
        </w:tc>
      </w:tr>
      <w:tr w:rsidR="0044393C" w14:paraId="6686BC4B" w14:textId="77777777" w:rsidTr="0044393C">
        <w:tc>
          <w:tcPr>
            <w:tcW w:w="2419" w:type="dxa"/>
          </w:tcPr>
          <w:p w14:paraId="27D59553" w14:textId="77777777" w:rsidR="0044393C" w:rsidRDefault="0044393C" w:rsidP="00431DEF">
            <w:r>
              <w:t>33</w:t>
            </w:r>
          </w:p>
        </w:tc>
        <w:tc>
          <w:tcPr>
            <w:tcW w:w="2289" w:type="dxa"/>
          </w:tcPr>
          <w:p w14:paraId="47CE59DF" w14:textId="77777777" w:rsidR="0044393C" w:rsidRDefault="0044393C" w:rsidP="00431DEF">
            <w:r>
              <w:t>41</w:t>
            </w:r>
          </w:p>
        </w:tc>
        <w:tc>
          <w:tcPr>
            <w:tcW w:w="2289" w:type="dxa"/>
          </w:tcPr>
          <w:p w14:paraId="525A917F" w14:textId="77777777" w:rsidR="0044393C" w:rsidRDefault="0044393C" w:rsidP="00431DEF">
            <w:r>
              <w:t>65</w:t>
            </w:r>
          </w:p>
        </w:tc>
        <w:tc>
          <w:tcPr>
            <w:tcW w:w="2289" w:type="dxa"/>
          </w:tcPr>
          <w:p w14:paraId="778C903F" w14:textId="77777777" w:rsidR="0044393C" w:rsidRDefault="0044393C" w:rsidP="00431DEF">
            <w:r>
              <w:t>39</w:t>
            </w:r>
          </w:p>
        </w:tc>
      </w:tr>
    </w:tbl>
    <w:p w14:paraId="59F26961" w14:textId="77777777" w:rsidR="00ED1638" w:rsidRDefault="00ED1638" w:rsidP="00ED1638">
      <w:r>
        <w:t xml:space="preserve">L’ensemble des indicateurs de l’ODD 3.8.1 suivi se trouvent en annexe. </w:t>
      </w:r>
    </w:p>
    <w:p w14:paraId="43C189CD" w14:textId="77777777" w:rsidR="0044393C" w:rsidRPr="0044393C" w:rsidRDefault="0044393C" w:rsidP="00431DEF">
      <w:pPr>
        <w:rPr>
          <w:b/>
        </w:rPr>
      </w:pPr>
      <w:r w:rsidRPr="0044393C">
        <w:rPr>
          <w:b/>
        </w:rPr>
        <w:t>Indicateur 3.8.2 (protection financière)</w:t>
      </w:r>
    </w:p>
    <w:p w14:paraId="72D055F6" w14:textId="77777777" w:rsidR="00F951F9" w:rsidRDefault="0044393C">
      <w:pPr>
        <w:rPr>
          <w:rFonts w:asciiTheme="majorHAnsi" w:eastAsiaTheme="majorEastAsia" w:hAnsiTheme="majorHAnsi" w:cstheme="majorBidi"/>
          <w:b/>
          <w:bCs/>
          <w:color w:val="365F91" w:themeColor="accent1" w:themeShade="BF"/>
          <w:sz w:val="28"/>
          <w:szCs w:val="28"/>
        </w:rPr>
      </w:pPr>
      <w:r>
        <w:t>L’indicateur n’est pas disponible à ce jour. Aussi une étude devra être réalisée pour obtenir la donnée de référence.</w:t>
      </w:r>
      <w:r w:rsidR="00F951F9">
        <w:br w:type="page"/>
      </w:r>
    </w:p>
    <w:p w14:paraId="3D7EAC10" w14:textId="77777777" w:rsidR="002E26C8" w:rsidRDefault="002E26C8" w:rsidP="008E735C">
      <w:pPr>
        <w:pStyle w:val="Titre1"/>
        <w:sectPr w:rsidR="002E26C8" w:rsidSect="008E735C">
          <w:pgSz w:w="11906" w:h="16838" w:code="9"/>
          <w:pgMar w:top="1411" w:right="1411" w:bottom="1411" w:left="1411" w:header="706" w:footer="706" w:gutter="0"/>
          <w:cols w:space="708"/>
          <w:titlePg/>
          <w:docGrid w:linePitch="360"/>
        </w:sectPr>
      </w:pPr>
    </w:p>
    <w:p w14:paraId="3F9BB8A8" w14:textId="77777777" w:rsidR="008E735C" w:rsidRDefault="00296DE4" w:rsidP="008E735C">
      <w:pPr>
        <w:pStyle w:val="Titre1"/>
      </w:pPr>
      <w:bookmarkStart w:id="41" w:name="_Toc21449042"/>
      <w:r>
        <w:t>Plan d’actions</w:t>
      </w:r>
      <w:r w:rsidR="008E735C">
        <w:t xml:space="preserve"> (ébauche)</w:t>
      </w:r>
      <w:bookmarkEnd w:id="41"/>
    </w:p>
    <w:p w14:paraId="5407CC83" w14:textId="77777777" w:rsidR="00737C0B" w:rsidRPr="00737C0B" w:rsidRDefault="00737C0B" w:rsidP="00737C0B">
      <w:r w:rsidRPr="00737C0B">
        <w:rPr>
          <w:noProof/>
          <w:lang w:eastAsia="fr-FR"/>
        </w:rPr>
        <w:drawing>
          <wp:inline distT="0" distB="0" distL="0" distR="0" wp14:anchorId="52674DFE" wp14:editId="6027EFA0">
            <wp:extent cx="8898890" cy="509305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98890" cy="5093050"/>
                    </a:xfrm>
                    <a:prstGeom prst="rect">
                      <a:avLst/>
                    </a:prstGeom>
                    <a:noFill/>
                    <a:ln>
                      <a:noFill/>
                    </a:ln>
                  </pic:spPr>
                </pic:pic>
              </a:graphicData>
            </a:graphic>
          </wp:inline>
        </w:drawing>
      </w:r>
    </w:p>
    <w:p w14:paraId="4A3DA25E" w14:textId="77777777" w:rsidR="008E735C" w:rsidRDefault="00737C0B">
      <w:r w:rsidRPr="00737C0B">
        <w:rPr>
          <w:noProof/>
          <w:lang w:eastAsia="fr-FR"/>
        </w:rPr>
        <w:drawing>
          <wp:inline distT="0" distB="0" distL="0" distR="0" wp14:anchorId="7720AB9B" wp14:editId="3B645B62">
            <wp:extent cx="8898890" cy="4620135"/>
            <wp:effectExtent l="0" t="0" r="0" b="952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98890" cy="4620135"/>
                    </a:xfrm>
                    <a:prstGeom prst="rect">
                      <a:avLst/>
                    </a:prstGeom>
                    <a:noFill/>
                    <a:ln>
                      <a:noFill/>
                    </a:ln>
                  </pic:spPr>
                </pic:pic>
              </a:graphicData>
            </a:graphic>
          </wp:inline>
        </w:drawing>
      </w:r>
    </w:p>
    <w:p w14:paraId="398AD5C0" w14:textId="77777777" w:rsidR="00737C0B" w:rsidRDefault="00737C0B"/>
    <w:p w14:paraId="1E370C48" w14:textId="77777777" w:rsidR="002E26C8" w:rsidRDefault="002E26C8" w:rsidP="0044393C">
      <w:pPr>
        <w:pStyle w:val="Titre1"/>
        <w:sectPr w:rsidR="002E26C8" w:rsidSect="002E26C8">
          <w:pgSz w:w="16838" w:h="11906" w:orient="landscape" w:code="9"/>
          <w:pgMar w:top="1412" w:right="1412" w:bottom="1412" w:left="1412" w:header="706" w:footer="706" w:gutter="0"/>
          <w:cols w:space="708"/>
          <w:titlePg/>
          <w:docGrid w:linePitch="360"/>
        </w:sectPr>
      </w:pPr>
    </w:p>
    <w:p w14:paraId="40DEDE5A" w14:textId="77777777" w:rsidR="00F507F1" w:rsidRDefault="00F507F1" w:rsidP="0044393C">
      <w:pPr>
        <w:pStyle w:val="Titre1"/>
      </w:pPr>
      <w:bookmarkStart w:id="42" w:name="_Toc21449043"/>
      <w:r>
        <w:t>Annexe : indicateurs CSU du Niger</w:t>
      </w:r>
      <w:bookmarkEnd w:id="42"/>
    </w:p>
    <w:p w14:paraId="41050560" w14:textId="77777777" w:rsidR="008E735C" w:rsidRPr="008E735C" w:rsidRDefault="008E735C" w:rsidP="008E735C"/>
    <w:p w14:paraId="78AC162E" w14:textId="77777777" w:rsidR="00F507F1" w:rsidRPr="0076111B" w:rsidRDefault="00F507F1" w:rsidP="00F507F1">
      <w:pPr>
        <w:spacing w:line="240" w:lineRule="auto"/>
        <w:rPr>
          <w:rFonts w:eastAsia="Calibri" w:cs="Tahoma"/>
          <w:sz w:val="24"/>
          <w:szCs w:val="24"/>
          <w:u w:val="single"/>
          <w:lang w:eastAsia="fr-FR"/>
        </w:rPr>
      </w:pPr>
      <w:r w:rsidRPr="0076111B">
        <w:rPr>
          <w:rFonts w:cs="Tahoma"/>
          <w:sz w:val="24"/>
          <w:szCs w:val="24"/>
          <w:u w:val="single"/>
        </w:rPr>
        <w:t>Indicateurs</w:t>
      </w:r>
      <w:r w:rsidRPr="0076111B">
        <w:rPr>
          <w:rFonts w:eastAsia="Calibri" w:cs="Tahoma"/>
          <w:iCs/>
          <w:sz w:val="24"/>
          <w:szCs w:val="24"/>
          <w:u w:val="single"/>
          <w:lang w:eastAsia="fr-FR"/>
        </w:rPr>
        <w:t xml:space="preserve"> pour mesurer la vie saine et le bien-être pour tous, à tous les âges (objectif ODD 3</w:t>
      </w:r>
      <w:r>
        <w:rPr>
          <w:rFonts w:eastAsia="Calibri" w:cs="Tahoma"/>
          <w:iCs/>
          <w:sz w:val="24"/>
          <w:szCs w:val="24"/>
          <w:u w:val="single"/>
          <w:lang w:eastAsia="fr-FR"/>
        </w:rPr>
        <w:t>.8.1</w:t>
      </w:r>
      <w:r w:rsidRPr="0076111B">
        <w:rPr>
          <w:rFonts w:eastAsia="Calibri" w:cs="Tahoma"/>
          <w:iCs/>
          <w:sz w:val="24"/>
          <w:szCs w:val="24"/>
          <w:u w:val="single"/>
          <w:lang w:eastAsia="fr-FR"/>
        </w:rPr>
        <w:t>)</w:t>
      </w:r>
    </w:p>
    <w:tbl>
      <w:tblPr>
        <w:tblW w:w="10350" w:type="dxa"/>
        <w:tblInd w:w="-440" w:type="dxa"/>
        <w:tblCellMar>
          <w:left w:w="0" w:type="dxa"/>
          <w:right w:w="0" w:type="dxa"/>
        </w:tblCellMar>
        <w:tblLook w:val="04A0" w:firstRow="1" w:lastRow="0" w:firstColumn="1" w:lastColumn="0" w:noHBand="0" w:noVBand="1"/>
      </w:tblPr>
      <w:tblGrid>
        <w:gridCol w:w="2291"/>
        <w:gridCol w:w="3302"/>
        <w:gridCol w:w="2352"/>
        <w:gridCol w:w="2405"/>
      </w:tblGrid>
      <w:tr w:rsidR="00F507F1" w:rsidRPr="00CF7F8E" w14:paraId="73F87C8E" w14:textId="77777777" w:rsidTr="008E735C">
        <w:trPr>
          <w:trHeight w:val="215"/>
        </w:trPr>
        <w:tc>
          <w:tcPr>
            <w:tcW w:w="2291" w:type="dxa"/>
            <w:tcBorders>
              <w:top w:val="single" w:sz="8" w:space="0" w:color="auto"/>
              <w:left w:val="single" w:sz="8" w:space="0" w:color="auto"/>
              <w:bottom w:val="nil"/>
              <w:right w:val="single" w:sz="8" w:space="0" w:color="auto"/>
            </w:tcBorders>
            <w:vAlign w:val="bottom"/>
            <w:hideMark/>
          </w:tcPr>
          <w:p w14:paraId="7CDBC889" w14:textId="77777777" w:rsidR="00F507F1" w:rsidRPr="00CF7F8E" w:rsidRDefault="00F507F1" w:rsidP="008E735C">
            <w:pPr>
              <w:spacing w:after="0" w:line="240" w:lineRule="auto"/>
              <w:ind w:left="640"/>
              <w:rPr>
                <w:rFonts w:cs="Tahoma"/>
                <w:b/>
                <w:bCs/>
                <w:sz w:val="20"/>
                <w:szCs w:val="20"/>
                <w:lang w:eastAsia="fr-FR"/>
              </w:rPr>
            </w:pPr>
            <w:r w:rsidRPr="00CF7F8E">
              <w:rPr>
                <w:rFonts w:cs="Tahoma"/>
                <w:b/>
                <w:bCs/>
                <w:sz w:val="20"/>
                <w:szCs w:val="20"/>
                <w:lang w:eastAsia="fr-FR"/>
              </w:rPr>
              <w:t>Domaine</w:t>
            </w:r>
          </w:p>
        </w:tc>
        <w:tc>
          <w:tcPr>
            <w:tcW w:w="3302" w:type="dxa"/>
            <w:tcBorders>
              <w:top w:val="single" w:sz="8" w:space="0" w:color="auto"/>
              <w:left w:val="nil"/>
              <w:bottom w:val="nil"/>
              <w:right w:val="single" w:sz="8" w:space="0" w:color="auto"/>
            </w:tcBorders>
            <w:vAlign w:val="bottom"/>
            <w:hideMark/>
          </w:tcPr>
          <w:p w14:paraId="16A92A48" w14:textId="77777777" w:rsidR="00F507F1" w:rsidRPr="00CF7F8E" w:rsidRDefault="00F507F1" w:rsidP="008E735C">
            <w:pPr>
              <w:spacing w:after="0" w:line="240" w:lineRule="auto"/>
              <w:ind w:left="1320"/>
              <w:rPr>
                <w:rFonts w:cs="Tahoma"/>
                <w:b/>
                <w:bCs/>
                <w:sz w:val="20"/>
                <w:szCs w:val="20"/>
                <w:lang w:eastAsia="fr-FR"/>
              </w:rPr>
            </w:pPr>
            <w:r w:rsidRPr="00CF7F8E">
              <w:rPr>
                <w:rFonts w:cs="Tahoma"/>
                <w:b/>
                <w:bCs/>
                <w:sz w:val="20"/>
                <w:szCs w:val="20"/>
                <w:lang w:eastAsia="fr-FR"/>
              </w:rPr>
              <w:t>Indicateur</w:t>
            </w:r>
          </w:p>
        </w:tc>
        <w:tc>
          <w:tcPr>
            <w:tcW w:w="4757" w:type="dxa"/>
            <w:gridSpan w:val="2"/>
            <w:tcBorders>
              <w:top w:val="single" w:sz="8" w:space="0" w:color="auto"/>
              <w:left w:val="nil"/>
              <w:bottom w:val="single" w:sz="8" w:space="0" w:color="auto"/>
              <w:right w:val="single" w:sz="8" w:space="0" w:color="auto"/>
            </w:tcBorders>
            <w:vAlign w:val="bottom"/>
            <w:hideMark/>
          </w:tcPr>
          <w:p w14:paraId="72C7BF08" w14:textId="77777777" w:rsidR="00F507F1" w:rsidRPr="00CF7F8E" w:rsidRDefault="00F507F1" w:rsidP="008E735C">
            <w:pPr>
              <w:spacing w:after="0" w:line="240" w:lineRule="auto"/>
              <w:ind w:left="740"/>
              <w:rPr>
                <w:rFonts w:cs="Tahoma"/>
                <w:b/>
                <w:bCs/>
                <w:sz w:val="20"/>
                <w:szCs w:val="20"/>
                <w:lang w:eastAsia="fr-FR"/>
              </w:rPr>
            </w:pPr>
            <w:r w:rsidRPr="00CF7F8E">
              <w:rPr>
                <w:rFonts w:cs="Tahoma"/>
                <w:b/>
                <w:bCs/>
                <w:sz w:val="20"/>
                <w:szCs w:val="20"/>
                <w:lang w:eastAsia="fr-FR"/>
              </w:rPr>
              <w:t>Statut du pays (le cas échéant)</w:t>
            </w:r>
          </w:p>
        </w:tc>
      </w:tr>
      <w:tr w:rsidR="00F507F1" w:rsidRPr="00CF7F8E" w14:paraId="0C1A5CC6" w14:textId="77777777" w:rsidTr="008E735C">
        <w:trPr>
          <w:trHeight w:val="97"/>
        </w:trPr>
        <w:tc>
          <w:tcPr>
            <w:tcW w:w="2291" w:type="dxa"/>
            <w:tcBorders>
              <w:top w:val="nil"/>
              <w:left w:val="single" w:sz="8" w:space="0" w:color="auto"/>
              <w:bottom w:val="single" w:sz="8" w:space="0" w:color="auto"/>
              <w:right w:val="single" w:sz="8" w:space="0" w:color="auto"/>
            </w:tcBorders>
            <w:vAlign w:val="bottom"/>
          </w:tcPr>
          <w:p w14:paraId="1ECF4E19"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tcPr>
          <w:p w14:paraId="11F3C7F6" w14:textId="77777777" w:rsidR="00F507F1" w:rsidRPr="00CF7F8E" w:rsidRDefault="00F507F1" w:rsidP="008E735C">
            <w:pPr>
              <w:spacing w:after="0" w:line="240" w:lineRule="auto"/>
              <w:rPr>
                <w:rFonts w:cs="Tahoma"/>
                <w:sz w:val="20"/>
                <w:szCs w:val="20"/>
                <w:lang w:eastAsia="fr-FR"/>
              </w:rPr>
            </w:pPr>
          </w:p>
        </w:tc>
        <w:tc>
          <w:tcPr>
            <w:tcW w:w="2352" w:type="dxa"/>
            <w:tcBorders>
              <w:top w:val="nil"/>
              <w:left w:val="nil"/>
              <w:bottom w:val="single" w:sz="8" w:space="0" w:color="auto"/>
              <w:right w:val="single" w:sz="8" w:space="0" w:color="auto"/>
            </w:tcBorders>
            <w:vAlign w:val="bottom"/>
            <w:hideMark/>
          </w:tcPr>
          <w:p w14:paraId="504AE8A8" w14:textId="77777777" w:rsidR="00F507F1" w:rsidRPr="00CF7F8E" w:rsidRDefault="00F507F1" w:rsidP="008E735C">
            <w:pPr>
              <w:spacing w:after="0" w:line="240" w:lineRule="auto"/>
              <w:ind w:left="540"/>
              <w:rPr>
                <w:rFonts w:cs="Tahoma"/>
                <w:b/>
                <w:bCs/>
                <w:sz w:val="20"/>
                <w:szCs w:val="20"/>
                <w:lang w:eastAsia="fr-FR"/>
              </w:rPr>
            </w:pPr>
            <w:r w:rsidRPr="00CF7F8E">
              <w:rPr>
                <w:rFonts w:cs="Tahoma"/>
                <w:b/>
                <w:bCs/>
                <w:sz w:val="20"/>
                <w:szCs w:val="20"/>
                <w:lang w:eastAsia="fr-FR"/>
              </w:rPr>
              <w:t>2017</w:t>
            </w:r>
          </w:p>
        </w:tc>
        <w:tc>
          <w:tcPr>
            <w:tcW w:w="2405" w:type="dxa"/>
            <w:tcBorders>
              <w:top w:val="nil"/>
              <w:left w:val="nil"/>
              <w:bottom w:val="single" w:sz="8" w:space="0" w:color="auto"/>
              <w:right w:val="single" w:sz="8" w:space="0" w:color="auto"/>
            </w:tcBorders>
            <w:vAlign w:val="bottom"/>
            <w:hideMark/>
          </w:tcPr>
          <w:p w14:paraId="64CC4906" w14:textId="77777777" w:rsidR="00F507F1" w:rsidRPr="00CF7F8E" w:rsidRDefault="00F507F1" w:rsidP="008E735C">
            <w:pPr>
              <w:spacing w:after="0" w:line="240" w:lineRule="auto"/>
              <w:ind w:left="200"/>
              <w:rPr>
                <w:rFonts w:cs="Tahoma"/>
                <w:b/>
                <w:bCs/>
                <w:sz w:val="20"/>
                <w:szCs w:val="20"/>
                <w:lang w:eastAsia="fr-FR"/>
              </w:rPr>
            </w:pPr>
            <w:r w:rsidRPr="00CF7F8E">
              <w:rPr>
                <w:rFonts w:cs="Tahoma"/>
                <w:b/>
                <w:bCs/>
                <w:sz w:val="20"/>
                <w:szCs w:val="20"/>
                <w:lang w:eastAsia="fr-FR"/>
              </w:rPr>
              <w:t>Cible du pays (2030)</w:t>
            </w:r>
          </w:p>
        </w:tc>
      </w:tr>
      <w:tr w:rsidR="00F507F1" w:rsidRPr="00CF7F8E" w14:paraId="31645FFA" w14:textId="77777777" w:rsidTr="008E735C">
        <w:trPr>
          <w:trHeight w:val="195"/>
        </w:trPr>
        <w:tc>
          <w:tcPr>
            <w:tcW w:w="2291" w:type="dxa"/>
            <w:vMerge w:val="restart"/>
            <w:tcBorders>
              <w:top w:val="nil"/>
              <w:left w:val="single" w:sz="8" w:space="0" w:color="auto"/>
              <w:bottom w:val="nil"/>
              <w:right w:val="single" w:sz="8" w:space="0" w:color="auto"/>
            </w:tcBorders>
            <w:vAlign w:val="bottom"/>
            <w:hideMark/>
          </w:tcPr>
          <w:p w14:paraId="6A65D97D" w14:textId="77777777" w:rsidR="00F507F1" w:rsidRPr="00CF7F8E" w:rsidRDefault="00F507F1" w:rsidP="008E735C">
            <w:pPr>
              <w:spacing w:after="0" w:line="240" w:lineRule="auto"/>
              <w:ind w:left="120"/>
              <w:rPr>
                <w:rFonts w:cs="Tahoma"/>
                <w:b/>
                <w:bCs/>
                <w:sz w:val="20"/>
                <w:szCs w:val="20"/>
                <w:lang w:eastAsia="fr-FR"/>
              </w:rPr>
            </w:pPr>
            <w:r w:rsidRPr="00CF7F8E">
              <w:rPr>
                <w:rFonts w:cs="Tahoma"/>
                <w:b/>
                <w:bCs/>
                <w:sz w:val="20"/>
                <w:szCs w:val="20"/>
                <w:lang w:eastAsia="fr-FR"/>
              </w:rPr>
              <w:t xml:space="preserve">Espérance de vie </w:t>
            </w:r>
          </w:p>
        </w:tc>
        <w:tc>
          <w:tcPr>
            <w:tcW w:w="3302" w:type="dxa"/>
            <w:tcBorders>
              <w:top w:val="nil"/>
              <w:left w:val="nil"/>
              <w:bottom w:val="single" w:sz="8" w:space="0" w:color="auto"/>
              <w:right w:val="single" w:sz="8" w:space="0" w:color="auto"/>
            </w:tcBorders>
            <w:vAlign w:val="bottom"/>
            <w:hideMark/>
          </w:tcPr>
          <w:p w14:paraId="60558E23"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Espérance de vie</w:t>
            </w:r>
          </w:p>
        </w:tc>
        <w:tc>
          <w:tcPr>
            <w:tcW w:w="2352" w:type="dxa"/>
            <w:tcBorders>
              <w:top w:val="nil"/>
              <w:left w:val="nil"/>
              <w:bottom w:val="single" w:sz="8" w:space="0" w:color="auto"/>
              <w:right w:val="single" w:sz="8" w:space="0" w:color="auto"/>
            </w:tcBorders>
            <w:vAlign w:val="bottom"/>
            <w:hideMark/>
          </w:tcPr>
          <w:p w14:paraId="4D3ACCF9" w14:textId="77777777" w:rsidR="00F507F1" w:rsidRPr="00CF7F8E" w:rsidRDefault="00F507F1" w:rsidP="008E735C">
            <w:pPr>
              <w:spacing w:after="0" w:line="240" w:lineRule="auto"/>
              <w:jc w:val="center"/>
              <w:rPr>
                <w:rFonts w:cs="Tahoma"/>
                <w:sz w:val="20"/>
                <w:szCs w:val="20"/>
                <w:lang w:eastAsia="fr-FR"/>
              </w:rPr>
            </w:pPr>
            <w:r w:rsidRPr="00CF7F8E">
              <w:rPr>
                <w:rFonts w:cs="Tahoma"/>
                <w:sz w:val="20"/>
                <w:szCs w:val="20"/>
              </w:rPr>
              <w:t>60,5</w:t>
            </w:r>
          </w:p>
        </w:tc>
        <w:tc>
          <w:tcPr>
            <w:tcW w:w="2405" w:type="dxa"/>
            <w:tcBorders>
              <w:top w:val="nil"/>
              <w:left w:val="nil"/>
              <w:bottom w:val="single" w:sz="8" w:space="0" w:color="auto"/>
              <w:right w:val="single" w:sz="8" w:space="0" w:color="auto"/>
            </w:tcBorders>
            <w:vAlign w:val="bottom"/>
          </w:tcPr>
          <w:p w14:paraId="63D65AC0" w14:textId="77777777" w:rsidR="00F507F1" w:rsidRPr="00CF7F8E" w:rsidRDefault="00F507F1" w:rsidP="008E735C">
            <w:pPr>
              <w:spacing w:after="0" w:line="240" w:lineRule="auto"/>
              <w:jc w:val="center"/>
              <w:rPr>
                <w:rFonts w:cs="Tahoma"/>
                <w:sz w:val="20"/>
                <w:szCs w:val="20"/>
                <w:lang w:eastAsia="fr-FR"/>
              </w:rPr>
            </w:pPr>
          </w:p>
        </w:tc>
      </w:tr>
      <w:tr w:rsidR="00F507F1" w:rsidRPr="00CF7F8E" w14:paraId="49C0F9BA" w14:textId="77777777" w:rsidTr="008E735C">
        <w:trPr>
          <w:trHeight w:val="88"/>
        </w:trPr>
        <w:tc>
          <w:tcPr>
            <w:tcW w:w="0" w:type="auto"/>
            <w:vMerge/>
            <w:tcBorders>
              <w:top w:val="nil"/>
              <w:left w:val="single" w:sz="8" w:space="0" w:color="auto"/>
              <w:bottom w:val="nil"/>
              <w:right w:val="single" w:sz="8" w:space="0" w:color="auto"/>
            </w:tcBorders>
            <w:vAlign w:val="center"/>
            <w:hideMark/>
          </w:tcPr>
          <w:p w14:paraId="72C2C6B2" w14:textId="77777777" w:rsidR="00F507F1" w:rsidRPr="00CF7F8E" w:rsidRDefault="00F507F1" w:rsidP="008E735C">
            <w:pPr>
              <w:spacing w:after="0" w:line="240" w:lineRule="auto"/>
              <w:rPr>
                <w:rFonts w:cs="Tahoma"/>
                <w:b/>
                <w:bCs/>
                <w:sz w:val="20"/>
                <w:szCs w:val="20"/>
                <w:lang w:eastAsia="fr-FR"/>
              </w:rPr>
            </w:pPr>
          </w:p>
        </w:tc>
        <w:tc>
          <w:tcPr>
            <w:tcW w:w="3302" w:type="dxa"/>
            <w:vMerge w:val="restart"/>
            <w:tcBorders>
              <w:top w:val="nil"/>
              <w:left w:val="nil"/>
              <w:bottom w:val="single" w:sz="8" w:space="0" w:color="auto"/>
              <w:right w:val="single" w:sz="8" w:space="0" w:color="auto"/>
            </w:tcBorders>
            <w:vAlign w:val="bottom"/>
            <w:hideMark/>
          </w:tcPr>
          <w:p w14:paraId="354D8271"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Espérance de vie en bonne santé</w:t>
            </w:r>
          </w:p>
        </w:tc>
        <w:tc>
          <w:tcPr>
            <w:tcW w:w="2352" w:type="dxa"/>
            <w:tcBorders>
              <w:top w:val="nil"/>
              <w:left w:val="nil"/>
              <w:bottom w:val="nil"/>
              <w:right w:val="single" w:sz="8" w:space="0" w:color="auto"/>
            </w:tcBorders>
            <w:vAlign w:val="bottom"/>
          </w:tcPr>
          <w:p w14:paraId="7991F28D" w14:textId="77777777" w:rsidR="00F507F1" w:rsidRPr="00CF7F8E" w:rsidRDefault="00F507F1" w:rsidP="008E735C">
            <w:pPr>
              <w:spacing w:after="0" w:line="240" w:lineRule="auto"/>
              <w:rPr>
                <w:rFonts w:cs="Tahoma"/>
                <w:sz w:val="20"/>
                <w:szCs w:val="20"/>
                <w:lang w:eastAsia="fr-FR"/>
              </w:rPr>
            </w:pPr>
          </w:p>
        </w:tc>
        <w:tc>
          <w:tcPr>
            <w:tcW w:w="2405" w:type="dxa"/>
            <w:tcBorders>
              <w:top w:val="nil"/>
              <w:left w:val="nil"/>
              <w:bottom w:val="nil"/>
              <w:right w:val="single" w:sz="8" w:space="0" w:color="auto"/>
            </w:tcBorders>
            <w:vAlign w:val="bottom"/>
          </w:tcPr>
          <w:p w14:paraId="6F1312B1"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73165C3D" w14:textId="77777777" w:rsidTr="008E735C">
        <w:trPr>
          <w:trHeight w:val="60"/>
        </w:trPr>
        <w:tc>
          <w:tcPr>
            <w:tcW w:w="2291" w:type="dxa"/>
            <w:tcBorders>
              <w:top w:val="nil"/>
              <w:left w:val="single" w:sz="8" w:space="0" w:color="auto"/>
              <w:bottom w:val="single" w:sz="8" w:space="0" w:color="auto"/>
              <w:right w:val="single" w:sz="8" w:space="0" w:color="auto"/>
            </w:tcBorders>
            <w:vAlign w:val="bottom"/>
          </w:tcPr>
          <w:p w14:paraId="0B391DEE" w14:textId="77777777" w:rsidR="00F507F1" w:rsidRPr="00CF7F8E" w:rsidRDefault="00F507F1" w:rsidP="008E735C">
            <w:pPr>
              <w:spacing w:after="0" w:line="240" w:lineRule="auto"/>
              <w:rPr>
                <w:rFonts w:cs="Tahoma"/>
                <w:sz w:val="20"/>
                <w:szCs w:val="20"/>
                <w:lang w:eastAsia="fr-FR"/>
              </w:rPr>
            </w:pPr>
          </w:p>
        </w:tc>
        <w:tc>
          <w:tcPr>
            <w:tcW w:w="0" w:type="auto"/>
            <w:vMerge/>
            <w:tcBorders>
              <w:top w:val="nil"/>
              <w:left w:val="nil"/>
              <w:bottom w:val="single" w:sz="8" w:space="0" w:color="auto"/>
              <w:right w:val="single" w:sz="8" w:space="0" w:color="auto"/>
            </w:tcBorders>
            <w:vAlign w:val="center"/>
            <w:hideMark/>
          </w:tcPr>
          <w:p w14:paraId="293DE045" w14:textId="77777777" w:rsidR="00F507F1" w:rsidRPr="00CF7F8E" w:rsidRDefault="00F507F1" w:rsidP="008E735C">
            <w:pPr>
              <w:spacing w:after="0" w:line="240" w:lineRule="auto"/>
              <w:rPr>
                <w:rFonts w:cs="Tahoma"/>
                <w:sz w:val="20"/>
                <w:szCs w:val="20"/>
                <w:lang w:eastAsia="fr-FR"/>
              </w:rPr>
            </w:pPr>
          </w:p>
        </w:tc>
        <w:tc>
          <w:tcPr>
            <w:tcW w:w="2352" w:type="dxa"/>
            <w:tcBorders>
              <w:top w:val="nil"/>
              <w:left w:val="nil"/>
              <w:bottom w:val="single" w:sz="8" w:space="0" w:color="auto"/>
              <w:right w:val="single" w:sz="8" w:space="0" w:color="auto"/>
            </w:tcBorders>
            <w:vAlign w:val="bottom"/>
          </w:tcPr>
          <w:p w14:paraId="45D1825F"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11833F0C"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00903DD7" w14:textId="77777777" w:rsidTr="008E735C">
        <w:trPr>
          <w:trHeight w:val="197"/>
        </w:trPr>
        <w:tc>
          <w:tcPr>
            <w:tcW w:w="2291" w:type="dxa"/>
            <w:tcBorders>
              <w:top w:val="nil"/>
              <w:left w:val="single" w:sz="8" w:space="0" w:color="auto"/>
              <w:bottom w:val="single" w:sz="8" w:space="0" w:color="auto"/>
              <w:right w:val="single" w:sz="8" w:space="0" w:color="auto"/>
            </w:tcBorders>
            <w:vAlign w:val="bottom"/>
          </w:tcPr>
          <w:p w14:paraId="3BDD88CC"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tcPr>
          <w:p w14:paraId="3CD5BEAB" w14:textId="77777777" w:rsidR="00F507F1" w:rsidRPr="00CF7F8E" w:rsidRDefault="00F507F1" w:rsidP="008E735C">
            <w:pPr>
              <w:spacing w:after="0" w:line="240" w:lineRule="auto"/>
              <w:rPr>
                <w:rFonts w:cs="Tahoma"/>
                <w:sz w:val="20"/>
                <w:szCs w:val="20"/>
                <w:lang w:eastAsia="fr-FR"/>
              </w:rPr>
            </w:pPr>
          </w:p>
        </w:tc>
        <w:tc>
          <w:tcPr>
            <w:tcW w:w="2352" w:type="dxa"/>
            <w:tcBorders>
              <w:top w:val="nil"/>
              <w:left w:val="nil"/>
              <w:bottom w:val="single" w:sz="8" w:space="0" w:color="auto"/>
              <w:right w:val="single" w:sz="8" w:space="0" w:color="auto"/>
            </w:tcBorders>
            <w:vAlign w:val="bottom"/>
          </w:tcPr>
          <w:p w14:paraId="6F0087AD" w14:textId="77777777" w:rsidR="00F507F1" w:rsidRPr="00CF7F8E" w:rsidRDefault="00F507F1" w:rsidP="008E735C">
            <w:pPr>
              <w:spacing w:after="0" w:line="240" w:lineRule="auto"/>
              <w:jc w:val="center"/>
              <w:rPr>
                <w:rFonts w:cs="Tahoma"/>
                <w:sz w:val="20"/>
                <w:szCs w:val="20"/>
              </w:rPr>
            </w:pPr>
          </w:p>
        </w:tc>
        <w:tc>
          <w:tcPr>
            <w:tcW w:w="2405" w:type="dxa"/>
            <w:tcBorders>
              <w:top w:val="nil"/>
              <w:left w:val="nil"/>
              <w:bottom w:val="single" w:sz="8" w:space="0" w:color="auto"/>
              <w:right w:val="single" w:sz="8" w:space="0" w:color="auto"/>
            </w:tcBorders>
            <w:vAlign w:val="bottom"/>
          </w:tcPr>
          <w:p w14:paraId="0261E4B9"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08B958B0" w14:textId="77777777" w:rsidTr="008E735C">
        <w:trPr>
          <w:trHeight w:val="197"/>
        </w:trPr>
        <w:tc>
          <w:tcPr>
            <w:tcW w:w="2291" w:type="dxa"/>
            <w:tcBorders>
              <w:top w:val="nil"/>
              <w:left w:val="single" w:sz="8" w:space="0" w:color="auto"/>
              <w:bottom w:val="nil"/>
              <w:right w:val="single" w:sz="8" w:space="0" w:color="auto"/>
            </w:tcBorders>
            <w:vAlign w:val="bottom"/>
          </w:tcPr>
          <w:p w14:paraId="38A1102A"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15F5E86E"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VIH</w:t>
            </w:r>
          </w:p>
        </w:tc>
        <w:tc>
          <w:tcPr>
            <w:tcW w:w="2352" w:type="dxa"/>
            <w:tcBorders>
              <w:top w:val="nil"/>
              <w:left w:val="nil"/>
              <w:bottom w:val="single" w:sz="8" w:space="0" w:color="auto"/>
              <w:right w:val="single" w:sz="8" w:space="0" w:color="auto"/>
            </w:tcBorders>
            <w:vAlign w:val="bottom"/>
            <w:hideMark/>
          </w:tcPr>
          <w:p w14:paraId="15E28E25"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2F73CE2D"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07ED354C" w14:textId="77777777" w:rsidTr="008E735C">
        <w:trPr>
          <w:trHeight w:val="196"/>
        </w:trPr>
        <w:tc>
          <w:tcPr>
            <w:tcW w:w="2291" w:type="dxa"/>
            <w:tcBorders>
              <w:top w:val="nil"/>
              <w:left w:val="single" w:sz="8" w:space="0" w:color="auto"/>
              <w:bottom w:val="nil"/>
              <w:right w:val="single" w:sz="8" w:space="0" w:color="auto"/>
            </w:tcBorders>
            <w:vAlign w:val="bottom"/>
          </w:tcPr>
          <w:p w14:paraId="498BFE3A"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1AA4C9F2"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Tuberculose</w:t>
            </w:r>
          </w:p>
        </w:tc>
        <w:tc>
          <w:tcPr>
            <w:tcW w:w="2352" w:type="dxa"/>
            <w:tcBorders>
              <w:top w:val="nil"/>
              <w:left w:val="nil"/>
              <w:bottom w:val="single" w:sz="8" w:space="0" w:color="auto"/>
              <w:right w:val="single" w:sz="8" w:space="0" w:color="auto"/>
            </w:tcBorders>
            <w:vAlign w:val="bottom"/>
            <w:hideMark/>
          </w:tcPr>
          <w:p w14:paraId="3EE3F858" w14:textId="77777777" w:rsidR="00F507F1" w:rsidRPr="00CF7F8E" w:rsidRDefault="00F507F1" w:rsidP="008E735C">
            <w:pPr>
              <w:spacing w:after="0" w:line="240" w:lineRule="auto"/>
              <w:jc w:val="center"/>
              <w:rPr>
                <w:rFonts w:cs="Tahoma"/>
                <w:sz w:val="20"/>
                <w:szCs w:val="20"/>
              </w:rPr>
            </w:pPr>
            <w:r w:rsidRPr="00CF7F8E">
              <w:rPr>
                <w:rFonts w:cs="Tahoma"/>
                <w:sz w:val="20"/>
                <w:szCs w:val="20"/>
              </w:rPr>
              <w:t>90/100000 hbts</w:t>
            </w:r>
            <w:r w:rsidRPr="00CF7F8E">
              <w:rPr>
                <w:rFonts w:cs="Tahoma"/>
                <w:sz w:val="20"/>
                <w:szCs w:val="20"/>
              </w:rPr>
              <w:footnoteReference w:id="15"/>
            </w:r>
          </w:p>
        </w:tc>
        <w:tc>
          <w:tcPr>
            <w:tcW w:w="2405" w:type="dxa"/>
            <w:tcBorders>
              <w:top w:val="nil"/>
              <w:left w:val="nil"/>
              <w:bottom w:val="single" w:sz="8" w:space="0" w:color="auto"/>
              <w:right w:val="single" w:sz="8" w:space="0" w:color="auto"/>
            </w:tcBorders>
            <w:vAlign w:val="bottom"/>
          </w:tcPr>
          <w:p w14:paraId="4ABB20FC"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3E3843C3" w14:textId="77777777" w:rsidTr="008E735C">
        <w:trPr>
          <w:trHeight w:val="195"/>
        </w:trPr>
        <w:tc>
          <w:tcPr>
            <w:tcW w:w="2291" w:type="dxa"/>
            <w:tcBorders>
              <w:top w:val="nil"/>
              <w:left w:val="single" w:sz="8" w:space="0" w:color="auto"/>
              <w:bottom w:val="nil"/>
              <w:right w:val="single" w:sz="8" w:space="0" w:color="auto"/>
            </w:tcBorders>
            <w:vAlign w:val="bottom"/>
          </w:tcPr>
          <w:p w14:paraId="32225E9B" w14:textId="77777777" w:rsidR="00F507F1" w:rsidRPr="00CF7F8E" w:rsidRDefault="00F507F1" w:rsidP="008E735C">
            <w:pPr>
              <w:spacing w:after="0" w:line="240" w:lineRule="auto"/>
              <w:ind w:left="120"/>
              <w:rPr>
                <w:rFonts w:cs="Tahoma"/>
                <w:b/>
                <w:bCs/>
                <w:sz w:val="20"/>
                <w:szCs w:val="20"/>
                <w:lang w:eastAsia="fr-FR"/>
              </w:rPr>
            </w:pPr>
          </w:p>
        </w:tc>
        <w:tc>
          <w:tcPr>
            <w:tcW w:w="3302" w:type="dxa"/>
            <w:tcBorders>
              <w:top w:val="nil"/>
              <w:left w:val="nil"/>
              <w:bottom w:val="single" w:sz="8" w:space="0" w:color="auto"/>
              <w:right w:val="single" w:sz="8" w:space="0" w:color="auto"/>
            </w:tcBorders>
            <w:vAlign w:val="bottom"/>
            <w:hideMark/>
          </w:tcPr>
          <w:p w14:paraId="6B942A69"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Paludisme</w:t>
            </w:r>
          </w:p>
        </w:tc>
        <w:tc>
          <w:tcPr>
            <w:tcW w:w="2352" w:type="dxa"/>
            <w:tcBorders>
              <w:top w:val="nil"/>
              <w:left w:val="nil"/>
              <w:bottom w:val="single" w:sz="8" w:space="0" w:color="auto"/>
              <w:right w:val="single" w:sz="8" w:space="0" w:color="auto"/>
            </w:tcBorders>
            <w:vAlign w:val="bottom"/>
            <w:hideMark/>
          </w:tcPr>
          <w:p w14:paraId="2E2BF0A3" w14:textId="77777777" w:rsidR="00F507F1" w:rsidRPr="00CF7F8E" w:rsidRDefault="00F507F1" w:rsidP="008E735C">
            <w:pPr>
              <w:spacing w:after="0" w:line="240" w:lineRule="auto"/>
              <w:jc w:val="center"/>
              <w:rPr>
                <w:rFonts w:cs="Tahoma"/>
                <w:sz w:val="20"/>
                <w:szCs w:val="20"/>
              </w:rPr>
            </w:pPr>
            <w:r w:rsidRPr="00CF7F8E">
              <w:rPr>
                <w:rFonts w:cs="Tahoma"/>
                <w:sz w:val="20"/>
                <w:szCs w:val="20"/>
              </w:rPr>
              <w:t xml:space="preserve">115 cas/1.000 </w:t>
            </w:r>
          </w:p>
        </w:tc>
        <w:tc>
          <w:tcPr>
            <w:tcW w:w="2405" w:type="dxa"/>
            <w:tcBorders>
              <w:top w:val="nil"/>
              <w:left w:val="nil"/>
              <w:bottom w:val="single" w:sz="8" w:space="0" w:color="auto"/>
              <w:right w:val="single" w:sz="8" w:space="0" w:color="auto"/>
            </w:tcBorders>
            <w:vAlign w:val="bottom"/>
          </w:tcPr>
          <w:p w14:paraId="66BB65AB"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7C54E4C6" w14:textId="77777777" w:rsidTr="008E735C">
        <w:trPr>
          <w:trHeight w:val="195"/>
        </w:trPr>
        <w:tc>
          <w:tcPr>
            <w:tcW w:w="2291" w:type="dxa"/>
            <w:vMerge w:val="restart"/>
            <w:tcBorders>
              <w:top w:val="nil"/>
              <w:left w:val="single" w:sz="8" w:space="0" w:color="auto"/>
              <w:bottom w:val="nil"/>
              <w:right w:val="single" w:sz="8" w:space="0" w:color="auto"/>
            </w:tcBorders>
            <w:vAlign w:val="bottom"/>
            <w:hideMark/>
          </w:tcPr>
          <w:p w14:paraId="0F8C663C" w14:textId="77777777" w:rsidR="00F507F1" w:rsidRPr="00CF7F8E" w:rsidRDefault="00F507F1" w:rsidP="008E735C">
            <w:pPr>
              <w:spacing w:after="0" w:line="240" w:lineRule="auto"/>
              <w:ind w:left="120"/>
              <w:rPr>
                <w:rFonts w:cs="Tahoma"/>
                <w:b/>
                <w:bCs/>
                <w:sz w:val="20"/>
                <w:szCs w:val="20"/>
                <w:lang w:eastAsia="fr-FR"/>
              </w:rPr>
            </w:pPr>
            <w:r w:rsidRPr="00CF7F8E">
              <w:rPr>
                <w:rFonts w:cs="Tahoma"/>
                <w:b/>
                <w:bCs/>
                <w:sz w:val="20"/>
                <w:szCs w:val="20"/>
                <w:lang w:eastAsia="fr-FR"/>
              </w:rPr>
              <w:t>Incidence des principaux problèmes de sante</w:t>
            </w:r>
          </w:p>
        </w:tc>
        <w:tc>
          <w:tcPr>
            <w:tcW w:w="3302" w:type="dxa"/>
            <w:tcBorders>
              <w:top w:val="nil"/>
              <w:left w:val="nil"/>
              <w:bottom w:val="single" w:sz="8" w:space="0" w:color="auto"/>
              <w:right w:val="single" w:sz="8" w:space="0" w:color="auto"/>
            </w:tcBorders>
            <w:vAlign w:val="bottom"/>
            <w:hideMark/>
          </w:tcPr>
          <w:p w14:paraId="183ACFD6"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Cancer (toutes causes)</w:t>
            </w:r>
          </w:p>
        </w:tc>
        <w:tc>
          <w:tcPr>
            <w:tcW w:w="2352" w:type="dxa"/>
            <w:tcBorders>
              <w:top w:val="nil"/>
              <w:left w:val="nil"/>
              <w:bottom w:val="single" w:sz="8" w:space="0" w:color="auto"/>
              <w:right w:val="single" w:sz="8" w:space="0" w:color="auto"/>
            </w:tcBorders>
            <w:vAlign w:val="bottom"/>
          </w:tcPr>
          <w:p w14:paraId="2343F586" w14:textId="77777777" w:rsidR="00F507F1" w:rsidRPr="00CF7F8E" w:rsidRDefault="00F507F1" w:rsidP="008E735C">
            <w:pPr>
              <w:spacing w:after="0" w:line="240" w:lineRule="auto"/>
              <w:jc w:val="center"/>
              <w:rPr>
                <w:rFonts w:cs="Tahoma"/>
                <w:sz w:val="20"/>
                <w:szCs w:val="20"/>
              </w:rPr>
            </w:pPr>
            <w:r w:rsidRPr="00CF7F8E">
              <w:rPr>
                <w:rFonts w:cs="Tahoma"/>
                <w:sz w:val="20"/>
                <w:szCs w:val="20"/>
              </w:rPr>
              <w:t>11 000 cas/an</w:t>
            </w:r>
          </w:p>
        </w:tc>
        <w:tc>
          <w:tcPr>
            <w:tcW w:w="2405" w:type="dxa"/>
            <w:tcBorders>
              <w:top w:val="nil"/>
              <w:left w:val="nil"/>
              <w:bottom w:val="single" w:sz="8" w:space="0" w:color="auto"/>
              <w:right w:val="single" w:sz="8" w:space="0" w:color="auto"/>
            </w:tcBorders>
            <w:vAlign w:val="bottom"/>
          </w:tcPr>
          <w:p w14:paraId="012ED2AD"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39D0BFFF" w14:textId="77777777" w:rsidTr="008E735C">
        <w:trPr>
          <w:trHeight w:val="93"/>
        </w:trPr>
        <w:tc>
          <w:tcPr>
            <w:tcW w:w="0" w:type="auto"/>
            <w:vMerge/>
            <w:tcBorders>
              <w:top w:val="nil"/>
              <w:left w:val="single" w:sz="8" w:space="0" w:color="auto"/>
              <w:bottom w:val="nil"/>
              <w:right w:val="single" w:sz="8" w:space="0" w:color="auto"/>
            </w:tcBorders>
            <w:vAlign w:val="center"/>
            <w:hideMark/>
          </w:tcPr>
          <w:p w14:paraId="5FD98D65" w14:textId="77777777" w:rsidR="00F507F1" w:rsidRPr="00CF7F8E" w:rsidRDefault="00F507F1" w:rsidP="008E735C">
            <w:pPr>
              <w:spacing w:after="0" w:line="240" w:lineRule="auto"/>
              <w:rPr>
                <w:rFonts w:cs="Tahoma"/>
                <w:b/>
                <w:bCs/>
                <w:sz w:val="20"/>
                <w:szCs w:val="20"/>
                <w:lang w:eastAsia="fr-FR"/>
              </w:rPr>
            </w:pPr>
          </w:p>
        </w:tc>
        <w:tc>
          <w:tcPr>
            <w:tcW w:w="3302" w:type="dxa"/>
            <w:vMerge w:val="restart"/>
            <w:tcBorders>
              <w:top w:val="nil"/>
              <w:left w:val="nil"/>
              <w:bottom w:val="single" w:sz="8" w:space="0" w:color="auto"/>
              <w:right w:val="single" w:sz="8" w:space="0" w:color="auto"/>
            </w:tcBorders>
            <w:vAlign w:val="bottom"/>
            <w:hideMark/>
          </w:tcPr>
          <w:p w14:paraId="38123EAC"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Maladies pulmonaires obstructives chroniques</w:t>
            </w:r>
          </w:p>
        </w:tc>
        <w:tc>
          <w:tcPr>
            <w:tcW w:w="2352" w:type="dxa"/>
            <w:tcBorders>
              <w:top w:val="nil"/>
              <w:left w:val="nil"/>
              <w:bottom w:val="nil"/>
              <w:right w:val="single" w:sz="8" w:space="0" w:color="auto"/>
            </w:tcBorders>
            <w:vAlign w:val="bottom"/>
          </w:tcPr>
          <w:p w14:paraId="2EFB244D"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nil"/>
              <w:right w:val="single" w:sz="8" w:space="0" w:color="auto"/>
            </w:tcBorders>
            <w:vAlign w:val="bottom"/>
          </w:tcPr>
          <w:p w14:paraId="73AC7350"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4C786107" w14:textId="77777777" w:rsidTr="008E735C">
        <w:trPr>
          <w:trHeight w:val="104"/>
        </w:trPr>
        <w:tc>
          <w:tcPr>
            <w:tcW w:w="2291" w:type="dxa"/>
            <w:vMerge w:val="restart"/>
            <w:tcBorders>
              <w:top w:val="nil"/>
              <w:left w:val="single" w:sz="8" w:space="0" w:color="auto"/>
              <w:bottom w:val="nil"/>
              <w:right w:val="single" w:sz="8" w:space="0" w:color="auto"/>
            </w:tcBorders>
            <w:vAlign w:val="bottom"/>
          </w:tcPr>
          <w:p w14:paraId="18625DE6" w14:textId="77777777" w:rsidR="00F507F1" w:rsidRPr="00CF7F8E" w:rsidRDefault="00F507F1" w:rsidP="008E735C">
            <w:pPr>
              <w:spacing w:after="0" w:line="240" w:lineRule="auto"/>
              <w:rPr>
                <w:rFonts w:cs="Tahoma"/>
                <w:b/>
                <w:bCs/>
                <w:sz w:val="20"/>
                <w:szCs w:val="20"/>
                <w:lang w:eastAsia="fr-FR"/>
              </w:rPr>
            </w:pPr>
          </w:p>
        </w:tc>
        <w:tc>
          <w:tcPr>
            <w:tcW w:w="0" w:type="auto"/>
            <w:vMerge/>
            <w:tcBorders>
              <w:top w:val="nil"/>
              <w:left w:val="nil"/>
              <w:bottom w:val="single" w:sz="8" w:space="0" w:color="auto"/>
              <w:right w:val="single" w:sz="8" w:space="0" w:color="auto"/>
            </w:tcBorders>
            <w:vAlign w:val="center"/>
            <w:hideMark/>
          </w:tcPr>
          <w:p w14:paraId="10B9063E" w14:textId="77777777" w:rsidR="00F507F1" w:rsidRPr="00CF7F8E" w:rsidRDefault="00F507F1" w:rsidP="008E735C">
            <w:pPr>
              <w:spacing w:after="0" w:line="240" w:lineRule="auto"/>
              <w:rPr>
                <w:rFonts w:cs="Tahoma"/>
                <w:sz w:val="20"/>
                <w:szCs w:val="20"/>
                <w:lang w:eastAsia="fr-FR"/>
              </w:rPr>
            </w:pPr>
          </w:p>
        </w:tc>
        <w:tc>
          <w:tcPr>
            <w:tcW w:w="2352" w:type="dxa"/>
            <w:tcBorders>
              <w:top w:val="nil"/>
              <w:left w:val="nil"/>
              <w:bottom w:val="single" w:sz="8" w:space="0" w:color="auto"/>
              <w:right w:val="single" w:sz="8" w:space="0" w:color="auto"/>
            </w:tcBorders>
            <w:vAlign w:val="bottom"/>
          </w:tcPr>
          <w:p w14:paraId="25312927" w14:textId="77777777" w:rsidR="00F507F1" w:rsidRPr="00CF7F8E" w:rsidRDefault="00F507F1" w:rsidP="008E735C">
            <w:pPr>
              <w:spacing w:after="0" w:line="240" w:lineRule="auto"/>
              <w:jc w:val="center"/>
              <w:rPr>
                <w:rFonts w:cs="Tahoma"/>
                <w:sz w:val="20"/>
                <w:szCs w:val="20"/>
              </w:rPr>
            </w:pPr>
          </w:p>
        </w:tc>
        <w:tc>
          <w:tcPr>
            <w:tcW w:w="2405" w:type="dxa"/>
            <w:tcBorders>
              <w:top w:val="nil"/>
              <w:left w:val="nil"/>
              <w:bottom w:val="single" w:sz="8" w:space="0" w:color="auto"/>
              <w:right w:val="single" w:sz="8" w:space="0" w:color="auto"/>
            </w:tcBorders>
            <w:vAlign w:val="bottom"/>
          </w:tcPr>
          <w:p w14:paraId="6A049295"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6F391E53" w14:textId="77777777" w:rsidTr="008E735C">
        <w:trPr>
          <w:trHeight w:val="82"/>
        </w:trPr>
        <w:tc>
          <w:tcPr>
            <w:tcW w:w="0" w:type="auto"/>
            <w:vMerge/>
            <w:tcBorders>
              <w:top w:val="nil"/>
              <w:left w:val="single" w:sz="8" w:space="0" w:color="auto"/>
              <w:bottom w:val="nil"/>
              <w:right w:val="single" w:sz="8" w:space="0" w:color="auto"/>
            </w:tcBorders>
            <w:vAlign w:val="center"/>
            <w:hideMark/>
          </w:tcPr>
          <w:p w14:paraId="412F2FE5" w14:textId="77777777" w:rsidR="00F507F1" w:rsidRPr="00CF7F8E" w:rsidRDefault="00F507F1" w:rsidP="008E735C">
            <w:pPr>
              <w:spacing w:after="0" w:line="240" w:lineRule="auto"/>
              <w:rPr>
                <w:rFonts w:cs="Tahoma"/>
                <w:b/>
                <w:bCs/>
                <w:sz w:val="20"/>
                <w:szCs w:val="20"/>
                <w:lang w:eastAsia="fr-FR"/>
              </w:rPr>
            </w:pPr>
          </w:p>
        </w:tc>
        <w:tc>
          <w:tcPr>
            <w:tcW w:w="3302" w:type="dxa"/>
            <w:vMerge w:val="restart"/>
            <w:tcBorders>
              <w:top w:val="nil"/>
              <w:left w:val="nil"/>
              <w:bottom w:val="single" w:sz="8" w:space="0" w:color="auto"/>
              <w:right w:val="single" w:sz="8" w:space="0" w:color="auto"/>
            </w:tcBorders>
            <w:vAlign w:val="bottom"/>
            <w:hideMark/>
          </w:tcPr>
          <w:p w14:paraId="4A4D42AD"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Diabète</w:t>
            </w:r>
          </w:p>
        </w:tc>
        <w:tc>
          <w:tcPr>
            <w:tcW w:w="2352" w:type="dxa"/>
            <w:tcBorders>
              <w:top w:val="nil"/>
              <w:left w:val="nil"/>
              <w:bottom w:val="nil"/>
              <w:right w:val="single" w:sz="8" w:space="0" w:color="auto"/>
            </w:tcBorders>
          </w:tcPr>
          <w:p w14:paraId="1103C290"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nil"/>
              <w:right w:val="single" w:sz="8" w:space="0" w:color="auto"/>
            </w:tcBorders>
            <w:vAlign w:val="bottom"/>
          </w:tcPr>
          <w:p w14:paraId="584BCE60"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35CFE904" w14:textId="77777777" w:rsidTr="008E735C">
        <w:trPr>
          <w:trHeight w:val="90"/>
        </w:trPr>
        <w:tc>
          <w:tcPr>
            <w:tcW w:w="2291" w:type="dxa"/>
            <w:tcBorders>
              <w:top w:val="nil"/>
              <w:left w:val="single" w:sz="8" w:space="0" w:color="auto"/>
              <w:bottom w:val="nil"/>
              <w:right w:val="single" w:sz="8" w:space="0" w:color="auto"/>
            </w:tcBorders>
            <w:vAlign w:val="bottom"/>
          </w:tcPr>
          <w:p w14:paraId="7D4D541A" w14:textId="77777777" w:rsidR="00F507F1" w:rsidRPr="00CF7F8E" w:rsidRDefault="00F507F1" w:rsidP="008E735C">
            <w:pPr>
              <w:spacing w:after="0" w:line="240" w:lineRule="auto"/>
              <w:rPr>
                <w:rFonts w:cs="Tahoma"/>
                <w:sz w:val="20"/>
                <w:szCs w:val="20"/>
                <w:lang w:eastAsia="fr-FR"/>
              </w:rPr>
            </w:pPr>
          </w:p>
        </w:tc>
        <w:tc>
          <w:tcPr>
            <w:tcW w:w="0" w:type="auto"/>
            <w:vMerge/>
            <w:tcBorders>
              <w:top w:val="nil"/>
              <w:left w:val="nil"/>
              <w:bottom w:val="single" w:sz="8" w:space="0" w:color="auto"/>
              <w:right w:val="single" w:sz="8" w:space="0" w:color="auto"/>
            </w:tcBorders>
            <w:vAlign w:val="center"/>
            <w:hideMark/>
          </w:tcPr>
          <w:p w14:paraId="1AA076B0" w14:textId="77777777" w:rsidR="00F507F1" w:rsidRPr="00CF7F8E" w:rsidRDefault="00F507F1" w:rsidP="008E735C">
            <w:pPr>
              <w:spacing w:after="0" w:line="240" w:lineRule="auto"/>
              <w:rPr>
                <w:rFonts w:cs="Tahoma"/>
                <w:sz w:val="20"/>
                <w:szCs w:val="20"/>
                <w:lang w:eastAsia="fr-FR"/>
              </w:rPr>
            </w:pPr>
          </w:p>
        </w:tc>
        <w:tc>
          <w:tcPr>
            <w:tcW w:w="2352" w:type="dxa"/>
            <w:tcBorders>
              <w:top w:val="nil"/>
              <w:left w:val="nil"/>
              <w:bottom w:val="single" w:sz="8" w:space="0" w:color="auto"/>
              <w:right w:val="single" w:sz="8" w:space="0" w:color="auto"/>
            </w:tcBorders>
          </w:tcPr>
          <w:p w14:paraId="18F6008D" w14:textId="77777777" w:rsidR="00F507F1" w:rsidRPr="00CF7F8E" w:rsidRDefault="00F507F1" w:rsidP="008E735C">
            <w:pPr>
              <w:spacing w:after="0" w:line="240" w:lineRule="auto"/>
              <w:rPr>
                <w:rFonts w:cs="Tahoma"/>
                <w:sz w:val="20"/>
                <w:szCs w:val="20"/>
              </w:rPr>
            </w:pPr>
          </w:p>
        </w:tc>
        <w:tc>
          <w:tcPr>
            <w:tcW w:w="2405" w:type="dxa"/>
            <w:tcBorders>
              <w:top w:val="nil"/>
              <w:left w:val="nil"/>
              <w:bottom w:val="single" w:sz="8" w:space="0" w:color="auto"/>
              <w:right w:val="single" w:sz="8" w:space="0" w:color="auto"/>
            </w:tcBorders>
            <w:vAlign w:val="bottom"/>
          </w:tcPr>
          <w:p w14:paraId="307FE70F"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34FB3A92" w14:textId="77777777" w:rsidTr="008E735C">
        <w:trPr>
          <w:trHeight w:val="199"/>
        </w:trPr>
        <w:tc>
          <w:tcPr>
            <w:tcW w:w="2291" w:type="dxa"/>
            <w:tcBorders>
              <w:top w:val="nil"/>
              <w:left w:val="single" w:sz="8" w:space="0" w:color="auto"/>
              <w:bottom w:val="nil"/>
              <w:right w:val="single" w:sz="8" w:space="0" w:color="auto"/>
            </w:tcBorders>
            <w:vAlign w:val="bottom"/>
          </w:tcPr>
          <w:p w14:paraId="042B0BA2"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0269FCC7"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AVC</w:t>
            </w:r>
          </w:p>
        </w:tc>
        <w:tc>
          <w:tcPr>
            <w:tcW w:w="2352" w:type="dxa"/>
            <w:tcBorders>
              <w:top w:val="nil"/>
              <w:left w:val="nil"/>
              <w:bottom w:val="single" w:sz="8" w:space="0" w:color="auto"/>
              <w:right w:val="single" w:sz="8" w:space="0" w:color="auto"/>
            </w:tcBorders>
          </w:tcPr>
          <w:p w14:paraId="3713173D"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726F5ACC"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713AB08B" w14:textId="77777777" w:rsidTr="008E735C">
        <w:trPr>
          <w:trHeight w:val="196"/>
        </w:trPr>
        <w:tc>
          <w:tcPr>
            <w:tcW w:w="2291" w:type="dxa"/>
            <w:tcBorders>
              <w:top w:val="nil"/>
              <w:left w:val="single" w:sz="8" w:space="0" w:color="auto"/>
              <w:bottom w:val="single" w:sz="8" w:space="0" w:color="auto"/>
              <w:right w:val="single" w:sz="8" w:space="0" w:color="auto"/>
            </w:tcBorders>
            <w:vAlign w:val="bottom"/>
          </w:tcPr>
          <w:p w14:paraId="2502D3A0"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787D59C5"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Événements liés à la circulation routière</w:t>
            </w:r>
          </w:p>
        </w:tc>
        <w:tc>
          <w:tcPr>
            <w:tcW w:w="2352" w:type="dxa"/>
            <w:tcBorders>
              <w:top w:val="nil"/>
              <w:left w:val="nil"/>
              <w:bottom w:val="single" w:sz="8" w:space="0" w:color="auto"/>
              <w:right w:val="single" w:sz="8" w:space="0" w:color="auto"/>
            </w:tcBorders>
          </w:tcPr>
          <w:p w14:paraId="7BE9C0B1"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51923651"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4D2CFDB0" w14:textId="77777777" w:rsidTr="008E735C">
        <w:trPr>
          <w:trHeight w:val="197"/>
        </w:trPr>
        <w:tc>
          <w:tcPr>
            <w:tcW w:w="2291" w:type="dxa"/>
            <w:tcBorders>
              <w:top w:val="nil"/>
              <w:left w:val="single" w:sz="8" w:space="0" w:color="auto"/>
              <w:bottom w:val="single" w:sz="8" w:space="0" w:color="auto"/>
              <w:right w:val="single" w:sz="8" w:space="0" w:color="auto"/>
            </w:tcBorders>
            <w:vAlign w:val="bottom"/>
          </w:tcPr>
          <w:p w14:paraId="7393ACA5"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tcPr>
          <w:p w14:paraId="0353225E" w14:textId="77777777" w:rsidR="00F507F1" w:rsidRPr="00CF7F8E" w:rsidRDefault="00F507F1" w:rsidP="008E735C">
            <w:pPr>
              <w:spacing w:after="0" w:line="240" w:lineRule="auto"/>
              <w:rPr>
                <w:rFonts w:cs="Tahoma"/>
                <w:sz w:val="20"/>
                <w:szCs w:val="20"/>
                <w:lang w:eastAsia="fr-FR"/>
              </w:rPr>
            </w:pPr>
          </w:p>
        </w:tc>
        <w:tc>
          <w:tcPr>
            <w:tcW w:w="2352" w:type="dxa"/>
            <w:tcBorders>
              <w:top w:val="nil"/>
              <w:left w:val="nil"/>
              <w:bottom w:val="single" w:sz="8" w:space="0" w:color="auto"/>
              <w:right w:val="single" w:sz="8" w:space="0" w:color="auto"/>
            </w:tcBorders>
            <w:vAlign w:val="bottom"/>
          </w:tcPr>
          <w:p w14:paraId="275A1D55" w14:textId="77777777" w:rsidR="00F507F1" w:rsidRPr="00CF7F8E" w:rsidRDefault="00F507F1" w:rsidP="008E735C">
            <w:pPr>
              <w:spacing w:after="0" w:line="240" w:lineRule="auto"/>
              <w:jc w:val="center"/>
              <w:rPr>
                <w:rFonts w:cs="Tahoma"/>
                <w:sz w:val="20"/>
                <w:szCs w:val="20"/>
              </w:rPr>
            </w:pPr>
          </w:p>
        </w:tc>
        <w:tc>
          <w:tcPr>
            <w:tcW w:w="2405" w:type="dxa"/>
            <w:tcBorders>
              <w:top w:val="nil"/>
              <w:left w:val="nil"/>
              <w:bottom w:val="single" w:sz="8" w:space="0" w:color="auto"/>
              <w:right w:val="single" w:sz="8" w:space="0" w:color="auto"/>
            </w:tcBorders>
            <w:vAlign w:val="bottom"/>
          </w:tcPr>
          <w:p w14:paraId="47240DAA"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06D0F845" w14:textId="77777777" w:rsidTr="008E735C">
        <w:trPr>
          <w:trHeight w:val="194"/>
        </w:trPr>
        <w:tc>
          <w:tcPr>
            <w:tcW w:w="2291" w:type="dxa"/>
            <w:tcBorders>
              <w:top w:val="nil"/>
              <w:left w:val="single" w:sz="8" w:space="0" w:color="auto"/>
              <w:bottom w:val="nil"/>
              <w:right w:val="single" w:sz="8" w:space="0" w:color="auto"/>
            </w:tcBorders>
            <w:vAlign w:val="bottom"/>
            <w:hideMark/>
          </w:tcPr>
          <w:p w14:paraId="520D14FD" w14:textId="77777777" w:rsidR="00F507F1" w:rsidRPr="00CF7F8E" w:rsidRDefault="00F507F1" w:rsidP="008E735C">
            <w:pPr>
              <w:spacing w:after="0" w:line="240" w:lineRule="auto"/>
              <w:ind w:left="120"/>
              <w:rPr>
                <w:rFonts w:cs="Tahoma"/>
                <w:b/>
                <w:bCs/>
                <w:sz w:val="20"/>
                <w:szCs w:val="20"/>
                <w:lang w:eastAsia="fr-FR"/>
              </w:rPr>
            </w:pPr>
            <w:r w:rsidRPr="00CF7F8E">
              <w:rPr>
                <w:rFonts w:cs="Tahoma"/>
                <w:b/>
                <w:bCs/>
                <w:sz w:val="20"/>
                <w:szCs w:val="20"/>
                <w:lang w:eastAsia="fr-FR"/>
              </w:rPr>
              <w:t>Prévalence des principaux problèmes de santé</w:t>
            </w:r>
          </w:p>
        </w:tc>
        <w:tc>
          <w:tcPr>
            <w:tcW w:w="3302" w:type="dxa"/>
            <w:tcBorders>
              <w:top w:val="nil"/>
              <w:left w:val="nil"/>
              <w:bottom w:val="single" w:sz="8" w:space="0" w:color="auto"/>
              <w:right w:val="single" w:sz="8" w:space="0" w:color="auto"/>
            </w:tcBorders>
            <w:vAlign w:val="bottom"/>
            <w:hideMark/>
          </w:tcPr>
          <w:p w14:paraId="5AEB15C2"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VIH</w:t>
            </w:r>
          </w:p>
        </w:tc>
        <w:tc>
          <w:tcPr>
            <w:tcW w:w="2352" w:type="dxa"/>
            <w:tcBorders>
              <w:top w:val="nil"/>
              <w:left w:val="nil"/>
              <w:bottom w:val="single" w:sz="8" w:space="0" w:color="auto"/>
              <w:right w:val="single" w:sz="8" w:space="0" w:color="auto"/>
            </w:tcBorders>
            <w:vAlign w:val="bottom"/>
            <w:hideMark/>
          </w:tcPr>
          <w:p w14:paraId="07AEAA3E" w14:textId="77777777" w:rsidR="00F507F1" w:rsidRPr="00CF7F8E" w:rsidRDefault="00F507F1" w:rsidP="008E735C">
            <w:pPr>
              <w:spacing w:after="0" w:line="240" w:lineRule="auto"/>
              <w:jc w:val="center"/>
              <w:rPr>
                <w:rFonts w:cs="Tahoma"/>
                <w:sz w:val="20"/>
                <w:szCs w:val="20"/>
              </w:rPr>
            </w:pPr>
            <w:r w:rsidRPr="00CF7F8E">
              <w:rPr>
                <w:rFonts w:cs="Tahoma"/>
                <w:sz w:val="20"/>
                <w:szCs w:val="20"/>
              </w:rPr>
              <w:t>0,4%</w:t>
            </w:r>
            <w:r w:rsidRPr="00CF7F8E">
              <w:rPr>
                <w:rFonts w:cs="Tahoma"/>
                <w:sz w:val="20"/>
                <w:szCs w:val="20"/>
              </w:rPr>
              <w:footnoteReference w:id="16"/>
            </w:r>
          </w:p>
        </w:tc>
        <w:tc>
          <w:tcPr>
            <w:tcW w:w="2405" w:type="dxa"/>
            <w:tcBorders>
              <w:top w:val="nil"/>
              <w:left w:val="nil"/>
              <w:bottom w:val="single" w:sz="8" w:space="0" w:color="auto"/>
              <w:right w:val="single" w:sz="8" w:space="0" w:color="auto"/>
            </w:tcBorders>
            <w:vAlign w:val="bottom"/>
          </w:tcPr>
          <w:p w14:paraId="52C5BC2D"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28008072" w14:textId="77777777" w:rsidTr="008E735C">
        <w:trPr>
          <w:trHeight w:val="133"/>
        </w:trPr>
        <w:tc>
          <w:tcPr>
            <w:tcW w:w="2291" w:type="dxa"/>
            <w:tcBorders>
              <w:top w:val="nil"/>
              <w:left w:val="single" w:sz="8" w:space="0" w:color="auto"/>
              <w:bottom w:val="nil"/>
              <w:right w:val="single" w:sz="8" w:space="0" w:color="auto"/>
            </w:tcBorders>
            <w:vAlign w:val="bottom"/>
          </w:tcPr>
          <w:p w14:paraId="19D13474" w14:textId="77777777" w:rsidR="00F507F1" w:rsidRPr="00CF7F8E" w:rsidRDefault="00F507F1" w:rsidP="008E735C">
            <w:pPr>
              <w:spacing w:after="0" w:line="240" w:lineRule="auto"/>
              <w:rPr>
                <w:rFonts w:cs="Tahoma"/>
                <w:b/>
                <w:bCs/>
                <w:sz w:val="20"/>
                <w:szCs w:val="20"/>
                <w:lang w:eastAsia="fr-FR"/>
              </w:rPr>
            </w:pPr>
          </w:p>
        </w:tc>
        <w:tc>
          <w:tcPr>
            <w:tcW w:w="3302" w:type="dxa"/>
            <w:tcBorders>
              <w:top w:val="nil"/>
              <w:left w:val="nil"/>
              <w:bottom w:val="single" w:sz="8" w:space="0" w:color="auto"/>
              <w:right w:val="single" w:sz="8" w:space="0" w:color="auto"/>
            </w:tcBorders>
            <w:vAlign w:val="bottom"/>
            <w:hideMark/>
          </w:tcPr>
          <w:p w14:paraId="09D60143"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Tuberculose</w:t>
            </w:r>
          </w:p>
        </w:tc>
        <w:tc>
          <w:tcPr>
            <w:tcW w:w="2352" w:type="dxa"/>
            <w:tcBorders>
              <w:top w:val="nil"/>
              <w:left w:val="nil"/>
              <w:bottom w:val="single" w:sz="8" w:space="0" w:color="auto"/>
              <w:right w:val="single" w:sz="8" w:space="0" w:color="auto"/>
            </w:tcBorders>
            <w:vAlign w:val="bottom"/>
          </w:tcPr>
          <w:p w14:paraId="71FB26E0" w14:textId="77777777" w:rsidR="00F507F1" w:rsidRPr="00CF7F8E" w:rsidRDefault="00F507F1" w:rsidP="008E735C">
            <w:pPr>
              <w:spacing w:after="0" w:line="240" w:lineRule="auto"/>
              <w:jc w:val="center"/>
              <w:rPr>
                <w:rFonts w:cs="Tahoma"/>
                <w:sz w:val="20"/>
                <w:szCs w:val="20"/>
              </w:rPr>
            </w:pPr>
            <w:r w:rsidRPr="00CF7F8E">
              <w:rPr>
                <w:rFonts w:cs="Tahoma"/>
                <w:sz w:val="20"/>
                <w:szCs w:val="20"/>
              </w:rPr>
              <w:t>155 pour 100 000 habitants</w:t>
            </w:r>
          </w:p>
        </w:tc>
        <w:tc>
          <w:tcPr>
            <w:tcW w:w="2405" w:type="dxa"/>
            <w:tcBorders>
              <w:top w:val="nil"/>
              <w:left w:val="nil"/>
              <w:bottom w:val="single" w:sz="8" w:space="0" w:color="auto"/>
              <w:right w:val="single" w:sz="8" w:space="0" w:color="auto"/>
            </w:tcBorders>
            <w:vAlign w:val="bottom"/>
          </w:tcPr>
          <w:p w14:paraId="4B0F60C7"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0F91E314" w14:textId="77777777" w:rsidTr="008E735C">
        <w:trPr>
          <w:trHeight w:val="196"/>
        </w:trPr>
        <w:tc>
          <w:tcPr>
            <w:tcW w:w="2291" w:type="dxa"/>
            <w:tcBorders>
              <w:top w:val="nil"/>
              <w:left w:val="single" w:sz="8" w:space="0" w:color="auto"/>
              <w:bottom w:val="nil"/>
              <w:right w:val="single" w:sz="8" w:space="0" w:color="auto"/>
            </w:tcBorders>
            <w:vAlign w:val="bottom"/>
          </w:tcPr>
          <w:p w14:paraId="364C5A33"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2A2D26A1"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Paludisme</w:t>
            </w:r>
          </w:p>
        </w:tc>
        <w:tc>
          <w:tcPr>
            <w:tcW w:w="2352" w:type="dxa"/>
            <w:tcBorders>
              <w:top w:val="nil"/>
              <w:left w:val="nil"/>
              <w:bottom w:val="single" w:sz="8" w:space="0" w:color="auto"/>
              <w:right w:val="single" w:sz="8" w:space="0" w:color="auto"/>
            </w:tcBorders>
            <w:vAlign w:val="bottom"/>
          </w:tcPr>
          <w:p w14:paraId="212FA8A3" w14:textId="77777777" w:rsidR="00F507F1" w:rsidRPr="00CF7F8E" w:rsidRDefault="00F507F1" w:rsidP="008E735C">
            <w:pPr>
              <w:spacing w:after="0" w:line="240" w:lineRule="auto"/>
              <w:jc w:val="center"/>
              <w:rPr>
                <w:rFonts w:cs="Tahoma"/>
                <w:sz w:val="20"/>
                <w:szCs w:val="20"/>
              </w:rPr>
            </w:pPr>
          </w:p>
        </w:tc>
        <w:tc>
          <w:tcPr>
            <w:tcW w:w="2405" w:type="dxa"/>
            <w:tcBorders>
              <w:top w:val="nil"/>
              <w:left w:val="nil"/>
              <w:bottom w:val="single" w:sz="8" w:space="0" w:color="auto"/>
              <w:right w:val="single" w:sz="8" w:space="0" w:color="auto"/>
            </w:tcBorders>
            <w:vAlign w:val="bottom"/>
          </w:tcPr>
          <w:p w14:paraId="3C6526E5"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68C6CDD2" w14:textId="77777777" w:rsidTr="008E735C">
        <w:trPr>
          <w:trHeight w:val="196"/>
        </w:trPr>
        <w:tc>
          <w:tcPr>
            <w:tcW w:w="2291" w:type="dxa"/>
            <w:tcBorders>
              <w:top w:val="nil"/>
              <w:left w:val="single" w:sz="8" w:space="0" w:color="auto"/>
              <w:bottom w:val="nil"/>
              <w:right w:val="single" w:sz="8" w:space="0" w:color="auto"/>
            </w:tcBorders>
            <w:vAlign w:val="bottom"/>
          </w:tcPr>
          <w:p w14:paraId="6AC13F78"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12ACCA32"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MTN (nombres de personnes)</w:t>
            </w:r>
          </w:p>
        </w:tc>
        <w:tc>
          <w:tcPr>
            <w:tcW w:w="2352" w:type="dxa"/>
            <w:tcBorders>
              <w:top w:val="nil"/>
              <w:left w:val="nil"/>
              <w:bottom w:val="single" w:sz="8" w:space="0" w:color="auto"/>
              <w:right w:val="single" w:sz="8" w:space="0" w:color="auto"/>
            </w:tcBorders>
          </w:tcPr>
          <w:p w14:paraId="09D58D59"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609C571D"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05E02852" w14:textId="77777777" w:rsidTr="008E735C">
        <w:trPr>
          <w:trHeight w:val="196"/>
        </w:trPr>
        <w:tc>
          <w:tcPr>
            <w:tcW w:w="2291" w:type="dxa"/>
            <w:tcBorders>
              <w:top w:val="nil"/>
              <w:left w:val="single" w:sz="8" w:space="0" w:color="auto"/>
              <w:bottom w:val="nil"/>
              <w:right w:val="single" w:sz="8" w:space="0" w:color="auto"/>
            </w:tcBorders>
            <w:vAlign w:val="bottom"/>
          </w:tcPr>
          <w:p w14:paraId="2DD2ECC6"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0FD22899"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Cancer (toutes causes)</w:t>
            </w:r>
          </w:p>
        </w:tc>
        <w:tc>
          <w:tcPr>
            <w:tcW w:w="2352" w:type="dxa"/>
            <w:tcBorders>
              <w:top w:val="nil"/>
              <w:left w:val="nil"/>
              <w:bottom w:val="single" w:sz="8" w:space="0" w:color="auto"/>
              <w:right w:val="single" w:sz="8" w:space="0" w:color="auto"/>
            </w:tcBorders>
          </w:tcPr>
          <w:p w14:paraId="0C6C1FB2"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2B08A64A"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0753BD41" w14:textId="77777777" w:rsidTr="008E735C">
        <w:trPr>
          <w:trHeight w:val="197"/>
        </w:trPr>
        <w:tc>
          <w:tcPr>
            <w:tcW w:w="2291" w:type="dxa"/>
            <w:tcBorders>
              <w:top w:val="nil"/>
              <w:left w:val="single" w:sz="8" w:space="0" w:color="auto"/>
              <w:bottom w:val="nil"/>
              <w:right w:val="single" w:sz="8" w:space="0" w:color="auto"/>
            </w:tcBorders>
            <w:vAlign w:val="bottom"/>
          </w:tcPr>
          <w:p w14:paraId="0377978D"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1DFDB3D2"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Maladies pulmonaires obstructives chroniques</w:t>
            </w:r>
          </w:p>
        </w:tc>
        <w:tc>
          <w:tcPr>
            <w:tcW w:w="2352" w:type="dxa"/>
            <w:tcBorders>
              <w:top w:val="nil"/>
              <w:left w:val="nil"/>
              <w:bottom w:val="single" w:sz="8" w:space="0" w:color="auto"/>
              <w:right w:val="single" w:sz="8" w:space="0" w:color="auto"/>
            </w:tcBorders>
          </w:tcPr>
          <w:p w14:paraId="28E85097"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73686767"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5BA6823F" w14:textId="77777777" w:rsidTr="008E735C">
        <w:trPr>
          <w:trHeight w:val="197"/>
        </w:trPr>
        <w:tc>
          <w:tcPr>
            <w:tcW w:w="2291" w:type="dxa"/>
            <w:tcBorders>
              <w:top w:val="nil"/>
              <w:left w:val="single" w:sz="8" w:space="0" w:color="auto"/>
              <w:bottom w:val="nil"/>
              <w:right w:val="single" w:sz="8" w:space="0" w:color="auto"/>
            </w:tcBorders>
            <w:vAlign w:val="bottom"/>
          </w:tcPr>
          <w:p w14:paraId="32900A35"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5AE45171"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Diabète</w:t>
            </w:r>
          </w:p>
        </w:tc>
        <w:tc>
          <w:tcPr>
            <w:tcW w:w="2352" w:type="dxa"/>
            <w:tcBorders>
              <w:top w:val="nil"/>
              <w:left w:val="nil"/>
              <w:bottom w:val="single" w:sz="8" w:space="0" w:color="auto"/>
              <w:right w:val="single" w:sz="8" w:space="0" w:color="auto"/>
            </w:tcBorders>
            <w:vAlign w:val="bottom"/>
          </w:tcPr>
          <w:p w14:paraId="0415531E" w14:textId="77777777" w:rsidR="00F507F1" w:rsidRPr="00CF7F8E" w:rsidRDefault="00F507F1" w:rsidP="008E735C">
            <w:pPr>
              <w:spacing w:after="0" w:line="240" w:lineRule="auto"/>
              <w:jc w:val="center"/>
              <w:rPr>
                <w:rFonts w:cs="Tahoma"/>
                <w:sz w:val="20"/>
                <w:szCs w:val="20"/>
              </w:rPr>
            </w:pPr>
            <w:r w:rsidRPr="00CF7F8E">
              <w:rPr>
                <w:rFonts w:cs="Tahoma"/>
                <w:sz w:val="20"/>
                <w:szCs w:val="20"/>
              </w:rPr>
              <w:t xml:space="preserve">            4,3 %   </w:t>
            </w:r>
          </w:p>
        </w:tc>
        <w:tc>
          <w:tcPr>
            <w:tcW w:w="2405" w:type="dxa"/>
            <w:tcBorders>
              <w:top w:val="nil"/>
              <w:left w:val="nil"/>
              <w:bottom w:val="single" w:sz="8" w:space="0" w:color="auto"/>
              <w:right w:val="single" w:sz="8" w:space="0" w:color="auto"/>
            </w:tcBorders>
            <w:vAlign w:val="bottom"/>
          </w:tcPr>
          <w:p w14:paraId="41224B10"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0B30651F" w14:textId="77777777" w:rsidTr="008E735C">
        <w:trPr>
          <w:trHeight w:val="196"/>
        </w:trPr>
        <w:tc>
          <w:tcPr>
            <w:tcW w:w="2291" w:type="dxa"/>
            <w:tcBorders>
              <w:top w:val="nil"/>
              <w:left w:val="single" w:sz="8" w:space="0" w:color="auto"/>
              <w:bottom w:val="nil"/>
              <w:right w:val="single" w:sz="8" w:space="0" w:color="auto"/>
            </w:tcBorders>
            <w:vAlign w:val="bottom"/>
          </w:tcPr>
          <w:p w14:paraId="1DDF9822"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25DC23C0"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AVC / maladie cardiaque</w:t>
            </w:r>
          </w:p>
        </w:tc>
        <w:tc>
          <w:tcPr>
            <w:tcW w:w="2352" w:type="dxa"/>
            <w:tcBorders>
              <w:top w:val="nil"/>
              <w:left w:val="nil"/>
              <w:bottom w:val="single" w:sz="8" w:space="0" w:color="auto"/>
              <w:right w:val="single" w:sz="8" w:space="0" w:color="auto"/>
            </w:tcBorders>
            <w:vAlign w:val="bottom"/>
          </w:tcPr>
          <w:p w14:paraId="09543699" w14:textId="77777777" w:rsidR="00F507F1" w:rsidRPr="00CF7F8E" w:rsidRDefault="00F507F1" w:rsidP="008E735C">
            <w:pPr>
              <w:spacing w:after="0" w:line="240" w:lineRule="auto"/>
              <w:jc w:val="center"/>
              <w:rPr>
                <w:rFonts w:cs="Tahoma"/>
                <w:sz w:val="20"/>
                <w:szCs w:val="20"/>
              </w:rPr>
            </w:pPr>
            <w:r w:rsidRPr="00CF7F8E">
              <w:rPr>
                <w:rFonts w:cs="Tahoma"/>
                <w:sz w:val="20"/>
                <w:szCs w:val="20"/>
              </w:rPr>
              <w:t>21,2 %   (HTA)</w:t>
            </w:r>
          </w:p>
        </w:tc>
        <w:tc>
          <w:tcPr>
            <w:tcW w:w="2405" w:type="dxa"/>
            <w:tcBorders>
              <w:top w:val="nil"/>
              <w:left w:val="nil"/>
              <w:bottom w:val="single" w:sz="8" w:space="0" w:color="auto"/>
              <w:right w:val="single" w:sz="8" w:space="0" w:color="auto"/>
            </w:tcBorders>
            <w:vAlign w:val="bottom"/>
          </w:tcPr>
          <w:p w14:paraId="7EBF47BF"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7930215D" w14:textId="77777777" w:rsidTr="008E735C">
        <w:trPr>
          <w:trHeight w:val="196"/>
        </w:trPr>
        <w:tc>
          <w:tcPr>
            <w:tcW w:w="2291" w:type="dxa"/>
            <w:tcBorders>
              <w:top w:val="nil"/>
              <w:left w:val="single" w:sz="8" w:space="0" w:color="auto"/>
              <w:bottom w:val="single" w:sz="8" w:space="0" w:color="auto"/>
              <w:right w:val="single" w:sz="8" w:space="0" w:color="auto"/>
            </w:tcBorders>
            <w:vAlign w:val="bottom"/>
          </w:tcPr>
          <w:p w14:paraId="5AA41E1E"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65244627"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Événements liés à la circulation routière</w:t>
            </w:r>
          </w:p>
        </w:tc>
        <w:tc>
          <w:tcPr>
            <w:tcW w:w="2352" w:type="dxa"/>
            <w:tcBorders>
              <w:top w:val="nil"/>
              <w:left w:val="nil"/>
              <w:bottom w:val="single" w:sz="8" w:space="0" w:color="auto"/>
              <w:right w:val="single" w:sz="8" w:space="0" w:color="auto"/>
            </w:tcBorders>
            <w:vAlign w:val="bottom"/>
          </w:tcPr>
          <w:p w14:paraId="3BA43D88" w14:textId="77777777" w:rsidR="00F507F1" w:rsidRPr="00CF7F8E" w:rsidRDefault="00F507F1" w:rsidP="008E735C">
            <w:pPr>
              <w:spacing w:after="0" w:line="240" w:lineRule="auto"/>
              <w:jc w:val="center"/>
              <w:rPr>
                <w:rFonts w:cs="Tahoma"/>
                <w:sz w:val="20"/>
                <w:szCs w:val="20"/>
              </w:rPr>
            </w:pPr>
          </w:p>
        </w:tc>
        <w:tc>
          <w:tcPr>
            <w:tcW w:w="2405" w:type="dxa"/>
            <w:tcBorders>
              <w:top w:val="nil"/>
              <w:left w:val="nil"/>
              <w:bottom w:val="single" w:sz="8" w:space="0" w:color="auto"/>
              <w:right w:val="single" w:sz="8" w:space="0" w:color="auto"/>
            </w:tcBorders>
            <w:vAlign w:val="bottom"/>
          </w:tcPr>
          <w:p w14:paraId="26D94B72"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44002FAE" w14:textId="77777777" w:rsidTr="008E735C">
        <w:trPr>
          <w:trHeight w:val="197"/>
        </w:trPr>
        <w:tc>
          <w:tcPr>
            <w:tcW w:w="2291" w:type="dxa"/>
            <w:tcBorders>
              <w:top w:val="nil"/>
              <w:left w:val="single" w:sz="8" w:space="0" w:color="auto"/>
              <w:bottom w:val="single" w:sz="8" w:space="0" w:color="auto"/>
              <w:right w:val="single" w:sz="8" w:space="0" w:color="auto"/>
            </w:tcBorders>
            <w:vAlign w:val="bottom"/>
          </w:tcPr>
          <w:p w14:paraId="467CDB87"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tcPr>
          <w:p w14:paraId="3EFEB5DD" w14:textId="77777777" w:rsidR="00F507F1" w:rsidRPr="00CF7F8E" w:rsidRDefault="00F507F1" w:rsidP="008E735C">
            <w:pPr>
              <w:spacing w:after="0" w:line="240" w:lineRule="auto"/>
              <w:rPr>
                <w:rFonts w:cs="Tahoma"/>
                <w:sz w:val="20"/>
                <w:szCs w:val="20"/>
                <w:lang w:eastAsia="fr-FR"/>
              </w:rPr>
            </w:pPr>
          </w:p>
        </w:tc>
        <w:tc>
          <w:tcPr>
            <w:tcW w:w="2352" w:type="dxa"/>
            <w:tcBorders>
              <w:top w:val="nil"/>
              <w:left w:val="nil"/>
              <w:bottom w:val="single" w:sz="8" w:space="0" w:color="auto"/>
              <w:right w:val="single" w:sz="8" w:space="0" w:color="auto"/>
            </w:tcBorders>
            <w:vAlign w:val="bottom"/>
          </w:tcPr>
          <w:p w14:paraId="4C93C7BC" w14:textId="77777777" w:rsidR="00F507F1" w:rsidRPr="00CF7F8E" w:rsidRDefault="00F507F1" w:rsidP="008E735C">
            <w:pPr>
              <w:spacing w:after="0" w:line="240" w:lineRule="auto"/>
              <w:jc w:val="center"/>
              <w:rPr>
                <w:rFonts w:cs="Tahoma"/>
                <w:sz w:val="20"/>
                <w:szCs w:val="20"/>
              </w:rPr>
            </w:pPr>
          </w:p>
        </w:tc>
        <w:tc>
          <w:tcPr>
            <w:tcW w:w="2405" w:type="dxa"/>
            <w:tcBorders>
              <w:top w:val="nil"/>
              <w:left w:val="nil"/>
              <w:bottom w:val="single" w:sz="8" w:space="0" w:color="auto"/>
              <w:right w:val="single" w:sz="8" w:space="0" w:color="auto"/>
            </w:tcBorders>
            <w:vAlign w:val="bottom"/>
          </w:tcPr>
          <w:p w14:paraId="5C625914"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151FF50A" w14:textId="77777777" w:rsidTr="008E735C">
        <w:trPr>
          <w:trHeight w:val="60"/>
        </w:trPr>
        <w:tc>
          <w:tcPr>
            <w:tcW w:w="2291" w:type="dxa"/>
            <w:tcBorders>
              <w:top w:val="nil"/>
              <w:left w:val="single" w:sz="8" w:space="0" w:color="auto"/>
              <w:bottom w:val="nil"/>
              <w:right w:val="single" w:sz="8" w:space="0" w:color="auto"/>
            </w:tcBorders>
            <w:vAlign w:val="bottom"/>
            <w:hideMark/>
          </w:tcPr>
          <w:p w14:paraId="5631F0C3" w14:textId="77777777" w:rsidR="00F507F1" w:rsidRPr="00CF7F8E" w:rsidRDefault="00F507F1" w:rsidP="008E735C">
            <w:pPr>
              <w:spacing w:after="0" w:line="240" w:lineRule="auto"/>
              <w:ind w:left="120"/>
              <w:rPr>
                <w:rFonts w:cs="Tahoma"/>
                <w:b/>
                <w:bCs/>
                <w:sz w:val="20"/>
                <w:szCs w:val="20"/>
                <w:lang w:eastAsia="fr-FR"/>
              </w:rPr>
            </w:pPr>
            <w:r w:rsidRPr="00CF7F8E">
              <w:rPr>
                <w:rFonts w:cs="Tahoma"/>
                <w:b/>
                <w:bCs/>
                <w:sz w:val="20"/>
                <w:szCs w:val="20"/>
                <w:lang w:eastAsia="fr-FR"/>
              </w:rPr>
              <w:t>Prévalence des principaux facteurs de risque pour la santé</w:t>
            </w:r>
          </w:p>
        </w:tc>
        <w:tc>
          <w:tcPr>
            <w:tcW w:w="3302" w:type="dxa"/>
            <w:tcBorders>
              <w:top w:val="nil"/>
              <w:left w:val="nil"/>
              <w:bottom w:val="single" w:sz="8" w:space="0" w:color="auto"/>
              <w:right w:val="single" w:sz="8" w:space="0" w:color="auto"/>
            </w:tcBorders>
            <w:vAlign w:val="bottom"/>
            <w:hideMark/>
          </w:tcPr>
          <w:p w14:paraId="54EE5EC7"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Abus d'alcool (adolescents)</w:t>
            </w:r>
          </w:p>
        </w:tc>
        <w:tc>
          <w:tcPr>
            <w:tcW w:w="2352" w:type="dxa"/>
            <w:tcBorders>
              <w:top w:val="nil"/>
              <w:left w:val="nil"/>
              <w:bottom w:val="single" w:sz="8" w:space="0" w:color="auto"/>
              <w:right w:val="single" w:sz="8" w:space="0" w:color="auto"/>
            </w:tcBorders>
            <w:vAlign w:val="bottom"/>
          </w:tcPr>
          <w:p w14:paraId="57B6CE62"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1B187A7E"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50B8220A" w14:textId="77777777" w:rsidTr="008E735C">
        <w:trPr>
          <w:trHeight w:val="189"/>
        </w:trPr>
        <w:tc>
          <w:tcPr>
            <w:tcW w:w="2291" w:type="dxa"/>
            <w:tcBorders>
              <w:top w:val="nil"/>
              <w:left w:val="single" w:sz="8" w:space="0" w:color="auto"/>
              <w:bottom w:val="nil"/>
              <w:right w:val="single" w:sz="8" w:space="0" w:color="auto"/>
            </w:tcBorders>
            <w:vAlign w:val="bottom"/>
          </w:tcPr>
          <w:p w14:paraId="06083C21" w14:textId="77777777" w:rsidR="00F507F1" w:rsidRPr="00CF7F8E" w:rsidRDefault="00F507F1" w:rsidP="008E735C">
            <w:pPr>
              <w:spacing w:after="0" w:line="240" w:lineRule="auto"/>
              <w:ind w:left="120"/>
              <w:rPr>
                <w:rFonts w:cs="Tahoma"/>
                <w:b/>
                <w:bCs/>
                <w:sz w:val="20"/>
                <w:szCs w:val="20"/>
                <w:lang w:eastAsia="fr-FR"/>
              </w:rPr>
            </w:pPr>
          </w:p>
        </w:tc>
        <w:tc>
          <w:tcPr>
            <w:tcW w:w="3302" w:type="dxa"/>
            <w:tcBorders>
              <w:top w:val="nil"/>
              <w:left w:val="nil"/>
              <w:bottom w:val="single" w:sz="8" w:space="0" w:color="auto"/>
              <w:right w:val="single" w:sz="8" w:space="0" w:color="auto"/>
            </w:tcBorders>
            <w:vAlign w:val="bottom"/>
            <w:hideMark/>
          </w:tcPr>
          <w:p w14:paraId="04F77A03"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Obésité (enfants / adolescents)</w:t>
            </w:r>
          </w:p>
        </w:tc>
        <w:tc>
          <w:tcPr>
            <w:tcW w:w="2352" w:type="dxa"/>
            <w:tcBorders>
              <w:top w:val="nil"/>
              <w:left w:val="nil"/>
              <w:bottom w:val="single" w:sz="8" w:space="0" w:color="auto"/>
              <w:right w:val="single" w:sz="8" w:space="0" w:color="auto"/>
            </w:tcBorders>
            <w:vAlign w:val="bottom"/>
          </w:tcPr>
          <w:p w14:paraId="25106529"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0105A5D9"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02BECC3E" w14:textId="77777777" w:rsidTr="008E735C">
        <w:trPr>
          <w:trHeight w:val="204"/>
        </w:trPr>
        <w:tc>
          <w:tcPr>
            <w:tcW w:w="2291" w:type="dxa"/>
            <w:tcBorders>
              <w:top w:val="nil"/>
              <w:left w:val="single" w:sz="8" w:space="0" w:color="auto"/>
              <w:bottom w:val="nil"/>
              <w:right w:val="single" w:sz="8" w:space="0" w:color="auto"/>
            </w:tcBorders>
            <w:vAlign w:val="bottom"/>
          </w:tcPr>
          <w:p w14:paraId="42FEB9EB" w14:textId="77777777" w:rsidR="00F507F1" w:rsidRPr="00CF7F8E" w:rsidRDefault="00F507F1" w:rsidP="008E735C">
            <w:pPr>
              <w:spacing w:after="0" w:line="240" w:lineRule="auto"/>
              <w:ind w:left="120"/>
              <w:rPr>
                <w:rFonts w:cs="Tahoma"/>
                <w:b/>
                <w:bCs/>
                <w:sz w:val="20"/>
                <w:szCs w:val="20"/>
                <w:lang w:eastAsia="fr-FR"/>
              </w:rPr>
            </w:pPr>
          </w:p>
        </w:tc>
        <w:tc>
          <w:tcPr>
            <w:tcW w:w="3302" w:type="dxa"/>
            <w:tcBorders>
              <w:top w:val="nil"/>
              <w:left w:val="nil"/>
              <w:bottom w:val="single" w:sz="8" w:space="0" w:color="auto"/>
              <w:right w:val="single" w:sz="8" w:space="0" w:color="auto"/>
            </w:tcBorders>
            <w:vAlign w:val="bottom"/>
            <w:hideMark/>
          </w:tcPr>
          <w:p w14:paraId="412F3AF9"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Inactivité physique (adolescents)</w:t>
            </w:r>
          </w:p>
        </w:tc>
        <w:tc>
          <w:tcPr>
            <w:tcW w:w="2352" w:type="dxa"/>
            <w:tcBorders>
              <w:top w:val="nil"/>
              <w:left w:val="nil"/>
              <w:bottom w:val="single" w:sz="8" w:space="0" w:color="auto"/>
              <w:right w:val="single" w:sz="8" w:space="0" w:color="auto"/>
            </w:tcBorders>
            <w:vAlign w:val="bottom"/>
          </w:tcPr>
          <w:p w14:paraId="4BF62AB0" w14:textId="77777777" w:rsidR="00F507F1" w:rsidRPr="00CF7F8E" w:rsidRDefault="00F507F1" w:rsidP="008E735C">
            <w:pPr>
              <w:spacing w:after="0" w:line="240" w:lineRule="auto"/>
              <w:jc w:val="center"/>
              <w:rPr>
                <w:rFonts w:cs="Tahoma"/>
                <w:sz w:val="20"/>
                <w:szCs w:val="20"/>
              </w:rPr>
            </w:pPr>
            <w:r w:rsidRPr="00CF7F8E">
              <w:rPr>
                <w:rFonts w:cs="Tahoma"/>
                <w:sz w:val="20"/>
                <w:szCs w:val="20"/>
              </w:rPr>
              <w:t>57.6% des adultes ne pratiquaient pas du sport</w:t>
            </w:r>
          </w:p>
        </w:tc>
        <w:tc>
          <w:tcPr>
            <w:tcW w:w="2405" w:type="dxa"/>
            <w:tcBorders>
              <w:top w:val="nil"/>
              <w:left w:val="nil"/>
              <w:bottom w:val="single" w:sz="8" w:space="0" w:color="auto"/>
              <w:right w:val="single" w:sz="8" w:space="0" w:color="auto"/>
            </w:tcBorders>
            <w:vAlign w:val="bottom"/>
          </w:tcPr>
          <w:p w14:paraId="3DD07FAC"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29151CE8" w14:textId="77777777" w:rsidTr="008E735C">
        <w:trPr>
          <w:trHeight w:val="196"/>
        </w:trPr>
        <w:tc>
          <w:tcPr>
            <w:tcW w:w="2291" w:type="dxa"/>
            <w:tcBorders>
              <w:top w:val="nil"/>
              <w:left w:val="single" w:sz="8" w:space="0" w:color="auto"/>
              <w:bottom w:val="nil"/>
              <w:right w:val="single" w:sz="8" w:space="0" w:color="auto"/>
            </w:tcBorders>
            <w:vAlign w:val="bottom"/>
          </w:tcPr>
          <w:p w14:paraId="6CAE296F"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70786908"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Retard de croissance (enfants)</w:t>
            </w:r>
          </w:p>
        </w:tc>
        <w:tc>
          <w:tcPr>
            <w:tcW w:w="2352" w:type="dxa"/>
            <w:tcBorders>
              <w:top w:val="nil"/>
              <w:left w:val="nil"/>
              <w:bottom w:val="single" w:sz="8" w:space="0" w:color="auto"/>
              <w:right w:val="single" w:sz="8" w:space="0" w:color="auto"/>
            </w:tcBorders>
            <w:vAlign w:val="bottom"/>
          </w:tcPr>
          <w:p w14:paraId="5662436D"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12C19F9E"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61605D14" w14:textId="77777777" w:rsidTr="008E735C">
        <w:trPr>
          <w:trHeight w:val="197"/>
        </w:trPr>
        <w:tc>
          <w:tcPr>
            <w:tcW w:w="2291" w:type="dxa"/>
            <w:tcBorders>
              <w:top w:val="nil"/>
              <w:left w:val="single" w:sz="8" w:space="0" w:color="auto"/>
              <w:bottom w:val="single" w:sz="8" w:space="0" w:color="auto"/>
              <w:right w:val="single" w:sz="8" w:space="0" w:color="auto"/>
            </w:tcBorders>
            <w:vAlign w:val="bottom"/>
          </w:tcPr>
          <w:p w14:paraId="2A02C613"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47759FEB"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Tabagisme (plus de 15 ans)</w:t>
            </w:r>
          </w:p>
        </w:tc>
        <w:tc>
          <w:tcPr>
            <w:tcW w:w="2352" w:type="dxa"/>
            <w:tcBorders>
              <w:top w:val="nil"/>
              <w:left w:val="nil"/>
              <w:bottom w:val="single" w:sz="8" w:space="0" w:color="auto"/>
              <w:right w:val="single" w:sz="8" w:space="0" w:color="auto"/>
            </w:tcBorders>
            <w:vAlign w:val="bottom"/>
          </w:tcPr>
          <w:p w14:paraId="0684CC1F" w14:textId="77777777" w:rsidR="00F507F1" w:rsidRPr="00CF7F8E" w:rsidRDefault="00F507F1" w:rsidP="008E735C">
            <w:pPr>
              <w:spacing w:after="0" w:line="240" w:lineRule="auto"/>
              <w:jc w:val="center"/>
              <w:rPr>
                <w:rFonts w:cs="Tahoma"/>
                <w:sz w:val="20"/>
                <w:szCs w:val="20"/>
              </w:rPr>
            </w:pPr>
            <w:r w:rsidRPr="00CF7F8E">
              <w:rPr>
                <w:rFonts w:cs="Tahoma"/>
                <w:sz w:val="20"/>
                <w:szCs w:val="20"/>
              </w:rPr>
              <w:t>12,8% de tabagisme en milieu scolaire (Selon une étude réalisée par CARE-NIGER, en mai 2007)</w:t>
            </w:r>
          </w:p>
        </w:tc>
        <w:tc>
          <w:tcPr>
            <w:tcW w:w="2405" w:type="dxa"/>
            <w:tcBorders>
              <w:top w:val="nil"/>
              <w:left w:val="nil"/>
              <w:bottom w:val="single" w:sz="8" w:space="0" w:color="auto"/>
              <w:right w:val="single" w:sz="8" w:space="0" w:color="auto"/>
            </w:tcBorders>
            <w:vAlign w:val="bottom"/>
          </w:tcPr>
          <w:p w14:paraId="2F977B42"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76B54C23" w14:textId="77777777" w:rsidTr="008E735C">
        <w:trPr>
          <w:trHeight w:val="198"/>
        </w:trPr>
        <w:tc>
          <w:tcPr>
            <w:tcW w:w="2291" w:type="dxa"/>
            <w:tcBorders>
              <w:top w:val="nil"/>
              <w:left w:val="single" w:sz="8" w:space="0" w:color="auto"/>
              <w:bottom w:val="single" w:sz="8" w:space="0" w:color="auto"/>
              <w:right w:val="single" w:sz="8" w:space="0" w:color="auto"/>
            </w:tcBorders>
            <w:vAlign w:val="bottom"/>
          </w:tcPr>
          <w:p w14:paraId="48DFBAC1"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tcPr>
          <w:p w14:paraId="4A0C6CEF" w14:textId="77777777" w:rsidR="00F507F1" w:rsidRPr="00CF7F8E" w:rsidRDefault="00F507F1" w:rsidP="008E735C">
            <w:pPr>
              <w:spacing w:after="0" w:line="240" w:lineRule="auto"/>
              <w:rPr>
                <w:rFonts w:cs="Tahoma"/>
                <w:sz w:val="20"/>
                <w:szCs w:val="20"/>
                <w:lang w:eastAsia="fr-FR"/>
              </w:rPr>
            </w:pPr>
          </w:p>
        </w:tc>
        <w:tc>
          <w:tcPr>
            <w:tcW w:w="2352" w:type="dxa"/>
            <w:tcBorders>
              <w:top w:val="nil"/>
              <w:left w:val="nil"/>
              <w:bottom w:val="single" w:sz="8" w:space="0" w:color="auto"/>
              <w:right w:val="single" w:sz="8" w:space="0" w:color="auto"/>
            </w:tcBorders>
            <w:vAlign w:val="bottom"/>
          </w:tcPr>
          <w:p w14:paraId="59BBD91A" w14:textId="77777777" w:rsidR="00F507F1" w:rsidRPr="00CF7F8E" w:rsidRDefault="00F507F1" w:rsidP="008E735C">
            <w:pPr>
              <w:spacing w:after="0" w:line="240" w:lineRule="auto"/>
              <w:jc w:val="center"/>
              <w:rPr>
                <w:rFonts w:cs="Tahoma"/>
                <w:sz w:val="20"/>
                <w:szCs w:val="20"/>
              </w:rPr>
            </w:pPr>
          </w:p>
        </w:tc>
        <w:tc>
          <w:tcPr>
            <w:tcW w:w="2405" w:type="dxa"/>
            <w:tcBorders>
              <w:top w:val="nil"/>
              <w:left w:val="nil"/>
              <w:bottom w:val="single" w:sz="8" w:space="0" w:color="auto"/>
              <w:right w:val="single" w:sz="8" w:space="0" w:color="auto"/>
            </w:tcBorders>
            <w:vAlign w:val="bottom"/>
          </w:tcPr>
          <w:p w14:paraId="168490D7"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32BF9C79" w14:textId="77777777" w:rsidTr="008E735C">
        <w:trPr>
          <w:trHeight w:val="232"/>
        </w:trPr>
        <w:tc>
          <w:tcPr>
            <w:tcW w:w="2291" w:type="dxa"/>
            <w:tcBorders>
              <w:top w:val="nil"/>
              <w:left w:val="single" w:sz="8" w:space="0" w:color="auto"/>
              <w:bottom w:val="nil"/>
              <w:right w:val="single" w:sz="8" w:space="0" w:color="auto"/>
            </w:tcBorders>
            <w:vAlign w:val="bottom"/>
            <w:hideMark/>
          </w:tcPr>
          <w:p w14:paraId="2436D839" w14:textId="77777777" w:rsidR="00F507F1" w:rsidRPr="00CF7F8E" w:rsidRDefault="00F507F1" w:rsidP="008E735C">
            <w:pPr>
              <w:spacing w:after="0" w:line="240" w:lineRule="auto"/>
              <w:ind w:left="120"/>
              <w:rPr>
                <w:rFonts w:cs="Tahoma"/>
                <w:b/>
                <w:bCs/>
                <w:sz w:val="20"/>
                <w:szCs w:val="20"/>
                <w:lang w:eastAsia="fr-FR"/>
              </w:rPr>
            </w:pPr>
            <w:r w:rsidRPr="00CF7F8E">
              <w:rPr>
                <w:rFonts w:cs="Tahoma"/>
                <w:b/>
                <w:bCs/>
                <w:sz w:val="20"/>
                <w:szCs w:val="20"/>
                <w:lang w:eastAsia="fr-FR"/>
              </w:rPr>
              <w:t>Décès annuels (mortalité) dus à des problèmes clés de santé</w:t>
            </w:r>
          </w:p>
        </w:tc>
        <w:tc>
          <w:tcPr>
            <w:tcW w:w="3302" w:type="dxa"/>
            <w:tcBorders>
              <w:top w:val="nil"/>
              <w:left w:val="nil"/>
              <w:bottom w:val="single" w:sz="8" w:space="0" w:color="auto"/>
              <w:right w:val="single" w:sz="8" w:space="0" w:color="auto"/>
            </w:tcBorders>
            <w:vAlign w:val="bottom"/>
            <w:hideMark/>
          </w:tcPr>
          <w:p w14:paraId="6711BFC6" w14:textId="77777777" w:rsidR="00F507F1" w:rsidRPr="00CF7F8E" w:rsidRDefault="00F507F1" w:rsidP="008E735C">
            <w:pPr>
              <w:spacing w:after="0" w:line="240" w:lineRule="auto"/>
              <w:rPr>
                <w:rFonts w:cs="Tahoma"/>
                <w:sz w:val="20"/>
                <w:szCs w:val="20"/>
                <w:lang w:eastAsia="fr-FR"/>
              </w:rPr>
            </w:pPr>
            <w:r w:rsidRPr="00CF7F8E">
              <w:rPr>
                <w:rFonts w:cs="Tahoma"/>
                <w:sz w:val="20"/>
                <w:szCs w:val="20"/>
                <w:lang w:eastAsia="fr-FR"/>
              </w:rPr>
              <w:t>VIH</w:t>
            </w:r>
          </w:p>
        </w:tc>
        <w:tc>
          <w:tcPr>
            <w:tcW w:w="2352" w:type="dxa"/>
            <w:tcBorders>
              <w:top w:val="nil"/>
              <w:left w:val="nil"/>
              <w:bottom w:val="single" w:sz="8" w:space="0" w:color="auto"/>
              <w:right w:val="single" w:sz="8" w:space="0" w:color="auto"/>
            </w:tcBorders>
            <w:vAlign w:val="bottom"/>
          </w:tcPr>
          <w:p w14:paraId="2EF6EA32"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51833CC8"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443CB9E3" w14:textId="77777777" w:rsidTr="008E735C">
        <w:trPr>
          <w:trHeight w:val="189"/>
        </w:trPr>
        <w:tc>
          <w:tcPr>
            <w:tcW w:w="2291" w:type="dxa"/>
            <w:tcBorders>
              <w:top w:val="nil"/>
              <w:left w:val="single" w:sz="8" w:space="0" w:color="auto"/>
              <w:bottom w:val="nil"/>
              <w:right w:val="single" w:sz="8" w:space="0" w:color="auto"/>
            </w:tcBorders>
            <w:vAlign w:val="bottom"/>
          </w:tcPr>
          <w:p w14:paraId="7BE2A34C" w14:textId="77777777" w:rsidR="00F507F1" w:rsidRPr="00CF7F8E" w:rsidRDefault="00F507F1" w:rsidP="008E735C">
            <w:pPr>
              <w:spacing w:after="0" w:line="240" w:lineRule="auto"/>
              <w:rPr>
                <w:rFonts w:cs="Tahoma"/>
                <w:b/>
                <w:bCs/>
                <w:sz w:val="20"/>
                <w:szCs w:val="20"/>
                <w:lang w:eastAsia="fr-FR"/>
              </w:rPr>
            </w:pPr>
          </w:p>
        </w:tc>
        <w:tc>
          <w:tcPr>
            <w:tcW w:w="3302" w:type="dxa"/>
            <w:tcBorders>
              <w:top w:val="nil"/>
              <w:left w:val="nil"/>
              <w:bottom w:val="single" w:sz="8" w:space="0" w:color="auto"/>
              <w:right w:val="single" w:sz="8" w:space="0" w:color="auto"/>
            </w:tcBorders>
            <w:vAlign w:val="bottom"/>
            <w:hideMark/>
          </w:tcPr>
          <w:p w14:paraId="409F968B"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Tuberculose</w:t>
            </w:r>
          </w:p>
        </w:tc>
        <w:tc>
          <w:tcPr>
            <w:tcW w:w="2352" w:type="dxa"/>
            <w:tcBorders>
              <w:top w:val="nil"/>
              <w:left w:val="nil"/>
              <w:bottom w:val="single" w:sz="8" w:space="0" w:color="auto"/>
              <w:right w:val="single" w:sz="8" w:space="0" w:color="auto"/>
            </w:tcBorders>
            <w:vAlign w:val="bottom"/>
          </w:tcPr>
          <w:p w14:paraId="455F16C1" w14:textId="77777777" w:rsidR="00F507F1" w:rsidRPr="00CF7F8E" w:rsidRDefault="00F507F1" w:rsidP="008E735C">
            <w:pPr>
              <w:spacing w:after="0" w:line="240" w:lineRule="auto"/>
              <w:jc w:val="center"/>
              <w:rPr>
                <w:rFonts w:cs="Tahoma"/>
                <w:sz w:val="20"/>
                <w:szCs w:val="20"/>
              </w:rPr>
            </w:pPr>
            <w:r w:rsidRPr="00CF7F8E">
              <w:rPr>
                <w:rFonts w:cs="Tahoma"/>
                <w:sz w:val="20"/>
                <w:szCs w:val="20"/>
              </w:rPr>
              <w:t>18/100000 hbts (profil pays TB OMS 2018)</w:t>
            </w:r>
          </w:p>
        </w:tc>
        <w:tc>
          <w:tcPr>
            <w:tcW w:w="2405" w:type="dxa"/>
            <w:tcBorders>
              <w:top w:val="nil"/>
              <w:left w:val="nil"/>
              <w:bottom w:val="single" w:sz="8" w:space="0" w:color="auto"/>
              <w:right w:val="single" w:sz="8" w:space="0" w:color="auto"/>
            </w:tcBorders>
            <w:vAlign w:val="bottom"/>
          </w:tcPr>
          <w:p w14:paraId="6BF8D628"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6F6BA81F" w14:textId="77777777" w:rsidTr="008E735C">
        <w:trPr>
          <w:trHeight w:val="204"/>
        </w:trPr>
        <w:tc>
          <w:tcPr>
            <w:tcW w:w="2291" w:type="dxa"/>
            <w:tcBorders>
              <w:top w:val="nil"/>
              <w:left w:val="single" w:sz="8" w:space="0" w:color="auto"/>
              <w:bottom w:val="nil"/>
              <w:right w:val="single" w:sz="8" w:space="0" w:color="auto"/>
            </w:tcBorders>
            <w:vAlign w:val="bottom"/>
          </w:tcPr>
          <w:p w14:paraId="68B40EF5" w14:textId="77777777" w:rsidR="00F507F1" w:rsidRPr="00CF7F8E" w:rsidRDefault="00F507F1" w:rsidP="008E735C">
            <w:pPr>
              <w:spacing w:after="0" w:line="240" w:lineRule="auto"/>
              <w:ind w:left="120"/>
              <w:rPr>
                <w:rFonts w:cs="Tahoma"/>
                <w:b/>
                <w:bCs/>
                <w:sz w:val="20"/>
                <w:szCs w:val="20"/>
                <w:lang w:eastAsia="fr-FR"/>
              </w:rPr>
            </w:pPr>
          </w:p>
        </w:tc>
        <w:tc>
          <w:tcPr>
            <w:tcW w:w="3302" w:type="dxa"/>
            <w:tcBorders>
              <w:top w:val="nil"/>
              <w:left w:val="nil"/>
              <w:bottom w:val="single" w:sz="8" w:space="0" w:color="auto"/>
              <w:right w:val="single" w:sz="8" w:space="0" w:color="auto"/>
            </w:tcBorders>
            <w:vAlign w:val="bottom"/>
            <w:hideMark/>
          </w:tcPr>
          <w:p w14:paraId="5EAEB082"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Paludisme</w:t>
            </w:r>
          </w:p>
        </w:tc>
        <w:tc>
          <w:tcPr>
            <w:tcW w:w="2352" w:type="dxa"/>
            <w:tcBorders>
              <w:top w:val="nil"/>
              <w:left w:val="nil"/>
              <w:bottom w:val="single" w:sz="8" w:space="0" w:color="auto"/>
              <w:right w:val="single" w:sz="8" w:space="0" w:color="auto"/>
            </w:tcBorders>
            <w:vAlign w:val="bottom"/>
            <w:hideMark/>
          </w:tcPr>
          <w:p w14:paraId="6EB64D74" w14:textId="77777777" w:rsidR="00F507F1" w:rsidRPr="00CF7F8E" w:rsidRDefault="00F507F1" w:rsidP="008E735C">
            <w:pPr>
              <w:spacing w:after="0" w:line="240" w:lineRule="auto"/>
              <w:jc w:val="center"/>
              <w:rPr>
                <w:rFonts w:cs="Tahoma"/>
                <w:sz w:val="20"/>
                <w:szCs w:val="20"/>
              </w:rPr>
            </w:pPr>
            <w:r w:rsidRPr="00CF7F8E">
              <w:rPr>
                <w:rFonts w:cs="Tahoma"/>
                <w:sz w:val="20"/>
                <w:szCs w:val="20"/>
              </w:rPr>
              <w:t>4474</w:t>
            </w:r>
          </w:p>
        </w:tc>
        <w:tc>
          <w:tcPr>
            <w:tcW w:w="2405" w:type="dxa"/>
            <w:tcBorders>
              <w:top w:val="nil"/>
              <w:left w:val="nil"/>
              <w:bottom w:val="single" w:sz="8" w:space="0" w:color="auto"/>
              <w:right w:val="single" w:sz="8" w:space="0" w:color="auto"/>
            </w:tcBorders>
            <w:vAlign w:val="bottom"/>
          </w:tcPr>
          <w:p w14:paraId="62C6605D"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5DF4E468" w14:textId="77777777" w:rsidTr="008E735C">
        <w:trPr>
          <w:trHeight w:val="198"/>
        </w:trPr>
        <w:tc>
          <w:tcPr>
            <w:tcW w:w="2291" w:type="dxa"/>
            <w:tcBorders>
              <w:top w:val="nil"/>
              <w:left w:val="single" w:sz="8" w:space="0" w:color="auto"/>
              <w:bottom w:val="nil"/>
              <w:right w:val="single" w:sz="8" w:space="0" w:color="auto"/>
            </w:tcBorders>
            <w:vAlign w:val="bottom"/>
          </w:tcPr>
          <w:p w14:paraId="101DB363"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5E7795D5"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MTN (nombres de personnes)</w:t>
            </w:r>
          </w:p>
        </w:tc>
        <w:tc>
          <w:tcPr>
            <w:tcW w:w="2352" w:type="dxa"/>
            <w:tcBorders>
              <w:top w:val="nil"/>
              <w:left w:val="nil"/>
              <w:bottom w:val="single" w:sz="8" w:space="0" w:color="auto"/>
              <w:right w:val="single" w:sz="8" w:space="0" w:color="auto"/>
            </w:tcBorders>
            <w:vAlign w:val="bottom"/>
          </w:tcPr>
          <w:p w14:paraId="2CBC076A"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44752AB9"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798594EE" w14:textId="77777777" w:rsidTr="008E735C">
        <w:trPr>
          <w:trHeight w:val="196"/>
        </w:trPr>
        <w:tc>
          <w:tcPr>
            <w:tcW w:w="2291" w:type="dxa"/>
            <w:tcBorders>
              <w:top w:val="nil"/>
              <w:left w:val="single" w:sz="8" w:space="0" w:color="auto"/>
              <w:bottom w:val="nil"/>
              <w:right w:val="single" w:sz="8" w:space="0" w:color="auto"/>
            </w:tcBorders>
            <w:vAlign w:val="bottom"/>
          </w:tcPr>
          <w:p w14:paraId="16EB4486"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5AB07AE1"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Cancer (toutes causes)</w:t>
            </w:r>
          </w:p>
        </w:tc>
        <w:tc>
          <w:tcPr>
            <w:tcW w:w="2352" w:type="dxa"/>
            <w:tcBorders>
              <w:top w:val="nil"/>
              <w:left w:val="nil"/>
              <w:bottom w:val="single" w:sz="8" w:space="0" w:color="auto"/>
              <w:right w:val="single" w:sz="8" w:space="0" w:color="auto"/>
            </w:tcBorders>
            <w:vAlign w:val="bottom"/>
          </w:tcPr>
          <w:p w14:paraId="3F66FE67" w14:textId="77777777" w:rsidR="00F507F1" w:rsidRPr="00CF7F8E" w:rsidRDefault="00F507F1" w:rsidP="008E735C">
            <w:pPr>
              <w:spacing w:after="0" w:line="240" w:lineRule="auto"/>
              <w:jc w:val="center"/>
              <w:rPr>
                <w:rFonts w:cs="Tahoma"/>
                <w:sz w:val="20"/>
                <w:szCs w:val="20"/>
              </w:rPr>
            </w:pPr>
            <w:r w:rsidRPr="00CF7F8E">
              <w:rPr>
                <w:rFonts w:cs="Tahoma"/>
                <w:sz w:val="20"/>
                <w:szCs w:val="20"/>
              </w:rPr>
              <w:t>Les MNT sont à l’origine de 19 % de tous les décès au Niger (Profil de pays sur les MNT réalisée par le MSP en 2011) causes</w:t>
            </w:r>
          </w:p>
        </w:tc>
        <w:tc>
          <w:tcPr>
            <w:tcW w:w="2405" w:type="dxa"/>
            <w:tcBorders>
              <w:top w:val="nil"/>
              <w:left w:val="nil"/>
              <w:bottom w:val="single" w:sz="8" w:space="0" w:color="auto"/>
              <w:right w:val="single" w:sz="8" w:space="0" w:color="auto"/>
            </w:tcBorders>
            <w:vAlign w:val="bottom"/>
          </w:tcPr>
          <w:p w14:paraId="6D3A8823"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4D747E97" w14:textId="77777777" w:rsidTr="008E735C">
        <w:trPr>
          <w:trHeight w:val="196"/>
        </w:trPr>
        <w:tc>
          <w:tcPr>
            <w:tcW w:w="2291" w:type="dxa"/>
            <w:tcBorders>
              <w:top w:val="nil"/>
              <w:left w:val="single" w:sz="8" w:space="0" w:color="auto"/>
              <w:bottom w:val="nil"/>
              <w:right w:val="single" w:sz="8" w:space="0" w:color="auto"/>
            </w:tcBorders>
            <w:vAlign w:val="bottom"/>
          </w:tcPr>
          <w:p w14:paraId="14AF7629"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2A54B493"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Maladies pulmonaires obstructives chroniques</w:t>
            </w:r>
          </w:p>
        </w:tc>
        <w:tc>
          <w:tcPr>
            <w:tcW w:w="2352" w:type="dxa"/>
            <w:tcBorders>
              <w:top w:val="nil"/>
              <w:left w:val="nil"/>
              <w:bottom w:val="single" w:sz="8" w:space="0" w:color="auto"/>
              <w:right w:val="single" w:sz="8" w:space="0" w:color="auto"/>
            </w:tcBorders>
            <w:vAlign w:val="bottom"/>
          </w:tcPr>
          <w:p w14:paraId="0EA02F4A"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3242F317"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26831306" w14:textId="77777777" w:rsidTr="008E735C">
        <w:trPr>
          <w:trHeight w:val="196"/>
        </w:trPr>
        <w:tc>
          <w:tcPr>
            <w:tcW w:w="2291" w:type="dxa"/>
            <w:tcBorders>
              <w:top w:val="nil"/>
              <w:left w:val="single" w:sz="8" w:space="0" w:color="auto"/>
              <w:bottom w:val="nil"/>
              <w:right w:val="single" w:sz="8" w:space="0" w:color="auto"/>
            </w:tcBorders>
            <w:vAlign w:val="bottom"/>
          </w:tcPr>
          <w:p w14:paraId="09293A67"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0DB24934"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Diabète</w:t>
            </w:r>
          </w:p>
        </w:tc>
        <w:tc>
          <w:tcPr>
            <w:tcW w:w="2352" w:type="dxa"/>
            <w:tcBorders>
              <w:top w:val="nil"/>
              <w:left w:val="nil"/>
              <w:bottom w:val="single" w:sz="8" w:space="0" w:color="auto"/>
              <w:right w:val="single" w:sz="8" w:space="0" w:color="auto"/>
            </w:tcBorders>
            <w:vAlign w:val="bottom"/>
          </w:tcPr>
          <w:p w14:paraId="0BAF03D2"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54323E0B" w14:textId="77777777" w:rsidR="00F507F1" w:rsidRPr="00CF7F8E" w:rsidRDefault="00F507F1" w:rsidP="008E735C">
            <w:pPr>
              <w:spacing w:after="0" w:line="240" w:lineRule="auto"/>
              <w:jc w:val="center"/>
              <w:rPr>
                <w:rFonts w:cs="Tahoma"/>
                <w:sz w:val="20"/>
                <w:szCs w:val="20"/>
                <w:highlight w:val="red"/>
                <w:lang w:eastAsia="fr-FR"/>
              </w:rPr>
            </w:pPr>
          </w:p>
        </w:tc>
      </w:tr>
      <w:tr w:rsidR="00F507F1" w:rsidRPr="00CF7F8E" w14:paraId="50B383A8" w14:textId="77777777" w:rsidTr="008E735C">
        <w:trPr>
          <w:trHeight w:val="198"/>
        </w:trPr>
        <w:tc>
          <w:tcPr>
            <w:tcW w:w="2291" w:type="dxa"/>
            <w:tcBorders>
              <w:top w:val="nil"/>
              <w:left w:val="single" w:sz="8" w:space="0" w:color="auto"/>
              <w:bottom w:val="nil"/>
              <w:right w:val="single" w:sz="8" w:space="0" w:color="auto"/>
            </w:tcBorders>
            <w:vAlign w:val="bottom"/>
          </w:tcPr>
          <w:p w14:paraId="0D7D9DA8"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2715ECA8"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AVC / maladie cardiaque; Diabète et Cancers</w:t>
            </w:r>
          </w:p>
        </w:tc>
        <w:tc>
          <w:tcPr>
            <w:tcW w:w="2352" w:type="dxa"/>
            <w:tcBorders>
              <w:top w:val="nil"/>
              <w:left w:val="nil"/>
              <w:bottom w:val="single" w:sz="8" w:space="0" w:color="auto"/>
              <w:right w:val="single" w:sz="8" w:space="0" w:color="auto"/>
            </w:tcBorders>
            <w:vAlign w:val="bottom"/>
          </w:tcPr>
          <w:p w14:paraId="0F24AC78" w14:textId="77777777" w:rsidR="00F507F1" w:rsidRPr="00CF7F8E" w:rsidRDefault="00F507F1" w:rsidP="008E735C">
            <w:pPr>
              <w:spacing w:after="0" w:line="240" w:lineRule="auto"/>
              <w:jc w:val="center"/>
              <w:rPr>
                <w:rFonts w:cs="Tahoma"/>
                <w:sz w:val="20"/>
                <w:szCs w:val="20"/>
              </w:rPr>
            </w:pPr>
            <w:r w:rsidRPr="00CF7F8E">
              <w:rPr>
                <w:rFonts w:cs="Tahoma"/>
                <w:sz w:val="20"/>
                <w:szCs w:val="20"/>
              </w:rPr>
              <w:t xml:space="preserve">Les MNT sont à l’origine de 19 % de tous les décès au Niger (Profil de pays sur les MNT réalisée par le MSP en 2011) causes </w:t>
            </w:r>
          </w:p>
        </w:tc>
        <w:tc>
          <w:tcPr>
            <w:tcW w:w="2405" w:type="dxa"/>
            <w:tcBorders>
              <w:top w:val="nil"/>
              <w:left w:val="nil"/>
              <w:bottom w:val="single" w:sz="8" w:space="0" w:color="auto"/>
              <w:right w:val="single" w:sz="8" w:space="0" w:color="auto"/>
            </w:tcBorders>
            <w:vAlign w:val="bottom"/>
          </w:tcPr>
          <w:p w14:paraId="0CF93D5B"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449C151F" w14:textId="77777777" w:rsidTr="008E735C">
        <w:trPr>
          <w:trHeight w:val="54"/>
        </w:trPr>
        <w:tc>
          <w:tcPr>
            <w:tcW w:w="2291" w:type="dxa"/>
            <w:tcBorders>
              <w:top w:val="nil"/>
              <w:left w:val="single" w:sz="8" w:space="0" w:color="auto"/>
              <w:bottom w:val="single" w:sz="8" w:space="0" w:color="auto"/>
              <w:right w:val="single" w:sz="8" w:space="0" w:color="auto"/>
            </w:tcBorders>
            <w:vAlign w:val="bottom"/>
          </w:tcPr>
          <w:p w14:paraId="11CE9555"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3D43946D"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Événements liés à la circulation routière</w:t>
            </w:r>
          </w:p>
        </w:tc>
        <w:tc>
          <w:tcPr>
            <w:tcW w:w="2352" w:type="dxa"/>
            <w:tcBorders>
              <w:top w:val="nil"/>
              <w:left w:val="nil"/>
              <w:bottom w:val="single" w:sz="8" w:space="0" w:color="auto"/>
              <w:right w:val="single" w:sz="8" w:space="0" w:color="auto"/>
            </w:tcBorders>
            <w:vAlign w:val="bottom"/>
          </w:tcPr>
          <w:p w14:paraId="64A1FC6D" w14:textId="77777777" w:rsidR="00F507F1" w:rsidRPr="00CF7F8E" w:rsidRDefault="00F507F1" w:rsidP="008E735C">
            <w:pPr>
              <w:spacing w:after="0" w:line="240" w:lineRule="auto"/>
              <w:jc w:val="center"/>
              <w:rPr>
                <w:rFonts w:cs="Tahoma"/>
                <w:sz w:val="20"/>
                <w:szCs w:val="20"/>
              </w:rPr>
            </w:pPr>
            <w:r w:rsidRPr="00CF7F8E">
              <w:rPr>
                <w:rFonts w:cs="Tahoma"/>
                <w:sz w:val="20"/>
                <w:szCs w:val="20"/>
              </w:rPr>
              <w:t xml:space="preserve">Les traumatismes représentent </w:t>
            </w:r>
          </w:p>
          <w:p w14:paraId="355DD1D7" w14:textId="77777777" w:rsidR="00F507F1" w:rsidRPr="00CF7F8E" w:rsidRDefault="00F507F1" w:rsidP="008E735C">
            <w:pPr>
              <w:spacing w:after="0" w:line="240" w:lineRule="auto"/>
              <w:jc w:val="center"/>
              <w:rPr>
                <w:rFonts w:cs="Tahoma"/>
                <w:sz w:val="20"/>
                <w:szCs w:val="20"/>
              </w:rPr>
            </w:pPr>
            <w:r w:rsidRPr="00CF7F8E">
              <w:rPr>
                <w:rFonts w:cs="Tahoma"/>
                <w:sz w:val="20"/>
                <w:szCs w:val="20"/>
              </w:rPr>
              <w:t>3 % des 19 % de causes de décès par MNT</w:t>
            </w:r>
          </w:p>
        </w:tc>
        <w:tc>
          <w:tcPr>
            <w:tcW w:w="2405" w:type="dxa"/>
            <w:tcBorders>
              <w:top w:val="nil"/>
              <w:left w:val="nil"/>
              <w:bottom w:val="single" w:sz="8" w:space="0" w:color="auto"/>
              <w:right w:val="single" w:sz="8" w:space="0" w:color="auto"/>
            </w:tcBorders>
            <w:vAlign w:val="bottom"/>
          </w:tcPr>
          <w:p w14:paraId="6B4802B0"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7AC71599" w14:textId="77777777" w:rsidTr="008E735C">
        <w:trPr>
          <w:trHeight w:val="195"/>
        </w:trPr>
        <w:tc>
          <w:tcPr>
            <w:tcW w:w="2291" w:type="dxa"/>
            <w:tcBorders>
              <w:top w:val="nil"/>
              <w:left w:val="single" w:sz="8" w:space="0" w:color="auto"/>
              <w:bottom w:val="nil"/>
              <w:right w:val="single" w:sz="8" w:space="0" w:color="auto"/>
            </w:tcBorders>
            <w:vAlign w:val="bottom"/>
            <w:hideMark/>
          </w:tcPr>
          <w:p w14:paraId="32E3116A" w14:textId="77777777" w:rsidR="00F507F1" w:rsidRPr="00CF7F8E" w:rsidRDefault="00F507F1" w:rsidP="008E735C">
            <w:pPr>
              <w:spacing w:after="0" w:line="240" w:lineRule="auto"/>
              <w:rPr>
                <w:rFonts w:cs="Tahoma"/>
                <w:b/>
                <w:bCs/>
                <w:sz w:val="20"/>
                <w:szCs w:val="20"/>
                <w:lang w:eastAsia="fr-FR"/>
              </w:rPr>
            </w:pPr>
            <w:r w:rsidRPr="00CF7F8E">
              <w:rPr>
                <w:rFonts w:cs="Tahoma"/>
                <w:b/>
                <w:bCs/>
                <w:sz w:val="20"/>
                <w:szCs w:val="20"/>
                <w:lang w:eastAsia="fr-FR"/>
              </w:rPr>
              <w:t xml:space="preserve">Taux de mortalité </w:t>
            </w:r>
          </w:p>
        </w:tc>
        <w:tc>
          <w:tcPr>
            <w:tcW w:w="3302" w:type="dxa"/>
            <w:tcBorders>
              <w:top w:val="nil"/>
              <w:left w:val="nil"/>
              <w:bottom w:val="single" w:sz="8" w:space="0" w:color="auto"/>
              <w:right w:val="single" w:sz="8" w:space="0" w:color="auto"/>
            </w:tcBorders>
            <w:vAlign w:val="bottom"/>
            <w:hideMark/>
          </w:tcPr>
          <w:p w14:paraId="4C1FF077"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 xml:space="preserve">Taux de mortalité maternelle </w:t>
            </w:r>
          </w:p>
        </w:tc>
        <w:tc>
          <w:tcPr>
            <w:tcW w:w="2352" w:type="dxa"/>
            <w:tcBorders>
              <w:top w:val="nil"/>
              <w:left w:val="nil"/>
              <w:bottom w:val="single" w:sz="8" w:space="0" w:color="auto"/>
              <w:right w:val="single" w:sz="8" w:space="0" w:color="auto"/>
            </w:tcBorders>
            <w:vAlign w:val="bottom"/>
            <w:hideMark/>
          </w:tcPr>
          <w:p w14:paraId="0058E0B9" w14:textId="77777777" w:rsidR="00F507F1" w:rsidRPr="00CF7F8E" w:rsidRDefault="00F507F1" w:rsidP="008E735C">
            <w:pPr>
              <w:spacing w:after="0" w:line="240" w:lineRule="auto"/>
              <w:jc w:val="center"/>
              <w:rPr>
                <w:rFonts w:cs="Tahoma"/>
                <w:sz w:val="20"/>
                <w:szCs w:val="20"/>
              </w:rPr>
            </w:pPr>
            <w:r w:rsidRPr="00CF7F8E">
              <w:rPr>
                <w:rFonts w:cs="Tahoma"/>
                <w:sz w:val="20"/>
                <w:szCs w:val="20"/>
              </w:rPr>
              <w:t>520 (pour 100 000 naissances vivantes) en 2016</w:t>
            </w:r>
          </w:p>
        </w:tc>
        <w:tc>
          <w:tcPr>
            <w:tcW w:w="2405" w:type="dxa"/>
            <w:tcBorders>
              <w:top w:val="nil"/>
              <w:left w:val="nil"/>
              <w:bottom w:val="single" w:sz="8" w:space="0" w:color="auto"/>
              <w:right w:val="single" w:sz="8" w:space="0" w:color="auto"/>
            </w:tcBorders>
            <w:vAlign w:val="bottom"/>
          </w:tcPr>
          <w:p w14:paraId="6CB1C45D"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2EF892B0" w14:textId="77777777" w:rsidTr="008E735C">
        <w:trPr>
          <w:trHeight w:val="197"/>
        </w:trPr>
        <w:tc>
          <w:tcPr>
            <w:tcW w:w="2291" w:type="dxa"/>
            <w:tcBorders>
              <w:top w:val="nil"/>
              <w:left w:val="single" w:sz="8" w:space="0" w:color="auto"/>
              <w:bottom w:val="nil"/>
              <w:right w:val="single" w:sz="8" w:space="0" w:color="auto"/>
            </w:tcBorders>
            <w:vAlign w:val="bottom"/>
          </w:tcPr>
          <w:p w14:paraId="429499E0"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59DFF3A0"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Taux de mortalité néonatale</w:t>
            </w:r>
          </w:p>
        </w:tc>
        <w:tc>
          <w:tcPr>
            <w:tcW w:w="2352" w:type="dxa"/>
            <w:tcBorders>
              <w:top w:val="nil"/>
              <w:left w:val="nil"/>
              <w:bottom w:val="single" w:sz="8" w:space="0" w:color="auto"/>
              <w:right w:val="single" w:sz="8" w:space="0" w:color="auto"/>
            </w:tcBorders>
            <w:vAlign w:val="bottom"/>
            <w:hideMark/>
          </w:tcPr>
          <w:p w14:paraId="7F922560" w14:textId="77777777" w:rsidR="00F507F1" w:rsidRPr="00CF7F8E" w:rsidRDefault="00F507F1" w:rsidP="008E735C">
            <w:pPr>
              <w:spacing w:after="0" w:line="240" w:lineRule="auto"/>
              <w:jc w:val="center"/>
              <w:rPr>
                <w:rFonts w:cs="Tahoma"/>
                <w:sz w:val="20"/>
                <w:szCs w:val="20"/>
              </w:rPr>
            </w:pPr>
            <w:r w:rsidRPr="00CF7F8E">
              <w:rPr>
                <w:rFonts w:cs="Tahoma"/>
                <w:sz w:val="20"/>
                <w:szCs w:val="20"/>
              </w:rPr>
              <w:t>24‰ (20</w:t>
            </w:r>
            <w:r w:rsidRPr="00CF7F8E">
              <w:rPr>
                <w:rFonts w:cs="Tahoma"/>
                <w:sz w:val="20"/>
                <w:szCs w:val="20"/>
              </w:rPr>
              <w:footnoteReference w:id="17"/>
            </w:r>
            <w:r w:rsidRPr="00CF7F8E">
              <w:rPr>
                <w:rFonts w:cs="Tahoma"/>
                <w:sz w:val="20"/>
                <w:szCs w:val="20"/>
              </w:rPr>
              <w:t>)</w:t>
            </w:r>
          </w:p>
        </w:tc>
        <w:tc>
          <w:tcPr>
            <w:tcW w:w="2405" w:type="dxa"/>
            <w:tcBorders>
              <w:top w:val="nil"/>
              <w:left w:val="nil"/>
              <w:bottom w:val="single" w:sz="8" w:space="0" w:color="auto"/>
              <w:right w:val="single" w:sz="8" w:space="0" w:color="auto"/>
            </w:tcBorders>
            <w:vAlign w:val="bottom"/>
          </w:tcPr>
          <w:p w14:paraId="24B0D56E"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7BA7C3E2" w14:textId="77777777" w:rsidTr="008E735C">
        <w:trPr>
          <w:trHeight w:val="198"/>
        </w:trPr>
        <w:tc>
          <w:tcPr>
            <w:tcW w:w="2291" w:type="dxa"/>
            <w:tcBorders>
              <w:top w:val="nil"/>
              <w:left w:val="single" w:sz="8" w:space="0" w:color="auto"/>
              <w:bottom w:val="nil"/>
              <w:right w:val="single" w:sz="8" w:space="0" w:color="auto"/>
            </w:tcBorders>
            <w:vAlign w:val="bottom"/>
          </w:tcPr>
          <w:p w14:paraId="1120267C"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19710D89"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Taux de mortalité des moins de 1 an</w:t>
            </w:r>
          </w:p>
        </w:tc>
        <w:tc>
          <w:tcPr>
            <w:tcW w:w="2352" w:type="dxa"/>
            <w:tcBorders>
              <w:top w:val="nil"/>
              <w:left w:val="nil"/>
              <w:bottom w:val="single" w:sz="8" w:space="0" w:color="auto"/>
              <w:right w:val="single" w:sz="8" w:space="0" w:color="auto"/>
            </w:tcBorders>
            <w:vAlign w:val="bottom"/>
            <w:hideMark/>
          </w:tcPr>
          <w:p w14:paraId="2120F3DF" w14:textId="77777777" w:rsidR="00F507F1" w:rsidRPr="00CF7F8E" w:rsidRDefault="00F507F1" w:rsidP="008E735C">
            <w:pPr>
              <w:spacing w:after="0" w:line="240" w:lineRule="auto"/>
              <w:jc w:val="center"/>
              <w:rPr>
                <w:rFonts w:cs="Tahoma"/>
                <w:sz w:val="20"/>
                <w:szCs w:val="20"/>
              </w:rPr>
            </w:pPr>
            <w:r w:rsidRPr="00CF7F8E">
              <w:rPr>
                <w:rFonts w:cs="Tahoma"/>
                <w:sz w:val="20"/>
                <w:szCs w:val="20"/>
              </w:rPr>
              <w:t>51‰ (20</w:t>
            </w:r>
            <w:r w:rsidRPr="00CF7F8E">
              <w:rPr>
                <w:rFonts w:cs="Tahoma"/>
                <w:sz w:val="20"/>
                <w:szCs w:val="20"/>
              </w:rPr>
              <w:footnoteReference w:id="18"/>
            </w:r>
            <w:r w:rsidRPr="00CF7F8E">
              <w:rPr>
                <w:rFonts w:cs="Tahoma"/>
                <w:sz w:val="20"/>
                <w:szCs w:val="20"/>
              </w:rPr>
              <w:t>)</w:t>
            </w:r>
          </w:p>
        </w:tc>
        <w:tc>
          <w:tcPr>
            <w:tcW w:w="2405" w:type="dxa"/>
            <w:tcBorders>
              <w:top w:val="nil"/>
              <w:left w:val="nil"/>
              <w:bottom w:val="single" w:sz="8" w:space="0" w:color="auto"/>
              <w:right w:val="single" w:sz="8" w:space="0" w:color="auto"/>
            </w:tcBorders>
            <w:vAlign w:val="bottom"/>
          </w:tcPr>
          <w:p w14:paraId="08388735"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6DC8010D" w14:textId="77777777" w:rsidTr="008E735C">
        <w:trPr>
          <w:trHeight w:val="196"/>
        </w:trPr>
        <w:tc>
          <w:tcPr>
            <w:tcW w:w="2291" w:type="dxa"/>
            <w:tcBorders>
              <w:top w:val="nil"/>
              <w:left w:val="single" w:sz="8" w:space="0" w:color="auto"/>
              <w:bottom w:val="nil"/>
              <w:right w:val="single" w:sz="8" w:space="0" w:color="auto"/>
            </w:tcBorders>
            <w:vAlign w:val="bottom"/>
          </w:tcPr>
          <w:p w14:paraId="6E12A7D0"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5CBCDA5C"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 xml:space="preserve">Taux de mortalité des moins de 5 ans </w:t>
            </w:r>
          </w:p>
        </w:tc>
        <w:tc>
          <w:tcPr>
            <w:tcW w:w="2352" w:type="dxa"/>
            <w:tcBorders>
              <w:top w:val="nil"/>
              <w:left w:val="nil"/>
              <w:bottom w:val="single" w:sz="8" w:space="0" w:color="auto"/>
              <w:right w:val="single" w:sz="8" w:space="0" w:color="auto"/>
            </w:tcBorders>
            <w:vAlign w:val="bottom"/>
            <w:hideMark/>
          </w:tcPr>
          <w:p w14:paraId="5411E8BE" w14:textId="77777777" w:rsidR="00F507F1" w:rsidRPr="00CF7F8E" w:rsidRDefault="00F507F1" w:rsidP="008E735C">
            <w:pPr>
              <w:spacing w:after="0" w:line="240" w:lineRule="auto"/>
              <w:jc w:val="center"/>
              <w:rPr>
                <w:rFonts w:cs="Tahoma"/>
                <w:sz w:val="20"/>
                <w:szCs w:val="20"/>
              </w:rPr>
            </w:pPr>
            <w:r w:rsidRPr="00CF7F8E">
              <w:rPr>
                <w:rFonts w:cs="Tahoma"/>
                <w:sz w:val="20"/>
                <w:szCs w:val="20"/>
              </w:rPr>
              <w:t>126‰ (20</w:t>
            </w:r>
            <w:r w:rsidRPr="00CF7F8E">
              <w:rPr>
                <w:rFonts w:cs="Tahoma"/>
                <w:sz w:val="20"/>
                <w:szCs w:val="20"/>
              </w:rPr>
              <w:footnoteReference w:id="19"/>
            </w:r>
            <w:r w:rsidRPr="00CF7F8E">
              <w:rPr>
                <w:rFonts w:cs="Tahoma"/>
                <w:sz w:val="20"/>
                <w:szCs w:val="20"/>
              </w:rPr>
              <w:t>)</w:t>
            </w:r>
          </w:p>
        </w:tc>
        <w:tc>
          <w:tcPr>
            <w:tcW w:w="2405" w:type="dxa"/>
            <w:tcBorders>
              <w:top w:val="nil"/>
              <w:left w:val="nil"/>
              <w:bottom w:val="single" w:sz="8" w:space="0" w:color="auto"/>
              <w:right w:val="single" w:sz="8" w:space="0" w:color="auto"/>
            </w:tcBorders>
            <w:vAlign w:val="bottom"/>
          </w:tcPr>
          <w:p w14:paraId="4E1A9B63"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58A1F8E8" w14:textId="77777777" w:rsidTr="008E735C">
        <w:trPr>
          <w:trHeight w:val="196"/>
        </w:trPr>
        <w:tc>
          <w:tcPr>
            <w:tcW w:w="2291" w:type="dxa"/>
            <w:tcBorders>
              <w:top w:val="nil"/>
              <w:left w:val="single" w:sz="8" w:space="0" w:color="auto"/>
              <w:bottom w:val="nil"/>
              <w:right w:val="single" w:sz="8" w:space="0" w:color="auto"/>
            </w:tcBorders>
            <w:vAlign w:val="bottom"/>
          </w:tcPr>
          <w:p w14:paraId="2CDD32A1"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3CEC1B56"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Taux de mortalité des adolescents</w:t>
            </w:r>
          </w:p>
        </w:tc>
        <w:tc>
          <w:tcPr>
            <w:tcW w:w="2352" w:type="dxa"/>
            <w:tcBorders>
              <w:top w:val="nil"/>
              <w:left w:val="nil"/>
              <w:bottom w:val="single" w:sz="8" w:space="0" w:color="auto"/>
              <w:right w:val="single" w:sz="8" w:space="0" w:color="auto"/>
            </w:tcBorders>
            <w:vAlign w:val="bottom"/>
          </w:tcPr>
          <w:p w14:paraId="48E18BB5"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0FB973F3"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5EDCC583" w14:textId="77777777" w:rsidTr="008E735C">
        <w:trPr>
          <w:trHeight w:val="196"/>
        </w:trPr>
        <w:tc>
          <w:tcPr>
            <w:tcW w:w="2291" w:type="dxa"/>
            <w:tcBorders>
              <w:top w:val="nil"/>
              <w:left w:val="single" w:sz="8" w:space="0" w:color="auto"/>
              <w:bottom w:val="nil"/>
              <w:right w:val="single" w:sz="8" w:space="0" w:color="auto"/>
            </w:tcBorders>
            <w:vAlign w:val="bottom"/>
          </w:tcPr>
          <w:p w14:paraId="58D6CEFF"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43CFE9FF"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Taux de mortalité des adultes</w:t>
            </w:r>
          </w:p>
        </w:tc>
        <w:tc>
          <w:tcPr>
            <w:tcW w:w="2352" w:type="dxa"/>
            <w:tcBorders>
              <w:top w:val="nil"/>
              <w:left w:val="nil"/>
              <w:bottom w:val="single" w:sz="8" w:space="0" w:color="auto"/>
              <w:right w:val="single" w:sz="8" w:space="0" w:color="auto"/>
            </w:tcBorders>
            <w:vAlign w:val="bottom"/>
          </w:tcPr>
          <w:p w14:paraId="1A50C1EB"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272C0587" w14:textId="77777777" w:rsidR="00F507F1" w:rsidRPr="00CF7F8E" w:rsidRDefault="00F507F1" w:rsidP="008E735C">
            <w:pPr>
              <w:spacing w:after="0" w:line="240" w:lineRule="auto"/>
              <w:jc w:val="center"/>
              <w:rPr>
                <w:rFonts w:cs="Tahoma"/>
                <w:sz w:val="20"/>
                <w:szCs w:val="20"/>
                <w:highlight w:val="yellow"/>
                <w:lang w:eastAsia="fr-FR"/>
              </w:rPr>
            </w:pPr>
          </w:p>
        </w:tc>
      </w:tr>
      <w:tr w:rsidR="00F507F1" w:rsidRPr="00CF7F8E" w14:paraId="5DB9D7A6" w14:textId="77777777" w:rsidTr="008E735C">
        <w:trPr>
          <w:trHeight w:val="54"/>
        </w:trPr>
        <w:tc>
          <w:tcPr>
            <w:tcW w:w="2291" w:type="dxa"/>
            <w:tcBorders>
              <w:top w:val="nil"/>
              <w:left w:val="single" w:sz="8" w:space="0" w:color="auto"/>
              <w:bottom w:val="single" w:sz="8" w:space="0" w:color="auto"/>
              <w:right w:val="single" w:sz="8" w:space="0" w:color="auto"/>
            </w:tcBorders>
            <w:vAlign w:val="bottom"/>
          </w:tcPr>
          <w:p w14:paraId="569218A4" w14:textId="77777777" w:rsidR="00F507F1" w:rsidRPr="00CF7F8E" w:rsidRDefault="00F507F1" w:rsidP="008E735C">
            <w:pPr>
              <w:spacing w:after="0" w:line="240" w:lineRule="auto"/>
              <w:rPr>
                <w:rFonts w:cs="Tahoma"/>
                <w:sz w:val="20"/>
                <w:szCs w:val="20"/>
                <w:lang w:eastAsia="fr-FR"/>
              </w:rPr>
            </w:pPr>
          </w:p>
        </w:tc>
        <w:tc>
          <w:tcPr>
            <w:tcW w:w="3302" w:type="dxa"/>
            <w:tcBorders>
              <w:top w:val="nil"/>
              <w:left w:val="nil"/>
              <w:bottom w:val="single" w:sz="8" w:space="0" w:color="auto"/>
              <w:right w:val="single" w:sz="8" w:space="0" w:color="auto"/>
            </w:tcBorders>
            <w:vAlign w:val="bottom"/>
            <w:hideMark/>
          </w:tcPr>
          <w:p w14:paraId="3DC8348E" w14:textId="77777777" w:rsidR="00F507F1" w:rsidRPr="00CF7F8E" w:rsidRDefault="00F507F1" w:rsidP="008E735C">
            <w:pPr>
              <w:spacing w:after="0" w:line="240" w:lineRule="auto"/>
              <w:ind w:left="80"/>
              <w:rPr>
                <w:rFonts w:cs="Tahoma"/>
                <w:sz w:val="20"/>
                <w:szCs w:val="20"/>
                <w:lang w:eastAsia="fr-FR"/>
              </w:rPr>
            </w:pPr>
            <w:r w:rsidRPr="00CF7F8E">
              <w:rPr>
                <w:rFonts w:cs="Tahoma"/>
                <w:sz w:val="20"/>
                <w:szCs w:val="20"/>
                <w:lang w:eastAsia="fr-FR"/>
              </w:rPr>
              <w:t>Taux brut de mortalité</w:t>
            </w:r>
          </w:p>
        </w:tc>
        <w:tc>
          <w:tcPr>
            <w:tcW w:w="2352" w:type="dxa"/>
            <w:tcBorders>
              <w:top w:val="nil"/>
              <w:left w:val="nil"/>
              <w:bottom w:val="single" w:sz="8" w:space="0" w:color="auto"/>
              <w:right w:val="single" w:sz="8" w:space="0" w:color="auto"/>
            </w:tcBorders>
            <w:vAlign w:val="bottom"/>
          </w:tcPr>
          <w:p w14:paraId="4494F16B" w14:textId="77777777" w:rsidR="00F507F1" w:rsidRPr="00CF7F8E" w:rsidRDefault="00F507F1" w:rsidP="008E735C">
            <w:pPr>
              <w:spacing w:after="0" w:line="240" w:lineRule="auto"/>
              <w:jc w:val="center"/>
              <w:rPr>
                <w:rFonts w:cs="Tahoma"/>
                <w:sz w:val="20"/>
                <w:szCs w:val="20"/>
              </w:rPr>
            </w:pPr>
            <w:r w:rsidRPr="00CF7F8E">
              <w:rPr>
                <w:rFonts w:cs="Tahoma"/>
                <w:sz w:val="20"/>
                <w:szCs w:val="20"/>
              </w:rPr>
              <w:t>ND</w:t>
            </w:r>
          </w:p>
        </w:tc>
        <w:tc>
          <w:tcPr>
            <w:tcW w:w="2405" w:type="dxa"/>
            <w:tcBorders>
              <w:top w:val="nil"/>
              <w:left w:val="nil"/>
              <w:bottom w:val="single" w:sz="8" w:space="0" w:color="auto"/>
              <w:right w:val="single" w:sz="8" w:space="0" w:color="auto"/>
            </w:tcBorders>
            <w:vAlign w:val="bottom"/>
          </w:tcPr>
          <w:p w14:paraId="20FE7ACD" w14:textId="77777777" w:rsidR="00F507F1" w:rsidRPr="00CF7F8E" w:rsidRDefault="00F507F1" w:rsidP="008E735C">
            <w:pPr>
              <w:spacing w:after="0" w:line="240" w:lineRule="auto"/>
              <w:jc w:val="center"/>
              <w:rPr>
                <w:rFonts w:cs="Tahoma"/>
                <w:sz w:val="20"/>
                <w:szCs w:val="20"/>
                <w:lang w:eastAsia="fr-FR"/>
              </w:rPr>
            </w:pPr>
          </w:p>
        </w:tc>
      </w:tr>
    </w:tbl>
    <w:p w14:paraId="3D92D897" w14:textId="77777777" w:rsidR="00F507F1" w:rsidRPr="009037CC" w:rsidRDefault="00F507F1" w:rsidP="00F507F1">
      <w:pPr>
        <w:spacing w:line="240" w:lineRule="auto"/>
        <w:jc w:val="both"/>
        <w:rPr>
          <w:rFonts w:cs="Tahoma"/>
          <w:sz w:val="24"/>
          <w:szCs w:val="24"/>
        </w:rPr>
        <w:sectPr w:rsidR="00F507F1" w:rsidRPr="009037CC" w:rsidSect="002E26C8">
          <w:pgSz w:w="11906" w:h="16838" w:code="9"/>
          <w:pgMar w:top="1412" w:right="1412" w:bottom="1412" w:left="1412" w:header="706" w:footer="706" w:gutter="0"/>
          <w:cols w:space="708"/>
          <w:titlePg/>
          <w:docGrid w:linePitch="360"/>
        </w:sectPr>
      </w:pPr>
    </w:p>
    <w:p w14:paraId="458BF82A" w14:textId="77777777" w:rsidR="00431DEF" w:rsidRDefault="0044393C" w:rsidP="00F507F1">
      <w:pPr>
        <w:pStyle w:val="Titre1"/>
      </w:pPr>
      <w:bookmarkStart w:id="43" w:name="_Toc21449044"/>
      <w:r>
        <w:t>Annexe : calcul des indicateurs de la CSU</w:t>
      </w:r>
      <w:bookmarkEnd w:id="43"/>
    </w:p>
    <w:p w14:paraId="25BC3EE6" w14:textId="77777777" w:rsidR="0044393C" w:rsidRPr="0044393C" w:rsidRDefault="0044393C" w:rsidP="0044393C"/>
    <w:p w14:paraId="41C5B6A6" w14:textId="77777777" w:rsidR="005416D5" w:rsidRDefault="00D4535B" w:rsidP="00D069F1">
      <w:r>
        <w:rPr>
          <w:noProof/>
          <w:lang w:eastAsia="fr-FR"/>
        </w:rPr>
        <w:drawing>
          <wp:inline distT="0" distB="0" distL="0" distR="0" wp14:anchorId="1412A508" wp14:editId="2A51E2FF">
            <wp:extent cx="5759450" cy="236170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59450" cy="2361705"/>
                    </a:xfrm>
                    <a:prstGeom prst="rect">
                      <a:avLst/>
                    </a:prstGeom>
                  </pic:spPr>
                </pic:pic>
              </a:graphicData>
            </a:graphic>
          </wp:inline>
        </w:drawing>
      </w:r>
    </w:p>
    <w:p w14:paraId="58FCE7E1" w14:textId="77777777" w:rsidR="00431DEF" w:rsidRDefault="00431DEF" w:rsidP="00D069F1">
      <w:r>
        <w:rPr>
          <w:noProof/>
          <w:lang w:eastAsia="fr-FR"/>
        </w:rPr>
        <w:drawing>
          <wp:inline distT="0" distB="0" distL="0" distR="0" wp14:anchorId="227E283B" wp14:editId="5CDA1FDF">
            <wp:extent cx="5753100" cy="5476875"/>
            <wp:effectExtent l="0" t="0" r="0" b="9525"/>
            <wp:docPr id="299"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753100" cy="5476875"/>
                    </a:xfrm>
                    <a:prstGeom prst="rect">
                      <a:avLst/>
                    </a:prstGeom>
                  </pic:spPr>
                </pic:pic>
              </a:graphicData>
            </a:graphic>
          </wp:inline>
        </w:drawing>
      </w:r>
    </w:p>
    <w:p w14:paraId="795879F4" w14:textId="77777777" w:rsidR="00431DEF" w:rsidRPr="00D069F1" w:rsidRDefault="00431DEF" w:rsidP="00D069F1">
      <w:r>
        <w:rPr>
          <w:noProof/>
          <w:lang w:eastAsia="fr-FR"/>
        </w:rPr>
        <w:drawing>
          <wp:inline distT="0" distB="0" distL="0" distR="0" wp14:anchorId="37058FF2" wp14:editId="6B6FF9E6">
            <wp:extent cx="3209925" cy="4886325"/>
            <wp:effectExtent l="0" t="0" r="9525" b="9525"/>
            <wp:docPr id="300" name="Imag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209925" cy="4886325"/>
                    </a:xfrm>
                    <a:prstGeom prst="rect">
                      <a:avLst/>
                    </a:prstGeom>
                  </pic:spPr>
                </pic:pic>
              </a:graphicData>
            </a:graphic>
          </wp:inline>
        </w:drawing>
      </w:r>
    </w:p>
    <w:p w14:paraId="524B6FF7" w14:textId="77777777" w:rsidR="003F3FAC" w:rsidRPr="00BF29A2" w:rsidRDefault="003F3FAC" w:rsidP="003F3FAC">
      <w:pPr>
        <w:pStyle w:val="Paragraphedeliste"/>
        <w:ind w:left="1494"/>
        <w:rPr>
          <w:rFonts w:cstheme="minorHAnsi"/>
          <w:color w:val="FF0000"/>
          <w:sz w:val="24"/>
          <w:szCs w:val="24"/>
        </w:rPr>
      </w:pPr>
    </w:p>
    <w:p w14:paraId="331326FB" w14:textId="77777777" w:rsidR="00515C25" w:rsidRPr="00BF29A2" w:rsidRDefault="00515C25">
      <w:pPr>
        <w:rPr>
          <w:rFonts w:cstheme="minorHAnsi"/>
          <w:b/>
          <w:i/>
          <w:sz w:val="24"/>
          <w:szCs w:val="24"/>
        </w:rPr>
      </w:pPr>
    </w:p>
    <w:sectPr w:rsidR="00515C25" w:rsidRPr="00BF29A2" w:rsidSect="002E26C8">
      <w:pgSz w:w="11906" w:h="16838" w:code="9"/>
      <w:pgMar w:top="1412" w:right="1412" w:bottom="1412" w:left="141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0DCD6B" w14:textId="77777777" w:rsidR="00A21491" w:rsidRDefault="00A21491" w:rsidP="003F3FAC">
      <w:pPr>
        <w:spacing w:after="0" w:line="240" w:lineRule="auto"/>
      </w:pPr>
      <w:r>
        <w:separator/>
      </w:r>
    </w:p>
  </w:endnote>
  <w:endnote w:type="continuationSeparator" w:id="0">
    <w:p w14:paraId="63865999" w14:textId="77777777" w:rsidR="00A21491" w:rsidRDefault="00A21491" w:rsidP="003F3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5354085"/>
      <w:docPartObj>
        <w:docPartGallery w:val="Page Numbers (Bottom of Page)"/>
        <w:docPartUnique/>
      </w:docPartObj>
    </w:sdtPr>
    <w:sdtEndPr/>
    <w:sdtContent>
      <w:p w14:paraId="02052AD7" w14:textId="77777777" w:rsidR="007679D9" w:rsidRDefault="007679D9">
        <w:pPr>
          <w:pStyle w:val="Pieddepage"/>
          <w:jc w:val="right"/>
        </w:pPr>
        <w:r>
          <w:fldChar w:fldCharType="begin"/>
        </w:r>
        <w:r>
          <w:instrText>PAGE   \* MERGEFORMAT</w:instrText>
        </w:r>
        <w:r>
          <w:fldChar w:fldCharType="separate"/>
        </w:r>
        <w:r w:rsidR="0051494F">
          <w:rPr>
            <w:noProof/>
          </w:rPr>
          <w:t>1</w:t>
        </w:r>
        <w:r>
          <w:fldChar w:fldCharType="end"/>
        </w:r>
      </w:p>
    </w:sdtContent>
  </w:sdt>
  <w:p w14:paraId="1B4937ED" w14:textId="77777777" w:rsidR="007679D9" w:rsidRDefault="007679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2D53B" w14:textId="77777777" w:rsidR="00A21491" w:rsidRDefault="00A21491" w:rsidP="003F3FAC">
      <w:pPr>
        <w:spacing w:after="0" w:line="240" w:lineRule="auto"/>
      </w:pPr>
      <w:r>
        <w:separator/>
      </w:r>
    </w:p>
  </w:footnote>
  <w:footnote w:type="continuationSeparator" w:id="0">
    <w:p w14:paraId="699EA965" w14:textId="77777777" w:rsidR="00A21491" w:rsidRDefault="00A21491" w:rsidP="003F3FAC">
      <w:pPr>
        <w:spacing w:after="0" w:line="240" w:lineRule="auto"/>
      </w:pPr>
      <w:r>
        <w:continuationSeparator/>
      </w:r>
    </w:p>
  </w:footnote>
  <w:footnote w:id="1">
    <w:p w14:paraId="629C3BCA" w14:textId="77777777" w:rsidR="007679D9" w:rsidRPr="002A495B" w:rsidRDefault="007679D9" w:rsidP="00122B15">
      <w:pPr>
        <w:pStyle w:val="Notedebasdepage"/>
        <w:rPr>
          <w:lang w:val="en-US"/>
        </w:rPr>
      </w:pPr>
      <w:r>
        <w:rPr>
          <w:rStyle w:val="Appelnotedebasdep"/>
        </w:rPr>
        <w:footnoteRef/>
      </w:r>
      <w:r w:rsidRPr="002A495B">
        <w:rPr>
          <w:lang w:val="en-US"/>
        </w:rPr>
        <w:t xml:space="preserve"> Source INS</w:t>
      </w:r>
    </w:p>
  </w:footnote>
  <w:footnote w:id="2">
    <w:p w14:paraId="1EAE8DB3" w14:textId="77777777" w:rsidR="004744D3" w:rsidRDefault="004744D3" w:rsidP="004744D3">
      <w:pPr>
        <w:pStyle w:val="Notedebasdepage"/>
      </w:pPr>
      <w:r>
        <w:rPr>
          <w:rStyle w:val="Appelnotedebasdep"/>
        </w:rPr>
        <w:footnoteRef/>
      </w:r>
      <w:r>
        <w:t xml:space="preserve"> Wikipédia</w:t>
      </w:r>
    </w:p>
  </w:footnote>
  <w:footnote w:id="3">
    <w:p w14:paraId="297ED349" w14:textId="77777777" w:rsidR="004744D3" w:rsidRDefault="004744D3">
      <w:pPr>
        <w:pStyle w:val="Notedebasdepage"/>
      </w:pPr>
      <w:r>
        <w:rPr>
          <w:rStyle w:val="Appelnotedebasdep"/>
        </w:rPr>
        <w:footnoteRef/>
      </w:r>
      <w:r>
        <w:t xml:space="preserve"> </w:t>
      </w:r>
      <w:r w:rsidRPr="004744D3">
        <w:t>https://fr.statista.com/statistiques/697817/esperance-de-vie-niger/</w:t>
      </w:r>
    </w:p>
  </w:footnote>
  <w:footnote w:id="4">
    <w:p w14:paraId="017C6766" w14:textId="77777777" w:rsidR="007679D9" w:rsidRPr="002A495B" w:rsidRDefault="007679D9" w:rsidP="00012D78">
      <w:pPr>
        <w:pStyle w:val="Notedebasdepage"/>
        <w:rPr>
          <w:lang w:val="en-US"/>
        </w:rPr>
      </w:pPr>
      <w:r>
        <w:rPr>
          <w:rStyle w:val="Appelnotedebasdep"/>
        </w:rPr>
        <w:footnoteRef/>
      </w:r>
      <w:r w:rsidRPr="002A495B">
        <w:rPr>
          <w:lang w:val="en-US"/>
        </w:rPr>
        <w:t xml:space="preserve"> cf. http://vizhub.healthdata.org/gbd-compare</w:t>
      </w:r>
    </w:p>
  </w:footnote>
  <w:footnote w:id="5">
    <w:p w14:paraId="1C97594C" w14:textId="77777777" w:rsidR="007679D9" w:rsidRDefault="007679D9" w:rsidP="00012D78">
      <w:pPr>
        <w:pStyle w:val="Notedebasdepage"/>
      </w:pPr>
      <w:r>
        <w:rPr>
          <w:rStyle w:val="Appelnotedebasdep"/>
        </w:rPr>
        <w:footnoteRef/>
      </w:r>
      <w:r>
        <w:t xml:space="preserve"> </w:t>
      </w:r>
      <w:r w:rsidRPr="002A495B">
        <w:rPr>
          <w:lang w:val="en-US"/>
        </w:rPr>
        <w:t>cf. http://vizhub.healthdata.org/gbd-compare</w:t>
      </w:r>
    </w:p>
  </w:footnote>
  <w:footnote w:id="6">
    <w:p w14:paraId="754976A6" w14:textId="77777777" w:rsidR="007679D9" w:rsidRPr="002A495B" w:rsidRDefault="007679D9">
      <w:pPr>
        <w:pStyle w:val="Notedebasdepage"/>
        <w:rPr>
          <w:lang w:val="en-US"/>
        </w:rPr>
      </w:pPr>
      <w:r>
        <w:rPr>
          <w:rStyle w:val="Appelnotedebasdep"/>
        </w:rPr>
        <w:footnoteRef/>
      </w:r>
      <w:r w:rsidRPr="002A495B">
        <w:rPr>
          <w:lang w:val="en-US"/>
        </w:rPr>
        <w:t xml:space="preserve"> </w:t>
      </w:r>
      <w:r w:rsidRPr="00A22125">
        <w:rPr>
          <w:bCs/>
          <w:lang w:val="en-GB"/>
        </w:rPr>
        <w:t>Health Financing Progress Matrix, OMS, 2019.</w:t>
      </w:r>
    </w:p>
  </w:footnote>
  <w:footnote w:id="7">
    <w:p w14:paraId="1E59B2EF" w14:textId="77777777" w:rsidR="007679D9" w:rsidRDefault="007679D9">
      <w:pPr>
        <w:pStyle w:val="Notedebasdepage"/>
      </w:pPr>
      <w:r>
        <w:rPr>
          <w:rStyle w:val="Appelnotedebasdep"/>
        </w:rPr>
        <w:footnoteRef/>
      </w:r>
      <w:r>
        <w:t xml:space="preserve"> CNS 2016. Le reste des données proviennent des CNS (séries créés à partir de </w:t>
      </w:r>
      <w:hyperlink r:id="rId1" w:history="1">
        <w:r w:rsidRPr="000965BF">
          <w:rPr>
            <w:rStyle w:val="Lienhypertexte"/>
          </w:rPr>
          <w:t>http://apps.who.int/nha/database/ViewData/Indicators/en</w:t>
        </w:r>
      </w:hyperlink>
      <w:r>
        <w:t>) ou du rapport national des CNS 2017.</w:t>
      </w:r>
    </w:p>
  </w:footnote>
  <w:footnote w:id="8">
    <w:p w14:paraId="723236FD" w14:textId="77777777" w:rsidR="007679D9" w:rsidRDefault="007679D9">
      <w:pPr>
        <w:pStyle w:val="Notedebasdepage"/>
      </w:pPr>
      <w:r>
        <w:rPr>
          <w:rStyle w:val="Appelnotedebasdep"/>
        </w:rPr>
        <w:footnoteRef/>
      </w:r>
      <w:r>
        <w:t xml:space="preserve"> </w:t>
      </w:r>
      <w:r w:rsidRPr="00E30B5F">
        <w:t>L</w:t>
      </w:r>
      <w:r>
        <w:t>’addition des</w:t>
      </w:r>
      <w:r w:rsidRPr="00E30B5F">
        <w:t xml:space="preserve"> deux agrégats « dépenses courantes en santé » et «</w:t>
      </w:r>
      <w:r>
        <w:t xml:space="preserve">formation </w:t>
      </w:r>
      <w:r w:rsidRPr="00E30B5F">
        <w:t xml:space="preserve">de capital » </w:t>
      </w:r>
      <w:r>
        <w:t>permet d’</w:t>
      </w:r>
      <w:r w:rsidRPr="00E30B5F">
        <w:t>obtenir les « dépenses totales de santé ».</w:t>
      </w:r>
    </w:p>
  </w:footnote>
  <w:footnote w:id="9">
    <w:p w14:paraId="0B7482A5" w14:textId="77777777" w:rsidR="007679D9" w:rsidRDefault="007679D9">
      <w:pPr>
        <w:pStyle w:val="Notedebasdepage"/>
      </w:pPr>
      <w:r>
        <w:rPr>
          <w:rStyle w:val="Appelnotedebasdep"/>
        </w:rPr>
        <w:footnoteRef/>
      </w:r>
      <w:r>
        <w:t xml:space="preserve"> NB : ces causes sont structurellement les premières au Niger. Néanmoins il relèvera du suivi-évaluation de la stratégie de vérifier l’évolution des déterminants de la santé dans le temps pour adapter la réponse.</w:t>
      </w:r>
    </w:p>
  </w:footnote>
  <w:footnote w:id="10">
    <w:p w14:paraId="0FC4BBCD" w14:textId="77777777" w:rsidR="007679D9" w:rsidRPr="00C844D2" w:rsidRDefault="007679D9" w:rsidP="00C844D2">
      <w:pPr>
        <w:rPr>
          <w:rFonts w:cs="Calibri"/>
        </w:rPr>
      </w:pPr>
      <w:r>
        <w:rPr>
          <w:rStyle w:val="Appelnotedebasdep"/>
        </w:rPr>
        <w:footnoteRef/>
      </w:r>
      <w:r>
        <w:t xml:space="preserve"> </w:t>
      </w:r>
      <w:r>
        <w:rPr>
          <w:rFonts w:cs="Calibri"/>
        </w:rPr>
        <w:t>Une remarque importante s’impose : le programme n°2 du Ministère de la Santé recoupe le domaine de la protection sociale santé ou « protection financière contre le risque maladie » selon la terminologie de l’objectif stratégique n°2 de la présente stratégie. Et pour cause, une part importante des mécanismes de prise en charge contre le risque maladie est aujourd’hui mise en œuvre par le Ministère de la Santé. Dans la mise en perspective d’un schéma de financement de la santé cohérent (cf. infra), le respect de la séparation des rôles entre acheteurs de soins et prestataires des services de santé, ou encore dans la logique de la loi sur la Protection Sociale, le programme 2 est donc ici amputé des mécanismes de protect</w:t>
      </w:r>
      <w:r w:rsidR="00C844D2">
        <w:rPr>
          <w:rFonts w:cs="Calibri"/>
        </w:rPr>
        <w:t>ion contre le risque financier.</w:t>
      </w:r>
    </w:p>
  </w:footnote>
  <w:footnote w:id="11">
    <w:p w14:paraId="0965625F" w14:textId="77777777" w:rsidR="007679D9" w:rsidRDefault="007679D9" w:rsidP="007444DB">
      <w:pPr>
        <w:pStyle w:val="Notedebasdepage"/>
      </w:pPr>
      <w:r>
        <w:rPr>
          <w:rStyle w:val="Appelnotedebasdep"/>
        </w:rPr>
        <w:footnoteRef/>
      </w:r>
      <w:r>
        <w:t xml:space="preserve"> Données Banque Mondiale</w:t>
      </w:r>
    </w:p>
  </w:footnote>
  <w:footnote w:id="12">
    <w:p w14:paraId="117B8126" w14:textId="77777777" w:rsidR="007679D9" w:rsidRDefault="007679D9">
      <w:pPr>
        <w:pStyle w:val="Notedebasdepage"/>
      </w:pPr>
      <w:r>
        <w:rPr>
          <w:rStyle w:val="Appelnotedebasdep"/>
        </w:rPr>
        <w:footnoteRef/>
      </w:r>
      <w:r>
        <w:t xml:space="preserve"> Les dépenses publiques de santé représentent 43,64% des DTS en 2017 (mais de 18,47% à 19,32% les 5 années précédentes) et les dépenses de santé représentent 8,07% du PIB en 2017 (mais seulement de 6.07% à 6.96% les 5 années précédentes). </w:t>
      </w:r>
    </w:p>
  </w:footnote>
  <w:footnote w:id="13">
    <w:p w14:paraId="4A164FD8" w14:textId="77777777" w:rsidR="007679D9" w:rsidRDefault="007679D9">
      <w:pPr>
        <w:pStyle w:val="Notedebasdepage"/>
      </w:pPr>
      <w:r>
        <w:rPr>
          <w:rStyle w:val="Appelnotedebasdep"/>
        </w:rPr>
        <w:footnoteRef/>
      </w:r>
      <w:r>
        <w:t xml:space="preserve"> Dans cette hypothèse le chiffre de 2017 issu des CNS est reporté à l’identique pour 2018 et 2019 puis une progression régulière est proposée jusqu’à l’atteinte des 5% en 2030.</w:t>
      </w:r>
    </w:p>
  </w:footnote>
  <w:footnote w:id="14">
    <w:p w14:paraId="5501DE6B" w14:textId="77777777" w:rsidR="007679D9" w:rsidRDefault="007679D9" w:rsidP="00431DEF">
      <w:pPr>
        <w:pStyle w:val="Notedebasdepage"/>
      </w:pPr>
      <w:r>
        <w:rPr>
          <w:rStyle w:val="Appelnotedebasdep"/>
        </w:rPr>
        <w:footnoteRef/>
      </w:r>
      <w:r>
        <w:t xml:space="preserve"> </w:t>
      </w:r>
      <w:hyperlink r:id="rId2" w:history="1">
        <w:r w:rsidRPr="00D95C50">
          <w:rPr>
            <w:rStyle w:val="Lienhypertexte"/>
          </w:rPr>
          <w:t>https://apps.who.int/iris/bitstream/handle/10665/272598/9789242513554-fre.pdf?ua=1</w:t>
        </w:r>
      </w:hyperlink>
      <w:r>
        <w:t xml:space="preserve"> </w:t>
      </w:r>
    </w:p>
  </w:footnote>
  <w:footnote w:id="15">
    <w:p w14:paraId="43BE9D9D" w14:textId="77777777" w:rsidR="007679D9" w:rsidRPr="006D7554" w:rsidRDefault="007679D9" w:rsidP="00F507F1">
      <w:pPr>
        <w:pStyle w:val="Notedebasdepage"/>
        <w:rPr>
          <w:sz w:val="16"/>
          <w:szCs w:val="16"/>
        </w:rPr>
      </w:pPr>
      <w:r>
        <w:rPr>
          <w:rStyle w:val="Appelnotedebasdep"/>
        </w:rPr>
        <w:footnoteRef/>
      </w:r>
      <w:r>
        <w:t xml:space="preserve"> </w:t>
      </w:r>
      <w:r>
        <w:rPr>
          <w:sz w:val="16"/>
          <w:szCs w:val="16"/>
        </w:rPr>
        <w:t>Profil TB Niger 2011 à 2018 (www.who.int/TB/data)</w:t>
      </w:r>
    </w:p>
  </w:footnote>
  <w:footnote w:id="16">
    <w:p w14:paraId="02B17BB6" w14:textId="77777777" w:rsidR="007679D9" w:rsidRPr="006D7554" w:rsidRDefault="007679D9" w:rsidP="00F507F1">
      <w:pPr>
        <w:pStyle w:val="Notedebasdepage"/>
        <w:rPr>
          <w:lang w:val="en-GB"/>
        </w:rPr>
      </w:pPr>
      <w:r>
        <w:rPr>
          <w:rStyle w:val="Appelnotedebasdep"/>
        </w:rPr>
        <w:footnoteRef/>
      </w:r>
      <w:r w:rsidRPr="006D7554">
        <w:rPr>
          <w:lang w:val="en-GB"/>
        </w:rPr>
        <w:t xml:space="preserve"> EDSN 2012</w:t>
      </w:r>
    </w:p>
  </w:footnote>
  <w:footnote w:id="17">
    <w:p w14:paraId="6DE3A944" w14:textId="77777777" w:rsidR="007679D9" w:rsidRPr="006D7554" w:rsidRDefault="007679D9" w:rsidP="00F507F1">
      <w:pPr>
        <w:pStyle w:val="Notedebasdepage"/>
        <w:rPr>
          <w:sz w:val="16"/>
          <w:szCs w:val="16"/>
          <w:lang w:val="en-GB"/>
        </w:rPr>
      </w:pPr>
      <w:r>
        <w:rPr>
          <w:sz w:val="16"/>
          <w:szCs w:val="16"/>
        </w:rPr>
        <w:footnoteRef/>
      </w:r>
      <w:r w:rsidRPr="006D7554">
        <w:rPr>
          <w:sz w:val="16"/>
          <w:szCs w:val="16"/>
          <w:lang w:val="en-GB"/>
        </w:rPr>
        <w:t xml:space="preserve"> ENISED 2015</w:t>
      </w:r>
    </w:p>
  </w:footnote>
  <w:footnote w:id="18">
    <w:p w14:paraId="51E17FBA" w14:textId="77777777" w:rsidR="007679D9" w:rsidRPr="006D7554" w:rsidRDefault="007679D9" w:rsidP="00F507F1">
      <w:pPr>
        <w:pStyle w:val="Notedebasdepage"/>
        <w:rPr>
          <w:sz w:val="16"/>
          <w:szCs w:val="16"/>
          <w:lang w:val="en-GB"/>
        </w:rPr>
      </w:pPr>
      <w:r>
        <w:rPr>
          <w:sz w:val="16"/>
          <w:szCs w:val="16"/>
        </w:rPr>
        <w:footnoteRef/>
      </w:r>
      <w:r w:rsidRPr="006D7554">
        <w:rPr>
          <w:sz w:val="16"/>
          <w:szCs w:val="16"/>
          <w:lang w:val="en-GB"/>
        </w:rPr>
        <w:t xml:space="preserve"> ENISED 2015</w:t>
      </w:r>
    </w:p>
  </w:footnote>
  <w:footnote w:id="19">
    <w:p w14:paraId="52EDF43C" w14:textId="77777777" w:rsidR="007679D9" w:rsidRPr="00F507F1" w:rsidRDefault="007679D9" w:rsidP="00F507F1">
      <w:pPr>
        <w:pStyle w:val="Notedebasdepage"/>
        <w:rPr>
          <w:sz w:val="16"/>
          <w:szCs w:val="16"/>
          <w:lang w:val="en-GB"/>
        </w:rPr>
      </w:pPr>
      <w:r w:rsidRPr="00F507F1">
        <w:rPr>
          <w:sz w:val="16"/>
          <w:szCs w:val="16"/>
          <w:lang w:val="en-GB"/>
        </w:rPr>
        <w:footnoteRef/>
      </w:r>
      <w:r w:rsidRPr="00F507F1">
        <w:rPr>
          <w:sz w:val="16"/>
          <w:szCs w:val="16"/>
          <w:lang w:val="en-GB"/>
        </w:rPr>
        <w:t xml:space="preserve"> ENISED 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A43D0"/>
    <w:multiLevelType w:val="hybridMultilevel"/>
    <w:tmpl w:val="7534ABC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5239A4"/>
    <w:multiLevelType w:val="hybridMultilevel"/>
    <w:tmpl w:val="45C059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277A81"/>
    <w:multiLevelType w:val="hybridMultilevel"/>
    <w:tmpl w:val="0D9A4824"/>
    <w:lvl w:ilvl="0" w:tplc="A4421DCA">
      <w:start w:val="1"/>
      <w:numFmt w:val="decimal"/>
      <w:lvlText w:val="%1."/>
      <w:lvlJc w:val="left"/>
      <w:pPr>
        <w:ind w:left="720" w:hanging="360"/>
      </w:pPr>
      <w:rPr>
        <w:rFonts w:asciiTheme="minorHAnsi" w:eastAsiaTheme="minorHAnsi" w:hAnsiTheme="minorHAnsi" w:cstheme="minorBidi" w:hint="default"/>
        <w:b w:val="0"/>
        <w:color w:val="auto"/>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FE7A12"/>
    <w:multiLevelType w:val="hybridMultilevel"/>
    <w:tmpl w:val="90A46A0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AF2218C"/>
    <w:multiLevelType w:val="hybridMultilevel"/>
    <w:tmpl w:val="4FD62C00"/>
    <w:lvl w:ilvl="0" w:tplc="040C0001">
      <w:start w:val="1"/>
      <w:numFmt w:val="bullet"/>
      <w:lvlText w:val=""/>
      <w:lvlJc w:val="left"/>
      <w:pPr>
        <w:tabs>
          <w:tab w:val="num" w:pos="720"/>
        </w:tabs>
        <w:ind w:left="720" w:hanging="360"/>
      </w:pPr>
      <w:rPr>
        <w:rFonts w:ascii="Symbol" w:hAnsi="Symbol" w:hint="default"/>
      </w:rPr>
    </w:lvl>
    <w:lvl w:ilvl="1" w:tplc="040C0019">
      <w:start w:val="1"/>
      <w:numFmt w:val="lowerLetter"/>
      <w:lvlText w:val="%2."/>
      <w:lvlJc w:val="left"/>
      <w:pPr>
        <w:tabs>
          <w:tab w:val="num" w:pos="1800"/>
        </w:tabs>
        <w:ind w:left="1800" w:hanging="360"/>
      </w:pPr>
    </w:lvl>
    <w:lvl w:ilvl="2" w:tplc="040C001B">
      <w:start w:val="1"/>
      <w:numFmt w:val="lowerRoman"/>
      <w:lvlText w:val="%3."/>
      <w:lvlJc w:val="right"/>
      <w:pPr>
        <w:tabs>
          <w:tab w:val="num" w:pos="2520"/>
        </w:tabs>
        <w:ind w:left="2520" w:hanging="180"/>
      </w:pPr>
    </w:lvl>
    <w:lvl w:ilvl="3" w:tplc="040C000F">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5" w15:restartNumberingAfterBreak="0">
    <w:nsid w:val="0BB25911"/>
    <w:multiLevelType w:val="hybridMultilevel"/>
    <w:tmpl w:val="0584E6E8"/>
    <w:lvl w:ilvl="0" w:tplc="8CFABD98">
      <w:start w:val="1"/>
      <w:numFmt w:val="lowerLetter"/>
      <w:lvlText w:val="%1."/>
      <w:lvlJc w:val="left"/>
      <w:pPr>
        <w:ind w:left="2563" w:hanging="360"/>
      </w:pPr>
      <w:rPr>
        <w:rFonts w:hint="default"/>
      </w:rPr>
    </w:lvl>
    <w:lvl w:ilvl="1" w:tplc="040C0019" w:tentative="1">
      <w:start w:val="1"/>
      <w:numFmt w:val="lowerLetter"/>
      <w:lvlText w:val="%2."/>
      <w:lvlJc w:val="left"/>
      <w:pPr>
        <w:ind w:left="3283" w:hanging="360"/>
      </w:pPr>
    </w:lvl>
    <w:lvl w:ilvl="2" w:tplc="040C001B" w:tentative="1">
      <w:start w:val="1"/>
      <w:numFmt w:val="lowerRoman"/>
      <w:lvlText w:val="%3."/>
      <w:lvlJc w:val="right"/>
      <w:pPr>
        <w:ind w:left="4003" w:hanging="180"/>
      </w:pPr>
    </w:lvl>
    <w:lvl w:ilvl="3" w:tplc="040C000F" w:tentative="1">
      <w:start w:val="1"/>
      <w:numFmt w:val="decimal"/>
      <w:lvlText w:val="%4."/>
      <w:lvlJc w:val="left"/>
      <w:pPr>
        <w:ind w:left="4723" w:hanging="360"/>
      </w:pPr>
    </w:lvl>
    <w:lvl w:ilvl="4" w:tplc="040C0019" w:tentative="1">
      <w:start w:val="1"/>
      <w:numFmt w:val="lowerLetter"/>
      <w:lvlText w:val="%5."/>
      <w:lvlJc w:val="left"/>
      <w:pPr>
        <w:ind w:left="5443" w:hanging="360"/>
      </w:pPr>
    </w:lvl>
    <w:lvl w:ilvl="5" w:tplc="040C001B" w:tentative="1">
      <w:start w:val="1"/>
      <w:numFmt w:val="lowerRoman"/>
      <w:lvlText w:val="%6."/>
      <w:lvlJc w:val="right"/>
      <w:pPr>
        <w:ind w:left="6163" w:hanging="180"/>
      </w:pPr>
    </w:lvl>
    <w:lvl w:ilvl="6" w:tplc="040C000F" w:tentative="1">
      <w:start w:val="1"/>
      <w:numFmt w:val="decimal"/>
      <w:lvlText w:val="%7."/>
      <w:lvlJc w:val="left"/>
      <w:pPr>
        <w:ind w:left="6883" w:hanging="360"/>
      </w:pPr>
    </w:lvl>
    <w:lvl w:ilvl="7" w:tplc="040C0019" w:tentative="1">
      <w:start w:val="1"/>
      <w:numFmt w:val="lowerLetter"/>
      <w:lvlText w:val="%8."/>
      <w:lvlJc w:val="left"/>
      <w:pPr>
        <w:ind w:left="7603" w:hanging="360"/>
      </w:pPr>
    </w:lvl>
    <w:lvl w:ilvl="8" w:tplc="040C001B" w:tentative="1">
      <w:start w:val="1"/>
      <w:numFmt w:val="lowerRoman"/>
      <w:lvlText w:val="%9."/>
      <w:lvlJc w:val="right"/>
      <w:pPr>
        <w:ind w:left="8323" w:hanging="180"/>
      </w:pPr>
    </w:lvl>
  </w:abstractNum>
  <w:abstractNum w:abstractNumId="6" w15:restartNumberingAfterBreak="0">
    <w:nsid w:val="0C6357B0"/>
    <w:multiLevelType w:val="hybridMultilevel"/>
    <w:tmpl w:val="B99C2F36"/>
    <w:lvl w:ilvl="0" w:tplc="D388A70A">
      <w:start w:val="15"/>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D92315"/>
    <w:multiLevelType w:val="hybridMultilevel"/>
    <w:tmpl w:val="B46ABA62"/>
    <w:lvl w:ilvl="0" w:tplc="9E98B97E">
      <w:start w:val="1"/>
      <w:numFmt w:val="bullet"/>
      <w:lvlText w:val="-"/>
      <w:lvlJc w:val="left"/>
      <w:pPr>
        <w:ind w:left="720" w:hanging="360"/>
      </w:pPr>
      <w:rPr>
        <w:rFonts w:ascii="Cambria" w:eastAsiaTheme="minorHAnsi" w:hAnsi="Cambria"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EC6FD9"/>
    <w:multiLevelType w:val="hybridMultilevel"/>
    <w:tmpl w:val="0B30AF00"/>
    <w:lvl w:ilvl="0" w:tplc="51F0E9CE">
      <w:start w:val="1"/>
      <w:numFmt w:val="lowerLetter"/>
      <w:lvlText w:val="%1."/>
      <w:lvlJc w:val="left"/>
      <w:pPr>
        <w:ind w:left="1800" w:hanging="360"/>
      </w:pPr>
      <w:rPr>
        <w:rFonts w:hint="default"/>
      </w:r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9" w15:restartNumberingAfterBreak="0">
    <w:nsid w:val="11436F14"/>
    <w:multiLevelType w:val="hybridMultilevel"/>
    <w:tmpl w:val="CA2EFE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67779A6"/>
    <w:multiLevelType w:val="hybridMultilevel"/>
    <w:tmpl w:val="3A3C723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97D1895"/>
    <w:multiLevelType w:val="hybridMultilevel"/>
    <w:tmpl w:val="D7963F14"/>
    <w:lvl w:ilvl="0" w:tplc="FFFFFFFF">
      <w:start w:val="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99E76A9"/>
    <w:multiLevelType w:val="hybridMultilevel"/>
    <w:tmpl w:val="A47C9FAA"/>
    <w:lvl w:ilvl="0" w:tplc="040C0019">
      <w:start w:val="9"/>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9E343AA"/>
    <w:multiLevelType w:val="hybridMultilevel"/>
    <w:tmpl w:val="FFCA939C"/>
    <w:lvl w:ilvl="0" w:tplc="907C8ADE">
      <w:start w:val="1"/>
      <w:numFmt w:val="lowerLetter"/>
      <w:lvlText w:val="%1."/>
      <w:lvlJc w:val="left"/>
      <w:pPr>
        <w:ind w:left="2160" w:hanging="360"/>
      </w:pPr>
      <w:rPr>
        <w:rFonts w:hint="default"/>
      </w:rPr>
    </w:lvl>
    <w:lvl w:ilvl="1" w:tplc="040C0019">
      <w:start w:val="1"/>
      <w:numFmt w:val="lowerLetter"/>
      <w:lvlText w:val="%2."/>
      <w:lvlJc w:val="left"/>
      <w:pPr>
        <w:ind w:left="2880" w:hanging="360"/>
      </w:pPr>
    </w:lvl>
    <w:lvl w:ilvl="2" w:tplc="040C001B">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4" w15:restartNumberingAfterBreak="0">
    <w:nsid w:val="1A91572C"/>
    <w:multiLevelType w:val="hybridMultilevel"/>
    <w:tmpl w:val="18003A02"/>
    <w:lvl w:ilvl="0" w:tplc="48463D1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BC45242"/>
    <w:multiLevelType w:val="hybridMultilevel"/>
    <w:tmpl w:val="68E6A4E2"/>
    <w:lvl w:ilvl="0" w:tplc="C7C0B1B2">
      <w:start w:val="1"/>
      <w:numFmt w:val="lowerLetter"/>
      <w:lvlText w:val="%1."/>
      <w:lvlJc w:val="left"/>
      <w:pPr>
        <w:ind w:left="1800" w:hanging="360"/>
      </w:pPr>
      <w:rPr>
        <w:rFonts w:hint="default"/>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6" w15:restartNumberingAfterBreak="0">
    <w:nsid w:val="1D9A5B8F"/>
    <w:multiLevelType w:val="hybridMultilevel"/>
    <w:tmpl w:val="6CCEBCFE"/>
    <w:lvl w:ilvl="0" w:tplc="064252CC">
      <w:start w:val="1"/>
      <w:numFmt w:val="bullet"/>
      <w:lvlText w:val="•"/>
      <w:lvlJc w:val="left"/>
      <w:pPr>
        <w:tabs>
          <w:tab w:val="num" w:pos="720"/>
        </w:tabs>
        <w:ind w:left="720" w:hanging="360"/>
      </w:pPr>
      <w:rPr>
        <w:rFonts w:ascii="Times New Roman" w:hAnsi="Times New Roman" w:hint="default"/>
      </w:rPr>
    </w:lvl>
    <w:lvl w:ilvl="1" w:tplc="ECF89948" w:tentative="1">
      <w:start w:val="1"/>
      <w:numFmt w:val="bullet"/>
      <w:lvlText w:val="•"/>
      <w:lvlJc w:val="left"/>
      <w:pPr>
        <w:tabs>
          <w:tab w:val="num" w:pos="1440"/>
        </w:tabs>
        <w:ind w:left="1440" w:hanging="360"/>
      </w:pPr>
      <w:rPr>
        <w:rFonts w:ascii="Times New Roman" w:hAnsi="Times New Roman" w:hint="default"/>
      </w:rPr>
    </w:lvl>
    <w:lvl w:ilvl="2" w:tplc="F53ED1A0" w:tentative="1">
      <w:start w:val="1"/>
      <w:numFmt w:val="bullet"/>
      <w:lvlText w:val="•"/>
      <w:lvlJc w:val="left"/>
      <w:pPr>
        <w:tabs>
          <w:tab w:val="num" w:pos="2160"/>
        </w:tabs>
        <w:ind w:left="2160" w:hanging="360"/>
      </w:pPr>
      <w:rPr>
        <w:rFonts w:ascii="Times New Roman" w:hAnsi="Times New Roman" w:hint="default"/>
      </w:rPr>
    </w:lvl>
    <w:lvl w:ilvl="3" w:tplc="7BF26F42" w:tentative="1">
      <w:start w:val="1"/>
      <w:numFmt w:val="bullet"/>
      <w:lvlText w:val="•"/>
      <w:lvlJc w:val="left"/>
      <w:pPr>
        <w:tabs>
          <w:tab w:val="num" w:pos="2880"/>
        </w:tabs>
        <w:ind w:left="2880" w:hanging="360"/>
      </w:pPr>
      <w:rPr>
        <w:rFonts w:ascii="Times New Roman" w:hAnsi="Times New Roman" w:hint="default"/>
      </w:rPr>
    </w:lvl>
    <w:lvl w:ilvl="4" w:tplc="987436E6" w:tentative="1">
      <w:start w:val="1"/>
      <w:numFmt w:val="bullet"/>
      <w:lvlText w:val="•"/>
      <w:lvlJc w:val="left"/>
      <w:pPr>
        <w:tabs>
          <w:tab w:val="num" w:pos="3600"/>
        </w:tabs>
        <w:ind w:left="3600" w:hanging="360"/>
      </w:pPr>
      <w:rPr>
        <w:rFonts w:ascii="Times New Roman" w:hAnsi="Times New Roman" w:hint="default"/>
      </w:rPr>
    </w:lvl>
    <w:lvl w:ilvl="5" w:tplc="8B223F1A" w:tentative="1">
      <w:start w:val="1"/>
      <w:numFmt w:val="bullet"/>
      <w:lvlText w:val="•"/>
      <w:lvlJc w:val="left"/>
      <w:pPr>
        <w:tabs>
          <w:tab w:val="num" w:pos="4320"/>
        </w:tabs>
        <w:ind w:left="4320" w:hanging="360"/>
      </w:pPr>
      <w:rPr>
        <w:rFonts w:ascii="Times New Roman" w:hAnsi="Times New Roman" w:hint="default"/>
      </w:rPr>
    </w:lvl>
    <w:lvl w:ilvl="6" w:tplc="18F6F8B4" w:tentative="1">
      <w:start w:val="1"/>
      <w:numFmt w:val="bullet"/>
      <w:lvlText w:val="•"/>
      <w:lvlJc w:val="left"/>
      <w:pPr>
        <w:tabs>
          <w:tab w:val="num" w:pos="5040"/>
        </w:tabs>
        <w:ind w:left="5040" w:hanging="360"/>
      </w:pPr>
      <w:rPr>
        <w:rFonts w:ascii="Times New Roman" w:hAnsi="Times New Roman" w:hint="default"/>
      </w:rPr>
    </w:lvl>
    <w:lvl w:ilvl="7" w:tplc="CE2046AE" w:tentative="1">
      <w:start w:val="1"/>
      <w:numFmt w:val="bullet"/>
      <w:lvlText w:val="•"/>
      <w:lvlJc w:val="left"/>
      <w:pPr>
        <w:tabs>
          <w:tab w:val="num" w:pos="5760"/>
        </w:tabs>
        <w:ind w:left="5760" w:hanging="360"/>
      </w:pPr>
      <w:rPr>
        <w:rFonts w:ascii="Times New Roman" w:hAnsi="Times New Roman" w:hint="default"/>
      </w:rPr>
    </w:lvl>
    <w:lvl w:ilvl="8" w:tplc="E0BAC9B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1F7E6621"/>
    <w:multiLevelType w:val="hybridMultilevel"/>
    <w:tmpl w:val="2550B2A2"/>
    <w:lvl w:ilvl="0" w:tplc="03901580">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06F6DDB"/>
    <w:multiLevelType w:val="hybridMultilevel"/>
    <w:tmpl w:val="406A713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6E97F5D"/>
    <w:multiLevelType w:val="hybridMultilevel"/>
    <w:tmpl w:val="F626945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27AC2D70"/>
    <w:multiLevelType w:val="hybridMultilevel"/>
    <w:tmpl w:val="1B46A87E"/>
    <w:lvl w:ilvl="0" w:tplc="B5D2C97C">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AF7018F"/>
    <w:multiLevelType w:val="hybridMultilevel"/>
    <w:tmpl w:val="92E257F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CC65C40"/>
    <w:multiLevelType w:val="hybridMultilevel"/>
    <w:tmpl w:val="BA5E571E"/>
    <w:lvl w:ilvl="0" w:tplc="294A651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E541840"/>
    <w:multiLevelType w:val="hybridMultilevel"/>
    <w:tmpl w:val="F5EE4406"/>
    <w:lvl w:ilvl="0" w:tplc="F1061544">
      <w:start w:val="1"/>
      <w:numFmt w:val="bullet"/>
      <w:lvlText w:val="•"/>
      <w:lvlJc w:val="left"/>
      <w:pPr>
        <w:tabs>
          <w:tab w:val="num" w:pos="720"/>
        </w:tabs>
        <w:ind w:left="720" w:hanging="360"/>
      </w:pPr>
      <w:rPr>
        <w:rFonts w:ascii="Times New Roman" w:hAnsi="Times New Roman" w:hint="default"/>
      </w:rPr>
    </w:lvl>
    <w:lvl w:ilvl="1" w:tplc="1DD859C6" w:tentative="1">
      <w:start w:val="1"/>
      <w:numFmt w:val="bullet"/>
      <w:lvlText w:val="•"/>
      <w:lvlJc w:val="left"/>
      <w:pPr>
        <w:tabs>
          <w:tab w:val="num" w:pos="1440"/>
        </w:tabs>
        <w:ind w:left="1440" w:hanging="360"/>
      </w:pPr>
      <w:rPr>
        <w:rFonts w:ascii="Times New Roman" w:hAnsi="Times New Roman" w:hint="default"/>
      </w:rPr>
    </w:lvl>
    <w:lvl w:ilvl="2" w:tplc="6EB46F90" w:tentative="1">
      <w:start w:val="1"/>
      <w:numFmt w:val="bullet"/>
      <w:lvlText w:val="•"/>
      <w:lvlJc w:val="left"/>
      <w:pPr>
        <w:tabs>
          <w:tab w:val="num" w:pos="2160"/>
        </w:tabs>
        <w:ind w:left="2160" w:hanging="360"/>
      </w:pPr>
      <w:rPr>
        <w:rFonts w:ascii="Times New Roman" w:hAnsi="Times New Roman" w:hint="default"/>
      </w:rPr>
    </w:lvl>
    <w:lvl w:ilvl="3" w:tplc="5740B6FE" w:tentative="1">
      <w:start w:val="1"/>
      <w:numFmt w:val="bullet"/>
      <w:lvlText w:val="•"/>
      <w:lvlJc w:val="left"/>
      <w:pPr>
        <w:tabs>
          <w:tab w:val="num" w:pos="2880"/>
        </w:tabs>
        <w:ind w:left="2880" w:hanging="360"/>
      </w:pPr>
      <w:rPr>
        <w:rFonts w:ascii="Times New Roman" w:hAnsi="Times New Roman" w:hint="default"/>
      </w:rPr>
    </w:lvl>
    <w:lvl w:ilvl="4" w:tplc="C8224CBE" w:tentative="1">
      <w:start w:val="1"/>
      <w:numFmt w:val="bullet"/>
      <w:lvlText w:val="•"/>
      <w:lvlJc w:val="left"/>
      <w:pPr>
        <w:tabs>
          <w:tab w:val="num" w:pos="3600"/>
        </w:tabs>
        <w:ind w:left="3600" w:hanging="360"/>
      </w:pPr>
      <w:rPr>
        <w:rFonts w:ascii="Times New Roman" w:hAnsi="Times New Roman" w:hint="default"/>
      </w:rPr>
    </w:lvl>
    <w:lvl w:ilvl="5" w:tplc="A6384DBC" w:tentative="1">
      <w:start w:val="1"/>
      <w:numFmt w:val="bullet"/>
      <w:lvlText w:val="•"/>
      <w:lvlJc w:val="left"/>
      <w:pPr>
        <w:tabs>
          <w:tab w:val="num" w:pos="4320"/>
        </w:tabs>
        <w:ind w:left="4320" w:hanging="360"/>
      </w:pPr>
      <w:rPr>
        <w:rFonts w:ascii="Times New Roman" w:hAnsi="Times New Roman" w:hint="default"/>
      </w:rPr>
    </w:lvl>
    <w:lvl w:ilvl="6" w:tplc="9350E318" w:tentative="1">
      <w:start w:val="1"/>
      <w:numFmt w:val="bullet"/>
      <w:lvlText w:val="•"/>
      <w:lvlJc w:val="left"/>
      <w:pPr>
        <w:tabs>
          <w:tab w:val="num" w:pos="5040"/>
        </w:tabs>
        <w:ind w:left="5040" w:hanging="360"/>
      </w:pPr>
      <w:rPr>
        <w:rFonts w:ascii="Times New Roman" w:hAnsi="Times New Roman" w:hint="default"/>
      </w:rPr>
    </w:lvl>
    <w:lvl w:ilvl="7" w:tplc="A78898B2" w:tentative="1">
      <w:start w:val="1"/>
      <w:numFmt w:val="bullet"/>
      <w:lvlText w:val="•"/>
      <w:lvlJc w:val="left"/>
      <w:pPr>
        <w:tabs>
          <w:tab w:val="num" w:pos="5760"/>
        </w:tabs>
        <w:ind w:left="5760" w:hanging="360"/>
      </w:pPr>
      <w:rPr>
        <w:rFonts w:ascii="Times New Roman" w:hAnsi="Times New Roman" w:hint="default"/>
      </w:rPr>
    </w:lvl>
    <w:lvl w:ilvl="8" w:tplc="4CB2BCD8"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355D629A"/>
    <w:multiLevelType w:val="hybridMultilevel"/>
    <w:tmpl w:val="183621F0"/>
    <w:lvl w:ilvl="0" w:tplc="040C0019">
      <w:start w:val="1"/>
      <w:numFmt w:val="lowerLetter"/>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5" w15:restartNumberingAfterBreak="0">
    <w:nsid w:val="35FF2C3B"/>
    <w:multiLevelType w:val="hybridMultilevel"/>
    <w:tmpl w:val="656C7FB0"/>
    <w:lvl w:ilvl="0" w:tplc="CC1A87E2">
      <w:numFmt w:val="bullet"/>
      <w:lvlText w:val=""/>
      <w:lvlJc w:val="left"/>
      <w:pPr>
        <w:ind w:left="720" w:hanging="360"/>
      </w:pPr>
      <w:rPr>
        <w:rFonts w:ascii="Wingdings" w:eastAsiaTheme="majorEastAsia" w:hAnsi="Wingdings"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9926331"/>
    <w:multiLevelType w:val="hybridMultilevel"/>
    <w:tmpl w:val="A55AFE16"/>
    <w:lvl w:ilvl="0" w:tplc="B41285E2">
      <w:start w:val="1"/>
      <w:numFmt w:val="decimal"/>
      <w:lvlText w:val="%1."/>
      <w:lvlJc w:val="left"/>
      <w:pPr>
        <w:ind w:left="1080" w:hanging="360"/>
      </w:pPr>
      <w:rPr>
        <w:rFonts w:hint="default"/>
      </w:rPr>
    </w:lvl>
    <w:lvl w:ilvl="1" w:tplc="040C0019">
      <w:start w:val="1"/>
      <w:numFmt w:val="lowerLetter"/>
      <w:lvlText w:val="%2."/>
      <w:lvlJc w:val="left"/>
      <w:pPr>
        <w:ind w:left="1779"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15:restartNumberingAfterBreak="0">
    <w:nsid w:val="3F05629E"/>
    <w:multiLevelType w:val="hybridMultilevel"/>
    <w:tmpl w:val="004E1F04"/>
    <w:lvl w:ilvl="0" w:tplc="0409000F">
      <w:start w:val="8"/>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CC3303"/>
    <w:multiLevelType w:val="hybridMultilevel"/>
    <w:tmpl w:val="C3401B96"/>
    <w:lvl w:ilvl="0" w:tplc="6AE8E410">
      <w:start w:val="1"/>
      <w:numFmt w:val="lowerLetter"/>
      <w:lvlText w:val="%1."/>
      <w:lvlJc w:val="left"/>
      <w:pPr>
        <w:ind w:left="2203" w:hanging="360"/>
      </w:pPr>
      <w:rPr>
        <w:rFonts w:hint="default"/>
      </w:rPr>
    </w:lvl>
    <w:lvl w:ilvl="1" w:tplc="040C0019">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29" w15:restartNumberingAfterBreak="0">
    <w:nsid w:val="419C3B71"/>
    <w:multiLevelType w:val="hybridMultilevel"/>
    <w:tmpl w:val="6B82CDB8"/>
    <w:lvl w:ilvl="0" w:tplc="5D8AE5E6">
      <w:start w:val="2021"/>
      <w:numFmt w:val="bullet"/>
      <w:lvlText w:val=""/>
      <w:lvlJc w:val="left"/>
      <w:pPr>
        <w:ind w:left="1065" w:hanging="360"/>
      </w:pPr>
      <w:rPr>
        <w:rFonts w:ascii="Wingdings" w:eastAsiaTheme="minorHAnsi" w:hAnsi="Wingdings" w:cstheme="minorHAnsi" w:hint="default"/>
        <w:color w:val="FF0000"/>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0" w15:restartNumberingAfterBreak="0">
    <w:nsid w:val="42BE3752"/>
    <w:multiLevelType w:val="hybridMultilevel"/>
    <w:tmpl w:val="233E42CA"/>
    <w:lvl w:ilvl="0" w:tplc="040C0001">
      <w:start w:val="1"/>
      <w:numFmt w:val="bullet"/>
      <w:lvlText w:val=""/>
      <w:lvlJc w:val="left"/>
      <w:pPr>
        <w:tabs>
          <w:tab w:val="num" w:pos="720"/>
        </w:tabs>
        <w:ind w:left="720" w:hanging="360"/>
      </w:pPr>
      <w:rPr>
        <w:rFonts w:ascii="Symbol" w:hAnsi="Symbol"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1" w15:restartNumberingAfterBreak="0">
    <w:nsid w:val="4E0F58F8"/>
    <w:multiLevelType w:val="hybridMultilevel"/>
    <w:tmpl w:val="E81E631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2C045A8"/>
    <w:multiLevelType w:val="hybridMultilevel"/>
    <w:tmpl w:val="EDAC7036"/>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6D614FC"/>
    <w:multiLevelType w:val="hybridMultilevel"/>
    <w:tmpl w:val="8A8A6C12"/>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AD84A43"/>
    <w:multiLevelType w:val="hybridMultilevel"/>
    <w:tmpl w:val="D93EA024"/>
    <w:lvl w:ilvl="0" w:tplc="0ED415C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E6503BF"/>
    <w:multiLevelType w:val="hybridMultilevel"/>
    <w:tmpl w:val="E66A1ABE"/>
    <w:lvl w:ilvl="0" w:tplc="040C0017">
      <w:start w:val="1"/>
      <w:numFmt w:val="lowerLetter"/>
      <w:lvlText w:val="%1)"/>
      <w:lvlJc w:val="left"/>
      <w:pPr>
        <w:ind w:left="720" w:hanging="360"/>
      </w:pPr>
      <w:rPr>
        <w:rFonts w:hint="default"/>
        <w:color w:val="00480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0BF434F"/>
    <w:multiLevelType w:val="hybridMultilevel"/>
    <w:tmpl w:val="784A174A"/>
    <w:lvl w:ilvl="0" w:tplc="C79C4D72">
      <w:start w:val="1"/>
      <w:numFmt w:val="decimal"/>
      <w:lvlText w:val="%1."/>
      <w:lvlJc w:val="left"/>
      <w:pPr>
        <w:ind w:left="1440" w:hanging="360"/>
      </w:pPr>
      <w:rPr>
        <w:rFonts w:hint="default"/>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15:restartNumberingAfterBreak="0">
    <w:nsid w:val="61856B48"/>
    <w:multiLevelType w:val="hybridMultilevel"/>
    <w:tmpl w:val="DFC2991E"/>
    <w:lvl w:ilvl="0" w:tplc="FBC8C91C">
      <w:start w:val="3"/>
      <w:numFmt w:val="bullet"/>
      <w:lvlText w:val=""/>
      <w:lvlJc w:val="left"/>
      <w:pPr>
        <w:ind w:left="720" w:hanging="360"/>
      </w:pPr>
      <w:rPr>
        <w:rFonts w:ascii="Symbol" w:eastAsiaTheme="minorHAns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41F4C91"/>
    <w:multiLevelType w:val="hybridMultilevel"/>
    <w:tmpl w:val="207CBC2E"/>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6CC350C5"/>
    <w:multiLevelType w:val="hybridMultilevel"/>
    <w:tmpl w:val="4C969A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D8968B4"/>
    <w:multiLevelType w:val="hybridMultilevel"/>
    <w:tmpl w:val="53BCCB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2311EF5"/>
    <w:multiLevelType w:val="hybridMultilevel"/>
    <w:tmpl w:val="94C6F43E"/>
    <w:lvl w:ilvl="0" w:tplc="9E98B97E">
      <w:start w:val="1"/>
      <w:numFmt w:val="bullet"/>
      <w:lvlText w:val="-"/>
      <w:lvlJc w:val="left"/>
      <w:pPr>
        <w:ind w:left="720" w:hanging="360"/>
      </w:pPr>
      <w:rPr>
        <w:rFonts w:ascii="Cambria" w:eastAsiaTheme="minorHAnsi" w:hAnsi="Cambria"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2A90D10"/>
    <w:multiLevelType w:val="hybridMultilevel"/>
    <w:tmpl w:val="269EE8DE"/>
    <w:lvl w:ilvl="0" w:tplc="B0180416">
      <w:start w:val="4"/>
      <w:numFmt w:val="bullet"/>
      <w:lvlText w:val="-"/>
      <w:lvlJc w:val="left"/>
      <w:pPr>
        <w:ind w:left="1080" w:hanging="360"/>
      </w:pPr>
      <w:rPr>
        <w:rFonts w:ascii="Times New Roman" w:eastAsiaTheme="minorHAnsi"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74FD658D"/>
    <w:multiLevelType w:val="multilevel"/>
    <w:tmpl w:val="61C078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5A35040"/>
    <w:multiLevelType w:val="hybridMultilevel"/>
    <w:tmpl w:val="350451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5B4584F"/>
    <w:multiLevelType w:val="hybridMultilevel"/>
    <w:tmpl w:val="197E5906"/>
    <w:lvl w:ilvl="0" w:tplc="A5448EF4">
      <w:start w:val="1"/>
      <w:numFmt w:val="bullet"/>
      <w:lvlText w:val="-"/>
      <w:lvlJc w:val="left"/>
      <w:pPr>
        <w:tabs>
          <w:tab w:val="num" w:pos="720"/>
        </w:tabs>
        <w:ind w:left="720" w:hanging="360"/>
      </w:pPr>
      <w:rPr>
        <w:rFonts w:ascii="Times New Roman" w:hAnsi="Times New Roman" w:hint="default"/>
      </w:rPr>
    </w:lvl>
    <w:lvl w:ilvl="1" w:tplc="8AB8568C" w:tentative="1">
      <w:start w:val="1"/>
      <w:numFmt w:val="bullet"/>
      <w:lvlText w:val="-"/>
      <w:lvlJc w:val="left"/>
      <w:pPr>
        <w:tabs>
          <w:tab w:val="num" w:pos="1440"/>
        </w:tabs>
        <w:ind w:left="1440" w:hanging="360"/>
      </w:pPr>
      <w:rPr>
        <w:rFonts w:ascii="Times New Roman" w:hAnsi="Times New Roman" w:hint="default"/>
      </w:rPr>
    </w:lvl>
    <w:lvl w:ilvl="2" w:tplc="923C8F46" w:tentative="1">
      <w:start w:val="1"/>
      <w:numFmt w:val="bullet"/>
      <w:lvlText w:val="-"/>
      <w:lvlJc w:val="left"/>
      <w:pPr>
        <w:tabs>
          <w:tab w:val="num" w:pos="2160"/>
        </w:tabs>
        <w:ind w:left="2160" w:hanging="360"/>
      </w:pPr>
      <w:rPr>
        <w:rFonts w:ascii="Times New Roman" w:hAnsi="Times New Roman" w:hint="default"/>
      </w:rPr>
    </w:lvl>
    <w:lvl w:ilvl="3" w:tplc="12F6B6E4" w:tentative="1">
      <w:start w:val="1"/>
      <w:numFmt w:val="bullet"/>
      <w:lvlText w:val="-"/>
      <w:lvlJc w:val="left"/>
      <w:pPr>
        <w:tabs>
          <w:tab w:val="num" w:pos="2880"/>
        </w:tabs>
        <w:ind w:left="2880" w:hanging="360"/>
      </w:pPr>
      <w:rPr>
        <w:rFonts w:ascii="Times New Roman" w:hAnsi="Times New Roman" w:hint="default"/>
      </w:rPr>
    </w:lvl>
    <w:lvl w:ilvl="4" w:tplc="DB222C14" w:tentative="1">
      <w:start w:val="1"/>
      <w:numFmt w:val="bullet"/>
      <w:lvlText w:val="-"/>
      <w:lvlJc w:val="left"/>
      <w:pPr>
        <w:tabs>
          <w:tab w:val="num" w:pos="3600"/>
        </w:tabs>
        <w:ind w:left="3600" w:hanging="360"/>
      </w:pPr>
      <w:rPr>
        <w:rFonts w:ascii="Times New Roman" w:hAnsi="Times New Roman" w:hint="default"/>
      </w:rPr>
    </w:lvl>
    <w:lvl w:ilvl="5" w:tplc="630895FE" w:tentative="1">
      <w:start w:val="1"/>
      <w:numFmt w:val="bullet"/>
      <w:lvlText w:val="-"/>
      <w:lvlJc w:val="left"/>
      <w:pPr>
        <w:tabs>
          <w:tab w:val="num" w:pos="4320"/>
        </w:tabs>
        <w:ind w:left="4320" w:hanging="360"/>
      </w:pPr>
      <w:rPr>
        <w:rFonts w:ascii="Times New Roman" w:hAnsi="Times New Roman" w:hint="default"/>
      </w:rPr>
    </w:lvl>
    <w:lvl w:ilvl="6" w:tplc="B3CA0064" w:tentative="1">
      <w:start w:val="1"/>
      <w:numFmt w:val="bullet"/>
      <w:lvlText w:val="-"/>
      <w:lvlJc w:val="left"/>
      <w:pPr>
        <w:tabs>
          <w:tab w:val="num" w:pos="5040"/>
        </w:tabs>
        <w:ind w:left="5040" w:hanging="360"/>
      </w:pPr>
      <w:rPr>
        <w:rFonts w:ascii="Times New Roman" w:hAnsi="Times New Roman" w:hint="default"/>
      </w:rPr>
    </w:lvl>
    <w:lvl w:ilvl="7" w:tplc="4B00C53C" w:tentative="1">
      <w:start w:val="1"/>
      <w:numFmt w:val="bullet"/>
      <w:lvlText w:val="-"/>
      <w:lvlJc w:val="left"/>
      <w:pPr>
        <w:tabs>
          <w:tab w:val="num" w:pos="5760"/>
        </w:tabs>
        <w:ind w:left="5760" w:hanging="360"/>
      </w:pPr>
      <w:rPr>
        <w:rFonts w:ascii="Times New Roman" w:hAnsi="Times New Roman" w:hint="default"/>
      </w:rPr>
    </w:lvl>
    <w:lvl w:ilvl="8" w:tplc="02A6000C"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763C1AC9"/>
    <w:multiLevelType w:val="hybridMultilevel"/>
    <w:tmpl w:val="C4DCD714"/>
    <w:lvl w:ilvl="0" w:tplc="4AB21E4C">
      <w:start w:val="1"/>
      <w:numFmt w:val="decimal"/>
      <w:lvlText w:val="%1."/>
      <w:lvlJc w:val="left"/>
      <w:pPr>
        <w:ind w:left="1494" w:hanging="360"/>
      </w:pPr>
      <w:rPr>
        <w:rFonts w:hint="default"/>
      </w:rPr>
    </w:lvl>
    <w:lvl w:ilvl="1" w:tplc="040C0019">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47" w15:restartNumberingAfterBreak="0">
    <w:nsid w:val="7AE461FB"/>
    <w:multiLevelType w:val="hybridMultilevel"/>
    <w:tmpl w:val="A26C877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F5667C4"/>
    <w:multiLevelType w:val="hybridMultilevel"/>
    <w:tmpl w:val="8026B1E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8"/>
  </w:num>
  <w:num w:numId="2">
    <w:abstractNumId w:val="26"/>
  </w:num>
  <w:num w:numId="3">
    <w:abstractNumId w:val="36"/>
  </w:num>
  <w:num w:numId="4">
    <w:abstractNumId w:val="15"/>
  </w:num>
  <w:num w:numId="5">
    <w:abstractNumId w:val="48"/>
  </w:num>
  <w:num w:numId="6">
    <w:abstractNumId w:val="46"/>
  </w:num>
  <w:num w:numId="7">
    <w:abstractNumId w:val="40"/>
  </w:num>
  <w:num w:numId="8">
    <w:abstractNumId w:val="20"/>
  </w:num>
  <w:num w:numId="9">
    <w:abstractNumId w:val="19"/>
  </w:num>
  <w:num w:numId="10">
    <w:abstractNumId w:val="21"/>
  </w:num>
  <w:num w:numId="11">
    <w:abstractNumId w:val="17"/>
  </w:num>
  <w:num w:numId="12">
    <w:abstractNumId w:val="34"/>
  </w:num>
  <w:num w:numId="13">
    <w:abstractNumId w:val="43"/>
  </w:num>
  <w:num w:numId="14">
    <w:abstractNumId w:val="10"/>
  </w:num>
  <w:num w:numId="15">
    <w:abstractNumId w:val="3"/>
  </w:num>
  <w:num w:numId="16">
    <w:abstractNumId w:val="25"/>
  </w:num>
  <w:num w:numId="17">
    <w:abstractNumId w:val="22"/>
  </w:num>
  <w:num w:numId="18">
    <w:abstractNumId w:val="8"/>
  </w:num>
  <w:num w:numId="19">
    <w:abstractNumId w:val="7"/>
  </w:num>
  <w:num w:numId="20">
    <w:abstractNumId w:val="35"/>
  </w:num>
  <w:num w:numId="21">
    <w:abstractNumId w:val="4"/>
  </w:num>
  <w:num w:numId="22">
    <w:abstractNumId w:val="30"/>
  </w:num>
  <w:num w:numId="23">
    <w:abstractNumId w:val="11"/>
  </w:num>
  <w:num w:numId="24">
    <w:abstractNumId w:val="33"/>
  </w:num>
  <w:num w:numId="25">
    <w:abstractNumId w:val="27"/>
  </w:num>
  <w:num w:numId="26">
    <w:abstractNumId w:val="16"/>
  </w:num>
  <w:num w:numId="27">
    <w:abstractNumId w:val="14"/>
  </w:num>
  <w:num w:numId="28">
    <w:abstractNumId w:val="23"/>
  </w:num>
  <w:num w:numId="29">
    <w:abstractNumId w:val="42"/>
  </w:num>
  <w:num w:numId="30">
    <w:abstractNumId w:val="39"/>
  </w:num>
  <w:num w:numId="31">
    <w:abstractNumId w:val="38"/>
  </w:num>
  <w:num w:numId="32">
    <w:abstractNumId w:val="12"/>
  </w:num>
  <w:num w:numId="33">
    <w:abstractNumId w:val="13"/>
  </w:num>
  <w:num w:numId="34">
    <w:abstractNumId w:val="37"/>
  </w:num>
  <w:num w:numId="35">
    <w:abstractNumId w:val="28"/>
  </w:num>
  <w:num w:numId="36">
    <w:abstractNumId w:val="47"/>
  </w:num>
  <w:num w:numId="37">
    <w:abstractNumId w:val="9"/>
  </w:num>
  <w:num w:numId="38">
    <w:abstractNumId w:val="32"/>
  </w:num>
  <w:num w:numId="39">
    <w:abstractNumId w:val="0"/>
  </w:num>
  <w:num w:numId="40">
    <w:abstractNumId w:val="31"/>
  </w:num>
  <w:num w:numId="41">
    <w:abstractNumId w:val="44"/>
  </w:num>
  <w:num w:numId="42">
    <w:abstractNumId w:val="1"/>
  </w:num>
  <w:num w:numId="43">
    <w:abstractNumId w:val="29"/>
  </w:num>
  <w:num w:numId="44">
    <w:abstractNumId w:val="24"/>
  </w:num>
  <w:num w:numId="45">
    <w:abstractNumId w:val="5"/>
  </w:num>
  <w:num w:numId="46">
    <w:abstractNumId w:val="41"/>
  </w:num>
  <w:num w:numId="47">
    <w:abstractNumId w:val="6"/>
  </w:num>
  <w:num w:numId="48">
    <w:abstractNumId w:val="2"/>
  </w:num>
  <w:num w:numId="4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FAC"/>
    <w:rsid w:val="00012D78"/>
    <w:rsid w:val="00047318"/>
    <w:rsid w:val="000720F9"/>
    <w:rsid w:val="00076E2C"/>
    <w:rsid w:val="000902A1"/>
    <w:rsid w:val="00093848"/>
    <w:rsid w:val="000B27D1"/>
    <w:rsid w:val="000B5EFA"/>
    <w:rsid w:val="000E6FB8"/>
    <w:rsid w:val="000F7319"/>
    <w:rsid w:val="000F7DCB"/>
    <w:rsid w:val="001040FA"/>
    <w:rsid w:val="00122B15"/>
    <w:rsid w:val="00147593"/>
    <w:rsid w:val="00195382"/>
    <w:rsid w:val="001B17C8"/>
    <w:rsid w:val="001C336A"/>
    <w:rsid w:val="001D200D"/>
    <w:rsid w:val="001E2F83"/>
    <w:rsid w:val="001F0071"/>
    <w:rsid w:val="001F0332"/>
    <w:rsid w:val="001F483A"/>
    <w:rsid w:val="0020278D"/>
    <w:rsid w:val="0020554B"/>
    <w:rsid w:val="00206E5C"/>
    <w:rsid w:val="00207FB9"/>
    <w:rsid w:val="002378D9"/>
    <w:rsid w:val="0025614E"/>
    <w:rsid w:val="00277D84"/>
    <w:rsid w:val="002854AB"/>
    <w:rsid w:val="00296DE4"/>
    <w:rsid w:val="002A2CA3"/>
    <w:rsid w:val="002A495B"/>
    <w:rsid w:val="002A7E0E"/>
    <w:rsid w:val="002B7443"/>
    <w:rsid w:val="002C018F"/>
    <w:rsid w:val="002C5823"/>
    <w:rsid w:val="002E26C8"/>
    <w:rsid w:val="002E3BE8"/>
    <w:rsid w:val="002E453C"/>
    <w:rsid w:val="002F723B"/>
    <w:rsid w:val="002F7DED"/>
    <w:rsid w:val="00300AA5"/>
    <w:rsid w:val="00311312"/>
    <w:rsid w:val="00316F0B"/>
    <w:rsid w:val="0038474F"/>
    <w:rsid w:val="00390960"/>
    <w:rsid w:val="003A2FEB"/>
    <w:rsid w:val="003B01E2"/>
    <w:rsid w:val="003C297D"/>
    <w:rsid w:val="003C497C"/>
    <w:rsid w:val="003F1D7C"/>
    <w:rsid w:val="003F2ADC"/>
    <w:rsid w:val="003F3AF5"/>
    <w:rsid w:val="003F3FAC"/>
    <w:rsid w:val="003F7257"/>
    <w:rsid w:val="004137CB"/>
    <w:rsid w:val="00422AF9"/>
    <w:rsid w:val="00423B36"/>
    <w:rsid w:val="00431DEF"/>
    <w:rsid w:val="004347A3"/>
    <w:rsid w:val="00442F08"/>
    <w:rsid w:val="0044393C"/>
    <w:rsid w:val="004469E6"/>
    <w:rsid w:val="004547BF"/>
    <w:rsid w:val="0047090C"/>
    <w:rsid w:val="004744D3"/>
    <w:rsid w:val="00474A8A"/>
    <w:rsid w:val="00484E5B"/>
    <w:rsid w:val="004905BC"/>
    <w:rsid w:val="004977D5"/>
    <w:rsid w:val="004A1E0B"/>
    <w:rsid w:val="004A6ECA"/>
    <w:rsid w:val="004B2E69"/>
    <w:rsid w:val="004B4EAD"/>
    <w:rsid w:val="004C04DB"/>
    <w:rsid w:val="004C0DCB"/>
    <w:rsid w:val="004C20AA"/>
    <w:rsid w:val="004E068C"/>
    <w:rsid w:val="0051115C"/>
    <w:rsid w:val="005146E8"/>
    <w:rsid w:val="0051494F"/>
    <w:rsid w:val="00515C25"/>
    <w:rsid w:val="005310D7"/>
    <w:rsid w:val="005310EF"/>
    <w:rsid w:val="00533028"/>
    <w:rsid w:val="005352FD"/>
    <w:rsid w:val="00537315"/>
    <w:rsid w:val="005416D5"/>
    <w:rsid w:val="00550B1A"/>
    <w:rsid w:val="00573B6C"/>
    <w:rsid w:val="005774EC"/>
    <w:rsid w:val="0059217F"/>
    <w:rsid w:val="005B3F52"/>
    <w:rsid w:val="005B4D56"/>
    <w:rsid w:val="005C41C9"/>
    <w:rsid w:val="005E7A4A"/>
    <w:rsid w:val="00600733"/>
    <w:rsid w:val="00603354"/>
    <w:rsid w:val="0064632F"/>
    <w:rsid w:val="006463D8"/>
    <w:rsid w:val="00667251"/>
    <w:rsid w:val="00696733"/>
    <w:rsid w:val="006B5114"/>
    <w:rsid w:val="006B58BC"/>
    <w:rsid w:val="006D28E4"/>
    <w:rsid w:val="006E10F9"/>
    <w:rsid w:val="006E5C00"/>
    <w:rsid w:val="006F11DB"/>
    <w:rsid w:val="006F20B2"/>
    <w:rsid w:val="006F606D"/>
    <w:rsid w:val="00737C0B"/>
    <w:rsid w:val="007444DB"/>
    <w:rsid w:val="00756F52"/>
    <w:rsid w:val="007679D9"/>
    <w:rsid w:val="0079394A"/>
    <w:rsid w:val="007A2854"/>
    <w:rsid w:val="007B6C8E"/>
    <w:rsid w:val="007D2B75"/>
    <w:rsid w:val="007D6182"/>
    <w:rsid w:val="007E07D3"/>
    <w:rsid w:val="007E68AD"/>
    <w:rsid w:val="0080780D"/>
    <w:rsid w:val="00810053"/>
    <w:rsid w:val="008107FF"/>
    <w:rsid w:val="00847E6C"/>
    <w:rsid w:val="008566D6"/>
    <w:rsid w:val="00866A12"/>
    <w:rsid w:val="0087441C"/>
    <w:rsid w:val="0089724C"/>
    <w:rsid w:val="008B7F98"/>
    <w:rsid w:val="008D5D3A"/>
    <w:rsid w:val="008E0727"/>
    <w:rsid w:val="008E735C"/>
    <w:rsid w:val="008F6239"/>
    <w:rsid w:val="009146B8"/>
    <w:rsid w:val="009301E7"/>
    <w:rsid w:val="00950E71"/>
    <w:rsid w:val="00965E25"/>
    <w:rsid w:val="00971E95"/>
    <w:rsid w:val="00972EB7"/>
    <w:rsid w:val="00983258"/>
    <w:rsid w:val="00985C19"/>
    <w:rsid w:val="009932A2"/>
    <w:rsid w:val="009A7FBB"/>
    <w:rsid w:val="009C06D0"/>
    <w:rsid w:val="009C0D04"/>
    <w:rsid w:val="009C7E89"/>
    <w:rsid w:val="009E2964"/>
    <w:rsid w:val="00A01B4C"/>
    <w:rsid w:val="00A21491"/>
    <w:rsid w:val="00A22125"/>
    <w:rsid w:val="00A27C8D"/>
    <w:rsid w:val="00A31C1D"/>
    <w:rsid w:val="00A46F97"/>
    <w:rsid w:val="00A54740"/>
    <w:rsid w:val="00A67DBB"/>
    <w:rsid w:val="00A8508D"/>
    <w:rsid w:val="00AA792B"/>
    <w:rsid w:val="00AB1F76"/>
    <w:rsid w:val="00AC7079"/>
    <w:rsid w:val="00AD4430"/>
    <w:rsid w:val="00AD660A"/>
    <w:rsid w:val="00B0501A"/>
    <w:rsid w:val="00B17550"/>
    <w:rsid w:val="00B21936"/>
    <w:rsid w:val="00B226D6"/>
    <w:rsid w:val="00B25837"/>
    <w:rsid w:val="00B31851"/>
    <w:rsid w:val="00B44BAF"/>
    <w:rsid w:val="00B57824"/>
    <w:rsid w:val="00B64450"/>
    <w:rsid w:val="00B65E81"/>
    <w:rsid w:val="00B835AF"/>
    <w:rsid w:val="00B85C9A"/>
    <w:rsid w:val="00BA5566"/>
    <w:rsid w:val="00BB6FCC"/>
    <w:rsid w:val="00BC1AA9"/>
    <w:rsid w:val="00BC28DD"/>
    <w:rsid w:val="00BD6EC9"/>
    <w:rsid w:val="00BF232C"/>
    <w:rsid w:val="00BF29A2"/>
    <w:rsid w:val="00C04F69"/>
    <w:rsid w:val="00C2694C"/>
    <w:rsid w:val="00C32BEA"/>
    <w:rsid w:val="00C43FB7"/>
    <w:rsid w:val="00C623ED"/>
    <w:rsid w:val="00C74290"/>
    <w:rsid w:val="00C844D2"/>
    <w:rsid w:val="00C847ED"/>
    <w:rsid w:val="00C87C96"/>
    <w:rsid w:val="00C90DAE"/>
    <w:rsid w:val="00CA1FF5"/>
    <w:rsid w:val="00CA2EBE"/>
    <w:rsid w:val="00CC5F3B"/>
    <w:rsid w:val="00CD389F"/>
    <w:rsid w:val="00CD6674"/>
    <w:rsid w:val="00CF451D"/>
    <w:rsid w:val="00CF6834"/>
    <w:rsid w:val="00D069F1"/>
    <w:rsid w:val="00D070BC"/>
    <w:rsid w:val="00D175FB"/>
    <w:rsid w:val="00D23AF3"/>
    <w:rsid w:val="00D32BA6"/>
    <w:rsid w:val="00D41D0C"/>
    <w:rsid w:val="00D4535B"/>
    <w:rsid w:val="00D508EE"/>
    <w:rsid w:val="00D56EC9"/>
    <w:rsid w:val="00D57614"/>
    <w:rsid w:val="00D83351"/>
    <w:rsid w:val="00D84C92"/>
    <w:rsid w:val="00D853DF"/>
    <w:rsid w:val="00D87001"/>
    <w:rsid w:val="00D97799"/>
    <w:rsid w:val="00DA72FF"/>
    <w:rsid w:val="00DB64ED"/>
    <w:rsid w:val="00DC4B54"/>
    <w:rsid w:val="00DE0977"/>
    <w:rsid w:val="00DE12A6"/>
    <w:rsid w:val="00DE671B"/>
    <w:rsid w:val="00DF13CF"/>
    <w:rsid w:val="00E071F1"/>
    <w:rsid w:val="00E14ADB"/>
    <w:rsid w:val="00E30B5F"/>
    <w:rsid w:val="00E4665A"/>
    <w:rsid w:val="00E630C0"/>
    <w:rsid w:val="00E67171"/>
    <w:rsid w:val="00E82BCA"/>
    <w:rsid w:val="00E91695"/>
    <w:rsid w:val="00E96B92"/>
    <w:rsid w:val="00E972F3"/>
    <w:rsid w:val="00EA6FCD"/>
    <w:rsid w:val="00EB27CA"/>
    <w:rsid w:val="00ED1638"/>
    <w:rsid w:val="00EE2796"/>
    <w:rsid w:val="00EE287A"/>
    <w:rsid w:val="00F02A89"/>
    <w:rsid w:val="00F04741"/>
    <w:rsid w:val="00F31360"/>
    <w:rsid w:val="00F32995"/>
    <w:rsid w:val="00F34C19"/>
    <w:rsid w:val="00F429F5"/>
    <w:rsid w:val="00F507F1"/>
    <w:rsid w:val="00F64372"/>
    <w:rsid w:val="00F717B7"/>
    <w:rsid w:val="00F8057D"/>
    <w:rsid w:val="00F951F9"/>
    <w:rsid w:val="00FA4404"/>
    <w:rsid w:val="00FB412A"/>
    <w:rsid w:val="00FB5FE3"/>
    <w:rsid w:val="00FC6DB9"/>
    <w:rsid w:val="00FD062A"/>
    <w:rsid w:val="00FD0722"/>
    <w:rsid w:val="00FD17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F0C73"/>
  <w15:docId w15:val="{A940CC04-17C0-4A93-873B-C5ECA6DB1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F3FAC"/>
  </w:style>
  <w:style w:type="paragraph" w:styleId="Titre1">
    <w:name w:val="heading 1"/>
    <w:basedOn w:val="Normal"/>
    <w:next w:val="Normal"/>
    <w:link w:val="Titre1Car"/>
    <w:uiPriority w:val="9"/>
    <w:qFormat/>
    <w:rsid w:val="00BF29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BF29A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D062A"/>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itre1,References,Paragraphe de liste2,MCHIP_list paragraph,List Paragraph1,Recommendation,Bullet List,FooterText,Bioforce zListePuce,Paragraphe de liste1,Numbered List Paragraph,Bullets,ReferencesCxSpLast"/>
    <w:basedOn w:val="Normal"/>
    <w:link w:val="ParagraphedelisteCar"/>
    <w:uiPriority w:val="34"/>
    <w:qFormat/>
    <w:rsid w:val="003F3FAC"/>
    <w:pPr>
      <w:ind w:left="720"/>
      <w:contextualSpacing/>
    </w:pPr>
  </w:style>
  <w:style w:type="paragraph" w:styleId="Notedebasdepage">
    <w:name w:val="footnote text"/>
    <w:aliases w:val="Footnote Text Char,Footnote Text Char1 Char,Footnote Text Char Char Char1,Footnote Text Char1 Char Char Char1,Footnote Text Char1 Char1 Char,Footnote Text Char Char Char Char,Texte de note de bas de page,ADB"/>
    <w:basedOn w:val="Normal"/>
    <w:link w:val="NotedebasdepageCar"/>
    <w:uiPriority w:val="99"/>
    <w:unhideWhenUsed/>
    <w:rsid w:val="003F3FAC"/>
    <w:pPr>
      <w:spacing w:after="0" w:line="240" w:lineRule="auto"/>
    </w:pPr>
    <w:rPr>
      <w:sz w:val="20"/>
      <w:szCs w:val="20"/>
    </w:rPr>
  </w:style>
  <w:style w:type="character" w:customStyle="1" w:styleId="NotedebasdepageCar">
    <w:name w:val="Note de bas de page Car"/>
    <w:aliases w:val="Footnote Text Char Car,Footnote Text Char1 Char Car,Footnote Text Char Char Char1 Car,Footnote Text Char1 Char Char Char1 Car,Footnote Text Char1 Char1 Char Car,Footnote Text Char Char Char Char Car,ADB Car"/>
    <w:basedOn w:val="Policepardfaut"/>
    <w:link w:val="Notedebasdepage"/>
    <w:uiPriority w:val="99"/>
    <w:rsid w:val="003F3FAC"/>
    <w:rPr>
      <w:sz w:val="20"/>
      <w:szCs w:val="20"/>
    </w:rPr>
  </w:style>
  <w:style w:type="character" w:styleId="Appelnotedebasdep">
    <w:name w:val="footnote reference"/>
    <w:basedOn w:val="Policepardfaut"/>
    <w:uiPriority w:val="99"/>
    <w:unhideWhenUsed/>
    <w:rsid w:val="003F3FAC"/>
    <w:rPr>
      <w:vertAlign w:val="superscript"/>
    </w:rPr>
  </w:style>
  <w:style w:type="paragraph" w:styleId="Textedebulles">
    <w:name w:val="Balloon Text"/>
    <w:basedOn w:val="Normal"/>
    <w:link w:val="TextedebullesCar"/>
    <w:uiPriority w:val="99"/>
    <w:semiHidden/>
    <w:unhideWhenUsed/>
    <w:rsid w:val="00A2212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2125"/>
    <w:rPr>
      <w:rFonts w:ascii="Tahoma" w:hAnsi="Tahoma" w:cs="Tahoma"/>
      <w:sz w:val="16"/>
      <w:szCs w:val="16"/>
    </w:rPr>
  </w:style>
  <w:style w:type="table" w:styleId="Grilledutableau">
    <w:name w:val="Table Grid"/>
    <w:basedOn w:val="TableauNormal"/>
    <w:uiPriority w:val="59"/>
    <w:rsid w:val="00810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BF29A2"/>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semiHidden/>
    <w:unhideWhenUsed/>
    <w:qFormat/>
    <w:rsid w:val="00BF29A2"/>
    <w:pPr>
      <w:outlineLvl w:val="9"/>
    </w:pPr>
    <w:rPr>
      <w:lang w:eastAsia="fr-FR"/>
    </w:rPr>
  </w:style>
  <w:style w:type="character" w:customStyle="1" w:styleId="Titre2Car">
    <w:name w:val="Titre 2 Car"/>
    <w:basedOn w:val="Policepardfaut"/>
    <w:link w:val="Titre2"/>
    <w:uiPriority w:val="9"/>
    <w:rsid w:val="00BF29A2"/>
    <w:rPr>
      <w:rFonts w:asciiTheme="majorHAnsi" w:eastAsiaTheme="majorEastAsia" w:hAnsiTheme="majorHAnsi" w:cstheme="majorBidi"/>
      <w:b/>
      <w:bCs/>
      <w:color w:val="4F81BD" w:themeColor="accent1"/>
      <w:sz w:val="26"/>
      <w:szCs w:val="26"/>
    </w:rPr>
  </w:style>
  <w:style w:type="paragraph" w:styleId="TM1">
    <w:name w:val="toc 1"/>
    <w:basedOn w:val="Normal"/>
    <w:next w:val="Normal"/>
    <w:autoRedefine/>
    <w:uiPriority w:val="39"/>
    <w:unhideWhenUsed/>
    <w:rsid w:val="001F0332"/>
    <w:pPr>
      <w:spacing w:after="100"/>
    </w:pPr>
  </w:style>
  <w:style w:type="paragraph" w:styleId="TM2">
    <w:name w:val="toc 2"/>
    <w:basedOn w:val="Normal"/>
    <w:next w:val="Normal"/>
    <w:autoRedefine/>
    <w:uiPriority w:val="39"/>
    <w:unhideWhenUsed/>
    <w:rsid w:val="001F0332"/>
    <w:pPr>
      <w:spacing w:after="100"/>
      <w:ind w:left="220"/>
    </w:pPr>
  </w:style>
  <w:style w:type="character" w:styleId="Lienhypertexte">
    <w:name w:val="Hyperlink"/>
    <w:basedOn w:val="Policepardfaut"/>
    <w:uiPriority w:val="99"/>
    <w:unhideWhenUsed/>
    <w:rsid w:val="001F0332"/>
    <w:rPr>
      <w:color w:val="0000FF" w:themeColor="hyperlink"/>
      <w:u w:val="single"/>
    </w:rPr>
  </w:style>
  <w:style w:type="character" w:customStyle="1" w:styleId="Titre3Car">
    <w:name w:val="Titre 3 Car"/>
    <w:basedOn w:val="Policepardfaut"/>
    <w:link w:val="Titre3"/>
    <w:uiPriority w:val="9"/>
    <w:rsid w:val="00FD062A"/>
    <w:rPr>
      <w:rFonts w:asciiTheme="majorHAnsi" w:eastAsiaTheme="majorEastAsia" w:hAnsiTheme="majorHAnsi" w:cstheme="majorBidi"/>
      <w:b/>
      <w:bCs/>
      <w:color w:val="4F81BD" w:themeColor="accent1"/>
    </w:rPr>
  </w:style>
  <w:style w:type="character" w:customStyle="1" w:styleId="ParagraphedelisteCar">
    <w:name w:val="Paragraphe de liste Car"/>
    <w:aliases w:val="Titre1 Car,References Car,Paragraphe de liste2 Car,MCHIP_list paragraph Car,List Paragraph1 Car,Recommendation Car,Bullet List Car,FooterText Car,Bioforce zListePuce Car,Paragraphe de liste1 Car,Numbered List Paragraph Car"/>
    <w:link w:val="Paragraphedeliste"/>
    <w:uiPriority w:val="34"/>
    <w:locked/>
    <w:rsid w:val="00047318"/>
  </w:style>
  <w:style w:type="paragraph" w:styleId="Sansinterligne">
    <w:name w:val="No Spacing"/>
    <w:uiPriority w:val="1"/>
    <w:qFormat/>
    <w:rsid w:val="002E3BE8"/>
    <w:pPr>
      <w:spacing w:after="0" w:line="240" w:lineRule="auto"/>
    </w:pPr>
  </w:style>
  <w:style w:type="table" w:styleId="Listeclaire-Accent1">
    <w:name w:val="Light List Accent 1"/>
    <w:basedOn w:val="TableauNormal"/>
    <w:uiPriority w:val="61"/>
    <w:rsid w:val="002378D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Marquedecommentaire">
    <w:name w:val="annotation reference"/>
    <w:basedOn w:val="Policepardfaut"/>
    <w:uiPriority w:val="99"/>
    <w:semiHidden/>
    <w:unhideWhenUsed/>
    <w:rsid w:val="005E7A4A"/>
    <w:rPr>
      <w:sz w:val="16"/>
      <w:szCs w:val="16"/>
    </w:rPr>
  </w:style>
  <w:style w:type="paragraph" w:styleId="Commentaire">
    <w:name w:val="annotation text"/>
    <w:basedOn w:val="Normal"/>
    <w:link w:val="CommentaireCar"/>
    <w:uiPriority w:val="99"/>
    <w:semiHidden/>
    <w:unhideWhenUsed/>
    <w:rsid w:val="005E7A4A"/>
    <w:pPr>
      <w:spacing w:line="240" w:lineRule="auto"/>
    </w:pPr>
    <w:rPr>
      <w:sz w:val="20"/>
      <w:szCs w:val="20"/>
    </w:rPr>
  </w:style>
  <w:style w:type="character" w:customStyle="1" w:styleId="CommentaireCar">
    <w:name w:val="Commentaire Car"/>
    <w:basedOn w:val="Policepardfaut"/>
    <w:link w:val="Commentaire"/>
    <w:uiPriority w:val="99"/>
    <w:semiHidden/>
    <w:rsid w:val="005E7A4A"/>
    <w:rPr>
      <w:sz w:val="20"/>
      <w:szCs w:val="20"/>
    </w:rPr>
  </w:style>
  <w:style w:type="paragraph" w:styleId="Objetducommentaire">
    <w:name w:val="annotation subject"/>
    <w:basedOn w:val="Commentaire"/>
    <w:next w:val="Commentaire"/>
    <w:link w:val="ObjetducommentaireCar"/>
    <w:uiPriority w:val="99"/>
    <w:semiHidden/>
    <w:unhideWhenUsed/>
    <w:rsid w:val="005E7A4A"/>
    <w:rPr>
      <w:b/>
      <w:bCs/>
    </w:rPr>
  </w:style>
  <w:style w:type="character" w:customStyle="1" w:styleId="ObjetducommentaireCar">
    <w:name w:val="Objet du commentaire Car"/>
    <w:basedOn w:val="CommentaireCar"/>
    <w:link w:val="Objetducommentaire"/>
    <w:uiPriority w:val="99"/>
    <w:semiHidden/>
    <w:rsid w:val="005E7A4A"/>
    <w:rPr>
      <w:b/>
      <w:bCs/>
      <w:sz w:val="20"/>
      <w:szCs w:val="20"/>
    </w:rPr>
  </w:style>
  <w:style w:type="character" w:customStyle="1" w:styleId="text18">
    <w:name w:val="text18"/>
    <w:basedOn w:val="Policepardfaut"/>
    <w:rsid w:val="00AB1F76"/>
  </w:style>
  <w:style w:type="paragraph" w:styleId="En-tte">
    <w:name w:val="header"/>
    <w:basedOn w:val="Normal"/>
    <w:link w:val="En-tteCar"/>
    <w:uiPriority w:val="99"/>
    <w:unhideWhenUsed/>
    <w:rsid w:val="008566D6"/>
    <w:pPr>
      <w:tabs>
        <w:tab w:val="center" w:pos="4536"/>
        <w:tab w:val="right" w:pos="9072"/>
      </w:tabs>
      <w:spacing w:after="0" w:line="240" w:lineRule="auto"/>
    </w:pPr>
  </w:style>
  <w:style w:type="character" w:customStyle="1" w:styleId="En-tteCar">
    <w:name w:val="En-tête Car"/>
    <w:basedOn w:val="Policepardfaut"/>
    <w:link w:val="En-tte"/>
    <w:uiPriority w:val="99"/>
    <w:rsid w:val="008566D6"/>
  </w:style>
  <w:style w:type="paragraph" w:styleId="Pieddepage">
    <w:name w:val="footer"/>
    <w:basedOn w:val="Normal"/>
    <w:link w:val="PieddepageCar"/>
    <w:uiPriority w:val="99"/>
    <w:unhideWhenUsed/>
    <w:rsid w:val="008566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56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631663">
      <w:bodyDiv w:val="1"/>
      <w:marLeft w:val="0"/>
      <w:marRight w:val="0"/>
      <w:marTop w:val="0"/>
      <w:marBottom w:val="0"/>
      <w:divBdr>
        <w:top w:val="none" w:sz="0" w:space="0" w:color="auto"/>
        <w:left w:val="none" w:sz="0" w:space="0" w:color="auto"/>
        <w:bottom w:val="none" w:sz="0" w:space="0" w:color="auto"/>
        <w:right w:val="none" w:sz="0" w:space="0" w:color="auto"/>
      </w:divBdr>
      <w:divsChild>
        <w:div w:id="435637761">
          <w:marLeft w:val="547"/>
          <w:marRight w:val="0"/>
          <w:marTop w:val="96"/>
          <w:marBottom w:val="0"/>
          <w:divBdr>
            <w:top w:val="none" w:sz="0" w:space="0" w:color="auto"/>
            <w:left w:val="none" w:sz="0" w:space="0" w:color="auto"/>
            <w:bottom w:val="none" w:sz="0" w:space="0" w:color="auto"/>
            <w:right w:val="none" w:sz="0" w:space="0" w:color="auto"/>
          </w:divBdr>
        </w:div>
      </w:divsChild>
    </w:div>
    <w:div w:id="1156073991">
      <w:bodyDiv w:val="1"/>
      <w:marLeft w:val="0"/>
      <w:marRight w:val="0"/>
      <w:marTop w:val="0"/>
      <w:marBottom w:val="0"/>
      <w:divBdr>
        <w:top w:val="none" w:sz="0" w:space="0" w:color="auto"/>
        <w:left w:val="none" w:sz="0" w:space="0" w:color="auto"/>
        <w:bottom w:val="none" w:sz="0" w:space="0" w:color="auto"/>
        <w:right w:val="none" w:sz="0" w:space="0" w:color="auto"/>
      </w:divBdr>
    </w:div>
    <w:div w:id="1289896634">
      <w:bodyDiv w:val="1"/>
      <w:marLeft w:val="0"/>
      <w:marRight w:val="0"/>
      <w:marTop w:val="0"/>
      <w:marBottom w:val="0"/>
      <w:divBdr>
        <w:top w:val="none" w:sz="0" w:space="0" w:color="auto"/>
        <w:left w:val="none" w:sz="0" w:space="0" w:color="auto"/>
        <w:bottom w:val="none" w:sz="0" w:space="0" w:color="auto"/>
        <w:right w:val="none" w:sz="0" w:space="0" w:color="auto"/>
      </w:divBdr>
    </w:div>
    <w:div w:id="1556158664">
      <w:bodyDiv w:val="1"/>
      <w:marLeft w:val="0"/>
      <w:marRight w:val="0"/>
      <w:marTop w:val="0"/>
      <w:marBottom w:val="0"/>
      <w:divBdr>
        <w:top w:val="none" w:sz="0" w:space="0" w:color="auto"/>
        <w:left w:val="none" w:sz="0" w:space="0" w:color="auto"/>
        <w:bottom w:val="none" w:sz="0" w:space="0" w:color="auto"/>
        <w:right w:val="none" w:sz="0" w:space="0" w:color="auto"/>
      </w:divBdr>
    </w:div>
    <w:div w:id="2045518770">
      <w:bodyDiv w:val="1"/>
      <w:marLeft w:val="0"/>
      <w:marRight w:val="0"/>
      <w:marTop w:val="0"/>
      <w:marBottom w:val="0"/>
      <w:divBdr>
        <w:top w:val="none" w:sz="0" w:space="0" w:color="auto"/>
        <w:left w:val="none" w:sz="0" w:space="0" w:color="auto"/>
        <w:bottom w:val="none" w:sz="0" w:space="0" w:color="auto"/>
        <w:right w:val="none" w:sz="0" w:space="0" w:color="auto"/>
      </w:divBdr>
    </w:div>
    <w:div w:id="207238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image" Target="media/image18.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apps.who.int/iris/bitstream/handle/10665/272598/9789242513554-fre.pdf?ua=1" TargetMode="External"/><Relationship Id="rId1" Type="http://schemas.openxmlformats.org/officeDocument/2006/relationships/hyperlink" Target="http://apps.who.int/nha/database/ViewData/Indicators/en"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fr-FR" sz="1000" b="0" i="0" u="none" strike="noStrike" baseline="0">
                <a:effectLst/>
              </a:rPr>
              <a:t>Graphique n°: </a:t>
            </a:r>
            <a:r>
              <a:rPr lang="fr-FR" sz="1000"/>
              <a:t>Evolution</a:t>
            </a:r>
            <a:r>
              <a:rPr lang="fr-FR" sz="1000" baseline="0"/>
              <a:t> </a:t>
            </a:r>
            <a:r>
              <a:rPr lang="fr-FR" sz="1000"/>
              <a:t>des taux (%) de malnutrition chronique et malnutrition aigue globale des enfants &lt;</a:t>
            </a:r>
            <a:r>
              <a:rPr lang="fr-FR" sz="1000" baseline="0"/>
              <a:t> 5ans</a:t>
            </a:r>
            <a:endParaRPr lang="fr-FR" sz="1000"/>
          </a:p>
        </c:rich>
      </c:tx>
      <c:overlay val="0"/>
      <c:spPr>
        <a:noFill/>
        <a:ln>
          <a:noFill/>
        </a:ln>
        <a:effectLst/>
      </c:spPr>
    </c:title>
    <c:autoTitleDeleted val="0"/>
    <c:plotArea>
      <c:layout>
        <c:manualLayout>
          <c:layoutTarget val="inner"/>
          <c:xMode val="edge"/>
          <c:yMode val="edge"/>
          <c:x val="8.6025371828521394E-2"/>
          <c:y val="0.29381999125109398"/>
          <c:w val="0.88341907261592301"/>
          <c:h val="0.60274606299212596"/>
        </c:manualLayout>
      </c:layout>
      <c:lineChart>
        <c:grouping val="standard"/>
        <c:varyColors val="0"/>
        <c:ser>
          <c:idx val="0"/>
          <c:order val="0"/>
          <c:tx>
            <c:strRef>
              <c:f>Feuil1!$C$89</c:f>
              <c:strCache>
                <c:ptCount val="1"/>
                <c:pt idx="0">
                  <c:v>Chronique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4.7118110236220499E-2"/>
                  <c:y val="-4.1666666666666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F16-4A84-87D6-0A2880983CF0}"/>
                </c:ext>
              </c:extLst>
            </c:dLbl>
            <c:dLbl>
              <c:idx val="1"/>
              <c:layout>
                <c:manualLayout>
                  <c:x val="-4.9895888013998302E-2"/>
                  <c:y val="4.16666666666666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F16-4A84-87D6-0A2880983CF0}"/>
                </c:ext>
              </c:extLst>
            </c:dLbl>
            <c:dLbl>
              <c:idx val="2"/>
              <c:layout>
                <c:manualLayout>
                  <c:x val="-4.7118110236220499E-2"/>
                  <c:y val="-4.1666666666666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F16-4A84-87D6-0A2880983CF0}"/>
                </c:ext>
              </c:extLst>
            </c:dLbl>
            <c:dLbl>
              <c:idx val="3"/>
              <c:layout>
                <c:manualLayout>
                  <c:x val="-4.7118110236220499E-2"/>
                  <c:y val="4.62962962962963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F16-4A84-87D6-0A2880983CF0}"/>
                </c:ext>
              </c:extLst>
            </c:dLbl>
            <c:dLbl>
              <c:idx val="4"/>
              <c:layout>
                <c:manualLayout>
                  <c:x val="-4.7118110236220499E-2"/>
                  <c:y val="-5.5555555555555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F16-4A84-87D6-0A2880983CF0}"/>
                </c:ext>
              </c:extLst>
            </c:dLbl>
            <c:dLbl>
              <c:idx val="5"/>
              <c:layout>
                <c:manualLayout>
                  <c:x val="-3.76666666666668E-2"/>
                  <c:y val="5.09259259259257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F16-4A84-87D6-0A2880983CF0}"/>
                </c:ext>
              </c:extLst>
            </c:dLbl>
            <c:dLbl>
              <c:idx val="6"/>
              <c:layout>
                <c:manualLayout>
                  <c:x val="-4.7118110236220603E-2"/>
                  <c:y val="-6.0185185185185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F16-4A84-87D6-0A2880983CF0}"/>
                </c:ext>
              </c:extLst>
            </c:dLbl>
            <c:dLbl>
              <c:idx val="7"/>
              <c:layout>
                <c:manualLayout>
                  <c:x val="-4.7118110236220499E-2"/>
                  <c:y val="4.16666666666666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F16-4A84-87D6-0A2880983CF0}"/>
                </c:ext>
              </c:extLst>
            </c:dLbl>
            <c:dLbl>
              <c:idx val="8"/>
              <c:layout>
                <c:manualLayout>
                  <c:x val="-4.7118110236220603E-2"/>
                  <c:y val="-5.5555555555555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F16-4A84-87D6-0A2880983CF0}"/>
                </c:ext>
              </c:extLst>
            </c:dLbl>
            <c:dLbl>
              <c:idx val="9"/>
              <c:layout>
                <c:manualLayout>
                  <c:x val="-4.7118110236220499E-2"/>
                  <c:y val="5.09259259259257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F16-4A84-87D6-0A2880983CF0}"/>
                </c:ext>
              </c:extLst>
            </c:dLbl>
            <c:dLbl>
              <c:idx val="10"/>
              <c:layout>
                <c:manualLayout>
                  <c:x val="-4.7118110236220499E-2"/>
                  <c:y val="-7.40740740740740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F16-4A84-87D6-0A2880983CF0}"/>
                </c:ext>
              </c:extLst>
            </c:dLbl>
            <c:dLbl>
              <c:idx val="11"/>
              <c:layout>
                <c:manualLayout>
                  <c:x val="-2.9390201224847E-2"/>
                  <c:y val="6.481481481481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F16-4A84-87D6-0A2880983C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Feuil1!$D$88:$O$88</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2018</c:v>
                </c:pt>
              </c:numCache>
            </c:numRef>
          </c:cat>
          <c:val>
            <c:numRef>
              <c:f>Feuil1!$D$89:$O$89</c:f>
              <c:numCache>
                <c:formatCode>General</c:formatCode>
                <c:ptCount val="12"/>
                <c:pt idx="0">
                  <c:v>54.8</c:v>
                </c:pt>
                <c:pt idx="1">
                  <c:v>49.9</c:v>
                </c:pt>
                <c:pt idx="2">
                  <c:v>47.2</c:v>
                </c:pt>
                <c:pt idx="3">
                  <c:v>46.3</c:v>
                </c:pt>
                <c:pt idx="4">
                  <c:v>48.1</c:v>
                </c:pt>
                <c:pt idx="5">
                  <c:v>51</c:v>
                </c:pt>
                <c:pt idx="6">
                  <c:v>46.1</c:v>
                </c:pt>
                <c:pt idx="7">
                  <c:v>42.5</c:v>
                </c:pt>
                <c:pt idx="8">
                  <c:v>45.5</c:v>
                </c:pt>
                <c:pt idx="9">
                  <c:v>46.4</c:v>
                </c:pt>
                <c:pt idx="10">
                  <c:v>42.2</c:v>
                </c:pt>
                <c:pt idx="11">
                  <c:v>47.8</c:v>
                </c:pt>
              </c:numCache>
            </c:numRef>
          </c:val>
          <c:smooth val="0"/>
          <c:extLst>
            <c:ext xmlns:c16="http://schemas.microsoft.com/office/drawing/2014/chart" uri="{C3380CC4-5D6E-409C-BE32-E72D297353CC}">
              <c16:uniqueId val="{0000000C-5F16-4A84-87D6-0A2880983CF0}"/>
            </c:ext>
          </c:extLst>
        </c:ser>
        <c:ser>
          <c:idx val="1"/>
          <c:order val="1"/>
          <c:tx>
            <c:strRef>
              <c:f>Feuil1!$C$90</c:f>
              <c:strCache>
                <c:ptCount val="1"/>
                <c:pt idx="0">
                  <c:v>Aigue globale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4.1562554680664901E-2"/>
                  <c:y val="5.09259259259259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F16-4A84-87D6-0A2880983CF0}"/>
                </c:ext>
              </c:extLst>
            </c:dLbl>
            <c:dLbl>
              <c:idx val="1"/>
              <c:layout>
                <c:manualLayout>
                  <c:x val="-3.8784776902887098E-2"/>
                  <c:y val="-5.55555555555556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F16-4A84-87D6-0A2880983CF0}"/>
                </c:ext>
              </c:extLst>
            </c:dLbl>
            <c:dLbl>
              <c:idx val="2"/>
              <c:layout>
                <c:manualLayout>
                  <c:x val="-4.7118110236220499E-2"/>
                  <c:y val="4.1666666666666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F16-4A84-87D6-0A2880983CF0}"/>
                </c:ext>
              </c:extLst>
            </c:dLbl>
            <c:dLbl>
              <c:idx val="3"/>
              <c:layout>
                <c:manualLayout>
                  <c:x val="-4.7118110236220499E-2"/>
                  <c:y val="-6.94444444444445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F16-4A84-87D6-0A2880983CF0}"/>
                </c:ext>
              </c:extLst>
            </c:dLbl>
            <c:dLbl>
              <c:idx val="4"/>
              <c:layout>
                <c:manualLayout>
                  <c:x val="-3.8784776902887098E-2"/>
                  <c:y val="6.0185185185185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5F16-4A84-87D6-0A2880983CF0}"/>
                </c:ext>
              </c:extLst>
            </c:dLbl>
            <c:dLbl>
              <c:idx val="5"/>
              <c:layout>
                <c:manualLayout>
                  <c:x val="-5.5451443569553699E-2"/>
                  <c:y val="-7.87037037037038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5F16-4A84-87D6-0A2880983CF0}"/>
                </c:ext>
              </c:extLst>
            </c:dLbl>
            <c:dLbl>
              <c:idx val="6"/>
              <c:layout>
                <c:manualLayout>
                  <c:x val="-4.4340332458442801E-2"/>
                  <c:y val="4.62962962962963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5F16-4A84-87D6-0A2880983CF0}"/>
                </c:ext>
              </c:extLst>
            </c:dLbl>
            <c:dLbl>
              <c:idx val="7"/>
              <c:layout>
                <c:manualLayout>
                  <c:x val="-5.2673665791776E-2"/>
                  <c:y val="-5.09259259259259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5F16-4A84-87D6-0A2880983CF0}"/>
                </c:ext>
              </c:extLst>
            </c:dLbl>
            <c:dLbl>
              <c:idx val="8"/>
              <c:layout>
                <c:manualLayout>
                  <c:x val="-5.5451443569553803E-2"/>
                  <c:y val="4.62962962962963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5F16-4A84-87D6-0A2880983CF0}"/>
                </c:ext>
              </c:extLst>
            </c:dLbl>
            <c:dLbl>
              <c:idx val="9"/>
              <c:layout>
                <c:manualLayout>
                  <c:x val="-3.7666666666666702E-2"/>
                  <c:y val="-5.5555555555555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5F16-4A84-87D6-0A2880983CF0}"/>
                </c:ext>
              </c:extLst>
            </c:dLbl>
            <c:dLbl>
              <c:idx val="10"/>
              <c:layout>
                <c:manualLayout>
                  <c:x val="-3.8784776902887202E-2"/>
                  <c:y val="5.5555555555555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5F16-4A84-87D6-0A2880983CF0}"/>
                </c:ext>
              </c:extLst>
            </c:dLbl>
            <c:dLbl>
              <c:idx val="11"/>
              <c:layout>
                <c:manualLayout>
                  <c:x val="-4.0444444444444401E-2"/>
                  <c:y val="-4.16666666666668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5F16-4A84-87D6-0A2880983C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Feuil1!$D$88:$O$88</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2018</c:v>
                </c:pt>
              </c:numCache>
            </c:numRef>
          </c:cat>
          <c:val>
            <c:numRef>
              <c:f>Feuil1!$D$90:$O$90</c:f>
              <c:numCache>
                <c:formatCode>General</c:formatCode>
                <c:ptCount val="12"/>
                <c:pt idx="0">
                  <c:v>10.3</c:v>
                </c:pt>
                <c:pt idx="1">
                  <c:v>12.3</c:v>
                </c:pt>
                <c:pt idx="2">
                  <c:v>11.6</c:v>
                </c:pt>
                <c:pt idx="3">
                  <c:v>12.3</c:v>
                </c:pt>
                <c:pt idx="4">
                  <c:v>16.7</c:v>
                </c:pt>
                <c:pt idx="5">
                  <c:v>12.3</c:v>
                </c:pt>
                <c:pt idx="6">
                  <c:v>14.8</c:v>
                </c:pt>
                <c:pt idx="7">
                  <c:v>13.3</c:v>
                </c:pt>
                <c:pt idx="8">
                  <c:v>14.8</c:v>
                </c:pt>
                <c:pt idx="9">
                  <c:v>15</c:v>
                </c:pt>
                <c:pt idx="10">
                  <c:v>10.3</c:v>
                </c:pt>
                <c:pt idx="11">
                  <c:v>15</c:v>
                </c:pt>
              </c:numCache>
            </c:numRef>
          </c:val>
          <c:smooth val="0"/>
          <c:extLst>
            <c:ext xmlns:c16="http://schemas.microsoft.com/office/drawing/2014/chart" uri="{C3380CC4-5D6E-409C-BE32-E72D297353CC}">
              <c16:uniqueId val="{00000019-5F16-4A84-87D6-0A2880983CF0}"/>
            </c:ext>
          </c:extLst>
        </c:ser>
        <c:dLbls>
          <c:dLblPos val="ctr"/>
          <c:showLegendKey val="0"/>
          <c:showVal val="1"/>
          <c:showCatName val="0"/>
          <c:showSerName val="0"/>
          <c:showPercent val="0"/>
          <c:showBubbleSize val="0"/>
        </c:dLbls>
        <c:marker val="1"/>
        <c:smooth val="0"/>
        <c:axId val="346781952"/>
        <c:axId val="168280064"/>
      </c:lineChart>
      <c:catAx>
        <c:axId val="3467819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8280064"/>
        <c:crosses val="autoZero"/>
        <c:auto val="1"/>
        <c:lblAlgn val="ctr"/>
        <c:lblOffset val="100"/>
        <c:noMultiLvlLbl val="0"/>
      </c:catAx>
      <c:valAx>
        <c:axId val="168280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46781952"/>
        <c:crosses val="autoZero"/>
        <c:crossBetween val="between"/>
      </c:valAx>
      <c:spPr>
        <a:noFill/>
        <a:ln>
          <a:noFill/>
        </a:ln>
        <a:effectLst/>
      </c:spPr>
    </c:plotArea>
    <c:legend>
      <c:legendPos val="b"/>
      <c:layout>
        <c:manualLayout>
          <c:xMode val="edge"/>
          <c:yMode val="edge"/>
          <c:x val="0.28972878390201201"/>
          <c:y val="0.15702894281072"/>
          <c:w val="0.64021037600185005"/>
          <c:h val="7.65311478922277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DB077-2AB1-4A81-B050-3515A896E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12564</Words>
  <Characters>69105</Characters>
  <Application>Microsoft Office Word</Application>
  <DocSecurity>0</DocSecurity>
  <Lines>575</Lines>
  <Paragraphs>163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MP ALLIOD</cp:lastModifiedBy>
  <cp:revision>2</cp:revision>
  <dcterms:created xsi:type="dcterms:W3CDTF">2020-10-22T13:21:00Z</dcterms:created>
  <dcterms:modified xsi:type="dcterms:W3CDTF">2020-10-22T13:21:00Z</dcterms:modified>
</cp:coreProperties>
</file>