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43B079" w14:textId="77777777" w:rsidR="003F2ADC" w:rsidRPr="00DF31FA" w:rsidRDefault="003F2ADC" w:rsidP="003F2ADC">
      <w:pPr>
        <w:spacing w:line="240" w:lineRule="auto"/>
        <w:rPr>
          <w:rFonts w:ascii="Times New Roman" w:eastAsia="Times New Roman" w:hAnsi="Times New Roman"/>
          <w:b/>
          <w:bCs/>
          <w:smallCaps/>
          <w:sz w:val="28"/>
          <w:szCs w:val="23"/>
          <w:lang w:bidi="en-US"/>
        </w:rPr>
      </w:pPr>
      <w:bookmarkStart w:id="0" w:name="_GoBack"/>
      <w:bookmarkEnd w:id="0"/>
      <w:r w:rsidRPr="00DF31FA">
        <w:rPr>
          <w:rFonts w:ascii="Times New Roman" w:eastAsia="Times New Roman" w:hAnsi="Times New Roman"/>
          <w:b/>
          <w:bCs/>
          <w:smallCaps/>
          <w:sz w:val="28"/>
          <w:szCs w:val="23"/>
          <w:lang w:bidi="en-US"/>
        </w:rPr>
        <w:t>République Du Niger</w:t>
      </w:r>
    </w:p>
    <w:p w14:paraId="62D62171" w14:textId="77777777" w:rsidR="003F2ADC" w:rsidRPr="007357CF" w:rsidRDefault="003F2ADC" w:rsidP="003F2ADC">
      <w:pPr>
        <w:spacing w:after="0" w:line="240" w:lineRule="auto"/>
        <w:jc w:val="both"/>
        <w:rPr>
          <w:rFonts w:ascii="Times New Roman" w:eastAsia="Times New Roman" w:hAnsi="Times New Roman"/>
          <w:b/>
          <w:bCs/>
          <w:i/>
          <w:iCs/>
          <w:sz w:val="28"/>
          <w:szCs w:val="23"/>
          <w:lang w:bidi="en-US"/>
        </w:rPr>
      </w:pPr>
      <w:r w:rsidRPr="00DF31FA">
        <w:rPr>
          <w:rFonts w:ascii="Times New Roman" w:eastAsia="Times New Roman" w:hAnsi="Times New Roman"/>
          <w:b/>
          <w:bCs/>
          <w:i/>
          <w:iCs/>
          <w:sz w:val="28"/>
          <w:szCs w:val="23"/>
          <w:lang w:bidi="en-US"/>
        </w:rPr>
        <w:t>Fraternité – Travail – Progrès</w:t>
      </w:r>
    </w:p>
    <w:p w14:paraId="4BCDE642" w14:textId="77777777" w:rsidR="003F2ADC" w:rsidRPr="00DF31FA" w:rsidRDefault="003F2ADC" w:rsidP="003F2ADC">
      <w:pPr>
        <w:spacing w:after="0" w:line="240" w:lineRule="auto"/>
        <w:jc w:val="both"/>
        <w:rPr>
          <w:rFonts w:ascii="Times New Roman" w:eastAsia="Times New Roman" w:hAnsi="Times New Roman"/>
          <w:b/>
          <w:bCs/>
          <w:sz w:val="28"/>
          <w:szCs w:val="23"/>
          <w:lang w:bidi="en-US"/>
        </w:rPr>
      </w:pPr>
      <w:r w:rsidRPr="003E3556">
        <w:rPr>
          <w:rFonts w:ascii="Times New Roman" w:eastAsia="Times New Roman" w:hAnsi="Times New Roman"/>
          <w:b/>
          <w:noProof/>
          <w:sz w:val="28"/>
          <w:szCs w:val="23"/>
          <w:lang w:eastAsia="fr-FR"/>
        </w:rPr>
        <w:drawing>
          <wp:inline distT="0" distB="0" distL="0" distR="0" wp14:anchorId="00CB3345" wp14:editId="0E7A8781">
            <wp:extent cx="1485900" cy="790575"/>
            <wp:effectExtent l="0" t="0" r="0" b="9525"/>
            <wp:docPr id="9" name="Image 9" descr="Armoirie de la Republique du Nig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Armoirie de la Republique du Nige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85900" cy="790575"/>
                    </a:xfrm>
                    <a:prstGeom prst="rect">
                      <a:avLst/>
                    </a:prstGeom>
                    <a:noFill/>
                    <a:ln>
                      <a:noFill/>
                    </a:ln>
                  </pic:spPr>
                </pic:pic>
              </a:graphicData>
            </a:graphic>
          </wp:inline>
        </w:drawing>
      </w:r>
    </w:p>
    <w:p w14:paraId="350755A2" w14:textId="77777777" w:rsidR="003F2ADC" w:rsidRPr="00DF31FA" w:rsidRDefault="003F2ADC" w:rsidP="003F2ADC">
      <w:pPr>
        <w:spacing w:after="0" w:line="240" w:lineRule="auto"/>
        <w:jc w:val="both"/>
        <w:rPr>
          <w:rFonts w:ascii="Times New Roman" w:eastAsia="Times New Roman" w:hAnsi="Times New Roman"/>
          <w:b/>
          <w:bCs/>
          <w:smallCaps/>
          <w:sz w:val="28"/>
          <w:szCs w:val="23"/>
          <w:lang w:bidi="en-US"/>
        </w:rPr>
      </w:pPr>
      <w:r w:rsidRPr="00DF31FA">
        <w:rPr>
          <w:rFonts w:ascii="Times New Roman" w:eastAsia="Times New Roman" w:hAnsi="Times New Roman"/>
          <w:b/>
          <w:bCs/>
          <w:smallCaps/>
          <w:sz w:val="28"/>
          <w:szCs w:val="23"/>
          <w:lang w:bidi="en-US"/>
        </w:rPr>
        <w:t>Ministère  De La Sante Publique</w:t>
      </w:r>
    </w:p>
    <w:p w14:paraId="756CF1A7" w14:textId="77777777" w:rsidR="003F2ADC" w:rsidRPr="00DF31FA" w:rsidRDefault="003F2ADC" w:rsidP="003F2ADC">
      <w:pPr>
        <w:spacing w:after="0" w:line="240" w:lineRule="auto"/>
        <w:jc w:val="both"/>
        <w:rPr>
          <w:rFonts w:ascii="Times New Roman" w:eastAsia="Times New Roman" w:hAnsi="Times New Roman"/>
          <w:b/>
          <w:bCs/>
          <w:sz w:val="28"/>
          <w:szCs w:val="23"/>
          <w:lang w:bidi="en-US"/>
        </w:rPr>
      </w:pPr>
      <w:r w:rsidRPr="00DF31FA">
        <w:rPr>
          <w:rFonts w:ascii="Times New Roman" w:eastAsia="Times New Roman" w:hAnsi="Times New Roman"/>
          <w:b/>
          <w:bCs/>
          <w:sz w:val="28"/>
          <w:szCs w:val="23"/>
          <w:lang w:bidi="en-US"/>
        </w:rPr>
        <w:t>Secrétariat Général</w:t>
      </w:r>
    </w:p>
    <w:p w14:paraId="6F7F90A5" w14:textId="77777777" w:rsidR="003F2ADC" w:rsidRPr="00DF31FA" w:rsidRDefault="003F2ADC" w:rsidP="003F2ADC">
      <w:pPr>
        <w:spacing w:after="0" w:line="240" w:lineRule="auto"/>
        <w:jc w:val="both"/>
        <w:rPr>
          <w:rFonts w:ascii="Times New Roman" w:eastAsia="Times New Roman" w:hAnsi="Times New Roman"/>
          <w:sz w:val="23"/>
          <w:szCs w:val="23"/>
          <w:lang w:bidi="en-US"/>
        </w:rPr>
      </w:pPr>
    </w:p>
    <w:p w14:paraId="0BDD0940" w14:textId="77777777" w:rsidR="003F2ADC" w:rsidRPr="00DF31FA" w:rsidRDefault="003F2ADC" w:rsidP="003F2ADC">
      <w:pPr>
        <w:spacing w:line="240" w:lineRule="auto"/>
        <w:jc w:val="both"/>
        <w:rPr>
          <w:rFonts w:ascii="Times New Roman" w:eastAsia="Times New Roman" w:hAnsi="Times New Roman"/>
          <w:sz w:val="23"/>
          <w:szCs w:val="23"/>
          <w:lang w:bidi="en-US"/>
        </w:rPr>
      </w:pPr>
      <w:r>
        <w:rPr>
          <w:rFonts w:ascii="Times New Roman" w:eastAsia="Times New Roman" w:hAnsi="Times New Roman"/>
          <w:sz w:val="23"/>
          <w:szCs w:val="23"/>
          <w:lang w:bidi="en-US"/>
        </w:rPr>
        <w:tab/>
      </w:r>
      <w:r>
        <w:rPr>
          <w:rFonts w:ascii="Times New Roman" w:eastAsia="Times New Roman" w:hAnsi="Times New Roman"/>
          <w:sz w:val="23"/>
          <w:szCs w:val="23"/>
          <w:lang w:bidi="en-US"/>
        </w:rPr>
        <w:tab/>
      </w:r>
      <w:r>
        <w:rPr>
          <w:rFonts w:ascii="Times New Roman" w:eastAsia="Times New Roman" w:hAnsi="Times New Roman"/>
          <w:sz w:val="23"/>
          <w:szCs w:val="23"/>
          <w:lang w:bidi="en-US"/>
        </w:rPr>
        <w:tab/>
      </w:r>
      <w:r>
        <w:rPr>
          <w:rFonts w:ascii="Times New Roman" w:eastAsia="Times New Roman" w:hAnsi="Times New Roman"/>
          <w:sz w:val="23"/>
          <w:szCs w:val="23"/>
          <w:lang w:bidi="en-US"/>
        </w:rPr>
        <w:tab/>
      </w:r>
      <w:r>
        <w:rPr>
          <w:rFonts w:ascii="Times New Roman" w:eastAsia="Times New Roman" w:hAnsi="Times New Roman"/>
          <w:sz w:val="23"/>
          <w:szCs w:val="23"/>
          <w:lang w:bidi="en-US"/>
        </w:rPr>
        <w:tab/>
      </w:r>
      <w:r w:rsidRPr="003E3556">
        <w:rPr>
          <w:rFonts w:ascii="Times New Roman" w:eastAsia="Times New Roman" w:hAnsi="Times New Roman"/>
          <w:noProof/>
          <w:sz w:val="23"/>
          <w:szCs w:val="23"/>
          <w:lang w:eastAsia="fr-FR"/>
        </w:rPr>
        <w:drawing>
          <wp:inline distT="0" distB="0" distL="0" distR="0" wp14:anchorId="0DAD2481" wp14:editId="465E102A">
            <wp:extent cx="1085850" cy="1181100"/>
            <wp:effectExtent l="0" t="0" r="0" b="0"/>
            <wp:docPr id="15" name="Image 15" descr="logo_sa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logo_sant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085850" cy="1181100"/>
                    </a:xfrm>
                    <a:prstGeom prst="rect">
                      <a:avLst/>
                    </a:prstGeom>
                    <a:noFill/>
                    <a:ln>
                      <a:noFill/>
                    </a:ln>
                  </pic:spPr>
                </pic:pic>
              </a:graphicData>
            </a:graphic>
          </wp:inline>
        </w:drawing>
      </w:r>
      <w:r>
        <w:rPr>
          <w:rFonts w:ascii="Times New Roman" w:eastAsia="Times New Roman" w:hAnsi="Times New Roman"/>
          <w:sz w:val="23"/>
          <w:szCs w:val="23"/>
          <w:lang w:bidi="en-US"/>
        </w:rPr>
        <w:tab/>
      </w:r>
    </w:p>
    <w:p w14:paraId="39B880BE" w14:textId="77777777" w:rsidR="00A22125" w:rsidRPr="00BF29A2" w:rsidRDefault="00A22125" w:rsidP="00A22125">
      <w:pPr>
        <w:jc w:val="center"/>
        <w:rPr>
          <w:rFonts w:cstheme="minorHAnsi"/>
          <w:b/>
          <w:i/>
          <w:sz w:val="24"/>
          <w:szCs w:val="24"/>
        </w:rPr>
      </w:pPr>
    </w:p>
    <w:p w14:paraId="762FBE1B" w14:textId="77777777" w:rsidR="00F951F9" w:rsidRDefault="009146B8" w:rsidP="00A22125">
      <w:pPr>
        <w:jc w:val="center"/>
        <w:rPr>
          <w:rFonts w:cstheme="minorHAnsi"/>
          <w:b/>
          <w:i/>
          <w:sz w:val="48"/>
          <w:szCs w:val="24"/>
        </w:rPr>
      </w:pPr>
      <w:r>
        <w:rPr>
          <w:rFonts w:cstheme="minorHAnsi"/>
          <w:b/>
          <w:i/>
          <w:sz w:val="48"/>
          <w:szCs w:val="24"/>
        </w:rPr>
        <w:t>STRATEGIE</w:t>
      </w:r>
      <w:r w:rsidR="00A22125" w:rsidRPr="00F951F9">
        <w:rPr>
          <w:rFonts w:cstheme="minorHAnsi"/>
          <w:b/>
          <w:i/>
          <w:sz w:val="48"/>
          <w:szCs w:val="24"/>
        </w:rPr>
        <w:t xml:space="preserve"> </w:t>
      </w:r>
      <w:r w:rsidR="002A2CA3">
        <w:rPr>
          <w:rFonts w:cstheme="minorHAnsi"/>
          <w:b/>
          <w:i/>
          <w:sz w:val="48"/>
          <w:szCs w:val="24"/>
        </w:rPr>
        <w:t xml:space="preserve">NATIONALE </w:t>
      </w:r>
      <w:r w:rsidR="00F951F9">
        <w:rPr>
          <w:rFonts w:cstheme="minorHAnsi"/>
          <w:b/>
          <w:i/>
          <w:sz w:val="48"/>
          <w:szCs w:val="24"/>
        </w:rPr>
        <w:t xml:space="preserve">DE </w:t>
      </w:r>
    </w:p>
    <w:p w14:paraId="209CFDC8" w14:textId="77777777" w:rsidR="00F951F9" w:rsidRDefault="00F951F9" w:rsidP="00A22125">
      <w:pPr>
        <w:jc w:val="center"/>
        <w:rPr>
          <w:rFonts w:cstheme="minorHAnsi"/>
          <w:b/>
          <w:i/>
          <w:sz w:val="48"/>
          <w:szCs w:val="24"/>
        </w:rPr>
      </w:pPr>
      <w:r>
        <w:rPr>
          <w:rFonts w:cstheme="minorHAnsi"/>
          <w:b/>
          <w:i/>
          <w:sz w:val="48"/>
          <w:szCs w:val="24"/>
        </w:rPr>
        <w:t>LA COUVERTURE SANITAIRE UNIVERSELLE</w:t>
      </w:r>
      <w:r w:rsidR="00A22125" w:rsidRPr="00F951F9">
        <w:rPr>
          <w:rFonts w:cstheme="minorHAnsi"/>
          <w:b/>
          <w:i/>
          <w:sz w:val="48"/>
          <w:szCs w:val="24"/>
        </w:rPr>
        <w:t xml:space="preserve"> </w:t>
      </w:r>
    </w:p>
    <w:p w14:paraId="41C0B1C1" w14:textId="77777777" w:rsidR="00A22125" w:rsidRDefault="002A2CA3" w:rsidP="00A22125">
      <w:pPr>
        <w:jc w:val="center"/>
        <w:rPr>
          <w:rFonts w:cstheme="minorHAnsi"/>
          <w:b/>
          <w:i/>
          <w:sz w:val="48"/>
          <w:szCs w:val="24"/>
        </w:rPr>
      </w:pPr>
      <w:r>
        <w:rPr>
          <w:rFonts w:cstheme="minorHAnsi"/>
          <w:b/>
          <w:i/>
          <w:sz w:val="48"/>
          <w:szCs w:val="24"/>
        </w:rPr>
        <w:t>AU</w:t>
      </w:r>
      <w:r w:rsidR="00A22125" w:rsidRPr="00F951F9">
        <w:rPr>
          <w:rFonts w:cstheme="minorHAnsi"/>
          <w:b/>
          <w:i/>
          <w:sz w:val="48"/>
          <w:szCs w:val="24"/>
        </w:rPr>
        <w:t xml:space="preserve"> NIGER</w:t>
      </w:r>
    </w:p>
    <w:p w14:paraId="187019A0" w14:textId="77777777" w:rsidR="00F951F9" w:rsidRPr="00F951F9" w:rsidRDefault="00F951F9" w:rsidP="00A22125">
      <w:pPr>
        <w:jc w:val="center"/>
        <w:rPr>
          <w:rFonts w:cstheme="minorHAnsi"/>
          <w:b/>
          <w:i/>
          <w:sz w:val="48"/>
          <w:szCs w:val="24"/>
        </w:rPr>
      </w:pPr>
    </w:p>
    <w:p w14:paraId="1F93C0CE" w14:textId="77777777" w:rsidR="00F951F9" w:rsidRDefault="00F951F9" w:rsidP="00A22125">
      <w:pPr>
        <w:jc w:val="center"/>
        <w:rPr>
          <w:rFonts w:cstheme="minorHAnsi"/>
          <w:b/>
          <w:i/>
          <w:sz w:val="48"/>
          <w:szCs w:val="24"/>
        </w:rPr>
      </w:pPr>
      <w:r w:rsidRPr="00F951F9">
        <w:rPr>
          <w:rFonts w:cstheme="minorHAnsi"/>
          <w:b/>
          <w:i/>
          <w:sz w:val="48"/>
          <w:szCs w:val="24"/>
        </w:rPr>
        <w:t>2021-2030</w:t>
      </w:r>
    </w:p>
    <w:p w14:paraId="025862BA" w14:textId="77777777" w:rsidR="00F951F9" w:rsidRPr="00F951F9" w:rsidRDefault="00F951F9" w:rsidP="00A22125">
      <w:pPr>
        <w:jc w:val="center"/>
        <w:rPr>
          <w:rFonts w:cstheme="minorHAnsi"/>
          <w:b/>
          <w:i/>
          <w:sz w:val="48"/>
          <w:szCs w:val="24"/>
        </w:rPr>
      </w:pPr>
    </w:p>
    <w:p w14:paraId="13D01C6A" w14:textId="77777777" w:rsidR="00B65E81" w:rsidRDefault="00B65E81" w:rsidP="00A22125">
      <w:pPr>
        <w:jc w:val="center"/>
        <w:rPr>
          <w:rFonts w:cstheme="minorHAnsi"/>
          <w:b/>
          <w:i/>
          <w:sz w:val="24"/>
          <w:szCs w:val="24"/>
          <w:u w:val="single"/>
        </w:rPr>
      </w:pPr>
      <w:r w:rsidRPr="00B65E81">
        <w:rPr>
          <w:rFonts w:cstheme="minorHAnsi"/>
          <w:b/>
          <w:i/>
          <w:sz w:val="24"/>
          <w:szCs w:val="24"/>
          <w:u w:val="single"/>
        </w:rPr>
        <w:t>PROJET DE DOCUMENT ET DE PLAN D’ACTION</w:t>
      </w:r>
      <w:r w:rsidR="00093848">
        <w:rPr>
          <w:rFonts w:cstheme="minorHAnsi"/>
          <w:b/>
          <w:i/>
          <w:sz w:val="24"/>
          <w:szCs w:val="24"/>
          <w:u w:val="single"/>
        </w:rPr>
        <w:t xml:space="preserve"> PLURIANNUEL</w:t>
      </w:r>
    </w:p>
    <w:p w14:paraId="31DED3BF" w14:textId="77777777" w:rsidR="003F2ADC" w:rsidRDefault="003F2ADC" w:rsidP="00A22125">
      <w:pPr>
        <w:jc w:val="center"/>
        <w:rPr>
          <w:rFonts w:cstheme="minorHAnsi"/>
          <w:b/>
          <w:i/>
          <w:sz w:val="24"/>
          <w:szCs w:val="24"/>
          <w:u w:val="single"/>
        </w:rPr>
      </w:pPr>
    </w:p>
    <w:p w14:paraId="4C6E0A92" w14:textId="77777777" w:rsidR="003F2ADC" w:rsidRPr="00B65E81" w:rsidRDefault="000B5EFA" w:rsidP="00A22125">
      <w:pPr>
        <w:jc w:val="center"/>
        <w:rPr>
          <w:rFonts w:cstheme="minorHAnsi"/>
          <w:b/>
          <w:i/>
          <w:sz w:val="24"/>
          <w:szCs w:val="24"/>
          <w:u w:val="single"/>
        </w:rPr>
      </w:pPr>
      <w:r>
        <w:rPr>
          <w:rFonts w:cstheme="minorHAnsi"/>
          <w:b/>
          <w:i/>
          <w:sz w:val="24"/>
          <w:szCs w:val="24"/>
          <w:u w:val="single"/>
        </w:rPr>
        <w:t>Octobre 2019</w:t>
      </w:r>
    </w:p>
    <w:p w14:paraId="3498681E" w14:textId="77777777" w:rsidR="00A22125" w:rsidRPr="00BF29A2" w:rsidRDefault="003F2ADC" w:rsidP="003F2ADC">
      <w:pPr>
        <w:jc w:val="right"/>
        <w:rPr>
          <w:rFonts w:cstheme="minorHAnsi"/>
          <w:b/>
          <w:i/>
          <w:sz w:val="24"/>
          <w:szCs w:val="24"/>
        </w:rPr>
      </w:pPr>
      <w:r>
        <w:rPr>
          <w:rFonts w:cstheme="minorHAnsi"/>
          <w:b/>
          <w:i/>
          <w:sz w:val="24"/>
          <w:szCs w:val="24"/>
        </w:rPr>
        <w:t xml:space="preserve">  </w:t>
      </w:r>
      <w:r w:rsidR="008D5D3A">
        <w:rPr>
          <w:rFonts w:cstheme="minorHAnsi"/>
          <w:b/>
          <w:i/>
          <w:sz w:val="24"/>
          <w:szCs w:val="24"/>
        </w:rPr>
        <w:t xml:space="preserve">                                                                          </w:t>
      </w:r>
      <w:r>
        <w:rPr>
          <w:rFonts w:cstheme="minorHAnsi"/>
          <w:b/>
          <w:i/>
          <w:sz w:val="24"/>
          <w:szCs w:val="24"/>
        </w:rPr>
        <w:t xml:space="preserve">                                                                                  </w:t>
      </w:r>
    </w:p>
    <w:p w14:paraId="55DF2203" w14:textId="77777777" w:rsidR="00BF29A2" w:rsidRDefault="00BF29A2">
      <w:pPr>
        <w:rPr>
          <w:rFonts w:cstheme="minorHAnsi"/>
          <w:b/>
          <w:i/>
          <w:sz w:val="24"/>
          <w:szCs w:val="24"/>
        </w:rPr>
      </w:pPr>
      <w:r>
        <w:rPr>
          <w:rFonts w:cstheme="minorHAnsi"/>
          <w:b/>
          <w:i/>
          <w:sz w:val="24"/>
          <w:szCs w:val="24"/>
        </w:rPr>
        <w:br w:type="page"/>
      </w:r>
    </w:p>
    <w:sdt>
      <w:sdtPr>
        <w:rPr>
          <w:rFonts w:asciiTheme="minorHAnsi" w:eastAsiaTheme="minorHAnsi" w:hAnsiTheme="minorHAnsi" w:cstheme="minorBidi"/>
          <w:b w:val="0"/>
          <w:bCs w:val="0"/>
          <w:color w:val="auto"/>
          <w:sz w:val="22"/>
          <w:szCs w:val="22"/>
          <w:lang w:eastAsia="en-US"/>
        </w:rPr>
        <w:id w:val="1450356282"/>
        <w:docPartObj>
          <w:docPartGallery w:val="Table of Contents"/>
          <w:docPartUnique/>
        </w:docPartObj>
      </w:sdtPr>
      <w:sdtEndPr/>
      <w:sdtContent>
        <w:p w14:paraId="6C28A222" w14:textId="77777777" w:rsidR="00BF29A2" w:rsidRDefault="000B5EFA">
          <w:pPr>
            <w:pStyle w:val="En-ttedetabledesmatires"/>
          </w:pPr>
          <w:r>
            <w:t>Table des matières</w:t>
          </w:r>
        </w:p>
        <w:p w14:paraId="6DE0D268" w14:textId="77777777" w:rsidR="004C0DCB" w:rsidRDefault="00BF29A2">
          <w:pPr>
            <w:pStyle w:val="TM1"/>
            <w:tabs>
              <w:tab w:val="right" w:leader="dot" w:pos="9060"/>
            </w:tabs>
            <w:rPr>
              <w:rFonts w:eastAsiaTheme="minorEastAsia"/>
              <w:noProof/>
              <w:lang w:eastAsia="fr-FR"/>
            </w:rPr>
          </w:pPr>
          <w:r>
            <w:fldChar w:fldCharType="begin"/>
          </w:r>
          <w:r>
            <w:instrText xml:space="preserve"> TOC \o "1-3" \h \z \u </w:instrText>
          </w:r>
          <w:r>
            <w:fldChar w:fldCharType="separate"/>
          </w:r>
          <w:hyperlink w:anchor="_Toc21449003" w:history="1">
            <w:r w:rsidR="004C0DCB" w:rsidRPr="004E0A16">
              <w:rPr>
                <w:rStyle w:val="Lienhypertexte"/>
                <w:noProof/>
              </w:rPr>
              <w:t>Abréviations</w:t>
            </w:r>
            <w:r w:rsidR="004C0DCB">
              <w:rPr>
                <w:noProof/>
                <w:webHidden/>
              </w:rPr>
              <w:tab/>
            </w:r>
            <w:r w:rsidR="004C0DCB">
              <w:rPr>
                <w:noProof/>
                <w:webHidden/>
              </w:rPr>
              <w:fldChar w:fldCharType="begin"/>
            </w:r>
            <w:r w:rsidR="004C0DCB">
              <w:rPr>
                <w:noProof/>
                <w:webHidden/>
              </w:rPr>
              <w:instrText xml:space="preserve"> PAGEREF _Toc21449003 \h </w:instrText>
            </w:r>
            <w:r w:rsidR="004C0DCB">
              <w:rPr>
                <w:noProof/>
                <w:webHidden/>
              </w:rPr>
            </w:r>
            <w:r w:rsidR="004C0DCB">
              <w:rPr>
                <w:noProof/>
                <w:webHidden/>
              </w:rPr>
              <w:fldChar w:fldCharType="separate"/>
            </w:r>
            <w:r w:rsidR="004C0DCB">
              <w:rPr>
                <w:noProof/>
                <w:webHidden/>
              </w:rPr>
              <w:t>4</w:t>
            </w:r>
            <w:r w:rsidR="004C0DCB">
              <w:rPr>
                <w:noProof/>
                <w:webHidden/>
              </w:rPr>
              <w:fldChar w:fldCharType="end"/>
            </w:r>
          </w:hyperlink>
        </w:p>
        <w:p w14:paraId="64F4DAE3" w14:textId="77777777" w:rsidR="004C0DCB" w:rsidRDefault="00D175FB">
          <w:pPr>
            <w:pStyle w:val="TM1"/>
            <w:tabs>
              <w:tab w:val="right" w:leader="dot" w:pos="9060"/>
            </w:tabs>
            <w:rPr>
              <w:rFonts w:eastAsiaTheme="minorEastAsia"/>
              <w:noProof/>
              <w:lang w:eastAsia="fr-FR"/>
            </w:rPr>
          </w:pPr>
          <w:hyperlink w:anchor="_Toc21449004" w:history="1">
            <w:r w:rsidR="004C0DCB" w:rsidRPr="004E0A16">
              <w:rPr>
                <w:rStyle w:val="Lienhypertexte"/>
                <w:noProof/>
              </w:rPr>
              <w:t>Résumé</w:t>
            </w:r>
            <w:r w:rsidR="004C0DCB">
              <w:rPr>
                <w:noProof/>
                <w:webHidden/>
              </w:rPr>
              <w:tab/>
            </w:r>
            <w:r w:rsidR="004C0DCB">
              <w:rPr>
                <w:noProof/>
                <w:webHidden/>
              </w:rPr>
              <w:fldChar w:fldCharType="begin"/>
            </w:r>
            <w:r w:rsidR="004C0DCB">
              <w:rPr>
                <w:noProof/>
                <w:webHidden/>
              </w:rPr>
              <w:instrText xml:space="preserve"> PAGEREF _Toc21449004 \h </w:instrText>
            </w:r>
            <w:r w:rsidR="004C0DCB">
              <w:rPr>
                <w:noProof/>
                <w:webHidden/>
              </w:rPr>
            </w:r>
            <w:r w:rsidR="004C0DCB">
              <w:rPr>
                <w:noProof/>
                <w:webHidden/>
              </w:rPr>
              <w:fldChar w:fldCharType="separate"/>
            </w:r>
            <w:r w:rsidR="004C0DCB">
              <w:rPr>
                <w:noProof/>
                <w:webHidden/>
              </w:rPr>
              <w:t>6</w:t>
            </w:r>
            <w:r w:rsidR="004C0DCB">
              <w:rPr>
                <w:noProof/>
                <w:webHidden/>
              </w:rPr>
              <w:fldChar w:fldCharType="end"/>
            </w:r>
          </w:hyperlink>
        </w:p>
        <w:p w14:paraId="207E2117" w14:textId="77777777" w:rsidR="004C0DCB" w:rsidRDefault="00D175FB">
          <w:pPr>
            <w:pStyle w:val="TM1"/>
            <w:tabs>
              <w:tab w:val="right" w:leader="dot" w:pos="9060"/>
            </w:tabs>
            <w:rPr>
              <w:rFonts w:eastAsiaTheme="minorEastAsia"/>
              <w:noProof/>
              <w:lang w:eastAsia="fr-FR"/>
            </w:rPr>
          </w:pPr>
          <w:hyperlink w:anchor="_Toc21449005" w:history="1">
            <w:r w:rsidR="004C0DCB" w:rsidRPr="004E0A16">
              <w:rPr>
                <w:rStyle w:val="Lienhypertexte"/>
                <w:noProof/>
              </w:rPr>
              <w:t>Contexte</w:t>
            </w:r>
            <w:r w:rsidR="004C0DCB">
              <w:rPr>
                <w:noProof/>
                <w:webHidden/>
              </w:rPr>
              <w:tab/>
            </w:r>
            <w:r w:rsidR="004C0DCB">
              <w:rPr>
                <w:noProof/>
                <w:webHidden/>
              </w:rPr>
              <w:fldChar w:fldCharType="begin"/>
            </w:r>
            <w:r w:rsidR="004C0DCB">
              <w:rPr>
                <w:noProof/>
                <w:webHidden/>
              </w:rPr>
              <w:instrText xml:space="preserve"> PAGEREF _Toc21449005 \h </w:instrText>
            </w:r>
            <w:r w:rsidR="004C0DCB">
              <w:rPr>
                <w:noProof/>
                <w:webHidden/>
              </w:rPr>
            </w:r>
            <w:r w:rsidR="004C0DCB">
              <w:rPr>
                <w:noProof/>
                <w:webHidden/>
              </w:rPr>
              <w:fldChar w:fldCharType="separate"/>
            </w:r>
            <w:r w:rsidR="004C0DCB">
              <w:rPr>
                <w:noProof/>
                <w:webHidden/>
              </w:rPr>
              <w:t>7</w:t>
            </w:r>
            <w:r w:rsidR="004C0DCB">
              <w:rPr>
                <w:noProof/>
                <w:webHidden/>
              </w:rPr>
              <w:fldChar w:fldCharType="end"/>
            </w:r>
          </w:hyperlink>
        </w:p>
        <w:p w14:paraId="21C8350A" w14:textId="77777777" w:rsidR="004C0DCB" w:rsidRDefault="00D175FB">
          <w:pPr>
            <w:pStyle w:val="TM1"/>
            <w:tabs>
              <w:tab w:val="right" w:leader="dot" w:pos="9060"/>
            </w:tabs>
            <w:rPr>
              <w:rFonts w:eastAsiaTheme="minorEastAsia"/>
              <w:noProof/>
              <w:lang w:eastAsia="fr-FR"/>
            </w:rPr>
          </w:pPr>
          <w:hyperlink w:anchor="_Toc21449006" w:history="1">
            <w:r w:rsidR="004C0DCB" w:rsidRPr="004E0A16">
              <w:rPr>
                <w:rStyle w:val="Lienhypertexte"/>
                <w:noProof/>
              </w:rPr>
              <w:t>Justification</w:t>
            </w:r>
            <w:r w:rsidR="004C0DCB">
              <w:rPr>
                <w:noProof/>
                <w:webHidden/>
              </w:rPr>
              <w:tab/>
            </w:r>
            <w:r w:rsidR="004C0DCB">
              <w:rPr>
                <w:noProof/>
                <w:webHidden/>
              </w:rPr>
              <w:fldChar w:fldCharType="begin"/>
            </w:r>
            <w:r w:rsidR="004C0DCB">
              <w:rPr>
                <w:noProof/>
                <w:webHidden/>
              </w:rPr>
              <w:instrText xml:space="preserve"> PAGEREF _Toc21449006 \h </w:instrText>
            </w:r>
            <w:r w:rsidR="004C0DCB">
              <w:rPr>
                <w:noProof/>
                <w:webHidden/>
              </w:rPr>
            </w:r>
            <w:r w:rsidR="004C0DCB">
              <w:rPr>
                <w:noProof/>
                <w:webHidden/>
              </w:rPr>
              <w:fldChar w:fldCharType="separate"/>
            </w:r>
            <w:r w:rsidR="004C0DCB">
              <w:rPr>
                <w:noProof/>
                <w:webHidden/>
              </w:rPr>
              <w:t>9</w:t>
            </w:r>
            <w:r w:rsidR="004C0DCB">
              <w:rPr>
                <w:noProof/>
                <w:webHidden/>
              </w:rPr>
              <w:fldChar w:fldCharType="end"/>
            </w:r>
          </w:hyperlink>
        </w:p>
        <w:p w14:paraId="18A797A1" w14:textId="77777777" w:rsidR="004C0DCB" w:rsidRDefault="00D175FB">
          <w:pPr>
            <w:pStyle w:val="TM1"/>
            <w:tabs>
              <w:tab w:val="right" w:leader="dot" w:pos="9060"/>
            </w:tabs>
            <w:rPr>
              <w:rFonts w:eastAsiaTheme="minorEastAsia"/>
              <w:noProof/>
              <w:lang w:eastAsia="fr-FR"/>
            </w:rPr>
          </w:pPr>
          <w:hyperlink w:anchor="_Toc21449007" w:history="1">
            <w:r w:rsidR="004C0DCB" w:rsidRPr="004E0A16">
              <w:rPr>
                <w:rStyle w:val="Lienhypertexte"/>
                <w:noProof/>
              </w:rPr>
              <w:t>Le diagnostic de la CSU</w:t>
            </w:r>
            <w:r w:rsidR="004C0DCB">
              <w:rPr>
                <w:noProof/>
                <w:webHidden/>
              </w:rPr>
              <w:tab/>
            </w:r>
            <w:r w:rsidR="004C0DCB">
              <w:rPr>
                <w:noProof/>
                <w:webHidden/>
              </w:rPr>
              <w:fldChar w:fldCharType="begin"/>
            </w:r>
            <w:r w:rsidR="004C0DCB">
              <w:rPr>
                <w:noProof/>
                <w:webHidden/>
              </w:rPr>
              <w:instrText xml:space="preserve"> PAGEREF _Toc21449007 \h </w:instrText>
            </w:r>
            <w:r w:rsidR="004C0DCB">
              <w:rPr>
                <w:noProof/>
                <w:webHidden/>
              </w:rPr>
            </w:r>
            <w:r w:rsidR="004C0DCB">
              <w:rPr>
                <w:noProof/>
                <w:webHidden/>
              </w:rPr>
              <w:fldChar w:fldCharType="separate"/>
            </w:r>
            <w:r w:rsidR="004C0DCB">
              <w:rPr>
                <w:noProof/>
                <w:webHidden/>
              </w:rPr>
              <w:t>10</w:t>
            </w:r>
            <w:r w:rsidR="004C0DCB">
              <w:rPr>
                <w:noProof/>
                <w:webHidden/>
              </w:rPr>
              <w:fldChar w:fldCharType="end"/>
            </w:r>
          </w:hyperlink>
        </w:p>
        <w:p w14:paraId="7070AA8A" w14:textId="77777777" w:rsidR="004C0DCB" w:rsidRDefault="00D175FB">
          <w:pPr>
            <w:pStyle w:val="TM2"/>
            <w:tabs>
              <w:tab w:val="right" w:leader="dot" w:pos="9060"/>
            </w:tabs>
            <w:rPr>
              <w:rFonts w:eastAsiaTheme="minorEastAsia"/>
              <w:noProof/>
              <w:lang w:eastAsia="fr-FR"/>
            </w:rPr>
          </w:pPr>
          <w:hyperlink w:anchor="_Toc21449008" w:history="1">
            <w:r w:rsidR="004C0DCB" w:rsidRPr="004E0A16">
              <w:rPr>
                <w:rStyle w:val="Lienhypertexte"/>
                <w:noProof/>
              </w:rPr>
              <w:t>Etat de santé de la population</w:t>
            </w:r>
            <w:r w:rsidR="004C0DCB">
              <w:rPr>
                <w:noProof/>
                <w:webHidden/>
              </w:rPr>
              <w:tab/>
            </w:r>
            <w:r w:rsidR="004C0DCB">
              <w:rPr>
                <w:noProof/>
                <w:webHidden/>
              </w:rPr>
              <w:fldChar w:fldCharType="begin"/>
            </w:r>
            <w:r w:rsidR="004C0DCB">
              <w:rPr>
                <w:noProof/>
                <w:webHidden/>
              </w:rPr>
              <w:instrText xml:space="preserve"> PAGEREF _Toc21449008 \h </w:instrText>
            </w:r>
            <w:r w:rsidR="004C0DCB">
              <w:rPr>
                <w:noProof/>
                <w:webHidden/>
              </w:rPr>
            </w:r>
            <w:r w:rsidR="004C0DCB">
              <w:rPr>
                <w:noProof/>
                <w:webHidden/>
              </w:rPr>
              <w:fldChar w:fldCharType="separate"/>
            </w:r>
            <w:r w:rsidR="004C0DCB">
              <w:rPr>
                <w:noProof/>
                <w:webHidden/>
              </w:rPr>
              <w:t>10</w:t>
            </w:r>
            <w:r w:rsidR="004C0DCB">
              <w:rPr>
                <w:noProof/>
                <w:webHidden/>
              </w:rPr>
              <w:fldChar w:fldCharType="end"/>
            </w:r>
          </w:hyperlink>
        </w:p>
        <w:p w14:paraId="2D4B7309" w14:textId="77777777" w:rsidR="004C0DCB" w:rsidRDefault="00D175FB">
          <w:pPr>
            <w:pStyle w:val="TM2"/>
            <w:tabs>
              <w:tab w:val="right" w:leader="dot" w:pos="9060"/>
            </w:tabs>
            <w:rPr>
              <w:rFonts w:eastAsiaTheme="minorEastAsia"/>
              <w:noProof/>
              <w:lang w:eastAsia="fr-FR"/>
            </w:rPr>
          </w:pPr>
          <w:hyperlink w:anchor="_Toc21449009" w:history="1">
            <w:r w:rsidR="004C0DCB" w:rsidRPr="004E0A16">
              <w:rPr>
                <w:rStyle w:val="Lienhypertexte"/>
                <w:noProof/>
              </w:rPr>
              <w:t>Diagnostic du système de santé</w:t>
            </w:r>
            <w:r w:rsidR="004C0DCB">
              <w:rPr>
                <w:noProof/>
                <w:webHidden/>
              </w:rPr>
              <w:tab/>
            </w:r>
            <w:r w:rsidR="004C0DCB">
              <w:rPr>
                <w:noProof/>
                <w:webHidden/>
              </w:rPr>
              <w:fldChar w:fldCharType="begin"/>
            </w:r>
            <w:r w:rsidR="004C0DCB">
              <w:rPr>
                <w:noProof/>
                <w:webHidden/>
              </w:rPr>
              <w:instrText xml:space="preserve"> PAGEREF _Toc21449009 \h </w:instrText>
            </w:r>
            <w:r w:rsidR="004C0DCB">
              <w:rPr>
                <w:noProof/>
                <w:webHidden/>
              </w:rPr>
            </w:r>
            <w:r w:rsidR="004C0DCB">
              <w:rPr>
                <w:noProof/>
                <w:webHidden/>
              </w:rPr>
              <w:fldChar w:fldCharType="separate"/>
            </w:r>
            <w:r w:rsidR="004C0DCB">
              <w:rPr>
                <w:noProof/>
                <w:webHidden/>
              </w:rPr>
              <w:t>14</w:t>
            </w:r>
            <w:r w:rsidR="004C0DCB">
              <w:rPr>
                <w:noProof/>
                <w:webHidden/>
              </w:rPr>
              <w:fldChar w:fldCharType="end"/>
            </w:r>
          </w:hyperlink>
        </w:p>
        <w:p w14:paraId="4288E055" w14:textId="77777777" w:rsidR="004C0DCB" w:rsidRDefault="00D175FB">
          <w:pPr>
            <w:pStyle w:val="TM2"/>
            <w:tabs>
              <w:tab w:val="right" w:leader="dot" w:pos="9060"/>
            </w:tabs>
            <w:rPr>
              <w:rFonts w:eastAsiaTheme="minorEastAsia"/>
              <w:noProof/>
              <w:lang w:eastAsia="fr-FR"/>
            </w:rPr>
          </w:pPr>
          <w:hyperlink w:anchor="_Toc21449010" w:history="1">
            <w:r w:rsidR="004C0DCB" w:rsidRPr="004E0A16">
              <w:rPr>
                <w:rStyle w:val="Lienhypertexte"/>
                <w:noProof/>
              </w:rPr>
              <w:t>Diagnostic du système de financement de la santé</w:t>
            </w:r>
            <w:r w:rsidR="004C0DCB">
              <w:rPr>
                <w:noProof/>
                <w:webHidden/>
              </w:rPr>
              <w:tab/>
            </w:r>
            <w:r w:rsidR="004C0DCB">
              <w:rPr>
                <w:noProof/>
                <w:webHidden/>
              </w:rPr>
              <w:fldChar w:fldCharType="begin"/>
            </w:r>
            <w:r w:rsidR="004C0DCB">
              <w:rPr>
                <w:noProof/>
                <w:webHidden/>
              </w:rPr>
              <w:instrText xml:space="preserve"> PAGEREF _Toc21449010 \h </w:instrText>
            </w:r>
            <w:r w:rsidR="004C0DCB">
              <w:rPr>
                <w:noProof/>
                <w:webHidden/>
              </w:rPr>
            </w:r>
            <w:r w:rsidR="004C0DCB">
              <w:rPr>
                <w:noProof/>
                <w:webHidden/>
              </w:rPr>
              <w:fldChar w:fldCharType="separate"/>
            </w:r>
            <w:r w:rsidR="004C0DCB">
              <w:rPr>
                <w:noProof/>
                <w:webHidden/>
              </w:rPr>
              <w:t>16</w:t>
            </w:r>
            <w:r w:rsidR="004C0DCB">
              <w:rPr>
                <w:noProof/>
                <w:webHidden/>
              </w:rPr>
              <w:fldChar w:fldCharType="end"/>
            </w:r>
          </w:hyperlink>
        </w:p>
        <w:p w14:paraId="18130256" w14:textId="77777777" w:rsidR="004C0DCB" w:rsidRDefault="00D175FB">
          <w:pPr>
            <w:pStyle w:val="TM1"/>
            <w:tabs>
              <w:tab w:val="right" w:leader="dot" w:pos="9060"/>
            </w:tabs>
            <w:rPr>
              <w:rFonts w:eastAsiaTheme="minorEastAsia"/>
              <w:noProof/>
              <w:lang w:eastAsia="fr-FR"/>
            </w:rPr>
          </w:pPr>
          <w:hyperlink w:anchor="_Toc21449011" w:history="1">
            <w:r w:rsidR="004C0DCB" w:rsidRPr="004E0A16">
              <w:rPr>
                <w:rStyle w:val="Lienhypertexte"/>
                <w:noProof/>
              </w:rPr>
              <w:t>Vision, objectif général et résultats attendus</w:t>
            </w:r>
            <w:r w:rsidR="004C0DCB">
              <w:rPr>
                <w:noProof/>
                <w:webHidden/>
              </w:rPr>
              <w:tab/>
            </w:r>
            <w:r w:rsidR="004C0DCB">
              <w:rPr>
                <w:noProof/>
                <w:webHidden/>
              </w:rPr>
              <w:fldChar w:fldCharType="begin"/>
            </w:r>
            <w:r w:rsidR="004C0DCB">
              <w:rPr>
                <w:noProof/>
                <w:webHidden/>
              </w:rPr>
              <w:instrText xml:space="preserve"> PAGEREF _Toc21449011 \h </w:instrText>
            </w:r>
            <w:r w:rsidR="004C0DCB">
              <w:rPr>
                <w:noProof/>
                <w:webHidden/>
              </w:rPr>
            </w:r>
            <w:r w:rsidR="004C0DCB">
              <w:rPr>
                <w:noProof/>
                <w:webHidden/>
              </w:rPr>
              <w:fldChar w:fldCharType="separate"/>
            </w:r>
            <w:r w:rsidR="004C0DCB">
              <w:rPr>
                <w:noProof/>
                <w:webHidden/>
              </w:rPr>
              <w:t>19</w:t>
            </w:r>
            <w:r w:rsidR="004C0DCB">
              <w:rPr>
                <w:noProof/>
                <w:webHidden/>
              </w:rPr>
              <w:fldChar w:fldCharType="end"/>
            </w:r>
          </w:hyperlink>
        </w:p>
        <w:p w14:paraId="2C4D4E79" w14:textId="77777777" w:rsidR="004C0DCB" w:rsidRDefault="00D175FB">
          <w:pPr>
            <w:pStyle w:val="TM2"/>
            <w:tabs>
              <w:tab w:val="right" w:leader="dot" w:pos="9060"/>
            </w:tabs>
            <w:rPr>
              <w:rFonts w:eastAsiaTheme="minorEastAsia"/>
              <w:noProof/>
              <w:lang w:eastAsia="fr-FR"/>
            </w:rPr>
          </w:pPr>
          <w:hyperlink w:anchor="_Toc21449012" w:history="1">
            <w:r w:rsidR="004C0DCB" w:rsidRPr="004E0A16">
              <w:rPr>
                <w:rStyle w:val="Lienhypertexte"/>
                <w:noProof/>
              </w:rPr>
              <w:t>Vision</w:t>
            </w:r>
            <w:r w:rsidR="004C0DCB">
              <w:rPr>
                <w:noProof/>
                <w:webHidden/>
              </w:rPr>
              <w:tab/>
            </w:r>
            <w:r w:rsidR="004C0DCB">
              <w:rPr>
                <w:noProof/>
                <w:webHidden/>
              </w:rPr>
              <w:fldChar w:fldCharType="begin"/>
            </w:r>
            <w:r w:rsidR="004C0DCB">
              <w:rPr>
                <w:noProof/>
                <w:webHidden/>
              </w:rPr>
              <w:instrText xml:space="preserve"> PAGEREF _Toc21449012 \h </w:instrText>
            </w:r>
            <w:r w:rsidR="004C0DCB">
              <w:rPr>
                <w:noProof/>
                <w:webHidden/>
              </w:rPr>
            </w:r>
            <w:r w:rsidR="004C0DCB">
              <w:rPr>
                <w:noProof/>
                <w:webHidden/>
              </w:rPr>
              <w:fldChar w:fldCharType="separate"/>
            </w:r>
            <w:r w:rsidR="004C0DCB">
              <w:rPr>
                <w:noProof/>
                <w:webHidden/>
              </w:rPr>
              <w:t>19</w:t>
            </w:r>
            <w:r w:rsidR="004C0DCB">
              <w:rPr>
                <w:noProof/>
                <w:webHidden/>
              </w:rPr>
              <w:fldChar w:fldCharType="end"/>
            </w:r>
          </w:hyperlink>
        </w:p>
        <w:p w14:paraId="2CC83866" w14:textId="77777777" w:rsidR="004C0DCB" w:rsidRDefault="00D175FB">
          <w:pPr>
            <w:pStyle w:val="TM2"/>
            <w:tabs>
              <w:tab w:val="right" w:leader="dot" w:pos="9060"/>
            </w:tabs>
            <w:rPr>
              <w:rFonts w:eastAsiaTheme="minorEastAsia"/>
              <w:noProof/>
              <w:lang w:eastAsia="fr-FR"/>
            </w:rPr>
          </w:pPr>
          <w:hyperlink w:anchor="_Toc21449013" w:history="1">
            <w:r w:rsidR="004C0DCB" w:rsidRPr="004E0A16">
              <w:rPr>
                <w:rStyle w:val="Lienhypertexte"/>
                <w:noProof/>
              </w:rPr>
              <w:t>Objectif général</w:t>
            </w:r>
            <w:r w:rsidR="004C0DCB">
              <w:rPr>
                <w:noProof/>
                <w:webHidden/>
              </w:rPr>
              <w:tab/>
            </w:r>
            <w:r w:rsidR="004C0DCB">
              <w:rPr>
                <w:noProof/>
                <w:webHidden/>
              </w:rPr>
              <w:fldChar w:fldCharType="begin"/>
            </w:r>
            <w:r w:rsidR="004C0DCB">
              <w:rPr>
                <w:noProof/>
                <w:webHidden/>
              </w:rPr>
              <w:instrText xml:space="preserve"> PAGEREF _Toc21449013 \h </w:instrText>
            </w:r>
            <w:r w:rsidR="004C0DCB">
              <w:rPr>
                <w:noProof/>
                <w:webHidden/>
              </w:rPr>
            </w:r>
            <w:r w:rsidR="004C0DCB">
              <w:rPr>
                <w:noProof/>
                <w:webHidden/>
              </w:rPr>
              <w:fldChar w:fldCharType="separate"/>
            </w:r>
            <w:r w:rsidR="004C0DCB">
              <w:rPr>
                <w:noProof/>
                <w:webHidden/>
              </w:rPr>
              <w:t>19</w:t>
            </w:r>
            <w:r w:rsidR="004C0DCB">
              <w:rPr>
                <w:noProof/>
                <w:webHidden/>
              </w:rPr>
              <w:fldChar w:fldCharType="end"/>
            </w:r>
          </w:hyperlink>
        </w:p>
        <w:p w14:paraId="18285CA0" w14:textId="77777777" w:rsidR="004C0DCB" w:rsidRDefault="00D175FB">
          <w:pPr>
            <w:pStyle w:val="TM2"/>
            <w:tabs>
              <w:tab w:val="right" w:leader="dot" w:pos="9060"/>
            </w:tabs>
            <w:rPr>
              <w:rFonts w:eastAsiaTheme="minorEastAsia"/>
              <w:noProof/>
              <w:lang w:eastAsia="fr-FR"/>
            </w:rPr>
          </w:pPr>
          <w:hyperlink w:anchor="_Toc21449014" w:history="1">
            <w:r w:rsidR="004C0DCB" w:rsidRPr="004E0A16">
              <w:rPr>
                <w:rStyle w:val="Lienhypertexte"/>
                <w:noProof/>
              </w:rPr>
              <w:t>Résultats attendus</w:t>
            </w:r>
            <w:r w:rsidR="004C0DCB">
              <w:rPr>
                <w:noProof/>
                <w:webHidden/>
              </w:rPr>
              <w:tab/>
            </w:r>
            <w:r w:rsidR="004C0DCB">
              <w:rPr>
                <w:noProof/>
                <w:webHidden/>
              </w:rPr>
              <w:fldChar w:fldCharType="begin"/>
            </w:r>
            <w:r w:rsidR="004C0DCB">
              <w:rPr>
                <w:noProof/>
                <w:webHidden/>
              </w:rPr>
              <w:instrText xml:space="preserve"> PAGEREF _Toc21449014 \h </w:instrText>
            </w:r>
            <w:r w:rsidR="004C0DCB">
              <w:rPr>
                <w:noProof/>
                <w:webHidden/>
              </w:rPr>
            </w:r>
            <w:r w:rsidR="004C0DCB">
              <w:rPr>
                <w:noProof/>
                <w:webHidden/>
              </w:rPr>
              <w:fldChar w:fldCharType="separate"/>
            </w:r>
            <w:r w:rsidR="004C0DCB">
              <w:rPr>
                <w:noProof/>
                <w:webHidden/>
              </w:rPr>
              <w:t>19</w:t>
            </w:r>
            <w:r w:rsidR="004C0DCB">
              <w:rPr>
                <w:noProof/>
                <w:webHidden/>
              </w:rPr>
              <w:fldChar w:fldCharType="end"/>
            </w:r>
          </w:hyperlink>
        </w:p>
        <w:p w14:paraId="5F76291C" w14:textId="77777777" w:rsidR="004C0DCB" w:rsidRDefault="00D175FB">
          <w:pPr>
            <w:pStyle w:val="TM1"/>
            <w:tabs>
              <w:tab w:val="right" w:leader="dot" w:pos="9060"/>
            </w:tabs>
            <w:rPr>
              <w:rFonts w:eastAsiaTheme="minorEastAsia"/>
              <w:noProof/>
              <w:lang w:eastAsia="fr-FR"/>
            </w:rPr>
          </w:pPr>
          <w:hyperlink w:anchor="_Toc21449015" w:history="1">
            <w:r w:rsidR="004C0DCB" w:rsidRPr="004E0A16">
              <w:rPr>
                <w:rStyle w:val="Lienhypertexte"/>
                <w:noProof/>
              </w:rPr>
              <w:t>Les orientations stratégiques :</w:t>
            </w:r>
            <w:r w:rsidR="004C0DCB">
              <w:rPr>
                <w:noProof/>
                <w:webHidden/>
              </w:rPr>
              <w:tab/>
            </w:r>
            <w:r w:rsidR="004C0DCB">
              <w:rPr>
                <w:noProof/>
                <w:webHidden/>
              </w:rPr>
              <w:fldChar w:fldCharType="begin"/>
            </w:r>
            <w:r w:rsidR="004C0DCB">
              <w:rPr>
                <w:noProof/>
                <w:webHidden/>
              </w:rPr>
              <w:instrText xml:space="preserve"> PAGEREF _Toc21449015 \h </w:instrText>
            </w:r>
            <w:r w:rsidR="004C0DCB">
              <w:rPr>
                <w:noProof/>
                <w:webHidden/>
              </w:rPr>
            </w:r>
            <w:r w:rsidR="004C0DCB">
              <w:rPr>
                <w:noProof/>
                <w:webHidden/>
              </w:rPr>
              <w:fldChar w:fldCharType="separate"/>
            </w:r>
            <w:r w:rsidR="004C0DCB">
              <w:rPr>
                <w:noProof/>
                <w:webHidden/>
              </w:rPr>
              <w:t>20</w:t>
            </w:r>
            <w:r w:rsidR="004C0DCB">
              <w:rPr>
                <w:noProof/>
                <w:webHidden/>
              </w:rPr>
              <w:fldChar w:fldCharType="end"/>
            </w:r>
          </w:hyperlink>
        </w:p>
        <w:p w14:paraId="5313FFD9" w14:textId="77777777" w:rsidR="004C0DCB" w:rsidRDefault="00D175FB">
          <w:pPr>
            <w:pStyle w:val="TM2"/>
            <w:tabs>
              <w:tab w:val="right" w:leader="dot" w:pos="9060"/>
            </w:tabs>
            <w:rPr>
              <w:rFonts w:eastAsiaTheme="minorEastAsia"/>
              <w:noProof/>
              <w:lang w:eastAsia="fr-FR"/>
            </w:rPr>
          </w:pPr>
          <w:hyperlink w:anchor="_Toc21449016" w:history="1">
            <w:r w:rsidR="004C0DCB" w:rsidRPr="004E0A16">
              <w:rPr>
                <w:rStyle w:val="Lienhypertexte"/>
                <w:noProof/>
              </w:rPr>
              <w:t>OS n°1 : Amélioration des déterminants de la santé</w:t>
            </w:r>
            <w:r w:rsidR="004C0DCB">
              <w:rPr>
                <w:noProof/>
                <w:webHidden/>
              </w:rPr>
              <w:tab/>
            </w:r>
            <w:r w:rsidR="004C0DCB">
              <w:rPr>
                <w:noProof/>
                <w:webHidden/>
              </w:rPr>
              <w:fldChar w:fldCharType="begin"/>
            </w:r>
            <w:r w:rsidR="004C0DCB">
              <w:rPr>
                <w:noProof/>
                <w:webHidden/>
              </w:rPr>
              <w:instrText xml:space="preserve"> PAGEREF _Toc21449016 \h </w:instrText>
            </w:r>
            <w:r w:rsidR="004C0DCB">
              <w:rPr>
                <w:noProof/>
                <w:webHidden/>
              </w:rPr>
            </w:r>
            <w:r w:rsidR="004C0DCB">
              <w:rPr>
                <w:noProof/>
                <w:webHidden/>
              </w:rPr>
              <w:fldChar w:fldCharType="separate"/>
            </w:r>
            <w:r w:rsidR="004C0DCB">
              <w:rPr>
                <w:noProof/>
                <w:webHidden/>
              </w:rPr>
              <w:t>20</w:t>
            </w:r>
            <w:r w:rsidR="004C0DCB">
              <w:rPr>
                <w:noProof/>
                <w:webHidden/>
              </w:rPr>
              <w:fldChar w:fldCharType="end"/>
            </w:r>
          </w:hyperlink>
        </w:p>
        <w:p w14:paraId="414AF828" w14:textId="77777777" w:rsidR="004C0DCB" w:rsidRDefault="00D175FB">
          <w:pPr>
            <w:pStyle w:val="TM2"/>
            <w:tabs>
              <w:tab w:val="right" w:leader="dot" w:pos="9060"/>
            </w:tabs>
            <w:rPr>
              <w:rFonts w:eastAsiaTheme="minorEastAsia"/>
              <w:noProof/>
              <w:lang w:eastAsia="fr-FR"/>
            </w:rPr>
          </w:pPr>
          <w:hyperlink w:anchor="_Toc21449017" w:history="1">
            <w:r w:rsidR="004C0DCB" w:rsidRPr="004E0A16">
              <w:rPr>
                <w:rStyle w:val="Lienhypertexte"/>
                <w:noProof/>
              </w:rPr>
              <w:t>Axe stratégique n°1 : amélioration de l’état nutritionnel de la population</w:t>
            </w:r>
            <w:r w:rsidR="004C0DCB">
              <w:rPr>
                <w:noProof/>
                <w:webHidden/>
              </w:rPr>
              <w:tab/>
            </w:r>
            <w:r w:rsidR="004C0DCB">
              <w:rPr>
                <w:noProof/>
                <w:webHidden/>
              </w:rPr>
              <w:fldChar w:fldCharType="begin"/>
            </w:r>
            <w:r w:rsidR="004C0DCB">
              <w:rPr>
                <w:noProof/>
                <w:webHidden/>
              </w:rPr>
              <w:instrText xml:space="preserve"> PAGEREF _Toc21449017 \h </w:instrText>
            </w:r>
            <w:r w:rsidR="004C0DCB">
              <w:rPr>
                <w:noProof/>
                <w:webHidden/>
              </w:rPr>
            </w:r>
            <w:r w:rsidR="004C0DCB">
              <w:rPr>
                <w:noProof/>
                <w:webHidden/>
              </w:rPr>
              <w:fldChar w:fldCharType="separate"/>
            </w:r>
            <w:r w:rsidR="004C0DCB">
              <w:rPr>
                <w:noProof/>
                <w:webHidden/>
              </w:rPr>
              <w:t>21</w:t>
            </w:r>
            <w:r w:rsidR="004C0DCB">
              <w:rPr>
                <w:noProof/>
                <w:webHidden/>
              </w:rPr>
              <w:fldChar w:fldCharType="end"/>
            </w:r>
          </w:hyperlink>
        </w:p>
        <w:p w14:paraId="741EE594" w14:textId="77777777" w:rsidR="004C0DCB" w:rsidRDefault="00D175FB">
          <w:pPr>
            <w:pStyle w:val="TM2"/>
            <w:tabs>
              <w:tab w:val="right" w:leader="dot" w:pos="9060"/>
            </w:tabs>
            <w:rPr>
              <w:rFonts w:eastAsiaTheme="minorEastAsia"/>
              <w:noProof/>
              <w:lang w:eastAsia="fr-FR"/>
            </w:rPr>
          </w:pPr>
          <w:hyperlink w:anchor="_Toc21449018" w:history="1">
            <w:r w:rsidR="004C0DCB" w:rsidRPr="004E0A16">
              <w:rPr>
                <w:rStyle w:val="Lienhypertexte"/>
                <w:noProof/>
              </w:rPr>
              <w:t>Axe stratégique n°2 : Amélioration de l'accès à l’eau potable, à l’hygiène et à l’assainissement</w:t>
            </w:r>
            <w:r w:rsidR="004C0DCB">
              <w:rPr>
                <w:noProof/>
                <w:webHidden/>
              </w:rPr>
              <w:tab/>
            </w:r>
            <w:r w:rsidR="004C0DCB">
              <w:rPr>
                <w:noProof/>
                <w:webHidden/>
              </w:rPr>
              <w:fldChar w:fldCharType="begin"/>
            </w:r>
            <w:r w:rsidR="004C0DCB">
              <w:rPr>
                <w:noProof/>
                <w:webHidden/>
              </w:rPr>
              <w:instrText xml:space="preserve"> PAGEREF _Toc21449018 \h </w:instrText>
            </w:r>
            <w:r w:rsidR="004C0DCB">
              <w:rPr>
                <w:noProof/>
                <w:webHidden/>
              </w:rPr>
            </w:r>
            <w:r w:rsidR="004C0DCB">
              <w:rPr>
                <w:noProof/>
                <w:webHidden/>
              </w:rPr>
              <w:fldChar w:fldCharType="separate"/>
            </w:r>
            <w:r w:rsidR="004C0DCB">
              <w:rPr>
                <w:noProof/>
                <w:webHidden/>
              </w:rPr>
              <w:t>23</w:t>
            </w:r>
            <w:r w:rsidR="004C0DCB">
              <w:rPr>
                <w:noProof/>
                <w:webHidden/>
              </w:rPr>
              <w:fldChar w:fldCharType="end"/>
            </w:r>
          </w:hyperlink>
        </w:p>
        <w:p w14:paraId="605A50CE" w14:textId="77777777" w:rsidR="004C0DCB" w:rsidRDefault="00D175FB">
          <w:pPr>
            <w:pStyle w:val="TM2"/>
            <w:tabs>
              <w:tab w:val="right" w:leader="dot" w:pos="9060"/>
            </w:tabs>
            <w:rPr>
              <w:rFonts w:eastAsiaTheme="minorEastAsia"/>
              <w:noProof/>
              <w:lang w:eastAsia="fr-FR"/>
            </w:rPr>
          </w:pPr>
          <w:hyperlink w:anchor="_Toc21449019" w:history="1">
            <w:r w:rsidR="004C0DCB" w:rsidRPr="004E0A16">
              <w:rPr>
                <w:rStyle w:val="Lienhypertexte"/>
                <w:noProof/>
              </w:rPr>
              <w:t>Axe stratégique n°3 : amélioration de la lutte contre la pollution</w:t>
            </w:r>
            <w:r w:rsidR="004C0DCB">
              <w:rPr>
                <w:noProof/>
                <w:webHidden/>
              </w:rPr>
              <w:tab/>
            </w:r>
            <w:r w:rsidR="004C0DCB">
              <w:rPr>
                <w:noProof/>
                <w:webHidden/>
              </w:rPr>
              <w:fldChar w:fldCharType="begin"/>
            </w:r>
            <w:r w:rsidR="004C0DCB">
              <w:rPr>
                <w:noProof/>
                <w:webHidden/>
              </w:rPr>
              <w:instrText xml:space="preserve"> PAGEREF _Toc21449019 \h </w:instrText>
            </w:r>
            <w:r w:rsidR="004C0DCB">
              <w:rPr>
                <w:noProof/>
                <w:webHidden/>
              </w:rPr>
            </w:r>
            <w:r w:rsidR="004C0DCB">
              <w:rPr>
                <w:noProof/>
                <w:webHidden/>
              </w:rPr>
              <w:fldChar w:fldCharType="separate"/>
            </w:r>
            <w:r w:rsidR="004C0DCB">
              <w:rPr>
                <w:noProof/>
                <w:webHidden/>
              </w:rPr>
              <w:t>24</w:t>
            </w:r>
            <w:r w:rsidR="004C0DCB">
              <w:rPr>
                <w:noProof/>
                <w:webHidden/>
              </w:rPr>
              <w:fldChar w:fldCharType="end"/>
            </w:r>
          </w:hyperlink>
        </w:p>
        <w:p w14:paraId="03DADA5D" w14:textId="77777777" w:rsidR="004C0DCB" w:rsidRDefault="00D175FB">
          <w:pPr>
            <w:pStyle w:val="TM2"/>
            <w:tabs>
              <w:tab w:val="right" w:leader="dot" w:pos="9060"/>
            </w:tabs>
            <w:rPr>
              <w:rFonts w:eastAsiaTheme="minorEastAsia"/>
              <w:noProof/>
              <w:lang w:eastAsia="fr-FR"/>
            </w:rPr>
          </w:pPr>
          <w:hyperlink w:anchor="_Toc21449020" w:history="1">
            <w:r w:rsidR="004C0DCB" w:rsidRPr="004E0A16">
              <w:rPr>
                <w:rStyle w:val="Lienhypertexte"/>
                <w:noProof/>
              </w:rPr>
              <w:t>OS n°2 : Amélioration de l’offre de services de santé</w:t>
            </w:r>
            <w:r w:rsidR="004C0DCB">
              <w:rPr>
                <w:noProof/>
                <w:webHidden/>
              </w:rPr>
              <w:tab/>
            </w:r>
            <w:r w:rsidR="004C0DCB">
              <w:rPr>
                <w:noProof/>
                <w:webHidden/>
              </w:rPr>
              <w:fldChar w:fldCharType="begin"/>
            </w:r>
            <w:r w:rsidR="004C0DCB">
              <w:rPr>
                <w:noProof/>
                <w:webHidden/>
              </w:rPr>
              <w:instrText xml:space="preserve"> PAGEREF _Toc21449020 \h </w:instrText>
            </w:r>
            <w:r w:rsidR="004C0DCB">
              <w:rPr>
                <w:noProof/>
                <w:webHidden/>
              </w:rPr>
            </w:r>
            <w:r w:rsidR="004C0DCB">
              <w:rPr>
                <w:noProof/>
                <w:webHidden/>
              </w:rPr>
              <w:fldChar w:fldCharType="separate"/>
            </w:r>
            <w:r w:rsidR="004C0DCB">
              <w:rPr>
                <w:noProof/>
                <w:webHidden/>
              </w:rPr>
              <w:t>25</w:t>
            </w:r>
            <w:r w:rsidR="004C0DCB">
              <w:rPr>
                <w:noProof/>
                <w:webHidden/>
              </w:rPr>
              <w:fldChar w:fldCharType="end"/>
            </w:r>
          </w:hyperlink>
        </w:p>
        <w:p w14:paraId="7DF7C7FF" w14:textId="77777777" w:rsidR="004C0DCB" w:rsidRDefault="00D175FB">
          <w:pPr>
            <w:pStyle w:val="TM2"/>
            <w:tabs>
              <w:tab w:val="right" w:leader="dot" w:pos="9060"/>
            </w:tabs>
            <w:rPr>
              <w:rFonts w:eastAsiaTheme="minorEastAsia"/>
              <w:noProof/>
              <w:lang w:eastAsia="fr-FR"/>
            </w:rPr>
          </w:pPr>
          <w:hyperlink w:anchor="_Toc21449021" w:history="1">
            <w:r w:rsidR="004C0DCB" w:rsidRPr="004E0A16">
              <w:rPr>
                <w:rStyle w:val="Lienhypertexte"/>
                <w:noProof/>
              </w:rPr>
              <w:t>Axe stratégique n°4 : amélioration de la gouvernance et du leadership du secteur de la santé</w:t>
            </w:r>
            <w:r w:rsidR="004C0DCB">
              <w:rPr>
                <w:noProof/>
                <w:webHidden/>
              </w:rPr>
              <w:tab/>
            </w:r>
            <w:r w:rsidR="004C0DCB">
              <w:rPr>
                <w:noProof/>
                <w:webHidden/>
              </w:rPr>
              <w:fldChar w:fldCharType="begin"/>
            </w:r>
            <w:r w:rsidR="004C0DCB">
              <w:rPr>
                <w:noProof/>
                <w:webHidden/>
              </w:rPr>
              <w:instrText xml:space="preserve"> PAGEREF _Toc21449021 \h </w:instrText>
            </w:r>
            <w:r w:rsidR="004C0DCB">
              <w:rPr>
                <w:noProof/>
                <w:webHidden/>
              </w:rPr>
            </w:r>
            <w:r w:rsidR="004C0DCB">
              <w:rPr>
                <w:noProof/>
                <w:webHidden/>
              </w:rPr>
              <w:fldChar w:fldCharType="separate"/>
            </w:r>
            <w:r w:rsidR="004C0DCB">
              <w:rPr>
                <w:noProof/>
                <w:webHidden/>
              </w:rPr>
              <w:t>26</w:t>
            </w:r>
            <w:r w:rsidR="004C0DCB">
              <w:rPr>
                <w:noProof/>
                <w:webHidden/>
              </w:rPr>
              <w:fldChar w:fldCharType="end"/>
            </w:r>
          </w:hyperlink>
        </w:p>
        <w:p w14:paraId="25C073E7" w14:textId="77777777" w:rsidR="004C0DCB" w:rsidRDefault="00D175FB">
          <w:pPr>
            <w:pStyle w:val="TM2"/>
            <w:tabs>
              <w:tab w:val="right" w:leader="dot" w:pos="9060"/>
            </w:tabs>
            <w:rPr>
              <w:rFonts w:eastAsiaTheme="minorEastAsia"/>
              <w:noProof/>
              <w:lang w:eastAsia="fr-FR"/>
            </w:rPr>
          </w:pPr>
          <w:hyperlink w:anchor="_Toc21449022" w:history="1">
            <w:r w:rsidR="004C0DCB" w:rsidRPr="004E0A16">
              <w:rPr>
                <w:rStyle w:val="Lienhypertexte"/>
                <w:noProof/>
              </w:rPr>
              <w:t>Axe stratégique n°5 : amélioration de l’accès aux soins et services de santé</w:t>
            </w:r>
            <w:r w:rsidR="004C0DCB">
              <w:rPr>
                <w:noProof/>
                <w:webHidden/>
              </w:rPr>
              <w:tab/>
            </w:r>
            <w:r w:rsidR="004C0DCB">
              <w:rPr>
                <w:noProof/>
                <w:webHidden/>
              </w:rPr>
              <w:fldChar w:fldCharType="begin"/>
            </w:r>
            <w:r w:rsidR="004C0DCB">
              <w:rPr>
                <w:noProof/>
                <w:webHidden/>
              </w:rPr>
              <w:instrText xml:space="preserve"> PAGEREF _Toc21449022 \h </w:instrText>
            </w:r>
            <w:r w:rsidR="004C0DCB">
              <w:rPr>
                <w:noProof/>
                <w:webHidden/>
              </w:rPr>
            </w:r>
            <w:r w:rsidR="004C0DCB">
              <w:rPr>
                <w:noProof/>
                <w:webHidden/>
              </w:rPr>
              <w:fldChar w:fldCharType="separate"/>
            </w:r>
            <w:r w:rsidR="004C0DCB">
              <w:rPr>
                <w:noProof/>
                <w:webHidden/>
              </w:rPr>
              <w:t>27</w:t>
            </w:r>
            <w:r w:rsidR="004C0DCB">
              <w:rPr>
                <w:noProof/>
                <w:webHidden/>
              </w:rPr>
              <w:fldChar w:fldCharType="end"/>
            </w:r>
          </w:hyperlink>
        </w:p>
        <w:p w14:paraId="632B3EE8" w14:textId="77777777" w:rsidR="004C0DCB" w:rsidRDefault="00D175FB">
          <w:pPr>
            <w:pStyle w:val="TM2"/>
            <w:tabs>
              <w:tab w:val="right" w:leader="dot" w:pos="9060"/>
            </w:tabs>
            <w:rPr>
              <w:rFonts w:eastAsiaTheme="minorEastAsia"/>
              <w:noProof/>
              <w:lang w:eastAsia="fr-FR"/>
            </w:rPr>
          </w:pPr>
          <w:hyperlink w:anchor="_Toc21449023" w:history="1">
            <w:r w:rsidR="004C0DCB" w:rsidRPr="004E0A16">
              <w:rPr>
                <w:rStyle w:val="Lienhypertexte"/>
                <w:noProof/>
              </w:rPr>
              <w:t>Axe stratégique n°6 : amélioration des prestations de soins et services de santé</w:t>
            </w:r>
            <w:r w:rsidR="004C0DCB">
              <w:rPr>
                <w:noProof/>
                <w:webHidden/>
              </w:rPr>
              <w:tab/>
            </w:r>
            <w:r w:rsidR="004C0DCB">
              <w:rPr>
                <w:noProof/>
                <w:webHidden/>
              </w:rPr>
              <w:fldChar w:fldCharType="begin"/>
            </w:r>
            <w:r w:rsidR="004C0DCB">
              <w:rPr>
                <w:noProof/>
                <w:webHidden/>
              </w:rPr>
              <w:instrText xml:space="preserve"> PAGEREF _Toc21449023 \h </w:instrText>
            </w:r>
            <w:r w:rsidR="004C0DCB">
              <w:rPr>
                <w:noProof/>
                <w:webHidden/>
              </w:rPr>
            </w:r>
            <w:r w:rsidR="004C0DCB">
              <w:rPr>
                <w:noProof/>
                <w:webHidden/>
              </w:rPr>
              <w:fldChar w:fldCharType="separate"/>
            </w:r>
            <w:r w:rsidR="004C0DCB">
              <w:rPr>
                <w:noProof/>
                <w:webHidden/>
              </w:rPr>
              <w:t>28</w:t>
            </w:r>
            <w:r w:rsidR="004C0DCB">
              <w:rPr>
                <w:noProof/>
                <w:webHidden/>
              </w:rPr>
              <w:fldChar w:fldCharType="end"/>
            </w:r>
          </w:hyperlink>
        </w:p>
        <w:p w14:paraId="0D1929E5" w14:textId="77777777" w:rsidR="004C0DCB" w:rsidRDefault="00D175FB">
          <w:pPr>
            <w:pStyle w:val="TM2"/>
            <w:tabs>
              <w:tab w:val="right" w:leader="dot" w:pos="9060"/>
            </w:tabs>
            <w:rPr>
              <w:rFonts w:eastAsiaTheme="minorEastAsia"/>
              <w:noProof/>
              <w:lang w:eastAsia="fr-FR"/>
            </w:rPr>
          </w:pPr>
          <w:hyperlink w:anchor="_Toc21449024" w:history="1">
            <w:r w:rsidR="004C0DCB" w:rsidRPr="004E0A16">
              <w:rPr>
                <w:rStyle w:val="Lienhypertexte"/>
                <w:noProof/>
              </w:rPr>
              <w:t>O.S n°3 : Amélioration de la Protection Financière contre le risque maladie</w:t>
            </w:r>
            <w:r w:rsidR="004C0DCB">
              <w:rPr>
                <w:noProof/>
                <w:webHidden/>
              </w:rPr>
              <w:tab/>
            </w:r>
            <w:r w:rsidR="004C0DCB">
              <w:rPr>
                <w:noProof/>
                <w:webHidden/>
              </w:rPr>
              <w:fldChar w:fldCharType="begin"/>
            </w:r>
            <w:r w:rsidR="004C0DCB">
              <w:rPr>
                <w:noProof/>
                <w:webHidden/>
              </w:rPr>
              <w:instrText xml:space="preserve"> PAGEREF _Toc21449024 \h </w:instrText>
            </w:r>
            <w:r w:rsidR="004C0DCB">
              <w:rPr>
                <w:noProof/>
                <w:webHidden/>
              </w:rPr>
            </w:r>
            <w:r w:rsidR="004C0DCB">
              <w:rPr>
                <w:noProof/>
                <w:webHidden/>
              </w:rPr>
              <w:fldChar w:fldCharType="separate"/>
            </w:r>
            <w:r w:rsidR="004C0DCB">
              <w:rPr>
                <w:noProof/>
                <w:webHidden/>
              </w:rPr>
              <w:t>29</w:t>
            </w:r>
            <w:r w:rsidR="004C0DCB">
              <w:rPr>
                <w:noProof/>
                <w:webHidden/>
              </w:rPr>
              <w:fldChar w:fldCharType="end"/>
            </w:r>
          </w:hyperlink>
        </w:p>
        <w:p w14:paraId="1968E0FA" w14:textId="77777777" w:rsidR="004C0DCB" w:rsidRDefault="00D175FB">
          <w:pPr>
            <w:pStyle w:val="TM2"/>
            <w:tabs>
              <w:tab w:val="right" w:leader="dot" w:pos="9060"/>
            </w:tabs>
            <w:rPr>
              <w:rFonts w:eastAsiaTheme="minorEastAsia"/>
              <w:noProof/>
              <w:lang w:eastAsia="fr-FR"/>
            </w:rPr>
          </w:pPr>
          <w:hyperlink w:anchor="_Toc21449025" w:history="1">
            <w:r w:rsidR="004C0DCB" w:rsidRPr="004E0A16">
              <w:rPr>
                <w:rStyle w:val="Lienhypertexte"/>
                <w:noProof/>
              </w:rPr>
              <w:t>Axe stratégique n°7 : fonctionnement optimal de la politique d’exemption de paiement pour les enfants de moins de 5 ans et les femmes enceintes.</w:t>
            </w:r>
            <w:r w:rsidR="004C0DCB">
              <w:rPr>
                <w:noProof/>
                <w:webHidden/>
              </w:rPr>
              <w:tab/>
            </w:r>
            <w:r w:rsidR="004C0DCB">
              <w:rPr>
                <w:noProof/>
                <w:webHidden/>
              </w:rPr>
              <w:fldChar w:fldCharType="begin"/>
            </w:r>
            <w:r w:rsidR="004C0DCB">
              <w:rPr>
                <w:noProof/>
                <w:webHidden/>
              </w:rPr>
              <w:instrText xml:space="preserve"> PAGEREF _Toc21449025 \h </w:instrText>
            </w:r>
            <w:r w:rsidR="004C0DCB">
              <w:rPr>
                <w:noProof/>
                <w:webHidden/>
              </w:rPr>
            </w:r>
            <w:r w:rsidR="004C0DCB">
              <w:rPr>
                <w:noProof/>
                <w:webHidden/>
              </w:rPr>
              <w:fldChar w:fldCharType="separate"/>
            </w:r>
            <w:r w:rsidR="004C0DCB">
              <w:rPr>
                <w:noProof/>
                <w:webHidden/>
              </w:rPr>
              <w:t>29</w:t>
            </w:r>
            <w:r w:rsidR="004C0DCB">
              <w:rPr>
                <w:noProof/>
                <w:webHidden/>
              </w:rPr>
              <w:fldChar w:fldCharType="end"/>
            </w:r>
          </w:hyperlink>
        </w:p>
        <w:p w14:paraId="678BA5CB" w14:textId="77777777" w:rsidR="004C0DCB" w:rsidRDefault="00D175FB">
          <w:pPr>
            <w:pStyle w:val="TM2"/>
            <w:tabs>
              <w:tab w:val="right" w:leader="dot" w:pos="9060"/>
            </w:tabs>
            <w:rPr>
              <w:rFonts w:eastAsiaTheme="minorEastAsia"/>
              <w:noProof/>
              <w:lang w:eastAsia="fr-FR"/>
            </w:rPr>
          </w:pPr>
          <w:hyperlink w:anchor="_Toc21449026" w:history="1">
            <w:r w:rsidR="004C0DCB" w:rsidRPr="004E0A16">
              <w:rPr>
                <w:rStyle w:val="Lienhypertexte"/>
                <w:noProof/>
              </w:rPr>
              <w:t>Axe stratégique n°8 : Mise en œuvre progressive d’une assurance maladie universelle</w:t>
            </w:r>
            <w:r w:rsidR="004C0DCB">
              <w:rPr>
                <w:noProof/>
                <w:webHidden/>
              </w:rPr>
              <w:tab/>
            </w:r>
            <w:r w:rsidR="004C0DCB">
              <w:rPr>
                <w:noProof/>
                <w:webHidden/>
              </w:rPr>
              <w:fldChar w:fldCharType="begin"/>
            </w:r>
            <w:r w:rsidR="004C0DCB">
              <w:rPr>
                <w:noProof/>
                <w:webHidden/>
              </w:rPr>
              <w:instrText xml:space="preserve"> PAGEREF _Toc21449026 \h </w:instrText>
            </w:r>
            <w:r w:rsidR="004C0DCB">
              <w:rPr>
                <w:noProof/>
                <w:webHidden/>
              </w:rPr>
            </w:r>
            <w:r w:rsidR="004C0DCB">
              <w:rPr>
                <w:noProof/>
                <w:webHidden/>
              </w:rPr>
              <w:fldChar w:fldCharType="separate"/>
            </w:r>
            <w:r w:rsidR="004C0DCB">
              <w:rPr>
                <w:noProof/>
                <w:webHidden/>
              </w:rPr>
              <w:t>31</w:t>
            </w:r>
            <w:r w:rsidR="004C0DCB">
              <w:rPr>
                <w:noProof/>
                <w:webHidden/>
              </w:rPr>
              <w:fldChar w:fldCharType="end"/>
            </w:r>
          </w:hyperlink>
        </w:p>
        <w:p w14:paraId="736447D1" w14:textId="77777777" w:rsidR="004C0DCB" w:rsidRDefault="00D175FB">
          <w:pPr>
            <w:pStyle w:val="TM1"/>
            <w:tabs>
              <w:tab w:val="right" w:leader="dot" w:pos="9060"/>
            </w:tabs>
            <w:rPr>
              <w:rFonts w:eastAsiaTheme="minorEastAsia"/>
              <w:noProof/>
              <w:lang w:eastAsia="fr-FR"/>
            </w:rPr>
          </w:pPr>
          <w:hyperlink w:anchor="_Toc21449027" w:history="1">
            <w:r w:rsidR="004C0DCB" w:rsidRPr="004E0A16">
              <w:rPr>
                <w:rStyle w:val="Lienhypertexte"/>
                <w:noProof/>
              </w:rPr>
              <w:t>O.S n°4 : Rationalisation du système de financement de la santé pour la CSU</w:t>
            </w:r>
            <w:r w:rsidR="004C0DCB">
              <w:rPr>
                <w:noProof/>
                <w:webHidden/>
              </w:rPr>
              <w:tab/>
            </w:r>
            <w:r w:rsidR="004C0DCB">
              <w:rPr>
                <w:noProof/>
                <w:webHidden/>
              </w:rPr>
              <w:fldChar w:fldCharType="begin"/>
            </w:r>
            <w:r w:rsidR="004C0DCB">
              <w:rPr>
                <w:noProof/>
                <w:webHidden/>
              </w:rPr>
              <w:instrText xml:space="preserve"> PAGEREF _Toc21449027 \h </w:instrText>
            </w:r>
            <w:r w:rsidR="004C0DCB">
              <w:rPr>
                <w:noProof/>
                <w:webHidden/>
              </w:rPr>
            </w:r>
            <w:r w:rsidR="004C0DCB">
              <w:rPr>
                <w:noProof/>
                <w:webHidden/>
              </w:rPr>
              <w:fldChar w:fldCharType="separate"/>
            </w:r>
            <w:r w:rsidR="004C0DCB">
              <w:rPr>
                <w:noProof/>
                <w:webHidden/>
              </w:rPr>
              <w:t>32</w:t>
            </w:r>
            <w:r w:rsidR="004C0DCB">
              <w:rPr>
                <w:noProof/>
                <w:webHidden/>
              </w:rPr>
              <w:fldChar w:fldCharType="end"/>
            </w:r>
          </w:hyperlink>
        </w:p>
        <w:p w14:paraId="69240C6B" w14:textId="77777777" w:rsidR="004C0DCB" w:rsidRDefault="00D175FB">
          <w:pPr>
            <w:pStyle w:val="TM2"/>
            <w:tabs>
              <w:tab w:val="right" w:leader="dot" w:pos="9060"/>
            </w:tabs>
            <w:rPr>
              <w:rFonts w:eastAsiaTheme="minorEastAsia"/>
              <w:noProof/>
              <w:lang w:eastAsia="fr-FR"/>
            </w:rPr>
          </w:pPr>
          <w:hyperlink w:anchor="_Toc21449028" w:history="1">
            <w:r w:rsidR="004C0DCB" w:rsidRPr="004E0A16">
              <w:rPr>
                <w:rStyle w:val="Lienhypertexte"/>
                <w:noProof/>
              </w:rPr>
              <w:t>Axe stratégique n°9 : définition d’un paquet de soins (et/ou paquet de services) adapté aux besoins et aux moyens nationaux</w:t>
            </w:r>
            <w:r w:rsidR="004C0DCB">
              <w:rPr>
                <w:noProof/>
                <w:webHidden/>
              </w:rPr>
              <w:tab/>
            </w:r>
            <w:r w:rsidR="004C0DCB">
              <w:rPr>
                <w:noProof/>
                <w:webHidden/>
              </w:rPr>
              <w:fldChar w:fldCharType="begin"/>
            </w:r>
            <w:r w:rsidR="004C0DCB">
              <w:rPr>
                <w:noProof/>
                <w:webHidden/>
              </w:rPr>
              <w:instrText xml:space="preserve"> PAGEREF _Toc21449028 \h </w:instrText>
            </w:r>
            <w:r w:rsidR="004C0DCB">
              <w:rPr>
                <w:noProof/>
                <w:webHidden/>
              </w:rPr>
            </w:r>
            <w:r w:rsidR="004C0DCB">
              <w:rPr>
                <w:noProof/>
                <w:webHidden/>
              </w:rPr>
              <w:fldChar w:fldCharType="separate"/>
            </w:r>
            <w:r w:rsidR="004C0DCB">
              <w:rPr>
                <w:noProof/>
                <w:webHidden/>
              </w:rPr>
              <w:t>32</w:t>
            </w:r>
            <w:r w:rsidR="004C0DCB">
              <w:rPr>
                <w:noProof/>
                <w:webHidden/>
              </w:rPr>
              <w:fldChar w:fldCharType="end"/>
            </w:r>
          </w:hyperlink>
        </w:p>
        <w:p w14:paraId="26FD4980" w14:textId="77777777" w:rsidR="004C0DCB" w:rsidRDefault="00D175FB">
          <w:pPr>
            <w:pStyle w:val="TM2"/>
            <w:tabs>
              <w:tab w:val="right" w:leader="dot" w:pos="9060"/>
            </w:tabs>
            <w:rPr>
              <w:rFonts w:eastAsiaTheme="minorEastAsia"/>
              <w:noProof/>
              <w:lang w:eastAsia="fr-FR"/>
            </w:rPr>
          </w:pPr>
          <w:hyperlink w:anchor="_Toc21449029" w:history="1">
            <w:r w:rsidR="004C0DCB" w:rsidRPr="004E0A16">
              <w:rPr>
                <w:rStyle w:val="Lienhypertexte"/>
                <w:noProof/>
              </w:rPr>
              <w:t>Axe stratégique n°10 : intégration accru et optimale des financements et autres interventions des partenaires dans les circuits nationaux</w:t>
            </w:r>
            <w:r w:rsidR="004C0DCB">
              <w:rPr>
                <w:noProof/>
                <w:webHidden/>
              </w:rPr>
              <w:tab/>
            </w:r>
            <w:r w:rsidR="004C0DCB">
              <w:rPr>
                <w:noProof/>
                <w:webHidden/>
              </w:rPr>
              <w:fldChar w:fldCharType="begin"/>
            </w:r>
            <w:r w:rsidR="004C0DCB">
              <w:rPr>
                <w:noProof/>
                <w:webHidden/>
              </w:rPr>
              <w:instrText xml:space="preserve"> PAGEREF _Toc21449029 \h </w:instrText>
            </w:r>
            <w:r w:rsidR="004C0DCB">
              <w:rPr>
                <w:noProof/>
                <w:webHidden/>
              </w:rPr>
            </w:r>
            <w:r w:rsidR="004C0DCB">
              <w:rPr>
                <w:noProof/>
                <w:webHidden/>
              </w:rPr>
              <w:fldChar w:fldCharType="separate"/>
            </w:r>
            <w:r w:rsidR="004C0DCB">
              <w:rPr>
                <w:noProof/>
                <w:webHidden/>
              </w:rPr>
              <w:t>33</w:t>
            </w:r>
            <w:r w:rsidR="004C0DCB">
              <w:rPr>
                <w:noProof/>
                <w:webHidden/>
              </w:rPr>
              <w:fldChar w:fldCharType="end"/>
            </w:r>
          </w:hyperlink>
        </w:p>
        <w:p w14:paraId="5DF98B2A" w14:textId="77777777" w:rsidR="004C0DCB" w:rsidRDefault="00D175FB">
          <w:pPr>
            <w:pStyle w:val="TM2"/>
            <w:tabs>
              <w:tab w:val="right" w:leader="dot" w:pos="9060"/>
            </w:tabs>
            <w:rPr>
              <w:rFonts w:eastAsiaTheme="minorEastAsia"/>
              <w:noProof/>
              <w:lang w:eastAsia="fr-FR"/>
            </w:rPr>
          </w:pPr>
          <w:hyperlink w:anchor="_Toc21449030" w:history="1">
            <w:r w:rsidR="004C0DCB" w:rsidRPr="004E0A16">
              <w:rPr>
                <w:rStyle w:val="Lienhypertexte"/>
                <w:noProof/>
              </w:rPr>
              <w:t>Canaux de financement et répartition à long terme (10 ans)</w:t>
            </w:r>
            <w:r w:rsidR="004C0DCB">
              <w:rPr>
                <w:noProof/>
                <w:webHidden/>
              </w:rPr>
              <w:tab/>
            </w:r>
            <w:r w:rsidR="004C0DCB">
              <w:rPr>
                <w:noProof/>
                <w:webHidden/>
              </w:rPr>
              <w:fldChar w:fldCharType="begin"/>
            </w:r>
            <w:r w:rsidR="004C0DCB">
              <w:rPr>
                <w:noProof/>
                <w:webHidden/>
              </w:rPr>
              <w:instrText xml:space="preserve"> PAGEREF _Toc21449030 \h </w:instrText>
            </w:r>
            <w:r w:rsidR="004C0DCB">
              <w:rPr>
                <w:noProof/>
                <w:webHidden/>
              </w:rPr>
            </w:r>
            <w:r w:rsidR="004C0DCB">
              <w:rPr>
                <w:noProof/>
                <w:webHidden/>
              </w:rPr>
              <w:fldChar w:fldCharType="separate"/>
            </w:r>
            <w:r w:rsidR="004C0DCB">
              <w:rPr>
                <w:noProof/>
                <w:webHidden/>
              </w:rPr>
              <w:t>34</w:t>
            </w:r>
            <w:r w:rsidR="004C0DCB">
              <w:rPr>
                <w:noProof/>
                <w:webHidden/>
              </w:rPr>
              <w:fldChar w:fldCharType="end"/>
            </w:r>
          </w:hyperlink>
        </w:p>
        <w:p w14:paraId="495CB807" w14:textId="77777777" w:rsidR="004C0DCB" w:rsidRDefault="00D175FB">
          <w:pPr>
            <w:pStyle w:val="TM1"/>
            <w:tabs>
              <w:tab w:val="right" w:leader="dot" w:pos="9060"/>
            </w:tabs>
            <w:rPr>
              <w:rFonts w:eastAsiaTheme="minorEastAsia"/>
              <w:noProof/>
              <w:lang w:eastAsia="fr-FR"/>
            </w:rPr>
          </w:pPr>
          <w:hyperlink w:anchor="_Toc21449031" w:history="1">
            <w:r w:rsidR="004C0DCB" w:rsidRPr="004E0A16">
              <w:rPr>
                <w:rStyle w:val="Lienhypertexte"/>
                <w:noProof/>
              </w:rPr>
              <w:t>Hypothèses et risques</w:t>
            </w:r>
            <w:r w:rsidR="004C0DCB">
              <w:rPr>
                <w:noProof/>
                <w:webHidden/>
              </w:rPr>
              <w:tab/>
            </w:r>
            <w:r w:rsidR="004C0DCB">
              <w:rPr>
                <w:noProof/>
                <w:webHidden/>
              </w:rPr>
              <w:fldChar w:fldCharType="begin"/>
            </w:r>
            <w:r w:rsidR="004C0DCB">
              <w:rPr>
                <w:noProof/>
                <w:webHidden/>
              </w:rPr>
              <w:instrText xml:space="preserve"> PAGEREF _Toc21449031 \h </w:instrText>
            </w:r>
            <w:r w:rsidR="004C0DCB">
              <w:rPr>
                <w:noProof/>
                <w:webHidden/>
              </w:rPr>
            </w:r>
            <w:r w:rsidR="004C0DCB">
              <w:rPr>
                <w:noProof/>
                <w:webHidden/>
              </w:rPr>
              <w:fldChar w:fldCharType="separate"/>
            </w:r>
            <w:r w:rsidR="004C0DCB">
              <w:rPr>
                <w:noProof/>
                <w:webHidden/>
              </w:rPr>
              <w:t>36</w:t>
            </w:r>
            <w:r w:rsidR="004C0DCB">
              <w:rPr>
                <w:noProof/>
                <w:webHidden/>
              </w:rPr>
              <w:fldChar w:fldCharType="end"/>
            </w:r>
          </w:hyperlink>
        </w:p>
        <w:p w14:paraId="050CC25B" w14:textId="77777777" w:rsidR="004C0DCB" w:rsidRDefault="00D175FB">
          <w:pPr>
            <w:pStyle w:val="TM2"/>
            <w:tabs>
              <w:tab w:val="right" w:leader="dot" w:pos="9060"/>
            </w:tabs>
            <w:rPr>
              <w:rFonts w:eastAsiaTheme="minorEastAsia"/>
              <w:noProof/>
              <w:lang w:eastAsia="fr-FR"/>
            </w:rPr>
          </w:pPr>
          <w:hyperlink w:anchor="_Toc21449032" w:history="1">
            <w:r w:rsidR="004C0DCB" w:rsidRPr="004E0A16">
              <w:rPr>
                <w:rStyle w:val="Lienhypertexte"/>
                <w:noProof/>
              </w:rPr>
              <w:t>Hypothèse n°1 : plus de santé est obtenu avec l’argent disponible, et plus de ressources publiques nationales sont mises à disposition pour la santé</w:t>
            </w:r>
            <w:r w:rsidR="004C0DCB">
              <w:rPr>
                <w:noProof/>
                <w:webHidden/>
              </w:rPr>
              <w:tab/>
            </w:r>
            <w:r w:rsidR="004C0DCB">
              <w:rPr>
                <w:noProof/>
                <w:webHidden/>
              </w:rPr>
              <w:fldChar w:fldCharType="begin"/>
            </w:r>
            <w:r w:rsidR="004C0DCB">
              <w:rPr>
                <w:noProof/>
                <w:webHidden/>
              </w:rPr>
              <w:instrText xml:space="preserve"> PAGEREF _Toc21449032 \h </w:instrText>
            </w:r>
            <w:r w:rsidR="004C0DCB">
              <w:rPr>
                <w:noProof/>
                <w:webHidden/>
              </w:rPr>
            </w:r>
            <w:r w:rsidR="004C0DCB">
              <w:rPr>
                <w:noProof/>
                <w:webHidden/>
              </w:rPr>
              <w:fldChar w:fldCharType="separate"/>
            </w:r>
            <w:r w:rsidR="004C0DCB">
              <w:rPr>
                <w:noProof/>
                <w:webHidden/>
              </w:rPr>
              <w:t>36</w:t>
            </w:r>
            <w:r w:rsidR="004C0DCB">
              <w:rPr>
                <w:noProof/>
                <w:webHidden/>
              </w:rPr>
              <w:fldChar w:fldCharType="end"/>
            </w:r>
          </w:hyperlink>
        </w:p>
        <w:p w14:paraId="5588E06B" w14:textId="77777777" w:rsidR="004C0DCB" w:rsidRDefault="00D175FB">
          <w:pPr>
            <w:pStyle w:val="TM2"/>
            <w:tabs>
              <w:tab w:val="right" w:leader="dot" w:pos="9060"/>
            </w:tabs>
            <w:rPr>
              <w:rFonts w:eastAsiaTheme="minorEastAsia"/>
              <w:noProof/>
              <w:lang w:eastAsia="fr-FR"/>
            </w:rPr>
          </w:pPr>
          <w:hyperlink w:anchor="_Toc21449033" w:history="1">
            <w:r w:rsidR="004C0DCB" w:rsidRPr="004E0A16">
              <w:rPr>
                <w:rStyle w:val="Lienhypertexte"/>
                <w:noProof/>
              </w:rPr>
              <w:t>Hypothèse n°2 : le dialogue national dans toutes ses dimensions est amélioré, y compris le dialogue politique, social et sociétal, et l’intégration de la problématique du genre</w:t>
            </w:r>
            <w:r w:rsidR="004C0DCB">
              <w:rPr>
                <w:noProof/>
                <w:webHidden/>
              </w:rPr>
              <w:tab/>
            </w:r>
            <w:r w:rsidR="004C0DCB">
              <w:rPr>
                <w:noProof/>
                <w:webHidden/>
              </w:rPr>
              <w:fldChar w:fldCharType="begin"/>
            </w:r>
            <w:r w:rsidR="004C0DCB">
              <w:rPr>
                <w:noProof/>
                <w:webHidden/>
              </w:rPr>
              <w:instrText xml:space="preserve"> PAGEREF _Toc21449033 \h </w:instrText>
            </w:r>
            <w:r w:rsidR="004C0DCB">
              <w:rPr>
                <w:noProof/>
                <w:webHidden/>
              </w:rPr>
            </w:r>
            <w:r w:rsidR="004C0DCB">
              <w:rPr>
                <w:noProof/>
                <w:webHidden/>
              </w:rPr>
              <w:fldChar w:fldCharType="separate"/>
            </w:r>
            <w:r w:rsidR="004C0DCB">
              <w:rPr>
                <w:noProof/>
                <w:webHidden/>
              </w:rPr>
              <w:t>38</w:t>
            </w:r>
            <w:r w:rsidR="004C0DCB">
              <w:rPr>
                <w:noProof/>
                <w:webHidden/>
              </w:rPr>
              <w:fldChar w:fldCharType="end"/>
            </w:r>
          </w:hyperlink>
        </w:p>
        <w:p w14:paraId="7F164E05" w14:textId="77777777" w:rsidR="004C0DCB" w:rsidRDefault="00D175FB">
          <w:pPr>
            <w:pStyle w:val="TM2"/>
            <w:tabs>
              <w:tab w:val="right" w:leader="dot" w:pos="9060"/>
            </w:tabs>
            <w:rPr>
              <w:rFonts w:eastAsiaTheme="minorEastAsia"/>
              <w:noProof/>
              <w:lang w:eastAsia="fr-FR"/>
            </w:rPr>
          </w:pPr>
          <w:hyperlink w:anchor="_Toc21449034" w:history="1">
            <w:r w:rsidR="004C0DCB" w:rsidRPr="004E0A16">
              <w:rPr>
                <w:rStyle w:val="Lienhypertexte"/>
                <w:noProof/>
              </w:rPr>
              <w:t>Hypothèse n°3 : les défis de la CSU étant profondément adaptatifs, tout est mis en œuvre pour un meilleur leadership</w:t>
            </w:r>
            <w:r w:rsidR="004C0DCB">
              <w:rPr>
                <w:noProof/>
                <w:webHidden/>
              </w:rPr>
              <w:tab/>
            </w:r>
            <w:r w:rsidR="004C0DCB">
              <w:rPr>
                <w:noProof/>
                <w:webHidden/>
              </w:rPr>
              <w:fldChar w:fldCharType="begin"/>
            </w:r>
            <w:r w:rsidR="004C0DCB">
              <w:rPr>
                <w:noProof/>
                <w:webHidden/>
              </w:rPr>
              <w:instrText xml:space="preserve"> PAGEREF _Toc21449034 \h </w:instrText>
            </w:r>
            <w:r w:rsidR="004C0DCB">
              <w:rPr>
                <w:noProof/>
                <w:webHidden/>
              </w:rPr>
            </w:r>
            <w:r w:rsidR="004C0DCB">
              <w:rPr>
                <w:noProof/>
                <w:webHidden/>
              </w:rPr>
              <w:fldChar w:fldCharType="separate"/>
            </w:r>
            <w:r w:rsidR="004C0DCB">
              <w:rPr>
                <w:noProof/>
                <w:webHidden/>
              </w:rPr>
              <w:t>39</w:t>
            </w:r>
            <w:r w:rsidR="004C0DCB">
              <w:rPr>
                <w:noProof/>
                <w:webHidden/>
              </w:rPr>
              <w:fldChar w:fldCharType="end"/>
            </w:r>
          </w:hyperlink>
        </w:p>
        <w:p w14:paraId="15BC1E44" w14:textId="77777777" w:rsidR="004C0DCB" w:rsidRDefault="00D175FB">
          <w:pPr>
            <w:pStyle w:val="TM2"/>
            <w:tabs>
              <w:tab w:val="right" w:leader="dot" w:pos="9060"/>
            </w:tabs>
            <w:rPr>
              <w:rFonts w:eastAsiaTheme="minorEastAsia"/>
              <w:noProof/>
              <w:lang w:eastAsia="fr-FR"/>
            </w:rPr>
          </w:pPr>
          <w:hyperlink w:anchor="_Toc21449035" w:history="1">
            <w:r w:rsidR="004C0DCB" w:rsidRPr="004E0A16">
              <w:rPr>
                <w:rStyle w:val="Lienhypertexte"/>
                <w:noProof/>
              </w:rPr>
              <w:t>Hypothèse n°4 : Evolution favorable de la société sur le plan démographique et éducatif / culturel</w:t>
            </w:r>
            <w:r w:rsidR="004C0DCB">
              <w:rPr>
                <w:noProof/>
                <w:webHidden/>
              </w:rPr>
              <w:tab/>
            </w:r>
            <w:r w:rsidR="004C0DCB">
              <w:rPr>
                <w:noProof/>
                <w:webHidden/>
              </w:rPr>
              <w:fldChar w:fldCharType="begin"/>
            </w:r>
            <w:r w:rsidR="004C0DCB">
              <w:rPr>
                <w:noProof/>
                <w:webHidden/>
              </w:rPr>
              <w:instrText xml:space="preserve"> PAGEREF _Toc21449035 \h </w:instrText>
            </w:r>
            <w:r w:rsidR="004C0DCB">
              <w:rPr>
                <w:noProof/>
                <w:webHidden/>
              </w:rPr>
            </w:r>
            <w:r w:rsidR="004C0DCB">
              <w:rPr>
                <w:noProof/>
                <w:webHidden/>
              </w:rPr>
              <w:fldChar w:fldCharType="separate"/>
            </w:r>
            <w:r w:rsidR="004C0DCB">
              <w:rPr>
                <w:noProof/>
                <w:webHidden/>
              </w:rPr>
              <w:t>39</w:t>
            </w:r>
            <w:r w:rsidR="004C0DCB">
              <w:rPr>
                <w:noProof/>
                <w:webHidden/>
              </w:rPr>
              <w:fldChar w:fldCharType="end"/>
            </w:r>
          </w:hyperlink>
        </w:p>
        <w:p w14:paraId="6CE1C156" w14:textId="77777777" w:rsidR="004C0DCB" w:rsidRDefault="00D175FB">
          <w:pPr>
            <w:pStyle w:val="TM2"/>
            <w:tabs>
              <w:tab w:val="right" w:leader="dot" w:pos="9060"/>
            </w:tabs>
            <w:rPr>
              <w:rFonts w:eastAsiaTheme="minorEastAsia"/>
              <w:noProof/>
              <w:lang w:eastAsia="fr-FR"/>
            </w:rPr>
          </w:pPr>
          <w:hyperlink w:anchor="_Toc21449036" w:history="1">
            <w:r w:rsidR="004C0DCB" w:rsidRPr="004E0A16">
              <w:rPr>
                <w:rStyle w:val="Lienhypertexte"/>
                <w:noProof/>
              </w:rPr>
              <w:t>Risques</w:t>
            </w:r>
            <w:r w:rsidR="004C0DCB">
              <w:rPr>
                <w:noProof/>
                <w:webHidden/>
              </w:rPr>
              <w:tab/>
            </w:r>
            <w:r w:rsidR="004C0DCB">
              <w:rPr>
                <w:noProof/>
                <w:webHidden/>
              </w:rPr>
              <w:fldChar w:fldCharType="begin"/>
            </w:r>
            <w:r w:rsidR="004C0DCB">
              <w:rPr>
                <w:noProof/>
                <w:webHidden/>
              </w:rPr>
              <w:instrText xml:space="preserve"> PAGEREF _Toc21449036 \h </w:instrText>
            </w:r>
            <w:r w:rsidR="004C0DCB">
              <w:rPr>
                <w:noProof/>
                <w:webHidden/>
              </w:rPr>
            </w:r>
            <w:r w:rsidR="004C0DCB">
              <w:rPr>
                <w:noProof/>
                <w:webHidden/>
              </w:rPr>
              <w:fldChar w:fldCharType="separate"/>
            </w:r>
            <w:r w:rsidR="004C0DCB">
              <w:rPr>
                <w:noProof/>
                <w:webHidden/>
              </w:rPr>
              <w:t>40</w:t>
            </w:r>
            <w:r w:rsidR="004C0DCB">
              <w:rPr>
                <w:noProof/>
                <w:webHidden/>
              </w:rPr>
              <w:fldChar w:fldCharType="end"/>
            </w:r>
          </w:hyperlink>
        </w:p>
        <w:p w14:paraId="2BC2E7A5" w14:textId="77777777" w:rsidR="004C0DCB" w:rsidRDefault="00D175FB">
          <w:pPr>
            <w:pStyle w:val="TM1"/>
            <w:tabs>
              <w:tab w:val="right" w:leader="dot" w:pos="9060"/>
            </w:tabs>
            <w:rPr>
              <w:rFonts w:eastAsiaTheme="minorEastAsia"/>
              <w:noProof/>
              <w:lang w:eastAsia="fr-FR"/>
            </w:rPr>
          </w:pPr>
          <w:hyperlink w:anchor="_Toc21449037" w:history="1">
            <w:r w:rsidR="004C0DCB" w:rsidRPr="004E0A16">
              <w:rPr>
                <w:rStyle w:val="Lienhypertexte"/>
                <w:noProof/>
              </w:rPr>
              <w:t>Le cadre de mise en œuvre et de  suivi-évaluation de la stratégie CSU</w:t>
            </w:r>
            <w:r w:rsidR="004C0DCB">
              <w:rPr>
                <w:noProof/>
                <w:webHidden/>
              </w:rPr>
              <w:tab/>
            </w:r>
            <w:r w:rsidR="004C0DCB">
              <w:rPr>
                <w:noProof/>
                <w:webHidden/>
              </w:rPr>
              <w:fldChar w:fldCharType="begin"/>
            </w:r>
            <w:r w:rsidR="004C0DCB">
              <w:rPr>
                <w:noProof/>
                <w:webHidden/>
              </w:rPr>
              <w:instrText xml:space="preserve"> PAGEREF _Toc21449037 \h </w:instrText>
            </w:r>
            <w:r w:rsidR="004C0DCB">
              <w:rPr>
                <w:noProof/>
                <w:webHidden/>
              </w:rPr>
            </w:r>
            <w:r w:rsidR="004C0DCB">
              <w:rPr>
                <w:noProof/>
                <w:webHidden/>
              </w:rPr>
              <w:fldChar w:fldCharType="separate"/>
            </w:r>
            <w:r w:rsidR="004C0DCB">
              <w:rPr>
                <w:noProof/>
                <w:webHidden/>
              </w:rPr>
              <w:t>41</w:t>
            </w:r>
            <w:r w:rsidR="004C0DCB">
              <w:rPr>
                <w:noProof/>
                <w:webHidden/>
              </w:rPr>
              <w:fldChar w:fldCharType="end"/>
            </w:r>
          </w:hyperlink>
        </w:p>
        <w:p w14:paraId="6F3D71E4" w14:textId="77777777" w:rsidR="004C0DCB" w:rsidRDefault="00D175FB">
          <w:pPr>
            <w:pStyle w:val="TM2"/>
            <w:tabs>
              <w:tab w:val="right" w:leader="dot" w:pos="9060"/>
            </w:tabs>
            <w:rPr>
              <w:rFonts w:eastAsiaTheme="minorEastAsia"/>
              <w:noProof/>
              <w:lang w:eastAsia="fr-FR"/>
            </w:rPr>
          </w:pPr>
          <w:hyperlink w:anchor="_Toc21449038" w:history="1">
            <w:r w:rsidR="004C0DCB" w:rsidRPr="004E0A16">
              <w:rPr>
                <w:rStyle w:val="Lienhypertexte"/>
                <w:noProof/>
              </w:rPr>
              <w:t>Les cadres de mise en œuvre et de suivi sectoriel</w:t>
            </w:r>
            <w:r w:rsidR="004C0DCB">
              <w:rPr>
                <w:noProof/>
                <w:webHidden/>
              </w:rPr>
              <w:tab/>
            </w:r>
            <w:r w:rsidR="004C0DCB">
              <w:rPr>
                <w:noProof/>
                <w:webHidden/>
              </w:rPr>
              <w:fldChar w:fldCharType="begin"/>
            </w:r>
            <w:r w:rsidR="004C0DCB">
              <w:rPr>
                <w:noProof/>
                <w:webHidden/>
              </w:rPr>
              <w:instrText xml:space="preserve"> PAGEREF _Toc21449038 \h </w:instrText>
            </w:r>
            <w:r w:rsidR="004C0DCB">
              <w:rPr>
                <w:noProof/>
                <w:webHidden/>
              </w:rPr>
            </w:r>
            <w:r w:rsidR="004C0DCB">
              <w:rPr>
                <w:noProof/>
                <w:webHidden/>
              </w:rPr>
              <w:fldChar w:fldCharType="separate"/>
            </w:r>
            <w:r w:rsidR="004C0DCB">
              <w:rPr>
                <w:noProof/>
                <w:webHidden/>
              </w:rPr>
              <w:t>41</w:t>
            </w:r>
            <w:r w:rsidR="004C0DCB">
              <w:rPr>
                <w:noProof/>
                <w:webHidden/>
              </w:rPr>
              <w:fldChar w:fldCharType="end"/>
            </w:r>
          </w:hyperlink>
        </w:p>
        <w:p w14:paraId="23472693" w14:textId="77777777" w:rsidR="004C0DCB" w:rsidRDefault="00D175FB">
          <w:pPr>
            <w:pStyle w:val="TM2"/>
            <w:tabs>
              <w:tab w:val="right" w:leader="dot" w:pos="9060"/>
            </w:tabs>
            <w:rPr>
              <w:rFonts w:eastAsiaTheme="minorEastAsia"/>
              <w:noProof/>
              <w:lang w:eastAsia="fr-FR"/>
            </w:rPr>
          </w:pPr>
          <w:hyperlink w:anchor="_Toc21449039" w:history="1">
            <w:r w:rsidR="004C0DCB" w:rsidRPr="004E0A16">
              <w:rPr>
                <w:rStyle w:val="Lienhypertexte"/>
                <w:noProof/>
              </w:rPr>
              <w:t>Le cadre de suivi- évaluation de la CSU</w:t>
            </w:r>
            <w:r w:rsidR="004C0DCB">
              <w:rPr>
                <w:noProof/>
                <w:webHidden/>
              </w:rPr>
              <w:tab/>
            </w:r>
            <w:r w:rsidR="004C0DCB">
              <w:rPr>
                <w:noProof/>
                <w:webHidden/>
              </w:rPr>
              <w:fldChar w:fldCharType="begin"/>
            </w:r>
            <w:r w:rsidR="004C0DCB">
              <w:rPr>
                <w:noProof/>
                <w:webHidden/>
              </w:rPr>
              <w:instrText xml:space="preserve"> PAGEREF _Toc21449039 \h </w:instrText>
            </w:r>
            <w:r w:rsidR="004C0DCB">
              <w:rPr>
                <w:noProof/>
                <w:webHidden/>
              </w:rPr>
            </w:r>
            <w:r w:rsidR="004C0DCB">
              <w:rPr>
                <w:noProof/>
                <w:webHidden/>
              </w:rPr>
              <w:fldChar w:fldCharType="separate"/>
            </w:r>
            <w:r w:rsidR="004C0DCB">
              <w:rPr>
                <w:noProof/>
                <w:webHidden/>
              </w:rPr>
              <w:t>41</w:t>
            </w:r>
            <w:r w:rsidR="004C0DCB">
              <w:rPr>
                <w:noProof/>
                <w:webHidden/>
              </w:rPr>
              <w:fldChar w:fldCharType="end"/>
            </w:r>
          </w:hyperlink>
        </w:p>
        <w:p w14:paraId="7B9F9ADC" w14:textId="77777777" w:rsidR="004C0DCB" w:rsidRDefault="00D175FB">
          <w:pPr>
            <w:pStyle w:val="TM2"/>
            <w:tabs>
              <w:tab w:val="right" w:leader="dot" w:pos="9060"/>
            </w:tabs>
            <w:rPr>
              <w:rFonts w:eastAsiaTheme="minorEastAsia"/>
              <w:noProof/>
              <w:lang w:eastAsia="fr-FR"/>
            </w:rPr>
          </w:pPr>
          <w:hyperlink w:anchor="_Toc21449040" w:history="1">
            <w:r w:rsidR="004C0DCB" w:rsidRPr="004E0A16">
              <w:rPr>
                <w:rStyle w:val="Lienhypertexte"/>
                <w:noProof/>
              </w:rPr>
              <w:t>Les indicateurs de la CSU</w:t>
            </w:r>
            <w:r w:rsidR="004C0DCB">
              <w:rPr>
                <w:noProof/>
                <w:webHidden/>
              </w:rPr>
              <w:tab/>
            </w:r>
            <w:r w:rsidR="004C0DCB">
              <w:rPr>
                <w:noProof/>
                <w:webHidden/>
              </w:rPr>
              <w:fldChar w:fldCharType="begin"/>
            </w:r>
            <w:r w:rsidR="004C0DCB">
              <w:rPr>
                <w:noProof/>
                <w:webHidden/>
              </w:rPr>
              <w:instrText xml:space="preserve"> PAGEREF _Toc21449040 \h </w:instrText>
            </w:r>
            <w:r w:rsidR="004C0DCB">
              <w:rPr>
                <w:noProof/>
                <w:webHidden/>
              </w:rPr>
            </w:r>
            <w:r w:rsidR="004C0DCB">
              <w:rPr>
                <w:noProof/>
                <w:webHidden/>
              </w:rPr>
              <w:fldChar w:fldCharType="separate"/>
            </w:r>
            <w:r w:rsidR="004C0DCB">
              <w:rPr>
                <w:noProof/>
                <w:webHidden/>
              </w:rPr>
              <w:t>41</w:t>
            </w:r>
            <w:r w:rsidR="004C0DCB">
              <w:rPr>
                <w:noProof/>
                <w:webHidden/>
              </w:rPr>
              <w:fldChar w:fldCharType="end"/>
            </w:r>
          </w:hyperlink>
        </w:p>
        <w:p w14:paraId="3504D25F" w14:textId="77777777" w:rsidR="004C0DCB" w:rsidRDefault="00D175FB">
          <w:pPr>
            <w:pStyle w:val="TM2"/>
            <w:tabs>
              <w:tab w:val="right" w:leader="dot" w:pos="9060"/>
            </w:tabs>
            <w:rPr>
              <w:rFonts w:eastAsiaTheme="minorEastAsia"/>
              <w:noProof/>
              <w:lang w:eastAsia="fr-FR"/>
            </w:rPr>
          </w:pPr>
          <w:hyperlink w:anchor="_Toc21449041" w:history="1">
            <w:r w:rsidR="004C0DCB" w:rsidRPr="004E0A16">
              <w:rPr>
                <w:rStyle w:val="Lienhypertexte"/>
                <w:noProof/>
              </w:rPr>
              <w:t>Baseline de l’ODD 3.8</w:t>
            </w:r>
            <w:r w:rsidR="004C0DCB">
              <w:rPr>
                <w:noProof/>
                <w:webHidden/>
              </w:rPr>
              <w:tab/>
            </w:r>
            <w:r w:rsidR="004C0DCB">
              <w:rPr>
                <w:noProof/>
                <w:webHidden/>
              </w:rPr>
              <w:fldChar w:fldCharType="begin"/>
            </w:r>
            <w:r w:rsidR="004C0DCB">
              <w:rPr>
                <w:noProof/>
                <w:webHidden/>
              </w:rPr>
              <w:instrText xml:space="preserve"> PAGEREF _Toc21449041 \h </w:instrText>
            </w:r>
            <w:r w:rsidR="004C0DCB">
              <w:rPr>
                <w:noProof/>
                <w:webHidden/>
              </w:rPr>
            </w:r>
            <w:r w:rsidR="004C0DCB">
              <w:rPr>
                <w:noProof/>
                <w:webHidden/>
              </w:rPr>
              <w:fldChar w:fldCharType="separate"/>
            </w:r>
            <w:r w:rsidR="004C0DCB">
              <w:rPr>
                <w:noProof/>
                <w:webHidden/>
              </w:rPr>
              <w:t>42</w:t>
            </w:r>
            <w:r w:rsidR="004C0DCB">
              <w:rPr>
                <w:noProof/>
                <w:webHidden/>
              </w:rPr>
              <w:fldChar w:fldCharType="end"/>
            </w:r>
          </w:hyperlink>
        </w:p>
        <w:p w14:paraId="15076872" w14:textId="77777777" w:rsidR="004C0DCB" w:rsidRDefault="00D175FB">
          <w:pPr>
            <w:pStyle w:val="TM1"/>
            <w:tabs>
              <w:tab w:val="right" w:leader="dot" w:pos="9060"/>
            </w:tabs>
            <w:rPr>
              <w:rFonts w:eastAsiaTheme="minorEastAsia"/>
              <w:noProof/>
              <w:lang w:eastAsia="fr-FR"/>
            </w:rPr>
          </w:pPr>
          <w:hyperlink w:anchor="_Toc21449042" w:history="1">
            <w:r w:rsidR="004C0DCB" w:rsidRPr="004E0A16">
              <w:rPr>
                <w:rStyle w:val="Lienhypertexte"/>
                <w:noProof/>
              </w:rPr>
              <w:t>Plan d’actions (ébauche)</w:t>
            </w:r>
            <w:r w:rsidR="004C0DCB">
              <w:rPr>
                <w:noProof/>
                <w:webHidden/>
              </w:rPr>
              <w:tab/>
            </w:r>
            <w:r w:rsidR="004C0DCB">
              <w:rPr>
                <w:noProof/>
                <w:webHidden/>
              </w:rPr>
              <w:fldChar w:fldCharType="begin"/>
            </w:r>
            <w:r w:rsidR="004C0DCB">
              <w:rPr>
                <w:noProof/>
                <w:webHidden/>
              </w:rPr>
              <w:instrText xml:space="preserve"> PAGEREF _Toc21449042 \h </w:instrText>
            </w:r>
            <w:r w:rsidR="004C0DCB">
              <w:rPr>
                <w:noProof/>
                <w:webHidden/>
              </w:rPr>
            </w:r>
            <w:r w:rsidR="004C0DCB">
              <w:rPr>
                <w:noProof/>
                <w:webHidden/>
              </w:rPr>
              <w:fldChar w:fldCharType="separate"/>
            </w:r>
            <w:r w:rsidR="004C0DCB">
              <w:rPr>
                <w:noProof/>
                <w:webHidden/>
              </w:rPr>
              <w:t>43</w:t>
            </w:r>
            <w:r w:rsidR="004C0DCB">
              <w:rPr>
                <w:noProof/>
                <w:webHidden/>
              </w:rPr>
              <w:fldChar w:fldCharType="end"/>
            </w:r>
          </w:hyperlink>
        </w:p>
        <w:p w14:paraId="583EA066" w14:textId="77777777" w:rsidR="004C0DCB" w:rsidRDefault="00D175FB">
          <w:pPr>
            <w:pStyle w:val="TM1"/>
            <w:tabs>
              <w:tab w:val="right" w:leader="dot" w:pos="9060"/>
            </w:tabs>
            <w:rPr>
              <w:rFonts w:eastAsiaTheme="minorEastAsia"/>
              <w:noProof/>
              <w:lang w:eastAsia="fr-FR"/>
            </w:rPr>
          </w:pPr>
          <w:hyperlink w:anchor="_Toc21449043" w:history="1">
            <w:r w:rsidR="004C0DCB" w:rsidRPr="004E0A16">
              <w:rPr>
                <w:rStyle w:val="Lienhypertexte"/>
                <w:noProof/>
              </w:rPr>
              <w:t>Annexe : indicateurs CSU du Niger</w:t>
            </w:r>
            <w:r w:rsidR="004C0DCB">
              <w:rPr>
                <w:noProof/>
                <w:webHidden/>
              </w:rPr>
              <w:tab/>
            </w:r>
            <w:r w:rsidR="004C0DCB">
              <w:rPr>
                <w:noProof/>
                <w:webHidden/>
              </w:rPr>
              <w:fldChar w:fldCharType="begin"/>
            </w:r>
            <w:r w:rsidR="004C0DCB">
              <w:rPr>
                <w:noProof/>
                <w:webHidden/>
              </w:rPr>
              <w:instrText xml:space="preserve"> PAGEREF _Toc21449043 \h </w:instrText>
            </w:r>
            <w:r w:rsidR="004C0DCB">
              <w:rPr>
                <w:noProof/>
                <w:webHidden/>
              </w:rPr>
            </w:r>
            <w:r w:rsidR="004C0DCB">
              <w:rPr>
                <w:noProof/>
                <w:webHidden/>
              </w:rPr>
              <w:fldChar w:fldCharType="separate"/>
            </w:r>
            <w:r w:rsidR="004C0DCB">
              <w:rPr>
                <w:noProof/>
                <w:webHidden/>
              </w:rPr>
              <w:t>45</w:t>
            </w:r>
            <w:r w:rsidR="004C0DCB">
              <w:rPr>
                <w:noProof/>
                <w:webHidden/>
              </w:rPr>
              <w:fldChar w:fldCharType="end"/>
            </w:r>
          </w:hyperlink>
        </w:p>
        <w:p w14:paraId="759C51BA" w14:textId="77777777" w:rsidR="004C0DCB" w:rsidRDefault="00D175FB">
          <w:pPr>
            <w:pStyle w:val="TM1"/>
            <w:tabs>
              <w:tab w:val="right" w:leader="dot" w:pos="9060"/>
            </w:tabs>
            <w:rPr>
              <w:rFonts w:eastAsiaTheme="minorEastAsia"/>
              <w:noProof/>
              <w:lang w:eastAsia="fr-FR"/>
            </w:rPr>
          </w:pPr>
          <w:hyperlink w:anchor="_Toc21449044" w:history="1">
            <w:r w:rsidR="004C0DCB" w:rsidRPr="004E0A16">
              <w:rPr>
                <w:rStyle w:val="Lienhypertexte"/>
                <w:noProof/>
              </w:rPr>
              <w:t>Annexe : calcul des indicateurs de la CSU</w:t>
            </w:r>
            <w:r w:rsidR="004C0DCB">
              <w:rPr>
                <w:noProof/>
                <w:webHidden/>
              </w:rPr>
              <w:tab/>
            </w:r>
            <w:r w:rsidR="004C0DCB">
              <w:rPr>
                <w:noProof/>
                <w:webHidden/>
              </w:rPr>
              <w:fldChar w:fldCharType="begin"/>
            </w:r>
            <w:r w:rsidR="004C0DCB">
              <w:rPr>
                <w:noProof/>
                <w:webHidden/>
              </w:rPr>
              <w:instrText xml:space="preserve"> PAGEREF _Toc21449044 \h </w:instrText>
            </w:r>
            <w:r w:rsidR="004C0DCB">
              <w:rPr>
                <w:noProof/>
                <w:webHidden/>
              </w:rPr>
            </w:r>
            <w:r w:rsidR="004C0DCB">
              <w:rPr>
                <w:noProof/>
                <w:webHidden/>
              </w:rPr>
              <w:fldChar w:fldCharType="separate"/>
            </w:r>
            <w:r w:rsidR="004C0DCB">
              <w:rPr>
                <w:noProof/>
                <w:webHidden/>
              </w:rPr>
              <w:t>47</w:t>
            </w:r>
            <w:r w:rsidR="004C0DCB">
              <w:rPr>
                <w:noProof/>
                <w:webHidden/>
              </w:rPr>
              <w:fldChar w:fldCharType="end"/>
            </w:r>
          </w:hyperlink>
        </w:p>
        <w:p w14:paraId="08F84343" w14:textId="77777777" w:rsidR="00BF29A2" w:rsidRDefault="00BF29A2">
          <w:r>
            <w:rPr>
              <w:b/>
              <w:bCs/>
            </w:rPr>
            <w:fldChar w:fldCharType="end"/>
          </w:r>
        </w:p>
      </w:sdtContent>
    </w:sdt>
    <w:p w14:paraId="37390A07" w14:textId="77777777" w:rsidR="00BF29A2" w:rsidRDefault="00BF29A2">
      <w:pPr>
        <w:rPr>
          <w:rFonts w:cstheme="minorHAnsi"/>
          <w:b/>
          <w:i/>
          <w:sz w:val="24"/>
          <w:szCs w:val="24"/>
        </w:rPr>
      </w:pPr>
    </w:p>
    <w:p w14:paraId="22427A39" w14:textId="77777777" w:rsidR="00BF29A2" w:rsidRDefault="00BF29A2">
      <w:pPr>
        <w:rPr>
          <w:rFonts w:cstheme="minorHAnsi"/>
          <w:b/>
          <w:i/>
          <w:sz w:val="24"/>
          <w:szCs w:val="24"/>
        </w:rPr>
      </w:pPr>
      <w:r>
        <w:rPr>
          <w:rFonts w:cstheme="minorHAnsi"/>
          <w:b/>
          <w:i/>
          <w:sz w:val="24"/>
          <w:szCs w:val="24"/>
        </w:rPr>
        <w:br w:type="page"/>
      </w:r>
    </w:p>
    <w:p w14:paraId="6B57A1B7" w14:textId="77777777" w:rsidR="008D5D3A" w:rsidRDefault="008D5D3A" w:rsidP="00BF29A2">
      <w:pPr>
        <w:pStyle w:val="Titre1"/>
      </w:pPr>
      <w:bookmarkStart w:id="1" w:name="_Toc21449003"/>
      <w:r>
        <w:lastRenderedPageBreak/>
        <w:t>Abréviations</w:t>
      </w:r>
      <w:bookmarkEnd w:id="1"/>
    </w:p>
    <w:p w14:paraId="1BE3CE7D" w14:textId="77777777" w:rsidR="00E4665A" w:rsidRDefault="00E4665A" w:rsidP="00E4665A"/>
    <w:tbl>
      <w:tblPr>
        <w:tblW w:w="8440" w:type="dxa"/>
        <w:tblInd w:w="55" w:type="dxa"/>
        <w:tblCellMar>
          <w:left w:w="70" w:type="dxa"/>
          <w:right w:w="70" w:type="dxa"/>
        </w:tblCellMar>
        <w:tblLook w:val="04A0" w:firstRow="1" w:lastRow="0" w:firstColumn="1" w:lastColumn="0" w:noHBand="0" w:noVBand="1"/>
      </w:tblPr>
      <w:tblGrid>
        <w:gridCol w:w="1200"/>
        <w:gridCol w:w="7240"/>
      </w:tblGrid>
      <w:tr w:rsidR="0047090C" w:rsidRPr="0047090C" w14:paraId="1238CA6B" w14:textId="77777777" w:rsidTr="0047090C">
        <w:trPr>
          <w:trHeight w:val="300"/>
        </w:trPr>
        <w:tc>
          <w:tcPr>
            <w:tcW w:w="1200" w:type="dxa"/>
            <w:tcBorders>
              <w:top w:val="single" w:sz="8" w:space="0" w:color="auto"/>
              <w:left w:val="single" w:sz="8" w:space="0" w:color="auto"/>
              <w:bottom w:val="single" w:sz="4" w:space="0" w:color="auto"/>
              <w:right w:val="single" w:sz="4" w:space="0" w:color="auto"/>
            </w:tcBorders>
            <w:shd w:val="clear" w:color="auto" w:fill="auto"/>
            <w:noWrap/>
            <w:vAlign w:val="bottom"/>
            <w:hideMark/>
          </w:tcPr>
          <w:p w14:paraId="0D753F32"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AFDH</w:t>
            </w:r>
          </w:p>
        </w:tc>
        <w:tc>
          <w:tcPr>
            <w:tcW w:w="7240" w:type="dxa"/>
            <w:tcBorders>
              <w:top w:val="single" w:sz="8" w:space="0" w:color="auto"/>
              <w:left w:val="nil"/>
              <w:bottom w:val="single" w:sz="4" w:space="0" w:color="auto"/>
              <w:right w:val="single" w:sz="8" w:space="0" w:color="auto"/>
            </w:tcBorders>
            <w:shd w:val="clear" w:color="auto" w:fill="auto"/>
            <w:noWrap/>
            <w:vAlign w:val="bottom"/>
            <w:hideMark/>
          </w:tcPr>
          <w:p w14:paraId="660613F7"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 </w:t>
            </w:r>
          </w:p>
        </w:tc>
      </w:tr>
      <w:tr w:rsidR="0047090C" w:rsidRPr="0047090C" w14:paraId="68719244" w14:textId="77777777" w:rsidTr="0047090C">
        <w:trPr>
          <w:trHeight w:val="300"/>
        </w:trPr>
        <w:tc>
          <w:tcPr>
            <w:tcW w:w="1200" w:type="dxa"/>
            <w:tcBorders>
              <w:top w:val="nil"/>
              <w:left w:val="single" w:sz="8" w:space="0" w:color="auto"/>
              <w:bottom w:val="single" w:sz="4" w:space="0" w:color="auto"/>
              <w:right w:val="single" w:sz="4" w:space="0" w:color="auto"/>
            </w:tcBorders>
            <w:shd w:val="clear" w:color="auto" w:fill="auto"/>
            <w:noWrap/>
            <w:vAlign w:val="bottom"/>
            <w:hideMark/>
          </w:tcPr>
          <w:p w14:paraId="27BA1CA0" w14:textId="77777777" w:rsidR="0047090C" w:rsidRPr="0047090C" w:rsidRDefault="00537315" w:rsidP="0047090C">
            <w:pPr>
              <w:spacing w:after="0" w:line="240" w:lineRule="auto"/>
              <w:rPr>
                <w:rFonts w:ascii="Calibri" w:eastAsia="Times New Roman" w:hAnsi="Calibri" w:cs="Calibri"/>
                <w:color w:val="000000"/>
                <w:lang w:eastAsia="fr-FR"/>
              </w:rPr>
            </w:pPr>
            <w:r>
              <w:rPr>
                <w:rFonts w:ascii="Calibri" w:eastAsia="Times New Roman" w:hAnsi="Calibri" w:cs="Calibri"/>
                <w:color w:val="000000"/>
                <w:lang w:eastAsia="fr-FR"/>
              </w:rPr>
              <w:t>AMU</w:t>
            </w:r>
          </w:p>
        </w:tc>
        <w:tc>
          <w:tcPr>
            <w:tcW w:w="7240" w:type="dxa"/>
            <w:tcBorders>
              <w:top w:val="nil"/>
              <w:left w:val="nil"/>
              <w:bottom w:val="single" w:sz="4" w:space="0" w:color="auto"/>
              <w:right w:val="single" w:sz="8" w:space="0" w:color="auto"/>
            </w:tcBorders>
            <w:shd w:val="clear" w:color="auto" w:fill="auto"/>
            <w:noWrap/>
            <w:vAlign w:val="bottom"/>
            <w:hideMark/>
          </w:tcPr>
          <w:p w14:paraId="29E8F0FB" w14:textId="77777777" w:rsidR="0047090C" w:rsidRPr="0047090C" w:rsidRDefault="00537315" w:rsidP="0047090C">
            <w:pPr>
              <w:spacing w:after="0" w:line="240" w:lineRule="auto"/>
              <w:rPr>
                <w:rFonts w:ascii="Calibri" w:eastAsia="Times New Roman" w:hAnsi="Calibri" w:cs="Calibri"/>
                <w:color w:val="000000"/>
                <w:lang w:eastAsia="fr-FR"/>
              </w:rPr>
            </w:pPr>
            <w:r>
              <w:rPr>
                <w:rFonts w:ascii="Calibri" w:eastAsia="Times New Roman" w:hAnsi="Calibri" w:cs="Calibri"/>
                <w:color w:val="000000"/>
                <w:lang w:eastAsia="fr-FR"/>
              </w:rPr>
              <w:t>Assurance Maladie Universelle</w:t>
            </w:r>
          </w:p>
        </w:tc>
      </w:tr>
      <w:tr w:rsidR="0047090C" w:rsidRPr="0047090C" w14:paraId="0B41668E" w14:textId="77777777" w:rsidTr="0047090C">
        <w:trPr>
          <w:trHeight w:val="300"/>
        </w:trPr>
        <w:tc>
          <w:tcPr>
            <w:tcW w:w="1200" w:type="dxa"/>
            <w:tcBorders>
              <w:top w:val="nil"/>
              <w:left w:val="single" w:sz="8" w:space="0" w:color="auto"/>
              <w:bottom w:val="single" w:sz="4" w:space="0" w:color="auto"/>
              <w:right w:val="single" w:sz="4" w:space="0" w:color="auto"/>
            </w:tcBorders>
            <w:shd w:val="clear" w:color="auto" w:fill="auto"/>
            <w:noWrap/>
            <w:vAlign w:val="bottom"/>
            <w:hideMark/>
          </w:tcPr>
          <w:p w14:paraId="680526AC"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CNS</w:t>
            </w:r>
          </w:p>
        </w:tc>
        <w:tc>
          <w:tcPr>
            <w:tcW w:w="7240" w:type="dxa"/>
            <w:tcBorders>
              <w:top w:val="nil"/>
              <w:left w:val="nil"/>
              <w:bottom w:val="single" w:sz="4" w:space="0" w:color="auto"/>
              <w:right w:val="single" w:sz="8" w:space="0" w:color="auto"/>
            </w:tcBorders>
            <w:shd w:val="clear" w:color="auto" w:fill="auto"/>
            <w:noWrap/>
            <w:vAlign w:val="bottom"/>
            <w:hideMark/>
          </w:tcPr>
          <w:p w14:paraId="28A98ADF"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 </w:t>
            </w:r>
            <w:r w:rsidR="00206E5C">
              <w:rPr>
                <w:rFonts w:ascii="Calibri" w:eastAsia="Times New Roman" w:hAnsi="Calibri" w:cs="Calibri"/>
                <w:color w:val="000000"/>
                <w:lang w:eastAsia="fr-FR"/>
              </w:rPr>
              <w:t>Compte Nationaux de la Santé</w:t>
            </w:r>
          </w:p>
        </w:tc>
      </w:tr>
      <w:tr w:rsidR="0047090C" w:rsidRPr="0047090C" w14:paraId="174B4D0D" w14:textId="77777777" w:rsidTr="0047090C">
        <w:trPr>
          <w:trHeight w:val="300"/>
        </w:trPr>
        <w:tc>
          <w:tcPr>
            <w:tcW w:w="1200" w:type="dxa"/>
            <w:tcBorders>
              <w:top w:val="nil"/>
              <w:left w:val="single" w:sz="8" w:space="0" w:color="auto"/>
              <w:bottom w:val="single" w:sz="4" w:space="0" w:color="auto"/>
              <w:right w:val="single" w:sz="4" w:space="0" w:color="auto"/>
            </w:tcBorders>
            <w:shd w:val="clear" w:color="auto" w:fill="auto"/>
            <w:noWrap/>
            <w:vAlign w:val="bottom"/>
            <w:hideMark/>
          </w:tcPr>
          <w:p w14:paraId="67080B62"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CNS</w:t>
            </w:r>
          </w:p>
        </w:tc>
        <w:tc>
          <w:tcPr>
            <w:tcW w:w="7240" w:type="dxa"/>
            <w:tcBorders>
              <w:top w:val="nil"/>
              <w:left w:val="nil"/>
              <w:bottom w:val="single" w:sz="4" w:space="0" w:color="auto"/>
              <w:right w:val="single" w:sz="8" w:space="0" w:color="auto"/>
            </w:tcBorders>
            <w:shd w:val="clear" w:color="auto" w:fill="auto"/>
            <w:noWrap/>
            <w:vAlign w:val="bottom"/>
            <w:hideMark/>
          </w:tcPr>
          <w:p w14:paraId="3AA9987A"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 </w:t>
            </w:r>
            <w:r w:rsidR="00206E5C">
              <w:rPr>
                <w:rFonts w:ascii="Calibri" w:eastAsia="Times New Roman" w:hAnsi="Calibri" w:cs="Calibri"/>
                <w:color w:val="000000"/>
                <w:lang w:eastAsia="fr-FR"/>
              </w:rPr>
              <w:t xml:space="preserve">Comité National </w:t>
            </w:r>
            <w:r w:rsidR="000B5EFA">
              <w:rPr>
                <w:rFonts w:ascii="Calibri" w:eastAsia="Times New Roman" w:hAnsi="Calibri" w:cs="Calibri"/>
                <w:color w:val="000000"/>
                <w:lang w:eastAsia="fr-FR"/>
              </w:rPr>
              <w:t xml:space="preserve">de </w:t>
            </w:r>
            <w:r w:rsidR="00206E5C">
              <w:rPr>
                <w:rFonts w:ascii="Calibri" w:eastAsia="Times New Roman" w:hAnsi="Calibri" w:cs="Calibri"/>
                <w:color w:val="000000"/>
                <w:lang w:eastAsia="fr-FR"/>
              </w:rPr>
              <w:t>Santé</w:t>
            </w:r>
          </w:p>
        </w:tc>
      </w:tr>
      <w:tr w:rsidR="0047090C" w:rsidRPr="0047090C" w14:paraId="23B632EB" w14:textId="77777777" w:rsidTr="0047090C">
        <w:trPr>
          <w:trHeight w:val="300"/>
        </w:trPr>
        <w:tc>
          <w:tcPr>
            <w:tcW w:w="1200" w:type="dxa"/>
            <w:tcBorders>
              <w:top w:val="nil"/>
              <w:left w:val="single" w:sz="8" w:space="0" w:color="auto"/>
              <w:bottom w:val="single" w:sz="4" w:space="0" w:color="auto"/>
              <w:right w:val="single" w:sz="4" w:space="0" w:color="auto"/>
            </w:tcBorders>
            <w:shd w:val="clear" w:color="auto" w:fill="auto"/>
            <w:noWrap/>
            <w:vAlign w:val="bottom"/>
            <w:hideMark/>
          </w:tcPr>
          <w:p w14:paraId="3ED79F33"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CTNS</w:t>
            </w:r>
          </w:p>
        </w:tc>
        <w:tc>
          <w:tcPr>
            <w:tcW w:w="7240" w:type="dxa"/>
            <w:tcBorders>
              <w:top w:val="nil"/>
              <w:left w:val="nil"/>
              <w:bottom w:val="single" w:sz="4" w:space="0" w:color="auto"/>
              <w:right w:val="single" w:sz="8" w:space="0" w:color="auto"/>
            </w:tcBorders>
            <w:shd w:val="clear" w:color="auto" w:fill="auto"/>
            <w:noWrap/>
            <w:vAlign w:val="bottom"/>
            <w:hideMark/>
          </w:tcPr>
          <w:p w14:paraId="71033932"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 </w:t>
            </w:r>
            <w:r w:rsidR="000B5EFA">
              <w:rPr>
                <w:rFonts w:ascii="Calibri" w:eastAsia="Times New Roman" w:hAnsi="Calibri" w:cs="Calibri"/>
                <w:color w:val="000000"/>
                <w:lang w:eastAsia="fr-FR"/>
              </w:rPr>
              <w:t>Comité Technique national de Santé</w:t>
            </w:r>
          </w:p>
        </w:tc>
      </w:tr>
      <w:tr w:rsidR="0047090C" w:rsidRPr="0047090C" w14:paraId="79D4351B" w14:textId="77777777" w:rsidTr="0047090C">
        <w:trPr>
          <w:trHeight w:val="300"/>
        </w:trPr>
        <w:tc>
          <w:tcPr>
            <w:tcW w:w="1200" w:type="dxa"/>
            <w:tcBorders>
              <w:top w:val="nil"/>
              <w:left w:val="single" w:sz="8" w:space="0" w:color="auto"/>
              <w:bottom w:val="single" w:sz="4" w:space="0" w:color="auto"/>
              <w:right w:val="single" w:sz="4" w:space="0" w:color="auto"/>
            </w:tcBorders>
            <w:shd w:val="clear" w:color="auto" w:fill="auto"/>
            <w:noWrap/>
            <w:vAlign w:val="bottom"/>
            <w:hideMark/>
          </w:tcPr>
          <w:p w14:paraId="1FCC2FAC"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CSI</w:t>
            </w:r>
          </w:p>
        </w:tc>
        <w:tc>
          <w:tcPr>
            <w:tcW w:w="7240" w:type="dxa"/>
            <w:tcBorders>
              <w:top w:val="nil"/>
              <w:left w:val="nil"/>
              <w:bottom w:val="single" w:sz="4" w:space="0" w:color="auto"/>
              <w:right w:val="single" w:sz="8" w:space="0" w:color="auto"/>
            </w:tcBorders>
            <w:shd w:val="clear" w:color="auto" w:fill="auto"/>
            <w:noWrap/>
            <w:vAlign w:val="bottom"/>
            <w:hideMark/>
          </w:tcPr>
          <w:p w14:paraId="774DAC34"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 </w:t>
            </w:r>
            <w:r w:rsidR="000B5EFA">
              <w:rPr>
                <w:rFonts w:ascii="Calibri" w:eastAsia="Times New Roman" w:hAnsi="Calibri" w:cs="Calibri"/>
                <w:color w:val="000000"/>
                <w:lang w:eastAsia="fr-FR"/>
              </w:rPr>
              <w:t xml:space="preserve">Centre </w:t>
            </w:r>
            <w:r w:rsidR="00206E5C">
              <w:rPr>
                <w:rFonts w:ascii="Calibri" w:eastAsia="Times New Roman" w:hAnsi="Calibri" w:cs="Calibri"/>
                <w:color w:val="000000"/>
                <w:lang w:eastAsia="fr-FR"/>
              </w:rPr>
              <w:t>de Santé Intégrée</w:t>
            </w:r>
          </w:p>
        </w:tc>
      </w:tr>
      <w:tr w:rsidR="0047090C" w:rsidRPr="0047090C" w14:paraId="1E63782B" w14:textId="77777777" w:rsidTr="0047090C">
        <w:trPr>
          <w:trHeight w:val="300"/>
        </w:trPr>
        <w:tc>
          <w:tcPr>
            <w:tcW w:w="1200" w:type="dxa"/>
            <w:tcBorders>
              <w:top w:val="nil"/>
              <w:left w:val="single" w:sz="8" w:space="0" w:color="auto"/>
              <w:bottom w:val="single" w:sz="4" w:space="0" w:color="auto"/>
              <w:right w:val="single" w:sz="4" w:space="0" w:color="auto"/>
            </w:tcBorders>
            <w:shd w:val="clear" w:color="auto" w:fill="auto"/>
            <w:noWrap/>
            <w:vAlign w:val="bottom"/>
            <w:hideMark/>
          </w:tcPr>
          <w:p w14:paraId="5D065481"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CSU</w:t>
            </w:r>
          </w:p>
        </w:tc>
        <w:tc>
          <w:tcPr>
            <w:tcW w:w="7240" w:type="dxa"/>
            <w:tcBorders>
              <w:top w:val="nil"/>
              <w:left w:val="nil"/>
              <w:bottom w:val="single" w:sz="4" w:space="0" w:color="auto"/>
              <w:right w:val="single" w:sz="8" w:space="0" w:color="auto"/>
            </w:tcBorders>
            <w:shd w:val="clear" w:color="auto" w:fill="auto"/>
            <w:noWrap/>
            <w:vAlign w:val="bottom"/>
            <w:hideMark/>
          </w:tcPr>
          <w:p w14:paraId="56E4B0E7"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 </w:t>
            </w:r>
            <w:r w:rsidR="00206E5C">
              <w:rPr>
                <w:rFonts w:ascii="Calibri" w:eastAsia="Times New Roman" w:hAnsi="Calibri" w:cs="Calibri"/>
                <w:color w:val="000000"/>
                <w:lang w:eastAsia="fr-FR"/>
              </w:rPr>
              <w:t>Couverture Sanitaire Universelle</w:t>
            </w:r>
          </w:p>
        </w:tc>
      </w:tr>
      <w:tr w:rsidR="0047090C" w:rsidRPr="0047090C" w14:paraId="065C6ECD" w14:textId="77777777" w:rsidTr="0047090C">
        <w:trPr>
          <w:trHeight w:val="300"/>
        </w:trPr>
        <w:tc>
          <w:tcPr>
            <w:tcW w:w="1200" w:type="dxa"/>
            <w:tcBorders>
              <w:top w:val="nil"/>
              <w:left w:val="single" w:sz="8" w:space="0" w:color="auto"/>
              <w:bottom w:val="single" w:sz="4" w:space="0" w:color="auto"/>
              <w:right w:val="single" w:sz="4" w:space="0" w:color="auto"/>
            </w:tcBorders>
            <w:shd w:val="clear" w:color="auto" w:fill="auto"/>
            <w:noWrap/>
            <w:vAlign w:val="bottom"/>
            <w:hideMark/>
          </w:tcPr>
          <w:p w14:paraId="6905D2D3"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DALYS</w:t>
            </w:r>
          </w:p>
        </w:tc>
        <w:tc>
          <w:tcPr>
            <w:tcW w:w="7240" w:type="dxa"/>
            <w:tcBorders>
              <w:top w:val="nil"/>
              <w:left w:val="nil"/>
              <w:bottom w:val="single" w:sz="4" w:space="0" w:color="auto"/>
              <w:right w:val="single" w:sz="8" w:space="0" w:color="auto"/>
            </w:tcBorders>
            <w:shd w:val="clear" w:color="auto" w:fill="auto"/>
            <w:noWrap/>
            <w:vAlign w:val="bottom"/>
            <w:hideMark/>
          </w:tcPr>
          <w:p w14:paraId="1F75D440"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 </w:t>
            </w:r>
            <w:r w:rsidR="00206E5C">
              <w:t xml:space="preserve">Nombres </w:t>
            </w:r>
            <w:r w:rsidR="00206E5C" w:rsidRPr="006B5114">
              <w:t>d'années de vie perdues corrigées de l'incapacité</w:t>
            </w:r>
          </w:p>
        </w:tc>
      </w:tr>
      <w:tr w:rsidR="0047090C" w:rsidRPr="0047090C" w14:paraId="32602C05" w14:textId="77777777" w:rsidTr="0047090C">
        <w:trPr>
          <w:trHeight w:val="300"/>
        </w:trPr>
        <w:tc>
          <w:tcPr>
            <w:tcW w:w="1200" w:type="dxa"/>
            <w:tcBorders>
              <w:top w:val="nil"/>
              <w:left w:val="single" w:sz="8" w:space="0" w:color="auto"/>
              <w:bottom w:val="single" w:sz="4" w:space="0" w:color="auto"/>
              <w:right w:val="single" w:sz="4" w:space="0" w:color="auto"/>
            </w:tcBorders>
            <w:shd w:val="clear" w:color="auto" w:fill="auto"/>
            <w:noWrap/>
            <w:vAlign w:val="bottom"/>
            <w:hideMark/>
          </w:tcPr>
          <w:p w14:paraId="23134FE5"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DHIS</w:t>
            </w:r>
          </w:p>
        </w:tc>
        <w:tc>
          <w:tcPr>
            <w:tcW w:w="7240" w:type="dxa"/>
            <w:tcBorders>
              <w:top w:val="nil"/>
              <w:left w:val="nil"/>
              <w:bottom w:val="single" w:sz="4" w:space="0" w:color="auto"/>
              <w:right w:val="single" w:sz="8" w:space="0" w:color="auto"/>
            </w:tcBorders>
            <w:shd w:val="clear" w:color="auto" w:fill="auto"/>
            <w:noWrap/>
            <w:vAlign w:val="bottom"/>
            <w:hideMark/>
          </w:tcPr>
          <w:p w14:paraId="36ECB81E"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 </w:t>
            </w:r>
            <w:r w:rsidR="003A2FEB" w:rsidRPr="003A2FEB">
              <w:t>District Software information sur la santé</w:t>
            </w:r>
          </w:p>
        </w:tc>
      </w:tr>
      <w:tr w:rsidR="0047090C" w:rsidRPr="0047090C" w14:paraId="30211A85" w14:textId="77777777" w:rsidTr="0047090C">
        <w:trPr>
          <w:trHeight w:val="300"/>
        </w:trPr>
        <w:tc>
          <w:tcPr>
            <w:tcW w:w="1200" w:type="dxa"/>
            <w:tcBorders>
              <w:top w:val="nil"/>
              <w:left w:val="single" w:sz="8" w:space="0" w:color="auto"/>
              <w:bottom w:val="single" w:sz="4" w:space="0" w:color="auto"/>
              <w:right w:val="single" w:sz="4" w:space="0" w:color="auto"/>
            </w:tcBorders>
            <w:shd w:val="clear" w:color="auto" w:fill="auto"/>
            <w:noWrap/>
            <w:vAlign w:val="bottom"/>
            <w:hideMark/>
          </w:tcPr>
          <w:p w14:paraId="2E857C7B"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DOS</w:t>
            </w:r>
          </w:p>
        </w:tc>
        <w:tc>
          <w:tcPr>
            <w:tcW w:w="7240" w:type="dxa"/>
            <w:tcBorders>
              <w:top w:val="nil"/>
              <w:left w:val="nil"/>
              <w:bottom w:val="single" w:sz="4" w:space="0" w:color="auto"/>
              <w:right w:val="single" w:sz="8" w:space="0" w:color="auto"/>
            </w:tcBorders>
            <w:shd w:val="clear" w:color="auto" w:fill="auto"/>
            <w:noWrap/>
            <w:vAlign w:val="bottom"/>
            <w:hideMark/>
          </w:tcPr>
          <w:p w14:paraId="52054B28"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 </w:t>
            </w:r>
            <w:r w:rsidR="00206E5C">
              <w:rPr>
                <w:rFonts w:ascii="Calibri" w:eastAsia="Times New Roman" w:hAnsi="Calibri" w:cs="Calibri"/>
                <w:color w:val="000000"/>
                <w:lang w:eastAsia="fr-FR"/>
              </w:rPr>
              <w:t xml:space="preserve">Direction de </w:t>
            </w:r>
            <w:r w:rsidR="000B5EFA">
              <w:rPr>
                <w:rFonts w:ascii="Calibri" w:eastAsia="Times New Roman" w:hAnsi="Calibri" w:cs="Calibri"/>
                <w:color w:val="000000"/>
                <w:lang w:eastAsia="fr-FR"/>
              </w:rPr>
              <w:t xml:space="preserve">l’Organisation </w:t>
            </w:r>
            <w:r w:rsidR="00206E5C">
              <w:rPr>
                <w:rFonts w:ascii="Calibri" w:eastAsia="Times New Roman" w:hAnsi="Calibri" w:cs="Calibri"/>
                <w:color w:val="000000"/>
                <w:lang w:eastAsia="fr-FR"/>
              </w:rPr>
              <w:t>de Soins</w:t>
            </w:r>
          </w:p>
        </w:tc>
      </w:tr>
      <w:tr w:rsidR="0047090C" w:rsidRPr="0047090C" w14:paraId="62E710F9" w14:textId="77777777" w:rsidTr="0047090C">
        <w:trPr>
          <w:trHeight w:val="300"/>
        </w:trPr>
        <w:tc>
          <w:tcPr>
            <w:tcW w:w="1200" w:type="dxa"/>
            <w:tcBorders>
              <w:top w:val="nil"/>
              <w:left w:val="single" w:sz="8" w:space="0" w:color="auto"/>
              <w:bottom w:val="single" w:sz="4" w:space="0" w:color="auto"/>
              <w:right w:val="single" w:sz="4" w:space="0" w:color="auto"/>
            </w:tcBorders>
            <w:shd w:val="clear" w:color="auto" w:fill="auto"/>
            <w:noWrap/>
            <w:vAlign w:val="bottom"/>
            <w:hideMark/>
          </w:tcPr>
          <w:p w14:paraId="010323C2"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DRSP</w:t>
            </w:r>
          </w:p>
        </w:tc>
        <w:tc>
          <w:tcPr>
            <w:tcW w:w="7240" w:type="dxa"/>
            <w:tcBorders>
              <w:top w:val="nil"/>
              <w:left w:val="nil"/>
              <w:bottom w:val="single" w:sz="4" w:space="0" w:color="auto"/>
              <w:right w:val="single" w:sz="8" w:space="0" w:color="auto"/>
            </w:tcBorders>
            <w:shd w:val="clear" w:color="auto" w:fill="auto"/>
            <w:noWrap/>
            <w:vAlign w:val="bottom"/>
            <w:hideMark/>
          </w:tcPr>
          <w:p w14:paraId="707F68DE"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 </w:t>
            </w:r>
            <w:r w:rsidR="00206E5C">
              <w:rPr>
                <w:rFonts w:ascii="Calibri" w:eastAsia="Times New Roman" w:hAnsi="Calibri" w:cs="Calibri"/>
                <w:color w:val="000000"/>
                <w:lang w:eastAsia="fr-FR"/>
              </w:rPr>
              <w:t xml:space="preserve">Direction Régionale de la Santé Publique </w:t>
            </w:r>
          </w:p>
        </w:tc>
      </w:tr>
      <w:tr w:rsidR="0047090C" w:rsidRPr="0047090C" w14:paraId="2229BA2D" w14:textId="77777777" w:rsidTr="0047090C">
        <w:trPr>
          <w:trHeight w:val="300"/>
        </w:trPr>
        <w:tc>
          <w:tcPr>
            <w:tcW w:w="1200" w:type="dxa"/>
            <w:tcBorders>
              <w:top w:val="nil"/>
              <w:left w:val="single" w:sz="8" w:space="0" w:color="auto"/>
              <w:bottom w:val="single" w:sz="4" w:space="0" w:color="auto"/>
              <w:right w:val="single" w:sz="4" w:space="0" w:color="auto"/>
            </w:tcBorders>
            <w:shd w:val="clear" w:color="auto" w:fill="auto"/>
            <w:noWrap/>
            <w:vAlign w:val="bottom"/>
            <w:hideMark/>
          </w:tcPr>
          <w:p w14:paraId="5582FD4B"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DTS</w:t>
            </w:r>
          </w:p>
        </w:tc>
        <w:tc>
          <w:tcPr>
            <w:tcW w:w="7240" w:type="dxa"/>
            <w:tcBorders>
              <w:top w:val="nil"/>
              <w:left w:val="nil"/>
              <w:bottom w:val="single" w:sz="4" w:space="0" w:color="auto"/>
              <w:right w:val="single" w:sz="8" w:space="0" w:color="auto"/>
            </w:tcBorders>
            <w:shd w:val="clear" w:color="auto" w:fill="auto"/>
            <w:noWrap/>
            <w:vAlign w:val="bottom"/>
            <w:hideMark/>
          </w:tcPr>
          <w:p w14:paraId="1D3C021C"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 </w:t>
            </w:r>
            <w:r w:rsidR="00206E5C">
              <w:rPr>
                <w:rFonts w:ascii="Calibri" w:eastAsia="Times New Roman" w:hAnsi="Calibri" w:cs="Calibri"/>
                <w:color w:val="000000"/>
                <w:lang w:eastAsia="fr-FR"/>
              </w:rPr>
              <w:t>Dépenses Totales de Santé</w:t>
            </w:r>
          </w:p>
        </w:tc>
      </w:tr>
      <w:tr w:rsidR="0047090C" w:rsidRPr="0047090C" w14:paraId="730FF19E" w14:textId="77777777" w:rsidTr="0047090C">
        <w:trPr>
          <w:trHeight w:val="300"/>
        </w:trPr>
        <w:tc>
          <w:tcPr>
            <w:tcW w:w="1200" w:type="dxa"/>
            <w:tcBorders>
              <w:top w:val="nil"/>
              <w:left w:val="single" w:sz="8" w:space="0" w:color="auto"/>
              <w:bottom w:val="single" w:sz="4" w:space="0" w:color="auto"/>
              <w:right w:val="single" w:sz="4" w:space="0" w:color="auto"/>
            </w:tcBorders>
            <w:shd w:val="clear" w:color="auto" w:fill="auto"/>
            <w:noWrap/>
            <w:vAlign w:val="bottom"/>
            <w:hideMark/>
          </w:tcPr>
          <w:p w14:paraId="35D80732"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ECVMA</w:t>
            </w:r>
          </w:p>
        </w:tc>
        <w:tc>
          <w:tcPr>
            <w:tcW w:w="7240" w:type="dxa"/>
            <w:tcBorders>
              <w:top w:val="nil"/>
              <w:left w:val="nil"/>
              <w:bottom w:val="single" w:sz="4" w:space="0" w:color="auto"/>
              <w:right w:val="single" w:sz="8" w:space="0" w:color="auto"/>
            </w:tcBorders>
            <w:shd w:val="clear" w:color="auto" w:fill="auto"/>
            <w:noWrap/>
            <w:vAlign w:val="bottom"/>
            <w:hideMark/>
          </w:tcPr>
          <w:p w14:paraId="3B98E181"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 </w:t>
            </w:r>
            <w:r w:rsidR="003A2FEB" w:rsidRPr="003A2FEB">
              <w:rPr>
                <w:rFonts w:ascii="Calibri" w:eastAsia="Times New Roman" w:hAnsi="Calibri" w:cs="Calibri"/>
                <w:color w:val="000000"/>
                <w:lang w:eastAsia="fr-FR"/>
              </w:rPr>
              <w:t>Enquête Nationale sur les Conditions de Vie des Ménages et l'Agriculture</w:t>
            </w:r>
          </w:p>
        </w:tc>
      </w:tr>
      <w:tr w:rsidR="0047090C" w:rsidRPr="0047090C" w14:paraId="3F8D1601" w14:textId="77777777" w:rsidTr="0047090C">
        <w:trPr>
          <w:trHeight w:val="300"/>
        </w:trPr>
        <w:tc>
          <w:tcPr>
            <w:tcW w:w="1200" w:type="dxa"/>
            <w:tcBorders>
              <w:top w:val="nil"/>
              <w:left w:val="single" w:sz="8" w:space="0" w:color="auto"/>
              <w:bottom w:val="single" w:sz="4" w:space="0" w:color="auto"/>
              <w:right w:val="single" w:sz="4" w:space="0" w:color="auto"/>
            </w:tcBorders>
            <w:shd w:val="clear" w:color="auto" w:fill="auto"/>
            <w:noWrap/>
            <w:vAlign w:val="bottom"/>
            <w:hideMark/>
          </w:tcPr>
          <w:p w14:paraId="45B53FD9"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EDS-MICS</w:t>
            </w:r>
          </w:p>
        </w:tc>
        <w:tc>
          <w:tcPr>
            <w:tcW w:w="7240" w:type="dxa"/>
            <w:tcBorders>
              <w:top w:val="nil"/>
              <w:left w:val="nil"/>
              <w:bottom w:val="single" w:sz="4" w:space="0" w:color="auto"/>
              <w:right w:val="single" w:sz="8" w:space="0" w:color="auto"/>
            </w:tcBorders>
            <w:shd w:val="clear" w:color="auto" w:fill="auto"/>
            <w:noWrap/>
            <w:vAlign w:val="bottom"/>
            <w:hideMark/>
          </w:tcPr>
          <w:p w14:paraId="555F2EA3"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 </w:t>
            </w:r>
            <w:r w:rsidR="003A2FEB" w:rsidRPr="003A2FEB">
              <w:rPr>
                <w:rFonts w:ascii="Calibri" w:eastAsia="Times New Roman" w:hAnsi="Calibri" w:cs="Calibri"/>
                <w:color w:val="000000"/>
                <w:lang w:eastAsia="fr-FR"/>
              </w:rPr>
              <w:t>Enquête Démographique et de Santé et à Indicateurs Multiples</w:t>
            </w:r>
          </w:p>
        </w:tc>
      </w:tr>
      <w:tr w:rsidR="0047090C" w:rsidRPr="0047090C" w14:paraId="3E6F7065" w14:textId="77777777" w:rsidTr="0047090C">
        <w:trPr>
          <w:trHeight w:val="300"/>
        </w:trPr>
        <w:tc>
          <w:tcPr>
            <w:tcW w:w="1200" w:type="dxa"/>
            <w:tcBorders>
              <w:top w:val="nil"/>
              <w:left w:val="single" w:sz="8" w:space="0" w:color="auto"/>
              <w:bottom w:val="single" w:sz="4" w:space="0" w:color="auto"/>
              <w:right w:val="single" w:sz="4" w:space="0" w:color="auto"/>
            </w:tcBorders>
            <w:shd w:val="clear" w:color="auto" w:fill="auto"/>
            <w:noWrap/>
            <w:vAlign w:val="bottom"/>
            <w:hideMark/>
          </w:tcPr>
          <w:p w14:paraId="229208B2"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EHA</w:t>
            </w:r>
          </w:p>
        </w:tc>
        <w:tc>
          <w:tcPr>
            <w:tcW w:w="7240" w:type="dxa"/>
            <w:tcBorders>
              <w:top w:val="nil"/>
              <w:left w:val="nil"/>
              <w:bottom w:val="single" w:sz="4" w:space="0" w:color="auto"/>
              <w:right w:val="single" w:sz="8" w:space="0" w:color="auto"/>
            </w:tcBorders>
            <w:shd w:val="clear" w:color="auto" w:fill="auto"/>
            <w:noWrap/>
            <w:vAlign w:val="bottom"/>
            <w:hideMark/>
          </w:tcPr>
          <w:p w14:paraId="57645075"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 </w:t>
            </w:r>
            <w:r w:rsidR="00206E5C">
              <w:rPr>
                <w:rFonts w:ascii="Calibri" w:eastAsia="Times New Roman" w:hAnsi="Calibri" w:cs="Calibri"/>
                <w:color w:val="000000"/>
                <w:lang w:eastAsia="fr-FR"/>
              </w:rPr>
              <w:t>Eau, Hygiène et Assainissement</w:t>
            </w:r>
          </w:p>
        </w:tc>
      </w:tr>
      <w:tr w:rsidR="0047090C" w:rsidRPr="0047090C" w14:paraId="2877120C" w14:textId="77777777" w:rsidTr="0047090C">
        <w:trPr>
          <w:trHeight w:val="300"/>
        </w:trPr>
        <w:tc>
          <w:tcPr>
            <w:tcW w:w="1200" w:type="dxa"/>
            <w:tcBorders>
              <w:top w:val="nil"/>
              <w:left w:val="single" w:sz="8" w:space="0" w:color="auto"/>
              <w:bottom w:val="single" w:sz="4" w:space="0" w:color="auto"/>
              <w:right w:val="single" w:sz="4" w:space="0" w:color="auto"/>
            </w:tcBorders>
            <w:shd w:val="clear" w:color="auto" w:fill="auto"/>
            <w:noWrap/>
            <w:vAlign w:val="bottom"/>
            <w:hideMark/>
          </w:tcPr>
          <w:p w14:paraId="5437AF01"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FBP</w:t>
            </w:r>
          </w:p>
        </w:tc>
        <w:tc>
          <w:tcPr>
            <w:tcW w:w="7240" w:type="dxa"/>
            <w:tcBorders>
              <w:top w:val="nil"/>
              <w:left w:val="nil"/>
              <w:bottom w:val="single" w:sz="4" w:space="0" w:color="auto"/>
              <w:right w:val="single" w:sz="8" w:space="0" w:color="auto"/>
            </w:tcBorders>
            <w:shd w:val="clear" w:color="auto" w:fill="auto"/>
            <w:noWrap/>
            <w:vAlign w:val="bottom"/>
            <w:hideMark/>
          </w:tcPr>
          <w:p w14:paraId="77418ACF"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 </w:t>
            </w:r>
            <w:r w:rsidR="00206E5C">
              <w:rPr>
                <w:rFonts w:ascii="Calibri" w:eastAsia="Times New Roman" w:hAnsi="Calibri" w:cs="Calibri"/>
                <w:color w:val="000000"/>
                <w:lang w:eastAsia="fr-FR"/>
              </w:rPr>
              <w:t>Financement Basé sur la performance</w:t>
            </w:r>
          </w:p>
        </w:tc>
      </w:tr>
      <w:tr w:rsidR="0047090C" w:rsidRPr="0047090C" w14:paraId="35C602C1" w14:textId="77777777" w:rsidTr="0047090C">
        <w:trPr>
          <w:trHeight w:val="300"/>
        </w:trPr>
        <w:tc>
          <w:tcPr>
            <w:tcW w:w="1200" w:type="dxa"/>
            <w:tcBorders>
              <w:top w:val="nil"/>
              <w:left w:val="single" w:sz="8" w:space="0" w:color="auto"/>
              <w:bottom w:val="single" w:sz="4" w:space="0" w:color="auto"/>
              <w:right w:val="single" w:sz="4" w:space="0" w:color="auto"/>
            </w:tcBorders>
            <w:shd w:val="clear" w:color="auto" w:fill="auto"/>
            <w:noWrap/>
            <w:vAlign w:val="bottom"/>
            <w:hideMark/>
          </w:tcPr>
          <w:p w14:paraId="7AFC3118"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FCS</w:t>
            </w:r>
          </w:p>
        </w:tc>
        <w:tc>
          <w:tcPr>
            <w:tcW w:w="7240" w:type="dxa"/>
            <w:tcBorders>
              <w:top w:val="nil"/>
              <w:left w:val="nil"/>
              <w:bottom w:val="single" w:sz="4" w:space="0" w:color="auto"/>
              <w:right w:val="single" w:sz="8" w:space="0" w:color="auto"/>
            </w:tcBorders>
            <w:shd w:val="clear" w:color="auto" w:fill="auto"/>
            <w:noWrap/>
            <w:vAlign w:val="bottom"/>
            <w:hideMark/>
          </w:tcPr>
          <w:p w14:paraId="37F464A6"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 </w:t>
            </w:r>
            <w:r w:rsidR="00206E5C">
              <w:rPr>
                <w:rFonts w:ascii="Calibri" w:eastAsia="Times New Roman" w:hAnsi="Calibri" w:cs="Calibri"/>
                <w:color w:val="000000"/>
                <w:lang w:eastAsia="fr-FR"/>
              </w:rPr>
              <w:t>Fonds Commun Santé</w:t>
            </w:r>
          </w:p>
        </w:tc>
      </w:tr>
      <w:tr w:rsidR="0047090C" w:rsidRPr="0047090C" w14:paraId="0D47CB81" w14:textId="77777777" w:rsidTr="0047090C">
        <w:trPr>
          <w:trHeight w:val="300"/>
        </w:trPr>
        <w:tc>
          <w:tcPr>
            <w:tcW w:w="1200" w:type="dxa"/>
            <w:tcBorders>
              <w:top w:val="nil"/>
              <w:left w:val="single" w:sz="8" w:space="0" w:color="auto"/>
              <w:bottom w:val="single" w:sz="4" w:space="0" w:color="auto"/>
              <w:right w:val="single" w:sz="4" w:space="0" w:color="auto"/>
            </w:tcBorders>
            <w:shd w:val="clear" w:color="auto" w:fill="auto"/>
            <w:noWrap/>
            <w:vAlign w:val="bottom"/>
            <w:hideMark/>
          </w:tcPr>
          <w:p w14:paraId="086486C6"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GRH</w:t>
            </w:r>
          </w:p>
        </w:tc>
        <w:tc>
          <w:tcPr>
            <w:tcW w:w="7240" w:type="dxa"/>
            <w:tcBorders>
              <w:top w:val="nil"/>
              <w:left w:val="nil"/>
              <w:bottom w:val="single" w:sz="4" w:space="0" w:color="auto"/>
              <w:right w:val="single" w:sz="8" w:space="0" w:color="auto"/>
            </w:tcBorders>
            <w:shd w:val="clear" w:color="auto" w:fill="auto"/>
            <w:noWrap/>
            <w:vAlign w:val="bottom"/>
            <w:hideMark/>
          </w:tcPr>
          <w:p w14:paraId="1393198C"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 </w:t>
            </w:r>
            <w:r w:rsidR="00206E5C">
              <w:rPr>
                <w:rFonts w:ascii="Calibri" w:eastAsia="Times New Roman" w:hAnsi="Calibri" w:cs="Calibri"/>
                <w:color w:val="000000"/>
                <w:lang w:eastAsia="fr-FR"/>
              </w:rPr>
              <w:t>Gestion des Ressources Humaines</w:t>
            </w:r>
          </w:p>
        </w:tc>
      </w:tr>
      <w:tr w:rsidR="0047090C" w:rsidRPr="0047090C" w14:paraId="188F6262" w14:textId="77777777" w:rsidTr="0047090C">
        <w:trPr>
          <w:trHeight w:val="300"/>
        </w:trPr>
        <w:tc>
          <w:tcPr>
            <w:tcW w:w="1200" w:type="dxa"/>
            <w:tcBorders>
              <w:top w:val="nil"/>
              <w:left w:val="single" w:sz="8" w:space="0" w:color="auto"/>
              <w:bottom w:val="single" w:sz="4" w:space="0" w:color="auto"/>
              <w:right w:val="single" w:sz="4" w:space="0" w:color="auto"/>
            </w:tcBorders>
            <w:shd w:val="clear" w:color="auto" w:fill="auto"/>
            <w:noWrap/>
            <w:vAlign w:val="bottom"/>
            <w:hideMark/>
          </w:tcPr>
          <w:p w14:paraId="1656DDD2"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GTN</w:t>
            </w:r>
          </w:p>
        </w:tc>
        <w:tc>
          <w:tcPr>
            <w:tcW w:w="7240" w:type="dxa"/>
            <w:tcBorders>
              <w:top w:val="nil"/>
              <w:left w:val="nil"/>
              <w:bottom w:val="single" w:sz="4" w:space="0" w:color="auto"/>
              <w:right w:val="single" w:sz="8" w:space="0" w:color="auto"/>
            </w:tcBorders>
            <w:shd w:val="clear" w:color="auto" w:fill="auto"/>
            <w:noWrap/>
            <w:vAlign w:val="bottom"/>
            <w:hideMark/>
          </w:tcPr>
          <w:p w14:paraId="1D887F7B" w14:textId="77777777" w:rsidR="0047090C" w:rsidRPr="0047090C" w:rsidRDefault="0047090C" w:rsidP="00971E95">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 </w:t>
            </w:r>
            <w:r w:rsidR="00206E5C">
              <w:rPr>
                <w:rFonts w:ascii="Calibri" w:eastAsia="Times New Roman" w:hAnsi="Calibri" w:cs="Calibri"/>
                <w:color w:val="000000"/>
                <w:lang w:eastAsia="fr-FR"/>
              </w:rPr>
              <w:t xml:space="preserve">Groupe </w:t>
            </w:r>
            <w:r w:rsidR="00971E95">
              <w:rPr>
                <w:rFonts w:ascii="Calibri" w:eastAsia="Times New Roman" w:hAnsi="Calibri" w:cs="Calibri"/>
                <w:color w:val="000000"/>
                <w:lang w:eastAsia="fr-FR"/>
              </w:rPr>
              <w:t>de Travail</w:t>
            </w:r>
            <w:r w:rsidR="00206E5C">
              <w:rPr>
                <w:rFonts w:ascii="Calibri" w:eastAsia="Times New Roman" w:hAnsi="Calibri" w:cs="Calibri"/>
                <w:color w:val="000000"/>
                <w:lang w:eastAsia="fr-FR"/>
              </w:rPr>
              <w:t xml:space="preserve"> National sur la CSU</w:t>
            </w:r>
          </w:p>
        </w:tc>
      </w:tr>
      <w:tr w:rsidR="0047090C" w:rsidRPr="0047090C" w14:paraId="320ECC7B" w14:textId="77777777" w:rsidTr="0047090C">
        <w:trPr>
          <w:trHeight w:val="300"/>
        </w:trPr>
        <w:tc>
          <w:tcPr>
            <w:tcW w:w="1200" w:type="dxa"/>
            <w:tcBorders>
              <w:top w:val="nil"/>
              <w:left w:val="single" w:sz="8" w:space="0" w:color="auto"/>
              <w:bottom w:val="single" w:sz="4" w:space="0" w:color="auto"/>
              <w:right w:val="single" w:sz="4" w:space="0" w:color="auto"/>
            </w:tcBorders>
            <w:shd w:val="clear" w:color="auto" w:fill="auto"/>
            <w:noWrap/>
            <w:vAlign w:val="bottom"/>
            <w:hideMark/>
          </w:tcPr>
          <w:p w14:paraId="4FBE1521"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GTR</w:t>
            </w:r>
          </w:p>
        </w:tc>
        <w:tc>
          <w:tcPr>
            <w:tcW w:w="7240" w:type="dxa"/>
            <w:tcBorders>
              <w:top w:val="nil"/>
              <w:left w:val="nil"/>
              <w:bottom w:val="single" w:sz="4" w:space="0" w:color="auto"/>
              <w:right w:val="single" w:sz="8" w:space="0" w:color="auto"/>
            </w:tcBorders>
            <w:shd w:val="clear" w:color="auto" w:fill="auto"/>
            <w:noWrap/>
            <w:vAlign w:val="bottom"/>
            <w:hideMark/>
          </w:tcPr>
          <w:p w14:paraId="4A3D706C" w14:textId="77777777" w:rsidR="0047090C" w:rsidRPr="0047090C" w:rsidRDefault="0047090C" w:rsidP="00971E95">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 </w:t>
            </w:r>
            <w:r w:rsidR="00206E5C">
              <w:rPr>
                <w:rFonts w:ascii="Calibri" w:eastAsia="Times New Roman" w:hAnsi="Calibri" w:cs="Calibri"/>
                <w:color w:val="000000"/>
                <w:lang w:eastAsia="fr-FR"/>
              </w:rPr>
              <w:t xml:space="preserve">Groupe </w:t>
            </w:r>
            <w:r w:rsidR="00971E95">
              <w:rPr>
                <w:rFonts w:ascii="Calibri" w:eastAsia="Times New Roman" w:hAnsi="Calibri" w:cs="Calibri"/>
                <w:color w:val="000000"/>
                <w:lang w:eastAsia="fr-FR"/>
              </w:rPr>
              <w:t>de Travail</w:t>
            </w:r>
            <w:r w:rsidR="00206E5C">
              <w:rPr>
                <w:rFonts w:ascii="Calibri" w:eastAsia="Times New Roman" w:hAnsi="Calibri" w:cs="Calibri"/>
                <w:color w:val="000000"/>
                <w:lang w:eastAsia="fr-FR"/>
              </w:rPr>
              <w:t xml:space="preserve"> Restreint sur la CSU</w:t>
            </w:r>
          </w:p>
        </w:tc>
      </w:tr>
      <w:tr w:rsidR="0047090C" w:rsidRPr="0047090C" w14:paraId="15EBD57E" w14:textId="77777777" w:rsidTr="0047090C">
        <w:trPr>
          <w:trHeight w:val="300"/>
        </w:trPr>
        <w:tc>
          <w:tcPr>
            <w:tcW w:w="1200" w:type="dxa"/>
            <w:tcBorders>
              <w:top w:val="nil"/>
              <w:left w:val="single" w:sz="8" w:space="0" w:color="auto"/>
              <w:bottom w:val="single" w:sz="4" w:space="0" w:color="auto"/>
              <w:right w:val="single" w:sz="4" w:space="0" w:color="auto"/>
            </w:tcBorders>
            <w:shd w:val="clear" w:color="auto" w:fill="auto"/>
            <w:noWrap/>
            <w:vAlign w:val="bottom"/>
            <w:hideMark/>
          </w:tcPr>
          <w:p w14:paraId="7CC75E13"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HTA</w:t>
            </w:r>
          </w:p>
        </w:tc>
        <w:tc>
          <w:tcPr>
            <w:tcW w:w="7240" w:type="dxa"/>
            <w:tcBorders>
              <w:top w:val="nil"/>
              <w:left w:val="nil"/>
              <w:bottom w:val="single" w:sz="4" w:space="0" w:color="auto"/>
              <w:right w:val="single" w:sz="8" w:space="0" w:color="auto"/>
            </w:tcBorders>
            <w:shd w:val="clear" w:color="auto" w:fill="auto"/>
            <w:noWrap/>
            <w:vAlign w:val="bottom"/>
            <w:hideMark/>
          </w:tcPr>
          <w:p w14:paraId="0771057A"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 </w:t>
            </w:r>
            <w:r w:rsidR="00206E5C">
              <w:rPr>
                <w:rFonts w:ascii="Calibri" w:eastAsia="Times New Roman" w:hAnsi="Calibri" w:cs="Calibri"/>
                <w:color w:val="000000"/>
                <w:lang w:eastAsia="fr-FR"/>
              </w:rPr>
              <w:t>Hypertension Artérielle</w:t>
            </w:r>
          </w:p>
        </w:tc>
      </w:tr>
      <w:tr w:rsidR="0047090C" w:rsidRPr="0047090C" w14:paraId="567FF31B" w14:textId="77777777" w:rsidTr="0047090C">
        <w:trPr>
          <w:trHeight w:val="300"/>
        </w:trPr>
        <w:tc>
          <w:tcPr>
            <w:tcW w:w="1200" w:type="dxa"/>
            <w:tcBorders>
              <w:top w:val="nil"/>
              <w:left w:val="single" w:sz="8" w:space="0" w:color="auto"/>
              <w:bottom w:val="single" w:sz="4" w:space="0" w:color="auto"/>
              <w:right w:val="single" w:sz="4" w:space="0" w:color="auto"/>
            </w:tcBorders>
            <w:shd w:val="clear" w:color="auto" w:fill="auto"/>
            <w:noWrap/>
            <w:vAlign w:val="bottom"/>
            <w:hideMark/>
          </w:tcPr>
          <w:p w14:paraId="1369F0C8"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INS</w:t>
            </w:r>
          </w:p>
        </w:tc>
        <w:tc>
          <w:tcPr>
            <w:tcW w:w="7240" w:type="dxa"/>
            <w:tcBorders>
              <w:top w:val="nil"/>
              <w:left w:val="nil"/>
              <w:bottom w:val="single" w:sz="4" w:space="0" w:color="auto"/>
              <w:right w:val="single" w:sz="8" w:space="0" w:color="auto"/>
            </w:tcBorders>
            <w:shd w:val="clear" w:color="auto" w:fill="auto"/>
            <w:noWrap/>
            <w:vAlign w:val="bottom"/>
            <w:hideMark/>
          </w:tcPr>
          <w:p w14:paraId="6246F05C"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 </w:t>
            </w:r>
            <w:r w:rsidR="000B5EFA">
              <w:rPr>
                <w:rFonts w:ascii="Calibri" w:eastAsia="Times New Roman" w:hAnsi="Calibri" w:cs="Calibri"/>
                <w:color w:val="000000"/>
                <w:lang w:eastAsia="fr-FR"/>
              </w:rPr>
              <w:t>Institut National de la Statistique</w:t>
            </w:r>
          </w:p>
        </w:tc>
      </w:tr>
      <w:tr w:rsidR="0047090C" w:rsidRPr="0047090C" w14:paraId="21A2DA16" w14:textId="77777777" w:rsidTr="0047090C">
        <w:trPr>
          <w:trHeight w:val="300"/>
        </w:trPr>
        <w:tc>
          <w:tcPr>
            <w:tcW w:w="1200" w:type="dxa"/>
            <w:tcBorders>
              <w:top w:val="nil"/>
              <w:left w:val="single" w:sz="8" w:space="0" w:color="auto"/>
              <w:bottom w:val="single" w:sz="4" w:space="0" w:color="auto"/>
              <w:right w:val="single" w:sz="4" w:space="0" w:color="auto"/>
            </w:tcBorders>
            <w:shd w:val="clear" w:color="auto" w:fill="auto"/>
            <w:noWrap/>
            <w:vAlign w:val="bottom"/>
            <w:hideMark/>
          </w:tcPr>
          <w:p w14:paraId="059E2C0D"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IST/VIH</w:t>
            </w:r>
          </w:p>
        </w:tc>
        <w:tc>
          <w:tcPr>
            <w:tcW w:w="7240" w:type="dxa"/>
            <w:tcBorders>
              <w:top w:val="nil"/>
              <w:left w:val="nil"/>
              <w:bottom w:val="single" w:sz="4" w:space="0" w:color="auto"/>
              <w:right w:val="single" w:sz="8" w:space="0" w:color="auto"/>
            </w:tcBorders>
            <w:shd w:val="clear" w:color="auto" w:fill="auto"/>
            <w:noWrap/>
            <w:vAlign w:val="bottom"/>
            <w:hideMark/>
          </w:tcPr>
          <w:p w14:paraId="200CAF03"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 </w:t>
            </w:r>
            <w:r w:rsidR="00206E5C">
              <w:rPr>
                <w:rFonts w:ascii="Calibri" w:eastAsia="Times New Roman" w:hAnsi="Calibri" w:cs="Calibri"/>
                <w:color w:val="000000"/>
                <w:lang w:eastAsia="fr-FR"/>
              </w:rPr>
              <w:t xml:space="preserve">Infection Sexuellement Transmissible / </w:t>
            </w:r>
            <w:r w:rsidR="003A2FEB" w:rsidRPr="003A2FEB">
              <w:rPr>
                <w:rFonts w:ascii="Calibri" w:eastAsia="Times New Roman" w:hAnsi="Calibri" w:cs="Calibri"/>
                <w:color w:val="000000"/>
                <w:lang w:eastAsia="fr-FR"/>
              </w:rPr>
              <w:t>virus de l’immunodéficience humaine</w:t>
            </w:r>
          </w:p>
        </w:tc>
      </w:tr>
      <w:tr w:rsidR="0047090C" w:rsidRPr="0047090C" w14:paraId="75371B81" w14:textId="77777777" w:rsidTr="0047090C">
        <w:trPr>
          <w:trHeight w:val="300"/>
        </w:trPr>
        <w:tc>
          <w:tcPr>
            <w:tcW w:w="1200" w:type="dxa"/>
            <w:tcBorders>
              <w:top w:val="nil"/>
              <w:left w:val="single" w:sz="8" w:space="0" w:color="auto"/>
              <w:bottom w:val="single" w:sz="4" w:space="0" w:color="auto"/>
              <w:right w:val="single" w:sz="4" w:space="0" w:color="auto"/>
            </w:tcBorders>
            <w:shd w:val="clear" w:color="auto" w:fill="auto"/>
            <w:noWrap/>
            <w:vAlign w:val="bottom"/>
            <w:hideMark/>
          </w:tcPr>
          <w:p w14:paraId="7F954937"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MEG</w:t>
            </w:r>
          </w:p>
        </w:tc>
        <w:tc>
          <w:tcPr>
            <w:tcW w:w="7240" w:type="dxa"/>
            <w:tcBorders>
              <w:top w:val="nil"/>
              <w:left w:val="nil"/>
              <w:bottom w:val="single" w:sz="4" w:space="0" w:color="auto"/>
              <w:right w:val="single" w:sz="8" w:space="0" w:color="auto"/>
            </w:tcBorders>
            <w:shd w:val="clear" w:color="auto" w:fill="auto"/>
            <w:noWrap/>
            <w:vAlign w:val="bottom"/>
            <w:hideMark/>
          </w:tcPr>
          <w:p w14:paraId="1D26D146"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 </w:t>
            </w:r>
            <w:r w:rsidR="003A2FEB">
              <w:rPr>
                <w:rFonts w:ascii="Calibri" w:eastAsia="Times New Roman" w:hAnsi="Calibri" w:cs="Calibri"/>
                <w:color w:val="000000"/>
                <w:lang w:eastAsia="fr-FR"/>
              </w:rPr>
              <w:t>Médicaments Essentiels Génériques</w:t>
            </w:r>
          </w:p>
        </w:tc>
      </w:tr>
      <w:tr w:rsidR="0047090C" w:rsidRPr="0047090C" w14:paraId="4C51CA62" w14:textId="77777777" w:rsidTr="0047090C">
        <w:trPr>
          <w:trHeight w:val="300"/>
        </w:trPr>
        <w:tc>
          <w:tcPr>
            <w:tcW w:w="1200" w:type="dxa"/>
            <w:tcBorders>
              <w:top w:val="nil"/>
              <w:left w:val="single" w:sz="8" w:space="0" w:color="auto"/>
              <w:bottom w:val="single" w:sz="4" w:space="0" w:color="auto"/>
              <w:right w:val="single" w:sz="4" w:space="0" w:color="auto"/>
            </w:tcBorders>
            <w:shd w:val="clear" w:color="auto" w:fill="auto"/>
            <w:noWrap/>
            <w:vAlign w:val="bottom"/>
            <w:hideMark/>
          </w:tcPr>
          <w:p w14:paraId="5E272317"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MH/A</w:t>
            </w:r>
          </w:p>
        </w:tc>
        <w:tc>
          <w:tcPr>
            <w:tcW w:w="7240" w:type="dxa"/>
            <w:tcBorders>
              <w:top w:val="nil"/>
              <w:left w:val="nil"/>
              <w:bottom w:val="single" w:sz="4" w:space="0" w:color="auto"/>
              <w:right w:val="single" w:sz="8" w:space="0" w:color="auto"/>
            </w:tcBorders>
            <w:shd w:val="clear" w:color="auto" w:fill="auto"/>
            <w:noWrap/>
            <w:vAlign w:val="bottom"/>
            <w:hideMark/>
          </w:tcPr>
          <w:p w14:paraId="1E7A13AE"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 </w:t>
            </w:r>
            <w:r w:rsidR="003A2FEB">
              <w:rPr>
                <w:rFonts w:ascii="Calibri" w:eastAsia="Times New Roman" w:hAnsi="Calibri" w:cs="Calibri"/>
                <w:color w:val="000000"/>
                <w:lang w:eastAsia="fr-FR"/>
              </w:rPr>
              <w:t xml:space="preserve">Ministère de </w:t>
            </w:r>
            <w:r w:rsidR="000B5EFA">
              <w:rPr>
                <w:rFonts w:ascii="Calibri" w:eastAsia="Times New Roman" w:hAnsi="Calibri" w:cs="Calibri"/>
                <w:color w:val="000000"/>
                <w:lang w:eastAsia="fr-FR"/>
              </w:rPr>
              <w:t xml:space="preserve">l’Hydraulique </w:t>
            </w:r>
            <w:r w:rsidR="003A2FEB">
              <w:rPr>
                <w:rFonts w:ascii="Calibri" w:eastAsia="Times New Roman" w:hAnsi="Calibri" w:cs="Calibri"/>
                <w:color w:val="000000"/>
                <w:lang w:eastAsia="fr-FR"/>
              </w:rPr>
              <w:t>et de l’Assainissement</w:t>
            </w:r>
          </w:p>
        </w:tc>
      </w:tr>
      <w:tr w:rsidR="0047090C" w:rsidRPr="0047090C" w14:paraId="7AB31DB2" w14:textId="77777777" w:rsidTr="0047090C">
        <w:trPr>
          <w:trHeight w:val="300"/>
        </w:trPr>
        <w:tc>
          <w:tcPr>
            <w:tcW w:w="1200" w:type="dxa"/>
            <w:tcBorders>
              <w:top w:val="nil"/>
              <w:left w:val="single" w:sz="8" w:space="0" w:color="auto"/>
              <w:bottom w:val="single" w:sz="4" w:space="0" w:color="auto"/>
              <w:right w:val="single" w:sz="4" w:space="0" w:color="auto"/>
            </w:tcBorders>
            <w:shd w:val="clear" w:color="auto" w:fill="auto"/>
            <w:noWrap/>
            <w:vAlign w:val="bottom"/>
            <w:hideMark/>
          </w:tcPr>
          <w:p w14:paraId="78CDF913"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MSP</w:t>
            </w:r>
          </w:p>
        </w:tc>
        <w:tc>
          <w:tcPr>
            <w:tcW w:w="7240" w:type="dxa"/>
            <w:tcBorders>
              <w:top w:val="nil"/>
              <w:left w:val="nil"/>
              <w:bottom w:val="single" w:sz="4" w:space="0" w:color="auto"/>
              <w:right w:val="single" w:sz="8" w:space="0" w:color="auto"/>
            </w:tcBorders>
            <w:shd w:val="clear" w:color="auto" w:fill="auto"/>
            <w:noWrap/>
            <w:vAlign w:val="bottom"/>
            <w:hideMark/>
          </w:tcPr>
          <w:p w14:paraId="10D94830"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 </w:t>
            </w:r>
            <w:r w:rsidR="003A2FEB">
              <w:rPr>
                <w:rFonts w:ascii="Calibri" w:eastAsia="Times New Roman" w:hAnsi="Calibri" w:cs="Calibri"/>
                <w:color w:val="000000"/>
                <w:lang w:eastAsia="fr-FR"/>
              </w:rPr>
              <w:t>Ministère de la Santé Publique</w:t>
            </w:r>
          </w:p>
        </w:tc>
      </w:tr>
      <w:tr w:rsidR="0047090C" w:rsidRPr="0047090C" w14:paraId="1D6D3955" w14:textId="77777777" w:rsidTr="0047090C">
        <w:trPr>
          <w:trHeight w:val="300"/>
        </w:trPr>
        <w:tc>
          <w:tcPr>
            <w:tcW w:w="1200" w:type="dxa"/>
            <w:tcBorders>
              <w:top w:val="nil"/>
              <w:left w:val="single" w:sz="8" w:space="0" w:color="auto"/>
              <w:bottom w:val="single" w:sz="4" w:space="0" w:color="auto"/>
              <w:right w:val="single" w:sz="4" w:space="0" w:color="auto"/>
            </w:tcBorders>
            <w:shd w:val="clear" w:color="auto" w:fill="auto"/>
            <w:noWrap/>
            <w:vAlign w:val="bottom"/>
            <w:hideMark/>
          </w:tcPr>
          <w:p w14:paraId="448721B6"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MT</w:t>
            </w:r>
          </w:p>
        </w:tc>
        <w:tc>
          <w:tcPr>
            <w:tcW w:w="7240" w:type="dxa"/>
            <w:tcBorders>
              <w:top w:val="nil"/>
              <w:left w:val="nil"/>
              <w:bottom w:val="single" w:sz="4" w:space="0" w:color="auto"/>
              <w:right w:val="single" w:sz="8" w:space="0" w:color="auto"/>
            </w:tcBorders>
            <w:shd w:val="clear" w:color="auto" w:fill="auto"/>
            <w:noWrap/>
            <w:vAlign w:val="bottom"/>
            <w:hideMark/>
          </w:tcPr>
          <w:p w14:paraId="0F251A43"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 </w:t>
            </w:r>
            <w:r w:rsidR="003A2FEB">
              <w:rPr>
                <w:rFonts w:ascii="Calibri" w:eastAsia="Times New Roman" w:hAnsi="Calibri" w:cs="Calibri"/>
                <w:color w:val="000000"/>
                <w:lang w:eastAsia="fr-FR"/>
              </w:rPr>
              <w:t>Maladies Transmissibles</w:t>
            </w:r>
          </w:p>
        </w:tc>
      </w:tr>
      <w:tr w:rsidR="0047090C" w:rsidRPr="0047090C" w14:paraId="0EC93C70" w14:textId="77777777" w:rsidTr="0047090C">
        <w:trPr>
          <w:trHeight w:val="300"/>
        </w:trPr>
        <w:tc>
          <w:tcPr>
            <w:tcW w:w="1200" w:type="dxa"/>
            <w:tcBorders>
              <w:top w:val="nil"/>
              <w:left w:val="single" w:sz="8" w:space="0" w:color="auto"/>
              <w:bottom w:val="single" w:sz="4" w:space="0" w:color="auto"/>
              <w:right w:val="single" w:sz="4" w:space="0" w:color="auto"/>
            </w:tcBorders>
            <w:shd w:val="clear" w:color="auto" w:fill="auto"/>
            <w:noWrap/>
            <w:vAlign w:val="bottom"/>
            <w:hideMark/>
          </w:tcPr>
          <w:p w14:paraId="023D462D"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MTA</w:t>
            </w:r>
          </w:p>
        </w:tc>
        <w:tc>
          <w:tcPr>
            <w:tcW w:w="7240" w:type="dxa"/>
            <w:tcBorders>
              <w:top w:val="nil"/>
              <w:left w:val="nil"/>
              <w:bottom w:val="single" w:sz="4" w:space="0" w:color="auto"/>
              <w:right w:val="single" w:sz="8" w:space="0" w:color="auto"/>
            </w:tcBorders>
            <w:shd w:val="clear" w:color="auto" w:fill="auto"/>
            <w:noWrap/>
            <w:vAlign w:val="bottom"/>
            <w:hideMark/>
          </w:tcPr>
          <w:p w14:paraId="03B9ED17"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 </w:t>
            </w:r>
            <w:r w:rsidR="003A2FEB" w:rsidRPr="00076E2C">
              <w:rPr>
                <w:rFonts w:cs="Calibri"/>
              </w:rPr>
              <w:t>Médicaments Traditionnels Améliorés</w:t>
            </w:r>
          </w:p>
        </w:tc>
      </w:tr>
      <w:tr w:rsidR="0047090C" w:rsidRPr="0047090C" w14:paraId="65DF627D" w14:textId="77777777" w:rsidTr="0047090C">
        <w:trPr>
          <w:trHeight w:val="300"/>
        </w:trPr>
        <w:tc>
          <w:tcPr>
            <w:tcW w:w="1200" w:type="dxa"/>
            <w:tcBorders>
              <w:top w:val="nil"/>
              <w:left w:val="single" w:sz="8" w:space="0" w:color="auto"/>
              <w:bottom w:val="single" w:sz="4" w:space="0" w:color="auto"/>
              <w:right w:val="single" w:sz="4" w:space="0" w:color="auto"/>
            </w:tcBorders>
            <w:shd w:val="clear" w:color="auto" w:fill="auto"/>
            <w:noWrap/>
            <w:vAlign w:val="bottom"/>
            <w:hideMark/>
          </w:tcPr>
          <w:p w14:paraId="59205E2E"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MNT</w:t>
            </w:r>
          </w:p>
        </w:tc>
        <w:tc>
          <w:tcPr>
            <w:tcW w:w="7240" w:type="dxa"/>
            <w:tcBorders>
              <w:top w:val="nil"/>
              <w:left w:val="nil"/>
              <w:bottom w:val="single" w:sz="4" w:space="0" w:color="auto"/>
              <w:right w:val="single" w:sz="8" w:space="0" w:color="auto"/>
            </w:tcBorders>
            <w:shd w:val="clear" w:color="auto" w:fill="auto"/>
            <w:noWrap/>
            <w:vAlign w:val="bottom"/>
            <w:hideMark/>
          </w:tcPr>
          <w:p w14:paraId="49CA02EF"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 </w:t>
            </w:r>
            <w:r w:rsidR="003A2FEB">
              <w:rPr>
                <w:rFonts w:ascii="Calibri" w:eastAsia="Times New Roman" w:hAnsi="Calibri" w:cs="Calibri"/>
                <w:color w:val="000000"/>
                <w:lang w:eastAsia="fr-FR"/>
              </w:rPr>
              <w:t>Maladies Non Transmissibles</w:t>
            </w:r>
          </w:p>
        </w:tc>
      </w:tr>
      <w:tr w:rsidR="0047090C" w:rsidRPr="0047090C" w14:paraId="6AA7ED0A" w14:textId="77777777" w:rsidTr="0047090C">
        <w:trPr>
          <w:trHeight w:val="300"/>
        </w:trPr>
        <w:tc>
          <w:tcPr>
            <w:tcW w:w="1200" w:type="dxa"/>
            <w:tcBorders>
              <w:top w:val="nil"/>
              <w:left w:val="single" w:sz="8" w:space="0" w:color="auto"/>
              <w:bottom w:val="single" w:sz="4" w:space="0" w:color="auto"/>
              <w:right w:val="single" w:sz="4" w:space="0" w:color="auto"/>
            </w:tcBorders>
            <w:shd w:val="clear" w:color="auto" w:fill="auto"/>
            <w:noWrap/>
            <w:vAlign w:val="bottom"/>
            <w:hideMark/>
          </w:tcPr>
          <w:p w14:paraId="45D2432E"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ODD</w:t>
            </w:r>
          </w:p>
        </w:tc>
        <w:tc>
          <w:tcPr>
            <w:tcW w:w="7240" w:type="dxa"/>
            <w:tcBorders>
              <w:top w:val="nil"/>
              <w:left w:val="nil"/>
              <w:bottom w:val="single" w:sz="4" w:space="0" w:color="auto"/>
              <w:right w:val="single" w:sz="8" w:space="0" w:color="auto"/>
            </w:tcBorders>
            <w:shd w:val="clear" w:color="auto" w:fill="auto"/>
            <w:noWrap/>
            <w:vAlign w:val="bottom"/>
            <w:hideMark/>
          </w:tcPr>
          <w:p w14:paraId="2E681986"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 </w:t>
            </w:r>
            <w:r w:rsidR="003A2FEB">
              <w:rPr>
                <w:rFonts w:ascii="Calibri" w:eastAsia="Times New Roman" w:hAnsi="Calibri" w:cs="Calibri"/>
                <w:color w:val="000000"/>
                <w:lang w:eastAsia="fr-FR"/>
              </w:rPr>
              <w:t>Objectif de Développement Durable</w:t>
            </w:r>
          </w:p>
        </w:tc>
      </w:tr>
      <w:tr w:rsidR="0047090C" w:rsidRPr="0047090C" w14:paraId="7366385D" w14:textId="77777777" w:rsidTr="0047090C">
        <w:trPr>
          <w:trHeight w:val="300"/>
        </w:trPr>
        <w:tc>
          <w:tcPr>
            <w:tcW w:w="1200" w:type="dxa"/>
            <w:tcBorders>
              <w:top w:val="nil"/>
              <w:left w:val="single" w:sz="8" w:space="0" w:color="auto"/>
              <w:bottom w:val="single" w:sz="4" w:space="0" w:color="auto"/>
              <w:right w:val="single" w:sz="4" w:space="0" w:color="auto"/>
            </w:tcBorders>
            <w:shd w:val="clear" w:color="auto" w:fill="auto"/>
            <w:noWrap/>
            <w:vAlign w:val="bottom"/>
            <w:hideMark/>
          </w:tcPr>
          <w:p w14:paraId="473D7DC9"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ONPPC</w:t>
            </w:r>
          </w:p>
        </w:tc>
        <w:tc>
          <w:tcPr>
            <w:tcW w:w="7240" w:type="dxa"/>
            <w:tcBorders>
              <w:top w:val="nil"/>
              <w:left w:val="nil"/>
              <w:bottom w:val="single" w:sz="4" w:space="0" w:color="auto"/>
              <w:right w:val="single" w:sz="8" w:space="0" w:color="auto"/>
            </w:tcBorders>
            <w:shd w:val="clear" w:color="auto" w:fill="auto"/>
            <w:noWrap/>
            <w:vAlign w:val="bottom"/>
            <w:hideMark/>
          </w:tcPr>
          <w:p w14:paraId="1D0F6A1A"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 </w:t>
            </w:r>
            <w:r w:rsidR="003A2FEB" w:rsidRPr="003A2FEB">
              <w:rPr>
                <w:rFonts w:ascii="Calibri" w:eastAsia="Times New Roman" w:hAnsi="Calibri" w:cs="Calibri"/>
                <w:color w:val="000000"/>
                <w:lang w:eastAsia="fr-FR"/>
              </w:rPr>
              <w:t>Office National des Produits Pharmaceutiques et Chimiques</w:t>
            </w:r>
          </w:p>
        </w:tc>
      </w:tr>
      <w:tr w:rsidR="0047090C" w:rsidRPr="0047090C" w14:paraId="2CE221C5" w14:textId="77777777" w:rsidTr="0047090C">
        <w:trPr>
          <w:trHeight w:val="300"/>
        </w:trPr>
        <w:tc>
          <w:tcPr>
            <w:tcW w:w="1200" w:type="dxa"/>
            <w:tcBorders>
              <w:top w:val="nil"/>
              <w:left w:val="single" w:sz="8" w:space="0" w:color="auto"/>
              <w:bottom w:val="single" w:sz="4" w:space="0" w:color="auto"/>
              <w:right w:val="single" w:sz="4" w:space="0" w:color="auto"/>
            </w:tcBorders>
            <w:shd w:val="clear" w:color="auto" w:fill="auto"/>
            <w:noWrap/>
            <w:vAlign w:val="bottom"/>
            <w:hideMark/>
          </w:tcPr>
          <w:p w14:paraId="338D4E95"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PAA</w:t>
            </w:r>
          </w:p>
        </w:tc>
        <w:tc>
          <w:tcPr>
            <w:tcW w:w="7240" w:type="dxa"/>
            <w:tcBorders>
              <w:top w:val="nil"/>
              <w:left w:val="nil"/>
              <w:bottom w:val="single" w:sz="4" w:space="0" w:color="auto"/>
              <w:right w:val="single" w:sz="8" w:space="0" w:color="auto"/>
            </w:tcBorders>
            <w:shd w:val="clear" w:color="auto" w:fill="auto"/>
            <w:noWrap/>
            <w:vAlign w:val="bottom"/>
            <w:hideMark/>
          </w:tcPr>
          <w:p w14:paraId="4F0C7B47"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 </w:t>
            </w:r>
            <w:r w:rsidR="000B5EFA">
              <w:rPr>
                <w:rFonts w:ascii="Calibri" w:eastAsia="Times New Roman" w:hAnsi="Calibri" w:cs="Calibri"/>
                <w:color w:val="000000"/>
                <w:lang w:eastAsia="fr-FR"/>
              </w:rPr>
              <w:t>Plans d’Actions Annuels</w:t>
            </w:r>
          </w:p>
        </w:tc>
      </w:tr>
      <w:tr w:rsidR="0047090C" w:rsidRPr="0047090C" w14:paraId="6CC33D5C" w14:textId="77777777" w:rsidTr="0047090C">
        <w:trPr>
          <w:trHeight w:val="300"/>
        </w:trPr>
        <w:tc>
          <w:tcPr>
            <w:tcW w:w="1200" w:type="dxa"/>
            <w:tcBorders>
              <w:top w:val="nil"/>
              <w:left w:val="single" w:sz="8" w:space="0" w:color="auto"/>
              <w:bottom w:val="single" w:sz="4" w:space="0" w:color="auto"/>
              <w:right w:val="single" w:sz="4" w:space="0" w:color="auto"/>
            </w:tcBorders>
            <w:shd w:val="clear" w:color="auto" w:fill="auto"/>
            <w:noWrap/>
            <w:vAlign w:val="bottom"/>
            <w:hideMark/>
          </w:tcPr>
          <w:p w14:paraId="7A364746"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PAP</w:t>
            </w:r>
          </w:p>
        </w:tc>
        <w:tc>
          <w:tcPr>
            <w:tcW w:w="7240" w:type="dxa"/>
            <w:tcBorders>
              <w:top w:val="nil"/>
              <w:left w:val="nil"/>
              <w:bottom w:val="single" w:sz="4" w:space="0" w:color="auto"/>
              <w:right w:val="single" w:sz="8" w:space="0" w:color="auto"/>
            </w:tcBorders>
            <w:shd w:val="clear" w:color="auto" w:fill="auto"/>
            <w:noWrap/>
            <w:vAlign w:val="bottom"/>
            <w:hideMark/>
          </w:tcPr>
          <w:p w14:paraId="0F5937ED"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 </w:t>
            </w:r>
            <w:r w:rsidR="000B5EFA">
              <w:rPr>
                <w:rFonts w:ascii="Calibri" w:eastAsia="Times New Roman" w:hAnsi="Calibri" w:cs="Calibri"/>
                <w:color w:val="000000"/>
                <w:lang w:eastAsia="fr-FR"/>
              </w:rPr>
              <w:t>P</w:t>
            </w:r>
            <w:r w:rsidR="007A2854">
              <w:rPr>
                <w:rFonts w:ascii="Calibri" w:eastAsia="Times New Roman" w:hAnsi="Calibri" w:cs="Calibri"/>
                <w:color w:val="000000"/>
                <w:lang w:eastAsia="fr-FR"/>
              </w:rPr>
              <w:t xml:space="preserve">rojet </w:t>
            </w:r>
            <w:r w:rsidR="000B5EFA">
              <w:rPr>
                <w:rFonts w:ascii="Calibri" w:eastAsia="Times New Roman" w:hAnsi="Calibri" w:cs="Calibri"/>
                <w:color w:val="000000"/>
                <w:lang w:eastAsia="fr-FR"/>
              </w:rPr>
              <w:t>A</w:t>
            </w:r>
            <w:r w:rsidR="007A2854">
              <w:rPr>
                <w:rFonts w:ascii="Calibri" w:eastAsia="Times New Roman" w:hAnsi="Calibri" w:cs="Calibri"/>
                <w:color w:val="000000"/>
                <w:lang w:eastAsia="fr-FR"/>
              </w:rPr>
              <w:t xml:space="preserve">nnuel </w:t>
            </w:r>
            <w:r w:rsidR="00DB64ED">
              <w:rPr>
                <w:rFonts w:ascii="Calibri" w:eastAsia="Times New Roman" w:hAnsi="Calibri" w:cs="Calibri"/>
                <w:color w:val="000000"/>
                <w:lang w:eastAsia="fr-FR"/>
              </w:rPr>
              <w:t xml:space="preserve">de </w:t>
            </w:r>
            <w:r w:rsidR="000B5EFA">
              <w:rPr>
                <w:rFonts w:ascii="Calibri" w:eastAsia="Times New Roman" w:hAnsi="Calibri" w:cs="Calibri"/>
                <w:color w:val="000000"/>
                <w:lang w:eastAsia="fr-FR"/>
              </w:rPr>
              <w:t>P</w:t>
            </w:r>
            <w:r w:rsidR="00DB64ED">
              <w:rPr>
                <w:rFonts w:ascii="Calibri" w:eastAsia="Times New Roman" w:hAnsi="Calibri" w:cs="Calibri"/>
                <w:color w:val="000000"/>
                <w:lang w:eastAsia="fr-FR"/>
              </w:rPr>
              <w:t>e</w:t>
            </w:r>
            <w:r w:rsidR="000B5EFA">
              <w:rPr>
                <w:rFonts w:ascii="Calibri" w:eastAsia="Times New Roman" w:hAnsi="Calibri" w:cs="Calibri"/>
                <w:color w:val="000000"/>
                <w:lang w:eastAsia="fr-FR"/>
              </w:rPr>
              <w:t>r</w:t>
            </w:r>
            <w:r w:rsidR="00DB64ED">
              <w:rPr>
                <w:rFonts w:ascii="Calibri" w:eastAsia="Times New Roman" w:hAnsi="Calibri" w:cs="Calibri"/>
                <w:color w:val="000000"/>
                <w:lang w:eastAsia="fr-FR"/>
              </w:rPr>
              <w:t>formance</w:t>
            </w:r>
          </w:p>
        </w:tc>
      </w:tr>
      <w:tr w:rsidR="0047090C" w:rsidRPr="0047090C" w14:paraId="639BED69" w14:textId="77777777" w:rsidTr="0047090C">
        <w:trPr>
          <w:trHeight w:val="300"/>
        </w:trPr>
        <w:tc>
          <w:tcPr>
            <w:tcW w:w="1200" w:type="dxa"/>
            <w:tcBorders>
              <w:top w:val="nil"/>
              <w:left w:val="single" w:sz="8" w:space="0" w:color="auto"/>
              <w:bottom w:val="single" w:sz="4" w:space="0" w:color="auto"/>
              <w:right w:val="single" w:sz="4" w:space="0" w:color="auto"/>
            </w:tcBorders>
            <w:shd w:val="clear" w:color="auto" w:fill="auto"/>
            <w:noWrap/>
            <w:vAlign w:val="bottom"/>
            <w:hideMark/>
          </w:tcPr>
          <w:p w14:paraId="1915F074"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PCA</w:t>
            </w:r>
          </w:p>
        </w:tc>
        <w:tc>
          <w:tcPr>
            <w:tcW w:w="7240" w:type="dxa"/>
            <w:tcBorders>
              <w:top w:val="nil"/>
              <w:left w:val="nil"/>
              <w:bottom w:val="single" w:sz="4" w:space="0" w:color="auto"/>
              <w:right w:val="single" w:sz="8" w:space="0" w:color="auto"/>
            </w:tcBorders>
            <w:shd w:val="clear" w:color="auto" w:fill="auto"/>
            <w:noWrap/>
            <w:vAlign w:val="bottom"/>
            <w:hideMark/>
          </w:tcPr>
          <w:p w14:paraId="79B659B2"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 </w:t>
            </w:r>
            <w:r w:rsidR="003A2FEB">
              <w:rPr>
                <w:rFonts w:ascii="Calibri" w:eastAsia="Times New Roman" w:hAnsi="Calibri" w:cs="Calibri"/>
                <w:color w:val="000000"/>
                <w:lang w:eastAsia="fr-FR"/>
              </w:rPr>
              <w:t>Paquet Complémentaire d’Activités</w:t>
            </w:r>
          </w:p>
        </w:tc>
      </w:tr>
      <w:tr w:rsidR="0047090C" w:rsidRPr="0047090C" w14:paraId="73D40182" w14:textId="77777777" w:rsidTr="0047090C">
        <w:trPr>
          <w:trHeight w:val="300"/>
        </w:trPr>
        <w:tc>
          <w:tcPr>
            <w:tcW w:w="1200" w:type="dxa"/>
            <w:tcBorders>
              <w:top w:val="nil"/>
              <w:left w:val="single" w:sz="8" w:space="0" w:color="auto"/>
              <w:bottom w:val="single" w:sz="4" w:space="0" w:color="auto"/>
              <w:right w:val="single" w:sz="4" w:space="0" w:color="auto"/>
            </w:tcBorders>
            <w:shd w:val="clear" w:color="auto" w:fill="auto"/>
            <w:noWrap/>
            <w:vAlign w:val="bottom"/>
            <w:hideMark/>
          </w:tcPr>
          <w:p w14:paraId="6FEFB6C6"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PDS</w:t>
            </w:r>
          </w:p>
        </w:tc>
        <w:tc>
          <w:tcPr>
            <w:tcW w:w="7240" w:type="dxa"/>
            <w:tcBorders>
              <w:top w:val="nil"/>
              <w:left w:val="nil"/>
              <w:bottom w:val="single" w:sz="4" w:space="0" w:color="auto"/>
              <w:right w:val="single" w:sz="8" w:space="0" w:color="auto"/>
            </w:tcBorders>
            <w:shd w:val="clear" w:color="auto" w:fill="auto"/>
            <w:noWrap/>
            <w:vAlign w:val="bottom"/>
            <w:hideMark/>
          </w:tcPr>
          <w:p w14:paraId="5A43BDC4"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 </w:t>
            </w:r>
            <w:r w:rsidR="003A2FEB">
              <w:rPr>
                <w:rFonts w:ascii="Calibri" w:eastAsia="Times New Roman" w:hAnsi="Calibri" w:cs="Calibri"/>
                <w:color w:val="000000"/>
                <w:lang w:eastAsia="fr-FR"/>
              </w:rPr>
              <w:t>P</w:t>
            </w:r>
            <w:r w:rsidR="000B5EFA">
              <w:rPr>
                <w:rFonts w:ascii="Calibri" w:eastAsia="Times New Roman" w:hAnsi="Calibri" w:cs="Calibri"/>
                <w:color w:val="000000"/>
                <w:lang w:eastAsia="fr-FR"/>
              </w:rPr>
              <w:t>lan</w:t>
            </w:r>
            <w:r w:rsidR="003A2FEB">
              <w:rPr>
                <w:rFonts w:ascii="Calibri" w:eastAsia="Times New Roman" w:hAnsi="Calibri" w:cs="Calibri"/>
                <w:color w:val="000000"/>
                <w:lang w:eastAsia="fr-FR"/>
              </w:rPr>
              <w:t xml:space="preserve"> de Développement Sanitaire</w:t>
            </w:r>
          </w:p>
        </w:tc>
      </w:tr>
      <w:tr w:rsidR="0047090C" w:rsidRPr="0047090C" w14:paraId="5E3392B7" w14:textId="77777777" w:rsidTr="0047090C">
        <w:trPr>
          <w:trHeight w:val="300"/>
        </w:trPr>
        <w:tc>
          <w:tcPr>
            <w:tcW w:w="1200" w:type="dxa"/>
            <w:tcBorders>
              <w:top w:val="nil"/>
              <w:left w:val="single" w:sz="8" w:space="0" w:color="auto"/>
              <w:bottom w:val="single" w:sz="4" w:space="0" w:color="auto"/>
              <w:right w:val="single" w:sz="4" w:space="0" w:color="auto"/>
            </w:tcBorders>
            <w:shd w:val="clear" w:color="auto" w:fill="auto"/>
            <w:noWrap/>
            <w:vAlign w:val="bottom"/>
            <w:hideMark/>
          </w:tcPr>
          <w:p w14:paraId="274ADB5A"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PDES</w:t>
            </w:r>
          </w:p>
        </w:tc>
        <w:tc>
          <w:tcPr>
            <w:tcW w:w="7240" w:type="dxa"/>
            <w:tcBorders>
              <w:top w:val="nil"/>
              <w:left w:val="nil"/>
              <w:bottom w:val="single" w:sz="4" w:space="0" w:color="auto"/>
              <w:right w:val="single" w:sz="8" w:space="0" w:color="auto"/>
            </w:tcBorders>
            <w:shd w:val="clear" w:color="auto" w:fill="auto"/>
            <w:noWrap/>
            <w:vAlign w:val="bottom"/>
            <w:hideMark/>
          </w:tcPr>
          <w:p w14:paraId="7DCDE0BC"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 </w:t>
            </w:r>
            <w:r w:rsidR="00971E95">
              <w:rPr>
                <w:rFonts w:ascii="Calibri" w:eastAsia="Times New Roman" w:hAnsi="Calibri" w:cs="Calibri"/>
                <w:color w:val="000000"/>
                <w:lang w:eastAsia="fr-FR"/>
              </w:rPr>
              <w:t xml:space="preserve">Plan </w:t>
            </w:r>
            <w:r w:rsidR="003A2FEB">
              <w:rPr>
                <w:rFonts w:ascii="Calibri" w:eastAsia="Times New Roman" w:hAnsi="Calibri" w:cs="Calibri"/>
                <w:color w:val="000000"/>
                <w:lang w:eastAsia="fr-FR"/>
              </w:rPr>
              <w:t>de Développement Economique et Social</w:t>
            </w:r>
          </w:p>
        </w:tc>
      </w:tr>
      <w:tr w:rsidR="0047090C" w:rsidRPr="0047090C" w14:paraId="2EBDCEDD" w14:textId="77777777" w:rsidTr="0047090C">
        <w:trPr>
          <w:trHeight w:val="300"/>
        </w:trPr>
        <w:tc>
          <w:tcPr>
            <w:tcW w:w="1200" w:type="dxa"/>
            <w:tcBorders>
              <w:top w:val="nil"/>
              <w:left w:val="single" w:sz="8" w:space="0" w:color="auto"/>
              <w:bottom w:val="single" w:sz="4" w:space="0" w:color="auto"/>
              <w:right w:val="single" w:sz="4" w:space="0" w:color="auto"/>
            </w:tcBorders>
            <w:shd w:val="clear" w:color="auto" w:fill="auto"/>
            <w:noWrap/>
            <w:vAlign w:val="bottom"/>
            <w:hideMark/>
          </w:tcPr>
          <w:p w14:paraId="7B907196"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PEV</w:t>
            </w:r>
          </w:p>
        </w:tc>
        <w:tc>
          <w:tcPr>
            <w:tcW w:w="7240" w:type="dxa"/>
            <w:tcBorders>
              <w:top w:val="nil"/>
              <w:left w:val="nil"/>
              <w:bottom w:val="single" w:sz="4" w:space="0" w:color="auto"/>
              <w:right w:val="single" w:sz="8" w:space="0" w:color="auto"/>
            </w:tcBorders>
            <w:shd w:val="clear" w:color="auto" w:fill="auto"/>
            <w:noWrap/>
            <w:vAlign w:val="bottom"/>
            <w:hideMark/>
          </w:tcPr>
          <w:p w14:paraId="6F62720A"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 </w:t>
            </w:r>
            <w:r w:rsidR="003A2FEB">
              <w:rPr>
                <w:rFonts w:ascii="Calibri" w:eastAsia="Times New Roman" w:hAnsi="Calibri" w:cs="Calibri"/>
                <w:color w:val="000000"/>
                <w:lang w:eastAsia="fr-FR"/>
              </w:rPr>
              <w:t>Programme Elargi de Vaccination</w:t>
            </w:r>
          </w:p>
        </w:tc>
      </w:tr>
      <w:tr w:rsidR="0047090C" w:rsidRPr="0047090C" w14:paraId="2CE99DAD" w14:textId="77777777" w:rsidTr="0047090C">
        <w:trPr>
          <w:trHeight w:val="300"/>
        </w:trPr>
        <w:tc>
          <w:tcPr>
            <w:tcW w:w="1200" w:type="dxa"/>
            <w:tcBorders>
              <w:top w:val="nil"/>
              <w:left w:val="single" w:sz="8" w:space="0" w:color="auto"/>
              <w:bottom w:val="single" w:sz="4" w:space="0" w:color="auto"/>
              <w:right w:val="single" w:sz="4" w:space="0" w:color="auto"/>
            </w:tcBorders>
            <w:shd w:val="clear" w:color="auto" w:fill="auto"/>
            <w:noWrap/>
            <w:vAlign w:val="bottom"/>
            <w:hideMark/>
          </w:tcPr>
          <w:p w14:paraId="42B5B70C"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PIB</w:t>
            </w:r>
          </w:p>
        </w:tc>
        <w:tc>
          <w:tcPr>
            <w:tcW w:w="7240" w:type="dxa"/>
            <w:tcBorders>
              <w:top w:val="nil"/>
              <w:left w:val="nil"/>
              <w:bottom w:val="single" w:sz="4" w:space="0" w:color="auto"/>
              <w:right w:val="single" w:sz="8" w:space="0" w:color="auto"/>
            </w:tcBorders>
            <w:shd w:val="clear" w:color="auto" w:fill="auto"/>
            <w:noWrap/>
            <w:vAlign w:val="bottom"/>
            <w:hideMark/>
          </w:tcPr>
          <w:p w14:paraId="503C1B21"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 </w:t>
            </w:r>
            <w:r w:rsidR="003A2FEB">
              <w:rPr>
                <w:rFonts w:ascii="Calibri" w:eastAsia="Times New Roman" w:hAnsi="Calibri" w:cs="Calibri"/>
                <w:color w:val="000000"/>
                <w:lang w:eastAsia="fr-FR"/>
              </w:rPr>
              <w:t>Produit Intérieur Brut</w:t>
            </w:r>
          </w:p>
        </w:tc>
      </w:tr>
      <w:tr w:rsidR="0047090C" w:rsidRPr="0047090C" w14:paraId="41C2C972" w14:textId="77777777" w:rsidTr="0047090C">
        <w:trPr>
          <w:trHeight w:val="300"/>
        </w:trPr>
        <w:tc>
          <w:tcPr>
            <w:tcW w:w="1200" w:type="dxa"/>
            <w:tcBorders>
              <w:top w:val="nil"/>
              <w:left w:val="single" w:sz="8" w:space="0" w:color="auto"/>
              <w:bottom w:val="single" w:sz="4" w:space="0" w:color="auto"/>
              <w:right w:val="single" w:sz="4" w:space="0" w:color="auto"/>
            </w:tcBorders>
            <w:shd w:val="clear" w:color="auto" w:fill="auto"/>
            <w:noWrap/>
            <w:vAlign w:val="bottom"/>
            <w:hideMark/>
          </w:tcPr>
          <w:p w14:paraId="1952C3C7"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PMA</w:t>
            </w:r>
          </w:p>
        </w:tc>
        <w:tc>
          <w:tcPr>
            <w:tcW w:w="7240" w:type="dxa"/>
            <w:tcBorders>
              <w:top w:val="nil"/>
              <w:left w:val="nil"/>
              <w:bottom w:val="single" w:sz="4" w:space="0" w:color="auto"/>
              <w:right w:val="single" w:sz="8" w:space="0" w:color="auto"/>
            </w:tcBorders>
            <w:shd w:val="clear" w:color="auto" w:fill="auto"/>
            <w:noWrap/>
            <w:vAlign w:val="bottom"/>
            <w:hideMark/>
          </w:tcPr>
          <w:p w14:paraId="172D592D"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 </w:t>
            </w:r>
            <w:r w:rsidR="003A2FEB">
              <w:rPr>
                <w:rFonts w:ascii="Calibri" w:eastAsia="Times New Roman" w:hAnsi="Calibri" w:cs="Calibri"/>
                <w:color w:val="000000"/>
                <w:lang w:eastAsia="fr-FR"/>
              </w:rPr>
              <w:t>Paquet Minimum d’Activités</w:t>
            </w:r>
          </w:p>
        </w:tc>
      </w:tr>
      <w:tr w:rsidR="0047090C" w:rsidRPr="0047090C" w14:paraId="01A7ECD2" w14:textId="77777777" w:rsidTr="0047090C">
        <w:trPr>
          <w:trHeight w:val="300"/>
        </w:trPr>
        <w:tc>
          <w:tcPr>
            <w:tcW w:w="1200" w:type="dxa"/>
            <w:tcBorders>
              <w:top w:val="nil"/>
              <w:left w:val="single" w:sz="8" w:space="0" w:color="auto"/>
              <w:bottom w:val="single" w:sz="4" w:space="0" w:color="auto"/>
              <w:right w:val="single" w:sz="4" w:space="0" w:color="auto"/>
            </w:tcBorders>
            <w:shd w:val="clear" w:color="auto" w:fill="auto"/>
            <w:noWrap/>
            <w:vAlign w:val="bottom"/>
            <w:hideMark/>
          </w:tcPr>
          <w:p w14:paraId="68B6F9CC"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PNB</w:t>
            </w:r>
          </w:p>
        </w:tc>
        <w:tc>
          <w:tcPr>
            <w:tcW w:w="7240" w:type="dxa"/>
            <w:tcBorders>
              <w:top w:val="nil"/>
              <w:left w:val="nil"/>
              <w:bottom w:val="single" w:sz="4" w:space="0" w:color="auto"/>
              <w:right w:val="single" w:sz="8" w:space="0" w:color="auto"/>
            </w:tcBorders>
            <w:shd w:val="clear" w:color="auto" w:fill="auto"/>
            <w:noWrap/>
            <w:vAlign w:val="bottom"/>
            <w:hideMark/>
          </w:tcPr>
          <w:p w14:paraId="4E99E9B7"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 </w:t>
            </w:r>
            <w:r w:rsidR="003A2FEB">
              <w:rPr>
                <w:rFonts w:ascii="Calibri" w:eastAsia="Times New Roman" w:hAnsi="Calibri" w:cs="Calibri"/>
                <w:color w:val="000000"/>
                <w:lang w:eastAsia="fr-FR"/>
              </w:rPr>
              <w:t>Produit National Brut</w:t>
            </w:r>
          </w:p>
        </w:tc>
      </w:tr>
      <w:tr w:rsidR="0047090C" w:rsidRPr="0047090C" w14:paraId="1CD933C3" w14:textId="77777777" w:rsidTr="0047090C">
        <w:trPr>
          <w:trHeight w:val="300"/>
        </w:trPr>
        <w:tc>
          <w:tcPr>
            <w:tcW w:w="1200" w:type="dxa"/>
            <w:tcBorders>
              <w:top w:val="nil"/>
              <w:left w:val="single" w:sz="8" w:space="0" w:color="auto"/>
              <w:bottom w:val="single" w:sz="4" w:space="0" w:color="auto"/>
              <w:right w:val="single" w:sz="4" w:space="0" w:color="auto"/>
            </w:tcBorders>
            <w:shd w:val="clear" w:color="auto" w:fill="auto"/>
            <w:noWrap/>
            <w:vAlign w:val="bottom"/>
            <w:hideMark/>
          </w:tcPr>
          <w:p w14:paraId="2234F7E0"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PNSN</w:t>
            </w:r>
          </w:p>
        </w:tc>
        <w:tc>
          <w:tcPr>
            <w:tcW w:w="7240" w:type="dxa"/>
            <w:tcBorders>
              <w:top w:val="nil"/>
              <w:left w:val="nil"/>
              <w:bottom w:val="single" w:sz="4" w:space="0" w:color="auto"/>
              <w:right w:val="single" w:sz="8" w:space="0" w:color="auto"/>
            </w:tcBorders>
            <w:shd w:val="clear" w:color="auto" w:fill="auto"/>
            <w:noWrap/>
            <w:vAlign w:val="bottom"/>
            <w:hideMark/>
          </w:tcPr>
          <w:p w14:paraId="65162012"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 </w:t>
            </w:r>
            <w:r w:rsidR="003A2FEB" w:rsidRPr="003A2FEB">
              <w:rPr>
                <w:rFonts w:ascii="Calibri" w:eastAsia="Times New Roman" w:hAnsi="Calibri" w:cs="Calibri"/>
                <w:color w:val="000000"/>
                <w:lang w:eastAsia="fr-FR"/>
              </w:rPr>
              <w:t>Politique Nationale de Sécurité Nutritionnelle</w:t>
            </w:r>
          </w:p>
        </w:tc>
      </w:tr>
      <w:tr w:rsidR="0047090C" w:rsidRPr="0047090C" w14:paraId="7EC38885" w14:textId="77777777" w:rsidTr="0047090C">
        <w:trPr>
          <w:trHeight w:val="300"/>
        </w:trPr>
        <w:tc>
          <w:tcPr>
            <w:tcW w:w="1200" w:type="dxa"/>
            <w:tcBorders>
              <w:top w:val="nil"/>
              <w:left w:val="single" w:sz="8" w:space="0" w:color="auto"/>
              <w:bottom w:val="single" w:sz="4" w:space="0" w:color="auto"/>
              <w:right w:val="single" w:sz="4" w:space="0" w:color="auto"/>
            </w:tcBorders>
            <w:shd w:val="clear" w:color="auto" w:fill="auto"/>
            <w:noWrap/>
            <w:vAlign w:val="bottom"/>
            <w:hideMark/>
          </w:tcPr>
          <w:p w14:paraId="53A37A22"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PIB</w:t>
            </w:r>
          </w:p>
        </w:tc>
        <w:tc>
          <w:tcPr>
            <w:tcW w:w="7240" w:type="dxa"/>
            <w:tcBorders>
              <w:top w:val="nil"/>
              <w:left w:val="nil"/>
              <w:bottom w:val="single" w:sz="4" w:space="0" w:color="auto"/>
              <w:right w:val="single" w:sz="8" w:space="0" w:color="auto"/>
            </w:tcBorders>
            <w:shd w:val="clear" w:color="auto" w:fill="auto"/>
            <w:noWrap/>
            <w:vAlign w:val="bottom"/>
            <w:hideMark/>
          </w:tcPr>
          <w:p w14:paraId="41915054"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 </w:t>
            </w:r>
            <w:r w:rsidR="003A2FEB">
              <w:rPr>
                <w:rFonts w:ascii="Calibri" w:eastAsia="Times New Roman" w:hAnsi="Calibri" w:cs="Calibri"/>
                <w:color w:val="000000"/>
                <w:lang w:eastAsia="fr-FR"/>
              </w:rPr>
              <w:t>Produit Intérieur Brut</w:t>
            </w:r>
          </w:p>
        </w:tc>
      </w:tr>
      <w:tr w:rsidR="0047090C" w:rsidRPr="0047090C" w14:paraId="02C7DB5B" w14:textId="77777777" w:rsidTr="0047090C">
        <w:trPr>
          <w:trHeight w:val="300"/>
        </w:trPr>
        <w:tc>
          <w:tcPr>
            <w:tcW w:w="1200" w:type="dxa"/>
            <w:tcBorders>
              <w:top w:val="nil"/>
              <w:left w:val="single" w:sz="8" w:space="0" w:color="auto"/>
              <w:bottom w:val="single" w:sz="4" w:space="0" w:color="auto"/>
              <w:right w:val="single" w:sz="4" w:space="0" w:color="auto"/>
            </w:tcBorders>
            <w:shd w:val="clear" w:color="auto" w:fill="auto"/>
            <w:noWrap/>
            <w:vAlign w:val="bottom"/>
            <w:hideMark/>
          </w:tcPr>
          <w:p w14:paraId="2E5946A3"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lastRenderedPageBreak/>
              <w:t>PTF</w:t>
            </w:r>
          </w:p>
        </w:tc>
        <w:tc>
          <w:tcPr>
            <w:tcW w:w="7240" w:type="dxa"/>
            <w:tcBorders>
              <w:top w:val="nil"/>
              <w:left w:val="nil"/>
              <w:bottom w:val="single" w:sz="4" w:space="0" w:color="auto"/>
              <w:right w:val="single" w:sz="8" w:space="0" w:color="auto"/>
            </w:tcBorders>
            <w:shd w:val="clear" w:color="auto" w:fill="auto"/>
            <w:noWrap/>
            <w:vAlign w:val="bottom"/>
            <w:hideMark/>
          </w:tcPr>
          <w:p w14:paraId="31F7997B"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 </w:t>
            </w:r>
            <w:r w:rsidR="003A2FEB">
              <w:rPr>
                <w:rFonts w:ascii="Calibri" w:eastAsia="Times New Roman" w:hAnsi="Calibri" w:cs="Calibri"/>
                <w:color w:val="000000"/>
                <w:lang w:eastAsia="fr-FR"/>
              </w:rPr>
              <w:t>Partenaire Technique et Financier</w:t>
            </w:r>
          </w:p>
        </w:tc>
      </w:tr>
      <w:tr w:rsidR="0047090C" w:rsidRPr="0047090C" w14:paraId="06F24058" w14:textId="77777777" w:rsidTr="0047090C">
        <w:trPr>
          <w:trHeight w:val="300"/>
        </w:trPr>
        <w:tc>
          <w:tcPr>
            <w:tcW w:w="1200" w:type="dxa"/>
            <w:tcBorders>
              <w:top w:val="nil"/>
              <w:left w:val="single" w:sz="8" w:space="0" w:color="auto"/>
              <w:bottom w:val="single" w:sz="4" w:space="0" w:color="auto"/>
              <w:right w:val="single" w:sz="4" w:space="0" w:color="auto"/>
            </w:tcBorders>
            <w:shd w:val="clear" w:color="auto" w:fill="auto"/>
            <w:noWrap/>
            <w:vAlign w:val="bottom"/>
            <w:hideMark/>
          </w:tcPr>
          <w:p w14:paraId="4836D31A"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PRODEHA</w:t>
            </w:r>
          </w:p>
        </w:tc>
        <w:tc>
          <w:tcPr>
            <w:tcW w:w="7240" w:type="dxa"/>
            <w:tcBorders>
              <w:top w:val="nil"/>
              <w:left w:val="nil"/>
              <w:bottom w:val="single" w:sz="4" w:space="0" w:color="auto"/>
              <w:right w:val="single" w:sz="8" w:space="0" w:color="auto"/>
            </w:tcBorders>
            <w:shd w:val="clear" w:color="auto" w:fill="auto"/>
            <w:noWrap/>
            <w:vAlign w:val="bottom"/>
            <w:hideMark/>
          </w:tcPr>
          <w:p w14:paraId="7A4D6A41"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 </w:t>
            </w:r>
            <w:r w:rsidR="003A2FEB">
              <w:rPr>
                <w:rFonts w:ascii="Calibri" w:eastAsia="Times New Roman" w:hAnsi="Calibri" w:cs="Calibri"/>
                <w:color w:val="000000"/>
                <w:lang w:eastAsia="fr-FR"/>
              </w:rPr>
              <w:t>Programme de Développement de l’Eau, Hygiène et Assainissement</w:t>
            </w:r>
          </w:p>
        </w:tc>
      </w:tr>
      <w:tr w:rsidR="0047090C" w:rsidRPr="0047090C" w14:paraId="13A9C7E3" w14:textId="77777777" w:rsidTr="0047090C">
        <w:trPr>
          <w:trHeight w:val="300"/>
        </w:trPr>
        <w:tc>
          <w:tcPr>
            <w:tcW w:w="1200" w:type="dxa"/>
            <w:tcBorders>
              <w:top w:val="nil"/>
              <w:left w:val="single" w:sz="8" w:space="0" w:color="auto"/>
              <w:bottom w:val="single" w:sz="4" w:space="0" w:color="auto"/>
              <w:right w:val="single" w:sz="4" w:space="0" w:color="auto"/>
            </w:tcBorders>
            <w:shd w:val="clear" w:color="auto" w:fill="auto"/>
            <w:noWrap/>
            <w:vAlign w:val="bottom"/>
            <w:hideMark/>
          </w:tcPr>
          <w:p w14:paraId="169B25D8"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RAMO</w:t>
            </w:r>
          </w:p>
        </w:tc>
        <w:tc>
          <w:tcPr>
            <w:tcW w:w="7240" w:type="dxa"/>
            <w:tcBorders>
              <w:top w:val="nil"/>
              <w:left w:val="nil"/>
              <w:bottom w:val="single" w:sz="4" w:space="0" w:color="auto"/>
              <w:right w:val="single" w:sz="8" w:space="0" w:color="auto"/>
            </w:tcBorders>
            <w:shd w:val="clear" w:color="auto" w:fill="auto"/>
            <w:noWrap/>
            <w:vAlign w:val="bottom"/>
            <w:hideMark/>
          </w:tcPr>
          <w:p w14:paraId="590799F2"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 </w:t>
            </w:r>
            <w:r w:rsidR="000B5EFA">
              <w:rPr>
                <w:rFonts w:ascii="Calibri" w:eastAsia="Times New Roman" w:hAnsi="Calibri" w:cs="Calibri"/>
                <w:color w:val="000000"/>
                <w:lang w:eastAsia="fr-FR"/>
              </w:rPr>
              <w:t>Rapport Annuel de Mise en oe</w:t>
            </w:r>
            <w:r w:rsidR="00847E6C">
              <w:rPr>
                <w:rFonts w:ascii="Calibri" w:eastAsia="Times New Roman" w:hAnsi="Calibri" w:cs="Calibri"/>
                <w:color w:val="000000"/>
                <w:lang w:eastAsia="fr-FR"/>
              </w:rPr>
              <w:t>u</w:t>
            </w:r>
            <w:r w:rsidR="000B5EFA">
              <w:rPr>
                <w:rFonts w:ascii="Calibri" w:eastAsia="Times New Roman" w:hAnsi="Calibri" w:cs="Calibri"/>
                <w:color w:val="000000"/>
                <w:lang w:eastAsia="fr-FR"/>
              </w:rPr>
              <w:t>vre</w:t>
            </w:r>
          </w:p>
        </w:tc>
      </w:tr>
      <w:tr w:rsidR="0047090C" w:rsidRPr="0047090C" w14:paraId="4F47DAA0" w14:textId="77777777" w:rsidTr="0047090C">
        <w:trPr>
          <w:trHeight w:val="300"/>
        </w:trPr>
        <w:tc>
          <w:tcPr>
            <w:tcW w:w="1200" w:type="dxa"/>
            <w:tcBorders>
              <w:top w:val="nil"/>
              <w:left w:val="single" w:sz="8" w:space="0" w:color="auto"/>
              <w:bottom w:val="single" w:sz="4" w:space="0" w:color="auto"/>
              <w:right w:val="single" w:sz="4" w:space="0" w:color="auto"/>
            </w:tcBorders>
            <w:shd w:val="clear" w:color="auto" w:fill="auto"/>
            <w:noWrap/>
            <w:vAlign w:val="bottom"/>
            <w:hideMark/>
          </w:tcPr>
          <w:p w14:paraId="73660350"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RAP</w:t>
            </w:r>
          </w:p>
        </w:tc>
        <w:tc>
          <w:tcPr>
            <w:tcW w:w="7240" w:type="dxa"/>
            <w:tcBorders>
              <w:top w:val="nil"/>
              <w:left w:val="nil"/>
              <w:bottom w:val="single" w:sz="4" w:space="0" w:color="auto"/>
              <w:right w:val="single" w:sz="8" w:space="0" w:color="auto"/>
            </w:tcBorders>
            <w:shd w:val="clear" w:color="auto" w:fill="auto"/>
            <w:noWrap/>
            <w:vAlign w:val="bottom"/>
            <w:hideMark/>
          </w:tcPr>
          <w:p w14:paraId="2B9A0894"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 </w:t>
            </w:r>
            <w:r w:rsidR="00847E6C">
              <w:rPr>
                <w:rFonts w:ascii="Calibri" w:eastAsia="Times New Roman" w:hAnsi="Calibri" w:cs="Calibri"/>
                <w:color w:val="000000"/>
                <w:lang w:eastAsia="fr-FR"/>
              </w:rPr>
              <w:t>Rapport Annuel du Programme</w:t>
            </w:r>
          </w:p>
        </w:tc>
      </w:tr>
      <w:tr w:rsidR="0047090C" w:rsidRPr="0047090C" w14:paraId="3B0F48DA" w14:textId="77777777" w:rsidTr="0047090C">
        <w:trPr>
          <w:trHeight w:val="300"/>
        </w:trPr>
        <w:tc>
          <w:tcPr>
            <w:tcW w:w="1200" w:type="dxa"/>
            <w:tcBorders>
              <w:top w:val="nil"/>
              <w:left w:val="single" w:sz="8" w:space="0" w:color="auto"/>
              <w:bottom w:val="single" w:sz="4" w:space="0" w:color="auto"/>
              <w:right w:val="single" w:sz="4" w:space="0" w:color="auto"/>
            </w:tcBorders>
            <w:shd w:val="clear" w:color="auto" w:fill="auto"/>
            <w:noWrap/>
            <w:vAlign w:val="bottom"/>
            <w:hideMark/>
          </w:tcPr>
          <w:p w14:paraId="129B0332"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RGPH</w:t>
            </w:r>
          </w:p>
        </w:tc>
        <w:tc>
          <w:tcPr>
            <w:tcW w:w="7240" w:type="dxa"/>
            <w:tcBorders>
              <w:top w:val="nil"/>
              <w:left w:val="nil"/>
              <w:bottom w:val="single" w:sz="4" w:space="0" w:color="auto"/>
              <w:right w:val="single" w:sz="8" w:space="0" w:color="auto"/>
            </w:tcBorders>
            <w:shd w:val="clear" w:color="auto" w:fill="auto"/>
            <w:noWrap/>
            <w:vAlign w:val="bottom"/>
            <w:hideMark/>
          </w:tcPr>
          <w:p w14:paraId="5FD64B30" w14:textId="77777777" w:rsidR="0047090C" w:rsidRPr="0047090C" w:rsidRDefault="0047090C" w:rsidP="002A2CA3">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 </w:t>
            </w:r>
            <w:r w:rsidR="003A2FEB" w:rsidRPr="003A2FEB">
              <w:rPr>
                <w:rFonts w:ascii="Calibri" w:eastAsia="Times New Roman" w:hAnsi="Calibri" w:cs="Calibri"/>
                <w:color w:val="000000"/>
                <w:lang w:eastAsia="fr-FR"/>
              </w:rPr>
              <w:t>Recensement  Général de la Population et de l’</w:t>
            </w:r>
            <w:r w:rsidR="002A2CA3">
              <w:rPr>
                <w:rFonts w:ascii="Calibri" w:eastAsia="Times New Roman" w:hAnsi="Calibri" w:cs="Calibri"/>
                <w:color w:val="000000"/>
                <w:lang w:eastAsia="fr-FR"/>
              </w:rPr>
              <w:t>H</w:t>
            </w:r>
            <w:r w:rsidR="003A2FEB" w:rsidRPr="003A2FEB">
              <w:rPr>
                <w:rFonts w:ascii="Calibri" w:eastAsia="Times New Roman" w:hAnsi="Calibri" w:cs="Calibri"/>
                <w:color w:val="000000"/>
                <w:lang w:eastAsia="fr-FR"/>
              </w:rPr>
              <w:t>abitat</w:t>
            </w:r>
          </w:p>
        </w:tc>
      </w:tr>
      <w:tr w:rsidR="0047090C" w:rsidRPr="0047090C" w14:paraId="3D5C3323" w14:textId="77777777" w:rsidTr="0047090C">
        <w:trPr>
          <w:trHeight w:val="300"/>
        </w:trPr>
        <w:tc>
          <w:tcPr>
            <w:tcW w:w="1200" w:type="dxa"/>
            <w:tcBorders>
              <w:top w:val="nil"/>
              <w:left w:val="single" w:sz="8" w:space="0" w:color="auto"/>
              <w:bottom w:val="single" w:sz="4" w:space="0" w:color="auto"/>
              <w:right w:val="single" w:sz="4" w:space="0" w:color="auto"/>
            </w:tcBorders>
            <w:shd w:val="clear" w:color="auto" w:fill="auto"/>
            <w:noWrap/>
            <w:vAlign w:val="bottom"/>
            <w:hideMark/>
          </w:tcPr>
          <w:p w14:paraId="546AB9EC"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RHS</w:t>
            </w:r>
          </w:p>
        </w:tc>
        <w:tc>
          <w:tcPr>
            <w:tcW w:w="7240" w:type="dxa"/>
            <w:tcBorders>
              <w:top w:val="nil"/>
              <w:left w:val="nil"/>
              <w:bottom w:val="single" w:sz="4" w:space="0" w:color="auto"/>
              <w:right w:val="single" w:sz="8" w:space="0" w:color="auto"/>
            </w:tcBorders>
            <w:shd w:val="clear" w:color="auto" w:fill="auto"/>
            <w:noWrap/>
            <w:vAlign w:val="bottom"/>
            <w:hideMark/>
          </w:tcPr>
          <w:p w14:paraId="1D6B6DB3"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 </w:t>
            </w:r>
            <w:r w:rsidR="003A2FEB">
              <w:rPr>
                <w:rFonts w:ascii="Calibri" w:eastAsia="Times New Roman" w:hAnsi="Calibri" w:cs="Calibri"/>
                <w:color w:val="000000"/>
                <w:lang w:eastAsia="fr-FR"/>
              </w:rPr>
              <w:t>Ressources Humaines en Santé</w:t>
            </w:r>
          </w:p>
        </w:tc>
      </w:tr>
      <w:tr w:rsidR="0047090C" w:rsidRPr="0047090C" w14:paraId="6503B63E" w14:textId="77777777" w:rsidTr="0047090C">
        <w:trPr>
          <w:trHeight w:val="300"/>
        </w:trPr>
        <w:tc>
          <w:tcPr>
            <w:tcW w:w="1200" w:type="dxa"/>
            <w:tcBorders>
              <w:top w:val="nil"/>
              <w:left w:val="single" w:sz="8" w:space="0" w:color="auto"/>
              <w:bottom w:val="single" w:sz="4" w:space="0" w:color="auto"/>
              <w:right w:val="single" w:sz="4" w:space="0" w:color="auto"/>
            </w:tcBorders>
            <w:shd w:val="clear" w:color="auto" w:fill="auto"/>
            <w:noWrap/>
            <w:vAlign w:val="bottom"/>
            <w:hideMark/>
          </w:tcPr>
          <w:p w14:paraId="152287A8"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SDDE</w:t>
            </w:r>
          </w:p>
        </w:tc>
        <w:tc>
          <w:tcPr>
            <w:tcW w:w="7240" w:type="dxa"/>
            <w:tcBorders>
              <w:top w:val="nil"/>
              <w:left w:val="nil"/>
              <w:bottom w:val="single" w:sz="4" w:space="0" w:color="auto"/>
              <w:right w:val="single" w:sz="8" w:space="0" w:color="auto"/>
            </w:tcBorders>
            <w:shd w:val="clear" w:color="auto" w:fill="auto"/>
            <w:noWrap/>
            <w:vAlign w:val="bottom"/>
            <w:hideMark/>
          </w:tcPr>
          <w:p w14:paraId="68BAE583"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 </w:t>
            </w:r>
            <w:r w:rsidR="003A2FEB">
              <w:rPr>
                <w:rFonts w:ascii="Calibri" w:eastAsia="Times New Roman" w:hAnsi="Calibri" w:cs="Calibri"/>
                <w:color w:val="000000"/>
                <w:lang w:eastAsia="fr-FR"/>
              </w:rPr>
              <w:t>Stratégie de Développement Durable de l’élevage</w:t>
            </w:r>
          </w:p>
        </w:tc>
      </w:tr>
      <w:tr w:rsidR="0047090C" w:rsidRPr="0047090C" w14:paraId="24AC9450" w14:textId="77777777" w:rsidTr="0047090C">
        <w:trPr>
          <w:trHeight w:val="300"/>
        </w:trPr>
        <w:tc>
          <w:tcPr>
            <w:tcW w:w="1200" w:type="dxa"/>
            <w:tcBorders>
              <w:top w:val="nil"/>
              <w:left w:val="single" w:sz="8" w:space="0" w:color="auto"/>
              <w:bottom w:val="single" w:sz="4" w:space="0" w:color="auto"/>
              <w:right w:val="single" w:sz="4" w:space="0" w:color="auto"/>
            </w:tcBorders>
            <w:shd w:val="clear" w:color="auto" w:fill="auto"/>
            <w:noWrap/>
            <w:vAlign w:val="bottom"/>
            <w:hideMark/>
          </w:tcPr>
          <w:p w14:paraId="5A7358B1"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SIS</w:t>
            </w:r>
          </w:p>
        </w:tc>
        <w:tc>
          <w:tcPr>
            <w:tcW w:w="7240" w:type="dxa"/>
            <w:tcBorders>
              <w:top w:val="nil"/>
              <w:left w:val="nil"/>
              <w:bottom w:val="single" w:sz="4" w:space="0" w:color="auto"/>
              <w:right w:val="single" w:sz="8" w:space="0" w:color="auto"/>
            </w:tcBorders>
            <w:shd w:val="clear" w:color="auto" w:fill="auto"/>
            <w:noWrap/>
            <w:vAlign w:val="bottom"/>
            <w:hideMark/>
          </w:tcPr>
          <w:p w14:paraId="161E54EC"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 </w:t>
            </w:r>
            <w:r w:rsidR="003A2FEB">
              <w:rPr>
                <w:rFonts w:ascii="Calibri" w:eastAsia="Times New Roman" w:hAnsi="Calibri" w:cs="Calibri"/>
                <w:color w:val="000000"/>
                <w:lang w:eastAsia="fr-FR"/>
              </w:rPr>
              <w:t>Système d’Information Sanitaire</w:t>
            </w:r>
          </w:p>
        </w:tc>
      </w:tr>
      <w:tr w:rsidR="0047090C" w:rsidRPr="0047090C" w14:paraId="3E0C9339" w14:textId="77777777" w:rsidTr="0047090C">
        <w:trPr>
          <w:trHeight w:val="300"/>
        </w:trPr>
        <w:tc>
          <w:tcPr>
            <w:tcW w:w="1200" w:type="dxa"/>
            <w:tcBorders>
              <w:top w:val="nil"/>
              <w:left w:val="single" w:sz="8" w:space="0" w:color="auto"/>
              <w:bottom w:val="single" w:sz="4" w:space="0" w:color="auto"/>
              <w:right w:val="single" w:sz="4" w:space="0" w:color="auto"/>
            </w:tcBorders>
            <w:shd w:val="clear" w:color="auto" w:fill="auto"/>
            <w:noWrap/>
            <w:vAlign w:val="bottom"/>
            <w:hideMark/>
          </w:tcPr>
          <w:p w14:paraId="0BC28BD8"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SNIS</w:t>
            </w:r>
          </w:p>
        </w:tc>
        <w:tc>
          <w:tcPr>
            <w:tcW w:w="7240" w:type="dxa"/>
            <w:tcBorders>
              <w:top w:val="nil"/>
              <w:left w:val="nil"/>
              <w:bottom w:val="single" w:sz="4" w:space="0" w:color="auto"/>
              <w:right w:val="single" w:sz="8" w:space="0" w:color="auto"/>
            </w:tcBorders>
            <w:shd w:val="clear" w:color="auto" w:fill="auto"/>
            <w:noWrap/>
            <w:vAlign w:val="bottom"/>
            <w:hideMark/>
          </w:tcPr>
          <w:p w14:paraId="417B9B96"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 </w:t>
            </w:r>
            <w:r w:rsidR="003A2FEB">
              <w:rPr>
                <w:rFonts w:ascii="Calibri" w:eastAsia="Times New Roman" w:hAnsi="Calibri" w:cs="Calibri"/>
                <w:color w:val="000000"/>
                <w:lang w:eastAsia="fr-FR"/>
              </w:rPr>
              <w:t>Système National d’Information Sanitaire</w:t>
            </w:r>
          </w:p>
        </w:tc>
      </w:tr>
      <w:tr w:rsidR="0047090C" w:rsidRPr="0047090C" w14:paraId="41FE78AA" w14:textId="77777777" w:rsidTr="0047090C">
        <w:trPr>
          <w:trHeight w:val="300"/>
        </w:trPr>
        <w:tc>
          <w:tcPr>
            <w:tcW w:w="1200" w:type="dxa"/>
            <w:tcBorders>
              <w:top w:val="nil"/>
              <w:left w:val="single" w:sz="8" w:space="0" w:color="auto"/>
              <w:bottom w:val="single" w:sz="4" w:space="0" w:color="auto"/>
              <w:right w:val="single" w:sz="4" w:space="0" w:color="auto"/>
            </w:tcBorders>
            <w:shd w:val="clear" w:color="auto" w:fill="auto"/>
            <w:noWrap/>
            <w:vAlign w:val="bottom"/>
            <w:hideMark/>
          </w:tcPr>
          <w:p w14:paraId="0378C15C"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SUN</w:t>
            </w:r>
          </w:p>
        </w:tc>
        <w:tc>
          <w:tcPr>
            <w:tcW w:w="7240" w:type="dxa"/>
            <w:tcBorders>
              <w:top w:val="nil"/>
              <w:left w:val="nil"/>
              <w:bottom w:val="single" w:sz="4" w:space="0" w:color="auto"/>
              <w:right w:val="single" w:sz="8" w:space="0" w:color="auto"/>
            </w:tcBorders>
            <w:shd w:val="clear" w:color="auto" w:fill="auto"/>
            <w:noWrap/>
            <w:vAlign w:val="bottom"/>
            <w:hideMark/>
          </w:tcPr>
          <w:p w14:paraId="4A9E9D1F"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 </w:t>
            </w:r>
            <w:r w:rsidR="003A2FEB">
              <w:rPr>
                <w:rFonts w:ascii="Calibri" w:eastAsia="Times New Roman" w:hAnsi="Calibri" w:cs="Calibri"/>
                <w:color w:val="000000"/>
                <w:lang w:eastAsia="fr-FR"/>
              </w:rPr>
              <w:t>Scaling Up Nutrition (réseau)</w:t>
            </w:r>
          </w:p>
        </w:tc>
      </w:tr>
      <w:tr w:rsidR="0047090C" w:rsidRPr="0047090C" w14:paraId="387FAA57" w14:textId="77777777" w:rsidTr="0047090C">
        <w:trPr>
          <w:trHeight w:val="300"/>
        </w:trPr>
        <w:tc>
          <w:tcPr>
            <w:tcW w:w="1200" w:type="dxa"/>
            <w:tcBorders>
              <w:top w:val="nil"/>
              <w:left w:val="single" w:sz="8" w:space="0" w:color="auto"/>
              <w:bottom w:val="single" w:sz="4" w:space="0" w:color="auto"/>
              <w:right w:val="single" w:sz="4" w:space="0" w:color="auto"/>
            </w:tcBorders>
            <w:shd w:val="clear" w:color="auto" w:fill="auto"/>
            <w:noWrap/>
            <w:vAlign w:val="bottom"/>
            <w:hideMark/>
          </w:tcPr>
          <w:p w14:paraId="5A67F9C2"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TB</w:t>
            </w:r>
          </w:p>
        </w:tc>
        <w:tc>
          <w:tcPr>
            <w:tcW w:w="7240" w:type="dxa"/>
            <w:tcBorders>
              <w:top w:val="nil"/>
              <w:left w:val="nil"/>
              <w:bottom w:val="single" w:sz="4" w:space="0" w:color="auto"/>
              <w:right w:val="single" w:sz="8" w:space="0" w:color="auto"/>
            </w:tcBorders>
            <w:shd w:val="clear" w:color="auto" w:fill="auto"/>
            <w:noWrap/>
            <w:vAlign w:val="bottom"/>
            <w:hideMark/>
          </w:tcPr>
          <w:p w14:paraId="61E565CF"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 </w:t>
            </w:r>
            <w:r w:rsidR="003A2FEB">
              <w:rPr>
                <w:rFonts w:ascii="Calibri" w:eastAsia="Times New Roman" w:hAnsi="Calibri" w:cs="Calibri"/>
                <w:color w:val="000000"/>
                <w:lang w:eastAsia="fr-FR"/>
              </w:rPr>
              <w:t>Tuberculose</w:t>
            </w:r>
          </w:p>
        </w:tc>
      </w:tr>
      <w:tr w:rsidR="0047090C" w:rsidRPr="0047090C" w14:paraId="4F12D2F7" w14:textId="77777777" w:rsidTr="0047090C">
        <w:trPr>
          <w:trHeight w:val="315"/>
        </w:trPr>
        <w:tc>
          <w:tcPr>
            <w:tcW w:w="1200" w:type="dxa"/>
            <w:tcBorders>
              <w:top w:val="nil"/>
              <w:left w:val="single" w:sz="8" w:space="0" w:color="auto"/>
              <w:bottom w:val="single" w:sz="8" w:space="0" w:color="auto"/>
              <w:right w:val="single" w:sz="4" w:space="0" w:color="auto"/>
            </w:tcBorders>
            <w:shd w:val="clear" w:color="auto" w:fill="auto"/>
            <w:noWrap/>
            <w:vAlign w:val="bottom"/>
            <w:hideMark/>
          </w:tcPr>
          <w:p w14:paraId="14B693EA" w14:textId="77777777" w:rsidR="0047090C" w:rsidRPr="0047090C" w:rsidRDefault="0047090C" w:rsidP="0047090C">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UEMOA</w:t>
            </w:r>
          </w:p>
        </w:tc>
        <w:tc>
          <w:tcPr>
            <w:tcW w:w="7240" w:type="dxa"/>
            <w:tcBorders>
              <w:top w:val="nil"/>
              <w:left w:val="nil"/>
              <w:bottom w:val="single" w:sz="8" w:space="0" w:color="auto"/>
              <w:right w:val="single" w:sz="8" w:space="0" w:color="auto"/>
            </w:tcBorders>
            <w:shd w:val="clear" w:color="auto" w:fill="auto"/>
            <w:noWrap/>
            <w:vAlign w:val="bottom"/>
            <w:hideMark/>
          </w:tcPr>
          <w:p w14:paraId="3B553659" w14:textId="77777777" w:rsidR="0047090C" w:rsidRPr="0047090C" w:rsidRDefault="0047090C" w:rsidP="00971E95">
            <w:pPr>
              <w:spacing w:after="0" w:line="240" w:lineRule="auto"/>
              <w:rPr>
                <w:rFonts w:ascii="Calibri" w:eastAsia="Times New Roman" w:hAnsi="Calibri" w:cs="Calibri"/>
                <w:color w:val="000000"/>
                <w:lang w:eastAsia="fr-FR"/>
              </w:rPr>
            </w:pPr>
            <w:r w:rsidRPr="0047090C">
              <w:rPr>
                <w:rFonts w:ascii="Calibri" w:eastAsia="Times New Roman" w:hAnsi="Calibri" w:cs="Calibri"/>
                <w:color w:val="000000"/>
                <w:lang w:eastAsia="fr-FR"/>
              </w:rPr>
              <w:t> </w:t>
            </w:r>
            <w:r w:rsidR="003A2FEB">
              <w:rPr>
                <w:rFonts w:ascii="Calibri" w:eastAsia="Times New Roman" w:hAnsi="Calibri" w:cs="Calibri"/>
                <w:color w:val="000000"/>
                <w:lang w:eastAsia="fr-FR"/>
              </w:rPr>
              <w:t xml:space="preserve">Union Economique et Monétaire </w:t>
            </w:r>
            <w:r w:rsidR="00971E95">
              <w:rPr>
                <w:rFonts w:ascii="Calibri" w:eastAsia="Times New Roman" w:hAnsi="Calibri" w:cs="Calibri"/>
                <w:color w:val="000000"/>
                <w:lang w:eastAsia="fr-FR"/>
              </w:rPr>
              <w:t>Ouest Africaine</w:t>
            </w:r>
          </w:p>
        </w:tc>
      </w:tr>
    </w:tbl>
    <w:p w14:paraId="20343762" w14:textId="77777777" w:rsidR="00E4665A" w:rsidRPr="00E4665A" w:rsidRDefault="00E4665A" w:rsidP="00E4665A"/>
    <w:p w14:paraId="0E3D626D" w14:textId="77777777" w:rsidR="008D5D3A" w:rsidRDefault="008D5D3A">
      <w:pPr>
        <w:rPr>
          <w:rFonts w:asciiTheme="majorHAnsi" w:eastAsiaTheme="majorEastAsia" w:hAnsiTheme="majorHAnsi" w:cstheme="majorBidi"/>
          <w:b/>
          <w:bCs/>
          <w:color w:val="365F91" w:themeColor="accent1" w:themeShade="BF"/>
          <w:sz w:val="28"/>
          <w:szCs w:val="28"/>
        </w:rPr>
      </w:pPr>
      <w:r>
        <w:br w:type="page"/>
      </w:r>
    </w:p>
    <w:p w14:paraId="63F5AF6F" w14:textId="77777777" w:rsidR="00AD660A" w:rsidRPr="00BF29A2" w:rsidRDefault="00AD660A" w:rsidP="00BF29A2">
      <w:pPr>
        <w:pStyle w:val="Titre1"/>
      </w:pPr>
      <w:bookmarkStart w:id="2" w:name="_Toc21449004"/>
      <w:r w:rsidRPr="00BF29A2">
        <w:lastRenderedPageBreak/>
        <w:t>Résumé</w:t>
      </w:r>
      <w:bookmarkEnd w:id="2"/>
      <w:r w:rsidRPr="00BF29A2">
        <w:t xml:space="preserve"> </w:t>
      </w:r>
    </w:p>
    <w:p w14:paraId="63582C3C" w14:textId="77777777" w:rsidR="006F11DB" w:rsidRDefault="006F11DB" w:rsidP="006F11DB">
      <w:r w:rsidRPr="004420DD">
        <w:t xml:space="preserve">Dans le Programme de Renaissance Acte II, le Président de la République du Niger a pris l’engagement de relever les défis d’améliorer l’état de santé de la population de manière significative. La Couverture Sanitaire Universelle a fait tout récemment l’objet d’une résolution aux Nations Unies. Cette résolution reconnaît que la CSU est le terme englobant la réalisation d'une vie saine et du bien-être pour tous à tous les âges. La présente stratégie </w:t>
      </w:r>
      <w:r>
        <w:t xml:space="preserve">nationale de la CSU (2021-2030) </w:t>
      </w:r>
      <w:r w:rsidRPr="004420DD">
        <w:t>se propose de mobiliser l’ensemble du pays dans l’atteinte de l’objectif 3 des ODD, à savoir « Permettre à tous de vivre en bonne santé et promouvoir le bien-être de tous à tout âge ».</w:t>
      </w:r>
      <w:r>
        <w:t xml:space="preserve"> Les résultats attendus de la stratégie sont que :</w:t>
      </w:r>
    </w:p>
    <w:p w14:paraId="48A5DDC0" w14:textId="77777777" w:rsidR="006F11DB" w:rsidRPr="004420DD" w:rsidRDefault="006F11DB" w:rsidP="006F11DB">
      <w:pPr>
        <w:pStyle w:val="Paragraphedeliste"/>
        <w:numPr>
          <w:ilvl w:val="0"/>
          <w:numId w:val="48"/>
        </w:numPr>
        <w:rPr>
          <w:rFonts w:asciiTheme="majorHAnsi" w:eastAsiaTheme="majorEastAsia" w:hAnsiTheme="majorHAnsi" w:cstheme="majorBidi"/>
          <w:b/>
          <w:bCs/>
          <w:color w:val="365F91" w:themeColor="accent1" w:themeShade="BF"/>
          <w:sz w:val="28"/>
          <w:szCs w:val="28"/>
        </w:rPr>
      </w:pPr>
      <w:r>
        <w:t xml:space="preserve">L’ensemble de la population du Niger est en meilleure santé, notamment parce que les </w:t>
      </w:r>
      <w:r w:rsidRPr="004420DD">
        <w:rPr>
          <w:b/>
        </w:rPr>
        <w:t>déterminants de la santé</w:t>
      </w:r>
      <w:r>
        <w:t>, d’ordre comportemental, environnemental et métabolique, sont mieux pris en considération sur le plan individuel et collectif ;</w:t>
      </w:r>
    </w:p>
    <w:p w14:paraId="1E38F46E" w14:textId="77777777" w:rsidR="006F11DB" w:rsidRPr="004420DD" w:rsidRDefault="006F11DB" w:rsidP="006F11DB">
      <w:pPr>
        <w:pStyle w:val="Paragraphedeliste"/>
        <w:rPr>
          <w:rFonts w:asciiTheme="majorHAnsi" w:eastAsiaTheme="majorEastAsia" w:hAnsiTheme="majorHAnsi" w:cstheme="majorBidi"/>
          <w:b/>
          <w:bCs/>
          <w:color w:val="365F91" w:themeColor="accent1" w:themeShade="BF"/>
          <w:sz w:val="28"/>
          <w:szCs w:val="28"/>
        </w:rPr>
      </w:pPr>
    </w:p>
    <w:p w14:paraId="0A05E619" w14:textId="77777777" w:rsidR="006F11DB" w:rsidRPr="004420DD" w:rsidRDefault="006F11DB" w:rsidP="006F11DB">
      <w:pPr>
        <w:pStyle w:val="Paragraphedeliste"/>
        <w:numPr>
          <w:ilvl w:val="0"/>
          <w:numId w:val="48"/>
        </w:numPr>
        <w:rPr>
          <w:rFonts w:asciiTheme="majorHAnsi" w:eastAsiaTheme="majorEastAsia" w:hAnsiTheme="majorHAnsi" w:cstheme="majorBidi"/>
          <w:b/>
          <w:bCs/>
          <w:color w:val="365F91" w:themeColor="accent1" w:themeShade="BF"/>
          <w:sz w:val="28"/>
          <w:szCs w:val="28"/>
        </w:rPr>
      </w:pPr>
      <w:r>
        <w:t xml:space="preserve">L’ensemble de la population du Niger dispose d’une </w:t>
      </w:r>
      <w:r w:rsidRPr="004420DD">
        <w:rPr>
          <w:b/>
        </w:rPr>
        <w:t>offre de services de santé</w:t>
      </w:r>
      <w:r>
        <w:t xml:space="preserve"> </w:t>
      </w:r>
      <w:r w:rsidR="00847E6C">
        <w:t xml:space="preserve">de qualité </w:t>
      </w:r>
      <w:r>
        <w:t>qui lui garantit une prise en charge adéquate, dans le cadre d’un système de santé efficient et résilient ;</w:t>
      </w:r>
    </w:p>
    <w:p w14:paraId="1F590129" w14:textId="77777777" w:rsidR="006F11DB" w:rsidRPr="004420DD" w:rsidRDefault="006F11DB" w:rsidP="006F11DB">
      <w:pPr>
        <w:pStyle w:val="Paragraphedeliste"/>
        <w:rPr>
          <w:rFonts w:asciiTheme="majorHAnsi" w:eastAsiaTheme="majorEastAsia" w:hAnsiTheme="majorHAnsi" w:cstheme="majorBidi"/>
          <w:b/>
          <w:bCs/>
          <w:color w:val="365F91" w:themeColor="accent1" w:themeShade="BF"/>
          <w:sz w:val="28"/>
          <w:szCs w:val="28"/>
        </w:rPr>
      </w:pPr>
    </w:p>
    <w:p w14:paraId="348E3E96" w14:textId="77777777" w:rsidR="006F11DB" w:rsidRPr="004420DD" w:rsidRDefault="006F11DB" w:rsidP="006F11DB">
      <w:pPr>
        <w:pStyle w:val="Paragraphedeliste"/>
        <w:numPr>
          <w:ilvl w:val="0"/>
          <w:numId w:val="48"/>
        </w:numPr>
        <w:rPr>
          <w:rFonts w:asciiTheme="majorHAnsi" w:eastAsiaTheme="majorEastAsia" w:hAnsiTheme="majorHAnsi" w:cstheme="majorBidi"/>
          <w:b/>
          <w:bCs/>
          <w:color w:val="365F91" w:themeColor="accent1" w:themeShade="BF"/>
          <w:sz w:val="28"/>
          <w:szCs w:val="28"/>
        </w:rPr>
      </w:pPr>
      <w:r>
        <w:t xml:space="preserve">L’ensemble de la population du Niger </w:t>
      </w:r>
      <w:r w:rsidR="008566D6">
        <w:t>utilise les</w:t>
      </w:r>
      <w:r>
        <w:t xml:space="preserve"> services de santé sans difficulté financière, grâce à un système de financement de la santé performant et une protection financière contre le risque maladie basée sur une assurance maladie universelle.</w:t>
      </w:r>
    </w:p>
    <w:p w14:paraId="5003DF47" w14:textId="77777777" w:rsidR="006F11DB" w:rsidRDefault="006F11DB" w:rsidP="006F11DB">
      <w:r>
        <w:t>La stratégie propose 10 axes d’intervention et met l’accent sur quatre hypothèses fondamentales :</w:t>
      </w:r>
    </w:p>
    <w:p w14:paraId="3F997804" w14:textId="77777777" w:rsidR="006F11DB" w:rsidRDefault="006F11DB" w:rsidP="006F11DB">
      <w:pPr>
        <w:pStyle w:val="Sansinterligne"/>
      </w:pPr>
      <w:r w:rsidRPr="004420DD">
        <w:t>Axe stratégique n°1 : amélioration de l’état nutritionnel de la population</w:t>
      </w:r>
    </w:p>
    <w:p w14:paraId="7D9E0764" w14:textId="77777777" w:rsidR="006F11DB" w:rsidRDefault="006F11DB" w:rsidP="006F11DB">
      <w:pPr>
        <w:pStyle w:val="Sansinterligne"/>
      </w:pPr>
      <w:r w:rsidRPr="004420DD">
        <w:t xml:space="preserve">Axe stratégique n°2 : </w:t>
      </w:r>
      <w:r w:rsidR="00971E95">
        <w:t>a</w:t>
      </w:r>
      <w:r w:rsidRPr="004420DD">
        <w:t>mélioration de l'accès à l’eau potable, à l’hygiène et à l’assainissement</w:t>
      </w:r>
    </w:p>
    <w:p w14:paraId="328E94A5" w14:textId="77777777" w:rsidR="006F11DB" w:rsidRDefault="006F11DB" w:rsidP="006F11DB">
      <w:pPr>
        <w:pStyle w:val="Sansinterligne"/>
      </w:pPr>
      <w:r w:rsidRPr="004420DD">
        <w:t>Axe stratégique n°3 : amélioration de la lutte contre la pollution</w:t>
      </w:r>
    </w:p>
    <w:p w14:paraId="22E94799" w14:textId="77777777" w:rsidR="006F11DB" w:rsidRDefault="006F11DB" w:rsidP="006F11DB">
      <w:pPr>
        <w:pStyle w:val="Sansinterligne"/>
      </w:pPr>
      <w:r w:rsidRPr="004420DD">
        <w:t>Axe stratégique n°4 : amélioration de la gouvernance et du leadership du secteur de la santé</w:t>
      </w:r>
    </w:p>
    <w:p w14:paraId="6A6C8143" w14:textId="77777777" w:rsidR="006F11DB" w:rsidRDefault="006F11DB" w:rsidP="006F11DB">
      <w:pPr>
        <w:pStyle w:val="Sansinterligne"/>
      </w:pPr>
      <w:r w:rsidRPr="004420DD">
        <w:t>Axe stratégique n°5 : amélioration de l’accès aux soins et services de santé</w:t>
      </w:r>
    </w:p>
    <w:p w14:paraId="5FA7C885" w14:textId="77777777" w:rsidR="006F11DB" w:rsidRDefault="006F11DB" w:rsidP="006F11DB">
      <w:pPr>
        <w:pStyle w:val="Sansinterligne"/>
      </w:pPr>
      <w:r w:rsidRPr="004420DD">
        <w:t>Axe stratégique n°6 : amélioration des prestations de soins et services de santé</w:t>
      </w:r>
    </w:p>
    <w:p w14:paraId="42C486B6" w14:textId="77777777" w:rsidR="006F11DB" w:rsidRDefault="006F11DB" w:rsidP="006F11DB">
      <w:pPr>
        <w:pStyle w:val="Sansinterligne"/>
      </w:pPr>
      <w:r w:rsidRPr="004420DD">
        <w:t xml:space="preserve">Axe stratégique n°7 : </w:t>
      </w:r>
      <w:r w:rsidR="00971E95">
        <w:t>f</w:t>
      </w:r>
      <w:r w:rsidRPr="004420DD">
        <w:t>onctionnement optimal de la politique d’exemption de paiement pour les enfants de moins de 5 ans et les femmes enceintes.</w:t>
      </w:r>
    </w:p>
    <w:p w14:paraId="0870B948" w14:textId="77777777" w:rsidR="006F11DB" w:rsidRDefault="00971E95" w:rsidP="006F11DB">
      <w:pPr>
        <w:pStyle w:val="Sansinterligne"/>
      </w:pPr>
      <w:r>
        <w:t>Axe stratégique n°8 : m</w:t>
      </w:r>
      <w:r w:rsidR="006F11DB" w:rsidRPr="004420DD">
        <w:t>ise en œuvre progressive d’une assurance maladie universelle</w:t>
      </w:r>
    </w:p>
    <w:p w14:paraId="6780A55E" w14:textId="77777777" w:rsidR="006F11DB" w:rsidRDefault="006F11DB" w:rsidP="006F11DB">
      <w:pPr>
        <w:pStyle w:val="Sansinterligne"/>
      </w:pPr>
      <w:r w:rsidRPr="004420DD">
        <w:t xml:space="preserve">Axe stratégique n°9 : </w:t>
      </w:r>
      <w:r w:rsidR="00971E95">
        <w:t>d</w:t>
      </w:r>
      <w:r w:rsidR="00847E6C">
        <w:t>éfinition d’un paquet</w:t>
      </w:r>
      <w:r w:rsidRPr="004420DD">
        <w:t xml:space="preserve"> de soins adapté aux besoins et aux moyens nationaux </w:t>
      </w:r>
    </w:p>
    <w:p w14:paraId="4D54F96A" w14:textId="77777777" w:rsidR="006F11DB" w:rsidRDefault="006F11DB" w:rsidP="006F11DB">
      <w:pPr>
        <w:pStyle w:val="Sansinterligne"/>
      </w:pPr>
      <w:r w:rsidRPr="004420DD">
        <w:t xml:space="preserve">Axe stratégique n°10 : </w:t>
      </w:r>
      <w:r w:rsidR="00971E95">
        <w:t>i</w:t>
      </w:r>
      <w:r w:rsidR="00423B36">
        <w:t>ntégration</w:t>
      </w:r>
      <w:r w:rsidR="00971E95">
        <w:t xml:space="preserve"> accrue et optimale</w:t>
      </w:r>
      <w:r w:rsidR="00423B36">
        <w:t xml:space="preserve"> d</w:t>
      </w:r>
      <w:r w:rsidRPr="004420DD">
        <w:t>es financements et autres interventions des partenaires dans les circuits nationaux</w:t>
      </w:r>
    </w:p>
    <w:p w14:paraId="4FF1316C" w14:textId="77777777" w:rsidR="006F11DB" w:rsidRDefault="006F11DB" w:rsidP="006F11DB">
      <w:pPr>
        <w:pStyle w:val="Sansinterligne"/>
      </w:pPr>
    </w:p>
    <w:p w14:paraId="7301D4DF" w14:textId="77777777" w:rsidR="006F11DB" w:rsidRDefault="006F11DB" w:rsidP="006F11DB">
      <w:pPr>
        <w:pStyle w:val="Sansinterligne"/>
      </w:pPr>
      <w:r w:rsidRPr="004420DD">
        <w:t>Hypothèse n°1 : plus de santé est obtenu avec l’argent disponible, et plus de ressources publiques nationales sont mises à disposition pour la santé</w:t>
      </w:r>
    </w:p>
    <w:p w14:paraId="28506AA5" w14:textId="77777777" w:rsidR="006F11DB" w:rsidRDefault="006F11DB" w:rsidP="006F11DB">
      <w:pPr>
        <w:pStyle w:val="Sansinterligne"/>
      </w:pPr>
      <w:r w:rsidRPr="004420DD">
        <w:t>Hypothèse n°2 : le dialogue national dans toutes ses dimensions est amélioré, y compris le dialogue politique, social et sociétal, et l’intégration de la problématique du genre</w:t>
      </w:r>
    </w:p>
    <w:p w14:paraId="30180AB1" w14:textId="77777777" w:rsidR="006F11DB" w:rsidRDefault="006F11DB" w:rsidP="006F11DB">
      <w:pPr>
        <w:pStyle w:val="Sansinterligne"/>
      </w:pPr>
      <w:r w:rsidRPr="004420DD">
        <w:t>Hypothèse n°3 : les défis de la CSU étant profondément adaptatifs, tout est mis en œuvre pour un meilleur leadership</w:t>
      </w:r>
      <w:r w:rsidR="00423B36">
        <w:t xml:space="preserve"> de qui ?</w:t>
      </w:r>
    </w:p>
    <w:p w14:paraId="255EFE78" w14:textId="77777777" w:rsidR="006F11DB" w:rsidRDefault="006F11DB" w:rsidP="006F11DB">
      <w:pPr>
        <w:pStyle w:val="Sansinterligne"/>
      </w:pPr>
      <w:r w:rsidRPr="004420DD">
        <w:t>Hypoth</w:t>
      </w:r>
      <w:r w:rsidR="00866A12">
        <w:t xml:space="preserve">èse n°4 : </w:t>
      </w:r>
      <w:r w:rsidR="00810053">
        <w:t>é</w:t>
      </w:r>
      <w:r w:rsidR="00810053" w:rsidRPr="00810053">
        <w:t>vo</w:t>
      </w:r>
      <w:r w:rsidR="00810053">
        <w:t xml:space="preserve">lution favorable de la société </w:t>
      </w:r>
      <w:r w:rsidR="00810053" w:rsidRPr="00810053">
        <w:t>sur le plan démographique et éducatif / culturel</w:t>
      </w:r>
    </w:p>
    <w:p w14:paraId="48551716" w14:textId="77777777" w:rsidR="006F11DB" w:rsidRDefault="006F11DB" w:rsidP="006F11DB"/>
    <w:p w14:paraId="03638A80" w14:textId="77777777" w:rsidR="006F11DB" w:rsidRPr="004420DD" w:rsidRDefault="006F11DB" w:rsidP="006F11DB">
      <w:pPr>
        <w:rPr>
          <w:rFonts w:asciiTheme="majorHAnsi" w:eastAsiaTheme="majorEastAsia" w:hAnsiTheme="majorHAnsi" w:cstheme="majorBidi"/>
          <w:b/>
          <w:bCs/>
          <w:color w:val="365F91" w:themeColor="accent1" w:themeShade="BF"/>
          <w:sz w:val="28"/>
          <w:szCs w:val="28"/>
        </w:rPr>
      </w:pPr>
      <w:r>
        <w:t xml:space="preserve">La mise en œuvre de la stratégie se fera au niveau des différents secteurs concernés, mais le suivi-évaluation </w:t>
      </w:r>
      <w:r w:rsidR="00423B36">
        <w:t xml:space="preserve">se fera </w:t>
      </w:r>
      <w:r>
        <w:t xml:space="preserve"> au niveau intersectoriel</w:t>
      </w:r>
      <w:r w:rsidRPr="004420DD">
        <w:t xml:space="preserve"> </w:t>
      </w:r>
      <w:r>
        <w:t>et le portage au niveau du gouvernement.</w:t>
      </w:r>
    </w:p>
    <w:p w14:paraId="1CC50C5F" w14:textId="77777777" w:rsidR="003F3FAC" w:rsidRDefault="00423B36" w:rsidP="00BF29A2">
      <w:pPr>
        <w:pStyle w:val="Titre1"/>
      </w:pPr>
      <w:bookmarkStart w:id="3" w:name="_Toc21449005"/>
      <w:r>
        <w:t>C</w:t>
      </w:r>
      <w:r w:rsidR="003F3FAC" w:rsidRPr="00BF29A2">
        <w:t>ontexte</w:t>
      </w:r>
      <w:bookmarkEnd w:id="3"/>
    </w:p>
    <w:p w14:paraId="4E785102" w14:textId="77777777" w:rsidR="00122B15" w:rsidRPr="00122B15" w:rsidRDefault="00122B15" w:rsidP="00122B15"/>
    <w:p w14:paraId="78C891EA" w14:textId="77777777" w:rsidR="00122B15" w:rsidRPr="00122B15" w:rsidRDefault="00122B15" w:rsidP="00122B15">
      <w:r w:rsidRPr="00B25963">
        <w:rPr>
          <w:noProof/>
          <w:lang w:eastAsia="fr-FR"/>
        </w:rPr>
        <w:drawing>
          <wp:inline distT="0" distB="0" distL="0" distR="0" wp14:anchorId="219EEC4C" wp14:editId="68DBD0E9">
            <wp:extent cx="5743575" cy="4305300"/>
            <wp:effectExtent l="0" t="0" r="9525" b="0"/>
            <wp:docPr id="301" name="Image 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43575" cy="4305300"/>
                    </a:xfrm>
                    <a:prstGeom prst="rect">
                      <a:avLst/>
                    </a:prstGeom>
                    <a:noFill/>
                    <a:ln>
                      <a:noFill/>
                    </a:ln>
                  </pic:spPr>
                </pic:pic>
              </a:graphicData>
            </a:graphic>
          </wp:inline>
        </w:drawing>
      </w:r>
    </w:p>
    <w:p w14:paraId="4192B631" w14:textId="77777777" w:rsidR="00F02A89" w:rsidRPr="002A495B" w:rsidRDefault="00300AA5" w:rsidP="00C90DAE">
      <w:pPr>
        <w:rPr>
          <w:rFonts w:cstheme="minorHAnsi"/>
          <w:i/>
          <w:sz w:val="24"/>
          <w:szCs w:val="24"/>
          <w:u w:val="single"/>
        </w:rPr>
      </w:pPr>
      <w:r w:rsidRPr="002A495B">
        <w:rPr>
          <w:rFonts w:cstheme="minorHAnsi"/>
          <w:i/>
          <w:sz w:val="24"/>
          <w:szCs w:val="24"/>
          <w:u w:val="single"/>
        </w:rPr>
        <w:t xml:space="preserve">Carte </w:t>
      </w:r>
      <w:r w:rsidR="002A495B">
        <w:rPr>
          <w:rFonts w:cstheme="minorHAnsi"/>
          <w:i/>
          <w:sz w:val="24"/>
          <w:szCs w:val="24"/>
          <w:u w:val="single"/>
        </w:rPr>
        <w:t xml:space="preserve">administrative </w:t>
      </w:r>
      <w:r w:rsidRPr="002A495B">
        <w:rPr>
          <w:rFonts w:cstheme="minorHAnsi"/>
          <w:i/>
          <w:sz w:val="24"/>
          <w:szCs w:val="24"/>
          <w:u w:val="single"/>
        </w:rPr>
        <w:t>du Niger</w:t>
      </w:r>
    </w:p>
    <w:p w14:paraId="34645D21" w14:textId="77777777" w:rsidR="00C90DAE" w:rsidRPr="00C90DAE" w:rsidRDefault="00C90DAE" w:rsidP="00C90DAE">
      <w:pPr>
        <w:rPr>
          <w:rFonts w:cstheme="minorHAnsi"/>
          <w:sz w:val="24"/>
          <w:szCs w:val="24"/>
        </w:rPr>
      </w:pPr>
      <w:r w:rsidRPr="00C90DAE">
        <w:rPr>
          <w:rFonts w:cstheme="minorHAnsi"/>
          <w:sz w:val="24"/>
          <w:szCs w:val="24"/>
        </w:rPr>
        <w:t xml:space="preserve">Le Niger est un pays enclavé, situé en Afrique de </w:t>
      </w:r>
      <w:r w:rsidR="002A2CA3">
        <w:rPr>
          <w:rFonts w:cstheme="minorHAnsi"/>
          <w:sz w:val="24"/>
          <w:szCs w:val="24"/>
        </w:rPr>
        <w:t xml:space="preserve">l’Ouest avec une superficie de 1 266 491 </w:t>
      </w:r>
      <w:r w:rsidRPr="00C90DAE">
        <w:rPr>
          <w:rFonts w:cstheme="minorHAnsi"/>
          <w:sz w:val="24"/>
          <w:szCs w:val="24"/>
        </w:rPr>
        <w:t xml:space="preserve">km². Ses caractéristiques physiques sont marquées par des </w:t>
      </w:r>
      <w:r w:rsidR="00866A12">
        <w:rPr>
          <w:rFonts w:cstheme="minorHAnsi"/>
          <w:sz w:val="24"/>
          <w:szCs w:val="24"/>
        </w:rPr>
        <w:t>terrains</w:t>
      </w:r>
      <w:r w:rsidRPr="00C90DAE">
        <w:rPr>
          <w:rFonts w:cstheme="minorHAnsi"/>
          <w:sz w:val="24"/>
          <w:szCs w:val="24"/>
        </w:rPr>
        <w:t xml:space="preserve"> écologiques fragiles et en constante dégradation. Les trois quarts du pays sont désertiques et le quart restant est constitué d’une zone sahélienne et soudanienne dans la partie Sud. L’essentiel des activités agro-pastorales est concentré dans ce quart du territoire national où les précipitations sont aléatoires, irrégulières, déficitaires dans le temps et dans l’espace, et en baisse régulière sur les 30 dernières années. Cette situation a entrainé une aggravation du processus de désertification et une instabilité de la production agro-pastorale. Ce processus de fragilisation du système écologique est renforcé par l’impact du changement climatique, devenu une préoccupation de premier ordre pour le pays. </w:t>
      </w:r>
    </w:p>
    <w:p w14:paraId="095580FA" w14:textId="77777777" w:rsidR="00C90DAE" w:rsidRPr="00C90DAE" w:rsidRDefault="00C90DAE" w:rsidP="00C90DAE">
      <w:pPr>
        <w:rPr>
          <w:rFonts w:cstheme="minorHAnsi"/>
          <w:sz w:val="24"/>
          <w:szCs w:val="24"/>
        </w:rPr>
      </w:pPr>
      <w:r w:rsidRPr="00C90DAE">
        <w:rPr>
          <w:rFonts w:cstheme="minorHAnsi"/>
          <w:sz w:val="24"/>
          <w:szCs w:val="24"/>
        </w:rPr>
        <w:t>Les résultats définitifs du dernier Recensement  Général de la Population et de l’</w:t>
      </w:r>
      <w:r w:rsidR="002A2CA3">
        <w:rPr>
          <w:rFonts w:cstheme="minorHAnsi"/>
          <w:sz w:val="24"/>
          <w:szCs w:val="24"/>
        </w:rPr>
        <w:t>H</w:t>
      </w:r>
      <w:r w:rsidRPr="00C90DAE">
        <w:rPr>
          <w:rFonts w:cstheme="minorHAnsi"/>
          <w:sz w:val="24"/>
          <w:szCs w:val="24"/>
        </w:rPr>
        <w:t>abitat (RGPH/</w:t>
      </w:r>
      <w:r w:rsidR="00AC7079" w:rsidRPr="00C90DAE">
        <w:rPr>
          <w:rFonts w:cstheme="minorHAnsi"/>
          <w:sz w:val="24"/>
          <w:szCs w:val="24"/>
        </w:rPr>
        <w:t>201</w:t>
      </w:r>
      <w:r w:rsidR="00AC7079">
        <w:rPr>
          <w:rFonts w:cstheme="minorHAnsi"/>
          <w:sz w:val="24"/>
          <w:szCs w:val="24"/>
        </w:rPr>
        <w:t>2</w:t>
      </w:r>
      <w:r w:rsidRPr="00C90DAE">
        <w:rPr>
          <w:rFonts w:cstheme="minorHAnsi"/>
          <w:sz w:val="24"/>
          <w:szCs w:val="24"/>
        </w:rPr>
        <w:t xml:space="preserve">) ont estimé la population du Niger à </w:t>
      </w:r>
      <w:r w:rsidR="00C43FB7">
        <w:rPr>
          <w:rFonts w:cstheme="minorHAnsi"/>
          <w:sz w:val="24"/>
          <w:szCs w:val="24"/>
        </w:rPr>
        <w:t>22.300.000</w:t>
      </w:r>
      <w:r w:rsidRPr="00C90DAE">
        <w:rPr>
          <w:rFonts w:cstheme="minorHAnsi"/>
          <w:sz w:val="24"/>
          <w:szCs w:val="24"/>
        </w:rPr>
        <w:t xml:space="preserve"> habitants en 201</w:t>
      </w:r>
      <w:r w:rsidR="00C43FB7">
        <w:rPr>
          <w:rFonts w:cstheme="minorHAnsi"/>
          <w:sz w:val="24"/>
          <w:szCs w:val="24"/>
        </w:rPr>
        <w:t>9</w:t>
      </w:r>
      <w:r w:rsidRPr="00C90DAE">
        <w:rPr>
          <w:rFonts w:cstheme="minorHAnsi"/>
          <w:sz w:val="24"/>
          <w:szCs w:val="24"/>
        </w:rPr>
        <w:t xml:space="preserve"> avec un taux d’accroissement moyen annuel de l’ordre de 3,9%. L’indice Synthétique de Fécondité reste très élevé, de l’ordre de 7,6 enfants par femme en âge de procréer (15-49 ans) (EDS-MICS IV2012) contre 7,1 (EDS-MICS III 2006). Ce nombre le plus élevé au monde constitue une préoccupation majeure pour la santé de la population. En effet, la  croissance de la population entraîne une forte demande en infrastructures sanitaires et a également une influence sur l’offre de soins. </w:t>
      </w:r>
    </w:p>
    <w:p w14:paraId="30419CF6" w14:textId="77777777" w:rsidR="00C90DAE" w:rsidRPr="00C90DAE" w:rsidRDefault="00C90DAE" w:rsidP="00C90DAE">
      <w:pPr>
        <w:rPr>
          <w:rFonts w:cstheme="minorHAnsi"/>
          <w:sz w:val="24"/>
          <w:szCs w:val="24"/>
        </w:rPr>
      </w:pPr>
      <w:r w:rsidRPr="00C90DAE">
        <w:rPr>
          <w:rFonts w:cstheme="minorHAnsi"/>
          <w:sz w:val="24"/>
          <w:szCs w:val="24"/>
        </w:rPr>
        <w:t xml:space="preserve">Le Niger a enregistré ces dernières années des progrès importants sur certains indicateurs socio-économiques malgré quelques disparités au niveau régional.  </w:t>
      </w:r>
    </w:p>
    <w:p w14:paraId="602F4E4D" w14:textId="77777777" w:rsidR="00122B15" w:rsidRPr="00122B15" w:rsidRDefault="00122B15" w:rsidP="00122B15">
      <w:pPr>
        <w:jc w:val="both"/>
        <w:rPr>
          <w:rFonts w:cstheme="minorHAnsi"/>
          <w:sz w:val="24"/>
          <w:szCs w:val="24"/>
        </w:rPr>
      </w:pPr>
      <w:r w:rsidRPr="00C90DAE">
        <w:rPr>
          <w:rFonts w:cstheme="minorHAnsi"/>
          <w:sz w:val="24"/>
          <w:szCs w:val="24"/>
        </w:rPr>
        <w:t>Le taux d</w:t>
      </w:r>
      <w:r w:rsidR="00866A12">
        <w:rPr>
          <w:rFonts w:cstheme="minorHAnsi"/>
          <w:sz w:val="24"/>
          <w:szCs w:val="24"/>
        </w:rPr>
        <w:t>e croissance réel de l’économie est passé de 5,0% en 2016</w:t>
      </w:r>
      <w:r w:rsidRPr="00C90DAE">
        <w:rPr>
          <w:rFonts w:cstheme="minorHAnsi"/>
          <w:sz w:val="24"/>
          <w:szCs w:val="24"/>
        </w:rPr>
        <w:t xml:space="preserve"> à 4,9% en 2017 malgré l’instabilité du secteur primaire marquée par des variations climatiques fréquentes. Cette évolution de l’activité économique est essentiellement imputable à la prépondérance du secteur primaire (43,4% du PIB en 2017) tirée par la production agricole (accroissement de 25,7% en 2017</w:t>
      </w:r>
      <w:r w:rsidRPr="00122B15">
        <w:rPr>
          <w:rFonts w:cstheme="minorHAnsi"/>
          <w:sz w:val="24"/>
          <w:szCs w:val="24"/>
        </w:rPr>
        <w:t>). Dans le domaine de  l’élevage pour lequel le Niger a un avantage comparatif indéniable dans la sous-région ouest-africaine, il contribue à plus de 11% dans la constitution du PIB nationale et à plus de 25 %</w:t>
      </w:r>
      <w:r w:rsidRPr="00866A12">
        <w:rPr>
          <w:rFonts w:cstheme="minorHAnsi"/>
          <w:sz w:val="16"/>
          <w:szCs w:val="24"/>
        </w:rPr>
        <w:footnoteReference w:id="1"/>
      </w:r>
      <w:r w:rsidRPr="00122B15">
        <w:rPr>
          <w:rFonts w:cstheme="minorHAnsi"/>
          <w:sz w:val="24"/>
          <w:szCs w:val="24"/>
        </w:rPr>
        <w:t xml:space="preserve"> du budget des ménages. Cette forte contribution fait de ce sous-secteur  une arme efficace dans l’inlassable lutte contre la pauvreté et l’insécurité alimentaire, en raison non seulement de son apport en produits animaux de haute valeur nutritive mais aussi et surtout par la création d’emplois et de revenus substantiels en milieu rural. (SDDE 2013-2035)</w:t>
      </w:r>
    </w:p>
    <w:p w14:paraId="11DBBE03" w14:textId="77777777" w:rsidR="00122B15" w:rsidRPr="00122B15" w:rsidRDefault="00122B15" w:rsidP="00122B15">
      <w:pPr>
        <w:jc w:val="both"/>
        <w:rPr>
          <w:rFonts w:cstheme="minorHAnsi"/>
          <w:sz w:val="24"/>
          <w:szCs w:val="24"/>
        </w:rPr>
      </w:pPr>
      <w:r w:rsidRPr="00122B15">
        <w:rPr>
          <w:rFonts w:cstheme="minorHAnsi"/>
          <w:sz w:val="24"/>
          <w:szCs w:val="24"/>
        </w:rPr>
        <w:t xml:space="preserve">En terme nominal, le Produit Intérieur Brut (PIB) enregistre une progression de 4,8%, passant de 4510,9 milliards de FCFA en 2016 à 4726,4 milliards de FCFA en 2017. </w:t>
      </w:r>
    </w:p>
    <w:p w14:paraId="36152AFE" w14:textId="77777777" w:rsidR="00122B15" w:rsidRPr="00C90DAE" w:rsidRDefault="00122B15" w:rsidP="00122B15">
      <w:pPr>
        <w:jc w:val="both"/>
        <w:rPr>
          <w:rFonts w:cstheme="minorHAnsi"/>
          <w:sz w:val="24"/>
          <w:szCs w:val="24"/>
        </w:rPr>
      </w:pPr>
      <w:r w:rsidRPr="00C90DAE">
        <w:rPr>
          <w:rFonts w:cstheme="minorHAnsi"/>
          <w:sz w:val="24"/>
          <w:szCs w:val="24"/>
        </w:rPr>
        <w:t xml:space="preserve">Cette évolution du PIB nominal en 2017 s’est traduite par une légère augmentation du PIB par tête. Rapporté par habitant, le PIB nominal enregistre une hausse de 0,8% en 2017, passant de 234 317 FCFA en 2016 à 236 300 FCFA en 2017, après celle de 1,2% en 2016. (Comptes Rapides 2017, INS). </w:t>
      </w:r>
    </w:p>
    <w:p w14:paraId="651F2B10" w14:textId="77777777" w:rsidR="00122B15" w:rsidRPr="00C90DAE" w:rsidRDefault="00122B15" w:rsidP="00122B15">
      <w:pPr>
        <w:jc w:val="both"/>
        <w:rPr>
          <w:rFonts w:cstheme="minorHAnsi"/>
          <w:sz w:val="24"/>
          <w:szCs w:val="24"/>
        </w:rPr>
      </w:pPr>
      <w:r w:rsidRPr="00C90DAE">
        <w:rPr>
          <w:rFonts w:cstheme="minorHAnsi"/>
          <w:sz w:val="24"/>
          <w:szCs w:val="24"/>
        </w:rPr>
        <w:t xml:space="preserve">La plupart des indicateurs sociaux du pays en 2017 ont augmentés  :(i) plus de la moitié (50,13%) de la population a accès aux centres de santé dans un rayon de 0-5 km, (ii) 28,4% de la population sont alphabétisés en 2014, (iii) le taux brut de scolarisation  est de 77,7% en 2017 (selon le tableau de bord social de l’INS 2017), (iv) la couverture globale en eau potable est de 57,5% en 2015 (selon le tableau de bord social de l’INS de 2017),  </w:t>
      </w:r>
    </w:p>
    <w:p w14:paraId="77C3E804" w14:textId="77777777" w:rsidR="00122B15" w:rsidRPr="00C90DAE" w:rsidRDefault="002A2CA3" w:rsidP="00122B15">
      <w:pPr>
        <w:rPr>
          <w:rFonts w:cstheme="minorHAnsi"/>
          <w:sz w:val="24"/>
          <w:szCs w:val="24"/>
        </w:rPr>
      </w:pPr>
      <w:r>
        <w:rPr>
          <w:rFonts w:cstheme="minorHAnsi"/>
          <w:sz w:val="24"/>
          <w:szCs w:val="24"/>
        </w:rPr>
        <w:t>L</w:t>
      </w:r>
      <w:r w:rsidRPr="00C90DAE">
        <w:rPr>
          <w:rFonts w:cstheme="minorHAnsi"/>
          <w:sz w:val="24"/>
          <w:szCs w:val="24"/>
        </w:rPr>
        <w:t xml:space="preserve">’indice de développement humain </w:t>
      </w:r>
      <w:r>
        <w:rPr>
          <w:rFonts w:cstheme="minorHAnsi"/>
          <w:sz w:val="24"/>
          <w:szCs w:val="24"/>
        </w:rPr>
        <w:t xml:space="preserve">du </w:t>
      </w:r>
      <w:r w:rsidRPr="00C90DAE">
        <w:rPr>
          <w:rFonts w:cstheme="minorHAnsi"/>
          <w:sz w:val="24"/>
          <w:szCs w:val="24"/>
        </w:rPr>
        <w:t xml:space="preserve">Niger </w:t>
      </w:r>
      <w:r>
        <w:rPr>
          <w:rFonts w:cstheme="minorHAnsi"/>
          <w:sz w:val="24"/>
          <w:szCs w:val="24"/>
        </w:rPr>
        <w:t>demeure</w:t>
      </w:r>
      <w:r w:rsidRPr="00C90DAE">
        <w:rPr>
          <w:rFonts w:cstheme="minorHAnsi"/>
          <w:sz w:val="24"/>
          <w:szCs w:val="24"/>
        </w:rPr>
        <w:t xml:space="preserve"> encore </w:t>
      </w:r>
      <w:r>
        <w:rPr>
          <w:rFonts w:cstheme="minorHAnsi"/>
          <w:sz w:val="24"/>
          <w:szCs w:val="24"/>
        </w:rPr>
        <w:t>bas</w:t>
      </w:r>
      <w:r w:rsidRPr="00C90DAE">
        <w:rPr>
          <w:rFonts w:cstheme="minorHAnsi"/>
          <w:sz w:val="24"/>
          <w:szCs w:val="24"/>
        </w:rPr>
        <w:t xml:space="preserve"> dans le classement </w:t>
      </w:r>
      <w:r w:rsidRPr="00122B15">
        <w:rPr>
          <w:rFonts w:cstheme="minorHAnsi"/>
          <w:sz w:val="24"/>
          <w:szCs w:val="24"/>
        </w:rPr>
        <w:t xml:space="preserve">avec 0,354 </w:t>
      </w:r>
      <w:r w:rsidR="00122B15" w:rsidRPr="00122B15">
        <w:rPr>
          <w:rFonts w:cstheme="minorHAnsi"/>
          <w:sz w:val="24"/>
          <w:szCs w:val="24"/>
        </w:rPr>
        <w:t xml:space="preserve">(l’unité) </w:t>
      </w:r>
      <w:r w:rsidR="00122B15" w:rsidRPr="00C90DAE">
        <w:rPr>
          <w:rFonts w:cstheme="minorHAnsi"/>
          <w:sz w:val="24"/>
          <w:szCs w:val="24"/>
        </w:rPr>
        <w:t xml:space="preserve">en 2017 (INS, TBS Décembre 2018). Environ 45,1 % de la population nigérienne vivent en dessous du seuil de pauvreté (moins d’un dollar US par jour) selon les données de l’enquête ECVMA-2014 de l’INS. L’accroissement rapide de la population exerce de fortes pressions sur les infrastructures socioéconomiques de base et limite l’effet des gains de croissance économique encore irréguliers et tributaires des aléas climatiques.  </w:t>
      </w:r>
    </w:p>
    <w:p w14:paraId="31A8CE2D" w14:textId="77777777" w:rsidR="00C90DAE" w:rsidRPr="00C90DAE" w:rsidRDefault="00C90DAE" w:rsidP="00C90DAE">
      <w:pPr>
        <w:rPr>
          <w:rFonts w:cstheme="minorHAnsi"/>
          <w:sz w:val="24"/>
          <w:szCs w:val="24"/>
        </w:rPr>
      </w:pPr>
      <w:r w:rsidRPr="00C90DAE">
        <w:rPr>
          <w:rFonts w:cstheme="minorHAnsi"/>
          <w:sz w:val="24"/>
          <w:szCs w:val="24"/>
        </w:rPr>
        <w:t xml:space="preserve"> </w:t>
      </w:r>
    </w:p>
    <w:p w14:paraId="33FA5D67" w14:textId="77777777" w:rsidR="00093848" w:rsidRDefault="00093848" w:rsidP="00BF29A2">
      <w:pPr>
        <w:pStyle w:val="Titre1"/>
      </w:pPr>
      <w:bookmarkStart w:id="4" w:name="_Toc21449006"/>
      <w:r>
        <w:t>Justification</w:t>
      </w:r>
      <w:bookmarkEnd w:id="4"/>
      <w:r>
        <w:t xml:space="preserve"> </w:t>
      </w:r>
    </w:p>
    <w:p w14:paraId="26DE1615" w14:textId="77777777" w:rsidR="001E2F83" w:rsidRDefault="001E2F83"/>
    <w:p w14:paraId="3101D90E" w14:textId="77777777" w:rsidR="003F3AF5" w:rsidRDefault="003F3AF5" w:rsidP="00F02A89">
      <w:pPr>
        <w:jc w:val="both"/>
        <w:rPr>
          <w:rFonts w:cstheme="minorHAnsi"/>
          <w:sz w:val="24"/>
          <w:szCs w:val="24"/>
        </w:rPr>
      </w:pPr>
      <w:r>
        <w:rPr>
          <w:rFonts w:cstheme="minorHAnsi"/>
          <w:sz w:val="24"/>
          <w:szCs w:val="24"/>
        </w:rPr>
        <w:t xml:space="preserve">La CSU </w:t>
      </w:r>
      <w:r w:rsidRPr="004137CB">
        <w:rPr>
          <w:rFonts w:cstheme="minorHAnsi"/>
          <w:sz w:val="24"/>
          <w:szCs w:val="24"/>
        </w:rPr>
        <w:t>signifie</w:t>
      </w:r>
      <w:r>
        <w:rPr>
          <w:rFonts w:cstheme="minorHAnsi"/>
          <w:sz w:val="24"/>
          <w:szCs w:val="24"/>
        </w:rPr>
        <w:t xml:space="preserve"> </w:t>
      </w:r>
      <w:r w:rsidRPr="004137CB">
        <w:rPr>
          <w:rFonts w:cstheme="minorHAnsi"/>
          <w:sz w:val="24"/>
          <w:szCs w:val="24"/>
        </w:rPr>
        <w:t>que toutes les personnes et les communautés peuvent utiliser les services de santé promotionnels, préventifs, curatifs, de réadaptation et de soins palliatifs dont elles ont besoin, de qualité suffisante pour être efficaces, tout en veillant à ce que l'utilisation de ces services n'exposent pas les particuliers et les familles à des difficultés financières</w:t>
      </w:r>
      <w:r>
        <w:rPr>
          <w:rFonts w:cstheme="minorHAnsi"/>
          <w:sz w:val="24"/>
          <w:szCs w:val="24"/>
        </w:rPr>
        <w:t xml:space="preserve">. </w:t>
      </w:r>
    </w:p>
    <w:p w14:paraId="2EF0B51F" w14:textId="77777777" w:rsidR="00F02A89" w:rsidRDefault="008566D6" w:rsidP="00F02A89">
      <w:pPr>
        <w:jc w:val="both"/>
        <w:rPr>
          <w:rFonts w:cstheme="minorHAnsi"/>
          <w:sz w:val="24"/>
          <w:szCs w:val="24"/>
        </w:rPr>
      </w:pPr>
      <w:r>
        <w:rPr>
          <w:rFonts w:cstheme="minorHAnsi"/>
          <w:sz w:val="24"/>
          <w:szCs w:val="24"/>
        </w:rPr>
        <w:t xml:space="preserve">La CSU a fait l’objet d’une résolution des </w:t>
      </w:r>
      <w:r w:rsidR="003F3AF5">
        <w:rPr>
          <w:rFonts w:cstheme="minorHAnsi"/>
          <w:sz w:val="24"/>
          <w:szCs w:val="24"/>
        </w:rPr>
        <w:t>Nations U</w:t>
      </w:r>
      <w:r>
        <w:rPr>
          <w:rFonts w:cstheme="minorHAnsi"/>
          <w:sz w:val="24"/>
          <w:szCs w:val="24"/>
        </w:rPr>
        <w:t>nies en 2012 (67</w:t>
      </w:r>
      <w:r w:rsidRPr="00C47C22">
        <w:rPr>
          <w:rFonts w:cstheme="minorHAnsi"/>
          <w:sz w:val="24"/>
          <w:szCs w:val="24"/>
          <w:vertAlign w:val="superscript"/>
        </w:rPr>
        <w:t>ème</w:t>
      </w:r>
      <w:r>
        <w:rPr>
          <w:rFonts w:cstheme="minorHAnsi"/>
          <w:sz w:val="24"/>
          <w:szCs w:val="24"/>
        </w:rPr>
        <w:t xml:space="preserve"> assemblée générale) et de plusieurs déclarations dont la dernière plus récemment en septembre 2019</w:t>
      </w:r>
      <w:r w:rsidR="003F3AF5">
        <w:rPr>
          <w:rFonts w:cstheme="minorHAnsi"/>
          <w:sz w:val="24"/>
          <w:szCs w:val="24"/>
        </w:rPr>
        <w:t xml:space="preserve"> (74</w:t>
      </w:r>
      <w:r w:rsidR="003F3AF5" w:rsidRPr="003F3AF5">
        <w:rPr>
          <w:rFonts w:cstheme="minorHAnsi"/>
          <w:sz w:val="24"/>
          <w:szCs w:val="24"/>
          <w:vertAlign w:val="superscript"/>
        </w:rPr>
        <w:t>ème</w:t>
      </w:r>
      <w:r w:rsidR="003F3AF5">
        <w:rPr>
          <w:rFonts w:cstheme="minorHAnsi"/>
          <w:sz w:val="24"/>
          <w:szCs w:val="24"/>
        </w:rPr>
        <w:t xml:space="preserve"> session)</w:t>
      </w:r>
      <w:r>
        <w:rPr>
          <w:rFonts w:cstheme="minorHAnsi"/>
          <w:sz w:val="24"/>
          <w:szCs w:val="24"/>
        </w:rPr>
        <w:t xml:space="preserve">. Cette dernière déclaration </w:t>
      </w:r>
      <w:r w:rsidR="00F02A89">
        <w:rPr>
          <w:rFonts w:cstheme="minorHAnsi"/>
          <w:sz w:val="24"/>
          <w:szCs w:val="24"/>
        </w:rPr>
        <w:t>reconnaît que</w:t>
      </w:r>
      <w:r w:rsidR="00F02A89" w:rsidRPr="004137CB">
        <w:rPr>
          <w:rFonts w:cstheme="minorHAnsi"/>
          <w:sz w:val="24"/>
          <w:szCs w:val="24"/>
        </w:rPr>
        <w:t xml:space="preserve"> la couverture sanitaire universelle exige un changement de paradigme et que la CSU est le terme englobant la réalisation d'une vie saine et du bien-être pour tous à tous les âges</w:t>
      </w:r>
      <w:r w:rsidR="00F02A89">
        <w:rPr>
          <w:rFonts w:cstheme="minorHAnsi"/>
          <w:sz w:val="24"/>
          <w:szCs w:val="24"/>
        </w:rPr>
        <w:t>.</w:t>
      </w:r>
      <w:r w:rsidR="00F02A89" w:rsidRPr="004137CB">
        <w:rPr>
          <w:rFonts w:cstheme="minorHAnsi"/>
          <w:sz w:val="24"/>
          <w:szCs w:val="24"/>
        </w:rPr>
        <w:t xml:space="preserve"> </w:t>
      </w:r>
      <w:r w:rsidR="003F3AF5">
        <w:rPr>
          <w:rFonts w:cstheme="minorHAnsi"/>
          <w:sz w:val="24"/>
          <w:szCs w:val="24"/>
        </w:rPr>
        <w:t>S</w:t>
      </w:r>
      <w:r w:rsidR="003F3AF5">
        <w:t>elon</w:t>
      </w:r>
      <w:r w:rsidR="003F3AF5" w:rsidRPr="004420DD">
        <w:t xml:space="preserve"> </w:t>
      </w:r>
      <w:r w:rsidR="003F3AF5" w:rsidRPr="003F3AF5">
        <w:rPr>
          <w:rFonts w:cstheme="minorHAnsi"/>
          <w:sz w:val="24"/>
          <w:szCs w:val="24"/>
        </w:rPr>
        <w:t>le Secrétaire Général de l’ONU cette déclaration politique est « non seulement l’accord le plus global jamais passé sur la santé universelle », mais aussi « une vision pour la couverture sanitaire universelle d’ici à 2030 ».</w:t>
      </w:r>
      <w:r w:rsidR="003F3AF5">
        <w:rPr>
          <w:rFonts w:ascii="Arial" w:eastAsia="Times New Roman" w:hAnsi="Arial" w:cs="Arial"/>
          <w:color w:val="333333"/>
          <w:sz w:val="24"/>
          <w:szCs w:val="24"/>
        </w:rPr>
        <w:t xml:space="preserve"> </w:t>
      </w:r>
    </w:p>
    <w:p w14:paraId="6361213A" w14:textId="77777777" w:rsidR="00F02A89" w:rsidRDefault="00F02A89" w:rsidP="00F02A89">
      <w:pPr>
        <w:jc w:val="both"/>
        <w:rPr>
          <w:rFonts w:cstheme="minorHAnsi"/>
          <w:sz w:val="24"/>
          <w:szCs w:val="24"/>
        </w:rPr>
      </w:pPr>
      <w:r w:rsidRPr="004137CB">
        <w:rPr>
          <w:rFonts w:cstheme="minorHAnsi"/>
          <w:sz w:val="24"/>
          <w:szCs w:val="24"/>
        </w:rPr>
        <w:t xml:space="preserve">Dans le Programme de Renaissance Acte II, le Président de la République </w:t>
      </w:r>
      <w:r w:rsidR="002A2CA3">
        <w:rPr>
          <w:rFonts w:cstheme="minorHAnsi"/>
          <w:sz w:val="24"/>
          <w:szCs w:val="24"/>
        </w:rPr>
        <w:t xml:space="preserve">du Niger </w:t>
      </w:r>
      <w:r w:rsidRPr="004137CB">
        <w:rPr>
          <w:rFonts w:cstheme="minorHAnsi"/>
          <w:sz w:val="24"/>
          <w:szCs w:val="24"/>
        </w:rPr>
        <w:t>a pris l’engagement de relever les défis d’améliorer l’état de santé de la population de manière significative. A terme, l’objectif poursuivi est de garantir la bonne santé, de promouvoir le bien-être de tous à tous les âges, d’éradiquer les principales maladies (ODD3).</w:t>
      </w:r>
    </w:p>
    <w:p w14:paraId="2044AC67" w14:textId="77777777" w:rsidR="00F02A89" w:rsidRDefault="00F02A89" w:rsidP="00F02A89">
      <w:pPr>
        <w:spacing w:line="240" w:lineRule="auto"/>
        <w:jc w:val="both"/>
        <w:rPr>
          <w:rFonts w:cstheme="minorHAnsi"/>
          <w:sz w:val="24"/>
          <w:szCs w:val="24"/>
        </w:rPr>
      </w:pPr>
      <w:r w:rsidRPr="00BF29A2">
        <w:rPr>
          <w:rFonts w:cstheme="minorHAnsi"/>
          <w:sz w:val="24"/>
          <w:szCs w:val="24"/>
        </w:rPr>
        <w:t xml:space="preserve">Sur le plan du pilotage, le gouvernement a mis en place le Groupe technique National (GTN) </w:t>
      </w:r>
      <w:r>
        <w:rPr>
          <w:rFonts w:cstheme="minorHAnsi"/>
          <w:sz w:val="24"/>
          <w:szCs w:val="24"/>
        </w:rPr>
        <w:t>dès</w:t>
      </w:r>
      <w:r w:rsidRPr="00BF29A2">
        <w:rPr>
          <w:rFonts w:cstheme="minorHAnsi"/>
          <w:sz w:val="24"/>
          <w:szCs w:val="24"/>
        </w:rPr>
        <w:t xml:space="preserve"> 2014 avec pour mission de conduire le processus de mise en œuvre de la CSU. Pour résoudre le problème lié à la faible fonctionnalité de ce dernier, le gouvernement a mis en place le Groupe Restreint de Travail (GTR). En plus de ces organes, le pays dispose d’un cadre stratégique devant contribuer à faire avancer l’agenda de la CSU (Plan Développement économique et Social, Politique Nationale de Protection Sociale, Politique Nationale de la Santé, Plan de Développement Sanitaire, loi s</w:t>
      </w:r>
      <w:r w:rsidR="00866A12">
        <w:rPr>
          <w:rFonts w:cstheme="minorHAnsi"/>
          <w:sz w:val="24"/>
          <w:szCs w:val="24"/>
        </w:rPr>
        <w:t xml:space="preserve">ur la Protection Sociale, etc.). </w:t>
      </w:r>
    </w:p>
    <w:p w14:paraId="0596A857" w14:textId="77777777" w:rsidR="00093848" w:rsidRPr="00F02A89" w:rsidRDefault="00F02A89">
      <w:pPr>
        <w:rPr>
          <w:rFonts w:cstheme="minorHAnsi"/>
          <w:sz w:val="24"/>
          <w:szCs w:val="24"/>
        </w:rPr>
      </w:pPr>
      <w:r>
        <w:rPr>
          <w:rFonts w:cstheme="minorHAnsi"/>
          <w:sz w:val="24"/>
          <w:szCs w:val="24"/>
        </w:rPr>
        <w:t xml:space="preserve">Une part importante de la CSU est </w:t>
      </w:r>
      <w:r w:rsidR="00E30B5F">
        <w:rPr>
          <w:rFonts w:cstheme="minorHAnsi"/>
          <w:sz w:val="24"/>
          <w:szCs w:val="24"/>
        </w:rPr>
        <w:t>liée</w:t>
      </w:r>
      <w:r>
        <w:rPr>
          <w:rFonts w:cstheme="minorHAnsi"/>
          <w:sz w:val="24"/>
          <w:szCs w:val="24"/>
        </w:rPr>
        <w:t xml:space="preserve"> au financement de la santé, dont les objectifs de performance relève</w:t>
      </w:r>
      <w:r w:rsidR="008566D6">
        <w:rPr>
          <w:rFonts w:cstheme="minorHAnsi"/>
          <w:sz w:val="24"/>
          <w:szCs w:val="24"/>
        </w:rPr>
        <w:t>nt</w:t>
      </w:r>
      <w:r>
        <w:rPr>
          <w:rFonts w:cstheme="minorHAnsi"/>
          <w:sz w:val="24"/>
          <w:szCs w:val="24"/>
        </w:rPr>
        <w:t xml:space="preserve"> de l’ODD 3.8.2. Or la Stratégie Nationale de Financement de la Santé au Niger date de 2012 et le constat a été fait qu’elle méritait d’être mise à jour. Afin de s’aligner sur les préoccupations plus larges qu’appréhende la CSU, le Ministère de la Santé a décidé d’actualiser les orientations stratégiques du financement de la santé au sein d’un plan stratégique </w:t>
      </w:r>
      <w:r w:rsidR="00E30B5F">
        <w:rPr>
          <w:rFonts w:cstheme="minorHAnsi"/>
          <w:sz w:val="24"/>
          <w:szCs w:val="24"/>
        </w:rPr>
        <w:t xml:space="preserve">de la </w:t>
      </w:r>
      <w:r>
        <w:rPr>
          <w:rFonts w:cstheme="minorHAnsi"/>
          <w:sz w:val="24"/>
          <w:szCs w:val="24"/>
        </w:rPr>
        <w:t>CSU, qui aborde donc également les aspects de performance de l’offre de soins (ODD 3.8.1), y compris en ce qui concerne les déterminants de la santé.</w:t>
      </w:r>
      <w:r>
        <w:br w:type="page"/>
      </w:r>
    </w:p>
    <w:p w14:paraId="7FC4B891" w14:textId="77777777" w:rsidR="003F3FAC" w:rsidRPr="00BF29A2" w:rsidRDefault="003F3FAC" w:rsidP="00BF29A2">
      <w:pPr>
        <w:pStyle w:val="Titre1"/>
      </w:pPr>
      <w:bookmarkStart w:id="5" w:name="_Toc21449007"/>
      <w:r w:rsidRPr="00BF29A2">
        <w:t xml:space="preserve">Le diagnostic </w:t>
      </w:r>
      <w:r w:rsidR="00F8057D" w:rsidRPr="00BF29A2">
        <w:t>de la CSU</w:t>
      </w:r>
      <w:bookmarkEnd w:id="5"/>
      <w:r w:rsidR="00F8057D" w:rsidRPr="00BF29A2">
        <w:t xml:space="preserve"> </w:t>
      </w:r>
    </w:p>
    <w:p w14:paraId="38E97DE6" w14:textId="77777777" w:rsidR="00D97799" w:rsidRDefault="00D97799" w:rsidP="00D97799">
      <w:pPr>
        <w:pStyle w:val="Titre2"/>
      </w:pPr>
      <w:bookmarkStart w:id="6" w:name="_Toc21449008"/>
      <w:r>
        <w:t>Etat de santé de la population</w:t>
      </w:r>
      <w:bookmarkEnd w:id="6"/>
    </w:p>
    <w:p w14:paraId="708FB7B2" w14:textId="77777777" w:rsidR="00D97799" w:rsidRDefault="00D97799" w:rsidP="00D97799"/>
    <w:p w14:paraId="54870B05" w14:textId="77777777" w:rsidR="00D97799" w:rsidRDefault="00D97799" w:rsidP="00D97799">
      <w:pPr>
        <w:rPr>
          <w:i/>
        </w:rPr>
      </w:pPr>
      <w:r w:rsidRPr="00D97799">
        <w:rPr>
          <w:i/>
        </w:rPr>
        <w:t>Les données de base de la santé au Niger</w:t>
      </w:r>
    </w:p>
    <w:p w14:paraId="5BBE9342" w14:textId="77777777" w:rsidR="004744D3" w:rsidRPr="004744D3" w:rsidRDefault="004744D3" w:rsidP="00D97799">
      <w:r w:rsidRPr="004744D3">
        <w:t>L’espérance de vie au Niger reste basse relativement à l’ensemble des pays du monde</w:t>
      </w:r>
      <w:r>
        <w:t xml:space="preserve"> (154ème rang sur 183)</w:t>
      </w:r>
      <w:r w:rsidRPr="004744D3">
        <w:t xml:space="preserve">. Mais </w:t>
      </w:r>
      <w:r>
        <w:t>par exemple l’espérance de vie à la naissance augmente très vite (cf. graphique).</w:t>
      </w:r>
    </w:p>
    <w:p w14:paraId="39244004" w14:textId="77777777" w:rsidR="004744D3" w:rsidRPr="004744D3" w:rsidRDefault="004744D3" w:rsidP="00D97799">
      <w:pPr>
        <w:rPr>
          <w:u w:val="single"/>
        </w:rPr>
      </w:pPr>
      <w:r w:rsidRPr="004744D3">
        <w:rPr>
          <w:u w:val="single"/>
        </w:rPr>
        <w:t>Différentes données d’espérance de vie au Niger (estimation 2015)</w:t>
      </w:r>
      <w:r w:rsidRPr="004744D3">
        <w:rPr>
          <w:rStyle w:val="Appelnotedebasdep"/>
          <w:color w:val="FF0000"/>
          <w:u w:val="single"/>
        </w:rPr>
        <w:t xml:space="preserve"> </w:t>
      </w:r>
      <w:r w:rsidRPr="004744D3">
        <w:rPr>
          <w:rStyle w:val="Appelnotedebasdep"/>
          <w:u w:val="single"/>
        </w:rPr>
        <w:footnoteReference w:id="2"/>
      </w:r>
    </w:p>
    <w:p w14:paraId="3EB8A8A7" w14:textId="77777777" w:rsidR="004744D3" w:rsidRPr="004744D3" w:rsidRDefault="004744D3" w:rsidP="00D97799">
      <w:r>
        <w:rPr>
          <w:noProof/>
          <w:lang w:eastAsia="fr-FR"/>
        </w:rPr>
        <w:drawing>
          <wp:inline distT="0" distB="0" distL="0" distR="0" wp14:anchorId="53EA686A" wp14:editId="62B48851">
            <wp:extent cx="5759450" cy="582925"/>
            <wp:effectExtent l="0" t="0" r="0" b="8255"/>
            <wp:docPr id="42" name="Imag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5759450" cy="582925"/>
                    </a:xfrm>
                    <a:prstGeom prst="rect">
                      <a:avLst/>
                    </a:prstGeom>
                  </pic:spPr>
                </pic:pic>
              </a:graphicData>
            </a:graphic>
          </wp:inline>
        </w:drawing>
      </w:r>
      <w:r w:rsidRPr="004744D3">
        <w:rPr>
          <w:noProof/>
          <w:lang w:eastAsia="fr-FR"/>
        </w:rPr>
        <w:drawing>
          <wp:inline distT="0" distB="0" distL="0" distR="0" wp14:anchorId="42DE7526" wp14:editId="6B4117F5">
            <wp:extent cx="5759450" cy="164101"/>
            <wp:effectExtent l="0" t="0" r="0" b="7620"/>
            <wp:docPr id="41" name="Imag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5759450" cy="164101"/>
                    </a:xfrm>
                    <a:prstGeom prst="rect">
                      <a:avLst/>
                    </a:prstGeom>
                  </pic:spPr>
                </pic:pic>
              </a:graphicData>
            </a:graphic>
          </wp:inline>
        </w:drawing>
      </w:r>
    </w:p>
    <w:p w14:paraId="4D2AE848" w14:textId="77777777" w:rsidR="004744D3" w:rsidRPr="004744D3" w:rsidRDefault="004744D3" w:rsidP="00D97799">
      <w:pPr>
        <w:rPr>
          <w:u w:val="single"/>
        </w:rPr>
      </w:pPr>
      <w:r w:rsidRPr="004744D3">
        <w:rPr>
          <w:u w:val="single"/>
        </w:rPr>
        <w:t>Espérance de vie à la naissance (2017)</w:t>
      </w:r>
      <w:r>
        <w:rPr>
          <w:rStyle w:val="Appelnotedebasdep"/>
          <w:u w:val="single"/>
        </w:rPr>
        <w:footnoteReference w:id="3"/>
      </w:r>
    </w:p>
    <w:p w14:paraId="021DF54A" w14:textId="77777777" w:rsidR="004744D3" w:rsidRPr="004744D3" w:rsidRDefault="004744D3" w:rsidP="00D97799">
      <w:r>
        <w:rPr>
          <w:noProof/>
          <w:lang w:eastAsia="fr-FR"/>
        </w:rPr>
        <w:drawing>
          <wp:inline distT="0" distB="0" distL="0" distR="0" wp14:anchorId="3B40F416" wp14:editId="45E0C0FD">
            <wp:extent cx="5759450" cy="3649407"/>
            <wp:effectExtent l="0" t="0" r="0" b="8255"/>
            <wp:docPr id="44" name="Imag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5759450" cy="3649407"/>
                    </a:xfrm>
                    <a:prstGeom prst="rect">
                      <a:avLst/>
                    </a:prstGeom>
                  </pic:spPr>
                </pic:pic>
              </a:graphicData>
            </a:graphic>
          </wp:inline>
        </w:drawing>
      </w:r>
    </w:p>
    <w:p w14:paraId="5257D745" w14:textId="77777777" w:rsidR="004744D3" w:rsidRDefault="004744D3">
      <w:pPr>
        <w:rPr>
          <w:i/>
        </w:rPr>
      </w:pPr>
      <w:r>
        <w:rPr>
          <w:i/>
        </w:rPr>
        <w:br w:type="page"/>
      </w:r>
    </w:p>
    <w:p w14:paraId="0EEA6589" w14:textId="77777777" w:rsidR="00D97799" w:rsidRPr="00D97799" w:rsidRDefault="00D97799" w:rsidP="00D97799">
      <w:pPr>
        <w:rPr>
          <w:i/>
        </w:rPr>
      </w:pPr>
      <w:r w:rsidRPr="00D97799">
        <w:rPr>
          <w:i/>
        </w:rPr>
        <w:t xml:space="preserve">Diagnostic de la situation épidémiologique </w:t>
      </w:r>
    </w:p>
    <w:p w14:paraId="5145FFBA" w14:textId="77777777" w:rsidR="00012D78" w:rsidRDefault="00012D78" w:rsidP="00012D78">
      <w:r>
        <w:t xml:space="preserve">La morbidité est dominée par de nombreuses maladies transmissibles endémiques et endémo-épidémiques (infections respiratoires aigües, paludisme, maladies diarrhéiques, malnutrition, etc.) et l’émergence des maladies non transmissibles (hypertension artérielle, diabète, cancers, goutte, obésité, etc. </w:t>
      </w:r>
    </w:p>
    <w:p w14:paraId="05705CF0" w14:textId="77777777" w:rsidR="00012D78" w:rsidRPr="00012D78" w:rsidRDefault="00012D78" w:rsidP="00012D78">
      <w:pPr>
        <w:rPr>
          <w:u w:val="single"/>
        </w:rPr>
      </w:pPr>
      <w:r>
        <w:rPr>
          <w:u w:val="single"/>
        </w:rPr>
        <w:t>Tableau : p</w:t>
      </w:r>
      <w:r w:rsidRPr="00012D78">
        <w:rPr>
          <w:u w:val="single"/>
        </w:rPr>
        <w:t xml:space="preserve">rincipales morbidités par tranches d’âge au Niger en </w:t>
      </w:r>
      <w:r w:rsidRPr="004744D3">
        <w:rPr>
          <w:u w:val="single"/>
        </w:rPr>
        <w:t xml:space="preserve">2017 </w:t>
      </w:r>
    </w:p>
    <w:p w14:paraId="42AA18E9" w14:textId="77777777" w:rsidR="00012D78" w:rsidRDefault="00012D78" w:rsidP="00012D78">
      <w:r w:rsidRPr="00012D78">
        <w:rPr>
          <w:noProof/>
          <w:lang w:eastAsia="fr-FR"/>
        </w:rPr>
        <w:drawing>
          <wp:inline distT="0" distB="0" distL="0" distR="0" wp14:anchorId="5A58914F" wp14:editId="12CB7704">
            <wp:extent cx="5759450" cy="3129550"/>
            <wp:effectExtent l="0" t="0" r="0" b="0"/>
            <wp:docPr id="35" name="Imag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5759450" cy="3129550"/>
                    </a:xfrm>
                    <a:prstGeom prst="rect">
                      <a:avLst/>
                    </a:prstGeom>
                  </pic:spPr>
                </pic:pic>
              </a:graphicData>
            </a:graphic>
          </wp:inline>
        </w:drawing>
      </w:r>
    </w:p>
    <w:p w14:paraId="128A858E" w14:textId="77777777" w:rsidR="00012D78" w:rsidRDefault="00012D78">
      <w:pPr>
        <w:rPr>
          <w:i/>
        </w:rPr>
      </w:pPr>
      <w:r>
        <w:rPr>
          <w:i/>
        </w:rPr>
        <w:br w:type="page"/>
      </w:r>
    </w:p>
    <w:p w14:paraId="67324311" w14:textId="77777777" w:rsidR="00D97799" w:rsidRPr="00D97799" w:rsidRDefault="00D97799" w:rsidP="00D97799">
      <w:pPr>
        <w:rPr>
          <w:i/>
        </w:rPr>
      </w:pPr>
      <w:r w:rsidRPr="00D97799">
        <w:rPr>
          <w:i/>
        </w:rPr>
        <w:t>Les déterminants de la santé au Niger</w:t>
      </w:r>
    </w:p>
    <w:p w14:paraId="0E43E302" w14:textId="77777777" w:rsidR="00012D78" w:rsidRDefault="00012D78" w:rsidP="00012D78">
      <w:r>
        <w:t>Les DALYS</w:t>
      </w:r>
      <w:r w:rsidRPr="00BF29A2">
        <w:rPr>
          <w:rStyle w:val="Appelnotedebasdep"/>
          <w:rFonts w:cstheme="minorHAnsi"/>
          <w:sz w:val="24"/>
          <w:szCs w:val="24"/>
        </w:rPr>
        <w:footnoteReference w:id="4"/>
      </w:r>
      <w:r>
        <w:t xml:space="preserve"> (nombres </w:t>
      </w:r>
      <w:r w:rsidRPr="006B5114">
        <w:t xml:space="preserve">d'années de vie perdues corrigées de l'incapacité) </w:t>
      </w:r>
      <w:r>
        <w:t xml:space="preserve">donnent une image fidèle de la situation épidémiologique nationale. </w:t>
      </w:r>
    </w:p>
    <w:p w14:paraId="5D68728E" w14:textId="77777777" w:rsidR="00012D78" w:rsidRDefault="00012D78" w:rsidP="00012D78">
      <w:r>
        <w:t xml:space="preserve">L’illustration suivante montre d’une part les causes de DALYS et d’autre part leur poids relatif. Il apparaît que les premières causes sont  quelques maladies transmissibles bien connues telles que le paludisme, les infections respiratoires, les diarrhées, ou encore les problèmes néonataux (en rouge). Les maladies non transmissibles (en bleu), même si elles augmentent fortement, restent moins importantes. Quant aux accidents (en vert), leur part dans les DALYS reste limitée. </w:t>
      </w:r>
    </w:p>
    <w:p w14:paraId="0AFF9F96" w14:textId="77777777" w:rsidR="00012D78" w:rsidRDefault="00012D78" w:rsidP="00012D78">
      <w:r>
        <w:t xml:space="preserve">Par ailleurs, une autre illustration montre le poids des déterminants de la santé dans la survenue de ces causes, qui apparait en couleur sombre (en bleu, rouge ou vert). Les déterminants de la santé représentent de fait plus de 50% des problèmes de santé. On comprend que l’amélioration des déterminants de la santé peut permettre de réduire considérablement la morbidité et la mortalité au Niger. Les déterminants sont classés en 3 catégories : comportementaux, environnementaux, et métaboliques. </w:t>
      </w:r>
    </w:p>
    <w:p w14:paraId="0B99E37C" w14:textId="77777777" w:rsidR="00012D78" w:rsidRPr="00AB1F76" w:rsidRDefault="00012D78" w:rsidP="00012D78"/>
    <w:p w14:paraId="29B8C30C" w14:textId="77777777" w:rsidR="00012D78" w:rsidRDefault="00012D78" w:rsidP="00012D78">
      <w:pPr>
        <w:pStyle w:val="Paragraphedeliste"/>
        <w:ind w:left="142"/>
        <w:rPr>
          <w:rFonts w:cstheme="minorHAnsi"/>
          <w:sz w:val="24"/>
          <w:szCs w:val="24"/>
        </w:rPr>
      </w:pPr>
      <w:r>
        <w:rPr>
          <w:noProof/>
          <w:lang w:eastAsia="fr-FR"/>
        </w:rPr>
        <w:drawing>
          <wp:inline distT="0" distB="0" distL="0" distR="0" wp14:anchorId="22A19CD6" wp14:editId="2D0A830D">
            <wp:extent cx="5759450" cy="3932910"/>
            <wp:effectExtent l="0" t="0" r="0" b="0"/>
            <wp:docPr id="305" name="Image 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5759450" cy="3932910"/>
                    </a:xfrm>
                    <a:prstGeom prst="rect">
                      <a:avLst/>
                    </a:prstGeom>
                  </pic:spPr>
                </pic:pic>
              </a:graphicData>
            </a:graphic>
          </wp:inline>
        </w:drawing>
      </w:r>
    </w:p>
    <w:p w14:paraId="301F6346" w14:textId="77777777" w:rsidR="00012D78" w:rsidRDefault="00012D78" w:rsidP="00012D78">
      <w:pPr>
        <w:pStyle w:val="Paragraphedeliste"/>
        <w:rPr>
          <w:rFonts w:cstheme="minorHAnsi"/>
          <w:sz w:val="24"/>
          <w:szCs w:val="24"/>
        </w:rPr>
      </w:pPr>
    </w:p>
    <w:p w14:paraId="3F304BF2" w14:textId="77777777" w:rsidR="00012D78" w:rsidRDefault="00012D78" w:rsidP="00012D78">
      <w:pPr>
        <w:pStyle w:val="Paragraphedeliste"/>
        <w:rPr>
          <w:rFonts w:cstheme="minorHAnsi"/>
          <w:sz w:val="24"/>
          <w:szCs w:val="24"/>
        </w:rPr>
      </w:pPr>
    </w:p>
    <w:p w14:paraId="3ADE62BF" w14:textId="77777777" w:rsidR="00012D78" w:rsidRDefault="00012D78" w:rsidP="00012D78">
      <w:pPr>
        <w:pStyle w:val="Paragraphedeliste"/>
        <w:rPr>
          <w:rFonts w:cstheme="minorHAnsi"/>
          <w:sz w:val="24"/>
          <w:szCs w:val="24"/>
        </w:rPr>
      </w:pPr>
    </w:p>
    <w:p w14:paraId="007F1F71" w14:textId="77777777" w:rsidR="00012D78" w:rsidRDefault="00012D78" w:rsidP="00012D78">
      <w:pPr>
        <w:rPr>
          <w:rFonts w:cstheme="minorHAnsi"/>
          <w:sz w:val="24"/>
          <w:szCs w:val="24"/>
        </w:rPr>
      </w:pPr>
      <w:r>
        <w:rPr>
          <w:rFonts w:cstheme="minorHAnsi"/>
          <w:sz w:val="24"/>
          <w:szCs w:val="24"/>
        </w:rPr>
        <w:t>A un niveau plus fin de décomposition, les déterminants sont classés en différentes catégories.</w:t>
      </w:r>
      <w:r w:rsidRPr="007E07D3">
        <w:rPr>
          <w:rFonts w:cstheme="minorHAnsi"/>
          <w:sz w:val="24"/>
          <w:szCs w:val="24"/>
        </w:rPr>
        <w:t xml:space="preserve"> </w:t>
      </w:r>
      <w:r w:rsidRPr="00BF29A2">
        <w:rPr>
          <w:rFonts w:cstheme="minorHAnsi"/>
          <w:sz w:val="24"/>
          <w:szCs w:val="24"/>
        </w:rPr>
        <w:t>L’illustration suivante</w:t>
      </w:r>
      <w:r>
        <w:rPr>
          <w:rStyle w:val="Appelnotedebasdep"/>
          <w:rFonts w:cstheme="minorHAnsi"/>
          <w:sz w:val="24"/>
          <w:szCs w:val="24"/>
        </w:rPr>
        <w:footnoteReference w:id="5"/>
      </w:r>
      <w:r w:rsidRPr="00BF29A2">
        <w:rPr>
          <w:rFonts w:cstheme="minorHAnsi"/>
          <w:sz w:val="24"/>
          <w:szCs w:val="24"/>
        </w:rPr>
        <w:t xml:space="preserve"> permet de visualiser les principaux déterminants de la mortalité au Niger (liste à gauche), leur poids relatif (longueur du trait), ainsi que leurs conséquences en termes de maladies (légende de droite) :</w:t>
      </w:r>
    </w:p>
    <w:p w14:paraId="27E5F4AA" w14:textId="77777777" w:rsidR="00012D78" w:rsidRDefault="00012D78" w:rsidP="00012D78">
      <w:pPr>
        <w:rPr>
          <w:rFonts w:cstheme="minorHAnsi"/>
          <w:sz w:val="24"/>
          <w:szCs w:val="24"/>
        </w:rPr>
      </w:pPr>
      <w:r>
        <w:rPr>
          <w:noProof/>
          <w:lang w:eastAsia="fr-FR"/>
        </w:rPr>
        <w:drawing>
          <wp:inline distT="0" distB="0" distL="0" distR="0" wp14:anchorId="0752643D" wp14:editId="7EDC3BD1">
            <wp:extent cx="5759450" cy="3144858"/>
            <wp:effectExtent l="0" t="0" r="0" b="0"/>
            <wp:docPr id="306" name="Image 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5759450" cy="3144858"/>
                    </a:xfrm>
                    <a:prstGeom prst="rect">
                      <a:avLst/>
                    </a:prstGeom>
                  </pic:spPr>
                </pic:pic>
              </a:graphicData>
            </a:graphic>
          </wp:inline>
        </w:drawing>
      </w:r>
    </w:p>
    <w:p w14:paraId="3BE7E398" w14:textId="77777777" w:rsidR="00012D78" w:rsidRDefault="00012D78" w:rsidP="00012D78">
      <w:pPr>
        <w:rPr>
          <w:rFonts w:cstheme="minorHAnsi"/>
          <w:sz w:val="24"/>
          <w:szCs w:val="24"/>
        </w:rPr>
      </w:pPr>
      <w:r>
        <w:rPr>
          <w:rFonts w:cstheme="minorHAnsi"/>
          <w:sz w:val="24"/>
          <w:szCs w:val="24"/>
        </w:rPr>
        <w:t>On voit que parmi les causes premières de la mauvaise santé de la population au Niger se trouve en tête la malnutrition, suivie des problèmes d’eau, d’hygiène et d’assainissement, puis la pollution de l’air, l’hypertension artérielle, etc…</w:t>
      </w:r>
    </w:p>
    <w:p w14:paraId="4A130849" w14:textId="77777777" w:rsidR="00D97799" w:rsidRDefault="00D97799" w:rsidP="00D97799"/>
    <w:p w14:paraId="5731B461" w14:textId="77777777" w:rsidR="00D97799" w:rsidRPr="00D97799" w:rsidRDefault="00D97799" w:rsidP="00D97799"/>
    <w:p w14:paraId="28E1E19B" w14:textId="77777777" w:rsidR="00D97799" w:rsidRDefault="00D97799">
      <w:pPr>
        <w:rPr>
          <w:rFonts w:asciiTheme="majorHAnsi" w:eastAsiaTheme="majorEastAsia" w:hAnsiTheme="majorHAnsi" w:cstheme="majorBidi"/>
          <w:b/>
          <w:bCs/>
          <w:color w:val="4F81BD" w:themeColor="accent1"/>
          <w:sz w:val="26"/>
          <w:szCs w:val="26"/>
        </w:rPr>
      </w:pPr>
      <w:r>
        <w:br w:type="page"/>
      </w:r>
    </w:p>
    <w:p w14:paraId="7C98AE27" w14:textId="77777777" w:rsidR="003F3FAC" w:rsidRPr="00BF29A2" w:rsidRDefault="003F3FAC" w:rsidP="00BF29A2">
      <w:pPr>
        <w:pStyle w:val="Titre2"/>
      </w:pPr>
      <w:bookmarkStart w:id="7" w:name="_Toc21449009"/>
      <w:r w:rsidRPr="00BF29A2">
        <w:t>Diagnostic du système de santé</w:t>
      </w:r>
      <w:bookmarkEnd w:id="7"/>
      <w:r w:rsidRPr="00BF29A2">
        <w:t xml:space="preserve"> </w:t>
      </w:r>
    </w:p>
    <w:p w14:paraId="085E0CE0" w14:textId="77777777" w:rsidR="00F8057D" w:rsidRPr="00BF29A2" w:rsidRDefault="00F8057D" w:rsidP="00F8057D">
      <w:pPr>
        <w:spacing w:line="240" w:lineRule="auto"/>
        <w:jc w:val="both"/>
        <w:rPr>
          <w:rFonts w:cstheme="minorHAnsi"/>
          <w:i/>
          <w:sz w:val="24"/>
          <w:szCs w:val="24"/>
        </w:rPr>
      </w:pPr>
      <w:r w:rsidRPr="00BF29A2">
        <w:rPr>
          <w:rFonts w:cstheme="minorHAnsi"/>
          <w:i/>
          <w:sz w:val="24"/>
          <w:szCs w:val="24"/>
        </w:rPr>
        <w:t>Prestations des services de santé</w:t>
      </w:r>
    </w:p>
    <w:p w14:paraId="1B20A6D9" w14:textId="77777777" w:rsidR="005352FD" w:rsidRDefault="005352FD" w:rsidP="005352FD">
      <w:pPr>
        <w:spacing w:line="240" w:lineRule="auto"/>
        <w:jc w:val="both"/>
        <w:rPr>
          <w:rFonts w:cstheme="minorHAnsi"/>
          <w:sz w:val="24"/>
          <w:szCs w:val="24"/>
        </w:rPr>
      </w:pPr>
      <w:r w:rsidRPr="00BF29A2">
        <w:rPr>
          <w:rFonts w:cstheme="minorHAnsi"/>
          <w:sz w:val="24"/>
          <w:szCs w:val="24"/>
        </w:rPr>
        <w:t xml:space="preserve">L’utilisation des services de santé qui étaient à 23% en 2005 a augmenté progressivement pour atteindre 70% </w:t>
      </w:r>
      <w:r w:rsidR="004B4EAD">
        <w:rPr>
          <w:rFonts w:cstheme="minorHAnsi"/>
          <w:sz w:val="24"/>
          <w:szCs w:val="24"/>
        </w:rPr>
        <w:t>(</w:t>
      </w:r>
      <w:r w:rsidR="00E30B5F">
        <w:rPr>
          <w:rFonts w:cstheme="minorHAnsi"/>
          <w:sz w:val="24"/>
          <w:szCs w:val="24"/>
        </w:rPr>
        <w:t>2009</w:t>
      </w:r>
      <w:r w:rsidR="004B4EAD">
        <w:rPr>
          <w:rFonts w:cstheme="minorHAnsi"/>
          <w:sz w:val="24"/>
          <w:szCs w:val="24"/>
        </w:rPr>
        <w:t xml:space="preserve">) </w:t>
      </w:r>
      <w:r w:rsidR="00B65E81">
        <w:rPr>
          <w:rFonts w:cstheme="minorHAnsi"/>
          <w:sz w:val="24"/>
          <w:szCs w:val="24"/>
        </w:rPr>
        <w:t>du fait de l’institution de la</w:t>
      </w:r>
      <w:r w:rsidRPr="00BF29A2">
        <w:rPr>
          <w:rFonts w:cstheme="minorHAnsi"/>
          <w:sz w:val="24"/>
          <w:szCs w:val="24"/>
        </w:rPr>
        <w:t xml:space="preserve"> mesure de gratuité. Elle a ensuite commencé à baisser jusqu’à 5</w:t>
      </w:r>
      <w:r w:rsidR="008566D6">
        <w:rPr>
          <w:rFonts w:cstheme="minorHAnsi"/>
          <w:sz w:val="24"/>
          <w:szCs w:val="24"/>
        </w:rPr>
        <w:t>1.36% en 2016 et 48.35% en 2018</w:t>
      </w:r>
      <w:r w:rsidRPr="00BF29A2">
        <w:rPr>
          <w:rFonts w:cstheme="minorHAnsi"/>
          <w:sz w:val="24"/>
          <w:szCs w:val="24"/>
        </w:rPr>
        <w:t xml:space="preserve"> </w:t>
      </w:r>
      <w:r w:rsidR="008566D6" w:rsidRPr="00AB4345">
        <w:rPr>
          <w:rFonts w:cstheme="minorHAnsi"/>
          <w:sz w:val="24"/>
          <w:szCs w:val="24"/>
        </w:rPr>
        <w:t>traduisant un déclin de l’attractivité des services de santé pour la population</w:t>
      </w:r>
      <w:r w:rsidR="008566D6" w:rsidRPr="00BF29A2">
        <w:rPr>
          <w:rFonts w:cstheme="minorHAnsi"/>
          <w:sz w:val="24"/>
          <w:szCs w:val="24"/>
        </w:rPr>
        <w:t xml:space="preserve">. </w:t>
      </w:r>
      <w:r w:rsidR="008566D6">
        <w:rPr>
          <w:rFonts w:cstheme="minorHAnsi"/>
          <w:sz w:val="24"/>
          <w:szCs w:val="24"/>
        </w:rPr>
        <w:t>Cette baisse est certainement en lien avec le non-paiement des subsides de la gratuité</w:t>
      </w:r>
      <w:r w:rsidR="00F02A89">
        <w:rPr>
          <w:rFonts w:cstheme="minorHAnsi"/>
          <w:sz w:val="24"/>
          <w:szCs w:val="24"/>
        </w:rPr>
        <w:t>.</w:t>
      </w:r>
    </w:p>
    <w:p w14:paraId="4EAD9285" w14:textId="77777777" w:rsidR="00122B15" w:rsidRPr="00BF29A2" w:rsidRDefault="00122B15" w:rsidP="00122B15">
      <w:pPr>
        <w:spacing w:line="240" w:lineRule="auto"/>
        <w:jc w:val="both"/>
        <w:rPr>
          <w:rFonts w:cstheme="minorHAnsi"/>
          <w:i/>
          <w:sz w:val="24"/>
          <w:szCs w:val="24"/>
        </w:rPr>
      </w:pPr>
      <w:r w:rsidRPr="00BF29A2">
        <w:rPr>
          <w:rFonts w:cstheme="minorHAnsi"/>
          <w:i/>
          <w:sz w:val="24"/>
          <w:szCs w:val="24"/>
        </w:rPr>
        <w:t>Ressources humaines pour la santé</w:t>
      </w:r>
    </w:p>
    <w:p w14:paraId="73DAE14A" w14:textId="77777777" w:rsidR="00E30B5F" w:rsidRPr="00BF29A2" w:rsidRDefault="00E30B5F" w:rsidP="00E30B5F">
      <w:pPr>
        <w:spacing w:line="240" w:lineRule="auto"/>
        <w:jc w:val="both"/>
        <w:rPr>
          <w:rFonts w:cstheme="minorHAnsi"/>
          <w:sz w:val="24"/>
          <w:szCs w:val="24"/>
        </w:rPr>
      </w:pPr>
      <w:r w:rsidRPr="00BF29A2">
        <w:rPr>
          <w:rFonts w:cstheme="minorHAnsi"/>
          <w:sz w:val="24"/>
          <w:szCs w:val="24"/>
        </w:rPr>
        <w:t xml:space="preserve">Le Ministère de la santé </w:t>
      </w:r>
      <w:r w:rsidR="00971E95">
        <w:rPr>
          <w:rFonts w:cstheme="minorHAnsi"/>
          <w:sz w:val="24"/>
          <w:szCs w:val="24"/>
        </w:rPr>
        <w:t xml:space="preserve">publique </w:t>
      </w:r>
      <w:r w:rsidRPr="00BF29A2">
        <w:rPr>
          <w:rFonts w:cstheme="minorHAnsi"/>
          <w:sz w:val="24"/>
          <w:szCs w:val="24"/>
        </w:rPr>
        <w:t xml:space="preserve">dispose d’un </w:t>
      </w:r>
      <w:r>
        <w:rPr>
          <w:rFonts w:cstheme="minorHAnsi"/>
          <w:sz w:val="24"/>
          <w:szCs w:val="24"/>
        </w:rPr>
        <w:t>P</w:t>
      </w:r>
      <w:r w:rsidRPr="00BF29A2">
        <w:rPr>
          <w:rFonts w:cstheme="minorHAnsi"/>
          <w:sz w:val="24"/>
          <w:szCs w:val="24"/>
        </w:rPr>
        <w:t xml:space="preserve">lan de </w:t>
      </w:r>
      <w:r>
        <w:rPr>
          <w:rFonts w:cstheme="minorHAnsi"/>
          <w:sz w:val="24"/>
          <w:szCs w:val="24"/>
        </w:rPr>
        <w:t>D</w:t>
      </w:r>
      <w:r w:rsidRPr="00BF29A2">
        <w:rPr>
          <w:rFonts w:cstheme="minorHAnsi"/>
          <w:sz w:val="24"/>
          <w:szCs w:val="24"/>
        </w:rPr>
        <w:t xml:space="preserve">éveloppement </w:t>
      </w:r>
      <w:r>
        <w:rPr>
          <w:rFonts w:cstheme="minorHAnsi"/>
          <w:sz w:val="24"/>
          <w:szCs w:val="24"/>
        </w:rPr>
        <w:t>des Ressources Humaines (PDRH)</w:t>
      </w:r>
      <w:r w:rsidRPr="00BF29A2">
        <w:rPr>
          <w:rFonts w:cstheme="minorHAnsi"/>
          <w:sz w:val="24"/>
          <w:szCs w:val="24"/>
        </w:rPr>
        <w:t xml:space="preserve"> pour la période 2011-2020, qui </w:t>
      </w:r>
      <w:r w:rsidR="00971E95">
        <w:rPr>
          <w:rFonts w:cstheme="minorHAnsi"/>
          <w:sz w:val="24"/>
          <w:szCs w:val="24"/>
        </w:rPr>
        <w:t>devra</w:t>
      </w:r>
      <w:r w:rsidRPr="00BF29A2">
        <w:rPr>
          <w:rFonts w:cstheme="minorHAnsi"/>
          <w:sz w:val="24"/>
          <w:szCs w:val="24"/>
        </w:rPr>
        <w:t xml:space="preserve"> donc être renouvelé</w:t>
      </w:r>
      <w:r w:rsidR="00971E95">
        <w:rPr>
          <w:rFonts w:cstheme="minorHAnsi"/>
          <w:sz w:val="24"/>
          <w:szCs w:val="24"/>
        </w:rPr>
        <w:t xml:space="preserve"> bientôt</w:t>
      </w:r>
      <w:r w:rsidRPr="00BF29A2">
        <w:rPr>
          <w:rFonts w:cstheme="minorHAnsi"/>
          <w:sz w:val="24"/>
          <w:szCs w:val="24"/>
        </w:rPr>
        <w:t>.</w:t>
      </w:r>
    </w:p>
    <w:p w14:paraId="2F01C015" w14:textId="77777777" w:rsidR="00122B15" w:rsidRPr="00BF29A2" w:rsidRDefault="00E30B5F" w:rsidP="00E30B5F">
      <w:pPr>
        <w:spacing w:line="240" w:lineRule="auto"/>
        <w:jc w:val="both"/>
        <w:rPr>
          <w:rFonts w:cstheme="minorHAnsi"/>
          <w:sz w:val="24"/>
          <w:szCs w:val="24"/>
        </w:rPr>
      </w:pPr>
      <w:r w:rsidRPr="00BF29A2">
        <w:rPr>
          <w:rFonts w:cstheme="minorHAnsi"/>
          <w:sz w:val="24"/>
          <w:szCs w:val="24"/>
        </w:rPr>
        <w:t>La densité de professionnels de santé est très faible</w:t>
      </w:r>
      <w:r>
        <w:rPr>
          <w:rFonts w:cstheme="minorHAnsi"/>
          <w:sz w:val="24"/>
          <w:szCs w:val="24"/>
        </w:rPr>
        <w:t>,</w:t>
      </w:r>
      <w:r w:rsidRPr="00BF29A2">
        <w:rPr>
          <w:rFonts w:cstheme="minorHAnsi"/>
          <w:sz w:val="24"/>
          <w:szCs w:val="24"/>
        </w:rPr>
        <w:t xml:space="preserve"> estimée à 0.4 pour 1000 habitants </w:t>
      </w:r>
      <w:r>
        <w:rPr>
          <w:rFonts w:cstheme="minorHAnsi"/>
          <w:sz w:val="24"/>
          <w:szCs w:val="24"/>
        </w:rPr>
        <w:t>alors que</w:t>
      </w:r>
      <w:r w:rsidRPr="00BF29A2">
        <w:rPr>
          <w:rFonts w:cstheme="minorHAnsi"/>
          <w:sz w:val="24"/>
          <w:szCs w:val="24"/>
        </w:rPr>
        <w:t xml:space="preserve"> 4.45 pour 1000 habitants </w:t>
      </w:r>
      <w:r>
        <w:rPr>
          <w:rFonts w:cstheme="minorHAnsi"/>
          <w:sz w:val="24"/>
          <w:szCs w:val="24"/>
        </w:rPr>
        <w:t xml:space="preserve">est </w:t>
      </w:r>
      <w:r w:rsidRPr="00BF29A2">
        <w:rPr>
          <w:rFonts w:cstheme="minorHAnsi"/>
          <w:sz w:val="24"/>
          <w:szCs w:val="24"/>
        </w:rPr>
        <w:t>estimée nécessaire pour augmenter les chances du pays à réaliser les ODD.</w:t>
      </w:r>
      <w:r w:rsidR="00122B15" w:rsidRPr="00BF29A2">
        <w:rPr>
          <w:rFonts w:cstheme="minorHAnsi"/>
          <w:sz w:val="24"/>
          <w:szCs w:val="24"/>
        </w:rPr>
        <w:t xml:space="preserve"> Les RHS sont disponibles sur le marché de l’emploi (environ 2000 professionnels de santé obtiennent leur</w:t>
      </w:r>
      <w:r w:rsidR="00C87C96">
        <w:rPr>
          <w:rFonts w:cstheme="minorHAnsi"/>
          <w:sz w:val="24"/>
          <w:szCs w:val="24"/>
        </w:rPr>
        <w:t>s</w:t>
      </w:r>
      <w:r w:rsidR="00122B15" w:rsidRPr="00BF29A2">
        <w:rPr>
          <w:rFonts w:cstheme="minorHAnsi"/>
          <w:sz w:val="24"/>
          <w:szCs w:val="24"/>
        </w:rPr>
        <w:t xml:space="preserve"> diplômes chaque année</w:t>
      </w:r>
      <w:r w:rsidR="00122B15" w:rsidRPr="00122B15">
        <w:rPr>
          <w:rFonts w:cstheme="minorHAnsi"/>
          <w:sz w:val="24"/>
          <w:szCs w:val="24"/>
        </w:rPr>
        <w:t xml:space="preserve">), </w:t>
      </w:r>
      <w:r w:rsidR="008566D6">
        <w:rPr>
          <w:rFonts w:cstheme="minorHAnsi"/>
          <w:sz w:val="24"/>
          <w:szCs w:val="24"/>
        </w:rPr>
        <w:t>à l’exception de certaines spécialités médicales et paramédicales comme les radiologues, les anesthésistes. Malgré la disponibilité des RHS</w:t>
      </w:r>
      <w:r w:rsidR="008566D6" w:rsidRPr="00122B15">
        <w:rPr>
          <w:rFonts w:cstheme="minorHAnsi"/>
          <w:sz w:val="24"/>
          <w:szCs w:val="24"/>
        </w:rPr>
        <w:t xml:space="preserve"> </w:t>
      </w:r>
      <w:r w:rsidR="00122B15" w:rsidRPr="00122B15">
        <w:rPr>
          <w:rFonts w:cstheme="minorHAnsi"/>
          <w:sz w:val="24"/>
          <w:szCs w:val="24"/>
        </w:rPr>
        <w:t xml:space="preserve">le recrutement est </w:t>
      </w:r>
      <w:r>
        <w:rPr>
          <w:rFonts w:cstheme="minorHAnsi"/>
          <w:sz w:val="24"/>
          <w:szCs w:val="24"/>
        </w:rPr>
        <w:t>bien en deçà de la demande </w:t>
      </w:r>
      <w:r w:rsidR="00F02A89">
        <w:rPr>
          <w:rFonts w:cstheme="minorHAnsi"/>
          <w:sz w:val="24"/>
          <w:szCs w:val="24"/>
        </w:rPr>
        <w:t>;</w:t>
      </w:r>
      <w:r w:rsidR="00122B15" w:rsidRPr="00122B15">
        <w:rPr>
          <w:rFonts w:cstheme="minorHAnsi"/>
          <w:sz w:val="24"/>
          <w:szCs w:val="24"/>
        </w:rPr>
        <w:t xml:space="preserve"> en outre </w:t>
      </w:r>
      <w:r w:rsidR="00122B15" w:rsidRPr="00BF29A2">
        <w:rPr>
          <w:rFonts w:cstheme="minorHAnsi"/>
          <w:sz w:val="24"/>
          <w:szCs w:val="24"/>
        </w:rPr>
        <w:t xml:space="preserve">la question de rétention du personnel en milieu rural reste toujours non résolue. En plus, il n’existe pas de plan de relève pour le personnel affecté en zone difficile. </w:t>
      </w:r>
    </w:p>
    <w:p w14:paraId="7132A431" w14:textId="77777777" w:rsidR="00122B15" w:rsidRPr="00122B15" w:rsidRDefault="00122B15" w:rsidP="00122B15">
      <w:pPr>
        <w:spacing w:line="240" w:lineRule="auto"/>
        <w:jc w:val="both"/>
        <w:rPr>
          <w:rFonts w:cstheme="minorHAnsi"/>
          <w:i/>
          <w:sz w:val="24"/>
          <w:szCs w:val="24"/>
        </w:rPr>
      </w:pPr>
      <w:r w:rsidRPr="00122B15">
        <w:rPr>
          <w:rFonts w:cstheme="minorHAnsi"/>
          <w:i/>
          <w:sz w:val="24"/>
          <w:szCs w:val="24"/>
        </w:rPr>
        <w:t>Produits médicaux et Médicaments</w:t>
      </w:r>
    </w:p>
    <w:p w14:paraId="3ED1DF57" w14:textId="77777777" w:rsidR="00E30B5F" w:rsidRDefault="00E30B5F" w:rsidP="00E30B5F">
      <w:pPr>
        <w:spacing w:line="240" w:lineRule="auto"/>
        <w:jc w:val="both"/>
        <w:rPr>
          <w:rFonts w:cstheme="minorHAnsi"/>
          <w:sz w:val="24"/>
          <w:szCs w:val="24"/>
        </w:rPr>
      </w:pPr>
      <w:r w:rsidRPr="00BF29A2">
        <w:rPr>
          <w:rFonts w:cstheme="minorHAnsi"/>
          <w:sz w:val="24"/>
          <w:szCs w:val="24"/>
        </w:rPr>
        <w:t xml:space="preserve">Le Niger </w:t>
      </w:r>
      <w:r>
        <w:rPr>
          <w:rFonts w:cstheme="minorHAnsi"/>
          <w:sz w:val="24"/>
          <w:szCs w:val="24"/>
        </w:rPr>
        <w:t>est doté d’un</w:t>
      </w:r>
      <w:r w:rsidRPr="00BF29A2">
        <w:rPr>
          <w:rFonts w:cstheme="minorHAnsi"/>
          <w:sz w:val="24"/>
          <w:szCs w:val="24"/>
        </w:rPr>
        <w:t xml:space="preserve"> plan stratégique pour une chaine unique d’approvisionnement en produits de santé. </w:t>
      </w:r>
      <w:r>
        <w:rPr>
          <w:rFonts w:cstheme="minorHAnsi"/>
          <w:sz w:val="24"/>
          <w:szCs w:val="24"/>
        </w:rPr>
        <w:t xml:space="preserve">En plus, </w:t>
      </w:r>
      <w:r w:rsidRPr="00BF29A2">
        <w:rPr>
          <w:rFonts w:cstheme="minorHAnsi"/>
          <w:sz w:val="24"/>
          <w:szCs w:val="24"/>
        </w:rPr>
        <w:t xml:space="preserve"> deux engagements importants </w:t>
      </w:r>
      <w:r>
        <w:rPr>
          <w:rFonts w:cstheme="minorHAnsi"/>
          <w:sz w:val="24"/>
          <w:szCs w:val="24"/>
        </w:rPr>
        <w:t>ont été souscrits</w:t>
      </w:r>
      <w:r w:rsidRPr="00BF29A2">
        <w:rPr>
          <w:rFonts w:cstheme="minorHAnsi"/>
          <w:sz w:val="24"/>
          <w:szCs w:val="24"/>
        </w:rPr>
        <w:t xml:space="preserve">: </w:t>
      </w:r>
      <w:r>
        <w:rPr>
          <w:rFonts w:cstheme="minorHAnsi"/>
          <w:sz w:val="24"/>
          <w:szCs w:val="24"/>
        </w:rPr>
        <w:t>i)</w:t>
      </w:r>
      <w:r w:rsidRPr="00BF29A2">
        <w:rPr>
          <w:rFonts w:cstheme="minorHAnsi"/>
          <w:sz w:val="24"/>
          <w:szCs w:val="24"/>
        </w:rPr>
        <w:t xml:space="preserve"> la révision du statut de la Direction de la Pharmacie et de la Médecine Traditionnelle en agence du médicament et </w:t>
      </w:r>
      <w:r>
        <w:rPr>
          <w:rFonts w:cstheme="minorHAnsi"/>
          <w:sz w:val="24"/>
          <w:szCs w:val="24"/>
        </w:rPr>
        <w:t>ii)</w:t>
      </w:r>
      <w:r w:rsidRPr="00BF29A2">
        <w:rPr>
          <w:rFonts w:cstheme="minorHAnsi"/>
          <w:sz w:val="24"/>
          <w:szCs w:val="24"/>
        </w:rPr>
        <w:t xml:space="preserve"> faire évoluer le statut de l’ONPPC en un statut plus approprié lui devant lui permettre de jouer son rôle dans la mise en œuvre de la chaine unique d’approvisionnement en produits de santé. </w:t>
      </w:r>
      <w:r>
        <w:rPr>
          <w:rFonts w:cstheme="minorHAnsi"/>
          <w:sz w:val="24"/>
          <w:szCs w:val="24"/>
        </w:rPr>
        <w:t>O</w:t>
      </w:r>
      <w:r w:rsidRPr="00BF29A2">
        <w:rPr>
          <w:rFonts w:cstheme="minorHAnsi"/>
          <w:sz w:val="24"/>
          <w:szCs w:val="24"/>
        </w:rPr>
        <w:t xml:space="preserve">n note </w:t>
      </w:r>
      <w:r w:rsidR="00866A12">
        <w:rPr>
          <w:rFonts w:cstheme="minorHAnsi"/>
          <w:sz w:val="24"/>
          <w:szCs w:val="24"/>
        </w:rPr>
        <w:t xml:space="preserve">encore aujourd’hui </w:t>
      </w:r>
      <w:r w:rsidRPr="00BF29A2">
        <w:rPr>
          <w:rFonts w:cstheme="minorHAnsi"/>
          <w:sz w:val="24"/>
          <w:szCs w:val="24"/>
        </w:rPr>
        <w:t>une faible capacité de l’ONPPC à satisfaire les besoins en produits de santé du fait entre autre de l’accumulation de retard de remboursement par le gouvernement à l’ONPPC dans le cadre de la gratuité</w:t>
      </w:r>
      <w:r>
        <w:rPr>
          <w:rFonts w:cstheme="minorHAnsi"/>
          <w:sz w:val="24"/>
          <w:szCs w:val="24"/>
        </w:rPr>
        <w:t>,</w:t>
      </w:r>
      <w:r w:rsidRPr="00BF29A2">
        <w:rPr>
          <w:rFonts w:cstheme="minorHAnsi"/>
          <w:sz w:val="24"/>
          <w:szCs w:val="24"/>
        </w:rPr>
        <w:t xml:space="preserve"> une insuffisance des ressources humaines en quantité et en qualité</w:t>
      </w:r>
      <w:r w:rsidRPr="00122B15">
        <w:rPr>
          <w:rFonts w:cstheme="minorHAnsi"/>
          <w:sz w:val="24"/>
          <w:szCs w:val="24"/>
        </w:rPr>
        <w:t xml:space="preserve"> ainsi que la prolifération de la vente des produi</w:t>
      </w:r>
      <w:r w:rsidR="00866A12">
        <w:rPr>
          <w:rFonts w:cstheme="minorHAnsi"/>
          <w:sz w:val="24"/>
          <w:szCs w:val="24"/>
        </w:rPr>
        <w:t>t</w:t>
      </w:r>
      <w:r w:rsidRPr="00122B15">
        <w:rPr>
          <w:rFonts w:cstheme="minorHAnsi"/>
          <w:sz w:val="24"/>
          <w:szCs w:val="24"/>
        </w:rPr>
        <w:t>s</w:t>
      </w:r>
      <w:r w:rsidR="00866A12">
        <w:rPr>
          <w:rFonts w:cstheme="minorHAnsi"/>
          <w:sz w:val="24"/>
          <w:szCs w:val="24"/>
        </w:rPr>
        <w:t xml:space="preserve"> de</w:t>
      </w:r>
      <w:r w:rsidRPr="00122B15">
        <w:rPr>
          <w:rFonts w:cstheme="minorHAnsi"/>
          <w:sz w:val="24"/>
          <w:szCs w:val="24"/>
        </w:rPr>
        <w:t xml:space="preserve"> contre</w:t>
      </w:r>
      <w:r>
        <w:rPr>
          <w:rFonts w:cstheme="minorHAnsi"/>
          <w:sz w:val="24"/>
          <w:szCs w:val="24"/>
        </w:rPr>
        <w:t>façon.</w:t>
      </w:r>
    </w:p>
    <w:p w14:paraId="1471EA0B" w14:textId="77777777" w:rsidR="00D41D0C" w:rsidRPr="00D41D0C" w:rsidRDefault="00D41D0C" w:rsidP="00D41D0C">
      <w:pPr>
        <w:autoSpaceDE w:val="0"/>
        <w:autoSpaceDN w:val="0"/>
        <w:adjustRightInd w:val="0"/>
        <w:jc w:val="both"/>
        <w:rPr>
          <w:rFonts w:cstheme="minorHAnsi"/>
          <w:sz w:val="24"/>
          <w:szCs w:val="24"/>
        </w:rPr>
      </w:pPr>
      <w:r w:rsidRPr="007064B6">
        <w:rPr>
          <w:rFonts w:cstheme="minorHAnsi"/>
          <w:sz w:val="24"/>
          <w:szCs w:val="24"/>
        </w:rPr>
        <w:t xml:space="preserve">Dans un souci de garantir une meilleure prise en charge, une </w:t>
      </w:r>
      <w:r w:rsidRPr="00C47C22">
        <w:rPr>
          <w:rFonts w:cstheme="minorHAnsi"/>
          <w:sz w:val="24"/>
          <w:szCs w:val="24"/>
        </w:rPr>
        <w:t>Direction des Laboratoires de Santé est créée</w:t>
      </w:r>
      <w:r w:rsidRPr="007064B6">
        <w:rPr>
          <w:rFonts w:cstheme="minorHAnsi"/>
          <w:sz w:val="24"/>
          <w:szCs w:val="24"/>
        </w:rPr>
        <w:t xml:space="preserve"> </w:t>
      </w:r>
      <w:r w:rsidRPr="00C47C22">
        <w:rPr>
          <w:rFonts w:cstheme="minorHAnsi"/>
          <w:sz w:val="24"/>
          <w:szCs w:val="24"/>
        </w:rPr>
        <w:t>avec pour mission principale de participer à la conception,</w:t>
      </w:r>
      <w:r w:rsidRPr="007064B6">
        <w:rPr>
          <w:rFonts w:cstheme="minorHAnsi"/>
          <w:sz w:val="24"/>
          <w:szCs w:val="24"/>
        </w:rPr>
        <w:t xml:space="preserve"> à la mise en œuvre</w:t>
      </w:r>
      <w:r w:rsidRPr="00C47C22">
        <w:rPr>
          <w:rFonts w:cstheme="minorHAnsi"/>
          <w:sz w:val="24"/>
          <w:szCs w:val="24"/>
        </w:rPr>
        <w:t xml:space="preserve">, au suivi et à l’évaluation des stratégies nationales en matière de laboratoire. </w:t>
      </w:r>
      <w:r w:rsidR="009E2964" w:rsidRPr="00C47C22">
        <w:rPr>
          <w:rFonts w:cstheme="minorHAnsi"/>
          <w:sz w:val="24"/>
          <w:szCs w:val="24"/>
        </w:rPr>
        <w:t>Malgré</w:t>
      </w:r>
      <w:r w:rsidRPr="00C47C22">
        <w:rPr>
          <w:rFonts w:cstheme="minorHAnsi"/>
          <w:sz w:val="24"/>
          <w:szCs w:val="24"/>
        </w:rPr>
        <w:t xml:space="preserve"> cela, l</w:t>
      </w:r>
      <w:r w:rsidRPr="00D41D0C">
        <w:rPr>
          <w:rFonts w:cstheme="minorHAnsi"/>
          <w:sz w:val="24"/>
          <w:szCs w:val="24"/>
        </w:rPr>
        <w:t xml:space="preserve">es services de laboratoire souffrent de l’inadaptation des infrastructures aux évolutions technologiques, de l’insuffisance en ressources humaines qualifiées, en équipements et intrants. Ces facteurs limitent considérablement le développement de la  biologie et du laboratoire au Niger. </w:t>
      </w:r>
    </w:p>
    <w:p w14:paraId="712C6EE0" w14:textId="77777777" w:rsidR="00D41D0C" w:rsidRDefault="00D41D0C" w:rsidP="00E30B5F">
      <w:pPr>
        <w:spacing w:line="240" w:lineRule="auto"/>
        <w:jc w:val="both"/>
        <w:rPr>
          <w:rFonts w:cstheme="minorHAnsi"/>
          <w:sz w:val="24"/>
          <w:szCs w:val="24"/>
        </w:rPr>
      </w:pPr>
    </w:p>
    <w:p w14:paraId="50A68122" w14:textId="77777777" w:rsidR="00D41D0C" w:rsidRDefault="00D41D0C" w:rsidP="00E30B5F">
      <w:pPr>
        <w:spacing w:line="240" w:lineRule="auto"/>
        <w:jc w:val="both"/>
        <w:rPr>
          <w:rFonts w:cstheme="minorHAnsi"/>
          <w:sz w:val="24"/>
          <w:szCs w:val="24"/>
        </w:rPr>
      </w:pPr>
    </w:p>
    <w:p w14:paraId="1EB4D5A3" w14:textId="77777777" w:rsidR="007679D9" w:rsidRPr="00122B15" w:rsidRDefault="007679D9" w:rsidP="00E30B5F">
      <w:pPr>
        <w:spacing w:line="240" w:lineRule="auto"/>
        <w:jc w:val="both"/>
        <w:rPr>
          <w:rFonts w:cstheme="minorHAnsi"/>
          <w:sz w:val="24"/>
          <w:szCs w:val="24"/>
        </w:rPr>
      </w:pPr>
    </w:p>
    <w:p w14:paraId="1A74915A" w14:textId="77777777" w:rsidR="00122B15" w:rsidRPr="00122B15" w:rsidRDefault="00122B15" w:rsidP="00122B15">
      <w:pPr>
        <w:spacing w:line="240" w:lineRule="auto"/>
        <w:jc w:val="both"/>
        <w:rPr>
          <w:rFonts w:cstheme="minorHAnsi"/>
          <w:i/>
          <w:sz w:val="24"/>
          <w:szCs w:val="24"/>
        </w:rPr>
      </w:pPr>
      <w:r w:rsidRPr="00122B15">
        <w:rPr>
          <w:rFonts w:cstheme="minorHAnsi"/>
          <w:i/>
          <w:sz w:val="24"/>
          <w:szCs w:val="24"/>
        </w:rPr>
        <w:t>Infrastructures et équipements médicaux</w:t>
      </w:r>
    </w:p>
    <w:p w14:paraId="04F8F9F3" w14:textId="77777777" w:rsidR="00E30B5F" w:rsidRPr="00BF29A2" w:rsidRDefault="00E30B5F" w:rsidP="00E30B5F">
      <w:pPr>
        <w:spacing w:line="240" w:lineRule="auto"/>
        <w:jc w:val="both"/>
        <w:rPr>
          <w:rFonts w:cstheme="minorHAnsi"/>
          <w:sz w:val="24"/>
          <w:szCs w:val="24"/>
        </w:rPr>
      </w:pPr>
      <w:r w:rsidRPr="00BF29A2">
        <w:rPr>
          <w:rFonts w:cstheme="minorHAnsi"/>
          <w:sz w:val="24"/>
          <w:szCs w:val="24"/>
        </w:rPr>
        <w:t xml:space="preserve">La couverture sanitaire </w:t>
      </w:r>
      <w:r>
        <w:rPr>
          <w:rFonts w:cstheme="minorHAnsi"/>
          <w:sz w:val="24"/>
          <w:szCs w:val="24"/>
        </w:rPr>
        <w:t>est passée</w:t>
      </w:r>
      <w:r w:rsidRPr="00BF29A2">
        <w:rPr>
          <w:rFonts w:cstheme="minorHAnsi"/>
          <w:sz w:val="24"/>
          <w:szCs w:val="24"/>
        </w:rPr>
        <w:t xml:space="preserve"> de 48,36% en 2016, </w:t>
      </w:r>
      <w:r>
        <w:rPr>
          <w:rFonts w:cstheme="minorHAnsi"/>
          <w:sz w:val="24"/>
          <w:szCs w:val="24"/>
        </w:rPr>
        <w:t>à</w:t>
      </w:r>
      <w:r w:rsidRPr="00BF29A2">
        <w:rPr>
          <w:rFonts w:cstheme="minorHAnsi"/>
          <w:sz w:val="24"/>
          <w:szCs w:val="24"/>
        </w:rPr>
        <w:t xml:space="preserve"> à 50,63</w:t>
      </w:r>
      <w:r>
        <w:rPr>
          <w:rFonts w:cstheme="minorHAnsi"/>
          <w:sz w:val="24"/>
          <w:szCs w:val="24"/>
        </w:rPr>
        <w:t xml:space="preserve"> en 2018</w:t>
      </w:r>
      <w:r w:rsidRPr="00BF29A2">
        <w:rPr>
          <w:rFonts w:cstheme="minorHAnsi"/>
          <w:sz w:val="24"/>
          <w:szCs w:val="24"/>
        </w:rPr>
        <w:t xml:space="preserve">. </w:t>
      </w:r>
      <w:r>
        <w:rPr>
          <w:rFonts w:cstheme="minorHAnsi"/>
          <w:sz w:val="24"/>
          <w:szCs w:val="24"/>
        </w:rPr>
        <w:t xml:space="preserve">Bien que </w:t>
      </w:r>
      <w:r w:rsidRPr="00BF29A2">
        <w:rPr>
          <w:rFonts w:cstheme="minorHAnsi"/>
          <w:sz w:val="24"/>
          <w:szCs w:val="24"/>
        </w:rPr>
        <w:t xml:space="preserve"> de nouveaux Centres de Santé Intégrés (CSI) </w:t>
      </w:r>
      <w:r>
        <w:rPr>
          <w:rFonts w:cstheme="minorHAnsi"/>
          <w:sz w:val="24"/>
          <w:szCs w:val="24"/>
        </w:rPr>
        <w:t xml:space="preserve">ont été construits et  de nombreuses cases de santé transformées en CSI, </w:t>
      </w:r>
      <w:r w:rsidRPr="00BF29A2">
        <w:rPr>
          <w:rFonts w:cstheme="minorHAnsi"/>
          <w:sz w:val="24"/>
          <w:szCs w:val="24"/>
        </w:rPr>
        <w:t xml:space="preserve">l’impact attendu </w:t>
      </w:r>
      <w:r>
        <w:rPr>
          <w:rFonts w:cstheme="minorHAnsi"/>
          <w:sz w:val="24"/>
          <w:szCs w:val="24"/>
        </w:rPr>
        <w:t xml:space="preserve">a été très peu significatif </w:t>
      </w:r>
      <w:r w:rsidRPr="00BF29A2">
        <w:rPr>
          <w:rFonts w:cstheme="minorHAnsi"/>
          <w:sz w:val="24"/>
          <w:szCs w:val="24"/>
        </w:rPr>
        <w:t>sur l’amélioration de la couverture sanitaire</w:t>
      </w:r>
      <w:r>
        <w:rPr>
          <w:rFonts w:cstheme="minorHAnsi"/>
          <w:sz w:val="24"/>
          <w:szCs w:val="24"/>
        </w:rPr>
        <w:t xml:space="preserve">. </w:t>
      </w:r>
      <w:r w:rsidRPr="005352FD">
        <w:rPr>
          <w:rFonts w:cstheme="minorHAnsi"/>
          <w:sz w:val="24"/>
          <w:szCs w:val="24"/>
        </w:rPr>
        <w:t>41 cases de santé ont été transformées en CSI en 2017 et 2018 sur une prévision de 120 soit un taux de réalisation de 34%. En cause, le non approvisionnement des lignes budgétaires, la lenteur dans le payement des décompte, la faible capacité des entreprises à mobiliser les ressources</w:t>
      </w:r>
      <w:r w:rsidRPr="004F044B">
        <w:rPr>
          <w:rFonts w:cstheme="minorHAnsi"/>
          <w:sz w:val="24"/>
          <w:szCs w:val="24"/>
        </w:rPr>
        <w:t xml:space="preserve"> </w:t>
      </w:r>
      <w:r w:rsidRPr="00122B15">
        <w:rPr>
          <w:rFonts w:cstheme="minorHAnsi"/>
          <w:sz w:val="24"/>
          <w:szCs w:val="24"/>
        </w:rPr>
        <w:t>financières</w:t>
      </w:r>
      <w:r w:rsidRPr="005352FD">
        <w:rPr>
          <w:rFonts w:cstheme="minorHAnsi"/>
          <w:sz w:val="24"/>
          <w:szCs w:val="24"/>
        </w:rPr>
        <w:t>, et l’insuffisance des ressources humaines et des moyens logistiques en matière de suivi de la co</w:t>
      </w:r>
      <w:r>
        <w:rPr>
          <w:rFonts w:cstheme="minorHAnsi"/>
          <w:sz w:val="24"/>
          <w:szCs w:val="24"/>
        </w:rPr>
        <w:t>nstruction des infrastructures.</w:t>
      </w:r>
    </w:p>
    <w:p w14:paraId="5E9980FE" w14:textId="77777777" w:rsidR="00E30B5F" w:rsidRDefault="00E30B5F" w:rsidP="00E30B5F">
      <w:pPr>
        <w:spacing w:line="240" w:lineRule="auto"/>
        <w:jc w:val="both"/>
        <w:rPr>
          <w:rFonts w:cstheme="minorHAnsi"/>
          <w:sz w:val="24"/>
          <w:szCs w:val="24"/>
        </w:rPr>
      </w:pPr>
      <w:r>
        <w:rPr>
          <w:rFonts w:cstheme="minorHAnsi"/>
          <w:sz w:val="24"/>
          <w:szCs w:val="24"/>
        </w:rPr>
        <w:t>U</w:t>
      </w:r>
      <w:r w:rsidRPr="00BF29A2">
        <w:rPr>
          <w:rFonts w:cstheme="minorHAnsi"/>
          <w:sz w:val="24"/>
          <w:szCs w:val="24"/>
        </w:rPr>
        <w:t>n projet d’actualisation de la carte sanitaire</w:t>
      </w:r>
      <w:r>
        <w:rPr>
          <w:rFonts w:cstheme="minorHAnsi"/>
          <w:sz w:val="24"/>
          <w:szCs w:val="24"/>
        </w:rPr>
        <w:t xml:space="preserve"> est en cours</w:t>
      </w:r>
      <w:r w:rsidRPr="00BF29A2">
        <w:rPr>
          <w:rFonts w:cstheme="minorHAnsi"/>
          <w:sz w:val="24"/>
          <w:szCs w:val="24"/>
        </w:rPr>
        <w:t>. Dans le but de rapprocher  l’offre de la demande de santé,</w:t>
      </w:r>
      <w:r>
        <w:rPr>
          <w:rFonts w:cstheme="minorHAnsi"/>
          <w:sz w:val="24"/>
          <w:szCs w:val="24"/>
        </w:rPr>
        <w:t xml:space="preserve"> ainsi que l’amélioration de la gestion des districts,</w:t>
      </w:r>
      <w:r w:rsidRPr="00BF29A2">
        <w:rPr>
          <w:rFonts w:cstheme="minorHAnsi"/>
          <w:sz w:val="24"/>
          <w:szCs w:val="24"/>
        </w:rPr>
        <w:t xml:space="preserve"> le pays vient de créer </w:t>
      </w:r>
      <w:r>
        <w:rPr>
          <w:rFonts w:cstheme="minorHAnsi"/>
          <w:sz w:val="24"/>
          <w:szCs w:val="24"/>
        </w:rPr>
        <w:t>30</w:t>
      </w:r>
      <w:r w:rsidRPr="00BF29A2">
        <w:rPr>
          <w:rFonts w:cstheme="minorHAnsi"/>
          <w:sz w:val="24"/>
          <w:szCs w:val="24"/>
        </w:rPr>
        <w:t xml:space="preserve"> nouveaux districts sanitaires</w:t>
      </w:r>
      <w:r>
        <w:rPr>
          <w:rFonts w:cstheme="minorHAnsi"/>
          <w:sz w:val="24"/>
          <w:szCs w:val="24"/>
        </w:rPr>
        <w:t>.</w:t>
      </w:r>
    </w:p>
    <w:p w14:paraId="41F68670" w14:textId="77777777" w:rsidR="00E30B5F" w:rsidRDefault="00E30B5F" w:rsidP="00E30B5F">
      <w:pPr>
        <w:spacing w:line="240" w:lineRule="auto"/>
        <w:jc w:val="both"/>
        <w:rPr>
          <w:rFonts w:cstheme="minorHAnsi"/>
          <w:sz w:val="24"/>
          <w:szCs w:val="24"/>
        </w:rPr>
      </w:pPr>
      <w:r w:rsidRPr="00BF29A2">
        <w:rPr>
          <w:rFonts w:cstheme="minorHAnsi"/>
          <w:sz w:val="24"/>
          <w:szCs w:val="24"/>
        </w:rPr>
        <w:t xml:space="preserve">Cependant, plusieurs infrastructures et équipements ne répondent plus aux normes soit en raison de leur état de vétusté ou d’un manque de maintenance adéquat. </w:t>
      </w:r>
    </w:p>
    <w:p w14:paraId="29903B53" w14:textId="77777777" w:rsidR="00F8057D" w:rsidRPr="00BF29A2" w:rsidRDefault="00F8057D" w:rsidP="00F8057D">
      <w:pPr>
        <w:spacing w:line="240" w:lineRule="auto"/>
        <w:jc w:val="both"/>
        <w:rPr>
          <w:rFonts w:cstheme="minorHAnsi"/>
          <w:i/>
          <w:sz w:val="24"/>
          <w:szCs w:val="24"/>
        </w:rPr>
      </w:pPr>
      <w:r w:rsidRPr="00BF29A2">
        <w:rPr>
          <w:rFonts w:cstheme="minorHAnsi"/>
          <w:i/>
          <w:sz w:val="24"/>
          <w:szCs w:val="24"/>
        </w:rPr>
        <w:t>Système d’information sanitaire (SIS) et de génération de données probantes pour la santé.</w:t>
      </w:r>
    </w:p>
    <w:p w14:paraId="1D40A151" w14:textId="77777777" w:rsidR="00E30B5F" w:rsidRPr="00BF29A2" w:rsidRDefault="00E30B5F" w:rsidP="00E30B5F">
      <w:pPr>
        <w:spacing w:line="240" w:lineRule="auto"/>
        <w:jc w:val="both"/>
        <w:rPr>
          <w:rFonts w:cstheme="minorHAnsi"/>
          <w:sz w:val="24"/>
          <w:szCs w:val="24"/>
        </w:rPr>
      </w:pPr>
      <w:r w:rsidRPr="00BF29A2">
        <w:rPr>
          <w:rFonts w:cstheme="minorHAnsi"/>
          <w:sz w:val="24"/>
          <w:szCs w:val="24"/>
        </w:rPr>
        <w:t xml:space="preserve">Le pays dispose d’un Plan stratégique du </w:t>
      </w:r>
      <w:r>
        <w:rPr>
          <w:rFonts w:cstheme="minorHAnsi"/>
          <w:sz w:val="24"/>
          <w:szCs w:val="24"/>
        </w:rPr>
        <w:t>S</w:t>
      </w:r>
      <w:r w:rsidRPr="00BF29A2">
        <w:rPr>
          <w:rFonts w:cstheme="minorHAnsi"/>
          <w:sz w:val="24"/>
          <w:szCs w:val="24"/>
        </w:rPr>
        <w:t xml:space="preserve">ystème </w:t>
      </w:r>
      <w:r>
        <w:rPr>
          <w:rFonts w:cstheme="minorHAnsi"/>
          <w:sz w:val="24"/>
          <w:szCs w:val="24"/>
        </w:rPr>
        <w:t>N</w:t>
      </w:r>
      <w:r w:rsidRPr="00BF29A2">
        <w:rPr>
          <w:rFonts w:cstheme="minorHAnsi"/>
          <w:sz w:val="24"/>
          <w:szCs w:val="24"/>
        </w:rPr>
        <w:t>ational d’</w:t>
      </w:r>
      <w:r>
        <w:rPr>
          <w:rFonts w:cstheme="minorHAnsi"/>
          <w:sz w:val="24"/>
          <w:szCs w:val="24"/>
        </w:rPr>
        <w:t>I</w:t>
      </w:r>
      <w:r w:rsidRPr="00BF29A2">
        <w:rPr>
          <w:rFonts w:cstheme="minorHAnsi"/>
          <w:sz w:val="24"/>
          <w:szCs w:val="24"/>
        </w:rPr>
        <w:t xml:space="preserve">nformation </w:t>
      </w:r>
      <w:r>
        <w:rPr>
          <w:rFonts w:cstheme="minorHAnsi"/>
          <w:sz w:val="24"/>
          <w:szCs w:val="24"/>
        </w:rPr>
        <w:t>S</w:t>
      </w:r>
      <w:r w:rsidRPr="00BF29A2">
        <w:rPr>
          <w:rFonts w:cstheme="minorHAnsi"/>
          <w:sz w:val="24"/>
          <w:szCs w:val="24"/>
        </w:rPr>
        <w:t>anitaire </w:t>
      </w:r>
      <w:r>
        <w:rPr>
          <w:rFonts w:cstheme="minorHAnsi"/>
          <w:sz w:val="24"/>
          <w:szCs w:val="24"/>
        </w:rPr>
        <w:t>2013-2022.</w:t>
      </w:r>
      <w:r w:rsidRPr="00BF29A2">
        <w:rPr>
          <w:rFonts w:cstheme="minorHAnsi"/>
          <w:sz w:val="24"/>
          <w:szCs w:val="24"/>
        </w:rPr>
        <w:t xml:space="preserve"> </w:t>
      </w:r>
      <w:r>
        <w:rPr>
          <w:rFonts w:cstheme="minorHAnsi"/>
          <w:sz w:val="24"/>
          <w:szCs w:val="24"/>
        </w:rPr>
        <w:t>U</w:t>
      </w:r>
      <w:r w:rsidRPr="00BF29A2">
        <w:rPr>
          <w:rFonts w:cstheme="minorHAnsi"/>
          <w:sz w:val="24"/>
          <w:szCs w:val="24"/>
        </w:rPr>
        <w:t>ne plateforme unique de collecte et analyse des données, le DHIS2 vient d’être mis en place et près de 3000 agents de santé formés à son l’utilisatio</w:t>
      </w:r>
      <w:r w:rsidR="00866A12">
        <w:rPr>
          <w:rFonts w:cstheme="minorHAnsi"/>
          <w:sz w:val="24"/>
          <w:szCs w:val="24"/>
        </w:rPr>
        <w:t xml:space="preserve">n. Les CSI publics et quelques </w:t>
      </w:r>
      <w:r w:rsidRPr="00BF29A2">
        <w:rPr>
          <w:rFonts w:cstheme="minorHAnsi"/>
          <w:sz w:val="24"/>
          <w:szCs w:val="24"/>
        </w:rPr>
        <w:t>formation</w:t>
      </w:r>
      <w:r>
        <w:rPr>
          <w:rFonts w:cstheme="minorHAnsi"/>
          <w:sz w:val="24"/>
          <w:szCs w:val="24"/>
        </w:rPr>
        <w:t>s</w:t>
      </w:r>
      <w:r w:rsidRPr="00BF29A2">
        <w:rPr>
          <w:rFonts w:cstheme="minorHAnsi"/>
          <w:sz w:val="24"/>
          <w:szCs w:val="24"/>
        </w:rPr>
        <w:t xml:space="preserve"> sanitaires privées viennent d’être équipées avec du matériel informatique pour le traitement des données. La complétude était de 97% en 2017 et 80% en 2018. </w:t>
      </w:r>
      <w:r>
        <w:rPr>
          <w:rFonts w:cstheme="minorHAnsi"/>
          <w:sz w:val="24"/>
          <w:szCs w:val="24"/>
        </w:rPr>
        <w:t xml:space="preserve">Etant </w:t>
      </w:r>
      <w:r w:rsidRPr="00BF29A2">
        <w:rPr>
          <w:rFonts w:cstheme="minorHAnsi"/>
          <w:sz w:val="24"/>
          <w:szCs w:val="24"/>
        </w:rPr>
        <w:t>à son dixième exercice depuis 2002</w:t>
      </w:r>
      <w:r>
        <w:rPr>
          <w:rFonts w:cstheme="minorHAnsi"/>
          <w:sz w:val="24"/>
          <w:szCs w:val="24"/>
        </w:rPr>
        <w:t>, l</w:t>
      </w:r>
      <w:r w:rsidRPr="00BF29A2">
        <w:rPr>
          <w:rFonts w:cstheme="minorHAnsi"/>
          <w:sz w:val="24"/>
          <w:szCs w:val="24"/>
        </w:rPr>
        <w:t>e Niger est parmi les rares pays de la Région AFRO qui produi</w:t>
      </w:r>
      <w:r>
        <w:rPr>
          <w:rFonts w:cstheme="minorHAnsi"/>
          <w:sz w:val="24"/>
          <w:szCs w:val="24"/>
        </w:rPr>
        <w:t>t</w:t>
      </w:r>
      <w:r w:rsidRPr="00BF29A2">
        <w:rPr>
          <w:rFonts w:cstheme="minorHAnsi"/>
          <w:sz w:val="24"/>
          <w:szCs w:val="24"/>
        </w:rPr>
        <w:t xml:space="preserve"> régulièrement les comptes nationaux de la santé</w:t>
      </w:r>
      <w:r>
        <w:rPr>
          <w:rFonts w:cstheme="minorHAnsi"/>
          <w:sz w:val="24"/>
          <w:szCs w:val="24"/>
        </w:rPr>
        <w:t>.</w:t>
      </w:r>
    </w:p>
    <w:p w14:paraId="537962D0" w14:textId="77777777" w:rsidR="00F8057D" w:rsidRPr="00BF29A2" w:rsidRDefault="00F8057D" w:rsidP="00F8057D">
      <w:pPr>
        <w:spacing w:line="240" w:lineRule="auto"/>
        <w:jc w:val="both"/>
        <w:rPr>
          <w:rFonts w:cstheme="minorHAnsi"/>
          <w:sz w:val="24"/>
          <w:szCs w:val="24"/>
        </w:rPr>
      </w:pPr>
      <w:r w:rsidRPr="00BF29A2">
        <w:rPr>
          <w:rFonts w:cstheme="minorHAnsi"/>
          <w:sz w:val="24"/>
          <w:szCs w:val="24"/>
        </w:rPr>
        <w:t>Cependant, on note que le pays fait face à une faible qualité des données administratives, que l’Observatoire National de Santé n’est pas encore mis en place, et on assiste à une faible maitrise des  indicateurs clés ainsi que des sources de données pour le suivi de la CSU.</w:t>
      </w:r>
    </w:p>
    <w:p w14:paraId="72D09CDA" w14:textId="77777777" w:rsidR="00012D78" w:rsidRDefault="00012D78">
      <w:pPr>
        <w:rPr>
          <w:rFonts w:asciiTheme="majorHAnsi" w:eastAsiaTheme="majorEastAsia" w:hAnsiTheme="majorHAnsi" w:cstheme="majorBidi"/>
          <w:b/>
          <w:bCs/>
          <w:color w:val="4F81BD" w:themeColor="accent1"/>
          <w:sz w:val="26"/>
          <w:szCs w:val="26"/>
        </w:rPr>
      </w:pPr>
      <w:r>
        <w:br w:type="page"/>
      </w:r>
    </w:p>
    <w:p w14:paraId="481E487D" w14:textId="77777777" w:rsidR="00A22125" w:rsidRDefault="003F3FAC" w:rsidP="00BF29A2">
      <w:pPr>
        <w:pStyle w:val="Titre2"/>
      </w:pPr>
      <w:bookmarkStart w:id="8" w:name="_Toc21449010"/>
      <w:r w:rsidRPr="00BF29A2">
        <w:t>Diagnostic du système de financement de la santé</w:t>
      </w:r>
      <w:bookmarkEnd w:id="8"/>
      <w:r w:rsidRPr="00BF29A2">
        <w:t xml:space="preserve"> </w:t>
      </w:r>
    </w:p>
    <w:p w14:paraId="4CCFAF76" w14:textId="77777777" w:rsidR="00F64372" w:rsidRPr="00F64372" w:rsidRDefault="00F64372" w:rsidP="00F64372"/>
    <w:p w14:paraId="568B29B7" w14:textId="77777777" w:rsidR="00A22125" w:rsidRPr="00BF29A2" w:rsidRDefault="00A22125" w:rsidP="00A22125">
      <w:pPr>
        <w:rPr>
          <w:rFonts w:cstheme="minorHAnsi"/>
          <w:sz w:val="24"/>
          <w:szCs w:val="24"/>
        </w:rPr>
      </w:pPr>
      <w:r w:rsidRPr="00BF29A2">
        <w:rPr>
          <w:rFonts w:cstheme="minorHAnsi"/>
          <w:sz w:val="24"/>
          <w:szCs w:val="24"/>
        </w:rPr>
        <w:t>Le système de financement de la santé dispose d’un  cadre analytique qui permet d’analyse</w:t>
      </w:r>
      <w:r w:rsidR="002A7E0E" w:rsidRPr="00BF29A2">
        <w:rPr>
          <w:rFonts w:cstheme="minorHAnsi"/>
          <w:sz w:val="24"/>
          <w:szCs w:val="24"/>
        </w:rPr>
        <w:t>r</w:t>
      </w:r>
      <w:r w:rsidRPr="00BF29A2">
        <w:rPr>
          <w:rFonts w:cstheme="minorHAnsi"/>
          <w:sz w:val="24"/>
          <w:szCs w:val="24"/>
        </w:rPr>
        <w:t xml:space="preserve"> ses performances. Celui-ci est illustré ainsi que suit</w:t>
      </w:r>
      <w:r w:rsidRPr="00BF29A2">
        <w:rPr>
          <w:rStyle w:val="Appelnotedebasdep"/>
          <w:rFonts w:cstheme="minorHAnsi"/>
          <w:sz w:val="24"/>
          <w:szCs w:val="24"/>
        </w:rPr>
        <w:footnoteReference w:id="6"/>
      </w:r>
      <w:r w:rsidRPr="00BF29A2">
        <w:rPr>
          <w:rFonts w:cstheme="minorHAnsi"/>
          <w:sz w:val="24"/>
          <w:szCs w:val="24"/>
        </w:rPr>
        <w:t> :</w:t>
      </w:r>
    </w:p>
    <w:p w14:paraId="33CC483E" w14:textId="77777777" w:rsidR="00A22125" w:rsidRPr="00BF29A2" w:rsidRDefault="00A22125" w:rsidP="00A22125">
      <w:pPr>
        <w:rPr>
          <w:rFonts w:cstheme="minorHAnsi"/>
          <w:sz w:val="24"/>
          <w:szCs w:val="24"/>
        </w:rPr>
      </w:pPr>
      <w:r w:rsidRPr="00BF29A2">
        <w:rPr>
          <w:rFonts w:cstheme="minorHAnsi"/>
          <w:noProof/>
          <w:sz w:val="24"/>
          <w:szCs w:val="24"/>
          <w:lang w:eastAsia="fr-FR"/>
        </w:rPr>
        <w:drawing>
          <wp:inline distT="0" distB="0" distL="0" distR="0" wp14:anchorId="61EFC1F3" wp14:editId="45F07F63">
            <wp:extent cx="5759450" cy="2264347"/>
            <wp:effectExtent l="0" t="0" r="0" b="3175"/>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5759450" cy="2264347"/>
                    </a:xfrm>
                    <a:prstGeom prst="rect">
                      <a:avLst/>
                    </a:prstGeom>
                  </pic:spPr>
                </pic:pic>
              </a:graphicData>
            </a:graphic>
          </wp:inline>
        </w:drawing>
      </w:r>
    </w:p>
    <w:p w14:paraId="3EFC488B" w14:textId="77777777" w:rsidR="002A7E0E" w:rsidRPr="00BF29A2" w:rsidRDefault="00985C19" w:rsidP="00A22125">
      <w:pPr>
        <w:rPr>
          <w:rFonts w:cstheme="minorHAnsi"/>
          <w:sz w:val="24"/>
          <w:szCs w:val="24"/>
        </w:rPr>
      </w:pPr>
      <w:r>
        <w:rPr>
          <w:rFonts w:cstheme="minorHAnsi"/>
          <w:sz w:val="24"/>
          <w:szCs w:val="24"/>
        </w:rPr>
        <w:t>Un bref état des lieux d</w:t>
      </w:r>
      <w:r w:rsidR="002A7E0E" w:rsidRPr="00BF29A2">
        <w:rPr>
          <w:rFonts w:cstheme="minorHAnsi"/>
          <w:sz w:val="24"/>
          <w:szCs w:val="24"/>
        </w:rPr>
        <w:t xml:space="preserve">es trois fonctions principales du système </w:t>
      </w:r>
      <w:r>
        <w:rPr>
          <w:rFonts w:cstheme="minorHAnsi"/>
          <w:sz w:val="24"/>
          <w:szCs w:val="24"/>
        </w:rPr>
        <w:t>et de la gestion des finances publiques en santé se présente comme suit</w:t>
      </w:r>
      <w:r w:rsidR="002A7E0E" w:rsidRPr="00BF29A2">
        <w:rPr>
          <w:rFonts w:cstheme="minorHAnsi"/>
          <w:sz w:val="24"/>
          <w:szCs w:val="24"/>
        </w:rPr>
        <w:t> :</w:t>
      </w:r>
    </w:p>
    <w:p w14:paraId="6F77C40D" w14:textId="77777777" w:rsidR="002A7E0E" w:rsidRPr="00BF29A2" w:rsidRDefault="00971E95" w:rsidP="00A22125">
      <w:pPr>
        <w:rPr>
          <w:rFonts w:cstheme="minorHAnsi"/>
          <w:i/>
          <w:sz w:val="24"/>
          <w:szCs w:val="24"/>
          <w:u w:val="single"/>
        </w:rPr>
      </w:pPr>
      <w:r>
        <w:rPr>
          <w:rFonts w:cstheme="minorHAnsi"/>
          <w:i/>
          <w:sz w:val="24"/>
          <w:szCs w:val="24"/>
          <w:u w:val="single"/>
        </w:rPr>
        <w:t>Collecte</w:t>
      </w:r>
      <w:r w:rsidR="002A7E0E" w:rsidRPr="00BF29A2">
        <w:rPr>
          <w:rFonts w:cstheme="minorHAnsi"/>
          <w:i/>
          <w:sz w:val="24"/>
          <w:szCs w:val="24"/>
          <w:u w:val="single"/>
        </w:rPr>
        <w:t xml:space="preserve"> des ressources :</w:t>
      </w:r>
    </w:p>
    <w:p w14:paraId="60A91278" w14:textId="77777777" w:rsidR="002A7E0E" w:rsidRPr="00BF29A2" w:rsidRDefault="002A7E0E" w:rsidP="00A22125">
      <w:pPr>
        <w:rPr>
          <w:rFonts w:cstheme="minorHAnsi"/>
          <w:sz w:val="24"/>
          <w:szCs w:val="24"/>
        </w:rPr>
      </w:pPr>
      <w:r w:rsidRPr="00BF29A2">
        <w:rPr>
          <w:rFonts w:cstheme="minorHAnsi"/>
          <w:sz w:val="24"/>
          <w:szCs w:val="24"/>
        </w:rPr>
        <w:t xml:space="preserve">Les dépenses publiques de santé au Niger représentent </w:t>
      </w:r>
      <w:r w:rsidR="00B65E81">
        <w:rPr>
          <w:rFonts w:cstheme="minorHAnsi"/>
          <w:sz w:val="24"/>
          <w:szCs w:val="24"/>
        </w:rPr>
        <w:t>à peine plus de 2</w:t>
      </w:r>
      <w:r w:rsidRPr="00BF29A2">
        <w:rPr>
          <w:rFonts w:cstheme="minorHAnsi"/>
          <w:sz w:val="24"/>
          <w:szCs w:val="24"/>
        </w:rPr>
        <w:t>% du PIB</w:t>
      </w:r>
      <w:r w:rsidR="00B65E81">
        <w:rPr>
          <w:rStyle w:val="Appelnotedebasdep"/>
          <w:rFonts w:cstheme="minorHAnsi"/>
          <w:sz w:val="24"/>
          <w:szCs w:val="24"/>
        </w:rPr>
        <w:footnoteReference w:id="7"/>
      </w:r>
      <w:r w:rsidRPr="00BF29A2">
        <w:rPr>
          <w:rFonts w:cstheme="minorHAnsi"/>
          <w:sz w:val="24"/>
          <w:szCs w:val="24"/>
        </w:rPr>
        <w:t>. Dans la déclaration des Nations Unies du 23 Septembre 2019, il est suggéré « un objectif minimum de 5% du PIB ». Aussi l’effort public dans le financement de la santé au Niger est-il relativement bas</w:t>
      </w:r>
      <w:r w:rsidR="00B65E81">
        <w:rPr>
          <w:rFonts w:cstheme="minorHAnsi"/>
          <w:sz w:val="24"/>
          <w:szCs w:val="24"/>
        </w:rPr>
        <w:t xml:space="preserve"> pour atteindre la CSU</w:t>
      </w:r>
      <w:r w:rsidRPr="00BF29A2">
        <w:rPr>
          <w:rFonts w:cstheme="minorHAnsi"/>
          <w:sz w:val="24"/>
          <w:szCs w:val="24"/>
        </w:rPr>
        <w:t>.</w:t>
      </w:r>
    </w:p>
    <w:p w14:paraId="51366739" w14:textId="77777777" w:rsidR="002A7E0E" w:rsidRPr="00BF29A2" w:rsidRDefault="002A7E0E" w:rsidP="00A22125">
      <w:pPr>
        <w:rPr>
          <w:rFonts w:cstheme="minorHAnsi"/>
          <w:sz w:val="24"/>
          <w:szCs w:val="24"/>
        </w:rPr>
      </w:pPr>
      <w:r w:rsidRPr="00BF29A2">
        <w:rPr>
          <w:rFonts w:cstheme="minorHAnsi"/>
          <w:sz w:val="24"/>
          <w:szCs w:val="24"/>
        </w:rPr>
        <w:t>Cette situation est en partie compensée par l’effort consenti par les ménages </w:t>
      </w:r>
      <w:r w:rsidR="00D56EC9" w:rsidRPr="00BF29A2">
        <w:rPr>
          <w:rFonts w:cstheme="minorHAnsi"/>
          <w:sz w:val="24"/>
          <w:szCs w:val="24"/>
        </w:rPr>
        <w:t xml:space="preserve">qui contribuent à hauteur de </w:t>
      </w:r>
      <w:r w:rsidR="00F04741">
        <w:rPr>
          <w:rFonts w:cstheme="minorHAnsi"/>
          <w:sz w:val="24"/>
          <w:szCs w:val="24"/>
        </w:rPr>
        <w:t>45.86</w:t>
      </w:r>
      <w:r w:rsidR="00D56EC9" w:rsidRPr="00BF29A2">
        <w:rPr>
          <w:rFonts w:cstheme="minorHAnsi"/>
          <w:sz w:val="24"/>
          <w:szCs w:val="24"/>
        </w:rPr>
        <w:t>% des dépenses totales de santé nationales</w:t>
      </w:r>
      <w:r w:rsidR="00F04741">
        <w:rPr>
          <w:rFonts w:cstheme="minorHAnsi"/>
          <w:sz w:val="24"/>
          <w:szCs w:val="24"/>
        </w:rPr>
        <w:t xml:space="preserve"> en 2017, </w:t>
      </w:r>
      <w:r w:rsidR="00E30B5F">
        <w:rPr>
          <w:rFonts w:cstheme="minorHAnsi"/>
          <w:sz w:val="24"/>
          <w:szCs w:val="24"/>
        </w:rPr>
        <w:t>ce qui correspond à un montant de</w:t>
      </w:r>
      <w:r w:rsidR="00F04741">
        <w:rPr>
          <w:rFonts w:cstheme="minorHAnsi"/>
          <w:sz w:val="24"/>
          <w:szCs w:val="24"/>
        </w:rPr>
        <w:t xml:space="preserve"> 8.597 FCFA sur 18.475 FCFA par </w:t>
      </w:r>
      <w:r w:rsidR="00E30B5F">
        <w:rPr>
          <w:rFonts w:cstheme="minorHAnsi"/>
          <w:sz w:val="24"/>
          <w:szCs w:val="24"/>
        </w:rPr>
        <w:t>personne et par an</w:t>
      </w:r>
      <w:r w:rsidR="00D56EC9" w:rsidRPr="00BF29A2">
        <w:rPr>
          <w:rFonts w:cstheme="minorHAnsi"/>
          <w:sz w:val="24"/>
          <w:szCs w:val="24"/>
        </w:rPr>
        <w:t>. Ceci montre qu’</w:t>
      </w:r>
      <w:r w:rsidRPr="00BF29A2">
        <w:rPr>
          <w:rFonts w:cstheme="minorHAnsi"/>
          <w:sz w:val="24"/>
          <w:szCs w:val="24"/>
        </w:rPr>
        <w:t>une part très importante des dépenses de santé est laissée à la charge des populations.</w:t>
      </w:r>
    </w:p>
    <w:p w14:paraId="2F22E98C" w14:textId="77777777" w:rsidR="00D56EC9" w:rsidRPr="00BF29A2" w:rsidRDefault="00756F52" w:rsidP="00756F52">
      <w:pPr>
        <w:rPr>
          <w:rFonts w:cstheme="minorHAnsi"/>
          <w:sz w:val="24"/>
          <w:szCs w:val="24"/>
        </w:rPr>
      </w:pPr>
      <w:r w:rsidRPr="00756F52">
        <w:rPr>
          <w:rFonts w:cstheme="minorHAnsi"/>
          <w:sz w:val="24"/>
          <w:szCs w:val="24"/>
        </w:rPr>
        <w:t>Les transferts d'origine étrangère distribué</w:t>
      </w:r>
      <w:r>
        <w:rPr>
          <w:rFonts w:cstheme="minorHAnsi"/>
          <w:sz w:val="24"/>
          <w:szCs w:val="24"/>
        </w:rPr>
        <w:t xml:space="preserve">s par l'administration publique </w:t>
      </w:r>
      <w:r w:rsidRPr="00756F52">
        <w:rPr>
          <w:rFonts w:cstheme="minorHAnsi"/>
          <w:sz w:val="24"/>
          <w:szCs w:val="24"/>
        </w:rPr>
        <w:t>représentent</w:t>
      </w:r>
      <w:r>
        <w:rPr>
          <w:rFonts w:cstheme="minorHAnsi"/>
          <w:sz w:val="24"/>
          <w:szCs w:val="24"/>
        </w:rPr>
        <w:t xml:space="preserve"> 11,9% (</w:t>
      </w:r>
      <w:r w:rsidRPr="00756F52">
        <w:rPr>
          <w:rFonts w:cstheme="minorHAnsi"/>
          <w:sz w:val="24"/>
          <w:szCs w:val="24"/>
        </w:rPr>
        <w:t xml:space="preserve">43,682 milliards </w:t>
      </w:r>
      <w:r>
        <w:rPr>
          <w:rFonts w:cstheme="minorHAnsi"/>
          <w:sz w:val="24"/>
          <w:szCs w:val="24"/>
        </w:rPr>
        <w:t>FCFA</w:t>
      </w:r>
      <w:r w:rsidRPr="00756F52">
        <w:rPr>
          <w:rFonts w:cstheme="minorHAnsi"/>
          <w:sz w:val="24"/>
          <w:szCs w:val="24"/>
        </w:rPr>
        <w:t>) des dépenses courantes de santé en 2017</w:t>
      </w:r>
      <w:r>
        <w:rPr>
          <w:rFonts w:cstheme="minorHAnsi"/>
          <w:sz w:val="24"/>
          <w:szCs w:val="24"/>
        </w:rPr>
        <w:t xml:space="preserve">, ce qui est substantiel et semble promis à augmenter. </w:t>
      </w:r>
    </w:p>
    <w:p w14:paraId="696672A7" w14:textId="77777777" w:rsidR="002A7E0E" w:rsidRPr="00BF29A2" w:rsidRDefault="002A7E0E" w:rsidP="00A22125">
      <w:pPr>
        <w:rPr>
          <w:rFonts w:cstheme="minorHAnsi"/>
          <w:i/>
          <w:sz w:val="24"/>
          <w:szCs w:val="24"/>
          <w:u w:val="single"/>
        </w:rPr>
      </w:pPr>
      <w:r w:rsidRPr="00BF29A2">
        <w:rPr>
          <w:rFonts w:cstheme="minorHAnsi"/>
          <w:i/>
          <w:sz w:val="24"/>
          <w:szCs w:val="24"/>
          <w:u w:val="single"/>
        </w:rPr>
        <w:t>Mise en commun des ressources :</w:t>
      </w:r>
    </w:p>
    <w:p w14:paraId="1A4965DC" w14:textId="77777777" w:rsidR="00D56EC9" w:rsidRDefault="002A7E0E" w:rsidP="00A22125">
      <w:pPr>
        <w:rPr>
          <w:rFonts w:cstheme="minorHAnsi"/>
          <w:sz w:val="24"/>
          <w:szCs w:val="24"/>
        </w:rPr>
      </w:pPr>
      <w:r w:rsidRPr="00BF29A2">
        <w:rPr>
          <w:rFonts w:cstheme="minorHAnsi"/>
          <w:sz w:val="24"/>
          <w:szCs w:val="24"/>
        </w:rPr>
        <w:t xml:space="preserve">Les dépenses de santé des ménages </w:t>
      </w:r>
      <w:r w:rsidR="00D56EC9" w:rsidRPr="00BF29A2">
        <w:rPr>
          <w:rFonts w:cstheme="minorHAnsi"/>
          <w:sz w:val="24"/>
          <w:szCs w:val="24"/>
        </w:rPr>
        <w:t>ne sont pratiquement</w:t>
      </w:r>
      <w:r w:rsidRPr="00BF29A2">
        <w:rPr>
          <w:rFonts w:cstheme="minorHAnsi"/>
          <w:sz w:val="24"/>
          <w:szCs w:val="24"/>
        </w:rPr>
        <w:t xml:space="preserve"> </w:t>
      </w:r>
      <w:r w:rsidR="00D56EC9" w:rsidRPr="00BF29A2">
        <w:rPr>
          <w:rFonts w:cstheme="minorHAnsi"/>
          <w:sz w:val="24"/>
          <w:szCs w:val="24"/>
        </w:rPr>
        <w:t xml:space="preserve">que </w:t>
      </w:r>
      <w:r w:rsidRPr="00BF29A2">
        <w:rPr>
          <w:rFonts w:cstheme="minorHAnsi"/>
          <w:sz w:val="24"/>
          <w:szCs w:val="24"/>
        </w:rPr>
        <w:t>des paiements directs</w:t>
      </w:r>
      <w:r w:rsidR="00316F0B">
        <w:rPr>
          <w:rFonts w:cstheme="minorHAnsi"/>
          <w:sz w:val="24"/>
          <w:szCs w:val="24"/>
        </w:rPr>
        <w:t xml:space="preserve"> car les cotisations volontaires ou obligatoires sont très faibles. Or ces paiements directs sont très </w:t>
      </w:r>
      <w:r w:rsidR="00F04741">
        <w:rPr>
          <w:rFonts w:cstheme="minorHAnsi"/>
          <w:sz w:val="24"/>
          <w:szCs w:val="24"/>
        </w:rPr>
        <w:t>élevés</w:t>
      </w:r>
      <w:r w:rsidR="00316F0B">
        <w:rPr>
          <w:rFonts w:cstheme="minorHAnsi"/>
          <w:sz w:val="24"/>
          <w:szCs w:val="24"/>
        </w:rPr>
        <w:t xml:space="preserve"> puisqu’elles r</w:t>
      </w:r>
      <w:r w:rsidR="00B65E81">
        <w:rPr>
          <w:rFonts w:cstheme="minorHAnsi"/>
          <w:sz w:val="24"/>
          <w:szCs w:val="24"/>
        </w:rPr>
        <w:t>eprésentent</w:t>
      </w:r>
      <w:r w:rsidR="00B65E81" w:rsidRPr="00B65E81">
        <w:rPr>
          <w:rFonts w:cstheme="minorHAnsi"/>
          <w:sz w:val="24"/>
          <w:szCs w:val="24"/>
        </w:rPr>
        <w:t xml:space="preserve"> </w:t>
      </w:r>
      <w:r w:rsidR="00316F0B">
        <w:rPr>
          <w:rFonts w:cstheme="minorHAnsi"/>
          <w:sz w:val="24"/>
          <w:szCs w:val="24"/>
        </w:rPr>
        <w:t>47.83</w:t>
      </w:r>
      <w:r w:rsidR="00756F52" w:rsidRPr="00756F52">
        <w:rPr>
          <w:rFonts w:cstheme="minorHAnsi"/>
          <w:sz w:val="24"/>
          <w:szCs w:val="24"/>
        </w:rPr>
        <w:t>%</w:t>
      </w:r>
      <w:r w:rsidR="00756F52" w:rsidRPr="00BF29A2">
        <w:rPr>
          <w:rFonts w:cstheme="minorHAnsi"/>
          <w:sz w:val="24"/>
          <w:szCs w:val="24"/>
        </w:rPr>
        <w:t xml:space="preserve"> </w:t>
      </w:r>
      <w:r w:rsidR="00F04741">
        <w:rPr>
          <w:rFonts w:cstheme="minorHAnsi"/>
          <w:sz w:val="24"/>
          <w:szCs w:val="24"/>
        </w:rPr>
        <w:t>des dépenses</w:t>
      </w:r>
      <w:r w:rsidR="00756F52" w:rsidRPr="00756F52">
        <w:rPr>
          <w:rFonts w:cstheme="minorHAnsi"/>
          <w:sz w:val="24"/>
          <w:szCs w:val="24"/>
        </w:rPr>
        <w:t xml:space="preserve"> </w:t>
      </w:r>
      <w:r w:rsidR="00316F0B">
        <w:rPr>
          <w:rFonts w:cstheme="minorHAnsi"/>
          <w:sz w:val="24"/>
          <w:szCs w:val="24"/>
        </w:rPr>
        <w:t>courantes</w:t>
      </w:r>
      <w:r w:rsidR="00E30B5F">
        <w:rPr>
          <w:rStyle w:val="Appelnotedebasdep"/>
          <w:rFonts w:cstheme="minorHAnsi"/>
          <w:sz w:val="24"/>
          <w:szCs w:val="24"/>
        </w:rPr>
        <w:footnoteReference w:id="8"/>
      </w:r>
      <w:r w:rsidR="00756F52" w:rsidRPr="00756F52">
        <w:rPr>
          <w:rFonts w:cstheme="minorHAnsi"/>
          <w:sz w:val="24"/>
          <w:szCs w:val="24"/>
        </w:rPr>
        <w:t xml:space="preserve"> de santé</w:t>
      </w:r>
      <w:r w:rsidR="00756F52">
        <w:rPr>
          <w:rFonts w:cstheme="minorHAnsi"/>
          <w:sz w:val="24"/>
          <w:szCs w:val="24"/>
        </w:rPr>
        <w:t xml:space="preserve"> en 2017. </w:t>
      </w:r>
      <w:r w:rsidR="00D56EC9" w:rsidRPr="00BF29A2">
        <w:rPr>
          <w:rFonts w:cstheme="minorHAnsi"/>
          <w:sz w:val="24"/>
          <w:szCs w:val="24"/>
        </w:rPr>
        <w:t xml:space="preserve">Ceci signifie </w:t>
      </w:r>
      <w:r w:rsidRPr="00BF29A2">
        <w:rPr>
          <w:rFonts w:cstheme="minorHAnsi"/>
          <w:sz w:val="24"/>
          <w:szCs w:val="24"/>
        </w:rPr>
        <w:t>que beaucoup de ménages tombent dans la pauvreté pour cause de dépenses catastrophiques. La mise en commun des ressources est donc très limitée</w:t>
      </w:r>
      <w:r w:rsidR="00D56EC9" w:rsidRPr="00BF29A2">
        <w:rPr>
          <w:rFonts w:cstheme="minorHAnsi"/>
          <w:sz w:val="24"/>
          <w:szCs w:val="24"/>
        </w:rPr>
        <w:t xml:space="preserve"> et ne</w:t>
      </w:r>
      <w:r w:rsidRPr="00BF29A2">
        <w:rPr>
          <w:rFonts w:cstheme="minorHAnsi"/>
          <w:sz w:val="24"/>
          <w:szCs w:val="24"/>
        </w:rPr>
        <w:t xml:space="preserve"> se produit pratiquement qu’au niveau du budget de l’Etat sur des postes comme celui des ressources humaines en santé, ou encore la gratuité des soins</w:t>
      </w:r>
      <w:r w:rsidR="0059217F">
        <w:rPr>
          <w:rFonts w:cstheme="minorHAnsi"/>
          <w:sz w:val="24"/>
          <w:szCs w:val="24"/>
        </w:rPr>
        <w:t xml:space="preserve"> pour les femmes enceintes et les enfants de moins de 5 ans</w:t>
      </w:r>
      <w:r w:rsidRPr="00BF29A2">
        <w:rPr>
          <w:rFonts w:cstheme="minorHAnsi"/>
          <w:sz w:val="24"/>
          <w:szCs w:val="24"/>
        </w:rPr>
        <w:t xml:space="preserve">. </w:t>
      </w:r>
    </w:p>
    <w:p w14:paraId="0CD55FB3" w14:textId="77777777" w:rsidR="0059217F" w:rsidRDefault="0059217F" w:rsidP="00A22125">
      <w:pPr>
        <w:rPr>
          <w:rFonts w:cstheme="minorHAnsi"/>
          <w:sz w:val="24"/>
          <w:szCs w:val="24"/>
        </w:rPr>
      </w:pPr>
      <w:r>
        <w:rPr>
          <w:rFonts w:cstheme="minorHAnsi"/>
          <w:sz w:val="24"/>
          <w:szCs w:val="24"/>
        </w:rPr>
        <w:t>Le niveau de protection social</w:t>
      </w:r>
      <w:r w:rsidR="00E30B5F">
        <w:rPr>
          <w:rFonts w:cstheme="minorHAnsi"/>
          <w:sz w:val="24"/>
          <w:szCs w:val="24"/>
        </w:rPr>
        <w:t>e</w:t>
      </w:r>
      <w:r>
        <w:rPr>
          <w:rFonts w:cstheme="minorHAnsi"/>
          <w:sz w:val="24"/>
          <w:szCs w:val="24"/>
        </w:rPr>
        <w:t xml:space="preserve"> devrait être louable avec ce mécanisme puisqu’il concerne près de 25</w:t>
      </w:r>
      <w:r w:rsidR="00756F52">
        <w:rPr>
          <w:rFonts w:cstheme="minorHAnsi"/>
          <w:sz w:val="24"/>
          <w:szCs w:val="24"/>
        </w:rPr>
        <w:t>%</w:t>
      </w:r>
      <w:r>
        <w:rPr>
          <w:rFonts w:cstheme="minorHAnsi"/>
          <w:sz w:val="24"/>
          <w:szCs w:val="24"/>
        </w:rPr>
        <w:t xml:space="preserve"> de la population</w:t>
      </w:r>
      <w:r w:rsidR="00866A12">
        <w:rPr>
          <w:rFonts w:cstheme="minorHAnsi"/>
          <w:sz w:val="24"/>
          <w:szCs w:val="24"/>
        </w:rPr>
        <w:t xml:space="preserve"> (femmes enceintes et enfants de moins de 5 ans) </w:t>
      </w:r>
      <w:r>
        <w:rPr>
          <w:rFonts w:cstheme="minorHAnsi"/>
          <w:sz w:val="24"/>
          <w:szCs w:val="24"/>
        </w:rPr>
        <w:t xml:space="preserve">et couvre des services essentiels. Néanmoins l’évolution du niveau de paiement direct des ménages montre que la couverture contre le risque financier est limitée et qu’elle </w:t>
      </w:r>
      <w:r w:rsidR="001040FA">
        <w:rPr>
          <w:rFonts w:cstheme="minorHAnsi"/>
          <w:sz w:val="24"/>
          <w:szCs w:val="24"/>
        </w:rPr>
        <w:t>ne s’améliore pas</w:t>
      </w:r>
      <w:r>
        <w:rPr>
          <w:rFonts w:cstheme="minorHAnsi"/>
          <w:sz w:val="24"/>
          <w:szCs w:val="24"/>
        </w:rPr>
        <w:t>, ceci interrogeant le fonctionnement du mécanisme de gratuité :</w:t>
      </w:r>
    </w:p>
    <w:p w14:paraId="70C50109" w14:textId="77777777" w:rsidR="0059217F" w:rsidRPr="00BF29A2" w:rsidRDefault="00F04741" w:rsidP="00A22125">
      <w:pPr>
        <w:rPr>
          <w:rFonts w:cstheme="minorHAnsi"/>
          <w:sz w:val="24"/>
          <w:szCs w:val="24"/>
        </w:rPr>
      </w:pPr>
      <w:r>
        <w:rPr>
          <w:rFonts w:cstheme="minorHAnsi"/>
          <w:noProof/>
          <w:sz w:val="24"/>
          <w:szCs w:val="24"/>
          <w:lang w:eastAsia="fr-FR"/>
        </w:rPr>
        <w:drawing>
          <wp:inline distT="0" distB="0" distL="0" distR="0" wp14:anchorId="3653D953" wp14:editId="49C50F42">
            <wp:extent cx="5913120" cy="1914962"/>
            <wp:effectExtent l="0" t="0" r="0" b="9525"/>
            <wp:docPr id="304" name="Image 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03060" cy="1911704"/>
                    </a:xfrm>
                    <a:prstGeom prst="rect">
                      <a:avLst/>
                    </a:prstGeom>
                    <a:noFill/>
                  </pic:spPr>
                </pic:pic>
              </a:graphicData>
            </a:graphic>
          </wp:inline>
        </w:drawing>
      </w:r>
    </w:p>
    <w:p w14:paraId="50C59A26" w14:textId="77777777" w:rsidR="00E972F3" w:rsidRPr="00BF29A2" w:rsidRDefault="00D56EC9" w:rsidP="00A22125">
      <w:pPr>
        <w:rPr>
          <w:rFonts w:cstheme="minorHAnsi"/>
          <w:sz w:val="24"/>
          <w:szCs w:val="24"/>
        </w:rPr>
      </w:pPr>
      <w:r w:rsidRPr="00BF29A2">
        <w:rPr>
          <w:rFonts w:cstheme="minorHAnsi"/>
          <w:sz w:val="24"/>
          <w:szCs w:val="24"/>
        </w:rPr>
        <w:t>L’expérience du « Fonds Commun » va dans le sens d’un</w:t>
      </w:r>
      <w:r w:rsidR="00866A12">
        <w:rPr>
          <w:rFonts w:cstheme="minorHAnsi"/>
          <w:sz w:val="24"/>
          <w:szCs w:val="24"/>
        </w:rPr>
        <w:t>e mutualisation des ressources extérieures en l’occurrence</w:t>
      </w:r>
      <w:r w:rsidRPr="00BF29A2">
        <w:rPr>
          <w:rFonts w:cstheme="minorHAnsi"/>
          <w:sz w:val="24"/>
          <w:szCs w:val="24"/>
        </w:rPr>
        <w:t xml:space="preserve"> ; malheureusement les partenaires ont tendance à utiliser ce dispositif comme une unité de gestion et reviennent à des financements dédiés. </w:t>
      </w:r>
      <w:r w:rsidR="002A7E0E" w:rsidRPr="00BF29A2">
        <w:rPr>
          <w:rFonts w:cstheme="minorHAnsi"/>
          <w:sz w:val="24"/>
          <w:szCs w:val="24"/>
        </w:rPr>
        <w:t xml:space="preserve">La réforme des budgets-programmes doit </w:t>
      </w:r>
      <w:r w:rsidRPr="00BF29A2">
        <w:rPr>
          <w:rFonts w:cstheme="minorHAnsi"/>
          <w:sz w:val="24"/>
          <w:szCs w:val="24"/>
        </w:rPr>
        <w:t xml:space="preserve">par contre durablement </w:t>
      </w:r>
      <w:r w:rsidR="002A7E0E" w:rsidRPr="00BF29A2">
        <w:rPr>
          <w:rFonts w:cstheme="minorHAnsi"/>
          <w:sz w:val="24"/>
          <w:szCs w:val="24"/>
        </w:rPr>
        <w:t xml:space="preserve">améliorer la mutualisation des fonds au </w:t>
      </w:r>
      <w:r w:rsidRPr="00BF29A2">
        <w:rPr>
          <w:rFonts w:cstheme="minorHAnsi"/>
          <w:sz w:val="24"/>
          <w:szCs w:val="24"/>
        </w:rPr>
        <w:t>sein</w:t>
      </w:r>
      <w:r w:rsidR="002A7E0E" w:rsidRPr="00BF29A2">
        <w:rPr>
          <w:rFonts w:cstheme="minorHAnsi"/>
          <w:sz w:val="24"/>
          <w:szCs w:val="24"/>
        </w:rPr>
        <w:t xml:space="preserve"> des </w:t>
      </w:r>
      <w:r w:rsidRPr="00BF29A2">
        <w:rPr>
          <w:rFonts w:cstheme="minorHAnsi"/>
          <w:sz w:val="24"/>
          <w:szCs w:val="24"/>
        </w:rPr>
        <w:t>programmes</w:t>
      </w:r>
      <w:r w:rsidR="002A7E0E" w:rsidRPr="00BF29A2">
        <w:rPr>
          <w:rFonts w:cstheme="minorHAnsi"/>
          <w:sz w:val="24"/>
          <w:szCs w:val="24"/>
        </w:rPr>
        <w:t>.</w:t>
      </w:r>
      <w:r w:rsidRPr="00BF29A2">
        <w:rPr>
          <w:rFonts w:cstheme="minorHAnsi"/>
          <w:sz w:val="24"/>
          <w:szCs w:val="24"/>
        </w:rPr>
        <w:t xml:space="preserve"> </w:t>
      </w:r>
    </w:p>
    <w:p w14:paraId="47B78297" w14:textId="77777777" w:rsidR="00D56EC9" w:rsidRPr="00BF29A2" w:rsidRDefault="00D56EC9" w:rsidP="00A22125">
      <w:pPr>
        <w:rPr>
          <w:rFonts w:cstheme="minorHAnsi"/>
          <w:i/>
          <w:sz w:val="24"/>
          <w:szCs w:val="24"/>
          <w:u w:val="single"/>
        </w:rPr>
      </w:pPr>
      <w:r w:rsidRPr="00BF29A2">
        <w:rPr>
          <w:rFonts w:cstheme="minorHAnsi"/>
          <w:i/>
          <w:sz w:val="24"/>
          <w:szCs w:val="24"/>
          <w:u w:val="single"/>
        </w:rPr>
        <w:t xml:space="preserve">L’achat </w:t>
      </w:r>
      <w:r w:rsidR="00971E95">
        <w:rPr>
          <w:rFonts w:cstheme="minorHAnsi"/>
          <w:i/>
          <w:sz w:val="24"/>
          <w:szCs w:val="24"/>
          <w:u w:val="single"/>
        </w:rPr>
        <w:t xml:space="preserve">des services et le paiement </w:t>
      </w:r>
      <w:r w:rsidRPr="00BF29A2">
        <w:rPr>
          <w:rFonts w:cstheme="minorHAnsi"/>
          <w:i/>
          <w:sz w:val="24"/>
          <w:szCs w:val="24"/>
          <w:u w:val="single"/>
        </w:rPr>
        <w:t xml:space="preserve">des </w:t>
      </w:r>
      <w:r w:rsidR="00971E95">
        <w:rPr>
          <w:rFonts w:cstheme="minorHAnsi"/>
          <w:i/>
          <w:sz w:val="24"/>
          <w:szCs w:val="24"/>
          <w:u w:val="single"/>
        </w:rPr>
        <w:t>prestataires (inclus les allocations)</w:t>
      </w:r>
    </w:p>
    <w:p w14:paraId="6619AC13" w14:textId="77777777" w:rsidR="00E071F1" w:rsidRDefault="00D56EC9" w:rsidP="00E071F1">
      <w:pPr>
        <w:spacing w:line="240" w:lineRule="auto"/>
        <w:jc w:val="both"/>
        <w:rPr>
          <w:rFonts w:cstheme="minorHAnsi"/>
          <w:sz w:val="24"/>
          <w:szCs w:val="24"/>
        </w:rPr>
      </w:pPr>
      <w:r w:rsidRPr="00BF29A2">
        <w:rPr>
          <w:rFonts w:cstheme="minorHAnsi"/>
          <w:sz w:val="24"/>
          <w:szCs w:val="24"/>
        </w:rPr>
        <w:t xml:space="preserve">La question posée ici relève du caractère dit « stratégique » ou non des dépenses de santé. </w:t>
      </w:r>
      <w:r w:rsidR="009C06D0" w:rsidRPr="00BF29A2">
        <w:rPr>
          <w:rFonts w:cstheme="minorHAnsi"/>
          <w:sz w:val="24"/>
          <w:szCs w:val="24"/>
        </w:rPr>
        <w:t xml:space="preserve">Les dispositifs qui </w:t>
      </w:r>
      <w:r w:rsidR="00971E95">
        <w:rPr>
          <w:rFonts w:cstheme="minorHAnsi"/>
          <w:sz w:val="24"/>
          <w:szCs w:val="24"/>
        </w:rPr>
        <w:t>lient les dépenses à</w:t>
      </w:r>
      <w:r w:rsidR="009C06D0" w:rsidRPr="00BF29A2">
        <w:rPr>
          <w:rFonts w:cstheme="minorHAnsi"/>
          <w:sz w:val="24"/>
          <w:szCs w:val="24"/>
        </w:rPr>
        <w:t xml:space="preserve"> un suivi de l’information peuvent s’améliorer avec le DPPD, mais ils sont encore sous-optimaux. Par exemple le remboursement des dépenses des prestataires de soins de santé relatives à l’exemption de paiements des enfants de moins de 5 ans n’est pas assis sur un dispositif de contrôle financier et médical suffisant</w:t>
      </w:r>
      <w:r w:rsidR="00AB1F76">
        <w:rPr>
          <w:rFonts w:cstheme="minorHAnsi"/>
          <w:sz w:val="24"/>
          <w:szCs w:val="24"/>
        </w:rPr>
        <w:t>, ni une quelconque contractualisation ou conventionnement</w:t>
      </w:r>
      <w:r w:rsidR="009C06D0" w:rsidRPr="00BF29A2">
        <w:rPr>
          <w:rFonts w:cstheme="minorHAnsi"/>
          <w:sz w:val="24"/>
          <w:szCs w:val="24"/>
        </w:rPr>
        <w:t xml:space="preserve">. </w:t>
      </w:r>
      <w:r w:rsidR="00E071F1">
        <w:rPr>
          <w:rFonts w:cstheme="minorHAnsi"/>
          <w:sz w:val="24"/>
          <w:szCs w:val="24"/>
        </w:rPr>
        <w:t>Du reste, le mécanisme couvre</w:t>
      </w:r>
      <w:r w:rsidR="00E071F1" w:rsidRPr="00BF29A2">
        <w:rPr>
          <w:rFonts w:cstheme="minorHAnsi"/>
          <w:sz w:val="24"/>
          <w:szCs w:val="24"/>
        </w:rPr>
        <w:t xml:space="preserve"> </w:t>
      </w:r>
      <w:r w:rsidR="00E071F1">
        <w:rPr>
          <w:rFonts w:cstheme="minorHAnsi"/>
          <w:sz w:val="24"/>
          <w:szCs w:val="24"/>
        </w:rPr>
        <w:t xml:space="preserve">théoriquement sans distinction </w:t>
      </w:r>
      <w:r w:rsidR="00E071F1" w:rsidRPr="00BF29A2">
        <w:rPr>
          <w:rFonts w:cstheme="minorHAnsi"/>
          <w:sz w:val="24"/>
          <w:szCs w:val="24"/>
        </w:rPr>
        <w:t>tous les enfants de moins de 5 ans et toutes les femmes enceintes quel que s</w:t>
      </w:r>
      <w:r w:rsidR="00E071F1">
        <w:rPr>
          <w:rFonts w:cstheme="minorHAnsi"/>
          <w:sz w:val="24"/>
          <w:szCs w:val="24"/>
        </w:rPr>
        <w:t xml:space="preserve">oit leur niveau socioéconomique, </w:t>
      </w:r>
      <w:r w:rsidR="00866A12">
        <w:rPr>
          <w:rFonts w:cstheme="minorHAnsi"/>
          <w:sz w:val="24"/>
          <w:szCs w:val="24"/>
        </w:rPr>
        <w:t>et</w:t>
      </w:r>
      <w:r w:rsidR="00E071F1">
        <w:rPr>
          <w:rFonts w:cstheme="minorHAnsi"/>
          <w:sz w:val="24"/>
          <w:szCs w:val="24"/>
        </w:rPr>
        <w:t xml:space="preserve"> </w:t>
      </w:r>
      <w:r w:rsidR="00E071F1" w:rsidRPr="00BF29A2">
        <w:rPr>
          <w:rFonts w:cstheme="minorHAnsi"/>
          <w:sz w:val="24"/>
          <w:szCs w:val="24"/>
        </w:rPr>
        <w:t xml:space="preserve">le remboursement aux prestataires de soins de santé ne se fait que très partiellement et avec beaucoup de retard. </w:t>
      </w:r>
    </w:p>
    <w:p w14:paraId="01EB5136" w14:textId="77777777" w:rsidR="005C41C9" w:rsidRDefault="00AB1F76" w:rsidP="00E071F1">
      <w:pPr>
        <w:spacing w:line="240" w:lineRule="auto"/>
        <w:jc w:val="both"/>
        <w:rPr>
          <w:rFonts w:cstheme="minorHAnsi"/>
          <w:sz w:val="24"/>
          <w:szCs w:val="24"/>
        </w:rPr>
      </w:pPr>
      <w:r>
        <w:rPr>
          <w:rFonts w:cstheme="minorHAnsi"/>
          <w:sz w:val="24"/>
          <w:szCs w:val="24"/>
        </w:rPr>
        <w:t xml:space="preserve">Certains projets initiés par des </w:t>
      </w:r>
      <w:r w:rsidR="00866A12">
        <w:rPr>
          <w:rFonts w:cstheme="minorHAnsi"/>
          <w:sz w:val="24"/>
          <w:szCs w:val="24"/>
        </w:rPr>
        <w:t>PTF</w:t>
      </w:r>
      <w:r>
        <w:rPr>
          <w:rFonts w:cstheme="minorHAnsi"/>
          <w:sz w:val="24"/>
          <w:szCs w:val="24"/>
        </w:rPr>
        <w:t xml:space="preserve"> expérimentent l’achat stratégique dans le cadre de la prise en charge de certaines prestations de la gratuité, d’autres prestations médicales, </w:t>
      </w:r>
      <w:r w:rsidR="00866A12">
        <w:rPr>
          <w:rFonts w:cstheme="minorHAnsi"/>
          <w:sz w:val="24"/>
          <w:szCs w:val="24"/>
        </w:rPr>
        <w:t>et</w:t>
      </w:r>
      <w:r>
        <w:rPr>
          <w:rFonts w:cstheme="minorHAnsi"/>
          <w:sz w:val="24"/>
          <w:szCs w:val="24"/>
        </w:rPr>
        <w:t xml:space="preserve"> d’activités de soutien</w:t>
      </w:r>
      <w:r w:rsidR="00866A12">
        <w:rPr>
          <w:rFonts w:cstheme="minorHAnsi"/>
          <w:sz w:val="24"/>
          <w:szCs w:val="24"/>
        </w:rPr>
        <w:t>, ou même de toutes les prestations de qualité</w:t>
      </w:r>
      <w:r>
        <w:rPr>
          <w:rFonts w:cstheme="minorHAnsi"/>
          <w:sz w:val="24"/>
          <w:szCs w:val="24"/>
        </w:rPr>
        <w:t xml:space="preserve">. Mais ces expériences relèvent pour le moment de pilotes ou de propositions isolées non </w:t>
      </w:r>
      <w:r w:rsidR="00866A12">
        <w:rPr>
          <w:rFonts w:cstheme="minorHAnsi"/>
          <w:sz w:val="24"/>
          <w:szCs w:val="24"/>
        </w:rPr>
        <w:t xml:space="preserve">encore </w:t>
      </w:r>
      <w:r>
        <w:rPr>
          <w:rFonts w:cstheme="minorHAnsi"/>
          <w:sz w:val="24"/>
          <w:szCs w:val="24"/>
        </w:rPr>
        <w:t>systématisées ni institutionnalisées.</w:t>
      </w:r>
    </w:p>
    <w:p w14:paraId="3B974535" w14:textId="77777777" w:rsidR="00E071F1" w:rsidRDefault="00E071F1" w:rsidP="00A22125">
      <w:pPr>
        <w:rPr>
          <w:rFonts w:cstheme="minorHAnsi"/>
          <w:sz w:val="24"/>
          <w:szCs w:val="24"/>
        </w:rPr>
      </w:pPr>
      <w:r>
        <w:rPr>
          <w:rFonts w:cstheme="minorHAnsi"/>
          <w:sz w:val="24"/>
          <w:szCs w:val="24"/>
        </w:rPr>
        <w:t xml:space="preserve">La mise à disposition de l’ensemble des ressources (infrastructures, RHS, allocations de crédits et subventions) ne répond pas de manière optimale à l’idéal de répartition stratégique. </w:t>
      </w:r>
      <w:r w:rsidR="00866A12">
        <w:rPr>
          <w:rFonts w:cstheme="minorHAnsi"/>
          <w:sz w:val="24"/>
          <w:szCs w:val="24"/>
        </w:rPr>
        <w:t>Pour aller dans ce sens u</w:t>
      </w:r>
      <w:r>
        <w:rPr>
          <w:rFonts w:cstheme="minorHAnsi"/>
          <w:sz w:val="24"/>
          <w:szCs w:val="24"/>
        </w:rPr>
        <w:t>ne amélioration des outils de gestion de l’information, la priorisation par le leadership,</w:t>
      </w:r>
      <w:r w:rsidR="00866A12">
        <w:rPr>
          <w:rFonts w:cstheme="minorHAnsi"/>
          <w:sz w:val="24"/>
          <w:szCs w:val="24"/>
        </w:rPr>
        <w:t xml:space="preserve"> ainsi que</w:t>
      </w:r>
      <w:r>
        <w:rPr>
          <w:rFonts w:cstheme="minorHAnsi"/>
          <w:sz w:val="24"/>
          <w:szCs w:val="24"/>
        </w:rPr>
        <w:t xml:space="preserve"> la transparence et la redevabilité</w:t>
      </w:r>
      <w:r w:rsidR="00866A12">
        <w:rPr>
          <w:rFonts w:cstheme="minorHAnsi"/>
          <w:sz w:val="24"/>
          <w:szCs w:val="24"/>
        </w:rPr>
        <w:t xml:space="preserve"> doivent être améliorés</w:t>
      </w:r>
      <w:r w:rsidR="006F606D">
        <w:rPr>
          <w:rFonts w:cstheme="minorHAnsi"/>
          <w:sz w:val="24"/>
          <w:szCs w:val="24"/>
        </w:rPr>
        <w:t>.</w:t>
      </w:r>
    </w:p>
    <w:p w14:paraId="3546CBC3" w14:textId="77777777" w:rsidR="00985C19" w:rsidRPr="00985C19" w:rsidRDefault="00985C19" w:rsidP="00A22125">
      <w:pPr>
        <w:rPr>
          <w:rFonts w:cstheme="minorHAnsi"/>
          <w:i/>
          <w:sz w:val="24"/>
          <w:szCs w:val="24"/>
          <w:u w:val="single"/>
        </w:rPr>
      </w:pPr>
      <w:r w:rsidRPr="00985C19">
        <w:rPr>
          <w:rFonts w:cstheme="minorHAnsi"/>
          <w:i/>
          <w:sz w:val="24"/>
          <w:szCs w:val="24"/>
          <w:u w:val="single"/>
        </w:rPr>
        <w:t>Gestion des finances publiques</w:t>
      </w:r>
      <w:r w:rsidR="00474A8A">
        <w:rPr>
          <w:rFonts w:cstheme="minorHAnsi"/>
          <w:i/>
          <w:sz w:val="24"/>
          <w:szCs w:val="24"/>
          <w:u w:val="single"/>
        </w:rPr>
        <w:t xml:space="preserve"> (cycle budgétaire)</w:t>
      </w:r>
    </w:p>
    <w:p w14:paraId="7803C995" w14:textId="77777777" w:rsidR="00985C19" w:rsidRPr="00474A8A" w:rsidRDefault="00985C19" w:rsidP="00985C19">
      <w:pPr>
        <w:rPr>
          <w:rFonts w:cstheme="minorHAnsi"/>
          <w:sz w:val="24"/>
          <w:szCs w:val="24"/>
        </w:rPr>
      </w:pPr>
      <w:r w:rsidRPr="00985C19">
        <w:rPr>
          <w:rFonts w:cstheme="minorHAnsi"/>
          <w:sz w:val="24"/>
          <w:szCs w:val="24"/>
        </w:rPr>
        <w:t xml:space="preserve">Malgré le cadre budgétaire national, la persistance d'une budgétisation parallèle pour les financements </w:t>
      </w:r>
      <w:r w:rsidR="005C41C9">
        <w:rPr>
          <w:rFonts w:cstheme="minorHAnsi"/>
          <w:sz w:val="24"/>
          <w:szCs w:val="24"/>
        </w:rPr>
        <w:t xml:space="preserve">du </w:t>
      </w:r>
      <w:r w:rsidRPr="00985C19">
        <w:rPr>
          <w:rFonts w:cstheme="minorHAnsi"/>
          <w:sz w:val="24"/>
          <w:szCs w:val="24"/>
        </w:rPr>
        <w:t>PAA et pour l</w:t>
      </w:r>
      <w:r w:rsidR="00F02A89">
        <w:rPr>
          <w:rFonts w:cstheme="minorHAnsi"/>
          <w:sz w:val="24"/>
          <w:szCs w:val="24"/>
        </w:rPr>
        <w:t>es financements de l’Etat (PAP)</w:t>
      </w:r>
      <w:r w:rsidRPr="00985C19">
        <w:rPr>
          <w:rFonts w:cstheme="minorHAnsi"/>
          <w:sz w:val="24"/>
          <w:szCs w:val="24"/>
        </w:rPr>
        <w:t xml:space="preserve"> pose un problème d’alignement et d’intégration de certaines interventions au cycle budgétaire normal. </w:t>
      </w:r>
      <w:r w:rsidR="00474A8A" w:rsidRPr="00474A8A">
        <w:rPr>
          <w:rFonts w:cstheme="minorHAnsi"/>
          <w:sz w:val="24"/>
          <w:szCs w:val="24"/>
        </w:rPr>
        <w:t>Alors que le Proj</w:t>
      </w:r>
      <w:r w:rsidR="00F02A89">
        <w:rPr>
          <w:rFonts w:cstheme="minorHAnsi"/>
          <w:sz w:val="24"/>
          <w:szCs w:val="24"/>
        </w:rPr>
        <w:t>et Annuel de Performances (PAP)</w:t>
      </w:r>
      <w:r w:rsidR="00474A8A" w:rsidRPr="00474A8A">
        <w:rPr>
          <w:rFonts w:cstheme="minorHAnsi"/>
          <w:sz w:val="24"/>
          <w:szCs w:val="24"/>
        </w:rPr>
        <w:t xml:space="preserve"> préparé chaque année intègre les priorités nationales en termes de cycle de planification, cette approche n’est toujours pas reflétée dans les Plans d’Actions Annuels (PAA).</w:t>
      </w:r>
      <w:r w:rsidR="008566D6" w:rsidRPr="008566D6">
        <w:rPr>
          <w:rFonts w:cstheme="minorHAnsi"/>
          <w:sz w:val="24"/>
          <w:szCs w:val="24"/>
        </w:rPr>
        <w:t xml:space="preserve"> </w:t>
      </w:r>
      <w:r w:rsidR="008566D6">
        <w:rPr>
          <w:rFonts w:cstheme="minorHAnsi"/>
          <w:sz w:val="24"/>
          <w:szCs w:val="24"/>
        </w:rPr>
        <w:t>En plus le PAP lui-même n’intègre pas toujours toutes les priorités notamment celles en lien avec les reformes.</w:t>
      </w:r>
    </w:p>
    <w:p w14:paraId="44595FDA" w14:textId="77777777" w:rsidR="00474A8A" w:rsidRPr="00474A8A" w:rsidRDefault="00474A8A" w:rsidP="00474A8A">
      <w:pPr>
        <w:rPr>
          <w:rFonts w:cstheme="minorHAnsi"/>
          <w:sz w:val="24"/>
          <w:szCs w:val="24"/>
        </w:rPr>
      </w:pPr>
      <w:r w:rsidRPr="00474A8A">
        <w:rPr>
          <w:rFonts w:cstheme="minorHAnsi"/>
          <w:sz w:val="24"/>
          <w:szCs w:val="24"/>
        </w:rPr>
        <w:t>Au niveau de l’exécution, on déplore une libération insuffisante des crédits annoncés, u</w:t>
      </w:r>
      <w:r w:rsidR="00F02A89">
        <w:rPr>
          <w:rFonts w:cstheme="minorHAnsi"/>
          <w:sz w:val="24"/>
          <w:szCs w:val="24"/>
        </w:rPr>
        <w:t>n retard dans leur libération</w:t>
      </w:r>
      <w:r w:rsidRPr="00474A8A">
        <w:rPr>
          <w:rFonts w:cstheme="minorHAnsi"/>
          <w:sz w:val="24"/>
          <w:szCs w:val="24"/>
        </w:rPr>
        <w:t>, et une lourdeur des procédures de décaissement des crédits de l’Etat. C’est pourquoi on dénote une faible consommation des crédits du budget de l’Etat.</w:t>
      </w:r>
    </w:p>
    <w:p w14:paraId="33BEF873" w14:textId="77777777" w:rsidR="00D97799" w:rsidRDefault="00474A8A">
      <w:r w:rsidRPr="00474A8A">
        <w:rPr>
          <w:rFonts w:cstheme="minorHAnsi"/>
          <w:sz w:val="24"/>
          <w:szCs w:val="24"/>
        </w:rPr>
        <w:t xml:space="preserve">Le suivi-évaluation du budget est caractérisée par l’existence d'un guide de </w:t>
      </w:r>
      <w:r w:rsidR="00D84C92">
        <w:rPr>
          <w:rFonts w:cstheme="minorHAnsi"/>
          <w:sz w:val="24"/>
          <w:szCs w:val="24"/>
        </w:rPr>
        <w:t>suivi-évaluation</w:t>
      </w:r>
      <w:r w:rsidR="00D84C92" w:rsidRPr="00474A8A">
        <w:rPr>
          <w:rFonts w:cstheme="minorHAnsi"/>
          <w:sz w:val="24"/>
          <w:szCs w:val="24"/>
        </w:rPr>
        <w:t xml:space="preserve"> </w:t>
      </w:r>
      <w:r w:rsidRPr="00474A8A">
        <w:rPr>
          <w:rFonts w:cstheme="minorHAnsi"/>
          <w:sz w:val="24"/>
          <w:szCs w:val="24"/>
        </w:rPr>
        <w:t xml:space="preserve">du PDS (qui fait ressortir les  réalisations physiques, les réalisations financières et les taux d’absorbions des crédits alloués), l’existence d’évaluations semestrielles et annuelles des activités et l’élaboration de rapports périodiques. </w:t>
      </w:r>
      <w:r w:rsidR="00E30B5F">
        <w:rPr>
          <w:rFonts w:cstheme="minorHAnsi"/>
          <w:sz w:val="24"/>
          <w:szCs w:val="24"/>
        </w:rPr>
        <w:t>I</w:t>
      </w:r>
      <w:r w:rsidRPr="00474A8A">
        <w:rPr>
          <w:rFonts w:cstheme="minorHAnsi"/>
          <w:sz w:val="24"/>
          <w:szCs w:val="24"/>
        </w:rPr>
        <w:t>l existe encore une insuffisance dans l'analyse des performances à tous les niveaux en tenant compte des budgets utilisés. Un premier exercice de rapportage basé sur des performances a été produit en 2019 (pour 2018) mais sa qualité reste à améliorer.</w:t>
      </w:r>
      <w:r w:rsidR="00CD389F">
        <w:br w:type="page"/>
      </w:r>
    </w:p>
    <w:p w14:paraId="404E2DD7" w14:textId="77777777" w:rsidR="00CD389F" w:rsidRPr="00CD389F" w:rsidRDefault="00D97799" w:rsidP="00CD389F">
      <w:pPr>
        <w:pStyle w:val="Titre1"/>
      </w:pPr>
      <w:bookmarkStart w:id="9" w:name="_Toc21449011"/>
      <w:r>
        <w:t>V</w:t>
      </w:r>
      <w:r w:rsidR="00CD389F" w:rsidRPr="00CD389F">
        <w:t>ision, objectif</w:t>
      </w:r>
      <w:r w:rsidR="00CD389F">
        <w:t xml:space="preserve"> général</w:t>
      </w:r>
      <w:r w:rsidR="00CD389F" w:rsidRPr="00CD389F">
        <w:t xml:space="preserve"> et résultats attendus</w:t>
      </w:r>
      <w:bookmarkEnd w:id="9"/>
    </w:p>
    <w:p w14:paraId="124177AF" w14:textId="77777777" w:rsidR="00CD389F" w:rsidRDefault="00CD389F" w:rsidP="00474A8A">
      <w:pPr>
        <w:spacing w:after="0" w:line="240" w:lineRule="auto"/>
        <w:rPr>
          <w:rFonts w:cstheme="minorHAnsi"/>
          <w:sz w:val="24"/>
          <w:szCs w:val="24"/>
        </w:rPr>
      </w:pPr>
    </w:p>
    <w:p w14:paraId="74994199" w14:textId="77777777" w:rsidR="00CD389F" w:rsidRDefault="00CD389F" w:rsidP="00CD389F">
      <w:pPr>
        <w:pStyle w:val="Titre2"/>
      </w:pPr>
      <w:bookmarkStart w:id="10" w:name="_Toc21449012"/>
      <w:r>
        <w:t>Vision</w:t>
      </w:r>
      <w:bookmarkEnd w:id="10"/>
    </w:p>
    <w:p w14:paraId="3676804C" w14:textId="77777777" w:rsidR="00CD389F" w:rsidRDefault="00F02A89" w:rsidP="00474A8A">
      <w:pPr>
        <w:spacing w:after="0" w:line="240" w:lineRule="auto"/>
        <w:rPr>
          <w:rFonts w:cstheme="minorHAnsi"/>
          <w:sz w:val="24"/>
          <w:szCs w:val="24"/>
        </w:rPr>
      </w:pPr>
      <w:r>
        <w:rPr>
          <w:rFonts w:cstheme="minorHAnsi"/>
          <w:sz w:val="24"/>
          <w:szCs w:val="24"/>
        </w:rPr>
        <w:t xml:space="preserve">La vision est celle de la Couverture Sanitaire Universelle, qui </w:t>
      </w:r>
      <w:r w:rsidRPr="00F02A89">
        <w:rPr>
          <w:rFonts w:cstheme="minorHAnsi"/>
          <w:sz w:val="24"/>
          <w:szCs w:val="24"/>
        </w:rPr>
        <w:t>signifie que toutes les personnes et les communautés peuvent utiliser les services de santé promotionnels, préventifs, curatifs, de réadaptation et de soins palliatifs dont elles ont besoin, de qualité suffisante pour être efficaces, tout en veillant à ce que l'utilisation de ces services n'exposent pas les particuliers et les familles à des difficultés financières.</w:t>
      </w:r>
    </w:p>
    <w:p w14:paraId="7B24A4DE" w14:textId="77777777" w:rsidR="00CD389F" w:rsidRDefault="00CD389F" w:rsidP="00474A8A">
      <w:pPr>
        <w:spacing w:after="0" w:line="240" w:lineRule="auto"/>
        <w:rPr>
          <w:rFonts w:cstheme="minorHAnsi"/>
          <w:sz w:val="24"/>
          <w:szCs w:val="24"/>
        </w:rPr>
      </w:pPr>
    </w:p>
    <w:p w14:paraId="47D5E0DE" w14:textId="77777777" w:rsidR="00CD389F" w:rsidRDefault="00CD389F" w:rsidP="00CD389F">
      <w:pPr>
        <w:pStyle w:val="Titre2"/>
      </w:pPr>
      <w:bookmarkStart w:id="11" w:name="_Toc21449013"/>
      <w:r>
        <w:t>Objectif général</w:t>
      </w:r>
      <w:bookmarkEnd w:id="11"/>
    </w:p>
    <w:p w14:paraId="7320872D" w14:textId="77777777" w:rsidR="00CD389F" w:rsidRDefault="00CD389F" w:rsidP="00474A8A">
      <w:pPr>
        <w:spacing w:after="0" w:line="240" w:lineRule="auto"/>
        <w:rPr>
          <w:rFonts w:cstheme="minorHAnsi"/>
          <w:sz w:val="24"/>
          <w:szCs w:val="24"/>
        </w:rPr>
      </w:pPr>
    </w:p>
    <w:p w14:paraId="41EEC415" w14:textId="77777777" w:rsidR="00F02A89" w:rsidRDefault="00F02A89" w:rsidP="00474A8A">
      <w:pPr>
        <w:spacing w:after="0" w:line="240" w:lineRule="auto"/>
        <w:rPr>
          <w:rFonts w:cstheme="minorHAnsi"/>
          <w:sz w:val="24"/>
          <w:szCs w:val="24"/>
        </w:rPr>
      </w:pPr>
      <w:r>
        <w:rPr>
          <w:rFonts w:cstheme="minorHAnsi"/>
          <w:sz w:val="24"/>
          <w:szCs w:val="24"/>
        </w:rPr>
        <w:t>L’objectif général de la stratégie nationale CSU est d’élever la CSU au rang d’un nouveau paradigme capable de mobiliser l’ensemble du pays dans l’atteinte de l’objectif 3 des ODD, à savoir « </w:t>
      </w:r>
      <w:r w:rsidR="00E30B5F">
        <w:rPr>
          <w:rFonts w:cstheme="minorHAnsi"/>
          <w:sz w:val="24"/>
          <w:szCs w:val="24"/>
        </w:rPr>
        <w:t>p</w:t>
      </w:r>
      <w:r w:rsidRPr="00F02A89">
        <w:rPr>
          <w:rFonts w:cstheme="minorHAnsi"/>
          <w:sz w:val="24"/>
          <w:szCs w:val="24"/>
        </w:rPr>
        <w:t>ermettre à tous de vivre en bonne santé et promouvoir le bien-être de tous à tout âge ».</w:t>
      </w:r>
    </w:p>
    <w:p w14:paraId="7FE5217B" w14:textId="77777777" w:rsidR="00CD389F" w:rsidRDefault="00CD389F" w:rsidP="00474A8A">
      <w:pPr>
        <w:spacing w:after="0" w:line="240" w:lineRule="auto"/>
        <w:rPr>
          <w:rFonts w:cstheme="minorHAnsi"/>
          <w:sz w:val="24"/>
          <w:szCs w:val="24"/>
        </w:rPr>
      </w:pPr>
    </w:p>
    <w:p w14:paraId="1442734F" w14:textId="77777777" w:rsidR="00CD389F" w:rsidRDefault="00CD389F" w:rsidP="00CD389F">
      <w:pPr>
        <w:pStyle w:val="Titre2"/>
      </w:pPr>
      <w:bookmarkStart w:id="12" w:name="_Toc21449014"/>
      <w:r>
        <w:t>Résultats attendus</w:t>
      </w:r>
      <w:bookmarkEnd w:id="12"/>
    </w:p>
    <w:p w14:paraId="544E487B" w14:textId="77777777" w:rsidR="00CD389F" w:rsidRPr="00BF29A2" w:rsidRDefault="00CD389F" w:rsidP="00474A8A">
      <w:pPr>
        <w:spacing w:after="0" w:line="240" w:lineRule="auto"/>
        <w:rPr>
          <w:rFonts w:cstheme="minorHAnsi"/>
          <w:sz w:val="24"/>
          <w:szCs w:val="24"/>
        </w:rPr>
      </w:pPr>
    </w:p>
    <w:p w14:paraId="5A3F8C05" w14:textId="77777777" w:rsidR="00F429F5" w:rsidRDefault="00F429F5">
      <w:r>
        <w:t xml:space="preserve">Les résultats attendus se situent au niveau de la population du Niger. Ils se déclinent selon les </w:t>
      </w:r>
      <w:r w:rsidR="009C0D04">
        <w:t>3</w:t>
      </w:r>
      <w:r>
        <w:t xml:space="preserve"> </w:t>
      </w:r>
      <w:r w:rsidR="009C0D04">
        <w:t>piliers de la CSU et les 4 objectifs de la présente stratégie</w:t>
      </w:r>
      <w:r>
        <w:t> :</w:t>
      </w:r>
    </w:p>
    <w:p w14:paraId="52EB86E3" w14:textId="77777777" w:rsidR="008566D6" w:rsidRDefault="00DB64ED" w:rsidP="008566D6">
      <w:pPr>
        <w:ind w:left="360"/>
        <w:rPr>
          <w:rFonts w:asciiTheme="majorHAnsi" w:eastAsiaTheme="majorEastAsia" w:hAnsiTheme="majorHAnsi" w:cstheme="majorBidi"/>
          <w:b/>
          <w:bCs/>
          <w:color w:val="365F91" w:themeColor="accent1" w:themeShade="BF"/>
          <w:sz w:val="28"/>
          <w:szCs w:val="28"/>
        </w:rPr>
      </w:pPr>
      <w:r>
        <w:t xml:space="preserve">1. </w:t>
      </w:r>
      <w:r w:rsidR="00F429F5">
        <w:t>L’ensemble de la population du Niger est en meilleure santé, notamment parce que les déterminants de la santé, d’ordre comportemental, environnemental et métabolique, sont mieux pris en considération sur le plan individuel et collectif ;</w:t>
      </w:r>
    </w:p>
    <w:p w14:paraId="30A2A1F6" w14:textId="77777777" w:rsidR="00F429F5" w:rsidRPr="008566D6" w:rsidRDefault="00DB64ED" w:rsidP="008566D6">
      <w:pPr>
        <w:ind w:left="360"/>
        <w:rPr>
          <w:rFonts w:asciiTheme="majorHAnsi" w:eastAsiaTheme="majorEastAsia" w:hAnsiTheme="majorHAnsi" w:cstheme="majorBidi"/>
          <w:b/>
          <w:bCs/>
          <w:color w:val="365F91" w:themeColor="accent1" w:themeShade="BF"/>
          <w:sz w:val="28"/>
          <w:szCs w:val="28"/>
        </w:rPr>
      </w:pPr>
      <w:r>
        <w:t xml:space="preserve">2. </w:t>
      </w:r>
      <w:r w:rsidR="00F429F5">
        <w:t xml:space="preserve">L’ensemble de la population du Niger dispose d’une offre de services de santé </w:t>
      </w:r>
      <w:r>
        <w:t xml:space="preserve">de qualité </w:t>
      </w:r>
      <w:r w:rsidR="00F429F5">
        <w:t>qui lui garantit une prise en charge adéquate, dans le cadre d’un système de santé efficient et résilient ;</w:t>
      </w:r>
    </w:p>
    <w:p w14:paraId="6A2C18A1" w14:textId="77777777" w:rsidR="00CD389F" w:rsidRPr="00DB64ED" w:rsidRDefault="00DB64ED" w:rsidP="002A495B">
      <w:pPr>
        <w:ind w:left="360"/>
        <w:rPr>
          <w:rFonts w:asciiTheme="majorHAnsi" w:eastAsiaTheme="majorEastAsia" w:hAnsiTheme="majorHAnsi" w:cstheme="majorBidi"/>
          <w:b/>
          <w:bCs/>
          <w:color w:val="365F91" w:themeColor="accent1" w:themeShade="BF"/>
          <w:sz w:val="28"/>
          <w:szCs w:val="28"/>
        </w:rPr>
      </w:pPr>
      <w:r>
        <w:t xml:space="preserve">3. </w:t>
      </w:r>
      <w:r w:rsidR="00F429F5">
        <w:t xml:space="preserve">L’ensemble de la population du Niger </w:t>
      </w:r>
      <w:r w:rsidR="008566D6">
        <w:t>utilise les</w:t>
      </w:r>
      <w:r w:rsidR="00F429F5">
        <w:t xml:space="preserve"> services de santé </w:t>
      </w:r>
      <w:r>
        <w:t xml:space="preserve">de qualité </w:t>
      </w:r>
      <w:r w:rsidR="00F429F5">
        <w:t>sans difficulté</w:t>
      </w:r>
      <w:r>
        <w:t>s</w:t>
      </w:r>
      <w:r w:rsidR="00F429F5">
        <w:t xml:space="preserve"> financière</w:t>
      </w:r>
      <w:r>
        <w:t>s</w:t>
      </w:r>
      <w:r w:rsidR="00F429F5">
        <w:t xml:space="preserve">, grâce à </w:t>
      </w:r>
      <w:r w:rsidR="009C0D04">
        <w:t xml:space="preserve">un </w:t>
      </w:r>
      <w:r w:rsidR="00F429F5">
        <w:t>système de financement de la santé performant</w:t>
      </w:r>
      <w:r w:rsidR="009C0D04">
        <w:t xml:space="preserve"> et une protection financière </w:t>
      </w:r>
      <w:r w:rsidR="000F7DCB">
        <w:t xml:space="preserve">contre le risque maladie basée </w:t>
      </w:r>
      <w:r w:rsidR="009C0D04">
        <w:t>sur une assurance maladie universelle</w:t>
      </w:r>
      <w:r w:rsidR="00F429F5">
        <w:t>.</w:t>
      </w:r>
      <w:r w:rsidR="00CD389F">
        <w:br w:type="page"/>
      </w:r>
    </w:p>
    <w:p w14:paraId="38B9D685" w14:textId="77777777" w:rsidR="003F3FAC" w:rsidRPr="00BF29A2" w:rsidRDefault="003F3FAC" w:rsidP="00BF29A2">
      <w:pPr>
        <w:pStyle w:val="Titre1"/>
      </w:pPr>
      <w:bookmarkStart w:id="13" w:name="_Toc21449015"/>
      <w:r w:rsidRPr="00BF29A2">
        <w:t>Les orientations stratégiques :</w:t>
      </w:r>
      <w:bookmarkEnd w:id="13"/>
      <w:r w:rsidRPr="00BF29A2">
        <w:t xml:space="preserve"> </w:t>
      </w:r>
    </w:p>
    <w:p w14:paraId="4C6773B9" w14:textId="77777777" w:rsidR="003F3FAC" w:rsidRDefault="00FB412A" w:rsidP="00BF29A2">
      <w:pPr>
        <w:pStyle w:val="Titre2"/>
      </w:pPr>
      <w:bookmarkStart w:id="14" w:name="_Toc21449016"/>
      <w:r>
        <w:t xml:space="preserve">OS n°1 : </w:t>
      </w:r>
      <w:r w:rsidR="00AB1F76">
        <w:t>A</w:t>
      </w:r>
      <w:r w:rsidR="003F3FAC" w:rsidRPr="00BF29A2">
        <w:t>mélioration des déterminants de la santé</w:t>
      </w:r>
      <w:bookmarkEnd w:id="14"/>
      <w:r w:rsidR="00A22125" w:rsidRPr="00BF29A2">
        <w:t xml:space="preserve"> </w:t>
      </w:r>
    </w:p>
    <w:p w14:paraId="37CF5E05" w14:textId="77777777" w:rsidR="00012D78" w:rsidRDefault="00012D78" w:rsidP="007E07D3">
      <w:pPr>
        <w:rPr>
          <w:rFonts w:cstheme="minorHAnsi"/>
          <w:sz w:val="24"/>
          <w:szCs w:val="24"/>
        </w:rPr>
      </w:pPr>
    </w:p>
    <w:p w14:paraId="2956A92E" w14:textId="77777777" w:rsidR="007E07D3" w:rsidRPr="00F64372" w:rsidRDefault="006B5114" w:rsidP="007E07D3">
      <w:r>
        <w:rPr>
          <w:rFonts w:cstheme="minorHAnsi"/>
          <w:sz w:val="24"/>
          <w:szCs w:val="24"/>
        </w:rPr>
        <w:t>A un niveau désagrégé, l’illust</w:t>
      </w:r>
      <w:r w:rsidR="007E07D3">
        <w:rPr>
          <w:rFonts w:cstheme="minorHAnsi"/>
          <w:sz w:val="24"/>
          <w:szCs w:val="24"/>
        </w:rPr>
        <w:t>ration suivante détaille les causes premières </w:t>
      </w:r>
      <w:r w:rsidR="0020278D">
        <w:rPr>
          <w:rFonts w:cstheme="minorHAnsi"/>
          <w:sz w:val="24"/>
          <w:szCs w:val="24"/>
        </w:rPr>
        <w:t xml:space="preserve">de mauvaise santé </w:t>
      </w:r>
      <w:r w:rsidR="007E07D3">
        <w:rPr>
          <w:rFonts w:cstheme="minorHAnsi"/>
          <w:sz w:val="24"/>
          <w:szCs w:val="24"/>
        </w:rPr>
        <w:t>:</w:t>
      </w:r>
    </w:p>
    <w:p w14:paraId="7CA5087F" w14:textId="77777777" w:rsidR="007E07D3" w:rsidRPr="00BF29A2" w:rsidRDefault="007E07D3" w:rsidP="007E07D3">
      <w:pPr>
        <w:rPr>
          <w:rFonts w:cstheme="minorHAnsi"/>
          <w:sz w:val="24"/>
          <w:szCs w:val="24"/>
        </w:rPr>
      </w:pPr>
      <w:r w:rsidRPr="00BF29A2">
        <w:rPr>
          <w:rFonts w:cstheme="minorHAnsi"/>
          <w:noProof/>
          <w:sz w:val="24"/>
          <w:szCs w:val="24"/>
          <w:lang w:eastAsia="fr-FR"/>
        </w:rPr>
        <w:drawing>
          <wp:inline distT="0" distB="0" distL="0" distR="0" wp14:anchorId="27E7231B" wp14:editId="693A8B43">
            <wp:extent cx="5759450" cy="3192619"/>
            <wp:effectExtent l="0" t="0" r="0" b="8255"/>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5759450" cy="3192619"/>
                    </a:xfrm>
                    <a:prstGeom prst="rect">
                      <a:avLst/>
                    </a:prstGeom>
                  </pic:spPr>
                </pic:pic>
              </a:graphicData>
            </a:graphic>
          </wp:inline>
        </w:drawing>
      </w:r>
    </w:p>
    <w:p w14:paraId="6243F894" w14:textId="77777777" w:rsidR="007E07D3" w:rsidRPr="00BF29A2" w:rsidRDefault="007E07D3" w:rsidP="007E07D3">
      <w:pPr>
        <w:rPr>
          <w:rFonts w:cstheme="minorHAnsi"/>
          <w:sz w:val="24"/>
          <w:szCs w:val="24"/>
        </w:rPr>
      </w:pPr>
      <w:r w:rsidRPr="00BF29A2">
        <w:rPr>
          <w:rFonts w:cstheme="minorHAnsi"/>
          <w:sz w:val="24"/>
          <w:szCs w:val="24"/>
        </w:rPr>
        <w:t>Rapporté à l’ensemble de la mortalité au Niger, ces données nous disent que </w:t>
      </w:r>
      <w:r>
        <w:rPr>
          <w:rFonts w:cstheme="minorHAnsi"/>
          <w:sz w:val="24"/>
          <w:szCs w:val="24"/>
        </w:rPr>
        <w:t>l</w:t>
      </w:r>
      <w:r w:rsidRPr="00BF29A2">
        <w:rPr>
          <w:rFonts w:cstheme="minorHAnsi"/>
          <w:sz w:val="24"/>
          <w:szCs w:val="24"/>
        </w:rPr>
        <w:t xml:space="preserve">es </w:t>
      </w:r>
      <w:r>
        <w:rPr>
          <w:rFonts w:cstheme="minorHAnsi"/>
          <w:sz w:val="24"/>
          <w:szCs w:val="24"/>
        </w:rPr>
        <w:t>causes</w:t>
      </w:r>
      <w:r w:rsidRPr="00BF29A2">
        <w:rPr>
          <w:rFonts w:cstheme="minorHAnsi"/>
          <w:sz w:val="24"/>
          <w:szCs w:val="24"/>
        </w:rPr>
        <w:t xml:space="preserve"> sont respectivement </w:t>
      </w:r>
      <w:r w:rsidR="008566D6">
        <w:rPr>
          <w:rFonts w:cstheme="minorHAnsi"/>
          <w:sz w:val="24"/>
          <w:szCs w:val="24"/>
        </w:rPr>
        <w:t>responsables</w:t>
      </w:r>
      <w:r w:rsidRPr="00BF29A2">
        <w:rPr>
          <w:rFonts w:cstheme="minorHAnsi"/>
          <w:sz w:val="24"/>
          <w:szCs w:val="24"/>
        </w:rPr>
        <w:t xml:space="preserve"> des pourcentages de décès suivants :</w:t>
      </w:r>
    </w:p>
    <w:tbl>
      <w:tblPr>
        <w:tblStyle w:val="Grilledutableau"/>
        <w:tblW w:w="5000" w:type="pct"/>
        <w:tblLook w:val="04A0" w:firstRow="1" w:lastRow="0" w:firstColumn="1" w:lastColumn="0" w:noHBand="0" w:noVBand="1"/>
      </w:tblPr>
      <w:tblGrid>
        <w:gridCol w:w="1410"/>
        <w:gridCol w:w="1405"/>
        <w:gridCol w:w="1676"/>
        <w:gridCol w:w="1751"/>
        <w:gridCol w:w="1419"/>
        <w:gridCol w:w="1399"/>
      </w:tblGrid>
      <w:tr w:rsidR="007E07D3" w:rsidRPr="00BF29A2" w14:paraId="36FECB3D" w14:textId="77777777" w:rsidTr="007444DB">
        <w:tc>
          <w:tcPr>
            <w:tcW w:w="802" w:type="pct"/>
          </w:tcPr>
          <w:p w14:paraId="64A43D20" w14:textId="77777777" w:rsidR="007E07D3" w:rsidRPr="00BF29A2" w:rsidRDefault="007E07D3" w:rsidP="007444DB">
            <w:pPr>
              <w:rPr>
                <w:rFonts w:cstheme="minorHAnsi"/>
                <w:sz w:val="24"/>
                <w:szCs w:val="24"/>
              </w:rPr>
            </w:pPr>
            <w:r w:rsidRPr="00BF29A2">
              <w:rPr>
                <w:rFonts w:cstheme="minorHAnsi"/>
                <w:sz w:val="24"/>
                <w:szCs w:val="24"/>
              </w:rPr>
              <w:t>cachexie</w:t>
            </w:r>
          </w:p>
        </w:tc>
        <w:tc>
          <w:tcPr>
            <w:tcW w:w="799" w:type="pct"/>
          </w:tcPr>
          <w:p w14:paraId="0BC9DC08" w14:textId="77777777" w:rsidR="007E07D3" w:rsidRPr="00BF29A2" w:rsidRDefault="007E07D3" w:rsidP="007444DB">
            <w:pPr>
              <w:rPr>
                <w:rFonts w:cstheme="minorHAnsi"/>
                <w:sz w:val="24"/>
                <w:szCs w:val="24"/>
              </w:rPr>
            </w:pPr>
            <w:r w:rsidRPr="00BF29A2">
              <w:rPr>
                <w:rFonts w:cstheme="minorHAnsi"/>
                <w:sz w:val="24"/>
                <w:szCs w:val="24"/>
              </w:rPr>
              <w:t>Eau non potable</w:t>
            </w:r>
          </w:p>
        </w:tc>
        <w:tc>
          <w:tcPr>
            <w:tcW w:w="807" w:type="pct"/>
          </w:tcPr>
          <w:p w14:paraId="5A0AC57E" w14:textId="77777777" w:rsidR="007E07D3" w:rsidRPr="00BF29A2" w:rsidRDefault="007E07D3" w:rsidP="007444DB">
            <w:pPr>
              <w:rPr>
                <w:rFonts w:cstheme="minorHAnsi"/>
                <w:sz w:val="24"/>
                <w:szCs w:val="24"/>
              </w:rPr>
            </w:pPr>
            <w:r>
              <w:rPr>
                <w:rFonts w:cstheme="minorHAnsi"/>
                <w:sz w:val="24"/>
                <w:szCs w:val="24"/>
              </w:rPr>
              <w:t>Accouchement avant terme</w:t>
            </w:r>
          </w:p>
        </w:tc>
        <w:tc>
          <w:tcPr>
            <w:tcW w:w="990" w:type="pct"/>
          </w:tcPr>
          <w:p w14:paraId="6A476184" w14:textId="77777777" w:rsidR="007E07D3" w:rsidRPr="00BF29A2" w:rsidRDefault="007E07D3" w:rsidP="007444DB">
            <w:pPr>
              <w:rPr>
                <w:rFonts w:cstheme="minorHAnsi"/>
                <w:sz w:val="24"/>
                <w:szCs w:val="24"/>
              </w:rPr>
            </w:pPr>
            <w:r w:rsidRPr="00BF29A2">
              <w:rPr>
                <w:rFonts w:cstheme="minorHAnsi"/>
                <w:sz w:val="24"/>
                <w:szCs w:val="24"/>
              </w:rPr>
              <w:t>Assainissement</w:t>
            </w:r>
          </w:p>
        </w:tc>
        <w:tc>
          <w:tcPr>
            <w:tcW w:w="807" w:type="pct"/>
          </w:tcPr>
          <w:p w14:paraId="4F74F0A0" w14:textId="77777777" w:rsidR="007E07D3" w:rsidRPr="00BF29A2" w:rsidRDefault="007E07D3" w:rsidP="007444DB">
            <w:pPr>
              <w:rPr>
                <w:rFonts w:cstheme="minorHAnsi"/>
                <w:sz w:val="24"/>
                <w:szCs w:val="24"/>
              </w:rPr>
            </w:pPr>
            <w:r w:rsidRPr="00BF29A2">
              <w:rPr>
                <w:rFonts w:cstheme="minorHAnsi"/>
                <w:sz w:val="24"/>
                <w:szCs w:val="24"/>
              </w:rPr>
              <w:t>Pollution intérieure</w:t>
            </w:r>
          </w:p>
        </w:tc>
        <w:tc>
          <w:tcPr>
            <w:tcW w:w="795" w:type="pct"/>
          </w:tcPr>
          <w:p w14:paraId="544004A3" w14:textId="77777777" w:rsidR="007E07D3" w:rsidRPr="00BF29A2" w:rsidRDefault="007E07D3" w:rsidP="007444DB">
            <w:pPr>
              <w:rPr>
                <w:rFonts w:cstheme="minorHAnsi"/>
                <w:sz w:val="24"/>
                <w:szCs w:val="24"/>
              </w:rPr>
            </w:pPr>
            <w:r w:rsidRPr="00BF29A2">
              <w:rPr>
                <w:rFonts w:cstheme="minorHAnsi"/>
                <w:sz w:val="24"/>
                <w:szCs w:val="24"/>
              </w:rPr>
              <w:t>Lavage des mains</w:t>
            </w:r>
          </w:p>
        </w:tc>
      </w:tr>
      <w:tr w:rsidR="007E07D3" w:rsidRPr="00BF29A2" w14:paraId="12C8BEF3" w14:textId="77777777" w:rsidTr="007444DB">
        <w:tc>
          <w:tcPr>
            <w:tcW w:w="802" w:type="pct"/>
          </w:tcPr>
          <w:p w14:paraId="67C7BDD2" w14:textId="77777777" w:rsidR="007E07D3" w:rsidRPr="00BF29A2" w:rsidRDefault="007E07D3" w:rsidP="007444DB">
            <w:pPr>
              <w:rPr>
                <w:rFonts w:cstheme="minorHAnsi"/>
                <w:b/>
                <w:i/>
                <w:sz w:val="24"/>
                <w:szCs w:val="24"/>
              </w:rPr>
            </w:pPr>
            <w:r w:rsidRPr="00BF29A2">
              <w:rPr>
                <w:rFonts w:cstheme="minorHAnsi"/>
                <w:b/>
                <w:i/>
                <w:sz w:val="24"/>
                <w:szCs w:val="24"/>
              </w:rPr>
              <w:t>15.52%</w:t>
            </w:r>
          </w:p>
        </w:tc>
        <w:tc>
          <w:tcPr>
            <w:tcW w:w="799" w:type="pct"/>
          </w:tcPr>
          <w:p w14:paraId="74CA193F" w14:textId="77777777" w:rsidR="007E07D3" w:rsidRPr="00BF29A2" w:rsidRDefault="007E07D3" w:rsidP="007444DB">
            <w:pPr>
              <w:rPr>
                <w:rFonts w:cstheme="minorHAnsi"/>
                <w:b/>
                <w:i/>
                <w:sz w:val="24"/>
                <w:szCs w:val="24"/>
              </w:rPr>
            </w:pPr>
            <w:r w:rsidRPr="00BF29A2">
              <w:rPr>
                <w:rFonts w:cstheme="minorHAnsi"/>
                <w:b/>
                <w:i/>
                <w:sz w:val="24"/>
                <w:szCs w:val="24"/>
              </w:rPr>
              <w:t>10.75%</w:t>
            </w:r>
          </w:p>
        </w:tc>
        <w:tc>
          <w:tcPr>
            <w:tcW w:w="807" w:type="pct"/>
          </w:tcPr>
          <w:p w14:paraId="08377EAD" w14:textId="77777777" w:rsidR="007E07D3" w:rsidRPr="00BF29A2" w:rsidRDefault="007E07D3" w:rsidP="007444DB">
            <w:pPr>
              <w:rPr>
                <w:rFonts w:cstheme="minorHAnsi"/>
                <w:b/>
                <w:i/>
                <w:sz w:val="24"/>
                <w:szCs w:val="24"/>
              </w:rPr>
            </w:pPr>
            <w:r w:rsidRPr="00BF29A2">
              <w:rPr>
                <w:rFonts w:cstheme="minorHAnsi"/>
                <w:b/>
                <w:i/>
                <w:sz w:val="24"/>
                <w:szCs w:val="24"/>
              </w:rPr>
              <w:t>8.8%</w:t>
            </w:r>
          </w:p>
        </w:tc>
        <w:tc>
          <w:tcPr>
            <w:tcW w:w="990" w:type="pct"/>
          </w:tcPr>
          <w:p w14:paraId="54035ED4" w14:textId="77777777" w:rsidR="007E07D3" w:rsidRPr="00BF29A2" w:rsidRDefault="007E07D3" w:rsidP="007444DB">
            <w:pPr>
              <w:rPr>
                <w:rFonts w:cstheme="minorHAnsi"/>
                <w:b/>
                <w:i/>
                <w:sz w:val="24"/>
                <w:szCs w:val="24"/>
              </w:rPr>
            </w:pPr>
            <w:r w:rsidRPr="00BF29A2">
              <w:rPr>
                <w:rFonts w:cstheme="minorHAnsi"/>
                <w:b/>
                <w:i/>
                <w:sz w:val="24"/>
                <w:szCs w:val="24"/>
              </w:rPr>
              <w:t>8.46%</w:t>
            </w:r>
          </w:p>
        </w:tc>
        <w:tc>
          <w:tcPr>
            <w:tcW w:w="807" w:type="pct"/>
          </w:tcPr>
          <w:p w14:paraId="2059DCC2" w14:textId="77777777" w:rsidR="007E07D3" w:rsidRPr="00BF29A2" w:rsidRDefault="007E07D3" w:rsidP="007444DB">
            <w:pPr>
              <w:rPr>
                <w:rFonts w:cstheme="minorHAnsi"/>
                <w:b/>
                <w:i/>
                <w:sz w:val="24"/>
                <w:szCs w:val="24"/>
              </w:rPr>
            </w:pPr>
            <w:r>
              <w:rPr>
                <w:rFonts w:cstheme="minorHAnsi"/>
                <w:b/>
                <w:i/>
                <w:sz w:val="24"/>
                <w:szCs w:val="24"/>
              </w:rPr>
              <w:t>7.62</w:t>
            </w:r>
            <w:r w:rsidRPr="00BF29A2">
              <w:rPr>
                <w:rFonts w:cstheme="minorHAnsi"/>
                <w:b/>
                <w:i/>
                <w:sz w:val="24"/>
                <w:szCs w:val="24"/>
              </w:rPr>
              <w:t>%</w:t>
            </w:r>
          </w:p>
        </w:tc>
        <w:tc>
          <w:tcPr>
            <w:tcW w:w="795" w:type="pct"/>
          </w:tcPr>
          <w:p w14:paraId="3276CDFA" w14:textId="77777777" w:rsidR="007E07D3" w:rsidRPr="00BF29A2" w:rsidRDefault="007E07D3" w:rsidP="007444DB">
            <w:pPr>
              <w:rPr>
                <w:rFonts w:cstheme="minorHAnsi"/>
                <w:b/>
                <w:i/>
                <w:sz w:val="24"/>
                <w:szCs w:val="24"/>
              </w:rPr>
            </w:pPr>
            <w:r w:rsidRPr="00BF29A2">
              <w:rPr>
                <w:rFonts w:cstheme="minorHAnsi"/>
                <w:b/>
                <w:i/>
                <w:sz w:val="24"/>
                <w:szCs w:val="24"/>
              </w:rPr>
              <w:t>7.03%</w:t>
            </w:r>
          </w:p>
        </w:tc>
      </w:tr>
    </w:tbl>
    <w:p w14:paraId="3A521C90" w14:textId="77777777" w:rsidR="007E07D3" w:rsidRPr="00BF29A2" w:rsidRDefault="007E07D3" w:rsidP="007E07D3">
      <w:pPr>
        <w:rPr>
          <w:rFonts w:cstheme="minorHAnsi"/>
          <w:b/>
          <w:i/>
          <w:sz w:val="24"/>
          <w:szCs w:val="24"/>
        </w:rPr>
      </w:pPr>
    </w:p>
    <w:tbl>
      <w:tblPr>
        <w:tblStyle w:val="Grilledutableau"/>
        <w:tblW w:w="5000" w:type="pct"/>
        <w:tblLook w:val="04A0" w:firstRow="1" w:lastRow="0" w:firstColumn="1" w:lastColumn="0" w:noHBand="0" w:noVBand="1"/>
      </w:tblPr>
      <w:tblGrid>
        <w:gridCol w:w="1478"/>
        <w:gridCol w:w="1479"/>
        <w:gridCol w:w="1479"/>
        <w:gridCol w:w="1479"/>
        <w:gridCol w:w="1477"/>
        <w:gridCol w:w="1668"/>
      </w:tblGrid>
      <w:tr w:rsidR="007E07D3" w:rsidRPr="00BF29A2" w14:paraId="25F5A9FE" w14:textId="77777777" w:rsidTr="007444DB">
        <w:tc>
          <w:tcPr>
            <w:tcW w:w="834" w:type="pct"/>
          </w:tcPr>
          <w:p w14:paraId="7B1E8132" w14:textId="77777777" w:rsidR="007E07D3" w:rsidRPr="00BF29A2" w:rsidRDefault="007E07D3" w:rsidP="007444DB">
            <w:pPr>
              <w:rPr>
                <w:rFonts w:cstheme="minorHAnsi"/>
                <w:sz w:val="24"/>
                <w:szCs w:val="24"/>
              </w:rPr>
            </w:pPr>
            <w:r>
              <w:rPr>
                <w:rFonts w:cstheme="minorHAnsi"/>
                <w:sz w:val="24"/>
                <w:szCs w:val="24"/>
              </w:rPr>
              <w:t>Petit</w:t>
            </w:r>
            <w:r w:rsidRPr="00BF29A2">
              <w:rPr>
                <w:rFonts w:cstheme="minorHAnsi"/>
                <w:sz w:val="24"/>
                <w:szCs w:val="24"/>
              </w:rPr>
              <w:t xml:space="preserve"> poids à la naissance</w:t>
            </w:r>
          </w:p>
        </w:tc>
        <w:tc>
          <w:tcPr>
            <w:tcW w:w="834" w:type="pct"/>
          </w:tcPr>
          <w:p w14:paraId="5C4F66E7" w14:textId="77777777" w:rsidR="007E07D3" w:rsidRPr="00BF29A2" w:rsidRDefault="007E07D3" w:rsidP="007444DB">
            <w:pPr>
              <w:rPr>
                <w:rFonts w:cstheme="minorHAnsi"/>
                <w:sz w:val="24"/>
                <w:szCs w:val="24"/>
              </w:rPr>
            </w:pPr>
            <w:r w:rsidRPr="00BF29A2">
              <w:rPr>
                <w:rFonts w:cstheme="minorHAnsi"/>
                <w:sz w:val="24"/>
                <w:szCs w:val="24"/>
              </w:rPr>
              <w:t>Insuffisance pondérale</w:t>
            </w:r>
          </w:p>
        </w:tc>
        <w:tc>
          <w:tcPr>
            <w:tcW w:w="834" w:type="pct"/>
          </w:tcPr>
          <w:p w14:paraId="6D2BA2FA" w14:textId="77777777" w:rsidR="007E07D3" w:rsidRPr="00BF29A2" w:rsidRDefault="007E07D3" w:rsidP="007444DB">
            <w:pPr>
              <w:rPr>
                <w:rFonts w:cstheme="minorHAnsi"/>
                <w:sz w:val="24"/>
                <w:szCs w:val="24"/>
              </w:rPr>
            </w:pPr>
            <w:r w:rsidRPr="00BF29A2">
              <w:rPr>
                <w:rFonts w:cstheme="minorHAnsi"/>
                <w:sz w:val="24"/>
                <w:szCs w:val="24"/>
              </w:rPr>
              <w:t>Pression sanguine élevée</w:t>
            </w:r>
          </w:p>
        </w:tc>
        <w:tc>
          <w:tcPr>
            <w:tcW w:w="834" w:type="pct"/>
          </w:tcPr>
          <w:p w14:paraId="3E1842B6" w14:textId="77777777" w:rsidR="007E07D3" w:rsidRPr="00BF29A2" w:rsidRDefault="007E07D3" w:rsidP="007444DB">
            <w:pPr>
              <w:rPr>
                <w:rFonts w:cstheme="minorHAnsi"/>
                <w:sz w:val="24"/>
                <w:szCs w:val="24"/>
              </w:rPr>
            </w:pPr>
            <w:r w:rsidRPr="00BF29A2">
              <w:rPr>
                <w:rFonts w:cstheme="minorHAnsi"/>
                <w:sz w:val="24"/>
                <w:szCs w:val="24"/>
              </w:rPr>
              <w:t>Déficience en Vitamine A</w:t>
            </w:r>
          </w:p>
        </w:tc>
        <w:tc>
          <w:tcPr>
            <w:tcW w:w="833" w:type="pct"/>
          </w:tcPr>
          <w:p w14:paraId="43C41D8E" w14:textId="77777777" w:rsidR="007E07D3" w:rsidRPr="00BF29A2" w:rsidRDefault="007E07D3" w:rsidP="007444DB">
            <w:pPr>
              <w:rPr>
                <w:rFonts w:cstheme="minorHAnsi"/>
                <w:sz w:val="24"/>
                <w:szCs w:val="24"/>
              </w:rPr>
            </w:pPr>
            <w:r w:rsidRPr="00BF29A2">
              <w:rPr>
                <w:rFonts w:cstheme="minorHAnsi"/>
                <w:sz w:val="24"/>
                <w:szCs w:val="24"/>
              </w:rPr>
              <w:t>Retard de croissance des enfants</w:t>
            </w:r>
          </w:p>
        </w:tc>
        <w:tc>
          <w:tcPr>
            <w:tcW w:w="833" w:type="pct"/>
          </w:tcPr>
          <w:p w14:paraId="55AE9778" w14:textId="77777777" w:rsidR="007E07D3" w:rsidRPr="00BF29A2" w:rsidRDefault="003C297D" w:rsidP="007444DB">
            <w:pPr>
              <w:rPr>
                <w:rFonts w:cstheme="minorHAnsi"/>
                <w:sz w:val="24"/>
                <w:szCs w:val="24"/>
              </w:rPr>
            </w:pPr>
            <w:r>
              <w:rPr>
                <w:rFonts w:cstheme="minorHAnsi"/>
                <w:sz w:val="24"/>
                <w:szCs w:val="24"/>
              </w:rPr>
              <w:t>Hyperg</w:t>
            </w:r>
            <w:r w:rsidR="007E07D3" w:rsidRPr="00BF29A2">
              <w:rPr>
                <w:rFonts w:cstheme="minorHAnsi"/>
                <w:sz w:val="24"/>
                <w:szCs w:val="24"/>
              </w:rPr>
              <w:t>lycémie</w:t>
            </w:r>
          </w:p>
        </w:tc>
      </w:tr>
      <w:tr w:rsidR="007E07D3" w:rsidRPr="00BF29A2" w14:paraId="0FC5D021" w14:textId="77777777" w:rsidTr="007444DB">
        <w:tc>
          <w:tcPr>
            <w:tcW w:w="834" w:type="pct"/>
          </w:tcPr>
          <w:p w14:paraId="5C872F1E" w14:textId="77777777" w:rsidR="007E07D3" w:rsidRPr="00BF29A2" w:rsidRDefault="007E07D3" w:rsidP="007444DB">
            <w:pPr>
              <w:rPr>
                <w:rFonts w:cstheme="minorHAnsi"/>
                <w:b/>
                <w:i/>
                <w:sz w:val="24"/>
                <w:szCs w:val="24"/>
              </w:rPr>
            </w:pPr>
            <w:r w:rsidRPr="00BF29A2">
              <w:rPr>
                <w:rFonts w:cstheme="minorHAnsi"/>
                <w:b/>
                <w:i/>
                <w:sz w:val="24"/>
                <w:szCs w:val="24"/>
              </w:rPr>
              <w:t>6.247%</w:t>
            </w:r>
          </w:p>
        </w:tc>
        <w:tc>
          <w:tcPr>
            <w:tcW w:w="834" w:type="pct"/>
          </w:tcPr>
          <w:p w14:paraId="4927746E" w14:textId="77777777" w:rsidR="007E07D3" w:rsidRPr="00BF29A2" w:rsidRDefault="007E07D3" w:rsidP="007444DB">
            <w:pPr>
              <w:rPr>
                <w:rFonts w:cstheme="minorHAnsi"/>
                <w:b/>
                <w:i/>
                <w:sz w:val="24"/>
                <w:szCs w:val="24"/>
              </w:rPr>
            </w:pPr>
            <w:r w:rsidRPr="00BF29A2">
              <w:rPr>
                <w:rFonts w:cstheme="minorHAnsi"/>
                <w:b/>
                <w:i/>
                <w:sz w:val="24"/>
                <w:szCs w:val="24"/>
              </w:rPr>
              <w:t>5.34%</w:t>
            </w:r>
          </w:p>
        </w:tc>
        <w:tc>
          <w:tcPr>
            <w:tcW w:w="834" w:type="pct"/>
          </w:tcPr>
          <w:p w14:paraId="09AA7455" w14:textId="77777777" w:rsidR="007E07D3" w:rsidRPr="00BF29A2" w:rsidRDefault="007E07D3" w:rsidP="007444DB">
            <w:pPr>
              <w:rPr>
                <w:rFonts w:cstheme="minorHAnsi"/>
                <w:b/>
                <w:i/>
                <w:sz w:val="24"/>
                <w:szCs w:val="24"/>
              </w:rPr>
            </w:pPr>
            <w:r w:rsidRPr="00BF29A2">
              <w:rPr>
                <w:rFonts w:cstheme="minorHAnsi"/>
                <w:b/>
                <w:i/>
                <w:sz w:val="24"/>
                <w:szCs w:val="24"/>
              </w:rPr>
              <w:t>5%</w:t>
            </w:r>
          </w:p>
        </w:tc>
        <w:tc>
          <w:tcPr>
            <w:tcW w:w="834" w:type="pct"/>
          </w:tcPr>
          <w:p w14:paraId="6B3DA895" w14:textId="77777777" w:rsidR="007E07D3" w:rsidRPr="00BF29A2" w:rsidRDefault="007E07D3" w:rsidP="007444DB">
            <w:pPr>
              <w:rPr>
                <w:rFonts w:cstheme="minorHAnsi"/>
                <w:b/>
                <w:i/>
                <w:sz w:val="24"/>
                <w:szCs w:val="24"/>
              </w:rPr>
            </w:pPr>
            <w:r w:rsidRPr="00BF29A2">
              <w:rPr>
                <w:rFonts w:cstheme="minorHAnsi"/>
                <w:b/>
                <w:i/>
                <w:sz w:val="24"/>
                <w:szCs w:val="24"/>
              </w:rPr>
              <w:t>4.2%</w:t>
            </w:r>
          </w:p>
        </w:tc>
        <w:tc>
          <w:tcPr>
            <w:tcW w:w="833" w:type="pct"/>
          </w:tcPr>
          <w:p w14:paraId="377955D0" w14:textId="77777777" w:rsidR="007E07D3" w:rsidRPr="00BF29A2" w:rsidRDefault="007E07D3" w:rsidP="007444DB">
            <w:pPr>
              <w:rPr>
                <w:rFonts w:cstheme="minorHAnsi"/>
                <w:b/>
                <w:i/>
                <w:sz w:val="24"/>
                <w:szCs w:val="24"/>
              </w:rPr>
            </w:pPr>
            <w:r w:rsidRPr="00BF29A2">
              <w:rPr>
                <w:rFonts w:cstheme="minorHAnsi"/>
                <w:b/>
                <w:i/>
                <w:sz w:val="24"/>
                <w:szCs w:val="24"/>
              </w:rPr>
              <w:t>3.94%</w:t>
            </w:r>
          </w:p>
        </w:tc>
        <w:tc>
          <w:tcPr>
            <w:tcW w:w="833" w:type="pct"/>
          </w:tcPr>
          <w:p w14:paraId="44DDE5CD" w14:textId="77777777" w:rsidR="007E07D3" w:rsidRPr="00BF29A2" w:rsidRDefault="007E07D3" w:rsidP="007444DB">
            <w:pPr>
              <w:rPr>
                <w:rFonts w:cstheme="minorHAnsi"/>
                <w:b/>
                <w:i/>
                <w:sz w:val="24"/>
                <w:szCs w:val="24"/>
              </w:rPr>
            </w:pPr>
            <w:r w:rsidRPr="00BF29A2">
              <w:rPr>
                <w:rFonts w:cstheme="minorHAnsi"/>
                <w:b/>
                <w:i/>
                <w:sz w:val="24"/>
                <w:szCs w:val="24"/>
              </w:rPr>
              <w:t>3.495%</w:t>
            </w:r>
          </w:p>
        </w:tc>
      </w:tr>
    </w:tbl>
    <w:p w14:paraId="32CE2F9F" w14:textId="77777777" w:rsidR="007E07D3" w:rsidRDefault="007E07D3" w:rsidP="007E07D3">
      <w:pPr>
        <w:rPr>
          <w:rFonts w:cstheme="minorHAnsi"/>
          <w:b/>
          <w:i/>
          <w:sz w:val="24"/>
          <w:szCs w:val="24"/>
        </w:rPr>
      </w:pPr>
    </w:p>
    <w:p w14:paraId="2B05B1FE" w14:textId="77777777" w:rsidR="007E07D3" w:rsidRPr="007E07D3" w:rsidRDefault="007E07D3" w:rsidP="007E07D3">
      <w:pPr>
        <w:rPr>
          <w:rFonts w:cstheme="minorHAnsi"/>
          <w:sz w:val="24"/>
          <w:szCs w:val="24"/>
        </w:rPr>
      </w:pPr>
      <w:r w:rsidRPr="007E07D3">
        <w:rPr>
          <w:rFonts w:cstheme="minorHAnsi"/>
          <w:sz w:val="24"/>
          <w:szCs w:val="24"/>
        </w:rPr>
        <w:t>Conséquemment, la présente stratégie CSU propose 3 axes stratégiques dédiés aux trois premières causes de la mauvaise santé de la population du Niger</w:t>
      </w:r>
      <w:r w:rsidR="000E6FB8">
        <w:rPr>
          <w:rStyle w:val="Appelnotedebasdep"/>
          <w:rFonts w:cstheme="minorHAnsi"/>
          <w:sz w:val="24"/>
          <w:szCs w:val="24"/>
        </w:rPr>
        <w:footnoteReference w:id="9"/>
      </w:r>
      <w:r w:rsidRPr="007E07D3">
        <w:rPr>
          <w:rFonts w:cstheme="minorHAnsi"/>
          <w:sz w:val="24"/>
          <w:szCs w:val="24"/>
        </w:rPr>
        <w:t>.</w:t>
      </w:r>
    </w:p>
    <w:p w14:paraId="148A1ED7" w14:textId="77777777" w:rsidR="007E07D3" w:rsidRPr="00BF29A2" w:rsidRDefault="007E07D3" w:rsidP="007E07D3">
      <w:pPr>
        <w:rPr>
          <w:rFonts w:cstheme="minorHAnsi"/>
          <w:b/>
          <w:i/>
          <w:sz w:val="24"/>
          <w:szCs w:val="24"/>
        </w:rPr>
      </w:pPr>
    </w:p>
    <w:p w14:paraId="11CDCF1D" w14:textId="77777777" w:rsidR="003F3FAC" w:rsidRDefault="00B85C9A" w:rsidP="00AD4430">
      <w:pPr>
        <w:pStyle w:val="Titre2"/>
      </w:pPr>
      <w:bookmarkStart w:id="15" w:name="_Toc21449017"/>
      <w:r>
        <w:t>Axe stratégique n°1 : a</w:t>
      </w:r>
      <w:r w:rsidR="0079394A">
        <w:t>mélioration de l’état nutritionnel</w:t>
      </w:r>
      <w:r w:rsidR="00AB1F76">
        <w:t xml:space="preserve"> de la population</w:t>
      </w:r>
      <w:bookmarkEnd w:id="15"/>
    </w:p>
    <w:p w14:paraId="1F8F3712" w14:textId="77777777" w:rsidR="00FB5FE3" w:rsidRDefault="00FB5FE3" w:rsidP="00FB5FE3"/>
    <w:p w14:paraId="54407578" w14:textId="77777777" w:rsidR="00FB5FE3" w:rsidRPr="009017E2" w:rsidRDefault="00FB5FE3" w:rsidP="00FB5FE3">
      <w:pPr>
        <w:rPr>
          <w:rFonts w:cstheme="minorHAnsi"/>
          <w:bCs/>
          <w:iCs/>
          <w:sz w:val="24"/>
          <w:szCs w:val="24"/>
        </w:rPr>
      </w:pPr>
      <w:r>
        <w:rPr>
          <w:rFonts w:cstheme="minorHAnsi"/>
          <w:bCs/>
          <w:iCs/>
          <w:sz w:val="24"/>
          <w:szCs w:val="24"/>
        </w:rPr>
        <w:t>Des niveaux de prévalence élevés (au-dessus des seuils d’alerte) persistent tant pour la malnutrition aigüe que la malnutrition chronique. Appliqués à une population en forte croissante, le nombre d’enfants affectés par la malnutrition augmente considérablement chaque année.</w:t>
      </w:r>
    </w:p>
    <w:p w14:paraId="47E764D2" w14:textId="77777777" w:rsidR="00FB5FE3" w:rsidRDefault="00FB5FE3" w:rsidP="00FB5FE3">
      <w:pPr>
        <w:rPr>
          <w:rFonts w:cstheme="minorHAnsi"/>
          <w:b/>
          <w:i/>
          <w:sz w:val="24"/>
          <w:szCs w:val="24"/>
        </w:rPr>
      </w:pPr>
      <w:r w:rsidRPr="00AE734B">
        <w:rPr>
          <w:rFonts w:cstheme="minorHAnsi"/>
          <w:noProof/>
          <w:sz w:val="20"/>
          <w:szCs w:val="20"/>
          <w:lang w:eastAsia="fr-FR"/>
        </w:rPr>
        <w:drawing>
          <wp:inline distT="0" distB="0" distL="0" distR="0" wp14:anchorId="05FD7BFC" wp14:editId="688A2293">
            <wp:extent cx="4972050" cy="2800350"/>
            <wp:effectExtent l="0" t="0" r="0" b="0"/>
            <wp:docPr id="36" name="Graphique 36">
              <a:extLst xmlns:a="http://schemas.openxmlformats.org/drawingml/2006/main">
                <a:ext uri="{FF2B5EF4-FFF2-40B4-BE49-F238E27FC236}">
                  <a16:creationId xmlns:a16="http://schemas.microsoft.com/office/drawing/2014/main" id="{6DFF0421-9144-47D7-9827-AA0F8A237B0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1313992B" w14:textId="77777777" w:rsidR="00FB5FE3" w:rsidRDefault="00FB5FE3" w:rsidP="002E3BE8">
      <w:pPr>
        <w:rPr>
          <w:rFonts w:cstheme="minorHAnsi"/>
          <w:bCs/>
          <w:iCs/>
          <w:sz w:val="24"/>
          <w:szCs w:val="24"/>
        </w:rPr>
      </w:pPr>
      <w:r>
        <w:rPr>
          <w:rFonts w:cstheme="minorHAnsi"/>
          <w:bCs/>
          <w:iCs/>
          <w:sz w:val="24"/>
          <w:szCs w:val="24"/>
        </w:rPr>
        <w:t xml:space="preserve">En plus des effets de la malnutrition sur l’état de santé, la morbidité et la mortalité, la malnutrition pèse lourdement sur le développement psycho moteur et cognitif des enfants. Enfin à l’échelle du pays cela représente un manque à gagner en termes de développement socioéconomique et de croissance. </w:t>
      </w:r>
    </w:p>
    <w:p w14:paraId="71E7C808" w14:textId="77777777" w:rsidR="00FB5FE3" w:rsidRDefault="00FB5FE3" w:rsidP="00FB5FE3">
      <w:pPr>
        <w:rPr>
          <w:rFonts w:cstheme="minorHAnsi"/>
          <w:sz w:val="24"/>
          <w:szCs w:val="24"/>
        </w:rPr>
      </w:pPr>
      <w:r>
        <w:rPr>
          <w:rFonts w:cstheme="minorHAnsi"/>
          <w:sz w:val="24"/>
          <w:szCs w:val="24"/>
        </w:rPr>
        <w:t>Conscient du défi que représente la nutrition, le Niger a souscrit à plusieurs engagements internationaux dans ce domaine, qui doivent également contribuer à l’ODD2. On peut noter en particulier les cibles de l’Assemblée Mondiale de la Santé à l’horizon 2025.</w:t>
      </w:r>
    </w:p>
    <w:p w14:paraId="63F1CAB3" w14:textId="77777777" w:rsidR="002E3BE8" w:rsidRPr="00CF6834" w:rsidRDefault="00FB5FE3" w:rsidP="00FB5FE3">
      <w:pPr>
        <w:rPr>
          <w:rFonts w:cstheme="minorHAnsi"/>
          <w:sz w:val="24"/>
          <w:szCs w:val="24"/>
        </w:rPr>
      </w:pPr>
      <w:r>
        <w:rPr>
          <w:rFonts w:cstheme="minorHAnsi"/>
          <w:sz w:val="24"/>
          <w:szCs w:val="24"/>
        </w:rPr>
        <w:t>Le Niger s’est aussi doté d’une Politique Nationale multisectorielle de Sécurité Nutritionnelle qui décline les interventions nécessaires dans une large gamme de secteurs (Productions, Education, Environnement, Protection Sociale, Réponses aux crises, Communication…) pour espérer améliorer durablement l’état nutritionnel de la population. Se</w:t>
      </w:r>
      <w:r w:rsidR="002E3BE8" w:rsidRPr="00CF6834">
        <w:rPr>
          <w:rFonts w:cstheme="minorHAnsi"/>
          <w:sz w:val="24"/>
          <w:szCs w:val="24"/>
        </w:rPr>
        <w:t xml:space="preserve">s objectifs stratégiques sont : </w:t>
      </w:r>
    </w:p>
    <w:p w14:paraId="4DFA0F2A" w14:textId="77777777" w:rsidR="002E3BE8" w:rsidRPr="00CF6834" w:rsidRDefault="002E3BE8" w:rsidP="002E3BE8">
      <w:pPr>
        <w:pStyle w:val="Paragraphedeliste"/>
        <w:numPr>
          <w:ilvl w:val="0"/>
          <w:numId w:val="29"/>
        </w:numPr>
        <w:jc w:val="both"/>
        <w:rPr>
          <w:rFonts w:cstheme="minorHAnsi"/>
          <w:sz w:val="24"/>
          <w:szCs w:val="24"/>
        </w:rPr>
      </w:pPr>
      <w:r w:rsidRPr="00CF6834">
        <w:rPr>
          <w:rFonts w:cstheme="minorHAnsi"/>
          <w:sz w:val="24"/>
          <w:szCs w:val="24"/>
        </w:rPr>
        <w:t xml:space="preserve">Mobiliser l’ensemble des secteurs et des acteurs nécessaires à </w:t>
      </w:r>
      <w:r w:rsidR="008566D6">
        <w:rPr>
          <w:rFonts w:cstheme="minorHAnsi"/>
          <w:sz w:val="24"/>
          <w:szCs w:val="24"/>
        </w:rPr>
        <w:t>la lutte contre la malnutrition ;</w:t>
      </w:r>
    </w:p>
    <w:p w14:paraId="0D24ABCE" w14:textId="77777777" w:rsidR="002E3BE8" w:rsidRPr="00CF6834" w:rsidRDefault="002E3BE8" w:rsidP="002E3BE8">
      <w:pPr>
        <w:pStyle w:val="Paragraphedeliste"/>
        <w:numPr>
          <w:ilvl w:val="0"/>
          <w:numId w:val="29"/>
        </w:numPr>
        <w:jc w:val="both"/>
        <w:rPr>
          <w:rFonts w:cstheme="minorHAnsi"/>
          <w:sz w:val="24"/>
          <w:szCs w:val="24"/>
        </w:rPr>
      </w:pPr>
      <w:r w:rsidRPr="00CF6834">
        <w:rPr>
          <w:rFonts w:cstheme="minorHAnsi"/>
          <w:sz w:val="24"/>
          <w:szCs w:val="24"/>
        </w:rPr>
        <w:t>Rendre effectives,  la coordination multisectorielle, la redevabilité des secteurs et acteurs</w:t>
      </w:r>
      <w:r w:rsidR="008566D6">
        <w:rPr>
          <w:rFonts w:cstheme="minorHAnsi"/>
          <w:sz w:val="24"/>
          <w:szCs w:val="24"/>
        </w:rPr>
        <w:t> ;</w:t>
      </w:r>
    </w:p>
    <w:p w14:paraId="52DFC6BE" w14:textId="77777777" w:rsidR="002E3BE8" w:rsidRPr="00CF6834" w:rsidRDefault="002E3BE8" w:rsidP="002E3BE8">
      <w:pPr>
        <w:pStyle w:val="Paragraphedeliste"/>
        <w:numPr>
          <w:ilvl w:val="0"/>
          <w:numId w:val="29"/>
        </w:numPr>
        <w:jc w:val="both"/>
        <w:rPr>
          <w:rFonts w:cstheme="minorHAnsi"/>
          <w:sz w:val="24"/>
          <w:szCs w:val="24"/>
        </w:rPr>
      </w:pPr>
      <w:r w:rsidRPr="00CF6834">
        <w:rPr>
          <w:rFonts w:cstheme="minorHAnsi"/>
          <w:sz w:val="24"/>
          <w:szCs w:val="24"/>
        </w:rPr>
        <w:t>Assurer la cohérence des interventions  ainsi que l’intégration de la nutrition dans tous les programmes de développement</w:t>
      </w:r>
      <w:r w:rsidR="008566D6">
        <w:rPr>
          <w:rFonts w:cstheme="minorHAnsi"/>
          <w:sz w:val="24"/>
          <w:szCs w:val="24"/>
        </w:rPr>
        <w:t> ;</w:t>
      </w:r>
      <w:r w:rsidRPr="00CF6834">
        <w:rPr>
          <w:rFonts w:cstheme="minorHAnsi"/>
          <w:sz w:val="24"/>
          <w:szCs w:val="24"/>
        </w:rPr>
        <w:t xml:space="preserve"> </w:t>
      </w:r>
    </w:p>
    <w:p w14:paraId="6DD836BF" w14:textId="77777777" w:rsidR="002E3BE8" w:rsidRPr="00CF6834" w:rsidRDefault="002E3BE8" w:rsidP="002E3BE8">
      <w:pPr>
        <w:pStyle w:val="Paragraphedeliste"/>
        <w:numPr>
          <w:ilvl w:val="0"/>
          <w:numId w:val="29"/>
        </w:numPr>
        <w:jc w:val="both"/>
        <w:rPr>
          <w:rFonts w:cstheme="minorHAnsi"/>
          <w:sz w:val="24"/>
          <w:szCs w:val="24"/>
        </w:rPr>
      </w:pPr>
      <w:r w:rsidRPr="00CF6834">
        <w:rPr>
          <w:rFonts w:cstheme="minorHAnsi"/>
          <w:sz w:val="24"/>
          <w:szCs w:val="24"/>
        </w:rPr>
        <w:t>Le renforcement de l’environnement institutionnel et du partenariat</w:t>
      </w:r>
      <w:r w:rsidR="008566D6">
        <w:rPr>
          <w:rFonts w:cstheme="minorHAnsi"/>
          <w:sz w:val="24"/>
          <w:szCs w:val="24"/>
        </w:rPr>
        <w:t> ;</w:t>
      </w:r>
    </w:p>
    <w:p w14:paraId="1AB9216B" w14:textId="77777777" w:rsidR="002E3BE8" w:rsidRPr="00CF6834" w:rsidRDefault="002E3BE8" w:rsidP="002E3BE8">
      <w:pPr>
        <w:pStyle w:val="Paragraphedeliste"/>
        <w:numPr>
          <w:ilvl w:val="0"/>
          <w:numId w:val="29"/>
        </w:numPr>
        <w:jc w:val="both"/>
        <w:rPr>
          <w:rFonts w:ascii="Times New Roman" w:hAnsi="Times New Roman" w:cs="Times New Roman"/>
          <w:sz w:val="24"/>
          <w:szCs w:val="24"/>
        </w:rPr>
      </w:pPr>
      <w:r w:rsidRPr="00CF6834">
        <w:rPr>
          <w:rFonts w:cstheme="minorHAnsi"/>
          <w:sz w:val="24"/>
          <w:szCs w:val="24"/>
        </w:rPr>
        <w:t>Favoriser l’engagement des décideurs, des PTF et des leaders d’opinion pour la sécurité nutritionnelle</w:t>
      </w:r>
      <w:r w:rsidR="008566D6">
        <w:rPr>
          <w:rFonts w:cstheme="minorHAnsi"/>
          <w:sz w:val="24"/>
          <w:szCs w:val="24"/>
        </w:rPr>
        <w:t>.</w:t>
      </w:r>
    </w:p>
    <w:p w14:paraId="4B43CC3A" w14:textId="77777777" w:rsidR="002E3BE8" w:rsidRPr="00CF6834" w:rsidRDefault="00CF6834" w:rsidP="002E3BE8">
      <w:pPr>
        <w:rPr>
          <w:rFonts w:cstheme="minorHAnsi"/>
          <w:sz w:val="24"/>
          <w:szCs w:val="24"/>
        </w:rPr>
      </w:pPr>
      <w:r>
        <w:rPr>
          <w:rFonts w:cstheme="minorHAnsi"/>
          <w:sz w:val="24"/>
          <w:szCs w:val="24"/>
        </w:rPr>
        <w:t xml:space="preserve">La </w:t>
      </w:r>
      <w:r w:rsidR="002E3BE8" w:rsidRPr="00CF6834">
        <w:rPr>
          <w:rFonts w:cstheme="minorHAnsi"/>
          <w:sz w:val="24"/>
          <w:szCs w:val="24"/>
        </w:rPr>
        <w:t xml:space="preserve">nutrition </w:t>
      </w:r>
      <w:r>
        <w:rPr>
          <w:rFonts w:cstheme="minorHAnsi"/>
          <w:sz w:val="24"/>
          <w:szCs w:val="24"/>
        </w:rPr>
        <w:t>doit devenir</w:t>
      </w:r>
      <w:r w:rsidR="002E3BE8" w:rsidRPr="00CF6834">
        <w:rPr>
          <w:rFonts w:cstheme="minorHAnsi"/>
          <w:sz w:val="24"/>
          <w:szCs w:val="24"/>
        </w:rPr>
        <w:t xml:space="preserve"> une priorité et </w:t>
      </w:r>
      <w:r>
        <w:rPr>
          <w:rFonts w:cstheme="minorHAnsi"/>
          <w:sz w:val="24"/>
          <w:szCs w:val="24"/>
        </w:rPr>
        <w:t>être</w:t>
      </w:r>
      <w:r w:rsidR="002E3BE8" w:rsidRPr="00CF6834">
        <w:rPr>
          <w:rFonts w:cstheme="minorHAnsi"/>
          <w:sz w:val="24"/>
          <w:szCs w:val="24"/>
        </w:rPr>
        <w:t xml:space="preserve"> positionnée au plus haut niveau par les leaders politiques. Alors les décideurs et les donateurs utiliseront le savoir et les évidences scientifiques récents, suivront le cadre de résultats de la PNSN, et seront en mesure de mobiliser un financement adéquat. Il est également nécessaire que les fournisseurs de services et les </w:t>
      </w:r>
      <w:r w:rsidR="00FB5FE3">
        <w:rPr>
          <w:rFonts w:cstheme="minorHAnsi"/>
          <w:sz w:val="24"/>
          <w:szCs w:val="24"/>
        </w:rPr>
        <w:t>responsables</w:t>
      </w:r>
      <w:r w:rsidR="002E3BE8" w:rsidRPr="00CF6834">
        <w:rPr>
          <w:rFonts w:cstheme="minorHAnsi"/>
          <w:sz w:val="24"/>
          <w:szCs w:val="24"/>
        </w:rPr>
        <w:t xml:space="preserve"> so</w:t>
      </w:r>
      <w:r>
        <w:rPr>
          <w:rFonts w:cstheme="minorHAnsi"/>
          <w:sz w:val="24"/>
          <w:szCs w:val="24"/>
        </w:rPr>
        <w:t>ie</w:t>
      </w:r>
      <w:r w:rsidR="002E3BE8" w:rsidRPr="00CF6834">
        <w:rPr>
          <w:rFonts w:cstheme="minorHAnsi"/>
          <w:sz w:val="24"/>
          <w:szCs w:val="24"/>
        </w:rPr>
        <w:t>nt motivés et utilisent les connaissances et les compétences acquises pour mettre en œuvre et gérer des interventions nutritionnelles. Enfin il faut que tous les secteurs : EHA, agriculture</w:t>
      </w:r>
      <w:r>
        <w:rPr>
          <w:rFonts w:cstheme="minorHAnsi"/>
          <w:sz w:val="24"/>
          <w:szCs w:val="24"/>
        </w:rPr>
        <w:t xml:space="preserve"> </w:t>
      </w:r>
      <w:r w:rsidR="002E3BE8" w:rsidRPr="00CF6834">
        <w:rPr>
          <w:rFonts w:cstheme="minorHAnsi"/>
          <w:sz w:val="24"/>
          <w:szCs w:val="24"/>
        </w:rPr>
        <w:t>/</w:t>
      </w:r>
      <w:r>
        <w:rPr>
          <w:rFonts w:cstheme="minorHAnsi"/>
          <w:sz w:val="24"/>
          <w:szCs w:val="24"/>
        </w:rPr>
        <w:t xml:space="preserve"> </w:t>
      </w:r>
      <w:r w:rsidR="002E3BE8" w:rsidRPr="00CF6834">
        <w:rPr>
          <w:rFonts w:cstheme="minorHAnsi"/>
          <w:sz w:val="24"/>
          <w:szCs w:val="24"/>
        </w:rPr>
        <w:t>élevage</w:t>
      </w:r>
      <w:r>
        <w:rPr>
          <w:rFonts w:cstheme="minorHAnsi"/>
          <w:sz w:val="24"/>
          <w:szCs w:val="24"/>
        </w:rPr>
        <w:t xml:space="preserve"> </w:t>
      </w:r>
      <w:r w:rsidR="002E3BE8" w:rsidRPr="00CF6834">
        <w:rPr>
          <w:rFonts w:cstheme="minorHAnsi"/>
          <w:sz w:val="24"/>
          <w:szCs w:val="24"/>
        </w:rPr>
        <w:t>/</w:t>
      </w:r>
      <w:r>
        <w:rPr>
          <w:rFonts w:cstheme="minorHAnsi"/>
          <w:sz w:val="24"/>
          <w:szCs w:val="24"/>
        </w:rPr>
        <w:t xml:space="preserve"> </w:t>
      </w:r>
      <w:r w:rsidR="002E3BE8" w:rsidRPr="00CF6834">
        <w:rPr>
          <w:rFonts w:cstheme="minorHAnsi"/>
          <w:sz w:val="24"/>
          <w:szCs w:val="24"/>
        </w:rPr>
        <w:t xml:space="preserve">pêche, éducation, protection sociale et santé aient des ressources et des capacités suffisantes (infrastructures, systèmes et ressources humaines) pour mener à bien les interventions propres à leur mandat, et qui peuvent être complétés par des interventions sensibles à la nutrition de la PNSN. </w:t>
      </w:r>
    </w:p>
    <w:p w14:paraId="02FEBC6B" w14:textId="77777777" w:rsidR="002E3BE8" w:rsidRPr="00CF6834" w:rsidRDefault="002E3BE8" w:rsidP="002E3BE8">
      <w:pPr>
        <w:rPr>
          <w:rFonts w:cstheme="minorHAnsi"/>
          <w:sz w:val="24"/>
          <w:szCs w:val="24"/>
        </w:rPr>
      </w:pPr>
      <w:r w:rsidRPr="00CF6834">
        <w:rPr>
          <w:rFonts w:cstheme="minorHAnsi"/>
          <w:sz w:val="24"/>
          <w:szCs w:val="24"/>
        </w:rPr>
        <w:t>Sur le plan opérationnel, la stratégie doit se déployer notamment par :</w:t>
      </w:r>
    </w:p>
    <w:p w14:paraId="018F0534" w14:textId="77777777" w:rsidR="002E3BE8" w:rsidRDefault="002E3BE8" w:rsidP="002E3BE8">
      <w:pPr>
        <w:pStyle w:val="Paragraphedeliste"/>
        <w:numPr>
          <w:ilvl w:val="0"/>
          <w:numId w:val="29"/>
        </w:numPr>
        <w:rPr>
          <w:rFonts w:cstheme="minorHAnsi"/>
          <w:sz w:val="24"/>
          <w:szCs w:val="24"/>
        </w:rPr>
      </w:pPr>
      <w:r w:rsidRPr="00CF6834">
        <w:rPr>
          <w:rFonts w:cstheme="minorHAnsi"/>
          <w:sz w:val="24"/>
          <w:szCs w:val="24"/>
        </w:rPr>
        <w:t>La participation  de la communauté, des leaders d'opinion et des individus par l’utilisation des  informations acquises pour assurer des changements positifs dans les normes sociales non optimales qui sont directement ou indirectement liées à la nutrition (par exemple, l'autonomisation des femmes, le mariage des enfants, la planification familiale).</w:t>
      </w:r>
    </w:p>
    <w:p w14:paraId="66C75570" w14:textId="77777777" w:rsidR="00CF6834" w:rsidRPr="00CF6834" w:rsidRDefault="00CF6834" w:rsidP="00CF6834">
      <w:pPr>
        <w:pStyle w:val="Paragraphedeliste"/>
        <w:ind w:left="1080"/>
        <w:rPr>
          <w:rFonts w:cstheme="minorHAnsi"/>
          <w:sz w:val="24"/>
          <w:szCs w:val="24"/>
        </w:rPr>
      </w:pPr>
    </w:p>
    <w:p w14:paraId="08258759" w14:textId="77777777" w:rsidR="002E3BE8" w:rsidRPr="00CF6834" w:rsidRDefault="002E3BE8" w:rsidP="002E3BE8">
      <w:pPr>
        <w:pStyle w:val="Paragraphedeliste"/>
        <w:numPr>
          <w:ilvl w:val="0"/>
          <w:numId w:val="29"/>
        </w:numPr>
        <w:rPr>
          <w:rFonts w:cstheme="minorHAnsi"/>
          <w:sz w:val="24"/>
          <w:szCs w:val="24"/>
        </w:rPr>
      </w:pPr>
      <w:r w:rsidRPr="00CF6834">
        <w:rPr>
          <w:rFonts w:cstheme="minorHAnsi"/>
          <w:sz w:val="24"/>
          <w:szCs w:val="24"/>
        </w:rPr>
        <w:t>La mise à l’échelle des interventions à impact prouvé sur la nutrition :</w:t>
      </w:r>
    </w:p>
    <w:p w14:paraId="22C603A7" w14:textId="77777777" w:rsidR="002E3BE8" w:rsidRPr="00CF6834" w:rsidRDefault="002E3BE8" w:rsidP="002E3BE8">
      <w:pPr>
        <w:pStyle w:val="Paragraphedeliste"/>
        <w:numPr>
          <w:ilvl w:val="1"/>
          <w:numId w:val="29"/>
        </w:numPr>
        <w:rPr>
          <w:rFonts w:cstheme="minorHAnsi"/>
          <w:sz w:val="24"/>
          <w:szCs w:val="24"/>
        </w:rPr>
      </w:pPr>
      <w:r w:rsidRPr="00CF6834">
        <w:rPr>
          <w:rFonts w:cstheme="minorHAnsi"/>
          <w:sz w:val="24"/>
          <w:szCs w:val="24"/>
        </w:rPr>
        <w:t>Nutrition maternelle optimale pendant la grossesse</w:t>
      </w:r>
    </w:p>
    <w:p w14:paraId="2186D87D" w14:textId="77777777" w:rsidR="002E3BE8" w:rsidRPr="00CF6834" w:rsidRDefault="002E3BE8" w:rsidP="002E3BE8">
      <w:pPr>
        <w:pStyle w:val="Paragraphedeliste"/>
        <w:numPr>
          <w:ilvl w:val="1"/>
          <w:numId w:val="29"/>
        </w:numPr>
        <w:rPr>
          <w:rFonts w:cstheme="minorHAnsi"/>
          <w:sz w:val="24"/>
          <w:szCs w:val="24"/>
        </w:rPr>
      </w:pPr>
      <w:r w:rsidRPr="00CF6834">
        <w:rPr>
          <w:rFonts w:cstheme="minorHAnsi"/>
          <w:sz w:val="24"/>
          <w:szCs w:val="24"/>
        </w:rPr>
        <w:t xml:space="preserve">Alimentation du nourrisson et du jeune enfant </w:t>
      </w:r>
    </w:p>
    <w:p w14:paraId="4D2BFD70" w14:textId="77777777" w:rsidR="002E3BE8" w:rsidRPr="00CF6834" w:rsidRDefault="002E3BE8" w:rsidP="002E3BE8">
      <w:pPr>
        <w:pStyle w:val="Paragraphedeliste"/>
        <w:numPr>
          <w:ilvl w:val="1"/>
          <w:numId w:val="29"/>
        </w:numPr>
        <w:rPr>
          <w:rFonts w:cstheme="minorHAnsi"/>
          <w:sz w:val="24"/>
          <w:szCs w:val="24"/>
        </w:rPr>
      </w:pPr>
      <w:r w:rsidRPr="00CF6834">
        <w:rPr>
          <w:rFonts w:cstheme="minorHAnsi"/>
          <w:sz w:val="24"/>
          <w:szCs w:val="24"/>
        </w:rPr>
        <w:t>Supplémentation en Micronutriment</w:t>
      </w:r>
      <w:r w:rsidR="009301E7">
        <w:rPr>
          <w:rFonts w:cstheme="minorHAnsi"/>
          <w:sz w:val="24"/>
          <w:szCs w:val="24"/>
        </w:rPr>
        <w:t>s</w:t>
      </w:r>
      <w:r w:rsidR="000E6FB8">
        <w:rPr>
          <w:rFonts w:cstheme="minorHAnsi"/>
          <w:sz w:val="24"/>
          <w:szCs w:val="24"/>
        </w:rPr>
        <w:t xml:space="preserve"> pour les enfants à</w:t>
      </w:r>
      <w:r w:rsidRPr="00CF6834">
        <w:rPr>
          <w:rFonts w:cstheme="minorHAnsi"/>
          <w:sz w:val="24"/>
          <w:szCs w:val="24"/>
        </w:rPr>
        <w:t xml:space="preserve"> risque</w:t>
      </w:r>
    </w:p>
    <w:p w14:paraId="2BA69D36" w14:textId="77777777" w:rsidR="002E3BE8" w:rsidRPr="00CF6834" w:rsidRDefault="002E3BE8" w:rsidP="002E3BE8">
      <w:pPr>
        <w:pStyle w:val="Paragraphedeliste"/>
        <w:numPr>
          <w:ilvl w:val="1"/>
          <w:numId w:val="29"/>
        </w:numPr>
        <w:rPr>
          <w:rFonts w:cstheme="minorHAnsi"/>
          <w:sz w:val="24"/>
          <w:szCs w:val="24"/>
        </w:rPr>
      </w:pPr>
      <w:r w:rsidRPr="00CF6834">
        <w:rPr>
          <w:rFonts w:cstheme="minorHAnsi"/>
          <w:sz w:val="24"/>
          <w:szCs w:val="24"/>
        </w:rPr>
        <w:t xml:space="preserve">Prise en charge </w:t>
      </w:r>
      <w:r w:rsidR="000E6FB8">
        <w:rPr>
          <w:rFonts w:cstheme="minorHAnsi"/>
          <w:sz w:val="24"/>
          <w:szCs w:val="24"/>
        </w:rPr>
        <w:t>Intégrée de la Malnutrition aigü</w:t>
      </w:r>
      <w:r w:rsidRPr="00CF6834">
        <w:rPr>
          <w:rFonts w:cstheme="minorHAnsi"/>
          <w:sz w:val="24"/>
          <w:szCs w:val="24"/>
        </w:rPr>
        <w:t xml:space="preserve">e </w:t>
      </w:r>
    </w:p>
    <w:p w14:paraId="31E9ED32" w14:textId="77777777" w:rsidR="00515C25" w:rsidRDefault="002E3BE8" w:rsidP="002E3BE8">
      <w:pPr>
        <w:pStyle w:val="Paragraphedeliste"/>
        <w:numPr>
          <w:ilvl w:val="1"/>
          <w:numId w:val="29"/>
        </w:numPr>
        <w:rPr>
          <w:rFonts w:cstheme="minorHAnsi"/>
          <w:sz w:val="24"/>
          <w:szCs w:val="24"/>
        </w:rPr>
      </w:pPr>
      <w:r w:rsidRPr="00CF6834">
        <w:rPr>
          <w:rFonts w:cstheme="minorHAnsi"/>
          <w:sz w:val="24"/>
          <w:szCs w:val="24"/>
        </w:rPr>
        <w:t>Prise en charge de la malnutrition aigüe sévère</w:t>
      </w:r>
    </w:p>
    <w:p w14:paraId="763D6310" w14:textId="77777777" w:rsidR="00FB5FE3" w:rsidRPr="00FB5FE3" w:rsidRDefault="00FB5FE3" w:rsidP="00FB5FE3">
      <w:pPr>
        <w:rPr>
          <w:rFonts w:cstheme="minorHAnsi"/>
          <w:sz w:val="24"/>
          <w:szCs w:val="24"/>
        </w:rPr>
      </w:pPr>
      <w:r>
        <w:rPr>
          <w:rFonts w:cstheme="minorHAnsi"/>
          <w:sz w:val="24"/>
          <w:szCs w:val="24"/>
        </w:rPr>
        <w:t>Tout ceci ne pourra être réalisé qu’avec un effort budgétaire dédié à la hauteur de l’engagement manifesté.</w:t>
      </w:r>
    </w:p>
    <w:p w14:paraId="2C0E5D17" w14:textId="77777777" w:rsidR="00012D78" w:rsidRDefault="00012D78">
      <w:pPr>
        <w:rPr>
          <w:rFonts w:asciiTheme="majorHAnsi" w:eastAsiaTheme="majorEastAsia" w:hAnsiTheme="majorHAnsi" w:cstheme="majorBidi"/>
          <w:b/>
          <w:bCs/>
          <w:color w:val="4F81BD" w:themeColor="accent1"/>
          <w:sz w:val="26"/>
          <w:szCs w:val="26"/>
        </w:rPr>
      </w:pPr>
      <w:r>
        <w:br w:type="page"/>
      </w:r>
    </w:p>
    <w:p w14:paraId="3E1613FF" w14:textId="77777777" w:rsidR="00093848" w:rsidRPr="00AD4430" w:rsidRDefault="00FB412A" w:rsidP="00AD4430">
      <w:pPr>
        <w:pStyle w:val="Titre2"/>
        <w:rPr>
          <w:rStyle w:val="Titre2Car"/>
          <w:b/>
          <w:bCs/>
        </w:rPr>
      </w:pPr>
      <w:bookmarkStart w:id="16" w:name="_Toc21449018"/>
      <w:r w:rsidRPr="00AD4430">
        <w:t xml:space="preserve">Axe stratégique n°2 : </w:t>
      </w:r>
      <w:r w:rsidR="00093848" w:rsidRPr="00AD4430">
        <w:t xml:space="preserve">Amélioration de l'accès à l’eau potable, à l’hygiène et à </w:t>
      </w:r>
      <w:r w:rsidR="00093848" w:rsidRPr="00AD4430">
        <w:rPr>
          <w:rStyle w:val="Titre2Car"/>
          <w:b/>
          <w:bCs/>
        </w:rPr>
        <w:t>l’assainissement</w:t>
      </w:r>
      <w:bookmarkEnd w:id="16"/>
    </w:p>
    <w:p w14:paraId="7009F2E7" w14:textId="77777777" w:rsidR="00093848" w:rsidRPr="00122B15" w:rsidRDefault="00093848" w:rsidP="00093848">
      <w:pPr>
        <w:rPr>
          <w:rFonts w:cstheme="minorHAnsi"/>
          <w:sz w:val="24"/>
          <w:szCs w:val="24"/>
        </w:rPr>
      </w:pPr>
      <w:r w:rsidRPr="00122B15">
        <w:rPr>
          <w:rFonts w:cstheme="minorHAnsi"/>
          <w:sz w:val="24"/>
          <w:szCs w:val="24"/>
        </w:rPr>
        <w:t>Les objectifs spécifiques du secteur sont largement des cibles chiffrées et les ambitions suivantes sont reten</w:t>
      </w:r>
      <w:r w:rsidR="00FB412A" w:rsidRPr="00122B15">
        <w:rPr>
          <w:rFonts w:cstheme="minorHAnsi"/>
          <w:sz w:val="24"/>
          <w:szCs w:val="24"/>
        </w:rPr>
        <w:t>ues dans le cadre de l’ODD n°6. Pour opérationnaliser la mise en œuvre des activités du Programme Sectoriel, Eau, Hygiène et Assainissement (PROSEHA-2016-2030), le MH/A doit matérialiser les sous-programmes constituant le PROSEHA à travers leurs objectifs opérationnels.</w:t>
      </w:r>
    </w:p>
    <w:p w14:paraId="48B87CE1" w14:textId="77777777" w:rsidR="00FB412A" w:rsidRPr="00122B15" w:rsidRDefault="00093848" w:rsidP="00FB412A">
      <w:pPr>
        <w:pStyle w:val="Sansinterligne"/>
        <w:numPr>
          <w:ilvl w:val="0"/>
          <w:numId w:val="29"/>
        </w:numPr>
        <w:ind w:left="426" w:hanging="426"/>
        <w:rPr>
          <w:rFonts w:cstheme="minorHAnsi"/>
          <w:sz w:val="24"/>
          <w:szCs w:val="24"/>
        </w:rPr>
      </w:pPr>
      <w:r w:rsidRPr="00122B15">
        <w:rPr>
          <w:rFonts w:cstheme="minorHAnsi"/>
          <w:sz w:val="24"/>
          <w:szCs w:val="24"/>
        </w:rPr>
        <w:t>A l’horizon 2030, assurer l’accès universel et équitable à l’eau potable, à un coût abordable (ODD Cible 6.1 : Sous-programme Alimentation en Eau Potable)</w:t>
      </w:r>
    </w:p>
    <w:p w14:paraId="689BB268" w14:textId="77777777" w:rsidR="00FB412A" w:rsidRPr="00122B15" w:rsidRDefault="00FB412A" w:rsidP="00FB412A">
      <w:pPr>
        <w:pStyle w:val="Sansinterligne"/>
        <w:ind w:left="426" w:hanging="426"/>
        <w:rPr>
          <w:rFonts w:cstheme="minorHAnsi"/>
          <w:sz w:val="24"/>
          <w:szCs w:val="24"/>
        </w:rPr>
      </w:pPr>
    </w:p>
    <w:p w14:paraId="3818247C" w14:textId="77777777" w:rsidR="00FB412A" w:rsidRPr="00122B15" w:rsidRDefault="00FB412A" w:rsidP="00FB412A">
      <w:pPr>
        <w:pStyle w:val="Sansinterligne"/>
        <w:numPr>
          <w:ilvl w:val="0"/>
          <w:numId w:val="43"/>
        </w:numPr>
        <w:ind w:left="426" w:hanging="426"/>
        <w:rPr>
          <w:rFonts w:cstheme="minorHAnsi"/>
          <w:sz w:val="24"/>
          <w:szCs w:val="24"/>
        </w:rPr>
      </w:pPr>
      <w:r w:rsidRPr="00122B15">
        <w:rPr>
          <w:rFonts w:cstheme="minorHAnsi"/>
          <w:sz w:val="24"/>
          <w:szCs w:val="24"/>
        </w:rPr>
        <w:t xml:space="preserve"> Assurer l’accès universel et équitable à l’eau potable à un coût abordable en milieu rural.  </w:t>
      </w:r>
    </w:p>
    <w:p w14:paraId="113C87AF" w14:textId="77777777" w:rsidR="00FB412A" w:rsidRPr="00122B15" w:rsidRDefault="00FB412A" w:rsidP="00FB412A">
      <w:pPr>
        <w:pStyle w:val="Sansinterligne"/>
        <w:numPr>
          <w:ilvl w:val="0"/>
          <w:numId w:val="43"/>
        </w:numPr>
        <w:ind w:left="426" w:hanging="426"/>
        <w:rPr>
          <w:rFonts w:cstheme="minorHAnsi"/>
          <w:sz w:val="24"/>
          <w:szCs w:val="24"/>
        </w:rPr>
      </w:pPr>
      <w:r w:rsidRPr="00122B15">
        <w:rPr>
          <w:rFonts w:cstheme="minorHAnsi"/>
          <w:sz w:val="24"/>
          <w:szCs w:val="24"/>
        </w:rPr>
        <w:t>Assurer l’accès universel à l’eau potable à un coût abordable en milieu urbain.</w:t>
      </w:r>
    </w:p>
    <w:p w14:paraId="5A2E07DC" w14:textId="77777777" w:rsidR="00FB412A" w:rsidRPr="00122B15" w:rsidRDefault="00FB412A" w:rsidP="00FB412A">
      <w:pPr>
        <w:pStyle w:val="Sansinterligne"/>
        <w:ind w:left="426" w:hanging="426"/>
        <w:rPr>
          <w:rFonts w:cstheme="minorHAnsi"/>
          <w:sz w:val="24"/>
          <w:szCs w:val="24"/>
        </w:rPr>
      </w:pPr>
    </w:p>
    <w:p w14:paraId="32F0611C" w14:textId="77777777" w:rsidR="00093848" w:rsidRPr="00122B15" w:rsidRDefault="00093848" w:rsidP="00FB412A">
      <w:pPr>
        <w:pStyle w:val="Sansinterligne"/>
        <w:numPr>
          <w:ilvl w:val="0"/>
          <w:numId w:val="29"/>
        </w:numPr>
        <w:ind w:left="426" w:hanging="426"/>
        <w:rPr>
          <w:rFonts w:cstheme="minorHAnsi"/>
          <w:sz w:val="24"/>
          <w:szCs w:val="24"/>
        </w:rPr>
      </w:pPr>
      <w:r w:rsidRPr="00122B15">
        <w:rPr>
          <w:rFonts w:cstheme="minorHAnsi"/>
          <w:sz w:val="24"/>
          <w:szCs w:val="24"/>
        </w:rPr>
        <w:t>A l’horizon 2030, assurer l’accès de tous, dans des conditions équitables, à des services d’assainissement et d’hygiène adéquats, mettre fin à la défécation en plein air, en accordant une attention particulière aux besoins des femmes et des filles et des personnes en situation vulnérable et réduire de moitié la proportion d’eaux usées non traitées (ODD Cible 6.2 : Sous-programme Hygiène et Assainissement).</w:t>
      </w:r>
    </w:p>
    <w:p w14:paraId="4ACA2F03" w14:textId="77777777" w:rsidR="00FB412A" w:rsidRPr="00122B15" w:rsidRDefault="00FB412A" w:rsidP="00FB412A">
      <w:pPr>
        <w:pStyle w:val="Sansinterligne"/>
        <w:ind w:left="426" w:hanging="426"/>
        <w:rPr>
          <w:rFonts w:cstheme="minorHAnsi"/>
          <w:sz w:val="24"/>
          <w:szCs w:val="24"/>
        </w:rPr>
      </w:pPr>
    </w:p>
    <w:p w14:paraId="497A56A3" w14:textId="77777777" w:rsidR="00FB412A" w:rsidRPr="00122B15" w:rsidRDefault="00FB412A" w:rsidP="00FB412A">
      <w:pPr>
        <w:pStyle w:val="Paragraphedeliste"/>
        <w:numPr>
          <w:ilvl w:val="0"/>
          <w:numId w:val="43"/>
        </w:numPr>
        <w:autoSpaceDE w:val="0"/>
        <w:autoSpaceDN w:val="0"/>
        <w:adjustRightInd w:val="0"/>
        <w:spacing w:after="0" w:line="240" w:lineRule="auto"/>
        <w:ind w:left="426" w:hanging="426"/>
        <w:rPr>
          <w:rFonts w:cstheme="minorHAnsi"/>
          <w:sz w:val="24"/>
          <w:szCs w:val="24"/>
        </w:rPr>
      </w:pPr>
      <w:r w:rsidRPr="00122B15">
        <w:rPr>
          <w:rFonts w:cstheme="minorHAnsi"/>
          <w:sz w:val="24"/>
          <w:szCs w:val="24"/>
        </w:rPr>
        <w:t>Améliorer l’assainissement et hygiène des ménages ;</w:t>
      </w:r>
    </w:p>
    <w:p w14:paraId="755A8F2B" w14:textId="77777777" w:rsidR="00FB412A" w:rsidRPr="00122B15" w:rsidRDefault="00FB412A" w:rsidP="00FB412A">
      <w:pPr>
        <w:pStyle w:val="Paragraphedeliste"/>
        <w:numPr>
          <w:ilvl w:val="0"/>
          <w:numId w:val="43"/>
        </w:numPr>
        <w:autoSpaceDE w:val="0"/>
        <w:autoSpaceDN w:val="0"/>
        <w:adjustRightInd w:val="0"/>
        <w:spacing w:after="0" w:line="240" w:lineRule="auto"/>
        <w:ind w:left="426" w:hanging="426"/>
        <w:rPr>
          <w:rFonts w:cstheme="minorHAnsi"/>
          <w:sz w:val="24"/>
          <w:szCs w:val="24"/>
        </w:rPr>
      </w:pPr>
      <w:r w:rsidRPr="00122B15">
        <w:rPr>
          <w:rFonts w:cstheme="minorHAnsi"/>
          <w:sz w:val="24"/>
          <w:szCs w:val="24"/>
        </w:rPr>
        <w:t>Améliorer l’assainissement et hygiène des établissements scolaires ;</w:t>
      </w:r>
    </w:p>
    <w:p w14:paraId="2E334A4D" w14:textId="77777777" w:rsidR="00FB412A" w:rsidRPr="00122B15" w:rsidRDefault="00FB412A" w:rsidP="00FB412A">
      <w:pPr>
        <w:pStyle w:val="Paragraphedeliste"/>
        <w:numPr>
          <w:ilvl w:val="0"/>
          <w:numId w:val="43"/>
        </w:numPr>
        <w:autoSpaceDE w:val="0"/>
        <w:autoSpaceDN w:val="0"/>
        <w:adjustRightInd w:val="0"/>
        <w:spacing w:after="0" w:line="240" w:lineRule="auto"/>
        <w:ind w:left="426" w:hanging="426"/>
        <w:rPr>
          <w:rFonts w:cstheme="minorHAnsi"/>
          <w:sz w:val="24"/>
          <w:szCs w:val="24"/>
        </w:rPr>
      </w:pPr>
      <w:r w:rsidRPr="00122B15">
        <w:rPr>
          <w:rFonts w:cstheme="minorHAnsi"/>
          <w:sz w:val="24"/>
          <w:szCs w:val="24"/>
        </w:rPr>
        <w:t>Améliorer l’assainissement et hygiène des formations sanitaires ;</w:t>
      </w:r>
    </w:p>
    <w:p w14:paraId="00B6322F" w14:textId="77777777" w:rsidR="00FB412A" w:rsidRPr="00122B15" w:rsidRDefault="00FB412A" w:rsidP="00FB412A">
      <w:pPr>
        <w:pStyle w:val="Paragraphedeliste"/>
        <w:numPr>
          <w:ilvl w:val="0"/>
          <w:numId w:val="43"/>
        </w:numPr>
        <w:autoSpaceDE w:val="0"/>
        <w:autoSpaceDN w:val="0"/>
        <w:adjustRightInd w:val="0"/>
        <w:spacing w:after="0" w:line="240" w:lineRule="auto"/>
        <w:ind w:left="426" w:hanging="426"/>
        <w:rPr>
          <w:rFonts w:cstheme="minorHAnsi"/>
          <w:sz w:val="24"/>
          <w:szCs w:val="24"/>
        </w:rPr>
      </w:pPr>
      <w:r w:rsidRPr="00122B15">
        <w:rPr>
          <w:rFonts w:cstheme="minorHAnsi"/>
          <w:sz w:val="24"/>
          <w:szCs w:val="24"/>
        </w:rPr>
        <w:t>Améliorer l’assainissement et hygiène des autres lieux de vie</w:t>
      </w:r>
    </w:p>
    <w:p w14:paraId="68AFF01E" w14:textId="77777777" w:rsidR="00FB412A" w:rsidRPr="00122B15" w:rsidRDefault="00FB412A" w:rsidP="00FB412A">
      <w:pPr>
        <w:pStyle w:val="Paragraphedeliste"/>
        <w:numPr>
          <w:ilvl w:val="0"/>
          <w:numId w:val="43"/>
        </w:numPr>
        <w:autoSpaceDE w:val="0"/>
        <w:autoSpaceDN w:val="0"/>
        <w:adjustRightInd w:val="0"/>
        <w:spacing w:after="0" w:line="240" w:lineRule="auto"/>
        <w:ind w:left="426" w:hanging="426"/>
        <w:rPr>
          <w:rFonts w:cstheme="minorHAnsi"/>
          <w:sz w:val="24"/>
          <w:szCs w:val="24"/>
        </w:rPr>
      </w:pPr>
      <w:r w:rsidRPr="00122B15">
        <w:rPr>
          <w:rFonts w:cstheme="minorHAnsi"/>
          <w:sz w:val="24"/>
          <w:szCs w:val="24"/>
        </w:rPr>
        <w:t>Renforcer les capacités institutionnelles pour la gestion de l’hygiène et de l’assainissement.</w:t>
      </w:r>
    </w:p>
    <w:p w14:paraId="409B8DD6" w14:textId="77777777" w:rsidR="00FB412A" w:rsidRPr="00122B15" w:rsidRDefault="00FB412A" w:rsidP="00FB412A">
      <w:pPr>
        <w:pStyle w:val="Sansinterligne"/>
        <w:ind w:left="426" w:hanging="426"/>
        <w:rPr>
          <w:rFonts w:cstheme="minorHAnsi"/>
          <w:sz w:val="24"/>
          <w:szCs w:val="24"/>
        </w:rPr>
      </w:pPr>
    </w:p>
    <w:p w14:paraId="2A9D0F01" w14:textId="77777777" w:rsidR="00093848" w:rsidRPr="00122B15" w:rsidRDefault="00093848" w:rsidP="00FB412A">
      <w:pPr>
        <w:pStyle w:val="Sansinterligne"/>
        <w:numPr>
          <w:ilvl w:val="0"/>
          <w:numId w:val="29"/>
        </w:numPr>
        <w:ind w:left="426" w:hanging="426"/>
        <w:rPr>
          <w:rFonts w:cstheme="minorHAnsi"/>
          <w:sz w:val="24"/>
          <w:szCs w:val="24"/>
        </w:rPr>
      </w:pPr>
      <w:r w:rsidRPr="00122B15">
        <w:rPr>
          <w:rFonts w:cstheme="minorHAnsi"/>
          <w:sz w:val="24"/>
          <w:szCs w:val="24"/>
        </w:rPr>
        <w:t>A l’horizon 2030, mettre en œuvre une gestion intégrée et une utilisation rationnelle des ressources en eau à tous les niveaux tout en réduisant les pollutions et en protégeant les écosystèmes liés à l’eau, notamment les montagnes, les forêts, les zones humides, les rivières, les aquifères et les lacs (ODD Cibles 6.3 à 6.6 : Sous-programme Connaissance, suivi et protection des ressources en eau).</w:t>
      </w:r>
    </w:p>
    <w:p w14:paraId="66555F0B" w14:textId="77777777" w:rsidR="00FB412A" w:rsidRPr="00122B15" w:rsidRDefault="00FB412A" w:rsidP="00FB412A">
      <w:pPr>
        <w:pStyle w:val="Sansinterligne"/>
        <w:ind w:left="426" w:hanging="426"/>
        <w:rPr>
          <w:rFonts w:cstheme="minorHAnsi"/>
          <w:sz w:val="24"/>
          <w:szCs w:val="24"/>
        </w:rPr>
      </w:pPr>
    </w:p>
    <w:p w14:paraId="742C2659" w14:textId="77777777" w:rsidR="00093848" w:rsidRPr="00122B15" w:rsidRDefault="00093848" w:rsidP="00FB412A">
      <w:pPr>
        <w:pStyle w:val="Sansinterligne"/>
        <w:numPr>
          <w:ilvl w:val="0"/>
          <w:numId w:val="29"/>
        </w:numPr>
        <w:ind w:left="426" w:hanging="426"/>
        <w:rPr>
          <w:rFonts w:cstheme="minorHAnsi"/>
          <w:sz w:val="24"/>
          <w:szCs w:val="24"/>
        </w:rPr>
      </w:pPr>
      <w:r w:rsidRPr="00122B15">
        <w:rPr>
          <w:rFonts w:cstheme="minorHAnsi"/>
          <w:sz w:val="24"/>
          <w:szCs w:val="24"/>
        </w:rPr>
        <w:t>A l’horizon 2030, améliorer la gouvernance, renforcer les capacités nationales et renforcer la participation citoyenne en ce qui concerne la gestion de l’eau et de l’assainissement (ODD Cibles 6a &amp; 6b : Sous-programme Gouvernance).</w:t>
      </w:r>
    </w:p>
    <w:p w14:paraId="5CC8201D" w14:textId="77777777" w:rsidR="00FB412A" w:rsidRPr="00122B15" w:rsidRDefault="00FB412A" w:rsidP="00FB412A">
      <w:pPr>
        <w:pStyle w:val="Paragraphedeliste"/>
        <w:ind w:left="426" w:hanging="426"/>
        <w:rPr>
          <w:rFonts w:cstheme="minorHAnsi"/>
          <w:sz w:val="24"/>
          <w:szCs w:val="24"/>
        </w:rPr>
      </w:pPr>
    </w:p>
    <w:p w14:paraId="0484D513" w14:textId="77777777" w:rsidR="00FB412A" w:rsidRPr="00122B15" w:rsidRDefault="00FB412A" w:rsidP="00FB412A">
      <w:pPr>
        <w:pStyle w:val="Paragraphedeliste"/>
        <w:numPr>
          <w:ilvl w:val="0"/>
          <w:numId w:val="43"/>
        </w:numPr>
        <w:autoSpaceDE w:val="0"/>
        <w:autoSpaceDN w:val="0"/>
        <w:adjustRightInd w:val="0"/>
        <w:spacing w:after="0" w:line="240" w:lineRule="auto"/>
        <w:ind w:left="426" w:hanging="426"/>
        <w:rPr>
          <w:rFonts w:cstheme="minorHAnsi"/>
          <w:sz w:val="24"/>
          <w:szCs w:val="24"/>
        </w:rPr>
      </w:pPr>
      <w:r w:rsidRPr="00122B15">
        <w:rPr>
          <w:rFonts w:cstheme="minorHAnsi"/>
          <w:sz w:val="24"/>
          <w:szCs w:val="24"/>
        </w:rPr>
        <w:t>Le leadership et la satisfaction durable des besoins de financement du secteur est assuré par l'Etat</w:t>
      </w:r>
    </w:p>
    <w:p w14:paraId="76EEF9E3" w14:textId="77777777" w:rsidR="00FB412A" w:rsidRPr="00122B15" w:rsidRDefault="00FB412A" w:rsidP="00FB412A">
      <w:pPr>
        <w:pStyle w:val="Paragraphedeliste"/>
        <w:numPr>
          <w:ilvl w:val="0"/>
          <w:numId w:val="43"/>
        </w:numPr>
        <w:autoSpaceDE w:val="0"/>
        <w:autoSpaceDN w:val="0"/>
        <w:adjustRightInd w:val="0"/>
        <w:spacing w:after="0" w:line="240" w:lineRule="auto"/>
        <w:ind w:left="426" w:hanging="426"/>
        <w:rPr>
          <w:rFonts w:cstheme="minorHAnsi"/>
          <w:sz w:val="24"/>
          <w:szCs w:val="24"/>
        </w:rPr>
      </w:pPr>
      <w:r w:rsidRPr="00122B15">
        <w:rPr>
          <w:rFonts w:cstheme="minorHAnsi"/>
          <w:sz w:val="24"/>
          <w:szCs w:val="24"/>
        </w:rPr>
        <w:t xml:space="preserve">La coordination, le suivi-évaluation et la régulation du secteur </w:t>
      </w:r>
      <w:r w:rsidR="000E6FB8">
        <w:rPr>
          <w:rFonts w:cstheme="minorHAnsi"/>
          <w:sz w:val="24"/>
          <w:szCs w:val="24"/>
        </w:rPr>
        <w:t>sont</w:t>
      </w:r>
      <w:r w:rsidRPr="00122B15">
        <w:rPr>
          <w:rFonts w:cstheme="minorHAnsi"/>
          <w:sz w:val="24"/>
          <w:szCs w:val="24"/>
        </w:rPr>
        <w:t xml:space="preserve"> assuré</w:t>
      </w:r>
      <w:r w:rsidR="000E6FB8">
        <w:rPr>
          <w:rFonts w:cstheme="minorHAnsi"/>
          <w:sz w:val="24"/>
          <w:szCs w:val="24"/>
        </w:rPr>
        <w:t>s</w:t>
      </w:r>
      <w:r w:rsidRPr="00122B15">
        <w:rPr>
          <w:rFonts w:cstheme="minorHAnsi"/>
          <w:sz w:val="24"/>
          <w:szCs w:val="24"/>
        </w:rPr>
        <w:t xml:space="preserve"> par l'Etat </w:t>
      </w:r>
    </w:p>
    <w:p w14:paraId="48F57E50" w14:textId="77777777" w:rsidR="00FB412A" w:rsidRPr="00122B15" w:rsidRDefault="00FB412A" w:rsidP="00FB412A">
      <w:pPr>
        <w:pStyle w:val="Paragraphedeliste"/>
        <w:numPr>
          <w:ilvl w:val="0"/>
          <w:numId w:val="43"/>
        </w:numPr>
        <w:autoSpaceDE w:val="0"/>
        <w:autoSpaceDN w:val="0"/>
        <w:adjustRightInd w:val="0"/>
        <w:spacing w:after="0" w:line="240" w:lineRule="auto"/>
        <w:ind w:left="426" w:hanging="426"/>
        <w:rPr>
          <w:rFonts w:cstheme="minorHAnsi"/>
          <w:sz w:val="24"/>
          <w:szCs w:val="24"/>
        </w:rPr>
      </w:pPr>
      <w:r w:rsidRPr="00122B15">
        <w:rPr>
          <w:rFonts w:cstheme="minorHAnsi"/>
          <w:sz w:val="24"/>
          <w:szCs w:val="24"/>
        </w:rPr>
        <w:t xml:space="preserve">Soutenir </w:t>
      </w:r>
      <w:r w:rsidR="000E6FB8">
        <w:rPr>
          <w:rFonts w:cstheme="minorHAnsi"/>
          <w:sz w:val="24"/>
          <w:szCs w:val="24"/>
        </w:rPr>
        <w:t xml:space="preserve">et </w:t>
      </w:r>
      <w:r w:rsidRPr="00122B15">
        <w:rPr>
          <w:rFonts w:cstheme="minorHAnsi"/>
          <w:sz w:val="24"/>
          <w:szCs w:val="24"/>
        </w:rPr>
        <w:t xml:space="preserve">renforcer la société pour la protection et la défense des citoyens </w:t>
      </w:r>
      <w:r w:rsidR="000E6FB8">
        <w:rPr>
          <w:rFonts w:cstheme="minorHAnsi"/>
          <w:sz w:val="24"/>
          <w:szCs w:val="24"/>
        </w:rPr>
        <w:t>et usagers des services public</w:t>
      </w:r>
      <w:r w:rsidRPr="00122B15">
        <w:rPr>
          <w:rFonts w:cstheme="minorHAnsi"/>
          <w:sz w:val="24"/>
          <w:szCs w:val="24"/>
        </w:rPr>
        <w:t>s en application de l'AFDH</w:t>
      </w:r>
    </w:p>
    <w:p w14:paraId="0CFB9EDA" w14:textId="77777777" w:rsidR="00FB412A" w:rsidRPr="00122B15" w:rsidRDefault="00FB412A" w:rsidP="00FB412A">
      <w:pPr>
        <w:pStyle w:val="Sansinterligne"/>
        <w:ind w:left="426" w:hanging="426"/>
        <w:rPr>
          <w:rFonts w:cstheme="minorHAnsi"/>
          <w:sz w:val="24"/>
          <w:szCs w:val="24"/>
        </w:rPr>
      </w:pPr>
    </w:p>
    <w:p w14:paraId="2C09D83B" w14:textId="77777777" w:rsidR="00093848" w:rsidRPr="00122B15" w:rsidRDefault="00093848" w:rsidP="00FB412A">
      <w:pPr>
        <w:pStyle w:val="Sansinterligne"/>
        <w:numPr>
          <w:ilvl w:val="0"/>
          <w:numId w:val="29"/>
        </w:numPr>
        <w:ind w:left="426" w:hanging="426"/>
        <w:rPr>
          <w:rFonts w:cstheme="minorHAnsi"/>
          <w:sz w:val="24"/>
          <w:szCs w:val="24"/>
        </w:rPr>
      </w:pPr>
      <w:r w:rsidRPr="00122B15">
        <w:rPr>
          <w:rFonts w:cstheme="minorHAnsi"/>
          <w:sz w:val="24"/>
          <w:szCs w:val="24"/>
        </w:rPr>
        <w:t>A l'horizon 2030, assurer l'accès à l'eau de qualité en quantité suffisante et de façon équitable pour tous les usagers de l'espace pastoral dans la quiétude et la solidarité.</w:t>
      </w:r>
    </w:p>
    <w:p w14:paraId="10B90A68" w14:textId="77777777" w:rsidR="0080780D" w:rsidRDefault="00A22125" w:rsidP="00AD4430">
      <w:pPr>
        <w:pStyle w:val="Titre2"/>
      </w:pPr>
      <w:bookmarkStart w:id="17" w:name="_Toc21449019"/>
      <w:r w:rsidRPr="00122B15">
        <w:t>A</w:t>
      </w:r>
      <w:r w:rsidR="000720F9" w:rsidRPr="00122B15">
        <w:t>xe stratégique n°3 : a</w:t>
      </w:r>
      <w:r w:rsidRPr="00122B15">
        <w:t>mélioration de la</w:t>
      </w:r>
      <w:r w:rsidR="00EB27CA" w:rsidRPr="00122B15">
        <w:t xml:space="preserve"> lutte contre la pollution</w:t>
      </w:r>
      <w:bookmarkEnd w:id="17"/>
    </w:p>
    <w:p w14:paraId="25D0E963" w14:textId="77777777" w:rsidR="00AB1F76" w:rsidRPr="00122B15" w:rsidRDefault="00AB1F76" w:rsidP="00AB1F76">
      <w:pPr>
        <w:pStyle w:val="Sansinterligne"/>
        <w:ind w:left="1440"/>
        <w:rPr>
          <w:rFonts w:cstheme="minorHAnsi"/>
          <w:b/>
          <w:sz w:val="24"/>
          <w:szCs w:val="24"/>
        </w:rPr>
      </w:pPr>
    </w:p>
    <w:p w14:paraId="5A9637E1" w14:textId="77777777" w:rsidR="003C297D" w:rsidRPr="003C297D" w:rsidRDefault="004C20AA" w:rsidP="003C297D">
      <w:pPr>
        <w:rPr>
          <w:rFonts w:cstheme="minorHAnsi"/>
          <w:sz w:val="24"/>
          <w:szCs w:val="24"/>
        </w:rPr>
      </w:pPr>
      <w:r w:rsidRPr="00122B15">
        <w:rPr>
          <w:rFonts w:cstheme="minorHAnsi"/>
          <w:sz w:val="24"/>
          <w:szCs w:val="24"/>
        </w:rPr>
        <w:t xml:space="preserve">La pollution est un déterminant de la santé qui a longtemps été oubliée et dont on voit aujourd’hui le poids. </w:t>
      </w:r>
      <w:r w:rsidR="003C297D">
        <w:rPr>
          <w:rFonts w:cstheme="minorHAnsi"/>
          <w:sz w:val="24"/>
          <w:szCs w:val="24"/>
        </w:rPr>
        <w:t>En particulier a</w:t>
      </w:r>
      <w:r w:rsidRPr="00122B15">
        <w:rPr>
          <w:rFonts w:cstheme="minorHAnsi"/>
          <w:sz w:val="24"/>
          <w:szCs w:val="24"/>
        </w:rPr>
        <w:t xml:space="preserve">u Niger, </w:t>
      </w:r>
      <w:r w:rsidR="00DC4B54" w:rsidRPr="00122B15">
        <w:rPr>
          <w:rFonts w:cstheme="minorHAnsi"/>
          <w:sz w:val="24"/>
          <w:szCs w:val="24"/>
        </w:rPr>
        <w:t xml:space="preserve">la pollution </w:t>
      </w:r>
      <w:r w:rsidR="00AB1F76">
        <w:rPr>
          <w:rFonts w:cstheme="minorHAnsi"/>
          <w:sz w:val="24"/>
          <w:szCs w:val="24"/>
        </w:rPr>
        <w:t xml:space="preserve">de l’air </w:t>
      </w:r>
      <w:r w:rsidR="003C297D">
        <w:rPr>
          <w:rFonts w:cstheme="minorHAnsi"/>
          <w:sz w:val="24"/>
          <w:szCs w:val="24"/>
        </w:rPr>
        <w:t xml:space="preserve">des ménages </w:t>
      </w:r>
      <w:r w:rsidR="00DC4B54">
        <w:rPr>
          <w:rFonts w:cstheme="minorHAnsi"/>
          <w:sz w:val="24"/>
          <w:szCs w:val="24"/>
        </w:rPr>
        <w:t>est la cause de 7.62% des DALYs</w:t>
      </w:r>
      <w:r w:rsidR="006B5114">
        <w:rPr>
          <w:rFonts w:cstheme="minorHAnsi"/>
          <w:sz w:val="24"/>
          <w:szCs w:val="24"/>
        </w:rPr>
        <w:t>.</w:t>
      </w:r>
      <w:r w:rsidR="00C844D2">
        <w:rPr>
          <w:rFonts w:cstheme="minorHAnsi"/>
          <w:sz w:val="24"/>
          <w:szCs w:val="24"/>
        </w:rPr>
        <w:t xml:space="preserve"> Elle</w:t>
      </w:r>
      <w:r w:rsidR="003C297D">
        <w:rPr>
          <w:rFonts w:cstheme="minorHAnsi"/>
          <w:sz w:val="24"/>
          <w:szCs w:val="24"/>
        </w:rPr>
        <w:t xml:space="preserve"> </w:t>
      </w:r>
      <w:r w:rsidR="00122B15">
        <w:rPr>
          <w:rFonts w:cstheme="minorHAnsi"/>
          <w:sz w:val="24"/>
          <w:szCs w:val="24"/>
        </w:rPr>
        <w:t xml:space="preserve">contribue significativement à </w:t>
      </w:r>
      <w:r w:rsidR="00122B15" w:rsidRPr="00122B15">
        <w:rPr>
          <w:rFonts w:cstheme="minorHAnsi"/>
          <w:sz w:val="24"/>
          <w:szCs w:val="24"/>
        </w:rPr>
        <w:t xml:space="preserve">la morbidité et </w:t>
      </w:r>
      <w:r w:rsidR="008566D6">
        <w:rPr>
          <w:rFonts w:cstheme="minorHAnsi"/>
          <w:sz w:val="24"/>
          <w:szCs w:val="24"/>
        </w:rPr>
        <w:t xml:space="preserve">la </w:t>
      </w:r>
      <w:r w:rsidR="00122B15" w:rsidRPr="00122B15">
        <w:rPr>
          <w:rFonts w:cstheme="minorHAnsi"/>
          <w:sz w:val="24"/>
          <w:szCs w:val="24"/>
        </w:rPr>
        <w:t xml:space="preserve">mortalité liées </w:t>
      </w:r>
      <w:r w:rsidR="003C297D">
        <w:rPr>
          <w:rFonts w:cstheme="minorHAnsi"/>
          <w:sz w:val="24"/>
          <w:szCs w:val="24"/>
        </w:rPr>
        <w:t xml:space="preserve">notamment </w:t>
      </w:r>
      <w:r w:rsidR="00122B15" w:rsidRPr="00122B15">
        <w:rPr>
          <w:rFonts w:cstheme="minorHAnsi"/>
          <w:sz w:val="24"/>
          <w:szCs w:val="24"/>
        </w:rPr>
        <w:t xml:space="preserve">aux infections respiratoires. </w:t>
      </w:r>
      <w:r w:rsidR="003C297D" w:rsidRPr="003C297D">
        <w:rPr>
          <w:rFonts w:cstheme="minorHAnsi"/>
          <w:sz w:val="24"/>
          <w:szCs w:val="24"/>
        </w:rPr>
        <w:t xml:space="preserve">Dans les pays à </w:t>
      </w:r>
      <w:r w:rsidR="003C297D">
        <w:rPr>
          <w:rFonts w:cstheme="minorHAnsi"/>
          <w:sz w:val="24"/>
          <w:szCs w:val="24"/>
        </w:rPr>
        <w:t>revenu faible et intermédiaire la pollution est cause de :</w:t>
      </w:r>
    </w:p>
    <w:p w14:paraId="4FEAA66D" w14:textId="77777777" w:rsidR="003C297D" w:rsidRPr="003C297D" w:rsidRDefault="003C297D" w:rsidP="003C297D">
      <w:pPr>
        <w:pStyle w:val="Sansinterligne"/>
        <w:rPr>
          <w:rFonts w:cstheme="minorHAnsi"/>
          <w:sz w:val="24"/>
          <w:szCs w:val="24"/>
        </w:rPr>
      </w:pPr>
      <w:r w:rsidRPr="003C297D">
        <w:rPr>
          <w:rFonts w:cstheme="minorHAnsi"/>
          <w:sz w:val="24"/>
          <w:szCs w:val="24"/>
        </w:rPr>
        <w:t xml:space="preserve">- 25% de tous les décès par accident vasculaire cérébral, </w:t>
      </w:r>
    </w:p>
    <w:p w14:paraId="77FF8ED1" w14:textId="77777777" w:rsidR="003C297D" w:rsidRPr="003C297D" w:rsidRDefault="003C297D" w:rsidP="003C297D">
      <w:pPr>
        <w:pStyle w:val="Sansinterligne"/>
        <w:rPr>
          <w:rFonts w:cstheme="minorHAnsi"/>
          <w:sz w:val="24"/>
          <w:szCs w:val="24"/>
        </w:rPr>
      </w:pPr>
      <w:r w:rsidRPr="003C297D">
        <w:rPr>
          <w:rFonts w:cstheme="minorHAnsi"/>
          <w:sz w:val="24"/>
          <w:szCs w:val="24"/>
        </w:rPr>
        <w:t xml:space="preserve">- 15% des décès dus à une cardiopathie ischémique, </w:t>
      </w:r>
    </w:p>
    <w:p w14:paraId="2216E55C" w14:textId="77777777" w:rsidR="003C297D" w:rsidRPr="003C297D" w:rsidRDefault="003C297D" w:rsidP="003C297D">
      <w:pPr>
        <w:pStyle w:val="Sansinterligne"/>
        <w:rPr>
          <w:rFonts w:cstheme="minorHAnsi"/>
          <w:sz w:val="24"/>
          <w:szCs w:val="24"/>
        </w:rPr>
      </w:pPr>
      <w:r w:rsidRPr="003C297D">
        <w:rPr>
          <w:rFonts w:cstheme="minorHAnsi"/>
          <w:sz w:val="24"/>
          <w:szCs w:val="24"/>
        </w:rPr>
        <w:t xml:space="preserve">- 17% des décès dus au cancer du poumon, </w:t>
      </w:r>
    </w:p>
    <w:p w14:paraId="6369B098" w14:textId="77777777" w:rsidR="003C297D" w:rsidRPr="003C297D" w:rsidRDefault="003C297D" w:rsidP="003C297D">
      <w:pPr>
        <w:pStyle w:val="Sansinterligne"/>
        <w:rPr>
          <w:rFonts w:cstheme="minorHAnsi"/>
          <w:sz w:val="24"/>
          <w:szCs w:val="24"/>
        </w:rPr>
      </w:pPr>
      <w:r w:rsidRPr="003C297D">
        <w:rPr>
          <w:rFonts w:cstheme="minorHAnsi"/>
          <w:sz w:val="24"/>
          <w:szCs w:val="24"/>
        </w:rPr>
        <w:t xml:space="preserve">- </w:t>
      </w:r>
      <w:r>
        <w:rPr>
          <w:rFonts w:cstheme="minorHAnsi"/>
          <w:sz w:val="24"/>
          <w:szCs w:val="24"/>
        </w:rPr>
        <w:t>P</w:t>
      </w:r>
      <w:r w:rsidRPr="003C297D">
        <w:rPr>
          <w:rFonts w:cstheme="minorHAnsi"/>
          <w:sz w:val="24"/>
          <w:szCs w:val="24"/>
        </w:rPr>
        <w:t xml:space="preserve">lus de 33% de tous les décès dus à la bronchopneumopathie chronique obstructive </w:t>
      </w:r>
    </w:p>
    <w:p w14:paraId="68A89D92" w14:textId="77777777" w:rsidR="003C297D" w:rsidRPr="003C297D" w:rsidRDefault="003C297D" w:rsidP="003C297D">
      <w:pPr>
        <w:pStyle w:val="Sansinterligne"/>
        <w:rPr>
          <w:rFonts w:cstheme="minorHAnsi"/>
          <w:sz w:val="24"/>
          <w:szCs w:val="24"/>
        </w:rPr>
      </w:pPr>
      <w:r>
        <w:rPr>
          <w:rFonts w:cstheme="minorHAnsi"/>
          <w:sz w:val="24"/>
          <w:szCs w:val="24"/>
        </w:rPr>
        <w:t>- P</w:t>
      </w:r>
      <w:r w:rsidRPr="003C297D">
        <w:rPr>
          <w:rFonts w:cstheme="minorHAnsi"/>
          <w:sz w:val="24"/>
          <w:szCs w:val="24"/>
        </w:rPr>
        <w:t>rès du quart de la charge de morbidité de la cataracte</w:t>
      </w:r>
    </w:p>
    <w:p w14:paraId="27B1C887" w14:textId="77777777" w:rsidR="003C297D" w:rsidRDefault="003C297D" w:rsidP="003C297D">
      <w:pPr>
        <w:pStyle w:val="Sansinterligne"/>
        <w:rPr>
          <w:rFonts w:cstheme="minorHAnsi"/>
          <w:sz w:val="24"/>
          <w:szCs w:val="24"/>
        </w:rPr>
      </w:pPr>
      <w:r w:rsidRPr="003C297D">
        <w:rPr>
          <w:rFonts w:cstheme="minorHAnsi"/>
          <w:sz w:val="24"/>
          <w:szCs w:val="24"/>
        </w:rPr>
        <w:t xml:space="preserve">- </w:t>
      </w:r>
      <w:r w:rsidR="00E96B92" w:rsidRPr="003C297D">
        <w:rPr>
          <w:rFonts w:cstheme="minorHAnsi"/>
          <w:sz w:val="24"/>
          <w:szCs w:val="24"/>
        </w:rPr>
        <w:t xml:space="preserve">50% </w:t>
      </w:r>
      <w:r>
        <w:rPr>
          <w:rFonts w:cstheme="minorHAnsi"/>
          <w:sz w:val="24"/>
          <w:szCs w:val="24"/>
        </w:rPr>
        <w:t>des décès dus aux pneumonies…</w:t>
      </w:r>
    </w:p>
    <w:p w14:paraId="6A669864" w14:textId="77777777" w:rsidR="003C297D" w:rsidRDefault="003C297D" w:rsidP="003C297D">
      <w:pPr>
        <w:pStyle w:val="Sansinterligne"/>
        <w:rPr>
          <w:rFonts w:cstheme="minorHAnsi"/>
          <w:sz w:val="24"/>
          <w:szCs w:val="24"/>
        </w:rPr>
      </w:pPr>
    </w:p>
    <w:p w14:paraId="7CF11AC0" w14:textId="77777777" w:rsidR="00AB1F76" w:rsidRDefault="00122B15" w:rsidP="00122B15">
      <w:pPr>
        <w:rPr>
          <w:rFonts w:cstheme="minorHAnsi"/>
          <w:sz w:val="24"/>
          <w:szCs w:val="24"/>
        </w:rPr>
      </w:pPr>
      <w:r w:rsidRPr="00122B15">
        <w:rPr>
          <w:rFonts w:cstheme="minorHAnsi"/>
          <w:sz w:val="24"/>
          <w:szCs w:val="24"/>
        </w:rPr>
        <w:t xml:space="preserve">Les stratégies mise </w:t>
      </w:r>
      <w:r w:rsidR="000E6FB8">
        <w:rPr>
          <w:rFonts w:cstheme="minorHAnsi"/>
          <w:sz w:val="24"/>
          <w:szCs w:val="24"/>
        </w:rPr>
        <w:t>en œuvre</w:t>
      </w:r>
      <w:r w:rsidRPr="00122B15">
        <w:rPr>
          <w:rFonts w:cstheme="minorHAnsi"/>
          <w:sz w:val="24"/>
          <w:szCs w:val="24"/>
        </w:rPr>
        <w:t xml:space="preserve"> devront être élaborées par des diagnostics qui doivent encore largement être réalisés</w:t>
      </w:r>
      <w:r w:rsidR="003C297D">
        <w:rPr>
          <w:rFonts w:cstheme="minorHAnsi"/>
          <w:sz w:val="24"/>
          <w:szCs w:val="24"/>
        </w:rPr>
        <w:t xml:space="preserve"> au Niger</w:t>
      </w:r>
      <w:r w:rsidRPr="00122B15">
        <w:rPr>
          <w:rFonts w:cstheme="minorHAnsi"/>
          <w:sz w:val="24"/>
          <w:szCs w:val="24"/>
        </w:rPr>
        <w:t>, tant cette préoccupatio</w:t>
      </w:r>
      <w:r w:rsidR="003C297D">
        <w:rPr>
          <w:rFonts w:cstheme="minorHAnsi"/>
          <w:sz w:val="24"/>
          <w:szCs w:val="24"/>
        </w:rPr>
        <w:t>n est récente et souvent laissée</w:t>
      </w:r>
      <w:r w:rsidRPr="00122B15">
        <w:rPr>
          <w:rFonts w:cstheme="minorHAnsi"/>
          <w:sz w:val="24"/>
          <w:szCs w:val="24"/>
        </w:rPr>
        <w:t xml:space="preserve"> pour compte.</w:t>
      </w:r>
    </w:p>
    <w:p w14:paraId="489C4391" w14:textId="77777777" w:rsidR="00122B15" w:rsidRPr="00122B15" w:rsidRDefault="00AB1F76" w:rsidP="00122B15">
      <w:pPr>
        <w:rPr>
          <w:rFonts w:cstheme="minorHAnsi"/>
          <w:sz w:val="24"/>
          <w:szCs w:val="24"/>
        </w:rPr>
      </w:pPr>
      <w:r>
        <w:rPr>
          <w:rFonts w:cstheme="minorHAnsi"/>
          <w:sz w:val="24"/>
          <w:szCs w:val="24"/>
        </w:rPr>
        <w:t>La lutte contre la pollution concerne également la pollution des sols et la pollution de l’eau.</w:t>
      </w:r>
    </w:p>
    <w:p w14:paraId="2DD8E96B" w14:textId="77777777" w:rsidR="00515C25" w:rsidRPr="00BF29A2" w:rsidRDefault="00515C25">
      <w:pPr>
        <w:rPr>
          <w:rFonts w:cstheme="minorHAnsi"/>
          <w:sz w:val="24"/>
          <w:szCs w:val="24"/>
        </w:rPr>
      </w:pPr>
      <w:r w:rsidRPr="00BF29A2">
        <w:rPr>
          <w:rFonts w:cstheme="minorHAnsi"/>
          <w:sz w:val="24"/>
          <w:szCs w:val="24"/>
        </w:rPr>
        <w:br w:type="page"/>
      </w:r>
    </w:p>
    <w:p w14:paraId="757F7C3E" w14:textId="77777777" w:rsidR="003F3FAC" w:rsidRPr="00BF29A2" w:rsidRDefault="005310D7" w:rsidP="00BF29A2">
      <w:pPr>
        <w:pStyle w:val="Titre2"/>
      </w:pPr>
      <w:bookmarkStart w:id="18" w:name="_Toc21449020"/>
      <w:r>
        <w:t xml:space="preserve">OS n°2 : </w:t>
      </w:r>
      <w:r w:rsidR="003F3FAC" w:rsidRPr="00BF29A2">
        <w:t xml:space="preserve">Amélioration </w:t>
      </w:r>
      <w:r>
        <w:t>de l’offre de services de santé</w:t>
      </w:r>
      <w:bookmarkEnd w:id="18"/>
      <w:r w:rsidR="00A22125" w:rsidRPr="00BF29A2">
        <w:t xml:space="preserve"> </w:t>
      </w:r>
    </w:p>
    <w:p w14:paraId="36CE5694" w14:textId="77777777" w:rsidR="0087441C" w:rsidRDefault="0087441C" w:rsidP="003F3FAC">
      <w:pPr>
        <w:pStyle w:val="Paragraphedeliste"/>
        <w:rPr>
          <w:rFonts w:cstheme="minorHAnsi"/>
          <w:sz w:val="24"/>
          <w:szCs w:val="24"/>
        </w:rPr>
      </w:pPr>
    </w:p>
    <w:p w14:paraId="24DC2F94" w14:textId="77777777" w:rsidR="00076E2C" w:rsidRDefault="00076E2C" w:rsidP="00076E2C">
      <w:pPr>
        <w:jc w:val="both"/>
        <w:rPr>
          <w:rFonts w:cs="Calibri"/>
        </w:rPr>
      </w:pPr>
      <w:r w:rsidRPr="005540CD">
        <w:rPr>
          <w:rFonts w:cs="Calibri"/>
        </w:rPr>
        <w:t>Le Conseil des Ministres de l’UEMOA a adopté un nouveau cadre harmonisé de gestion des finances publiques à travers six (6) directives dont la directive</w:t>
      </w:r>
      <w:r>
        <w:rPr>
          <w:rFonts w:cs="Calibri"/>
        </w:rPr>
        <w:t xml:space="preserve"> N°6 portant lois des finances. </w:t>
      </w:r>
      <w:r w:rsidRPr="005540CD">
        <w:rPr>
          <w:rFonts w:cs="Calibri"/>
        </w:rPr>
        <w:t>Dans cette perspective le Niger a transposé la directive N°6 par l’adoption de la Loi n°2012-09 du 26 mars 2012, portant loi organique relative aux lois de finances. Désormais, les crédits budgétaires doivent être « spécialisés par programme et par dotation »</w:t>
      </w:r>
      <w:r>
        <w:rPr>
          <w:rFonts w:cs="Calibri"/>
        </w:rPr>
        <w:t>. Le Ministère de la santé a arrêté 3 programmes comme suit</w:t>
      </w:r>
      <w:r w:rsidR="000E6FB8" w:rsidRPr="000E6FB8">
        <w:rPr>
          <w:rFonts w:cs="Calibri"/>
        </w:rPr>
        <w:t xml:space="preserve"> </w:t>
      </w:r>
      <w:r w:rsidR="000E6FB8">
        <w:rPr>
          <w:rFonts w:cs="Calibri"/>
        </w:rPr>
        <w:t>dans son PDS 2017-2021 </w:t>
      </w:r>
      <w:r>
        <w:rPr>
          <w:rFonts w:cs="Calibri"/>
        </w:rPr>
        <w:t> :</w:t>
      </w:r>
    </w:p>
    <w:p w14:paraId="2E1A0301" w14:textId="77777777" w:rsidR="00076E2C" w:rsidRDefault="00076E2C" w:rsidP="00076E2C">
      <w:pPr>
        <w:rPr>
          <w:rFonts w:cs="Calibri"/>
        </w:rPr>
      </w:pPr>
      <w:r w:rsidRPr="009221C2">
        <w:rPr>
          <w:noProof/>
          <w:lang w:eastAsia="fr-FR"/>
        </w:rPr>
        <w:drawing>
          <wp:inline distT="0" distB="0" distL="0" distR="0" wp14:anchorId="165D4BCE" wp14:editId="1431CE9E">
            <wp:extent cx="5454687" cy="5747967"/>
            <wp:effectExtent l="0" t="0" r="0" b="5715"/>
            <wp:docPr id="309" name="Image 3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454186" cy="5747439"/>
                    </a:xfrm>
                    <a:prstGeom prst="rect">
                      <a:avLst/>
                    </a:prstGeom>
                    <a:noFill/>
                    <a:ln>
                      <a:noFill/>
                    </a:ln>
                  </pic:spPr>
                </pic:pic>
              </a:graphicData>
            </a:graphic>
          </wp:inline>
        </w:drawing>
      </w:r>
    </w:p>
    <w:p w14:paraId="36F206B8" w14:textId="77777777" w:rsidR="00076E2C" w:rsidRDefault="00076E2C" w:rsidP="00076E2C">
      <w:pPr>
        <w:rPr>
          <w:rFonts w:cs="Calibri"/>
        </w:rPr>
      </w:pPr>
    </w:p>
    <w:p w14:paraId="7DF89403" w14:textId="77777777" w:rsidR="00076E2C" w:rsidRDefault="00076E2C">
      <w:pPr>
        <w:rPr>
          <w:rFonts w:asciiTheme="majorHAnsi" w:eastAsiaTheme="majorEastAsia" w:hAnsiTheme="majorHAnsi" w:cstheme="majorBidi"/>
          <w:b/>
          <w:bCs/>
          <w:color w:val="4F81BD" w:themeColor="accent1"/>
          <w:sz w:val="26"/>
          <w:szCs w:val="26"/>
        </w:rPr>
      </w:pPr>
      <w:r>
        <w:rPr>
          <w:rFonts w:cs="Calibri"/>
        </w:rPr>
        <w:t xml:space="preserve">Les programmes sont définis dans une logique de mise en œuvre d’actions cohérentes et de financement sur la base de résultats. Ils doivent donc être repris comme autant d’axes stratégiques pour l’amélioration de l’offre de services de santé, qui est l’objectif </w:t>
      </w:r>
      <w:r w:rsidR="000E6FB8">
        <w:rPr>
          <w:rFonts w:cs="Calibri"/>
        </w:rPr>
        <w:t xml:space="preserve">stratégique </w:t>
      </w:r>
      <w:r>
        <w:rPr>
          <w:rFonts w:cs="Calibri"/>
        </w:rPr>
        <w:t>n°2 de la présente stratégie de la Couverture Sanitaire Universelle au Niger.</w:t>
      </w:r>
      <w:r>
        <w:br w:type="page"/>
      </w:r>
    </w:p>
    <w:p w14:paraId="445328C2" w14:textId="77777777" w:rsidR="00076E2C" w:rsidRDefault="00076E2C" w:rsidP="00076E2C">
      <w:pPr>
        <w:pStyle w:val="Titre2"/>
      </w:pPr>
      <w:bookmarkStart w:id="19" w:name="_Toc21449021"/>
      <w:r>
        <w:t>Axe stratégique n°4 : amélioration de la gouvernance et du leadership du secteur de la santé</w:t>
      </w:r>
      <w:bookmarkEnd w:id="19"/>
    </w:p>
    <w:p w14:paraId="454F6315" w14:textId="77777777" w:rsidR="00076E2C" w:rsidRDefault="00076E2C" w:rsidP="00076E2C"/>
    <w:p w14:paraId="1198F6D9" w14:textId="77777777" w:rsidR="00076E2C" w:rsidRPr="00076E2C" w:rsidRDefault="00076E2C" w:rsidP="00076E2C">
      <w:pPr>
        <w:jc w:val="both"/>
        <w:rPr>
          <w:rFonts w:cs="Calibri"/>
        </w:rPr>
      </w:pPr>
      <w:r w:rsidRPr="00076E2C">
        <w:rPr>
          <w:rFonts w:cs="Calibri"/>
        </w:rPr>
        <w:t xml:space="preserve">Le Niger a fourni d’importants efforts pour améliorer la gouvernance dans le secteur de la santé.  C’est dans ce cadre qu’une Inspection Générale de la Santé a été mise en place. Dans le but de renforcer la gouvernance, un audit institutionnel a été commandité par le MSP en 2015. Cet audit a identifié  un certain nombre d’insuffisances qui portent sur les aspects suivants : la planification sectorielle, la décentralisation et la déconcentration, le dialogue politique et la coordination sectorielle, l’inspection, le contrôle et la recevabilité,  la mise en œuvre des réformes et le partenariat. </w:t>
      </w:r>
    </w:p>
    <w:p w14:paraId="34428A9F" w14:textId="77777777" w:rsidR="00076E2C" w:rsidRPr="009221C2" w:rsidRDefault="00076E2C" w:rsidP="00076E2C">
      <w:r>
        <w:t>Un certain nombre de réformes sont donc envisagées ou déjà en cours :</w:t>
      </w:r>
    </w:p>
    <w:p w14:paraId="77CCBA8B" w14:textId="77777777" w:rsidR="00076E2C" w:rsidRPr="00076E2C" w:rsidRDefault="00076E2C" w:rsidP="00076E2C">
      <w:pPr>
        <w:pStyle w:val="Paragraphedeliste"/>
        <w:numPr>
          <w:ilvl w:val="0"/>
          <w:numId w:val="46"/>
        </w:numPr>
        <w:jc w:val="both"/>
        <w:rPr>
          <w:rFonts w:cs="Calibri"/>
        </w:rPr>
      </w:pPr>
      <w:r w:rsidRPr="00076E2C">
        <w:rPr>
          <w:rFonts w:cs="Calibri"/>
        </w:rPr>
        <w:t>La couverture universelle en santé elle-même;</w:t>
      </w:r>
    </w:p>
    <w:p w14:paraId="041D5CF6" w14:textId="77777777" w:rsidR="00076E2C" w:rsidRPr="00076E2C" w:rsidRDefault="00076E2C" w:rsidP="00076E2C">
      <w:pPr>
        <w:pStyle w:val="Paragraphedeliste"/>
        <w:numPr>
          <w:ilvl w:val="0"/>
          <w:numId w:val="46"/>
        </w:numPr>
        <w:jc w:val="both"/>
        <w:rPr>
          <w:rFonts w:cs="Calibri"/>
        </w:rPr>
      </w:pPr>
      <w:r w:rsidRPr="00076E2C">
        <w:rPr>
          <w:rFonts w:cs="Calibri"/>
        </w:rPr>
        <w:t>L’organisation du système d’information sanitaire en particulier la révision du SNIS pour les besoins de la mise en œuvre du PDS et répondre à la mesure des performances du système de santé ainsi que la mise en place des tableaux de bord permettant le suivi efficace des interventions à tous les niveaux ;</w:t>
      </w:r>
    </w:p>
    <w:p w14:paraId="75840395" w14:textId="77777777" w:rsidR="00076E2C" w:rsidRPr="00076E2C" w:rsidRDefault="00076E2C" w:rsidP="00076E2C">
      <w:pPr>
        <w:pStyle w:val="Paragraphedeliste"/>
        <w:numPr>
          <w:ilvl w:val="0"/>
          <w:numId w:val="46"/>
        </w:numPr>
        <w:jc w:val="both"/>
        <w:rPr>
          <w:rFonts w:cs="Calibri"/>
        </w:rPr>
      </w:pPr>
      <w:r w:rsidRPr="00076E2C">
        <w:rPr>
          <w:rFonts w:cs="Calibri"/>
        </w:rPr>
        <w:t>Le financement basé sur les résultats ou gestion axée sur la performance ;</w:t>
      </w:r>
    </w:p>
    <w:p w14:paraId="648A7080" w14:textId="77777777" w:rsidR="00076E2C" w:rsidRPr="00076E2C" w:rsidRDefault="00076E2C" w:rsidP="00076E2C">
      <w:pPr>
        <w:pStyle w:val="Paragraphedeliste"/>
        <w:numPr>
          <w:ilvl w:val="0"/>
          <w:numId w:val="46"/>
        </w:numPr>
        <w:jc w:val="both"/>
        <w:rPr>
          <w:rFonts w:cs="Calibri"/>
        </w:rPr>
      </w:pPr>
      <w:r w:rsidRPr="00076E2C">
        <w:rPr>
          <w:rFonts w:cs="Calibri"/>
        </w:rPr>
        <w:t>Le transfert des compétences et des ressources de l’Etat aux collectivités territoriales.</w:t>
      </w:r>
    </w:p>
    <w:p w14:paraId="2E0AC4A1" w14:textId="77777777" w:rsidR="00076E2C" w:rsidRPr="00076E2C" w:rsidRDefault="00076E2C" w:rsidP="00076E2C">
      <w:pPr>
        <w:jc w:val="both"/>
        <w:rPr>
          <w:rFonts w:cs="Calibri"/>
        </w:rPr>
      </w:pPr>
      <w:r w:rsidRPr="00076E2C">
        <w:rPr>
          <w:rFonts w:cs="Calibri"/>
        </w:rPr>
        <w:t>De plus, les ressources humaines en santé sont aujourd’hui au sein de ce programme. Or cette question est l’une des plus fondamentales pour l’amélioration de l’offre de services de santé. Un certain nombre d’objectifs spécifiques relève de ce pilier du système de santé :</w:t>
      </w:r>
    </w:p>
    <w:p w14:paraId="6E261E11" w14:textId="77777777" w:rsidR="00076E2C" w:rsidRPr="00076E2C" w:rsidRDefault="00076E2C" w:rsidP="00076E2C">
      <w:pPr>
        <w:pStyle w:val="Paragraphedeliste"/>
        <w:numPr>
          <w:ilvl w:val="0"/>
          <w:numId w:val="46"/>
        </w:numPr>
        <w:jc w:val="both"/>
        <w:rPr>
          <w:rFonts w:cs="Calibri"/>
        </w:rPr>
      </w:pPr>
      <w:r w:rsidRPr="00076E2C">
        <w:rPr>
          <w:rFonts w:cs="Calibri"/>
        </w:rPr>
        <w:t>Doter 80% des structures sanitaires en personnels conformément aux besoins identifiés.</w:t>
      </w:r>
    </w:p>
    <w:p w14:paraId="475C5A40" w14:textId="77777777" w:rsidR="00076E2C" w:rsidRPr="00076E2C" w:rsidRDefault="00076E2C" w:rsidP="00076E2C">
      <w:pPr>
        <w:pStyle w:val="Paragraphedeliste"/>
        <w:numPr>
          <w:ilvl w:val="0"/>
          <w:numId w:val="46"/>
        </w:numPr>
        <w:jc w:val="both"/>
        <w:rPr>
          <w:rFonts w:cs="Calibri"/>
        </w:rPr>
      </w:pPr>
      <w:r w:rsidRPr="00076E2C">
        <w:rPr>
          <w:rFonts w:cs="Calibri"/>
        </w:rPr>
        <w:t>Planifier la formation initiale et continue conformément aux besoins identifiés auprès de la totalité des structures sanitaires.</w:t>
      </w:r>
    </w:p>
    <w:p w14:paraId="3CFF2EA1" w14:textId="77777777" w:rsidR="00076E2C" w:rsidRPr="00076E2C" w:rsidRDefault="00076E2C" w:rsidP="00076E2C">
      <w:pPr>
        <w:pStyle w:val="Paragraphedeliste"/>
        <w:numPr>
          <w:ilvl w:val="0"/>
          <w:numId w:val="46"/>
        </w:numPr>
        <w:jc w:val="both"/>
        <w:rPr>
          <w:rFonts w:cs="Calibri"/>
        </w:rPr>
      </w:pPr>
      <w:r w:rsidRPr="00076E2C">
        <w:rPr>
          <w:rFonts w:cs="Calibri"/>
        </w:rPr>
        <w:t>Gérer les carrières de tous les agents de santé au sein des différentes catégories d’emplois de la fonction publique.</w:t>
      </w:r>
    </w:p>
    <w:p w14:paraId="24ACA71D" w14:textId="77777777" w:rsidR="00C43FB7" w:rsidRPr="00C43FB7" w:rsidRDefault="00C43FB7" w:rsidP="00C43FB7">
      <w:pPr>
        <w:pStyle w:val="Paragraphedeliste"/>
        <w:numPr>
          <w:ilvl w:val="0"/>
          <w:numId w:val="46"/>
        </w:numPr>
        <w:rPr>
          <w:rFonts w:cs="Calibri"/>
        </w:rPr>
      </w:pPr>
      <w:r w:rsidRPr="00C43FB7">
        <w:rPr>
          <w:rFonts w:cs="Calibri"/>
        </w:rPr>
        <w:t>Mettre en place un dispositif de certification et d’accréditation des écoles de formations en santé.</w:t>
      </w:r>
    </w:p>
    <w:p w14:paraId="0E93C819" w14:textId="77777777" w:rsidR="00076E2C" w:rsidRPr="00076E2C" w:rsidRDefault="00076E2C" w:rsidP="00076E2C">
      <w:pPr>
        <w:pStyle w:val="Paragraphedeliste"/>
        <w:numPr>
          <w:ilvl w:val="0"/>
          <w:numId w:val="46"/>
        </w:numPr>
        <w:jc w:val="both"/>
        <w:rPr>
          <w:rFonts w:cs="Calibri"/>
        </w:rPr>
      </w:pPr>
      <w:r w:rsidRPr="00076E2C">
        <w:rPr>
          <w:rFonts w:cs="Calibri"/>
        </w:rPr>
        <w:t>Développer la gestion prévisionnelle des postes au niveau central, DRSP et districts sanitaires</w:t>
      </w:r>
    </w:p>
    <w:p w14:paraId="56702246" w14:textId="77777777" w:rsidR="00076E2C" w:rsidRPr="00076E2C" w:rsidRDefault="00076E2C" w:rsidP="00076E2C">
      <w:pPr>
        <w:pStyle w:val="Paragraphedeliste"/>
        <w:numPr>
          <w:ilvl w:val="0"/>
          <w:numId w:val="46"/>
        </w:numPr>
        <w:jc w:val="both"/>
        <w:rPr>
          <w:rFonts w:cs="Calibri"/>
        </w:rPr>
      </w:pPr>
      <w:r w:rsidRPr="00076E2C">
        <w:rPr>
          <w:rFonts w:cs="Calibri"/>
        </w:rPr>
        <w:t xml:space="preserve">Mettre en place des mesures motivationnelles dans toutes les formations sanitaires dans le cadre </w:t>
      </w:r>
      <w:r w:rsidR="006E10F9">
        <w:rPr>
          <w:rFonts w:cs="Calibri"/>
        </w:rPr>
        <w:t>de la gestion axée sur les résultats</w:t>
      </w:r>
      <w:r w:rsidRPr="00076E2C">
        <w:rPr>
          <w:rFonts w:cs="Calibri"/>
        </w:rPr>
        <w:t>.</w:t>
      </w:r>
    </w:p>
    <w:p w14:paraId="26DFC44D" w14:textId="77777777" w:rsidR="00076E2C" w:rsidRDefault="00076E2C" w:rsidP="00076E2C">
      <w:pPr>
        <w:pStyle w:val="Paragraphedeliste"/>
        <w:numPr>
          <w:ilvl w:val="0"/>
          <w:numId w:val="46"/>
        </w:numPr>
        <w:jc w:val="both"/>
        <w:rPr>
          <w:rFonts w:cs="Calibri"/>
        </w:rPr>
      </w:pPr>
      <w:r w:rsidRPr="00076E2C">
        <w:rPr>
          <w:rFonts w:cs="Calibri"/>
        </w:rPr>
        <w:t>Renforcer la capacité de GRH à tous les niveaux de la pyramide sanitaire</w:t>
      </w:r>
    </w:p>
    <w:p w14:paraId="717A94E3" w14:textId="77777777" w:rsidR="000E6FB8" w:rsidRPr="00076E2C" w:rsidRDefault="000E6FB8" w:rsidP="000E6FB8">
      <w:pPr>
        <w:pStyle w:val="Paragraphedeliste"/>
        <w:numPr>
          <w:ilvl w:val="0"/>
          <w:numId w:val="46"/>
        </w:numPr>
        <w:jc w:val="both"/>
        <w:rPr>
          <w:rFonts w:cs="Calibri"/>
        </w:rPr>
      </w:pPr>
      <w:r w:rsidRPr="00076E2C">
        <w:rPr>
          <w:rFonts w:cs="Calibri"/>
        </w:rPr>
        <w:t>La mise en œuvre d’actions de promotion de l’installation des médecins en zone rurale ;</w:t>
      </w:r>
    </w:p>
    <w:p w14:paraId="06AEBD48" w14:textId="77777777" w:rsidR="00076E2C" w:rsidRDefault="00076E2C" w:rsidP="00076E2C">
      <w:pPr>
        <w:pStyle w:val="Titre2"/>
      </w:pPr>
      <w:bookmarkStart w:id="20" w:name="_Toc21449022"/>
      <w:r>
        <w:t>Axe stratégique n°5 : amélioration de l’accès aux soins et services de santé</w:t>
      </w:r>
      <w:r>
        <w:rPr>
          <w:rStyle w:val="Appelnotedebasdep"/>
          <w:rFonts w:cs="Calibri"/>
          <w:sz w:val="22"/>
          <w:szCs w:val="22"/>
        </w:rPr>
        <w:footnoteReference w:id="10"/>
      </w:r>
      <w:bookmarkEnd w:id="20"/>
    </w:p>
    <w:p w14:paraId="78A02D86" w14:textId="77777777" w:rsidR="00076E2C" w:rsidRPr="00076E2C" w:rsidRDefault="00076E2C" w:rsidP="00076E2C">
      <w:pPr>
        <w:jc w:val="both"/>
        <w:rPr>
          <w:rFonts w:cs="Calibri"/>
        </w:rPr>
      </w:pPr>
      <w:r w:rsidRPr="00076E2C">
        <w:rPr>
          <w:rFonts w:cs="Calibri"/>
        </w:rPr>
        <w:t>Cet axe stratégique comprend notamment deux piliers essentiels du système de santé, à savoir les infrastructures et équipements (et leur maintenance) ainsi que les médicaments et autres produits de santé. Les orientations majeur</w:t>
      </w:r>
      <w:r>
        <w:rPr>
          <w:rFonts w:cs="Calibri"/>
        </w:rPr>
        <w:t>e</w:t>
      </w:r>
      <w:r w:rsidRPr="00076E2C">
        <w:rPr>
          <w:rFonts w:cs="Calibri"/>
        </w:rPr>
        <w:t>s de cet axe sont les suivantes :</w:t>
      </w:r>
    </w:p>
    <w:p w14:paraId="33FF5AA0" w14:textId="77777777" w:rsidR="00076E2C" w:rsidRPr="00076E2C" w:rsidRDefault="00076E2C" w:rsidP="00076E2C">
      <w:pPr>
        <w:rPr>
          <w:rFonts w:cs="Calibri"/>
          <w:i/>
        </w:rPr>
      </w:pPr>
      <w:r w:rsidRPr="00076E2C">
        <w:rPr>
          <w:rFonts w:cs="Calibri"/>
          <w:i/>
        </w:rPr>
        <w:t xml:space="preserve">Infrastructures et équipements (et leur maintenance) </w:t>
      </w:r>
    </w:p>
    <w:p w14:paraId="66448A28" w14:textId="77777777" w:rsidR="00076E2C" w:rsidRPr="00076E2C" w:rsidRDefault="00076E2C" w:rsidP="00076E2C">
      <w:pPr>
        <w:pStyle w:val="Paragraphedeliste"/>
        <w:numPr>
          <w:ilvl w:val="0"/>
          <w:numId w:val="19"/>
        </w:numPr>
        <w:rPr>
          <w:rFonts w:cs="Calibri"/>
        </w:rPr>
      </w:pPr>
      <w:r w:rsidRPr="00076E2C">
        <w:rPr>
          <w:rFonts w:cs="Calibri"/>
        </w:rPr>
        <w:t>Mise en œuvre de la stratégie nationale de maintenance</w:t>
      </w:r>
    </w:p>
    <w:p w14:paraId="6E751F28" w14:textId="77777777" w:rsidR="00076E2C" w:rsidRPr="00076E2C" w:rsidRDefault="00076E2C" w:rsidP="00076E2C">
      <w:pPr>
        <w:pStyle w:val="Paragraphedeliste"/>
        <w:numPr>
          <w:ilvl w:val="0"/>
          <w:numId w:val="19"/>
        </w:numPr>
        <w:rPr>
          <w:rFonts w:cs="Calibri"/>
        </w:rPr>
      </w:pPr>
      <w:r w:rsidRPr="00076E2C">
        <w:rPr>
          <w:rFonts w:cs="Calibri"/>
        </w:rPr>
        <w:t xml:space="preserve">Mise en œuvre de nouvelles normes et standard </w:t>
      </w:r>
    </w:p>
    <w:p w14:paraId="1E3940B0" w14:textId="77777777" w:rsidR="00076E2C" w:rsidRPr="00076E2C" w:rsidRDefault="00076E2C" w:rsidP="00076E2C">
      <w:pPr>
        <w:pStyle w:val="Paragraphedeliste"/>
        <w:numPr>
          <w:ilvl w:val="0"/>
          <w:numId w:val="19"/>
        </w:numPr>
        <w:rPr>
          <w:rFonts w:cs="Calibri"/>
        </w:rPr>
      </w:pPr>
      <w:r w:rsidRPr="00076E2C">
        <w:rPr>
          <w:rFonts w:cs="Calibri"/>
        </w:rPr>
        <w:t>Recours au PPP dans la construction des infrastructures sanitaire</w:t>
      </w:r>
    </w:p>
    <w:p w14:paraId="15735CDB" w14:textId="77777777" w:rsidR="00076E2C" w:rsidRDefault="00076E2C" w:rsidP="00076E2C">
      <w:pPr>
        <w:pStyle w:val="Paragraphedeliste"/>
        <w:numPr>
          <w:ilvl w:val="0"/>
          <w:numId w:val="19"/>
        </w:numPr>
        <w:rPr>
          <w:rFonts w:cs="Calibri"/>
        </w:rPr>
      </w:pPr>
      <w:r w:rsidRPr="00076E2C">
        <w:rPr>
          <w:rFonts w:cs="Calibri"/>
        </w:rPr>
        <w:t>Mise en œuvre de la Recherche Action en matière de maintenance</w:t>
      </w:r>
    </w:p>
    <w:p w14:paraId="05BE0AE3" w14:textId="77777777" w:rsidR="000E6FB8" w:rsidRPr="00076E2C" w:rsidRDefault="000E6FB8" w:rsidP="000E6FB8">
      <w:pPr>
        <w:pStyle w:val="Paragraphedeliste"/>
        <w:numPr>
          <w:ilvl w:val="0"/>
          <w:numId w:val="19"/>
        </w:numPr>
        <w:jc w:val="both"/>
        <w:rPr>
          <w:rFonts w:cs="Calibri"/>
        </w:rPr>
      </w:pPr>
      <w:r w:rsidRPr="00076E2C">
        <w:rPr>
          <w:rFonts w:cs="Calibri"/>
        </w:rPr>
        <w:t>Le développement du partenariat avec le secteur privé dans l'offre des soins et des services, au travers de la contractualisation, en privilégiant les avantages comparatifs ;</w:t>
      </w:r>
    </w:p>
    <w:p w14:paraId="66B46B52" w14:textId="77777777" w:rsidR="00076E2C" w:rsidRPr="00076E2C" w:rsidRDefault="00076E2C" w:rsidP="00076E2C">
      <w:pPr>
        <w:rPr>
          <w:rFonts w:cs="Calibri"/>
          <w:i/>
        </w:rPr>
      </w:pPr>
      <w:r w:rsidRPr="00076E2C">
        <w:rPr>
          <w:rFonts w:cs="Calibri"/>
          <w:i/>
        </w:rPr>
        <w:t>Médicaments et autres produits de santé :</w:t>
      </w:r>
    </w:p>
    <w:p w14:paraId="32862638" w14:textId="77777777" w:rsidR="008566D6" w:rsidRPr="00076E2C" w:rsidRDefault="008566D6" w:rsidP="008566D6">
      <w:pPr>
        <w:pStyle w:val="Paragraphedeliste"/>
        <w:numPr>
          <w:ilvl w:val="0"/>
          <w:numId w:val="19"/>
        </w:numPr>
        <w:rPr>
          <w:rFonts w:cs="Calibri"/>
        </w:rPr>
      </w:pPr>
      <w:r w:rsidRPr="00076E2C">
        <w:rPr>
          <w:rFonts w:cs="Calibri"/>
        </w:rPr>
        <w:t>Renforcement du cadre juridique du secteur pharmaceutique</w:t>
      </w:r>
      <w:r>
        <w:rPr>
          <w:rFonts w:cs="Calibri"/>
        </w:rPr>
        <w:t> ;</w:t>
      </w:r>
    </w:p>
    <w:p w14:paraId="5F750EBB" w14:textId="77777777" w:rsidR="006E10F9" w:rsidRPr="00076E2C" w:rsidRDefault="006E10F9" w:rsidP="006E10F9">
      <w:pPr>
        <w:pStyle w:val="Paragraphedeliste"/>
        <w:numPr>
          <w:ilvl w:val="0"/>
          <w:numId w:val="19"/>
        </w:numPr>
        <w:jc w:val="both"/>
        <w:rPr>
          <w:rFonts w:cs="Calibri"/>
        </w:rPr>
      </w:pPr>
      <w:r w:rsidRPr="00076E2C">
        <w:rPr>
          <w:rFonts w:cs="Calibri"/>
        </w:rPr>
        <w:t>La réforme du secteur pharmaceutique en mettant un accent particulier sur la réorganisation de l'ONPPC par la définition des nouvelles missions de services, l'ouverture de son conseil d'administration aux partenaires techniques et financiers et la dotation d'un fonds de roulement conséquent en vue de permettre à cette structure de jouer pleinement son rôle ;</w:t>
      </w:r>
    </w:p>
    <w:p w14:paraId="28C2F45A" w14:textId="77777777" w:rsidR="008566D6" w:rsidRPr="00076E2C" w:rsidRDefault="008566D6" w:rsidP="008566D6">
      <w:pPr>
        <w:pStyle w:val="Paragraphedeliste"/>
        <w:numPr>
          <w:ilvl w:val="0"/>
          <w:numId w:val="19"/>
        </w:numPr>
        <w:rPr>
          <w:rFonts w:cs="Calibri"/>
        </w:rPr>
      </w:pPr>
      <w:r w:rsidRPr="00076E2C">
        <w:rPr>
          <w:rFonts w:cs="Calibri"/>
        </w:rPr>
        <w:t xml:space="preserve">Renforcement de la chaine d’approvisionnement </w:t>
      </w:r>
      <w:r>
        <w:rPr>
          <w:rFonts w:cs="Calibri"/>
        </w:rPr>
        <w:t xml:space="preserve">en produits de santé </w:t>
      </w:r>
      <w:r w:rsidRPr="00076E2C">
        <w:rPr>
          <w:rFonts w:cs="Calibri"/>
        </w:rPr>
        <w:t>(</w:t>
      </w:r>
      <w:r>
        <w:rPr>
          <w:rFonts w:cs="Calibri"/>
        </w:rPr>
        <w:t>r</w:t>
      </w:r>
      <w:r w:rsidRPr="00076E2C">
        <w:rPr>
          <w:rFonts w:cs="Calibri"/>
        </w:rPr>
        <w:t xml:space="preserve">ecapitaliser l’ONPPC, </w:t>
      </w:r>
      <w:r>
        <w:rPr>
          <w:rFonts w:cs="Calibri"/>
        </w:rPr>
        <w:t>r</w:t>
      </w:r>
      <w:r w:rsidRPr="00076E2C">
        <w:rPr>
          <w:rFonts w:cs="Calibri"/>
        </w:rPr>
        <w:t xml:space="preserve">enforcer </w:t>
      </w:r>
      <w:r w:rsidR="00CC5F3B">
        <w:rPr>
          <w:rFonts w:cs="Calibri"/>
        </w:rPr>
        <w:t>s</w:t>
      </w:r>
      <w:r w:rsidRPr="00076E2C">
        <w:rPr>
          <w:rFonts w:cs="Calibri"/>
        </w:rPr>
        <w:t xml:space="preserve">a capacité de stockage et en régions, </w:t>
      </w:r>
      <w:r>
        <w:rPr>
          <w:rFonts w:cs="Calibri"/>
        </w:rPr>
        <w:t>r</w:t>
      </w:r>
      <w:r w:rsidRPr="00076E2C">
        <w:rPr>
          <w:rFonts w:cs="Calibri"/>
        </w:rPr>
        <w:t xml:space="preserve">enforcer la capacité de distribution </w:t>
      </w:r>
      <w:r>
        <w:rPr>
          <w:rFonts w:cs="Calibri"/>
        </w:rPr>
        <w:t>des produits de santé</w:t>
      </w:r>
      <w:r w:rsidRPr="00076E2C">
        <w:rPr>
          <w:rFonts w:cs="Calibri"/>
        </w:rPr>
        <w:t xml:space="preserve">, </w:t>
      </w:r>
      <w:r>
        <w:rPr>
          <w:rFonts w:cs="Calibri"/>
        </w:rPr>
        <w:t>a</w:t>
      </w:r>
      <w:r w:rsidRPr="00076E2C">
        <w:rPr>
          <w:rFonts w:cs="Calibri"/>
        </w:rPr>
        <w:t>méliorer la gestion interne de l’ONPPC et son circuit de distribution)</w:t>
      </w:r>
      <w:r>
        <w:rPr>
          <w:rFonts w:cs="Calibri"/>
        </w:rPr>
        <w:t> ;</w:t>
      </w:r>
    </w:p>
    <w:p w14:paraId="5A24E10F" w14:textId="77777777" w:rsidR="00076E2C" w:rsidRPr="00076E2C" w:rsidRDefault="00076E2C" w:rsidP="00076E2C">
      <w:pPr>
        <w:pStyle w:val="Paragraphedeliste"/>
        <w:numPr>
          <w:ilvl w:val="0"/>
          <w:numId w:val="19"/>
        </w:numPr>
        <w:rPr>
          <w:rFonts w:cs="Calibri"/>
        </w:rPr>
      </w:pPr>
      <w:r w:rsidRPr="00076E2C">
        <w:rPr>
          <w:rFonts w:cs="Calibri"/>
        </w:rPr>
        <w:t>Renforcement de  la production locale des médicaments</w:t>
      </w:r>
      <w:r w:rsidR="008566D6">
        <w:rPr>
          <w:rFonts w:cs="Calibri"/>
        </w:rPr>
        <w:t> ;</w:t>
      </w:r>
    </w:p>
    <w:p w14:paraId="53DAD769" w14:textId="77777777" w:rsidR="00076E2C" w:rsidRPr="00076E2C" w:rsidRDefault="00076E2C" w:rsidP="00076E2C">
      <w:pPr>
        <w:pStyle w:val="Paragraphedeliste"/>
        <w:numPr>
          <w:ilvl w:val="0"/>
          <w:numId w:val="19"/>
        </w:numPr>
        <w:rPr>
          <w:rFonts w:cs="Calibri"/>
        </w:rPr>
      </w:pPr>
      <w:r w:rsidRPr="00076E2C">
        <w:rPr>
          <w:rFonts w:cs="Calibri"/>
        </w:rPr>
        <w:t>Renforcement du contrôle de qualité des médicaments</w:t>
      </w:r>
      <w:r w:rsidR="008566D6">
        <w:rPr>
          <w:rFonts w:cs="Calibri"/>
        </w:rPr>
        <w:t> ;</w:t>
      </w:r>
    </w:p>
    <w:p w14:paraId="0D86C49E" w14:textId="77777777" w:rsidR="00076E2C" w:rsidRPr="00076E2C" w:rsidRDefault="00076E2C" w:rsidP="00076E2C">
      <w:pPr>
        <w:pStyle w:val="Paragraphedeliste"/>
        <w:numPr>
          <w:ilvl w:val="0"/>
          <w:numId w:val="19"/>
        </w:numPr>
        <w:rPr>
          <w:rFonts w:cs="Calibri"/>
        </w:rPr>
      </w:pPr>
      <w:r w:rsidRPr="00076E2C">
        <w:rPr>
          <w:rFonts w:cs="Calibri"/>
        </w:rPr>
        <w:t>Disponibilité  en médicaments, sang et dérivés de qualité dans les formations sanitaires</w:t>
      </w:r>
    </w:p>
    <w:p w14:paraId="0631A357" w14:textId="77777777" w:rsidR="00076E2C" w:rsidRPr="00076E2C" w:rsidRDefault="00C844D2" w:rsidP="00076E2C">
      <w:pPr>
        <w:pStyle w:val="Paragraphedeliste"/>
        <w:numPr>
          <w:ilvl w:val="0"/>
          <w:numId w:val="19"/>
        </w:numPr>
        <w:rPr>
          <w:rFonts w:cs="Calibri"/>
        </w:rPr>
      </w:pPr>
      <w:r>
        <w:rPr>
          <w:rFonts w:cs="Calibri"/>
        </w:rPr>
        <w:t>Intensification de</w:t>
      </w:r>
      <w:r w:rsidR="00076E2C" w:rsidRPr="00076E2C">
        <w:rPr>
          <w:rFonts w:cs="Calibri"/>
        </w:rPr>
        <w:t xml:space="preserve"> la lutte contre la vente illicite des médicaments et </w:t>
      </w:r>
      <w:r>
        <w:rPr>
          <w:rFonts w:cs="Calibri"/>
        </w:rPr>
        <w:t xml:space="preserve">des </w:t>
      </w:r>
      <w:r w:rsidR="00076E2C" w:rsidRPr="00076E2C">
        <w:rPr>
          <w:rFonts w:cs="Calibri"/>
        </w:rPr>
        <w:t>médicaments contrefaits</w:t>
      </w:r>
      <w:r w:rsidR="008566D6">
        <w:rPr>
          <w:rFonts w:cs="Calibri"/>
        </w:rPr>
        <w:t> ;</w:t>
      </w:r>
    </w:p>
    <w:p w14:paraId="3953EE16" w14:textId="77777777" w:rsidR="00076E2C" w:rsidRPr="00076E2C" w:rsidRDefault="00076E2C" w:rsidP="00076E2C">
      <w:pPr>
        <w:pStyle w:val="Paragraphedeliste"/>
        <w:numPr>
          <w:ilvl w:val="0"/>
          <w:numId w:val="19"/>
        </w:numPr>
        <w:rPr>
          <w:rFonts w:cs="Calibri"/>
        </w:rPr>
      </w:pPr>
      <w:r w:rsidRPr="00076E2C">
        <w:rPr>
          <w:rFonts w:cs="Calibri"/>
        </w:rPr>
        <w:t xml:space="preserve">Mise en place d’une agence </w:t>
      </w:r>
      <w:r w:rsidR="00C43FB7">
        <w:rPr>
          <w:rFonts w:cs="Calibri"/>
        </w:rPr>
        <w:t>de règlementation pharmaceutique</w:t>
      </w:r>
      <w:r w:rsidR="008566D6">
        <w:rPr>
          <w:rFonts w:cs="Calibri"/>
        </w:rPr>
        <w:t> ;</w:t>
      </w:r>
    </w:p>
    <w:p w14:paraId="63E1A5A5" w14:textId="77777777" w:rsidR="00076E2C" w:rsidRPr="00076E2C" w:rsidRDefault="00076E2C" w:rsidP="00076E2C">
      <w:pPr>
        <w:pStyle w:val="Paragraphedeliste"/>
        <w:numPr>
          <w:ilvl w:val="0"/>
          <w:numId w:val="19"/>
        </w:numPr>
        <w:rPr>
          <w:rFonts w:cs="Calibri"/>
        </w:rPr>
      </w:pPr>
      <w:r w:rsidRPr="00076E2C">
        <w:rPr>
          <w:rFonts w:cs="Calibri"/>
        </w:rPr>
        <w:t>Renforcement de  la Direction de la Pharmacie et de la Médecine Traditionnelle</w:t>
      </w:r>
      <w:r w:rsidR="008566D6">
        <w:rPr>
          <w:rFonts w:cs="Calibri"/>
        </w:rPr>
        <w:t> ;</w:t>
      </w:r>
    </w:p>
    <w:p w14:paraId="629C9B1B" w14:textId="77777777" w:rsidR="00076E2C" w:rsidRDefault="00076E2C" w:rsidP="00076E2C">
      <w:pPr>
        <w:pStyle w:val="Paragraphedeliste"/>
        <w:numPr>
          <w:ilvl w:val="0"/>
          <w:numId w:val="19"/>
        </w:numPr>
        <w:rPr>
          <w:rFonts w:cs="Calibri"/>
        </w:rPr>
      </w:pPr>
      <w:r w:rsidRPr="00076E2C">
        <w:rPr>
          <w:rFonts w:cs="Calibri"/>
        </w:rPr>
        <w:t>Renforcement  des capacités des services sur les technologies de production des Médicaments Traditionnels Améliorés (MTA)</w:t>
      </w:r>
      <w:r w:rsidR="008566D6">
        <w:rPr>
          <w:rFonts w:cs="Calibri"/>
        </w:rPr>
        <w:t> ;</w:t>
      </w:r>
    </w:p>
    <w:p w14:paraId="2CF757CA" w14:textId="77777777" w:rsidR="00C43FB7" w:rsidRPr="00C43FB7" w:rsidRDefault="00C43FB7" w:rsidP="00C43FB7">
      <w:pPr>
        <w:pStyle w:val="Paragraphedeliste"/>
        <w:numPr>
          <w:ilvl w:val="0"/>
          <w:numId w:val="19"/>
        </w:numPr>
        <w:rPr>
          <w:rFonts w:cs="Calibri"/>
        </w:rPr>
      </w:pPr>
      <w:r w:rsidRPr="00C43FB7">
        <w:rPr>
          <w:rFonts w:cs="Calibri"/>
        </w:rPr>
        <w:t>Intégration des modules de formation de la médecine traditionnelle dans le curricula de formation des écoles et universités ;</w:t>
      </w:r>
    </w:p>
    <w:p w14:paraId="27EFB953" w14:textId="77777777" w:rsidR="00076E2C" w:rsidRDefault="00076E2C" w:rsidP="00076E2C">
      <w:pPr>
        <w:pStyle w:val="Paragraphedeliste"/>
        <w:numPr>
          <w:ilvl w:val="0"/>
          <w:numId w:val="19"/>
        </w:numPr>
        <w:rPr>
          <w:rFonts w:cs="Calibri"/>
        </w:rPr>
      </w:pPr>
      <w:r w:rsidRPr="00076E2C">
        <w:rPr>
          <w:rFonts w:cs="Calibri"/>
        </w:rPr>
        <w:t>Encadrement des tradipraticiens dans l'organisation de la filière MT</w:t>
      </w:r>
      <w:r w:rsidR="008566D6">
        <w:rPr>
          <w:rFonts w:cs="Calibri"/>
        </w:rPr>
        <w:t> ;</w:t>
      </w:r>
    </w:p>
    <w:p w14:paraId="32A56FEF" w14:textId="77777777" w:rsidR="00EA6FCD" w:rsidRDefault="00EA6FCD" w:rsidP="00EA6FCD">
      <w:pPr>
        <w:rPr>
          <w:rFonts w:cs="Calibri"/>
        </w:rPr>
      </w:pPr>
      <w:r>
        <w:rPr>
          <w:rFonts w:cs="Calibri"/>
        </w:rPr>
        <w:t>Mais encore :</w:t>
      </w:r>
    </w:p>
    <w:p w14:paraId="0FC3E1F1" w14:textId="77777777" w:rsidR="00EA6FCD" w:rsidRDefault="00EA6FCD" w:rsidP="00EA6FCD">
      <w:pPr>
        <w:pStyle w:val="Paragraphedeliste"/>
        <w:numPr>
          <w:ilvl w:val="0"/>
          <w:numId w:val="19"/>
        </w:numPr>
        <w:rPr>
          <w:rFonts w:cs="Calibri"/>
        </w:rPr>
      </w:pPr>
      <w:r w:rsidRPr="00076E2C">
        <w:rPr>
          <w:rFonts w:cs="Calibri"/>
        </w:rPr>
        <w:t>Le développement du partenariat avec le secteur privé dans l'offre des soins et des services, au travers de la contractualisation, en privilégiant les avantages comparatifs </w:t>
      </w:r>
    </w:p>
    <w:p w14:paraId="68BFA447" w14:textId="77777777" w:rsidR="005310EF" w:rsidRPr="005310EF" w:rsidRDefault="005310EF" w:rsidP="005310EF">
      <w:pPr>
        <w:rPr>
          <w:rFonts w:cs="Calibri"/>
        </w:rPr>
      </w:pPr>
      <w:r>
        <w:rPr>
          <w:rFonts w:cs="Calibri"/>
        </w:rPr>
        <w:t xml:space="preserve">Cet axe concourra au renforcement des soins de santé </w:t>
      </w:r>
      <w:r w:rsidR="006E10F9">
        <w:rPr>
          <w:rFonts w:cs="Calibri"/>
        </w:rPr>
        <w:t>primaires</w:t>
      </w:r>
      <w:r>
        <w:rPr>
          <w:rFonts w:cs="Calibri"/>
        </w:rPr>
        <w:t xml:space="preserve"> en priorité.</w:t>
      </w:r>
    </w:p>
    <w:p w14:paraId="1B0E2DCF" w14:textId="77777777" w:rsidR="00076E2C" w:rsidRDefault="00076E2C" w:rsidP="00076E2C">
      <w:pPr>
        <w:pStyle w:val="Titre2"/>
      </w:pPr>
      <w:bookmarkStart w:id="21" w:name="_Toc21449023"/>
      <w:r>
        <w:t>Axe stratégique n°6 : amélioration des prestations de soins et services de santé</w:t>
      </w:r>
      <w:bookmarkEnd w:id="21"/>
    </w:p>
    <w:p w14:paraId="0A0014E7" w14:textId="77777777" w:rsidR="00076E2C" w:rsidRPr="00076E2C" w:rsidRDefault="00076E2C" w:rsidP="00076E2C">
      <w:pPr>
        <w:autoSpaceDE w:val="0"/>
        <w:autoSpaceDN w:val="0"/>
        <w:adjustRightInd w:val="0"/>
        <w:spacing w:after="0" w:line="240" w:lineRule="auto"/>
        <w:jc w:val="both"/>
        <w:rPr>
          <w:rFonts w:cs="Calibri"/>
        </w:rPr>
      </w:pPr>
      <w:r w:rsidRPr="00076E2C">
        <w:rPr>
          <w:rFonts w:cs="Calibri"/>
        </w:rPr>
        <w:t>Pour tendre vers la CSU et accélérer l’atteinte des ODD relatifs à la santé, le pays a opté pour le développement de la stratégie intégrée sur la santé de la femme, du nouveau-né, de l’enfant et de l’adolescent. Par ailleurs, les interventions mises à échelle concernent la santé de la mère y compris la Planification familiale, la santé de l’enfant et adolescents, la prévention et la lutte contre, le paludisme, la tuberculose, les IST/VIH, les maladies cible du PEV, les cancers gynécologiques et les maladies non transmissibles. De plus et depuis plus d’une décennie, le Niger fait face à des crises alimentaires et nutritionnelles quasi récurrentes. A ces crises s’ajoutent les épidémies (la méningite, le choléra, la rougeole, le paludisme, la fièvre de la vallée du rift et l’hépatite E) et les inondations qui affectent surtout les couches de la population les plus vulnérables.</w:t>
      </w:r>
    </w:p>
    <w:p w14:paraId="402E85F5" w14:textId="77777777" w:rsidR="00076E2C" w:rsidRPr="00076E2C" w:rsidRDefault="00076E2C" w:rsidP="00076E2C">
      <w:pPr>
        <w:rPr>
          <w:rFonts w:cs="Calibri"/>
        </w:rPr>
      </w:pPr>
    </w:p>
    <w:p w14:paraId="53D5F001" w14:textId="77777777" w:rsidR="000E6FB8" w:rsidRDefault="00076E2C" w:rsidP="000E6FB8">
      <w:pPr>
        <w:pStyle w:val="Paragraphedeliste"/>
        <w:numPr>
          <w:ilvl w:val="0"/>
          <w:numId w:val="46"/>
        </w:numPr>
        <w:jc w:val="both"/>
        <w:rPr>
          <w:rFonts w:cs="Calibri"/>
        </w:rPr>
      </w:pPr>
      <w:r w:rsidRPr="00076E2C">
        <w:rPr>
          <w:rFonts w:cs="Calibri"/>
        </w:rPr>
        <w:t>Le développement d'une approche communautaire intégrée autour des cases de santé y compris la prise en char</w:t>
      </w:r>
      <w:r w:rsidR="00E4665A">
        <w:rPr>
          <w:rFonts w:cs="Calibri"/>
        </w:rPr>
        <w:t>ge communautaire des cas</w:t>
      </w:r>
      <w:r w:rsidRPr="00076E2C">
        <w:rPr>
          <w:rFonts w:cs="Calibri"/>
        </w:rPr>
        <w:t xml:space="preserve"> avec un accent particulier sur le niveau communautaire pour la prise en charge des trois maladies les plus tueuses d’enfants (diarrhées-pneumonie-paludisme) et sur la prise en charge communautaire de la mère et du nouveau-né. </w:t>
      </w:r>
    </w:p>
    <w:p w14:paraId="516534B2" w14:textId="77777777" w:rsidR="006E10F9" w:rsidRPr="00076E2C" w:rsidRDefault="006E10F9" w:rsidP="006E10F9">
      <w:pPr>
        <w:pStyle w:val="Paragraphedeliste"/>
        <w:numPr>
          <w:ilvl w:val="0"/>
          <w:numId w:val="46"/>
        </w:numPr>
        <w:jc w:val="both"/>
        <w:rPr>
          <w:rFonts w:cs="Calibri"/>
        </w:rPr>
      </w:pPr>
      <w:bookmarkStart w:id="22" w:name="RANGE!A12"/>
      <w:r w:rsidRPr="00076E2C">
        <w:rPr>
          <w:rFonts w:cs="Calibri"/>
        </w:rPr>
        <w:t>La mise en place d’un dispositif d’amélioration de la qualité dans le système de santé y compris la création des comités pharmaceutique, thérapeutique et de recherche au niveau de chaque établissement hospitalier et  la mise en place de dispositifs de certification et d’accréditation des structures sanitaires</w:t>
      </w:r>
      <w:bookmarkEnd w:id="22"/>
      <w:r w:rsidRPr="00076E2C">
        <w:rPr>
          <w:rFonts w:cs="Calibri"/>
        </w:rPr>
        <w:t> ;</w:t>
      </w:r>
    </w:p>
    <w:p w14:paraId="32A384CE" w14:textId="77777777" w:rsidR="000E6FB8" w:rsidRPr="000E6FB8" w:rsidRDefault="000E6FB8" w:rsidP="000E6FB8">
      <w:pPr>
        <w:pStyle w:val="Paragraphedeliste"/>
        <w:numPr>
          <w:ilvl w:val="0"/>
          <w:numId w:val="46"/>
        </w:numPr>
        <w:jc w:val="both"/>
        <w:rPr>
          <w:rFonts w:cs="Calibri"/>
        </w:rPr>
      </w:pPr>
      <w:r w:rsidRPr="00076E2C">
        <w:rPr>
          <w:rFonts w:cs="Calibri"/>
        </w:rPr>
        <w:t>La mise en place des mesures organisationnelles et institutionnelles pour l'amélioration des performances des districts à fort poids démographique (plus de 500 000 habitants) et de nombre élevé de CSI ;</w:t>
      </w:r>
    </w:p>
    <w:p w14:paraId="462A9B24" w14:textId="77777777" w:rsidR="00C43FB7" w:rsidRPr="00AA0AAA" w:rsidRDefault="00C43FB7" w:rsidP="00C43FB7">
      <w:pPr>
        <w:pStyle w:val="Paragraphedeliste"/>
        <w:numPr>
          <w:ilvl w:val="0"/>
          <w:numId w:val="19"/>
        </w:numPr>
        <w:rPr>
          <w:rFonts w:cs="Calibri"/>
        </w:rPr>
      </w:pPr>
      <w:r w:rsidRPr="00534A97">
        <w:rPr>
          <w:rFonts w:cs="Calibri"/>
        </w:rPr>
        <w:t>Le développement des stratégies visant à améliorer la couverture des besoins en Soins Obstétricaux Néonatals d’Urgence de Base (SONUB) sont couverts ;</w:t>
      </w:r>
    </w:p>
    <w:p w14:paraId="6B8E98C8" w14:textId="77777777" w:rsidR="00076E2C" w:rsidRDefault="00076E2C" w:rsidP="00076E2C">
      <w:pPr>
        <w:pStyle w:val="Paragraphedeliste"/>
        <w:numPr>
          <w:ilvl w:val="0"/>
          <w:numId w:val="19"/>
        </w:numPr>
        <w:rPr>
          <w:rFonts w:cs="Calibri"/>
        </w:rPr>
      </w:pPr>
      <w:r w:rsidRPr="00076E2C">
        <w:rPr>
          <w:rFonts w:cs="Calibri"/>
        </w:rPr>
        <w:t>L’institutionnalisation de la Surveillance des Décès Maternels et Riposte (SDMR) au niveau institutionnel et communautaire et a rendu obligatoire la notification et l’audit des décès maternels à tous les niveaux.</w:t>
      </w:r>
    </w:p>
    <w:p w14:paraId="58880F4A" w14:textId="77777777" w:rsidR="00C43FB7" w:rsidRPr="00AA0AAA" w:rsidRDefault="00C43FB7" w:rsidP="00C43FB7">
      <w:pPr>
        <w:pStyle w:val="Paragraphedeliste"/>
        <w:numPr>
          <w:ilvl w:val="0"/>
          <w:numId w:val="19"/>
        </w:numPr>
        <w:rPr>
          <w:rFonts w:cs="Calibri"/>
        </w:rPr>
      </w:pPr>
      <w:r w:rsidRPr="00534A97">
        <w:rPr>
          <w:rFonts w:cs="Calibri"/>
        </w:rPr>
        <w:t>Le renforcement des capacités opérationnelles pour la prévention, le dépistage et la prise en charge des maladies non transmissibles à tous les niveaux de la pyramide sanitaire ;</w:t>
      </w:r>
    </w:p>
    <w:p w14:paraId="76BF739B" w14:textId="77777777" w:rsidR="00076E2C" w:rsidRPr="00076E2C" w:rsidRDefault="00076E2C" w:rsidP="00076E2C">
      <w:pPr>
        <w:pStyle w:val="Paragraphedeliste"/>
        <w:numPr>
          <w:ilvl w:val="0"/>
          <w:numId w:val="19"/>
        </w:numPr>
        <w:rPr>
          <w:rFonts w:cs="Calibri"/>
        </w:rPr>
      </w:pPr>
      <w:r w:rsidRPr="00076E2C">
        <w:rPr>
          <w:rFonts w:cs="Calibri"/>
        </w:rPr>
        <w:t>La délégation des tâches dans le cadre de la prestation des soins et services de santé.</w:t>
      </w:r>
    </w:p>
    <w:p w14:paraId="29C2E677" w14:textId="77777777" w:rsidR="00076E2C" w:rsidRPr="00076E2C" w:rsidRDefault="00076E2C" w:rsidP="00076E2C">
      <w:pPr>
        <w:pStyle w:val="Paragraphedeliste"/>
        <w:numPr>
          <w:ilvl w:val="0"/>
          <w:numId w:val="19"/>
        </w:numPr>
        <w:rPr>
          <w:rFonts w:cs="Calibri"/>
        </w:rPr>
      </w:pPr>
      <w:r w:rsidRPr="00076E2C">
        <w:rPr>
          <w:rFonts w:cs="Calibri"/>
        </w:rPr>
        <w:t>Développement de traitement à travers les nouvelles technologies de l’information et de communication (traitement à distance)</w:t>
      </w:r>
    </w:p>
    <w:p w14:paraId="35101F19" w14:textId="77777777" w:rsidR="00076E2C" w:rsidRPr="00076E2C" w:rsidRDefault="00076E2C" w:rsidP="00076E2C">
      <w:pPr>
        <w:pStyle w:val="Paragraphedeliste"/>
        <w:numPr>
          <w:ilvl w:val="0"/>
          <w:numId w:val="19"/>
        </w:numPr>
        <w:jc w:val="both"/>
        <w:rPr>
          <w:rFonts w:cs="Calibri"/>
        </w:rPr>
      </w:pPr>
      <w:r w:rsidRPr="00076E2C">
        <w:rPr>
          <w:rFonts w:cs="Calibri"/>
        </w:rPr>
        <w:t>L’appropriation des moyens mis en œuvre dans le cadre de la sécurité sanitaire</w:t>
      </w:r>
    </w:p>
    <w:p w14:paraId="4685E0F1" w14:textId="77777777" w:rsidR="00076E2C" w:rsidRDefault="00076E2C" w:rsidP="00076E2C">
      <w:pPr>
        <w:pStyle w:val="Paragraphedeliste"/>
        <w:numPr>
          <w:ilvl w:val="0"/>
          <w:numId w:val="19"/>
        </w:numPr>
        <w:jc w:val="both"/>
        <w:rPr>
          <w:rFonts w:cs="Calibri"/>
        </w:rPr>
      </w:pPr>
      <w:r w:rsidRPr="00076E2C">
        <w:rPr>
          <w:rFonts w:cs="Calibri"/>
        </w:rPr>
        <w:t xml:space="preserve">La transition et le relèvement après la riposte à une situation d’urgence ou à une catastrophe. </w:t>
      </w:r>
    </w:p>
    <w:p w14:paraId="191355BE" w14:textId="77777777" w:rsidR="00076E2C" w:rsidRDefault="005310EF">
      <w:pPr>
        <w:rPr>
          <w:rFonts w:asciiTheme="majorHAnsi" w:eastAsiaTheme="majorEastAsia" w:hAnsiTheme="majorHAnsi" w:cstheme="majorBidi"/>
          <w:b/>
          <w:bCs/>
          <w:color w:val="4F81BD" w:themeColor="accent1"/>
          <w:sz w:val="26"/>
          <w:szCs w:val="26"/>
        </w:rPr>
      </w:pPr>
      <w:r w:rsidRPr="005310EF">
        <w:rPr>
          <w:rFonts w:cs="Calibri"/>
        </w:rPr>
        <w:t>Cet axe concourra au renforcement des soins de santé de base en priorité.</w:t>
      </w:r>
      <w:r w:rsidR="00076E2C">
        <w:br w:type="page"/>
      </w:r>
    </w:p>
    <w:p w14:paraId="15CD2BD9" w14:textId="77777777" w:rsidR="007444DB" w:rsidRDefault="007444DB" w:rsidP="007444DB">
      <w:pPr>
        <w:pStyle w:val="Titre2"/>
      </w:pPr>
      <w:bookmarkStart w:id="23" w:name="_Toc21449024"/>
      <w:r>
        <w:t xml:space="preserve">O.S n°3 : Amélioration de la </w:t>
      </w:r>
      <w:r w:rsidRPr="00BF29A2">
        <w:t>Protection Financière contre le risque maladie</w:t>
      </w:r>
      <w:bookmarkEnd w:id="23"/>
      <w:r w:rsidRPr="00BF29A2">
        <w:t xml:space="preserve"> </w:t>
      </w:r>
    </w:p>
    <w:p w14:paraId="7B17E4CB" w14:textId="77777777" w:rsidR="007444DB" w:rsidRPr="005332F5" w:rsidRDefault="007444DB" w:rsidP="007444DB"/>
    <w:p w14:paraId="5EB12C17" w14:textId="77777777" w:rsidR="007444DB" w:rsidRDefault="007444DB" w:rsidP="007444DB">
      <w:pPr>
        <w:jc w:val="both"/>
      </w:pPr>
      <w:r>
        <w:t xml:space="preserve">Le Niger a développé depuis les indépendances une série de mécanismes de couverture du risque maladie.  Ces régimes sont essentiellement des régimes non contributif (Gratuités, exemptions, dotation budgétaire pour les fonctionnaires…) ainsi que des régimes contributifs (couverture des salariés du privé, mutuelles de santé, assurance maladie commerciale). Les régimes non-contributifs sont financés par l’Etat et les PTF. </w:t>
      </w:r>
    </w:p>
    <w:p w14:paraId="4DF5615F" w14:textId="77777777" w:rsidR="007444DB" w:rsidRDefault="007444DB" w:rsidP="007444DB">
      <w:r>
        <w:t>L’orientation stratégique concernant la protection financière contre le risque maladie comporte deux axes.</w:t>
      </w:r>
    </w:p>
    <w:p w14:paraId="59A54C62" w14:textId="77777777" w:rsidR="007444DB" w:rsidRDefault="007444DB" w:rsidP="007444DB">
      <w:pPr>
        <w:pStyle w:val="Titre2"/>
      </w:pPr>
      <w:bookmarkStart w:id="24" w:name="_Toc21449025"/>
      <w:r>
        <w:t>Axe stratégique n°7 : fonctionnement optimal de la politique d’exemption de paiement pour les enfants de moins de 5 ans et les femmes enceintes.</w:t>
      </w:r>
      <w:bookmarkEnd w:id="24"/>
    </w:p>
    <w:p w14:paraId="35702165" w14:textId="77777777" w:rsidR="007444DB" w:rsidRDefault="007444DB" w:rsidP="007444DB"/>
    <w:p w14:paraId="29BDF8B5" w14:textId="77777777" w:rsidR="007444DB" w:rsidRDefault="007444DB" w:rsidP="007444DB">
      <w:pPr>
        <w:rPr>
          <w:rFonts w:cstheme="minorHAnsi"/>
          <w:sz w:val="24"/>
          <w:szCs w:val="24"/>
        </w:rPr>
      </w:pPr>
      <w:r>
        <w:rPr>
          <w:rFonts w:cstheme="minorHAnsi"/>
          <w:sz w:val="24"/>
          <w:szCs w:val="24"/>
        </w:rPr>
        <w:t xml:space="preserve">La politique relative à cette exemption est </w:t>
      </w:r>
      <w:r w:rsidRPr="00D070BC">
        <w:rPr>
          <w:rFonts w:cstheme="minorHAnsi"/>
          <w:b/>
          <w:sz w:val="24"/>
          <w:szCs w:val="24"/>
        </w:rPr>
        <w:t xml:space="preserve">la politique </w:t>
      </w:r>
      <w:r>
        <w:rPr>
          <w:rFonts w:cstheme="minorHAnsi"/>
          <w:b/>
          <w:sz w:val="24"/>
          <w:szCs w:val="24"/>
        </w:rPr>
        <w:t>nationale « </w:t>
      </w:r>
      <w:r w:rsidRPr="00D070BC">
        <w:rPr>
          <w:rFonts w:cstheme="minorHAnsi"/>
          <w:b/>
          <w:sz w:val="24"/>
          <w:szCs w:val="24"/>
        </w:rPr>
        <w:t>phare</w:t>
      </w:r>
      <w:r>
        <w:rPr>
          <w:rFonts w:cstheme="minorHAnsi"/>
          <w:b/>
          <w:sz w:val="24"/>
          <w:szCs w:val="24"/>
        </w:rPr>
        <w:t> »</w:t>
      </w:r>
      <w:r w:rsidRPr="00D070BC">
        <w:rPr>
          <w:rFonts w:cstheme="minorHAnsi"/>
          <w:b/>
          <w:sz w:val="24"/>
          <w:szCs w:val="24"/>
        </w:rPr>
        <w:t xml:space="preserve"> en matière de </w:t>
      </w:r>
      <w:r w:rsidRPr="00FD179C">
        <w:rPr>
          <w:rFonts w:cstheme="minorHAnsi"/>
          <w:b/>
          <w:sz w:val="24"/>
          <w:szCs w:val="24"/>
        </w:rPr>
        <w:t>couverture du risque maladie. Elle a vocation à offrir une couverture financière importante</w:t>
      </w:r>
      <w:r>
        <w:rPr>
          <w:rFonts w:cstheme="minorHAnsi"/>
          <w:sz w:val="24"/>
          <w:szCs w:val="24"/>
        </w:rPr>
        <w:t xml:space="preserve"> à environ un quart de la population. Son fonctionnement dans des conditions optimales constituera donc un pas gigantesque vers la CSU. Pour ce faire, une refonte du dispositif est nécessaire qui garantisse aux financeurs l’effectivité des soins faisant l’objet d’une demande de remboursement et l’utilisation optimale de ces financements. </w:t>
      </w:r>
    </w:p>
    <w:p w14:paraId="77FB097F" w14:textId="77777777" w:rsidR="007444DB" w:rsidRPr="00E67171" w:rsidRDefault="007444DB" w:rsidP="007444DB">
      <w:pPr>
        <w:rPr>
          <w:rFonts w:cstheme="minorHAnsi"/>
          <w:sz w:val="24"/>
          <w:szCs w:val="24"/>
        </w:rPr>
      </w:pPr>
      <w:r>
        <w:rPr>
          <w:rFonts w:cstheme="minorHAnsi"/>
          <w:sz w:val="24"/>
          <w:szCs w:val="24"/>
        </w:rPr>
        <w:t xml:space="preserve">Ceci sera fait d’une part avec le transfert de la gestion à une unité de gestion professionnelle. D’autre part, le dispositif sera efficace et pérenne à condition que les financements soient effectifs et correspondent au minimum aux coûts de prise en charge non couverts par les salaires et subventions à l’offre de service.  Ces financements, issus de l’Etat et des partenaires financiers, doivent être mis à disposition dans des conditions de fluidité et de garantie de décaissement régulier au plus haut niveau de l’engagement de l’Etat. Enfin une révision éventuelle de la garantie pourra être envisagée : pour que le panier de services pris en charge soit plus cohérent et complet, et éventuellement pour qu’il coûte moins cher tout en s’inscrivant dans davantage d’équité. </w:t>
      </w:r>
      <w:r w:rsidRPr="00E67171">
        <w:rPr>
          <w:rFonts w:cstheme="minorHAnsi"/>
          <w:sz w:val="24"/>
          <w:szCs w:val="24"/>
        </w:rPr>
        <w:t>Plus précisément :</w:t>
      </w:r>
    </w:p>
    <w:p w14:paraId="74A853DB" w14:textId="77777777" w:rsidR="007444DB" w:rsidRPr="00E67171" w:rsidRDefault="007444DB" w:rsidP="007444DB">
      <w:pPr>
        <w:pStyle w:val="Paragraphedeliste"/>
        <w:numPr>
          <w:ilvl w:val="0"/>
          <w:numId w:val="34"/>
        </w:numPr>
        <w:rPr>
          <w:rFonts w:cstheme="minorHAnsi"/>
          <w:sz w:val="24"/>
          <w:szCs w:val="24"/>
        </w:rPr>
      </w:pPr>
      <w:r w:rsidRPr="00E67171">
        <w:rPr>
          <w:rFonts w:cstheme="minorHAnsi"/>
          <w:sz w:val="24"/>
          <w:szCs w:val="24"/>
        </w:rPr>
        <w:t>Sur le plan organisationnel :</w:t>
      </w:r>
    </w:p>
    <w:p w14:paraId="78A5E92C" w14:textId="77777777" w:rsidR="007444DB" w:rsidRDefault="007444DB" w:rsidP="007444DB">
      <w:pPr>
        <w:rPr>
          <w:rFonts w:cstheme="minorHAnsi"/>
          <w:sz w:val="24"/>
          <w:szCs w:val="24"/>
        </w:rPr>
      </w:pPr>
      <w:r>
        <w:rPr>
          <w:rFonts w:cstheme="minorHAnsi"/>
          <w:sz w:val="24"/>
          <w:szCs w:val="24"/>
        </w:rPr>
        <w:t xml:space="preserve">La professionnalisation de la mise en œuvre de cette gratuité revient à mettre en place un dispositif d’assurance santé pour les mères et les enfants provisoirement gratuit, avec ou sans identification et immatriculation. Il s’agit donc notamment de professionnaliser la fonction centrale de l’assurance qui est la gestion du risque, ainsi que les fonctions connexes (notamment monitoring et contrôle). Il s’agit également de mieux garantir la gestion financière.  </w:t>
      </w:r>
    </w:p>
    <w:p w14:paraId="0FEF3D7D" w14:textId="77777777" w:rsidR="007444DB" w:rsidRDefault="00971E95" w:rsidP="007444DB">
      <w:pPr>
        <w:rPr>
          <w:rFonts w:cstheme="minorHAnsi"/>
          <w:sz w:val="24"/>
          <w:szCs w:val="24"/>
        </w:rPr>
      </w:pPr>
      <w:r>
        <w:rPr>
          <w:rFonts w:cstheme="minorHAnsi"/>
          <w:color w:val="FF0000"/>
          <w:sz w:val="24"/>
          <w:szCs w:val="24"/>
        </w:rPr>
        <w:t>Au moment du présent projet de document de stratégie,</w:t>
      </w:r>
      <w:r w:rsidR="007444DB" w:rsidRPr="002B48C8">
        <w:rPr>
          <w:rFonts w:cstheme="minorHAnsi"/>
          <w:color w:val="FF0000"/>
          <w:sz w:val="24"/>
          <w:szCs w:val="24"/>
        </w:rPr>
        <w:t xml:space="preserve"> 3 options-type sont à l’étude pour servir de définition à un dispositif adapté : le renforcement de la cellule aujourd’hui en charge de la gratuité au niveau de la DEP (et son éventuelle transfert à la  DOS), la création d’une sous-unité de gestion de la gratuité au niveau de l’unité de gestion du Fonds Commun Santé, et la création d’une institution spécifique avec autonomie financière. Cette partie sera mieux renseignée lorsque les propositions techniques seront faites et la décision politique prise</w:t>
      </w:r>
      <w:r w:rsidR="007444DB">
        <w:rPr>
          <w:rFonts w:cstheme="minorHAnsi"/>
          <w:sz w:val="24"/>
          <w:szCs w:val="24"/>
        </w:rPr>
        <w:t>.</w:t>
      </w:r>
    </w:p>
    <w:p w14:paraId="6816ABAA" w14:textId="77777777" w:rsidR="007444DB" w:rsidRDefault="007444DB" w:rsidP="007444DB">
      <w:pPr>
        <w:pStyle w:val="Paragraphedeliste"/>
        <w:numPr>
          <w:ilvl w:val="0"/>
          <w:numId w:val="34"/>
        </w:numPr>
        <w:rPr>
          <w:rFonts w:cstheme="minorHAnsi"/>
          <w:sz w:val="24"/>
          <w:szCs w:val="24"/>
        </w:rPr>
      </w:pPr>
      <w:r>
        <w:rPr>
          <w:rFonts w:cstheme="minorHAnsi"/>
          <w:sz w:val="24"/>
          <w:szCs w:val="24"/>
        </w:rPr>
        <w:t>Sur le plan financier :</w:t>
      </w:r>
    </w:p>
    <w:p w14:paraId="48C48EFF" w14:textId="77777777" w:rsidR="007444DB" w:rsidRDefault="007444DB" w:rsidP="007444DB">
      <w:pPr>
        <w:rPr>
          <w:rFonts w:cstheme="minorHAnsi"/>
          <w:sz w:val="24"/>
          <w:szCs w:val="24"/>
        </w:rPr>
      </w:pPr>
      <w:r>
        <w:rPr>
          <w:rFonts w:cstheme="minorHAnsi"/>
          <w:sz w:val="24"/>
          <w:szCs w:val="24"/>
        </w:rPr>
        <w:t xml:space="preserve">L’évolution de la CSU dépend en grande partie de l’évolution de la protection contre le risque financier et le financement des prestataires de services de santé ; au Niger ceci revient pour le moment au bon fonctionnement du mécanisme de gratuité pour les enfants et les femmes enceintes ; in fine l’évolution immédiate de la CSU dépend largement de la rigueur avec laquelle le mécanisme de gratuité assurera le remboursement des prestataires dans les années à venir. Ceci est la raison pour laquelle </w:t>
      </w:r>
      <w:r w:rsidRPr="00F34C19">
        <w:rPr>
          <w:rFonts w:cstheme="minorHAnsi"/>
          <w:b/>
          <w:sz w:val="24"/>
          <w:szCs w:val="24"/>
        </w:rPr>
        <w:t>il est fondamental que l’Etat garantisse la budgétisation, la mobilisation, et le décaissement à temps des financements nécessaires aux remboursements des factures de soins de santé de cette gratuité.</w:t>
      </w:r>
    </w:p>
    <w:p w14:paraId="37AE983D" w14:textId="77777777" w:rsidR="007444DB" w:rsidRDefault="007444DB" w:rsidP="007444DB">
      <w:pPr>
        <w:rPr>
          <w:rFonts w:cstheme="minorHAnsi"/>
          <w:sz w:val="24"/>
          <w:szCs w:val="24"/>
        </w:rPr>
      </w:pPr>
      <w:r>
        <w:rPr>
          <w:rFonts w:cstheme="minorHAnsi"/>
          <w:sz w:val="24"/>
          <w:szCs w:val="24"/>
        </w:rPr>
        <w:t xml:space="preserve">Pour ce faire, la ligne budgétaire consacrée à la gratuité sera abondée année après année de 8 milliards de FCFA au démarrage de cette stratégie (2021) et évoluera en fonction des besoins. </w:t>
      </w:r>
      <w:r w:rsidR="00C43FB7">
        <w:rPr>
          <w:rFonts w:cstheme="minorHAnsi"/>
          <w:sz w:val="24"/>
          <w:szCs w:val="24"/>
        </w:rPr>
        <w:t>Ces derniers</w:t>
      </w:r>
      <w:r>
        <w:rPr>
          <w:rFonts w:cstheme="minorHAnsi"/>
          <w:sz w:val="24"/>
          <w:szCs w:val="24"/>
        </w:rPr>
        <w:t xml:space="preserve"> seront définis par l’analyse des dépenses en prestations par l’unité de gestion, l’évolution des services proposés, voire la population ciblée si décision est prise de restreindre l’éligibilité à la population la moins solvable uniquement. De plus les partenaires financiers seront largement mobilisés pour participer au financement du régime, dans une collaboration conditionnée toutefois au respect de ses engagements par l’Etat lui-même.</w:t>
      </w:r>
    </w:p>
    <w:p w14:paraId="40134090" w14:textId="77777777" w:rsidR="007444DB" w:rsidRDefault="007444DB" w:rsidP="007444DB">
      <w:pPr>
        <w:pStyle w:val="Paragraphedeliste"/>
        <w:numPr>
          <w:ilvl w:val="0"/>
          <w:numId w:val="34"/>
        </w:numPr>
        <w:rPr>
          <w:rFonts w:cstheme="minorHAnsi"/>
          <w:sz w:val="24"/>
          <w:szCs w:val="24"/>
        </w:rPr>
      </w:pPr>
      <w:r>
        <w:rPr>
          <w:rFonts w:cstheme="minorHAnsi"/>
          <w:sz w:val="24"/>
          <w:szCs w:val="24"/>
        </w:rPr>
        <w:t>Sur le plan de la prise en charge</w:t>
      </w:r>
    </w:p>
    <w:p w14:paraId="3DA0BD70" w14:textId="77777777" w:rsidR="007444DB" w:rsidRDefault="006E10F9" w:rsidP="007444DB">
      <w:pPr>
        <w:tabs>
          <w:tab w:val="left" w:pos="3388"/>
        </w:tabs>
        <w:rPr>
          <w:rFonts w:cstheme="minorHAnsi"/>
          <w:sz w:val="24"/>
          <w:szCs w:val="24"/>
        </w:rPr>
      </w:pPr>
      <w:r>
        <w:rPr>
          <w:rFonts w:cstheme="minorHAnsi"/>
          <w:sz w:val="24"/>
          <w:szCs w:val="24"/>
        </w:rPr>
        <w:t>L</w:t>
      </w:r>
      <w:r w:rsidR="007444DB">
        <w:rPr>
          <w:rFonts w:cstheme="minorHAnsi"/>
          <w:sz w:val="24"/>
          <w:szCs w:val="24"/>
        </w:rPr>
        <w:t>’ensemble de la population des enfants de moins de 5 ans et des femmes enceintes est aujourd’hui éligible à la gratuité. La charge est donc entièrement aux subventions quel que soit le revenu du bénéficiaire. Cette « universalité » est également discutable du point de vue de la recherche de l’équité, qui invite le plus souvent l’Etat à redistribuer les moyens vers les populations les moins loties financièrement et/ou les plus vulnérables. Aussi le dispositif pourra être ciblé à ces populations, notamment s’il est avéré que le coût du ciblage n’atteint pas le gain fait sur les dépenses</w:t>
      </w:r>
      <w:r>
        <w:rPr>
          <w:rFonts w:cstheme="minorHAnsi"/>
          <w:sz w:val="24"/>
          <w:szCs w:val="24"/>
        </w:rPr>
        <w:t>.</w:t>
      </w:r>
    </w:p>
    <w:p w14:paraId="5A904575" w14:textId="77777777" w:rsidR="006E10F9" w:rsidRDefault="006E10F9" w:rsidP="007444DB">
      <w:pPr>
        <w:tabs>
          <w:tab w:val="left" w:pos="3388"/>
        </w:tabs>
        <w:rPr>
          <w:rFonts w:cstheme="minorHAnsi"/>
          <w:sz w:val="24"/>
          <w:szCs w:val="24"/>
        </w:rPr>
      </w:pPr>
    </w:p>
    <w:p w14:paraId="6BC57630" w14:textId="77777777" w:rsidR="007444DB" w:rsidRDefault="007444DB" w:rsidP="007444DB">
      <w:r>
        <w:br w:type="page"/>
      </w:r>
    </w:p>
    <w:p w14:paraId="115403BB" w14:textId="77777777" w:rsidR="007444DB" w:rsidRDefault="007444DB" w:rsidP="007444DB">
      <w:pPr>
        <w:pStyle w:val="Titre2"/>
      </w:pPr>
      <w:bookmarkStart w:id="25" w:name="_Toc21449026"/>
      <w:r>
        <w:t>Axe stratégique n°8 : Mise en œuvre progressive d’une assurance maladie universelle</w:t>
      </w:r>
      <w:bookmarkEnd w:id="25"/>
    </w:p>
    <w:p w14:paraId="5F1FCCD0" w14:textId="77777777" w:rsidR="007444DB" w:rsidRDefault="007444DB" w:rsidP="007444DB"/>
    <w:p w14:paraId="62012406" w14:textId="77777777" w:rsidR="007444DB" w:rsidRDefault="007444DB" w:rsidP="007444DB">
      <w:pPr>
        <w:rPr>
          <w:rFonts w:cstheme="minorHAnsi"/>
          <w:sz w:val="24"/>
          <w:szCs w:val="24"/>
        </w:rPr>
      </w:pPr>
      <w:r w:rsidRPr="00A94CF1">
        <w:rPr>
          <w:rFonts w:cstheme="minorHAnsi"/>
          <w:b/>
          <w:sz w:val="24"/>
          <w:szCs w:val="24"/>
        </w:rPr>
        <w:t>A long terme (10 ans),</w:t>
      </w:r>
      <w:r>
        <w:rPr>
          <w:rFonts w:cstheme="minorHAnsi"/>
          <w:sz w:val="24"/>
          <w:szCs w:val="24"/>
        </w:rPr>
        <w:t xml:space="preserve"> le Niger aura remplacé le mécanisme de gratuité pour les enfants de moins de 5 ans et les femmes enceinte par une assurance maladie universelle (AMU), solidaire et nationale, à laquelle l’ensemble de la population sera assujetti.</w:t>
      </w:r>
    </w:p>
    <w:p w14:paraId="60CFD990" w14:textId="77777777" w:rsidR="007444DB" w:rsidRDefault="007444DB" w:rsidP="007444DB">
      <w:pPr>
        <w:rPr>
          <w:rFonts w:cstheme="minorHAnsi"/>
          <w:sz w:val="24"/>
          <w:szCs w:val="24"/>
        </w:rPr>
      </w:pPr>
      <w:r>
        <w:rPr>
          <w:rFonts w:cstheme="minorHAnsi"/>
          <w:sz w:val="24"/>
          <w:szCs w:val="24"/>
        </w:rPr>
        <w:t xml:space="preserve">Cette assurance maladie universelle, constituée sur la base d’un ou de plusieurs régimes, sera gérée par une institution indépendante conformément aux dispositions légales qui auront été prises. Le dispositif s’appuiera sur les mutuelles de santé, sur les autorités locales, et sur les nouvelles technologies pour se déployer sur l’ensemble du territoire. Il sera sous tutelle du Ministère en charge de la protection sociale, et régulé par une autorité autonome. </w:t>
      </w:r>
    </w:p>
    <w:p w14:paraId="20DA4BEC" w14:textId="77777777" w:rsidR="007444DB" w:rsidRDefault="007444DB" w:rsidP="007444DB">
      <w:pPr>
        <w:rPr>
          <w:rFonts w:cstheme="minorHAnsi"/>
          <w:sz w:val="24"/>
          <w:szCs w:val="24"/>
        </w:rPr>
      </w:pPr>
      <w:r w:rsidRPr="00A94CF1">
        <w:rPr>
          <w:rFonts w:cstheme="minorHAnsi"/>
          <w:b/>
          <w:sz w:val="24"/>
          <w:szCs w:val="24"/>
        </w:rPr>
        <w:t>Dans un premier temps (court terme),</w:t>
      </w:r>
      <w:r>
        <w:rPr>
          <w:rFonts w:cstheme="minorHAnsi"/>
          <w:sz w:val="24"/>
          <w:szCs w:val="24"/>
        </w:rPr>
        <w:t xml:space="preserve"> il s’agira de préparer les conditions de développement de la couverture du risque maladie universelle. Ceci se</w:t>
      </w:r>
      <w:r w:rsidR="006E10F9">
        <w:rPr>
          <w:rFonts w:cstheme="minorHAnsi"/>
          <w:sz w:val="24"/>
          <w:szCs w:val="24"/>
        </w:rPr>
        <w:t xml:space="preserve"> fe</w:t>
      </w:r>
      <w:r>
        <w:rPr>
          <w:rFonts w:cstheme="minorHAnsi"/>
          <w:sz w:val="24"/>
          <w:szCs w:val="24"/>
        </w:rPr>
        <w:t>ra notamment de la façon suivante :</w:t>
      </w:r>
    </w:p>
    <w:p w14:paraId="719F51B5" w14:textId="77777777" w:rsidR="007444DB" w:rsidRDefault="007444DB" w:rsidP="007444DB">
      <w:pPr>
        <w:pStyle w:val="Paragraphedeliste"/>
        <w:numPr>
          <w:ilvl w:val="0"/>
          <w:numId w:val="47"/>
        </w:numPr>
        <w:rPr>
          <w:rFonts w:cstheme="minorHAnsi"/>
          <w:sz w:val="24"/>
          <w:szCs w:val="24"/>
        </w:rPr>
      </w:pPr>
      <w:r>
        <w:rPr>
          <w:rFonts w:cstheme="minorHAnsi"/>
          <w:sz w:val="24"/>
          <w:szCs w:val="24"/>
        </w:rPr>
        <w:t xml:space="preserve">La définition de l’AMU dans toutes </w:t>
      </w:r>
      <w:r w:rsidR="00195382">
        <w:rPr>
          <w:rFonts w:cstheme="minorHAnsi"/>
          <w:sz w:val="24"/>
          <w:szCs w:val="24"/>
        </w:rPr>
        <w:t xml:space="preserve">ses </w:t>
      </w:r>
      <w:r>
        <w:rPr>
          <w:rFonts w:cstheme="minorHAnsi"/>
          <w:sz w:val="24"/>
          <w:szCs w:val="24"/>
        </w:rPr>
        <w:t>composantes sera finalisée par des études et des débats nationaux. Notamment :</w:t>
      </w:r>
    </w:p>
    <w:p w14:paraId="080E76B5" w14:textId="77777777" w:rsidR="005774EC" w:rsidRDefault="005774EC" w:rsidP="005774EC">
      <w:pPr>
        <w:pStyle w:val="Paragraphedeliste"/>
        <w:rPr>
          <w:rFonts w:cstheme="minorHAnsi"/>
          <w:sz w:val="24"/>
          <w:szCs w:val="24"/>
        </w:rPr>
      </w:pPr>
    </w:p>
    <w:p w14:paraId="2DECAB3D" w14:textId="77777777" w:rsidR="007444DB" w:rsidRDefault="007444DB" w:rsidP="007444DB">
      <w:pPr>
        <w:pStyle w:val="Paragraphedeliste"/>
        <w:numPr>
          <w:ilvl w:val="1"/>
          <w:numId w:val="47"/>
        </w:numPr>
        <w:rPr>
          <w:rFonts w:cstheme="minorHAnsi"/>
          <w:sz w:val="24"/>
          <w:szCs w:val="24"/>
        </w:rPr>
      </w:pPr>
      <w:r w:rsidRPr="00400D6F">
        <w:rPr>
          <w:rFonts w:cstheme="minorHAnsi"/>
          <w:sz w:val="24"/>
          <w:szCs w:val="24"/>
        </w:rPr>
        <w:t>La définition du panier de soins de l’AMU, son coût, son financement</w:t>
      </w:r>
      <w:r>
        <w:rPr>
          <w:rFonts w:cstheme="minorHAnsi"/>
          <w:sz w:val="24"/>
          <w:szCs w:val="24"/>
        </w:rPr>
        <w:t> ;</w:t>
      </w:r>
    </w:p>
    <w:p w14:paraId="6B720073" w14:textId="77777777" w:rsidR="007444DB" w:rsidRDefault="007444DB" w:rsidP="007444DB">
      <w:pPr>
        <w:pStyle w:val="Paragraphedeliste"/>
        <w:numPr>
          <w:ilvl w:val="1"/>
          <w:numId w:val="47"/>
        </w:numPr>
        <w:rPr>
          <w:rFonts w:cstheme="minorHAnsi"/>
          <w:sz w:val="24"/>
          <w:szCs w:val="24"/>
        </w:rPr>
      </w:pPr>
      <w:r>
        <w:rPr>
          <w:rFonts w:cstheme="minorHAnsi"/>
          <w:sz w:val="24"/>
          <w:szCs w:val="24"/>
        </w:rPr>
        <w:t>Le</w:t>
      </w:r>
      <w:r w:rsidRPr="00400D6F">
        <w:rPr>
          <w:rFonts w:cstheme="minorHAnsi"/>
          <w:sz w:val="24"/>
          <w:szCs w:val="24"/>
        </w:rPr>
        <w:t xml:space="preserve"> choix </w:t>
      </w:r>
      <w:r>
        <w:rPr>
          <w:rFonts w:cstheme="minorHAnsi"/>
          <w:sz w:val="24"/>
          <w:szCs w:val="24"/>
        </w:rPr>
        <w:t xml:space="preserve">définitif </w:t>
      </w:r>
      <w:r w:rsidRPr="00400D6F">
        <w:rPr>
          <w:rFonts w:cstheme="minorHAnsi"/>
          <w:sz w:val="24"/>
          <w:szCs w:val="24"/>
        </w:rPr>
        <w:t xml:space="preserve">de mettre </w:t>
      </w:r>
      <w:r>
        <w:rPr>
          <w:rFonts w:cstheme="minorHAnsi"/>
          <w:sz w:val="24"/>
          <w:szCs w:val="24"/>
        </w:rPr>
        <w:t>en place un</w:t>
      </w:r>
      <w:r w:rsidRPr="00400D6F">
        <w:rPr>
          <w:rFonts w:cstheme="minorHAnsi"/>
          <w:sz w:val="24"/>
          <w:szCs w:val="24"/>
        </w:rPr>
        <w:t xml:space="preserve"> </w:t>
      </w:r>
      <w:r>
        <w:rPr>
          <w:rFonts w:cstheme="minorHAnsi"/>
          <w:sz w:val="24"/>
          <w:szCs w:val="24"/>
        </w:rPr>
        <w:t>régime plutôt que plusieurs ;</w:t>
      </w:r>
    </w:p>
    <w:p w14:paraId="0F882BF3" w14:textId="77777777" w:rsidR="007444DB" w:rsidRDefault="007444DB" w:rsidP="007444DB">
      <w:pPr>
        <w:pStyle w:val="Paragraphedeliste"/>
        <w:numPr>
          <w:ilvl w:val="1"/>
          <w:numId w:val="47"/>
        </w:numPr>
        <w:rPr>
          <w:rFonts w:cstheme="minorHAnsi"/>
          <w:sz w:val="24"/>
          <w:szCs w:val="24"/>
        </w:rPr>
      </w:pPr>
      <w:r>
        <w:rPr>
          <w:rFonts w:cstheme="minorHAnsi"/>
          <w:sz w:val="24"/>
          <w:szCs w:val="24"/>
        </w:rPr>
        <w:t>Le fonctionnement d’une « Agence Nationale de l’Assurance Maladie », dont la Tutelle sera confiée au Ministère en charge de la Protection Sociale ;</w:t>
      </w:r>
    </w:p>
    <w:p w14:paraId="760AB99A" w14:textId="77777777" w:rsidR="006E10F9" w:rsidRDefault="006E10F9" w:rsidP="006E10F9">
      <w:pPr>
        <w:pStyle w:val="Paragraphedeliste"/>
        <w:numPr>
          <w:ilvl w:val="1"/>
          <w:numId w:val="47"/>
        </w:numPr>
        <w:rPr>
          <w:rFonts w:cstheme="minorHAnsi"/>
          <w:sz w:val="24"/>
          <w:szCs w:val="24"/>
        </w:rPr>
      </w:pPr>
      <w:r>
        <w:rPr>
          <w:rFonts w:cstheme="minorHAnsi"/>
          <w:sz w:val="24"/>
          <w:szCs w:val="24"/>
        </w:rPr>
        <w:t>La représentativité de la population et la participation communautaire</w:t>
      </w:r>
    </w:p>
    <w:p w14:paraId="147F4F38" w14:textId="77777777" w:rsidR="007444DB" w:rsidRDefault="007444DB" w:rsidP="007444DB">
      <w:pPr>
        <w:pStyle w:val="Paragraphedeliste"/>
        <w:numPr>
          <w:ilvl w:val="1"/>
          <w:numId w:val="47"/>
        </w:numPr>
        <w:rPr>
          <w:rFonts w:cstheme="minorHAnsi"/>
          <w:sz w:val="24"/>
          <w:szCs w:val="24"/>
        </w:rPr>
      </w:pPr>
      <w:r>
        <w:rPr>
          <w:rFonts w:cstheme="minorHAnsi"/>
          <w:sz w:val="24"/>
          <w:szCs w:val="24"/>
        </w:rPr>
        <w:t>L</w:t>
      </w:r>
      <w:r w:rsidRPr="00400D6F">
        <w:rPr>
          <w:rFonts w:cstheme="minorHAnsi"/>
          <w:sz w:val="24"/>
          <w:szCs w:val="24"/>
        </w:rPr>
        <w:t xml:space="preserve">e rôle </w:t>
      </w:r>
      <w:r>
        <w:rPr>
          <w:rFonts w:cstheme="minorHAnsi"/>
          <w:sz w:val="24"/>
          <w:szCs w:val="24"/>
        </w:rPr>
        <w:t>donné aux</w:t>
      </w:r>
      <w:r w:rsidRPr="00400D6F">
        <w:rPr>
          <w:rFonts w:cstheme="minorHAnsi"/>
          <w:sz w:val="24"/>
          <w:szCs w:val="24"/>
        </w:rPr>
        <w:t xml:space="preserve"> mutuel</w:t>
      </w:r>
      <w:r>
        <w:rPr>
          <w:rFonts w:cstheme="minorHAnsi"/>
          <w:sz w:val="24"/>
          <w:szCs w:val="24"/>
        </w:rPr>
        <w:t>les de santé dans le dispositif, qui sera en</w:t>
      </w:r>
      <w:r w:rsidRPr="00400D6F">
        <w:rPr>
          <w:rFonts w:cstheme="minorHAnsi"/>
          <w:sz w:val="24"/>
          <w:szCs w:val="24"/>
        </w:rPr>
        <w:t xml:space="preserve"> fonction de </w:t>
      </w:r>
      <w:r>
        <w:rPr>
          <w:rFonts w:cstheme="minorHAnsi"/>
          <w:sz w:val="24"/>
          <w:szCs w:val="24"/>
        </w:rPr>
        <w:t>leur</w:t>
      </w:r>
      <w:r w:rsidRPr="00400D6F">
        <w:rPr>
          <w:rFonts w:cstheme="minorHAnsi"/>
          <w:sz w:val="24"/>
          <w:szCs w:val="24"/>
        </w:rPr>
        <w:t xml:space="preserve"> capacité à proposer des solutions à coût compétitif pour la délégation des fonctions de proximité par </w:t>
      </w:r>
      <w:r>
        <w:rPr>
          <w:rFonts w:cstheme="minorHAnsi"/>
          <w:sz w:val="24"/>
          <w:szCs w:val="24"/>
        </w:rPr>
        <w:t>l’Agence</w:t>
      </w:r>
      <w:r w:rsidRPr="00400D6F">
        <w:rPr>
          <w:rFonts w:cstheme="minorHAnsi"/>
          <w:sz w:val="24"/>
          <w:szCs w:val="24"/>
        </w:rPr>
        <w:t xml:space="preserve"> : IEC, identification de</w:t>
      </w:r>
      <w:r>
        <w:rPr>
          <w:rFonts w:cstheme="minorHAnsi"/>
          <w:sz w:val="24"/>
          <w:szCs w:val="24"/>
        </w:rPr>
        <w:t>s</w:t>
      </w:r>
      <w:r w:rsidRPr="00400D6F">
        <w:rPr>
          <w:rFonts w:cstheme="minorHAnsi"/>
          <w:sz w:val="24"/>
          <w:szCs w:val="24"/>
        </w:rPr>
        <w:t xml:space="preserve"> population</w:t>
      </w:r>
      <w:r>
        <w:rPr>
          <w:rFonts w:cstheme="minorHAnsi"/>
          <w:sz w:val="24"/>
          <w:szCs w:val="24"/>
        </w:rPr>
        <w:t>s</w:t>
      </w:r>
      <w:r w:rsidRPr="00400D6F">
        <w:rPr>
          <w:rFonts w:cstheme="minorHAnsi"/>
          <w:sz w:val="24"/>
          <w:szCs w:val="24"/>
        </w:rPr>
        <w:t>, pré-immatriculation, collecte de cotisation</w:t>
      </w:r>
      <w:r>
        <w:rPr>
          <w:rFonts w:cstheme="minorHAnsi"/>
          <w:sz w:val="24"/>
          <w:szCs w:val="24"/>
        </w:rPr>
        <w:t>s</w:t>
      </w:r>
      <w:r w:rsidRPr="00400D6F">
        <w:rPr>
          <w:rFonts w:cstheme="minorHAnsi"/>
          <w:sz w:val="24"/>
          <w:szCs w:val="24"/>
        </w:rPr>
        <w:t>, contrôle de l’ef</w:t>
      </w:r>
      <w:r>
        <w:rPr>
          <w:rFonts w:cstheme="minorHAnsi"/>
          <w:sz w:val="24"/>
          <w:szCs w:val="24"/>
        </w:rPr>
        <w:t>fectivité des prises en charge ;</w:t>
      </w:r>
    </w:p>
    <w:p w14:paraId="730EDE00" w14:textId="77777777" w:rsidR="006E10F9" w:rsidRDefault="00A67DBB" w:rsidP="006E10F9">
      <w:pPr>
        <w:pStyle w:val="Paragraphedeliste"/>
        <w:numPr>
          <w:ilvl w:val="1"/>
          <w:numId w:val="47"/>
        </w:numPr>
        <w:rPr>
          <w:rFonts w:cstheme="minorHAnsi"/>
          <w:sz w:val="24"/>
          <w:szCs w:val="24"/>
        </w:rPr>
      </w:pPr>
      <w:r>
        <w:rPr>
          <w:rFonts w:cstheme="minorHAnsi"/>
          <w:sz w:val="24"/>
          <w:szCs w:val="24"/>
        </w:rPr>
        <w:t>L’i</w:t>
      </w:r>
      <w:r w:rsidR="006E10F9">
        <w:rPr>
          <w:rFonts w:cstheme="minorHAnsi"/>
          <w:sz w:val="24"/>
          <w:szCs w:val="24"/>
        </w:rPr>
        <w:t>nformatisation de la gestion de l’assurance et des assurés</w:t>
      </w:r>
    </w:p>
    <w:p w14:paraId="1C678ADB" w14:textId="77777777" w:rsidR="006E10F9" w:rsidRDefault="00A67DBB" w:rsidP="006E10F9">
      <w:pPr>
        <w:pStyle w:val="Paragraphedeliste"/>
        <w:numPr>
          <w:ilvl w:val="1"/>
          <w:numId w:val="47"/>
        </w:numPr>
        <w:rPr>
          <w:rFonts w:cstheme="minorHAnsi"/>
          <w:sz w:val="24"/>
          <w:szCs w:val="24"/>
        </w:rPr>
      </w:pPr>
      <w:r>
        <w:rPr>
          <w:rFonts w:cstheme="minorHAnsi"/>
          <w:sz w:val="24"/>
          <w:szCs w:val="24"/>
        </w:rPr>
        <w:t>La g</w:t>
      </w:r>
      <w:r w:rsidR="006E10F9">
        <w:rPr>
          <w:rFonts w:cstheme="minorHAnsi"/>
          <w:sz w:val="24"/>
          <w:szCs w:val="24"/>
        </w:rPr>
        <w:t>estion du risque financier (travail actuariel)</w:t>
      </w:r>
    </w:p>
    <w:p w14:paraId="4B46B9EA" w14:textId="77777777" w:rsidR="006E10F9" w:rsidRDefault="00A67DBB" w:rsidP="006E10F9">
      <w:pPr>
        <w:pStyle w:val="Paragraphedeliste"/>
        <w:numPr>
          <w:ilvl w:val="1"/>
          <w:numId w:val="47"/>
        </w:numPr>
        <w:rPr>
          <w:rFonts w:cstheme="minorHAnsi"/>
          <w:sz w:val="24"/>
          <w:szCs w:val="24"/>
        </w:rPr>
      </w:pPr>
      <w:r>
        <w:rPr>
          <w:rFonts w:cstheme="minorHAnsi"/>
          <w:sz w:val="24"/>
          <w:szCs w:val="24"/>
        </w:rPr>
        <w:t>Le c</w:t>
      </w:r>
      <w:r w:rsidR="006E10F9">
        <w:rPr>
          <w:rFonts w:cstheme="minorHAnsi"/>
          <w:sz w:val="24"/>
          <w:szCs w:val="24"/>
        </w:rPr>
        <w:t>ontrôle de la prestation et des assurés</w:t>
      </w:r>
    </w:p>
    <w:p w14:paraId="73573559" w14:textId="77777777" w:rsidR="006E10F9" w:rsidRDefault="00A67DBB" w:rsidP="006E10F9">
      <w:pPr>
        <w:pStyle w:val="Paragraphedeliste"/>
        <w:numPr>
          <w:ilvl w:val="1"/>
          <w:numId w:val="47"/>
        </w:numPr>
        <w:rPr>
          <w:rFonts w:cstheme="minorHAnsi"/>
          <w:sz w:val="24"/>
          <w:szCs w:val="24"/>
        </w:rPr>
      </w:pPr>
      <w:r>
        <w:rPr>
          <w:rFonts w:cstheme="minorHAnsi"/>
          <w:sz w:val="24"/>
          <w:szCs w:val="24"/>
        </w:rPr>
        <w:t>La d</w:t>
      </w:r>
      <w:r w:rsidR="006E10F9">
        <w:rPr>
          <w:rFonts w:cstheme="minorHAnsi"/>
          <w:sz w:val="24"/>
          <w:szCs w:val="24"/>
        </w:rPr>
        <w:t>éfense des droits des patients</w:t>
      </w:r>
    </w:p>
    <w:p w14:paraId="73A69462" w14:textId="77777777" w:rsidR="006E10F9" w:rsidRDefault="00A67DBB" w:rsidP="006E10F9">
      <w:pPr>
        <w:pStyle w:val="Paragraphedeliste"/>
        <w:numPr>
          <w:ilvl w:val="1"/>
          <w:numId w:val="47"/>
        </w:numPr>
        <w:rPr>
          <w:rFonts w:cstheme="minorHAnsi"/>
          <w:sz w:val="24"/>
          <w:szCs w:val="24"/>
        </w:rPr>
      </w:pPr>
      <w:r>
        <w:rPr>
          <w:rFonts w:cstheme="minorHAnsi"/>
          <w:sz w:val="24"/>
          <w:szCs w:val="24"/>
        </w:rPr>
        <w:t>L’</w:t>
      </w:r>
      <w:r w:rsidR="006E10F9">
        <w:rPr>
          <w:rFonts w:cstheme="minorHAnsi"/>
          <w:sz w:val="24"/>
          <w:szCs w:val="24"/>
        </w:rPr>
        <w:t>nstauration de commissions permanentes paritaires (Etat, offre, demande (représentant les intérêts des usagers) pour négocier les accords</w:t>
      </w:r>
    </w:p>
    <w:p w14:paraId="589779F2" w14:textId="77777777" w:rsidR="007444DB" w:rsidRDefault="007444DB" w:rsidP="007444DB">
      <w:pPr>
        <w:rPr>
          <w:rFonts w:cstheme="minorHAnsi"/>
          <w:sz w:val="24"/>
          <w:szCs w:val="24"/>
        </w:rPr>
      </w:pPr>
      <w:r w:rsidRPr="00A94CF1">
        <w:rPr>
          <w:rFonts w:cstheme="minorHAnsi"/>
          <w:b/>
          <w:sz w:val="24"/>
          <w:szCs w:val="24"/>
        </w:rPr>
        <w:t>Dans un second temps (moyen terme),</w:t>
      </w:r>
      <w:r>
        <w:rPr>
          <w:rFonts w:cstheme="minorHAnsi"/>
          <w:sz w:val="24"/>
          <w:szCs w:val="24"/>
        </w:rPr>
        <w:t xml:space="preserve"> l’Agence sera créée et l’AMU commencera à être mise en œuvre. En particulier, il conviendra d’initier le travail d’identification des populations par segments (chaque segment contribuant différemment au régime ou étant affilié à différents régimes), de démarrer les prises en charge pour le secteur formel, et de basculer les populations vulnérables bénéficiaires de la gratuité en bénéficiaires du régime de l’assurance universelle.</w:t>
      </w:r>
    </w:p>
    <w:p w14:paraId="462E2CFA" w14:textId="77777777" w:rsidR="007444DB" w:rsidRDefault="007444DB" w:rsidP="007444DB">
      <w:pPr>
        <w:rPr>
          <w:rFonts w:cstheme="minorHAnsi"/>
          <w:sz w:val="24"/>
          <w:szCs w:val="24"/>
        </w:rPr>
      </w:pPr>
      <w:r>
        <w:rPr>
          <w:rFonts w:cstheme="minorHAnsi"/>
          <w:sz w:val="24"/>
          <w:szCs w:val="24"/>
        </w:rPr>
        <w:t>Le moyen terme verra d’abord la mise en place des conditions</w:t>
      </w:r>
      <w:r w:rsidRPr="0045222A">
        <w:rPr>
          <w:rFonts w:cstheme="minorHAnsi"/>
          <w:i/>
          <w:sz w:val="24"/>
          <w:szCs w:val="24"/>
        </w:rPr>
        <w:t xml:space="preserve"> </w:t>
      </w:r>
      <w:r w:rsidRPr="0045222A">
        <w:rPr>
          <w:rFonts w:cstheme="minorHAnsi"/>
          <w:sz w:val="24"/>
          <w:szCs w:val="24"/>
        </w:rPr>
        <w:t>légales, institutionnelles et organisationnelles pour la gestion d’une assurance maladie à vocation universelle</w:t>
      </w:r>
      <w:r>
        <w:rPr>
          <w:rFonts w:cstheme="minorHAnsi"/>
          <w:sz w:val="24"/>
          <w:szCs w:val="24"/>
        </w:rPr>
        <w:t xml:space="preserve">. </w:t>
      </w:r>
    </w:p>
    <w:p w14:paraId="74805A85" w14:textId="77777777" w:rsidR="007444DB" w:rsidRDefault="007444DB" w:rsidP="007444DB">
      <w:pPr>
        <w:rPr>
          <w:rFonts w:cstheme="minorHAnsi"/>
          <w:sz w:val="24"/>
          <w:szCs w:val="24"/>
        </w:rPr>
      </w:pPr>
      <w:r>
        <w:rPr>
          <w:rFonts w:cstheme="minorHAnsi"/>
          <w:sz w:val="24"/>
          <w:szCs w:val="24"/>
        </w:rPr>
        <w:t>En parallèle, un travail d’identification important sera mis en œuvre</w:t>
      </w:r>
      <w:r w:rsidR="006E10F9">
        <w:rPr>
          <w:rFonts w:cstheme="minorHAnsi"/>
          <w:sz w:val="24"/>
          <w:szCs w:val="24"/>
        </w:rPr>
        <w:t>, en collaboration avec les services de l’Etat civil</w:t>
      </w:r>
      <w:r>
        <w:rPr>
          <w:rFonts w:cstheme="minorHAnsi"/>
          <w:sz w:val="24"/>
          <w:szCs w:val="24"/>
        </w:rPr>
        <w:t xml:space="preserve">. Le pays souhaite en effet que la population qui n’a pas les moyens de contribuer à une assurance maladie solidaire puisse en bénéficier moyennant une assistance de l’Etat sous forme de subvention et/ou la solidarité des populations solvables. </w:t>
      </w:r>
      <w:r w:rsidRPr="00603354">
        <w:rPr>
          <w:rFonts w:cstheme="minorHAnsi"/>
          <w:sz w:val="24"/>
          <w:szCs w:val="24"/>
        </w:rPr>
        <w:t xml:space="preserve">Etant donné </w:t>
      </w:r>
      <w:r w:rsidR="00C43FB7">
        <w:rPr>
          <w:rFonts w:cstheme="minorHAnsi"/>
          <w:sz w:val="24"/>
          <w:szCs w:val="24"/>
        </w:rPr>
        <w:t>l’ampleur</w:t>
      </w:r>
      <w:r w:rsidRPr="00603354">
        <w:rPr>
          <w:rFonts w:cstheme="minorHAnsi"/>
          <w:sz w:val="24"/>
          <w:szCs w:val="24"/>
        </w:rPr>
        <w:t xml:space="preserve"> de la pauvreté au Niger (</w:t>
      </w:r>
      <w:r w:rsidRPr="00C90DAE">
        <w:rPr>
          <w:rFonts w:cstheme="minorHAnsi"/>
          <w:sz w:val="24"/>
          <w:szCs w:val="24"/>
        </w:rPr>
        <w:t>48,9 %</w:t>
      </w:r>
      <w:r>
        <w:rPr>
          <w:rFonts w:cstheme="minorHAnsi"/>
          <w:sz w:val="24"/>
          <w:szCs w:val="24"/>
        </w:rPr>
        <w:t xml:space="preserve"> en </w:t>
      </w:r>
      <w:r w:rsidRPr="0045222A">
        <w:rPr>
          <w:rFonts w:cstheme="minorHAnsi"/>
          <w:sz w:val="24"/>
          <w:szCs w:val="24"/>
        </w:rPr>
        <w:t>2011</w:t>
      </w:r>
      <w:r>
        <w:rPr>
          <w:rStyle w:val="Appelnotedebasdep"/>
          <w:rFonts w:cstheme="minorHAnsi"/>
          <w:sz w:val="24"/>
          <w:szCs w:val="24"/>
        </w:rPr>
        <w:footnoteReference w:id="11"/>
      </w:r>
      <w:r w:rsidRPr="00C90DAE">
        <w:rPr>
          <w:rFonts w:cstheme="minorHAnsi"/>
          <w:sz w:val="24"/>
          <w:szCs w:val="24"/>
        </w:rPr>
        <w:t xml:space="preserve">), </w:t>
      </w:r>
      <w:r>
        <w:rPr>
          <w:rFonts w:cstheme="minorHAnsi"/>
          <w:sz w:val="24"/>
          <w:szCs w:val="24"/>
        </w:rPr>
        <w:t>la question du ciblage de cette population interroge sur son coût et sa pertinence ; il faudra donc envisager l’efficience d’un dispositif fondé sur un ciblage des ménages, voire sur base géographique (par portion de territoire). Pour cette population le régime de gratuité des soins pour les enfants de moins de 5 ans et les femmes enceinte sera caduque et remplacé par une assurance maladie complète.</w:t>
      </w:r>
    </w:p>
    <w:p w14:paraId="7B1D8923" w14:textId="77777777" w:rsidR="007444DB" w:rsidRDefault="007444DB" w:rsidP="007444DB">
      <w:pPr>
        <w:rPr>
          <w:rFonts w:cstheme="minorHAnsi"/>
          <w:sz w:val="24"/>
          <w:szCs w:val="24"/>
        </w:rPr>
      </w:pPr>
      <w:r>
        <w:rPr>
          <w:rFonts w:cstheme="minorHAnsi"/>
          <w:sz w:val="24"/>
          <w:szCs w:val="24"/>
        </w:rPr>
        <w:t>Les populations du secteur formel pourront plus facilement être les premières bénéficiaires de l’assurance maladie universelle avec un taux de couverture élevé. Quant au secteur informel cotisant (non pauvre), son identification et sa participation sera plus difficile ; mais l’Agence s’appuiera sur l’expérience internationale (Maroc, Sénégal notamment à ce jour) pour étendre la couverture à leur endroit.</w:t>
      </w:r>
    </w:p>
    <w:p w14:paraId="3723086A" w14:textId="77777777" w:rsidR="003F3FAC" w:rsidRPr="003F7257" w:rsidRDefault="007444DB" w:rsidP="003F7257">
      <w:pPr>
        <w:pStyle w:val="Titre1"/>
      </w:pPr>
      <w:bookmarkStart w:id="26" w:name="_Toc21449027"/>
      <w:r w:rsidRPr="003F7257">
        <w:t>O.S n°4 : Rationalisation du</w:t>
      </w:r>
      <w:r w:rsidR="003F3FAC" w:rsidRPr="003F7257">
        <w:t xml:space="preserve"> </w:t>
      </w:r>
      <w:r w:rsidR="00AD660A" w:rsidRPr="003F7257">
        <w:t xml:space="preserve">système de financement de la santé </w:t>
      </w:r>
      <w:r w:rsidR="0020554B" w:rsidRPr="003F7257">
        <w:t>pour la CSU</w:t>
      </w:r>
      <w:bookmarkEnd w:id="26"/>
      <w:r w:rsidR="0020554B" w:rsidRPr="003F7257">
        <w:t xml:space="preserve"> </w:t>
      </w:r>
    </w:p>
    <w:p w14:paraId="5606985B" w14:textId="77777777" w:rsidR="000902A1" w:rsidRDefault="007444DB" w:rsidP="00BF29A2">
      <w:pPr>
        <w:pStyle w:val="Titre2"/>
      </w:pPr>
      <w:bookmarkStart w:id="27" w:name="_Toc21449028"/>
      <w:r>
        <w:t xml:space="preserve">Axe stratégique n°9 : </w:t>
      </w:r>
      <w:r w:rsidR="00971E95">
        <w:t>définition d’</w:t>
      </w:r>
      <w:r>
        <w:t>un</w:t>
      </w:r>
      <w:r w:rsidR="00BF29A2">
        <w:t xml:space="preserve"> paquet de soins</w:t>
      </w:r>
      <w:r w:rsidR="006E10F9">
        <w:t xml:space="preserve"> </w:t>
      </w:r>
      <w:r w:rsidR="006E10F9" w:rsidRPr="006E10F9">
        <w:rPr>
          <w:color w:val="FF0000"/>
        </w:rPr>
        <w:t>(et/ou paquet de services)</w:t>
      </w:r>
      <w:r>
        <w:t xml:space="preserve"> adapté aux besoins et aux moyens nationaux</w:t>
      </w:r>
      <w:bookmarkEnd w:id="27"/>
      <w:r>
        <w:t xml:space="preserve"> </w:t>
      </w:r>
    </w:p>
    <w:p w14:paraId="560FD0B2" w14:textId="77777777" w:rsidR="008D5D3A" w:rsidRPr="008D5D3A" w:rsidRDefault="008D5D3A" w:rsidP="008D5D3A"/>
    <w:p w14:paraId="37C61D3F" w14:textId="77777777" w:rsidR="006463D8" w:rsidRDefault="006463D8" w:rsidP="008D5D3A">
      <w:pPr>
        <w:rPr>
          <w:rFonts w:cstheme="minorHAnsi"/>
          <w:bCs/>
          <w:color w:val="FF0000"/>
          <w:sz w:val="24"/>
          <w:szCs w:val="24"/>
        </w:rPr>
      </w:pPr>
      <w:r w:rsidRPr="008D5D3A">
        <w:rPr>
          <w:rFonts w:cstheme="minorHAnsi"/>
          <w:bCs/>
          <w:color w:val="FF0000"/>
          <w:sz w:val="24"/>
          <w:szCs w:val="24"/>
        </w:rPr>
        <w:t>Le paquet de soins devra couvrir le PMA et le PCA dans leur entièreté, une partie du paquet secondaire régional et une partie du paquet tertiaire.</w:t>
      </w:r>
      <w:r w:rsidRPr="008D5D3A">
        <w:rPr>
          <w:rFonts w:cstheme="minorHAnsi"/>
          <w:bCs/>
          <w:color w:val="FF0000"/>
          <w:sz w:val="24"/>
          <w:szCs w:val="24"/>
        </w:rPr>
        <w:br/>
        <w:t>La définition détaillée du panier ainsi que les arbitrages se feront au décours d'une étude sur le panier dont l'étude actuarielle.</w:t>
      </w:r>
    </w:p>
    <w:p w14:paraId="465CD8E5" w14:textId="77777777" w:rsidR="006E10F9" w:rsidRPr="006E10F9" w:rsidRDefault="006E10F9" w:rsidP="006E10F9">
      <w:pPr>
        <w:pStyle w:val="Commentaire"/>
        <w:rPr>
          <w:rFonts w:cstheme="minorHAnsi"/>
          <w:bCs/>
          <w:color w:val="FF0000"/>
          <w:sz w:val="24"/>
          <w:szCs w:val="24"/>
        </w:rPr>
      </w:pPr>
      <w:r w:rsidRPr="006E10F9">
        <w:rPr>
          <w:rFonts w:cstheme="minorHAnsi"/>
          <w:bCs/>
          <w:color w:val="FF0000"/>
          <w:sz w:val="24"/>
          <w:szCs w:val="24"/>
        </w:rPr>
        <w:t>Nous pourrions parler d’un paquet de bénéfices car nous pourrions très bien penser assurer des services ‘non-offre de soins’ comme l’accès à l’eau, une cotisation donnant droit à un ticket modérateur réduit pour l’achat de l’eau….</w:t>
      </w:r>
    </w:p>
    <w:p w14:paraId="72F9AF51" w14:textId="77777777" w:rsidR="007444DB" w:rsidRDefault="007444DB" w:rsidP="007444DB"/>
    <w:p w14:paraId="6FC7A65E" w14:textId="77777777" w:rsidR="007444DB" w:rsidRDefault="007444DB" w:rsidP="007444DB">
      <w:pPr>
        <w:pStyle w:val="Titre2"/>
      </w:pPr>
      <w:bookmarkStart w:id="28" w:name="_Toc21449029"/>
      <w:r>
        <w:t xml:space="preserve">Axe stratégique n°10 : </w:t>
      </w:r>
      <w:r w:rsidR="00971E95">
        <w:t>intégration accru et optimale des</w:t>
      </w:r>
      <w:r>
        <w:t xml:space="preserve"> financements et autres interventions des partenaires dans les circuits nationaux</w:t>
      </w:r>
      <w:bookmarkEnd w:id="28"/>
    </w:p>
    <w:p w14:paraId="59464C5F" w14:textId="77777777" w:rsidR="007444DB" w:rsidRPr="007444DB" w:rsidRDefault="007444DB" w:rsidP="007444DB"/>
    <w:p w14:paraId="78ECCBD3" w14:textId="77777777" w:rsidR="00FB5FE3" w:rsidRDefault="007444DB" w:rsidP="00FB5FE3">
      <w:pPr>
        <w:rPr>
          <w:rFonts w:cstheme="minorHAnsi"/>
          <w:bCs/>
          <w:sz w:val="24"/>
          <w:szCs w:val="24"/>
        </w:rPr>
      </w:pPr>
      <w:r w:rsidRPr="00ED1638">
        <w:rPr>
          <w:rFonts w:cstheme="minorHAnsi"/>
          <w:bCs/>
          <w:sz w:val="24"/>
          <w:szCs w:val="24"/>
        </w:rPr>
        <w:t xml:space="preserve">Principalement il s’agira </w:t>
      </w:r>
      <w:r w:rsidR="00ED1638" w:rsidRPr="00ED1638">
        <w:rPr>
          <w:rFonts w:cstheme="minorHAnsi"/>
          <w:bCs/>
          <w:sz w:val="24"/>
          <w:szCs w:val="24"/>
        </w:rPr>
        <w:t>d’agir sur l’alignement d</w:t>
      </w:r>
      <w:r w:rsidRPr="00ED1638">
        <w:rPr>
          <w:rFonts w:cstheme="minorHAnsi"/>
          <w:bCs/>
          <w:sz w:val="24"/>
          <w:szCs w:val="24"/>
        </w:rPr>
        <w:t>es financements de la santé des partenaires sur les finances publiques</w:t>
      </w:r>
      <w:r w:rsidR="00ED1638" w:rsidRPr="00ED1638">
        <w:rPr>
          <w:rFonts w:cstheme="minorHAnsi"/>
          <w:bCs/>
          <w:sz w:val="24"/>
          <w:szCs w:val="24"/>
        </w:rPr>
        <w:t xml:space="preserve"> (appui budgétaire)</w:t>
      </w:r>
      <w:r w:rsidRPr="00ED1638">
        <w:rPr>
          <w:rFonts w:cstheme="minorHAnsi"/>
          <w:bCs/>
          <w:sz w:val="24"/>
          <w:szCs w:val="24"/>
        </w:rPr>
        <w:t xml:space="preserve"> ou</w:t>
      </w:r>
      <w:r w:rsidR="00ED1638" w:rsidRPr="00ED1638">
        <w:rPr>
          <w:rFonts w:cstheme="minorHAnsi"/>
          <w:bCs/>
          <w:sz w:val="24"/>
          <w:szCs w:val="24"/>
        </w:rPr>
        <w:t xml:space="preserve"> sinon conjointement sur les plans d’actions du Ministère.</w:t>
      </w:r>
      <w:r w:rsidRPr="00ED1638">
        <w:rPr>
          <w:rFonts w:cstheme="minorHAnsi"/>
          <w:bCs/>
          <w:sz w:val="24"/>
          <w:szCs w:val="24"/>
        </w:rPr>
        <w:t xml:space="preserve"> </w:t>
      </w:r>
      <w:r w:rsidR="00FB5FE3">
        <w:rPr>
          <w:rFonts w:cstheme="minorHAnsi"/>
          <w:bCs/>
          <w:sz w:val="24"/>
          <w:szCs w:val="24"/>
        </w:rPr>
        <w:t xml:space="preserve">Dans le cas de l’amélioration de la nutrition, cela doit être fait dans le dans le cadre de </w:t>
      </w:r>
      <w:r w:rsidR="00FB5FE3" w:rsidRPr="00FB5FE3">
        <w:rPr>
          <w:rFonts w:cstheme="minorHAnsi"/>
          <w:bCs/>
          <w:sz w:val="24"/>
          <w:szCs w:val="24"/>
        </w:rPr>
        <w:t>la pleine prise en compte des activités en lien avec la nutrition dans le système de santé.</w:t>
      </w:r>
    </w:p>
    <w:p w14:paraId="2F544C66" w14:textId="77777777" w:rsidR="00C623ED" w:rsidRPr="00C623ED" w:rsidRDefault="00C623ED" w:rsidP="00FB5FE3">
      <w:pPr>
        <w:rPr>
          <w:rFonts w:cstheme="minorHAnsi"/>
          <w:bCs/>
          <w:i/>
          <w:sz w:val="24"/>
          <w:szCs w:val="24"/>
        </w:rPr>
      </w:pPr>
      <w:r w:rsidRPr="00C623ED">
        <w:rPr>
          <w:rFonts w:cstheme="minorHAnsi"/>
          <w:bCs/>
          <w:i/>
          <w:sz w:val="24"/>
          <w:szCs w:val="24"/>
        </w:rPr>
        <w:t>Financements de la santé</w:t>
      </w:r>
    </w:p>
    <w:p w14:paraId="5003AA83" w14:textId="77777777" w:rsidR="001C336A" w:rsidRDefault="001C336A" w:rsidP="001C336A">
      <w:pPr>
        <w:rPr>
          <w:rFonts w:cstheme="minorHAnsi"/>
          <w:bCs/>
          <w:sz w:val="24"/>
          <w:szCs w:val="24"/>
        </w:rPr>
      </w:pPr>
      <w:r w:rsidRPr="001C336A">
        <w:rPr>
          <w:rFonts w:cstheme="minorHAnsi"/>
          <w:bCs/>
          <w:sz w:val="24"/>
          <w:szCs w:val="24"/>
        </w:rPr>
        <w:t>Da</w:t>
      </w:r>
      <w:r>
        <w:rPr>
          <w:rFonts w:cstheme="minorHAnsi"/>
          <w:bCs/>
          <w:sz w:val="24"/>
          <w:szCs w:val="24"/>
        </w:rPr>
        <w:t>ns le cadre du fond</w:t>
      </w:r>
      <w:r w:rsidR="004347A3">
        <w:rPr>
          <w:rFonts w:cstheme="minorHAnsi"/>
          <w:bCs/>
          <w:sz w:val="24"/>
          <w:szCs w:val="24"/>
        </w:rPr>
        <w:t>s</w:t>
      </w:r>
      <w:r>
        <w:rPr>
          <w:rFonts w:cstheme="minorHAnsi"/>
          <w:bCs/>
          <w:sz w:val="24"/>
          <w:szCs w:val="24"/>
        </w:rPr>
        <w:t xml:space="preserve"> commun</w:t>
      </w:r>
      <w:r w:rsidRPr="001C336A">
        <w:rPr>
          <w:rFonts w:cstheme="minorHAnsi"/>
          <w:bCs/>
          <w:sz w:val="24"/>
          <w:szCs w:val="24"/>
        </w:rPr>
        <w:t xml:space="preserve"> de mise en œuvre du PDS des partenaires se sont regroupés pour avoir des procédures de gestion commune. Les procédures du fond </w:t>
      </w:r>
      <w:r w:rsidR="003C497C" w:rsidRPr="001C336A">
        <w:rPr>
          <w:rFonts w:cstheme="minorHAnsi"/>
          <w:bCs/>
          <w:sz w:val="24"/>
          <w:szCs w:val="24"/>
        </w:rPr>
        <w:t>commun se</w:t>
      </w:r>
      <w:r w:rsidRPr="001C336A">
        <w:rPr>
          <w:rFonts w:cstheme="minorHAnsi"/>
          <w:bCs/>
          <w:sz w:val="24"/>
          <w:szCs w:val="24"/>
        </w:rPr>
        <w:t xml:space="preserve"> sont avérées très efficaces</w:t>
      </w:r>
      <w:r>
        <w:rPr>
          <w:rFonts w:cstheme="minorHAnsi"/>
          <w:bCs/>
          <w:sz w:val="24"/>
          <w:szCs w:val="24"/>
        </w:rPr>
        <w:t xml:space="preserve"> et</w:t>
      </w:r>
      <w:r w:rsidRPr="001C336A">
        <w:rPr>
          <w:rFonts w:cstheme="minorHAnsi"/>
          <w:bCs/>
          <w:sz w:val="24"/>
          <w:szCs w:val="24"/>
        </w:rPr>
        <w:t xml:space="preserve"> sont </w:t>
      </w:r>
      <w:r w:rsidR="003C497C">
        <w:rPr>
          <w:rFonts w:cstheme="minorHAnsi"/>
          <w:bCs/>
          <w:sz w:val="24"/>
          <w:szCs w:val="24"/>
        </w:rPr>
        <w:t xml:space="preserve">en grande partie </w:t>
      </w:r>
      <w:r w:rsidRPr="001C336A">
        <w:rPr>
          <w:rFonts w:cstheme="minorHAnsi"/>
          <w:bCs/>
          <w:sz w:val="24"/>
          <w:szCs w:val="24"/>
        </w:rPr>
        <w:t>à la base de l'exécution des dépenses dans les PAA</w:t>
      </w:r>
      <w:r w:rsidR="00FB5FE3" w:rsidRPr="00FB5FE3">
        <w:rPr>
          <w:rFonts w:cstheme="minorHAnsi"/>
          <w:bCs/>
          <w:sz w:val="24"/>
          <w:szCs w:val="24"/>
        </w:rPr>
        <w:t xml:space="preserve"> </w:t>
      </w:r>
      <w:r w:rsidR="00FB5FE3">
        <w:rPr>
          <w:rFonts w:cstheme="minorHAnsi"/>
          <w:bCs/>
          <w:sz w:val="24"/>
          <w:szCs w:val="24"/>
        </w:rPr>
        <w:t>des structures du Ministère de la Santé</w:t>
      </w:r>
      <w:r w:rsidRPr="001C336A">
        <w:rPr>
          <w:rFonts w:cstheme="minorHAnsi"/>
          <w:bCs/>
          <w:sz w:val="24"/>
          <w:szCs w:val="24"/>
        </w:rPr>
        <w:t>.</w:t>
      </w:r>
      <w:r>
        <w:rPr>
          <w:rFonts w:cstheme="minorHAnsi"/>
          <w:bCs/>
          <w:sz w:val="24"/>
          <w:szCs w:val="24"/>
        </w:rPr>
        <w:t xml:space="preserve"> Les partenaires poursuivront leur collaboration dans ce sens, en veillant à favoriser très largement la mise en commun des fonds plutôt que des fonds dédiés.</w:t>
      </w:r>
      <w:r w:rsidRPr="001C336A">
        <w:rPr>
          <w:rFonts w:cstheme="minorHAnsi"/>
          <w:bCs/>
          <w:sz w:val="24"/>
          <w:szCs w:val="24"/>
        </w:rPr>
        <w:t xml:space="preserve"> Les dépenses des autres PTF devront </w:t>
      </w:r>
      <w:r w:rsidR="007444DB">
        <w:rPr>
          <w:rFonts w:cstheme="minorHAnsi"/>
          <w:bCs/>
          <w:sz w:val="24"/>
          <w:szCs w:val="24"/>
        </w:rPr>
        <w:t>également</w:t>
      </w:r>
      <w:r w:rsidRPr="001C336A">
        <w:rPr>
          <w:rFonts w:cstheme="minorHAnsi"/>
          <w:bCs/>
          <w:sz w:val="24"/>
          <w:szCs w:val="24"/>
        </w:rPr>
        <w:t xml:space="preserve"> intégrer </w:t>
      </w:r>
      <w:r w:rsidR="003C497C">
        <w:rPr>
          <w:rFonts w:cstheme="minorHAnsi"/>
          <w:bCs/>
          <w:sz w:val="24"/>
          <w:szCs w:val="24"/>
        </w:rPr>
        <w:t xml:space="preserve">autant que possible, </w:t>
      </w:r>
      <w:r w:rsidRPr="001C336A">
        <w:rPr>
          <w:rFonts w:cstheme="minorHAnsi"/>
          <w:bCs/>
          <w:sz w:val="24"/>
          <w:szCs w:val="24"/>
        </w:rPr>
        <w:t>le fonds commun.</w:t>
      </w:r>
      <w:r>
        <w:rPr>
          <w:rFonts w:cstheme="minorHAnsi"/>
          <w:bCs/>
          <w:sz w:val="24"/>
          <w:szCs w:val="24"/>
        </w:rPr>
        <w:t xml:space="preserve"> En tout état de cause, </w:t>
      </w:r>
      <w:r w:rsidRPr="001C336A">
        <w:rPr>
          <w:rFonts w:cstheme="minorHAnsi"/>
          <w:bCs/>
          <w:sz w:val="24"/>
          <w:szCs w:val="24"/>
        </w:rPr>
        <w:t>le Ministère devra clairement définir ses priorités annuelles sur lesquelles les PTF devront s'aligner</w:t>
      </w:r>
      <w:r>
        <w:rPr>
          <w:rFonts w:cstheme="minorHAnsi"/>
          <w:bCs/>
          <w:sz w:val="24"/>
          <w:szCs w:val="24"/>
        </w:rPr>
        <w:t>.</w:t>
      </w:r>
    </w:p>
    <w:p w14:paraId="37B14C0A" w14:textId="77777777" w:rsidR="00C623ED" w:rsidRPr="00C623ED" w:rsidRDefault="00C623ED" w:rsidP="001C336A">
      <w:pPr>
        <w:rPr>
          <w:rFonts w:cstheme="minorHAnsi"/>
          <w:bCs/>
          <w:i/>
          <w:sz w:val="24"/>
          <w:szCs w:val="24"/>
        </w:rPr>
      </w:pPr>
      <w:r w:rsidRPr="00C623ED">
        <w:rPr>
          <w:rFonts w:cstheme="minorHAnsi"/>
          <w:bCs/>
          <w:i/>
          <w:sz w:val="24"/>
          <w:szCs w:val="24"/>
        </w:rPr>
        <w:t>Alignement et intégration pour l’amélioration de la nutrition</w:t>
      </w:r>
    </w:p>
    <w:p w14:paraId="27BEFD6B" w14:textId="77777777" w:rsidR="00C623ED" w:rsidRPr="00C623ED" w:rsidRDefault="00C623ED" w:rsidP="00C623ED">
      <w:pPr>
        <w:rPr>
          <w:rFonts w:cstheme="minorHAnsi"/>
          <w:bCs/>
          <w:sz w:val="24"/>
          <w:szCs w:val="24"/>
        </w:rPr>
      </w:pPr>
      <w:r w:rsidRPr="00C623ED">
        <w:rPr>
          <w:rFonts w:cstheme="minorHAnsi"/>
          <w:bCs/>
          <w:sz w:val="24"/>
          <w:szCs w:val="24"/>
        </w:rPr>
        <w:t>Les efforts d’intégration effective des actions de prise en charge médicale de la malnutrition aigüe (principalement financées par les partenaires extérieurs) doivent se poursuivre de même que l’investissement dans les activités à haut impact promotionnelles et préventives.</w:t>
      </w:r>
    </w:p>
    <w:p w14:paraId="650CA6EB" w14:textId="77777777" w:rsidR="00C623ED" w:rsidRPr="00C623ED" w:rsidRDefault="00C623ED" w:rsidP="00C623ED">
      <w:pPr>
        <w:rPr>
          <w:rFonts w:cstheme="minorHAnsi"/>
          <w:bCs/>
          <w:sz w:val="24"/>
          <w:szCs w:val="24"/>
        </w:rPr>
      </w:pPr>
      <w:r w:rsidRPr="00C623ED">
        <w:rPr>
          <w:rFonts w:cstheme="minorHAnsi"/>
          <w:bCs/>
          <w:sz w:val="24"/>
          <w:szCs w:val="24"/>
        </w:rPr>
        <w:t>Le plan d’action de la PNSN prévoit notamment l’intégration au niveau des différents secteurs (Santé, Agriculture / Elevage, Education, Eau/Hygiène/Assainissement Protection Sociale, Communication) et des sous-secteurs de la Santé (Directions de la Nutrition, Santé de la Mère et de l’Enfant, Hygiène publique / Assainissement, programme MNT…).</w:t>
      </w:r>
    </w:p>
    <w:p w14:paraId="316C764A" w14:textId="77777777" w:rsidR="00C623ED" w:rsidRPr="00C623ED" w:rsidRDefault="00C623ED" w:rsidP="00C623ED">
      <w:pPr>
        <w:rPr>
          <w:rFonts w:cstheme="minorHAnsi"/>
          <w:bCs/>
          <w:sz w:val="24"/>
          <w:szCs w:val="24"/>
        </w:rPr>
      </w:pPr>
      <w:r>
        <w:rPr>
          <w:rFonts w:cstheme="minorHAnsi"/>
          <w:bCs/>
          <w:sz w:val="24"/>
          <w:szCs w:val="24"/>
        </w:rPr>
        <w:t>C’est dans cette perspective que l</w:t>
      </w:r>
      <w:r w:rsidRPr="00C623ED">
        <w:rPr>
          <w:rFonts w:cstheme="minorHAnsi"/>
          <w:bCs/>
          <w:sz w:val="24"/>
          <w:szCs w:val="24"/>
        </w:rPr>
        <w:t>’alignement des partenaires sur les besoins devra être renforcé</w:t>
      </w:r>
      <w:r>
        <w:rPr>
          <w:rFonts w:cstheme="minorHAnsi"/>
          <w:bCs/>
          <w:sz w:val="24"/>
          <w:szCs w:val="24"/>
        </w:rPr>
        <w:t>, notamment</w:t>
      </w:r>
      <w:r w:rsidRPr="00C623ED">
        <w:rPr>
          <w:rFonts w:cstheme="minorHAnsi"/>
          <w:bCs/>
          <w:sz w:val="24"/>
          <w:szCs w:val="24"/>
        </w:rPr>
        <w:t xml:space="preserve"> par un plus grand leadership national. Il est vrai que les financements extérieurs sont très importants notamment sur la prise en charge (intrants, ressources humaines...) ; leur intégration sera d’autant plus accrue qu’ils suivront les circuits des financements publics ou seront mutualisés. </w:t>
      </w:r>
    </w:p>
    <w:p w14:paraId="2902C475" w14:textId="77777777" w:rsidR="00C623ED" w:rsidRDefault="00C623ED" w:rsidP="00C623ED">
      <w:pPr>
        <w:rPr>
          <w:rFonts w:asciiTheme="majorHAnsi" w:eastAsiaTheme="majorEastAsia" w:hAnsiTheme="majorHAnsi" w:cstheme="majorBidi"/>
          <w:b/>
          <w:bCs/>
          <w:color w:val="4F81BD" w:themeColor="accent1"/>
          <w:sz w:val="26"/>
          <w:szCs w:val="26"/>
        </w:rPr>
      </w:pPr>
      <w:r w:rsidRPr="00ED1638">
        <w:rPr>
          <w:highlight w:val="yellow"/>
        </w:rPr>
        <w:t>.</w:t>
      </w:r>
      <w:r>
        <w:br w:type="page"/>
      </w:r>
    </w:p>
    <w:p w14:paraId="6A379298" w14:textId="77777777" w:rsidR="00600733" w:rsidRDefault="00600733" w:rsidP="00BF29A2">
      <w:pPr>
        <w:pStyle w:val="Titre2"/>
      </w:pPr>
      <w:bookmarkStart w:id="29" w:name="_Toc21449030"/>
      <w:r w:rsidRPr="00BF29A2">
        <w:t>Canaux de f</w:t>
      </w:r>
      <w:r w:rsidR="003F3FAC" w:rsidRPr="00BF29A2">
        <w:t xml:space="preserve">inancement </w:t>
      </w:r>
      <w:r w:rsidRPr="00BF29A2">
        <w:t>et répartition</w:t>
      </w:r>
      <w:r w:rsidR="00474A8A">
        <w:t xml:space="preserve"> à long terme (10 ans)</w:t>
      </w:r>
      <w:bookmarkEnd w:id="29"/>
    </w:p>
    <w:p w14:paraId="70FFC61B" w14:textId="77777777" w:rsidR="002378D9" w:rsidRPr="002378D9" w:rsidRDefault="002378D9" w:rsidP="002378D9"/>
    <w:p w14:paraId="1F5FE170" w14:textId="77777777" w:rsidR="00474A8A" w:rsidRDefault="00600733" w:rsidP="00600733">
      <w:pPr>
        <w:rPr>
          <w:rFonts w:cstheme="minorHAnsi"/>
          <w:sz w:val="24"/>
          <w:szCs w:val="24"/>
        </w:rPr>
      </w:pPr>
      <w:r w:rsidRPr="00BF29A2">
        <w:rPr>
          <w:rFonts w:cstheme="minorHAnsi"/>
          <w:sz w:val="24"/>
          <w:szCs w:val="24"/>
        </w:rPr>
        <w:t xml:space="preserve">Les canaux de  financement de la santé font l’objet de la revue des « Comptes de la Santé » régulièrement établis au Niger. Le schéma de financement </w:t>
      </w:r>
      <w:r w:rsidR="00474A8A">
        <w:rPr>
          <w:rFonts w:cstheme="minorHAnsi"/>
          <w:sz w:val="24"/>
          <w:szCs w:val="24"/>
        </w:rPr>
        <w:t>prévu à terme (10 ans)</w:t>
      </w:r>
      <w:r w:rsidRPr="00BF29A2">
        <w:rPr>
          <w:rFonts w:cstheme="minorHAnsi"/>
          <w:sz w:val="24"/>
          <w:szCs w:val="24"/>
        </w:rPr>
        <w:t xml:space="preserve"> est illustré ci-après, où l’on voit que </w:t>
      </w:r>
      <w:r w:rsidR="00474A8A">
        <w:rPr>
          <w:rFonts w:cstheme="minorHAnsi"/>
          <w:sz w:val="24"/>
          <w:szCs w:val="24"/>
        </w:rPr>
        <w:t xml:space="preserve">les </w:t>
      </w:r>
      <w:r w:rsidRPr="00BF29A2">
        <w:rPr>
          <w:rFonts w:cstheme="minorHAnsi"/>
          <w:sz w:val="24"/>
          <w:szCs w:val="24"/>
        </w:rPr>
        <w:t>deux réformes essentielles prévues pour améliorer à la fois la mobilisation des ressources, leur mise en commun et l’achat stratégique des prestations</w:t>
      </w:r>
      <w:r w:rsidR="00474A8A">
        <w:rPr>
          <w:rFonts w:cstheme="minorHAnsi"/>
          <w:sz w:val="24"/>
          <w:szCs w:val="24"/>
        </w:rPr>
        <w:t>, clarifie totalement les circuits de financement</w:t>
      </w:r>
      <w:r w:rsidRPr="00BF29A2">
        <w:rPr>
          <w:rFonts w:cstheme="minorHAnsi"/>
          <w:sz w:val="24"/>
          <w:szCs w:val="24"/>
        </w:rPr>
        <w:t xml:space="preserve">. </w:t>
      </w:r>
      <w:r w:rsidR="00474A8A">
        <w:rPr>
          <w:rFonts w:cstheme="minorHAnsi"/>
          <w:sz w:val="24"/>
          <w:szCs w:val="24"/>
        </w:rPr>
        <w:t>Les deux réformes en question sont</w:t>
      </w:r>
      <w:r w:rsidRPr="00BF29A2">
        <w:rPr>
          <w:rFonts w:cstheme="minorHAnsi"/>
          <w:sz w:val="24"/>
          <w:szCs w:val="24"/>
        </w:rPr>
        <w:t xml:space="preserve"> la réforme des budget-programmes et </w:t>
      </w:r>
      <w:r w:rsidR="00474A8A">
        <w:rPr>
          <w:rFonts w:cstheme="minorHAnsi"/>
          <w:sz w:val="24"/>
          <w:szCs w:val="24"/>
        </w:rPr>
        <w:t>l’</w:t>
      </w:r>
      <w:r w:rsidRPr="00BF29A2">
        <w:rPr>
          <w:rFonts w:cstheme="minorHAnsi"/>
          <w:sz w:val="24"/>
          <w:szCs w:val="24"/>
        </w:rPr>
        <w:t xml:space="preserve">assurance maladie universelle. </w:t>
      </w:r>
    </w:p>
    <w:p w14:paraId="3C584142" w14:textId="77777777" w:rsidR="003F3FAC" w:rsidRPr="00BF29A2" w:rsidRDefault="00600733" w:rsidP="00600733">
      <w:pPr>
        <w:rPr>
          <w:rFonts w:cstheme="minorHAnsi"/>
          <w:sz w:val="24"/>
          <w:szCs w:val="24"/>
        </w:rPr>
      </w:pPr>
      <w:r w:rsidRPr="00BF29A2">
        <w:rPr>
          <w:rFonts w:cstheme="minorHAnsi"/>
          <w:sz w:val="24"/>
          <w:szCs w:val="24"/>
        </w:rPr>
        <w:t>A termes, le système de financement de la santé ressemblera donc au schéma présenté.</w:t>
      </w:r>
    </w:p>
    <w:p w14:paraId="20CC43F7" w14:textId="77777777" w:rsidR="00600733" w:rsidRPr="00BF29A2" w:rsidRDefault="00600733" w:rsidP="00600733">
      <w:pPr>
        <w:rPr>
          <w:rFonts w:cstheme="minorHAnsi"/>
          <w:sz w:val="24"/>
          <w:szCs w:val="24"/>
        </w:rPr>
      </w:pPr>
      <w:r w:rsidRPr="00BF29A2">
        <w:rPr>
          <w:rFonts w:cstheme="minorHAnsi"/>
          <w:sz w:val="24"/>
          <w:szCs w:val="24"/>
        </w:rPr>
        <w:t xml:space="preserve">Dans ce schéma, il </w:t>
      </w:r>
      <w:r w:rsidR="003C497C">
        <w:rPr>
          <w:rFonts w:cstheme="minorHAnsi"/>
          <w:sz w:val="24"/>
          <w:szCs w:val="24"/>
        </w:rPr>
        <w:t>y a</w:t>
      </w:r>
      <w:r w:rsidR="003C497C" w:rsidRPr="00BF29A2">
        <w:rPr>
          <w:rFonts w:cstheme="minorHAnsi"/>
          <w:sz w:val="24"/>
          <w:szCs w:val="24"/>
        </w:rPr>
        <w:t xml:space="preserve"> </w:t>
      </w:r>
      <w:r w:rsidRPr="00BF29A2">
        <w:rPr>
          <w:rFonts w:cstheme="minorHAnsi"/>
          <w:sz w:val="24"/>
          <w:szCs w:val="24"/>
        </w:rPr>
        <w:t>également une logique qui prévaut dans la répartition des rôles des agents de financements :</w:t>
      </w:r>
    </w:p>
    <w:p w14:paraId="57581D0A" w14:textId="77777777" w:rsidR="00600733" w:rsidRPr="00BF29A2" w:rsidRDefault="00600733" w:rsidP="00600733">
      <w:pPr>
        <w:pStyle w:val="Paragraphedeliste"/>
        <w:numPr>
          <w:ilvl w:val="0"/>
          <w:numId w:val="12"/>
        </w:numPr>
        <w:rPr>
          <w:rFonts w:cstheme="minorHAnsi"/>
          <w:sz w:val="24"/>
          <w:szCs w:val="24"/>
        </w:rPr>
      </w:pPr>
      <w:r w:rsidRPr="00BF29A2">
        <w:rPr>
          <w:rFonts w:cstheme="minorHAnsi"/>
          <w:sz w:val="24"/>
          <w:szCs w:val="24"/>
        </w:rPr>
        <w:t xml:space="preserve">L’Etat assure le </w:t>
      </w:r>
      <w:r w:rsidR="00277D84" w:rsidRPr="00BF29A2">
        <w:rPr>
          <w:rFonts w:cstheme="minorHAnsi"/>
          <w:sz w:val="24"/>
          <w:szCs w:val="24"/>
        </w:rPr>
        <w:t xml:space="preserve">financement des investissements, la disponibilité des ressources humaines en quantité et en qualité, la disponibilité </w:t>
      </w:r>
      <w:r w:rsidR="003C497C">
        <w:rPr>
          <w:rFonts w:cstheme="minorHAnsi"/>
          <w:sz w:val="24"/>
          <w:szCs w:val="24"/>
        </w:rPr>
        <w:t>à</w:t>
      </w:r>
      <w:r w:rsidR="003C497C" w:rsidRPr="00BF29A2">
        <w:rPr>
          <w:rFonts w:cstheme="minorHAnsi"/>
          <w:sz w:val="24"/>
          <w:szCs w:val="24"/>
        </w:rPr>
        <w:t xml:space="preserve"> </w:t>
      </w:r>
      <w:r w:rsidR="00277D84" w:rsidRPr="00BF29A2">
        <w:rPr>
          <w:rFonts w:cstheme="minorHAnsi"/>
          <w:sz w:val="24"/>
          <w:szCs w:val="24"/>
        </w:rPr>
        <w:t>priori d’une offre de soins</w:t>
      </w:r>
      <w:r w:rsidR="002378D9">
        <w:rPr>
          <w:rFonts w:cstheme="minorHAnsi"/>
          <w:sz w:val="24"/>
          <w:szCs w:val="24"/>
        </w:rPr>
        <w:t xml:space="preserve"> (infrastructure, matériel, fonctionnement de base)</w:t>
      </w:r>
      <w:r w:rsidR="00277D84" w:rsidRPr="00BF29A2">
        <w:rPr>
          <w:rFonts w:cstheme="minorHAnsi"/>
          <w:sz w:val="24"/>
          <w:szCs w:val="24"/>
        </w:rPr>
        <w:t>, la gestion des programmes de santé publique, les urgence</w:t>
      </w:r>
      <w:r w:rsidR="002378D9">
        <w:rPr>
          <w:rFonts w:cstheme="minorHAnsi"/>
          <w:sz w:val="24"/>
          <w:szCs w:val="24"/>
        </w:rPr>
        <w:t>s sanitaires, les épidémies. </w:t>
      </w:r>
      <w:r w:rsidR="003C497C">
        <w:rPr>
          <w:rFonts w:cstheme="minorHAnsi"/>
          <w:sz w:val="24"/>
          <w:szCs w:val="24"/>
        </w:rPr>
        <w:t>En outre, il doit assurer une fonction de régulation du secteur.</w:t>
      </w:r>
    </w:p>
    <w:p w14:paraId="6A5EFF51" w14:textId="77777777" w:rsidR="00277D84" w:rsidRPr="00BF29A2" w:rsidRDefault="00277D84" w:rsidP="00277D84">
      <w:pPr>
        <w:pStyle w:val="Paragraphedeliste"/>
        <w:rPr>
          <w:rFonts w:cstheme="minorHAnsi"/>
          <w:sz w:val="24"/>
          <w:szCs w:val="24"/>
        </w:rPr>
      </w:pPr>
    </w:p>
    <w:p w14:paraId="5975BBD6" w14:textId="77777777" w:rsidR="00277D84" w:rsidRPr="00BF29A2" w:rsidRDefault="00277D84" w:rsidP="00600733">
      <w:pPr>
        <w:pStyle w:val="Paragraphedeliste"/>
        <w:numPr>
          <w:ilvl w:val="0"/>
          <w:numId w:val="12"/>
        </w:numPr>
        <w:rPr>
          <w:rFonts w:cstheme="minorHAnsi"/>
          <w:sz w:val="24"/>
          <w:szCs w:val="24"/>
        </w:rPr>
      </w:pPr>
      <w:r w:rsidRPr="00BF29A2">
        <w:rPr>
          <w:rFonts w:cstheme="minorHAnsi"/>
          <w:sz w:val="24"/>
          <w:szCs w:val="24"/>
        </w:rPr>
        <w:t>Les partenaires financiers de l’Etat alignent leurs financements, soit sur le budget général de l’Etat, soit sur les programmes budgétaires</w:t>
      </w:r>
      <w:r w:rsidR="002378D9">
        <w:rPr>
          <w:rFonts w:cstheme="minorHAnsi"/>
          <w:sz w:val="24"/>
          <w:szCs w:val="24"/>
        </w:rPr>
        <w:t>.</w:t>
      </w:r>
    </w:p>
    <w:p w14:paraId="14B3F2C9" w14:textId="77777777" w:rsidR="00277D84" w:rsidRPr="00BF29A2" w:rsidRDefault="00277D84" w:rsidP="00277D84">
      <w:pPr>
        <w:pStyle w:val="Paragraphedeliste"/>
        <w:rPr>
          <w:rFonts w:cstheme="minorHAnsi"/>
          <w:sz w:val="24"/>
          <w:szCs w:val="24"/>
        </w:rPr>
      </w:pPr>
    </w:p>
    <w:p w14:paraId="5675CE07" w14:textId="77777777" w:rsidR="00277D84" w:rsidRPr="00BF29A2" w:rsidRDefault="00277D84" w:rsidP="00600733">
      <w:pPr>
        <w:pStyle w:val="Paragraphedeliste"/>
        <w:numPr>
          <w:ilvl w:val="0"/>
          <w:numId w:val="12"/>
        </w:numPr>
        <w:rPr>
          <w:rFonts w:cstheme="minorHAnsi"/>
          <w:sz w:val="24"/>
          <w:szCs w:val="24"/>
        </w:rPr>
      </w:pPr>
      <w:r w:rsidRPr="00BF29A2">
        <w:rPr>
          <w:rFonts w:cstheme="minorHAnsi"/>
          <w:sz w:val="24"/>
          <w:szCs w:val="24"/>
        </w:rPr>
        <w:t>L’Assurance Maladie assure le paiement en tiers-payant de la partie du paquet de services qui constitue son panier de soins. Comme il est dit infra, ce panier couvre des services à la personne.</w:t>
      </w:r>
      <w:r w:rsidR="00EE2796">
        <w:rPr>
          <w:rFonts w:cstheme="minorHAnsi"/>
          <w:sz w:val="24"/>
          <w:szCs w:val="24"/>
        </w:rPr>
        <w:t xml:space="preserve"> Les ressources de la Caisse Nationale d’Assurance Maladie seront largement issues de l’Etat dans la mesure où la capacité contributive d’une très grande partie de la population nigérienne est limitée.</w:t>
      </w:r>
    </w:p>
    <w:p w14:paraId="006DC78D" w14:textId="77777777" w:rsidR="00277D84" w:rsidRPr="00BF29A2" w:rsidRDefault="00277D84" w:rsidP="00277D84">
      <w:pPr>
        <w:pStyle w:val="Paragraphedeliste"/>
        <w:rPr>
          <w:rFonts w:cstheme="minorHAnsi"/>
          <w:sz w:val="24"/>
          <w:szCs w:val="24"/>
        </w:rPr>
      </w:pPr>
    </w:p>
    <w:p w14:paraId="0E8D1A02" w14:textId="77777777" w:rsidR="00277D84" w:rsidRPr="00BF29A2" w:rsidRDefault="00277D84" w:rsidP="00600733">
      <w:pPr>
        <w:pStyle w:val="Paragraphedeliste"/>
        <w:numPr>
          <w:ilvl w:val="0"/>
          <w:numId w:val="12"/>
        </w:numPr>
        <w:rPr>
          <w:rFonts w:cstheme="minorHAnsi"/>
          <w:sz w:val="24"/>
          <w:szCs w:val="24"/>
        </w:rPr>
      </w:pPr>
      <w:r w:rsidRPr="00BF29A2">
        <w:rPr>
          <w:rFonts w:cstheme="minorHAnsi"/>
          <w:sz w:val="24"/>
          <w:szCs w:val="24"/>
        </w:rPr>
        <w:t>Les ménages contribuent encore à la santé sous forme de paiement direct, pour ce qui reste du recouvrement des coûts en dehors du panier de soins de l’assurance maladie.</w:t>
      </w:r>
    </w:p>
    <w:p w14:paraId="562B7187" w14:textId="77777777" w:rsidR="00277D84" w:rsidRPr="00BF29A2" w:rsidRDefault="00277D84" w:rsidP="00277D84">
      <w:pPr>
        <w:pStyle w:val="Paragraphedeliste"/>
        <w:rPr>
          <w:rFonts w:cstheme="minorHAnsi"/>
          <w:sz w:val="24"/>
          <w:szCs w:val="24"/>
        </w:rPr>
      </w:pPr>
    </w:p>
    <w:p w14:paraId="5BAF333A" w14:textId="77777777" w:rsidR="00277D84" w:rsidRPr="00BF29A2" w:rsidRDefault="00277D84" w:rsidP="00277D84">
      <w:pPr>
        <w:rPr>
          <w:rFonts w:cstheme="minorHAnsi"/>
          <w:sz w:val="24"/>
          <w:szCs w:val="24"/>
        </w:rPr>
      </w:pPr>
      <w:r w:rsidRPr="00BF29A2">
        <w:rPr>
          <w:rFonts w:cstheme="minorHAnsi"/>
          <w:sz w:val="24"/>
          <w:szCs w:val="24"/>
        </w:rPr>
        <w:t>Enfin dans ce schéma, les volumes auront évolué par rapport à la situation présente</w:t>
      </w:r>
      <w:r w:rsidR="002378D9">
        <w:rPr>
          <w:rFonts w:cstheme="minorHAnsi"/>
          <w:sz w:val="24"/>
          <w:szCs w:val="24"/>
        </w:rPr>
        <w:t xml:space="preserve"> (cf. infra « indicateurs »)</w:t>
      </w:r>
      <w:r w:rsidRPr="00BF29A2">
        <w:rPr>
          <w:rFonts w:cstheme="minorHAnsi"/>
          <w:sz w:val="24"/>
          <w:szCs w:val="24"/>
        </w:rPr>
        <w:t>. En particulier :</w:t>
      </w:r>
    </w:p>
    <w:p w14:paraId="6B4D1EDF" w14:textId="77777777" w:rsidR="00600733" w:rsidRPr="00BF29A2" w:rsidRDefault="00277D84" w:rsidP="00277D84">
      <w:pPr>
        <w:pStyle w:val="Paragraphedeliste"/>
        <w:numPr>
          <w:ilvl w:val="0"/>
          <w:numId w:val="12"/>
        </w:numPr>
        <w:rPr>
          <w:rFonts w:cstheme="minorHAnsi"/>
          <w:sz w:val="24"/>
          <w:szCs w:val="24"/>
        </w:rPr>
      </w:pPr>
      <w:r w:rsidRPr="00BF29A2">
        <w:rPr>
          <w:rFonts w:cstheme="minorHAnsi"/>
          <w:sz w:val="24"/>
          <w:szCs w:val="24"/>
        </w:rPr>
        <w:t>Les ressources domestiques de l’Eta</w:t>
      </w:r>
      <w:r w:rsidR="004C04DB">
        <w:rPr>
          <w:rFonts w:cstheme="minorHAnsi"/>
          <w:sz w:val="24"/>
          <w:szCs w:val="24"/>
        </w:rPr>
        <w:t>t auront sensiblement augmenté</w:t>
      </w:r>
    </w:p>
    <w:p w14:paraId="08A632F2" w14:textId="77777777" w:rsidR="00277D84" w:rsidRPr="00BF29A2" w:rsidRDefault="00277D84" w:rsidP="00277D84">
      <w:pPr>
        <w:pStyle w:val="Paragraphedeliste"/>
        <w:numPr>
          <w:ilvl w:val="0"/>
          <w:numId w:val="12"/>
        </w:numPr>
        <w:rPr>
          <w:rFonts w:cstheme="minorHAnsi"/>
          <w:sz w:val="24"/>
          <w:szCs w:val="24"/>
        </w:rPr>
      </w:pPr>
      <w:r w:rsidRPr="00BF29A2">
        <w:rPr>
          <w:rFonts w:cstheme="minorHAnsi"/>
          <w:sz w:val="24"/>
          <w:szCs w:val="24"/>
        </w:rPr>
        <w:t>Les ressources mises en commun dans la gestion de l’assurance maladie seront substantielles</w:t>
      </w:r>
    </w:p>
    <w:p w14:paraId="6AFD30F9" w14:textId="77777777" w:rsidR="000902A1" w:rsidRPr="00BF29A2" w:rsidRDefault="00277D84" w:rsidP="00277D84">
      <w:pPr>
        <w:pStyle w:val="Paragraphedeliste"/>
        <w:numPr>
          <w:ilvl w:val="0"/>
          <w:numId w:val="12"/>
        </w:numPr>
        <w:rPr>
          <w:rFonts w:cstheme="minorHAnsi"/>
          <w:sz w:val="24"/>
          <w:szCs w:val="24"/>
        </w:rPr>
      </w:pPr>
      <w:r w:rsidRPr="00BF29A2">
        <w:rPr>
          <w:rFonts w:cstheme="minorHAnsi"/>
          <w:sz w:val="24"/>
          <w:szCs w:val="24"/>
        </w:rPr>
        <w:t>Le paiement direct de ménages aura considérablement diminué.</w:t>
      </w:r>
    </w:p>
    <w:p w14:paraId="0E4CB01B" w14:textId="77777777" w:rsidR="00A46F97" w:rsidRPr="00BF29A2" w:rsidRDefault="00A46F97">
      <w:pPr>
        <w:rPr>
          <w:rFonts w:cstheme="minorHAnsi"/>
          <w:color w:val="FF0000"/>
          <w:sz w:val="24"/>
          <w:szCs w:val="24"/>
        </w:rPr>
      </w:pPr>
      <w:r w:rsidRPr="00BF29A2">
        <w:rPr>
          <w:rFonts w:cstheme="minorHAnsi"/>
          <w:color w:val="FF0000"/>
          <w:sz w:val="24"/>
          <w:szCs w:val="24"/>
        </w:rPr>
        <w:br w:type="page"/>
      </w:r>
    </w:p>
    <w:p w14:paraId="2F0CA1CC" w14:textId="77777777" w:rsidR="004B2E69" w:rsidRPr="00BF29A2" w:rsidRDefault="004B2E69" w:rsidP="000902A1">
      <w:pPr>
        <w:pStyle w:val="Paragraphedeliste"/>
        <w:numPr>
          <w:ilvl w:val="0"/>
          <w:numId w:val="2"/>
        </w:numPr>
        <w:rPr>
          <w:rFonts w:cstheme="minorHAnsi"/>
          <w:color w:val="FF0000"/>
          <w:sz w:val="24"/>
          <w:szCs w:val="24"/>
        </w:rPr>
        <w:sectPr w:rsidR="004B2E69" w:rsidRPr="00BF29A2" w:rsidSect="001F0332">
          <w:footerReference w:type="default" r:id="rId22"/>
          <w:pgSz w:w="11906" w:h="16838"/>
          <w:pgMar w:top="1418" w:right="1418" w:bottom="1418" w:left="1418" w:header="709" w:footer="709" w:gutter="0"/>
          <w:cols w:space="708"/>
          <w:docGrid w:linePitch="360"/>
        </w:sectPr>
      </w:pPr>
    </w:p>
    <w:p w14:paraId="12A7EC79" w14:textId="77777777" w:rsidR="000902A1" w:rsidRPr="00BF29A2" w:rsidRDefault="000902A1" w:rsidP="00BF29A2">
      <w:pPr>
        <w:ind w:left="720"/>
        <w:rPr>
          <w:rFonts w:cstheme="minorHAnsi"/>
          <w:i/>
          <w:sz w:val="24"/>
          <w:szCs w:val="24"/>
          <w:u w:val="single"/>
        </w:rPr>
      </w:pPr>
      <w:r w:rsidRPr="00BF29A2">
        <w:rPr>
          <w:rFonts w:cstheme="minorHAnsi"/>
          <w:i/>
          <w:sz w:val="24"/>
          <w:szCs w:val="24"/>
          <w:u w:val="single"/>
        </w:rPr>
        <w:t>Financement de la CSU</w:t>
      </w:r>
      <w:r w:rsidR="001B17C8" w:rsidRPr="00BF29A2">
        <w:rPr>
          <w:rFonts w:cstheme="minorHAnsi"/>
          <w:i/>
          <w:sz w:val="24"/>
          <w:szCs w:val="24"/>
          <w:u w:val="single"/>
        </w:rPr>
        <w:t> : schéma du système de financement de la santé</w:t>
      </w:r>
      <w:r w:rsidR="00474A8A">
        <w:rPr>
          <w:rFonts w:cstheme="minorHAnsi"/>
          <w:i/>
          <w:sz w:val="24"/>
          <w:szCs w:val="24"/>
          <w:u w:val="single"/>
        </w:rPr>
        <w:t xml:space="preserve"> à terme (10 ans)</w:t>
      </w:r>
    </w:p>
    <w:p w14:paraId="4F279DDF" w14:textId="77777777" w:rsidR="00277D84" w:rsidRPr="00BF29A2" w:rsidRDefault="00277D84" w:rsidP="00277D84">
      <w:pPr>
        <w:pStyle w:val="Paragraphedeliste"/>
        <w:ind w:left="1080"/>
        <w:rPr>
          <w:rFonts w:cstheme="minorHAnsi"/>
          <w:sz w:val="24"/>
          <w:szCs w:val="24"/>
        </w:rPr>
      </w:pPr>
      <w:r w:rsidRPr="00BF29A2">
        <w:rPr>
          <w:rFonts w:cstheme="minorHAnsi"/>
          <w:noProof/>
          <w:sz w:val="24"/>
          <w:szCs w:val="24"/>
          <w:lang w:eastAsia="fr-FR"/>
        </w:rPr>
        <mc:AlternateContent>
          <mc:Choice Requires="wps">
            <w:drawing>
              <wp:anchor distT="0" distB="0" distL="114300" distR="114300" simplePos="0" relativeHeight="251665408" behindDoc="0" locked="0" layoutInCell="1" allowOverlap="1" wp14:anchorId="55D04064" wp14:editId="314310A0">
                <wp:simplePos x="0" y="0"/>
                <wp:positionH relativeFrom="column">
                  <wp:posOffset>6728669</wp:posOffset>
                </wp:positionH>
                <wp:positionV relativeFrom="paragraph">
                  <wp:posOffset>177942</wp:posOffset>
                </wp:positionV>
                <wp:extent cx="1828800" cy="657661"/>
                <wp:effectExtent l="57150" t="38100" r="76200" b="104775"/>
                <wp:wrapNone/>
                <wp:docPr id="4" name="Zone de texte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657661"/>
                        </a:xfrm>
                        <a:prstGeom prst="rect">
                          <a:avLst/>
                        </a:prstGeom>
                        <a:ln>
                          <a:headEnd/>
                          <a:tailEnd/>
                        </a:ln>
                      </wps:spPr>
                      <wps:style>
                        <a:lnRef idx="1">
                          <a:schemeClr val="accent5"/>
                        </a:lnRef>
                        <a:fillRef idx="2">
                          <a:schemeClr val="accent5"/>
                        </a:fillRef>
                        <a:effectRef idx="1">
                          <a:schemeClr val="accent5"/>
                        </a:effectRef>
                        <a:fontRef idx="minor">
                          <a:schemeClr val="dk1"/>
                        </a:fontRef>
                      </wps:style>
                      <wps:txbx>
                        <w:txbxContent>
                          <w:p w14:paraId="091EA98D" w14:textId="77777777" w:rsidR="007679D9" w:rsidRPr="00A87DBB" w:rsidRDefault="007679D9" w:rsidP="00277D84">
                            <w:pPr>
                              <w:jc w:val="center"/>
                              <w:rPr>
                                <w:sz w:val="28"/>
                              </w:rPr>
                            </w:pPr>
                            <w:r>
                              <w:rPr>
                                <w:sz w:val="28"/>
                              </w:rPr>
                              <w:t>Financements hors budget éventuel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E7B029A" id="_x0000_t202" coordsize="21600,21600" o:spt="202" path="m,l,21600r21600,l21600,xe">
                <v:stroke joinstyle="miter"/>
                <v:path gradientshapeok="t" o:connecttype="rect"/>
              </v:shapetype>
              <v:shape id="Zone de texte 4" o:spid="_x0000_s1026" type="#_x0000_t202" style="position:absolute;left:0;text-align:left;margin-left:529.8pt;margin-top:14pt;width:2in;height:51.8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" fillcolor="#a5d5e2 [1624]" strokecolor="#40a7c2 [3048]">
                <v:fill color2="#e4f2f6 [504]" rotate="t" angle="180" colors="0 #9eeaff;22938f #bbefff;1 #e4f9ff" focus="100%" type="gradient"/>
                <v:shadow on="t" color="black" opacity="24903f" origin=",.5" offset="0,.55556mm"/>
                <v:textbox>
                  <w:txbxContent>
                    <w:p w:rsidR="007679D9" w:rsidRPr="00A87DBB" w:rsidRDefault="007679D9" w:rsidP="00277D84">
                      <w:pPr>
                        <w:jc w:val="center"/>
                        <w:rPr>
                          <w:sz w:val="28"/>
                        </w:rPr>
                      </w:pPr>
                      <w:r>
                        <w:rPr>
                          <w:sz w:val="28"/>
                        </w:rPr>
                        <w:t>Financements hors budget éventuel</w:t>
                      </w:r>
                    </w:p>
                  </w:txbxContent>
                </v:textbox>
              </v:shape>
            </w:pict>
          </mc:Fallback>
        </mc:AlternateContent>
      </w:r>
      <w:r w:rsidRPr="00BF29A2">
        <w:rPr>
          <w:rFonts w:cstheme="minorHAnsi"/>
          <w:noProof/>
          <w:sz w:val="24"/>
          <w:szCs w:val="24"/>
          <w:lang w:eastAsia="fr-FR"/>
        </w:rPr>
        <mc:AlternateContent>
          <mc:Choice Requires="wps">
            <w:drawing>
              <wp:anchor distT="0" distB="0" distL="114300" distR="114300" simplePos="0" relativeHeight="251664384" behindDoc="0" locked="0" layoutInCell="1" allowOverlap="1" wp14:anchorId="74E18ADC" wp14:editId="0B9917BB">
                <wp:simplePos x="0" y="0"/>
                <wp:positionH relativeFrom="column">
                  <wp:posOffset>3735070</wp:posOffset>
                </wp:positionH>
                <wp:positionV relativeFrom="paragraph">
                  <wp:posOffset>290830</wp:posOffset>
                </wp:positionV>
                <wp:extent cx="1828800" cy="541655"/>
                <wp:effectExtent l="57150" t="38100" r="76200" b="86995"/>
                <wp:wrapNone/>
                <wp:docPr id="5"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541655"/>
                        </a:xfrm>
                        <a:prstGeom prst="rect">
                          <a:avLst/>
                        </a:prstGeom>
                        <a:ln>
                          <a:headEnd/>
                          <a:tailEnd/>
                        </a:ln>
                      </wps:spPr>
                      <wps:style>
                        <a:lnRef idx="1">
                          <a:schemeClr val="accent5"/>
                        </a:lnRef>
                        <a:fillRef idx="2">
                          <a:schemeClr val="accent5"/>
                        </a:fillRef>
                        <a:effectRef idx="1">
                          <a:schemeClr val="accent5"/>
                        </a:effectRef>
                        <a:fontRef idx="minor">
                          <a:schemeClr val="dk1"/>
                        </a:fontRef>
                      </wps:style>
                      <wps:txbx>
                        <w:txbxContent>
                          <w:p w14:paraId="5D9F06C2" w14:textId="77777777" w:rsidR="007679D9" w:rsidRPr="00A87DBB" w:rsidRDefault="007679D9" w:rsidP="00277D84">
                            <w:pPr>
                              <w:jc w:val="center"/>
                              <w:rPr>
                                <w:sz w:val="28"/>
                              </w:rPr>
                            </w:pPr>
                            <w:r>
                              <w:rPr>
                                <w:sz w:val="28"/>
                              </w:rPr>
                              <w:t>Budget de l’Etat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E964097" id="Zone de texte 2" o:spid="_x0000_s1027" type="#_x0000_t202" style="position:absolute;left:0;text-align:left;margin-left:294.1pt;margin-top:22.9pt;width:2in;height:42.6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" fillcolor="#a5d5e2 [1624]" strokecolor="#40a7c2 [3048]">
                <v:fill color2="#e4f2f6 [504]" rotate="t" angle="180" colors="0 #9eeaff;22938f #bbefff;1 #e4f9ff" focus="100%" type="gradient"/>
                <v:shadow on="t" color="black" opacity="24903f" origin=",.5" offset="0,.55556mm"/>
                <v:textbox>
                  <w:txbxContent>
                    <w:p w:rsidR="007679D9" w:rsidRPr="00A87DBB" w:rsidRDefault="007679D9" w:rsidP="00277D84">
                      <w:pPr>
                        <w:jc w:val="center"/>
                        <w:rPr>
                          <w:sz w:val="28"/>
                        </w:rPr>
                      </w:pPr>
                      <w:r>
                        <w:rPr>
                          <w:sz w:val="28"/>
                        </w:rPr>
                        <w:t>Budget de l’Etat</w:t>
                      </w:r>
                    </w:p>
                  </w:txbxContent>
                </v:textbox>
              </v:shape>
            </w:pict>
          </mc:Fallback>
        </mc:AlternateContent>
      </w:r>
      <w:r w:rsidRPr="00BF29A2">
        <w:rPr>
          <w:rFonts w:cstheme="minorHAnsi"/>
          <w:noProof/>
          <w:sz w:val="24"/>
          <w:szCs w:val="24"/>
          <w:lang w:eastAsia="fr-FR"/>
        </w:rPr>
        <mc:AlternateContent>
          <mc:Choice Requires="wps">
            <w:drawing>
              <wp:anchor distT="0" distB="0" distL="114300" distR="114300" simplePos="0" relativeHeight="251663360" behindDoc="0" locked="0" layoutInCell="1" allowOverlap="1" wp14:anchorId="0B301384" wp14:editId="4E69535E">
                <wp:simplePos x="0" y="0"/>
                <wp:positionH relativeFrom="column">
                  <wp:posOffset>502920</wp:posOffset>
                </wp:positionH>
                <wp:positionV relativeFrom="paragraph">
                  <wp:posOffset>291465</wp:posOffset>
                </wp:positionV>
                <wp:extent cx="1828800" cy="551815"/>
                <wp:effectExtent l="57150" t="38100" r="76200" b="95885"/>
                <wp:wrapNone/>
                <wp:docPr id="30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551815"/>
                        </a:xfrm>
                        <a:prstGeom prst="rect">
                          <a:avLst/>
                        </a:prstGeom>
                        <a:ln>
                          <a:headEnd/>
                          <a:tailEnd/>
                        </a:ln>
                      </wps:spPr>
                      <wps:style>
                        <a:lnRef idx="1">
                          <a:schemeClr val="accent5"/>
                        </a:lnRef>
                        <a:fillRef idx="2">
                          <a:schemeClr val="accent5"/>
                        </a:fillRef>
                        <a:effectRef idx="1">
                          <a:schemeClr val="accent5"/>
                        </a:effectRef>
                        <a:fontRef idx="minor">
                          <a:schemeClr val="dk1"/>
                        </a:fontRef>
                      </wps:style>
                      <wps:txbx>
                        <w:txbxContent>
                          <w:p w14:paraId="1A796F7D" w14:textId="77777777" w:rsidR="007679D9" w:rsidRPr="00A87DBB" w:rsidRDefault="007679D9" w:rsidP="00277D84">
                            <w:pPr>
                              <w:jc w:val="center"/>
                              <w:rPr>
                                <w:sz w:val="28"/>
                              </w:rPr>
                            </w:pPr>
                            <w:r w:rsidRPr="00A87DBB">
                              <w:rPr>
                                <w:sz w:val="28"/>
                              </w:rPr>
                              <w:t>Partenaires financiers</w:t>
                            </w:r>
                            <w:r>
                              <w:rPr>
                                <w:sz w:val="28"/>
                              </w:rPr>
                              <w:t xml:space="preserve"> de la santé</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BC6C594" id="_x0000_s1028" type="#_x0000_t202" style="position:absolute;left:0;text-align:left;margin-left:39.6pt;margin-top:22.95pt;width:2in;height:43.4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" fillcolor="#a5d5e2 [1624]" strokecolor="#40a7c2 [3048]">
                <v:fill color2="#e4f2f6 [504]" rotate="t" angle="180" colors="0 #9eeaff;22938f #bbefff;1 #e4f9ff" focus="100%" type="gradient"/>
                <v:shadow on="t" color="black" opacity="24903f" origin=",.5" offset="0,.55556mm"/>
                <v:textbox>
                  <w:txbxContent>
                    <w:p w:rsidR="007679D9" w:rsidRPr="00A87DBB" w:rsidRDefault="007679D9" w:rsidP="00277D84">
                      <w:pPr>
                        <w:jc w:val="center"/>
                        <w:rPr>
                          <w:sz w:val="28"/>
                        </w:rPr>
                      </w:pPr>
                      <w:r w:rsidRPr="00A87DBB">
                        <w:rPr>
                          <w:sz w:val="28"/>
                        </w:rPr>
                        <w:t>Partenaires financiers</w:t>
                      </w:r>
                      <w:r>
                        <w:rPr>
                          <w:sz w:val="28"/>
                        </w:rPr>
                        <w:t xml:space="preserve"> de la santé</w:t>
                      </w:r>
                    </w:p>
                  </w:txbxContent>
                </v:textbox>
              </v:shape>
            </w:pict>
          </mc:Fallback>
        </mc:AlternateContent>
      </w:r>
      <w:r w:rsidRPr="00BF29A2">
        <w:rPr>
          <w:rFonts w:cstheme="minorHAnsi"/>
          <w:noProof/>
          <w:sz w:val="24"/>
          <w:szCs w:val="24"/>
          <w:lang w:eastAsia="fr-FR"/>
        </w:rPr>
        <mc:AlternateContent>
          <mc:Choice Requires="wps">
            <w:drawing>
              <wp:anchor distT="0" distB="0" distL="114300" distR="114300" simplePos="0" relativeHeight="251694080" behindDoc="0" locked="0" layoutInCell="1" allowOverlap="1" wp14:anchorId="39B021A1" wp14:editId="3506E738">
                <wp:simplePos x="0" y="0"/>
                <wp:positionH relativeFrom="column">
                  <wp:posOffset>5086335</wp:posOffset>
                </wp:positionH>
                <wp:positionV relativeFrom="paragraph">
                  <wp:posOffset>2753567</wp:posOffset>
                </wp:positionV>
                <wp:extent cx="1467293" cy="1446028"/>
                <wp:effectExtent l="0" t="0" r="19050" b="20955"/>
                <wp:wrapNone/>
                <wp:docPr id="296" name="Zone de texte 296"/>
                <wp:cNvGraphicFramePr/>
                <a:graphic xmlns:a="http://schemas.openxmlformats.org/drawingml/2006/main">
                  <a:graphicData uri="http://schemas.microsoft.com/office/word/2010/wordprocessingShape">
                    <wps:wsp>
                      <wps:cNvSpPr txBox="1"/>
                      <wps:spPr>
                        <a:xfrm>
                          <a:off x="0" y="0"/>
                          <a:ext cx="1467293" cy="1446028"/>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5CDBE5F" w14:textId="77777777" w:rsidR="007679D9" w:rsidRDefault="007679D9" w:rsidP="00277D84">
                            <w:r>
                              <w:t>L’assurance maladie achète un panier de soins de santé, plutôt dans le curatif, qui paie le coût des intrants et une partie du fonctionnement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DCC156" id="Zone de texte 296" o:spid="_x0000_s1029" type="#_x0000_t202" style="position:absolute;left:0;text-align:left;margin-left:400.5pt;margin-top:216.8pt;width:115.55pt;height:113.8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" fillcolor="white [3201]" strokeweight=".5pt">
                <v:textbox>
                  <w:txbxContent>
                    <w:p w:rsidR="007679D9" w:rsidRDefault="007679D9" w:rsidP="00277D84">
                      <w:r>
                        <w:t>L’assurance maladie achète un panier de soins de santé, plutôt dans le curatif, qui paie le coût des intrants et une partie du fonctionnement</w:t>
                      </w:r>
                    </w:p>
                  </w:txbxContent>
                </v:textbox>
              </v:shape>
            </w:pict>
          </mc:Fallback>
        </mc:AlternateContent>
      </w:r>
      <w:r w:rsidRPr="00BF29A2">
        <w:rPr>
          <w:rFonts w:cstheme="minorHAnsi"/>
          <w:noProof/>
          <w:sz w:val="24"/>
          <w:szCs w:val="24"/>
          <w:lang w:eastAsia="fr-FR"/>
        </w:rPr>
        <mc:AlternateContent>
          <mc:Choice Requires="wps">
            <w:drawing>
              <wp:anchor distT="0" distB="0" distL="114300" distR="114300" simplePos="0" relativeHeight="251693056" behindDoc="0" locked="0" layoutInCell="1" allowOverlap="1" wp14:anchorId="64E11EFE" wp14:editId="2B6ED356">
                <wp:simplePos x="0" y="0"/>
                <wp:positionH relativeFrom="column">
                  <wp:posOffset>4728210</wp:posOffset>
                </wp:positionH>
                <wp:positionV relativeFrom="paragraph">
                  <wp:posOffset>2468245</wp:posOffset>
                </wp:positionV>
                <wp:extent cx="2125980" cy="1967230"/>
                <wp:effectExtent l="57150" t="38100" r="83820" b="90170"/>
                <wp:wrapNone/>
                <wp:docPr id="295" name="Ellipse 295"/>
                <wp:cNvGraphicFramePr/>
                <a:graphic xmlns:a="http://schemas.openxmlformats.org/drawingml/2006/main">
                  <a:graphicData uri="http://schemas.microsoft.com/office/word/2010/wordprocessingShape">
                    <wps:wsp>
                      <wps:cNvSpPr/>
                      <wps:spPr>
                        <a:xfrm>
                          <a:off x="0" y="0"/>
                          <a:ext cx="2125980" cy="1967230"/>
                        </a:xfrm>
                        <a:prstGeom prst="ellipse">
                          <a:avLst/>
                        </a:prstGeom>
                      </wps:spPr>
                      <wps:style>
                        <a:lnRef idx="1">
                          <a:schemeClr val="accent6"/>
                        </a:lnRef>
                        <a:fillRef idx="2">
                          <a:schemeClr val="accent6"/>
                        </a:fillRef>
                        <a:effectRef idx="1">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49E0A1C" id="Ellipse 295" o:spid="_x0000_s1026" style="position:absolute;margin-left:372.3pt;margin-top:194.35pt;width:167.4pt;height:154.9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" fillcolor="#fbcaa2 [1625]" strokecolor="#f68c36 [3049]">
                <v:fill color2="#fdefe3 [505]" rotate="t" angle="180" colors="0 #ffbe86;22938f #ffd0aa;1 #ffebdb" focus="100%" type="gradient"/>
                <v:shadow on="t" color="black" opacity="24903f" origin=",.5" offset="0,.55556mm"/>
              </v:oval>
            </w:pict>
          </mc:Fallback>
        </mc:AlternateContent>
      </w:r>
      <w:r w:rsidRPr="00BF29A2">
        <w:rPr>
          <w:rFonts w:cstheme="minorHAnsi"/>
          <w:noProof/>
          <w:sz w:val="24"/>
          <w:szCs w:val="24"/>
          <w:lang w:eastAsia="fr-FR"/>
        </w:rPr>
        <mc:AlternateContent>
          <mc:Choice Requires="wps">
            <w:drawing>
              <wp:anchor distT="0" distB="0" distL="114300" distR="114300" simplePos="0" relativeHeight="251659264" behindDoc="0" locked="0" layoutInCell="1" allowOverlap="1" wp14:anchorId="55AE54A5" wp14:editId="1BF225F2">
                <wp:simplePos x="0" y="0"/>
                <wp:positionH relativeFrom="column">
                  <wp:posOffset>6627495</wp:posOffset>
                </wp:positionH>
                <wp:positionV relativeFrom="paragraph">
                  <wp:posOffset>3326765</wp:posOffset>
                </wp:positionV>
                <wp:extent cx="2125980" cy="1967230"/>
                <wp:effectExtent l="76200" t="57150" r="83820" b="90170"/>
                <wp:wrapNone/>
                <wp:docPr id="293" name="Ellipse 293"/>
                <wp:cNvGraphicFramePr/>
                <a:graphic xmlns:a="http://schemas.openxmlformats.org/drawingml/2006/main">
                  <a:graphicData uri="http://schemas.microsoft.com/office/word/2010/wordprocessingShape">
                    <wps:wsp>
                      <wps:cNvSpPr/>
                      <wps:spPr>
                        <a:xfrm>
                          <a:off x="0" y="0"/>
                          <a:ext cx="2125980" cy="1967230"/>
                        </a:xfrm>
                        <a:prstGeom prst="ellipse">
                          <a:avLst/>
                        </a:prstGeom>
                      </wps:spPr>
                      <wps:style>
                        <a:lnRef idx="3">
                          <a:schemeClr val="lt1"/>
                        </a:lnRef>
                        <a:fillRef idx="1">
                          <a:schemeClr val="accent4"/>
                        </a:fillRef>
                        <a:effectRef idx="1">
                          <a:schemeClr val="accent4"/>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3080292" id="Ellipse 293" o:spid="_x0000_s1026" style="position:absolute;margin-left:521.85pt;margin-top:261.95pt;width:167.4pt;height:154.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" fillcolor="#8064a2 [3207]" strokecolor="white [3201]" strokeweight="3pt">
                <v:shadow on="t" color="black" opacity="24903f" origin=",.5" offset="0,.55556mm"/>
              </v:oval>
            </w:pict>
          </mc:Fallback>
        </mc:AlternateContent>
      </w:r>
      <w:r w:rsidRPr="00BF29A2">
        <w:rPr>
          <w:rFonts w:cstheme="minorHAnsi"/>
          <w:noProof/>
          <w:sz w:val="24"/>
          <w:szCs w:val="24"/>
          <w:lang w:eastAsia="fr-FR"/>
        </w:rPr>
        <mc:AlternateContent>
          <mc:Choice Requires="wps">
            <w:drawing>
              <wp:anchor distT="0" distB="0" distL="114300" distR="114300" simplePos="0" relativeHeight="251692032" behindDoc="0" locked="0" layoutInCell="1" allowOverlap="1" wp14:anchorId="33A66CE3" wp14:editId="12AC0E3E">
                <wp:simplePos x="0" y="0"/>
                <wp:positionH relativeFrom="column">
                  <wp:posOffset>7000196</wp:posOffset>
                </wp:positionH>
                <wp:positionV relativeFrom="paragraph">
                  <wp:posOffset>3710497</wp:posOffset>
                </wp:positionV>
                <wp:extent cx="1477925" cy="1306830"/>
                <wp:effectExtent l="0" t="0" r="27305" b="26670"/>
                <wp:wrapNone/>
                <wp:docPr id="294" name="Zone de texte 294"/>
                <wp:cNvGraphicFramePr/>
                <a:graphic xmlns:a="http://schemas.openxmlformats.org/drawingml/2006/main">
                  <a:graphicData uri="http://schemas.microsoft.com/office/word/2010/wordprocessingShape">
                    <wps:wsp>
                      <wps:cNvSpPr txBox="1"/>
                      <wps:spPr>
                        <a:xfrm>
                          <a:off x="0" y="0"/>
                          <a:ext cx="1477925" cy="130683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FF12FC4" w14:textId="77777777" w:rsidR="007679D9" w:rsidRDefault="007679D9" w:rsidP="00277D84">
                            <w:r>
                              <w:t>Les ménages cotisent à l’assurance maladie en fonction de leur capacité contributive. Ils paient un reliquat en paiement direct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34881C8" id="Zone de texte 294" o:spid="_x0000_s1030" type="#_x0000_t202" style="position:absolute;left:0;text-align:left;margin-left:551.2pt;margin-top:292.15pt;width:116.35pt;height:102.9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" fillcolor="white [3201]" strokeweight=".5pt">
                <v:textbox>
                  <w:txbxContent>
                    <w:p w:rsidR="007679D9" w:rsidRDefault="007679D9" w:rsidP="00277D84">
                      <w:r>
                        <w:t>Les ménages cotisent à l’assurance maladie en fonction de leur capacité contributive. Ils paient un reliquat en paiement direct</w:t>
                      </w:r>
                    </w:p>
                  </w:txbxContent>
                </v:textbox>
              </v:shape>
            </w:pict>
          </mc:Fallback>
        </mc:AlternateContent>
      </w:r>
      <w:r w:rsidRPr="00BF29A2">
        <w:rPr>
          <w:rFonts w:cstheme="minorHAnsi"/>
          <w:noProof/>
          <w:sz w:val="24"/>
          <w:szCs w:val="24"/>
          <w:lang w:eastAsia="fr-FR"/>
        </w:rPr>
        <mc:AlternateContent>
          <mc:Choice Requires="wps">
            <w:drawing>
              <wp:anchor distT="0" distB="0" distL="114300" distR="114300" simplePos="0" relativeHeight="251671552" behindDoc="0" locked="0" layoutInCell="1" allowOverlap="1" wp14:anchorId="6DAB28D4" wp14:editId="5A4A31B8">
                <wp:simplePos x="0" y="0"/>
                <wp:positionH relativeFrom="column">
                  <wp:posOffset>3597275</wp:posOffset>
                </wp:positionH>
                <wp:positionV relativeFrom="paragraph">
                  <wp:posOffset>3178810</wp:posOffset>
                </wp:positionV>
                <wp:extent cx="3284855" cy="733425"/>
                <wp:effectExtent l="38100" t="0" r="29845" b="85725"/>
                <wp:wrapNone/>
                <wp:docPr id="11" name="Connecteur droit avec flèche 11"/>
                <wp:cNvGraphicFramePr/>
                <a:graphic xmlns:a="http://schemas.openxmlformats.org/drawingml/2006/main">
                  <a:graphicData uri="http://schemas.microsoft.com/office/word/2010/wordprocessingShape">
                    <wps:wsp>
                      <wps:cNvCnPr/>
                      <wps:spPr>
                        <a:xfrm flipH="1">
                          <a:off x="0" y="0"/>
                          <a:ext cx="3284855" cy="733425"/>
                        </a:xfrm>
                        <a:prstGeom prst="straightConnector1">
                          <a:avLst/>
                        </a:prstGeom>
                        <a:ln>
                          <a:tailEnd type="arrow"/>
                        </a:ln>
                      </wps:spPr>
                      <wps:style>
                        <a:lnRef idx="1">
                          <a:schemeClr val="accent4"/>
                        </a:lnRef>
                        <a:fillRef idx="0">
                          <a:schemeClr val="accent4"/>
                        </a:fillRef>
                        <a:effectRef idx="0">
                          <a:schemeClr val="accent4"/>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082300D8" id="_x0000_t32" coordsize="21600,21600" o:spt="32" o:oned="t" path="m,l21600,21600e" filled="f">
                <v:path arrowok="t" fillok="f" o:connecttype="none"/>
                <o:lock v:ext="edit" shapetype="t"/>
              </v:shapetype>
              <v:shape id="Connecteur droit avec flèche 11" o:spid="_x0000_s1026" type="#_x0000_t32" style="position:absolute;margin-left:283.25pt;margin-top:250.3pt;width:258.65pt;height:57.75pt;flip:x;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" strokecolor="#795d9b [3047]">
                <v:stroke endarrow="open"/>
              </v:shape>
            </w:pict>
          </mc:Fallback>
        </mc:AlternateContent>
      </w:r>
      <w:r w:rsidRPr="00BF29A2">
        <w:rPr>
          <w:rFonts w:cstheme="minorHAnsi"/>
          <w:noProof/>
          <w:sz w:val="24"/>
          <w:szCs w:val="24"/>
          <w:lang w:eastAsia="fr-FR"/>
        </w:rPr>
        <mc:AlternateContent>
          <mc:Choice Requires="wps">
            <w:drawing>
              <wp:anchor distT="0" distB="0" distL="114300" distR="114300" simplePos="0" relativeHeight="251670528" behindDoc="0" locked="0" layoutInCell="1" allowOverlap="1" wp14:anchorId="6B623E7A" wp14:editId="3303B7F8">
                <wp:simplePos x="0" y="0"/>
                <wp:positionH relativeFrom="column">
                  <wp:posOffset>6892290</wp:posOffset>
                </wp:positionH>
                <wp:positionV relativeFrom="paragraph">
                  <wp:posOffset>2974340</wp:posOffset>
                </wp:positionV>
                <wp:extent cx="1679575" cy="350520"/>
                <wp:effectExtent l="57150" t="38100" r="73025" b="87630"/>
                <wp:wrapNone/>
                <wp:docPr id="10"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9575" cy="350520"/>
                        </a:xfrm>
                        <a:prstGeom prst="rect">
                          <a:avLst/>
                        </a:prstGeom>
                        <a:ln>
                          <a:headEnd/>
                          <a:tailEnd/>
                        </a:ln>
                      </wps:spPr>
                      <wps:style>
                        <a:lnRef idx="1">
                          <a:schemeClr val="accent4"/>
                        </a:lnRef>
                        <a:fillRef idx="2">
                          <a:schemeClr val="accent4"/>
                        </a:fillRef>
                        <a:effectRef idx="1">
                          <a:schemeClr val="accent4"/>
                        </a:effectRef>
                        <a:fontRef idx="minor">
                          <a:schemeClr val="dk1"/>
                        </a:fontRef>
                      </wps:style>
                      <wps:txbx>
                        <w:txbxContent>
                          <w:p w14:paraId="5E34C9FC" w14:textId="77777777" w:rsidR="007679D9" w:rsidRPr="00A87DBB" w:rsidRDefault="007679D9" w:rsidP="00277D84">
                            <w:pPr>
                              <w:jc w:val="center"/>
                              <w:rPr>
                                <w:sz w:val="28"/>
                              </w:rPr>
                            </w:pPr>
                            <w:r>
                              <w:rPr>
                                <w:sz w:val="28"/>
                              </w:rPr>
                              <w:t>Ménages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86684A9" id="_x0000_s1031" type="#_x0000_t202" style="position:absolute;left:0;text-align:left;margin-left:542.7pt;margin-top:234.2pt;width:132.25pt;height:27.6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" fillcolor="#bfb1d0 [1623]" strokecolor="#795d9b [3047]">
                <v:fill color2="#ece7f1 [503]" rotate="t" angle="180" colors="0 #c9b5e8;22938f #d9cbee;1 #f0eaf9" focus="100%" type="gradient"/>
                <v:shadow on="t" color="black" opacity="24903f" origin=",.5" offset="0,.55556mm"/>
                <v:textbox>
                  <w:txbxContent>
                    <w:p w:rsidR="007679D9" w:rsidRPr="00A87DBB" w:rsidRDefault="007679D9" w:rsidP="00277D84">
                      <w:pPr>
                        <w:jc w:val="center"/>
                        <w:rPr>
                          <w:sz w:val="28"/>
                        </w:rPr>
                      </w:pPr>
                      <w:r>
                        <w:rPr>
                          <w:sz w:val="28"/>
                        </w:rPr>
                        <w:t>Ménages</w:t>
                      </w:r>
                    </w:p>
                  </w:txbxContent>
                </v:textbox>
              </v:shape>
            </w:pict>
          </mc:Fallback>
        </mc:AlternateContent>
      </w:r>
      <w:r w:rsidRPr="00BF29A2">
        <w:rPr>
          <w:rFonts w:cstheme="minorHAnsi"/>
          <w:noProof/>
          <w:sz w:val="24"/>
          <w:szCs w:val="24"/>
          <w:lang w:eastAsia="fr-FR"/>
        </w:rPr>
        <mc:AlternateContent>
          <mc:Choice Requires="wps">
            <w:drawing>
              <wp:anchor distT="0" distB="0" distL="114300" distR="114300" simplePos="0" relativeHeight="251677696" behindDoc="0" locked="0" layoutInCell="1" allowOverlap="1" wp14:anchorId="30B5836E" wp14:editId="3E7FE0BD">
                <wp:simplePos x="0" y="0"/>
                <wp:positionH relativeFrom="column">
                  <wp:posOffset>7764780</wp:posOffset>
                </wp:positionH>
                <wp:positionV relativeFrom="paragraph">
                  <wp:posOffset>2157730</wp:posOffset>
                </wp:positionV>
                <wp:extent cx="0" cy="839470"/>
                <wp:effectExtent l="95250" t="38100" r="57150" b="17780"/>
                <wp:wrapNone/>
                <wp:docPr id="20" name="Connecteur droit avec flèche 20"/>
                <wp:cNvGraphicFramePr/>
                <a:graphic xmlns:a="http://schemas.openxmlformats.org/drawingml/2006/main">
                  <a:graphicData uri="http://schemas.microsoft.com/office/word/2010/wordprocessingShape">
                    <wps:wsp>
                      <wps:cNvCnPr/>
                      <wps:spPr>
                        <a:xfrm flipV="1">
                          <a:off x="0" y="0"/>
                          <a:ext cx="0" cy="839470"/>
                        </a:xfrm>
                        <a:prstGeom prst="straightConnector1">
                          <a:avLst/>
                        </a:prstGeom>
                        <a:ln>
                          <a:tailEnd type="arrow"/>
                        </a:ln>
                      </wps:spPr>
                      <wps:style>
                        <a:lnRef idx="1">
                          <a:schemeClr val="accent6"/>
                        </a:lnRef>
                        <a:fillRef idx="0">
                          <a:schemeClr val="accent6"/>
                        </a:fillRef>
                        <a:effectRef idx="0">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EBAFE7E" id="Connecteur droit avec flèche 20" o:spid="_x0000_s1026" type="#_x0000_t32" style="position:absolute;margin-left:611.4pt;margin-top:169.9pt;width:0;height:66.1pt;flip:y;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" strokecolor="#f68c36 [3049]">
                <v:stroke endarrow="open"/>
              </v:shape>
            </w:pict>
          </mc:Fallback>
        </mc:AlternateContent>
      </w:r>
      <w:r w:rsidRPr="00BF29A2">
        <w:rPr>
          <w:rFonts w:cstheme="minorHAnsi"/>
          <w:noProof/>
          <w:sz w:val="24"/>
          <w:szCs w:val="24"/>
          <w:lang w:eastAsia="fr-FR"/>
        </w:rPr>
        <mc:AlternateContent>
          <mc:Choice Requires="wps">
            <w:drawing>
              <wp:anchor distT="0" distB="0" distL="114300" distR="114300" simplePos="0" relativeHeight="251691008" behindDoc="0" locked="0" layoutInCell="1" allowOverlap="1" wp14:anchorId="4ADD7AF7" wp14:editId="2DC33A6F">
                <wp:simplePos x="0" y="0"/>
                <wp:positionH relativeFrom="column">
                  <wp:posOffset>215900</wp:posOffset>
                </wp:positionH>
                <wp:positionV relativeFrom="paragraph">
                  <wp:posOffset>3348990</wp:posOffset>
                </wp:positionV>
                <wp:extent cx="1402715" cy="1306830"/>
                <wp:effectExtent l="0" t="0" r="26035" b="26670"/>
                <wp:wrapNone/>
                <wp:docPr id="292" name="Zone de texte 292"/>
                <wp:cNvGraphicFramePr/>
                <a:graphic xmlns:a="http://schemas.openxmlformats.org/drawingml/2006/main">
                  <a:graphicData uri="http://schemas.microsoft.com/office/word/2010/wordprocessingShape">
                    <wps:wsp>
                      <wps:cNvSpPr txBox="1"/>
                      <wps:spPr>
                        <a:xfrm>
                          <a:off x="0" y="0"/>
                          <a:ext cx="1402715" cy="130683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73EBAA7" w14:textId="77777777" w:rsidR="007679D9" w:rsidRDefault="007679D9" w:rsidP="00277D84">
                            <w:r>
                              <w:t>Les programmes paient l’investissement, les RHS, et la mise en œuvre essentielle de la santé publique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1A78D0" id="Zone de texte 292" o:spid="_x0000_s1032" type="#_x0000_t202" style="position:absolute;left:0;text-align:left;margin-left:17pt;margin-top:263.7pt;width:110.45pt;height:102.9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" fillcolor="white [3201]" strokeweight=".5pt">
                <v:textbox>
                  <w:txbxContent>
                    <w:p w:rsidR="007679D9" w:rsidRDefault="007679D9" w:rsidP="00277D84">
                      <w:r>
                        <w:t>Les programmes paient l’investissement, les RHS, et la mise en œuvre essentielle de la santé publique</w:t>
                      </w:r>
                    </w:p>
                  </w:txbxContent>
                </v:textbox>
              </v:shape>
            </w:pict>
          </mc:Fallback>
        </mc:AlternateContent>
      </w:r>
      <w:r w:rsidRPr="00BF29A2">
        <w:rPr>
          <w:rFonts w:cstheme="minorHAnsi"/>
          <w:noProof/>
          <w:sz w:val="24"/>
          <w:szCs w:val="24"/>
          <w:lang w:eastAsia="fr-FR"/>
        </w:rPr>
        <mc:AlternateContent>
          <mc:Choice Requires="wps">
            <w:drawing>
              <wp:anchor distT="0" distB="0" distL="114300" distR="114300" simplePos="0" relativeHeight="251689984" behindDoc="0" locked="0" layoutInCell="1" allowOverlap="1" wp14:anchorId="35A592F6" wp14:editId="2C03AAA8">
                <wp:simplePos x="0" y="0"/>
                <wp:positionH relativeFrom="column">
                  <wp:posOffset>-155575</wp:posOffset>
                </wp:positionH>
                <wp:positionV relativeFrom="paragraph">
                  <wp:posOffset>2976245</wp:posOffset>
                </wp:positionV>
                <wp:extent cx="2104390" cy="1913890"/>
                <wp:effectExtent l="76200" t="57150" r="67310" b="86360"/>
                <wp:wrapNone/>
                <wp:docPr id="291" name="Ellipse 291"/>
                <wp:cNvGraphicFramePr/>
                <a:graphic xmlns:a="http://schemas.openxmlformats.org/drawingml/2006/main">
                  <a:graphicData uri="http://schemas.microsoft.com/office/word/2010/wordprocessingShape">
                    <wps:wsp>
                      <wps:cNvSpPr/>
                      <wps:spPr>
                        <a:xfrm>
                          <a:off x="0" y="0"/>
                          <a:ext cx="2104390" cy="1913890"/>
                        </a:xfrm>
                        <a:prstGeom prst="ellipse">
                          <a:avLst/>
                        </a:prstGeom>
                      </wps:spPr>
                      <wps:style>
                        <a:lnRef idx="3">
                          <a:schemeClr val="lt1"/>
                        </a:lnRef>
                        <a:fillRef idx="1">
                          <a:schemeClr val="accent3"/>
                        </a:fillRef>
                        <a:effectRef idx="1">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3DC8B1A" id="Ellipse 291" o:spid="_x0000_s1026" style="position:absolute;margin-left:-12.25pt;margin-top:234.35pt;width:165.7pt;height:150.7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" fillcolor="#9bbb59 [3206]" strokecolor="white [3201]" strokeweight="3pt">
                <v:shadow on="t" color="black" opacity="24903f" origin=",.5" offset="0,.55556mm"/>
              </v:oval>
            </w:pict>
          </mc:Fallback>
        </mc:AlternateContent>
      </w:r>
      <w:r w:rsidRPr="00BF29A2">
        <w:rPr>
          <w:rFonts w:cstheme="minorHAnsi"/>
          <w:noProof/>
          <w:sz w:val="24"/>
          <w:szCs w:val="24"/>
          <w:lang w:eastAsia="fr-FR"/>
        </w:rPr>
        <mc:AlternateContent>
          <mc:Choice Requires="wps">
            <w:drawing>
              <wp:anchor distT="0" distB="0" distL="114300" distR="114300" simplePos="0" relativeHeight="251687936" behindDoc="0" locked="0" layoutInCell="1" allowOverlap="1" wp14:anchorId="23B6A6DB" wp14:editId="312BDF66">
                <wp:simplePos x="0" y="0"/>
                <wp:positionH relativeFrom="column">
                  <wp:posOffset>2789703</wp:posOffset>
                </wp:positionH>
                <wp:positionV relativeFrom="paragraph">
                  <wp:posOffset>2158143</wp:posOffset>
                </wp:positionV>
                <wp:extent cx="467832" cy="1967024"/>
                <wp:effectExtent l="0" t="0" r="66040" b="52705"/>
                <wp:wrapNone/>
                <wp:docPr id="289" name="Connecteur droit avec flèche 289"/>
                <wp:cNvGraphicFramePr/>
                <a:graphic xmlns:a="http://schemas.openxmlformats.org/drawingml/2006/main">
                  <a:graphicData uri="http://schemas.microsoft.com/office/word/2010/wordprocessingShape">
                    <wps:wsp>
                      <wps:cNvCnPr/>
                      <wps:spPr>
                        <a:xfrm>
                          <a:off x="0" y="0"/>
                          <a:ext cx="467832" cy="1967024"/>
                        </a:xfrm>
                        <a:prstGeom prst="straightConnector1">
                          <a:avLst/>
                        </a:prstGeom>
                        <a:ln>
                          <a:tailEnd type="arrow"/>
                        </a:ln>
                      </wps:spPr>
                      <wps:style>
                        <a:lnRef idx="1">
                          <a:schemeClr val="accent3"/>
                        </a:lnRef>
                        <a:fillRef idx="0">
                          <a:schemeClr val="accent3"/>
                        </a:fillRef>
                        <a:effectRef idx="0">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D31E618" id="Connecteur droit avec flèche 289" o:spid="_x0000_s1026" type="#_x0000_t32" style="position:absolute;margin-left:219.65pt;margin-top:169.95pt;width:36.85pt;height:154.9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" strokecolor="#94b64e [3046]">
                <v:stroke endarrow="open"/>
              </v:shape>
            </w:pict>
          </mc:Fallback>
        </mc:AlternateContent>
      </w:r>
      <w:r w:rsidRPr="00BF29A2">
        <w:rPr>
          <w:rFonts w:cstheme="minorHAnsi"/>
          <w:noProof/>
          <w:sz w:val="24"/>
          <w:szCs w:val="24"/>
          <w:lang w:eastAsia="fr-FR"/>
        </w:rPr>
        <mc:AlternateContent>
          <mc:Choice Requires="wps">
            <w:drawing>
              <wp:anchor distT="0" distB="0" distL="114300" distR="114300" simplePos="0" relativeHeight="251688960" behindDoc="0" locked="0" layoutInCell="1" allowOverlap="1" wp14:anchorId="7B261C99" wp14:editId="002423E7">
                <wp:simplePos x="0" y="0"/>
                <wp:positionH relativeFrom="column">
                  <wp:posOffset>4001814</wp:posOffset>
                </wp:positionH>
                <wp:positionV relativeFrom="paragraph">
                  <wp:posOffset>2211306</wp:posOffset>
                </wp:positionV>
                <wp:extent cx="1201259" cy="2073349"/>
                <wp:effectExtent l="38100" t="0" r="18415" b="60325"/>
                <wp:wrapNone/>
                <wp:docPr id="290" name="Connecteur droit avec flèche 290"/>
                <wp:cNvGraphicFramePr/>
                <a:graphic xmlns:a="http://schemas.openxmlformats.org/drawingml/2006/main">
                  <a:graphicData uri="http://schemas.microsoft.com/office/word/2010/wordprocessingShape">
                    <wps:wsp>
                      <wps:cNvCnPr/>
                      <wps:spPr>
                        <a:xfrm flipH="1">
                          <a:off x="0" y="0"/>
                          <a:ext cx="1201259" cy="2073349"/>
                        </a:xfrm>
                        <a:prstGeom prst="straightConnector1">
                          <a:avLst/>
                        </a:prstGeom>
                        <a:ln>
                          <a:tailEnd type="arrow"/>
                        </a:ln>
                      </wps:spPr>
                      <wps:style>
                        <a:lnRef idx="1">
                          <a:schemeClr val="accent3"/>
                        </a:lnRef>
                        <a:fillRef idx="0">
                          <a:schemeClr val="accent3"/>
                        </a:fillRef>
                        <a:effectRef idx="0">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CB99A51" id="Connecteur droit avec flèche 290" o:spid="_x0000_s1026" type="#_x0000_t32" style="position:absolute;margin-left:315.1pt;margin-top:174.1pt;width:94.6pt;height:163.25pt;flip:x;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" strokecolor="#94b64e [3046]">
                <v:stroke endarrow="open"/>
              </v:shape>
            </w:pict>
          </mc:Fallback>
        </mc:AlternateContent>
      </w:r>
      <w:r w:rsidRPr="00BF29A2">
        <w:rPr>
          <w:rFonts w:cstheme="minorHAnsi"/>
          <w:noProof/>
          <w:sz w:val="24"/>
          <w:szCs w:val="24"/>
          <w:lang w:eastAsia="fr-FR"/>
        </w:rPr>
        <mc:AlternateContent>
          <mc:Choice Requires="wps">
            <w:drawing>
              <wp:anchor distT="0" distB="0" distL="114300" distR="114300" simplePos="0" relativeHeight="251686912" behindDoc="0" locked="0" layoutInCell="1" allowOverlap="1" wp14:anchorId="05821463" wp14:editId="6A54C7AC">
                <wp:simplePos x="0" y="0"/>
                <wp:positionH relativeFrom="column">
                  <wp:posOffset>769516</wp:posOffset>
                </wp:positionH>
                <wp:positionV relativeFrom="paragraph">
                  <wp:posOffset>2158143</wp:posOffset>
                </wp:positionV>
                <wp:extent cx="1701209" cy="2286000"/>
                <wp:effectExtent l="0" t="0" r="70485" b="57150"/>
                <wp:wrapNone/>
                <wp:docPr id="288" name="Connecteur droit avec flèche 288"/>
                <wp:cNvGraphicFramePr/>
                <a:graphic xmlns:a="http://schemas.openxmlformats.org/drawingml/2006/main">
                  <a:graphicData uri="http://schemas.microsoft.com/office/word/2010/wordprocessingShape">
                    <wps:wsp>
                      <wps:cNvCnPr/>
                      <wps:spPr>
                        <a:xfrm>
                          <a:off x="0" y="0"/>
                          <a:ext cx="1701209" cy="2286000"/>
                        </a:xfrm>
                        <a:prstGeom prst="straightConnector1">
                          <a:avLst/>
                        </a:prstGeom>
                        <a:ln>
                          <a:tailEnd type="arrow"/>
                        </a:ln>
                      </wps:spPr>
                      <wps:style>
                        <a:lnRef idx="1">
                          <a:schemeClr val="accent3"/>
                        </a:lnRef>
                        <a:fillRef idx="0">
                          <a:schemeClr val="accent3"/>
                        </a:fillRef>
                        <a:effectRef idx="0">
                          <a:schemeClr val="accent3"/>
                        </a:effectRef>
                        <a:fontRef idx="minor">
                          <a:schemeClr val="tx1"/>
                        </a:fontRef>
                      </wps:style>
                      <wps:bodyPr/>
                    </wps:wsp>
                  </a:graphicData>
                </a:graphic>
              </wp:anchor>
            </w:drawing>
          </mc:Choice>
          <mc:Fallback>
            <w:pict>
              <v:shape w14:anchorId="02239653" id="Connecteur droit avec flèche 288" o:spid="_x0000_s1026" type="#_x0000_t32" style="position:absolute;margin-left:60.6pt;margin-top:169.95pt;width:133.95pt;height:180pt;z-index:2516869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" strokecolor="#94b64e [3046]">
                <v:stroke endarrow="open"/>
              </v:shape>
            </w:pict>
          </mc:Fallback>
        </mc:AlternateContent>
      </w:r>
      <w:r w:rsidRPr="00BF29A2">
        <w:rPr>
          <w:rFonts w:cstheme="minorHAnsi"/>
          <w:noProof/>
          <w:sz w:val="24"/>
          <w:szCs w:val="24"/>
          <w:lang w:eastAsia="fr-FR"/>
        </w:rPr>
        <mc:AlternateContent>
          <mc:Choice Requires="wps">
            <w:drawing>
              <wp:anchor distT="0" distB="0" distL="114300" distR="114300" simplePos="0" relativeHeight="251685888" behindDoc="0" locked="0" layoutInCell="1" allowOverlap="1" wp14:anchorId="517CF20D" wp14:editId="415ECB3E">
                <wp:simplePos x="0" y="0"/>
                <wp:positionH relativeFrom="column">
                  <wp:posOffset>4076065</wp:posOffset>
                </wp:positionH>
                <wp:positionV relativeFrom="paragraph">
                  <wp:posOffset>2157730</wp:posOffset>
                </wp:positionV>
                <wp:extent cx="2795905" cy="1403350"/>
                <wp:effectExtent l="38100" t="0" r="23495" b="63500"/>
                <wp:wrapNone/>
                <wp:docPr id="31" name="Connecteur droit avec flèche 31"/>
                <wp:cNvGraphicFramePr/>
                <a:graphic xmlns:a="http://schemas.openxmlformats.org/drawingml/2006/main">
                  <a:graphicData uri="http://schemas.microsoft.com/office/word/2010/wordprocessingShape">
                    <wps:wsp>
                      <wps:cNvCnPr/>
                      <wps:spPr>
                        <a:xfrm flipH="1">
                          <a:off x="0" y="0"/>
                          <a:ext cx="2795905" cy="1403350"/>
                        </a:xfrm>
                        <a:prstGeom prst="straightConnector1">
                          <a:avLst/>
                        </a:prstGeom>
                        <a:ln>
                          <a:tailEnd type="arrow"/>
                        </a:ln>
                      </wps:spPr>
                      <wps:style>
                        <a:lnRef idx="1">
                          <a:schemeClr val="accent6"/>
                        </a:lnRef>
                        <a:fillRef idx="0">
                          <a:schemeClr val="accent6"/>
                        </a:fillRef>
                        <a:effectRef idx="0">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53DB77B" id="Connecteur droit avec flèche 31" o:spid="_x0000_s1026" type="#_x0000_t32" style="position:absolute;margin-left:320.95pt;margin-top:169.9pt;width:220.15pt;height:110.5pt;flip:x;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" strokecolor="#f68c36 [3049]">
                <v:stroke endarrow="open"/>
              </v:shape>
            </w:pict>
          </mc:Fallback>
        </mc:AlternateContent>
      </w:r>
      <w:r w:rsidRPr="00BF29A2">
        <w:rPr>
          <w:rFonts w:cstheme="minorHAnsi"/>
          <w:noProof/>
          <w:sz w:val="24"/>
          <w:szCs w:val="24"/>
          <w:lang w:eastAsia="fr-FR"/>
        </w:rPr>
        <mc:AlternateContent>
          <mc:Choice Requires="wps">
            <w:drawing>
              <wp:anchor distT="0" distB="0" distL="114300" distR="114300" simplePos="0" relativeHeight="251660288" behindDoc="0" locked="0" layoutInCell="1" allowOverlap="1" wp14:anchorId="6CA7E04A" wp14:editId="7F545DC1">
                <wp:simplePos x="0" y="0"/>
                <wp:positionH relativeFrom="column">
                  <wp:posOffset>1407470</wp:posOffset>
                </wp:positionH>
                <wp:positionV relativeFrom="paragraph">
                  <wp:posOffset>425037</wp:posOffset>
                </wp:positionV>
                <wp:extent cx="5443870" cy="669851"/>
                <wp:effectExtent l="0" t="0" r="42545" b="92710"/>
                <wp:wrapNone/>
                <wp:docPr id="25" name="Connecteur droit avec flèche 25"/>
                <wp:cNvGraphicFramePr/>
                <a:graphic xmlns:a="http://schemas.openxmlformats.org/drawingml/2006/main">
                  <a:graphicData uri="http://schemas.microsoft.com/office/word/2010/wordprocessingShape">
                    <wps:wsp>
                      <wps:cNvCnPr/>
                      <wps:spPr>
                        <a:xfrm>
                          <a:off x="0" y="0"/>
                          <a:ext cx="5443870" cy="669851"/>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B9D6D9D" id="Connecteur droit avec flèche 25" o:spid="_x0000_s1026" type="#_x0000_t32" style="position:absolute;margin-left:110.8pt;margin-top:33.45pt;width:428.65pt;height:52.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" strokecolor="#4579b8 [3044]">
                <v:stroke endarrow="open"/>
              </v:shape>
            </w:pict>
          </mc:Fallback>
        </mc:AlternateContent>
      </w:r>
      <w:r w:rsidRPr="00BF29A2">
        <w:rPr>
          <w:rFonts w:cstheme="minorHAnsi"/>
          <w:noProof/>
          <w:sz w:val="24"/>
          <w:szCs w:val="24"/>
          <w:lang w:eastAsia="fr-FR"/>
        </w:rPr>
        <mc:AlternateContent>
          <mc:Choice Requires="wps">
            <w:drawing>
              <wp:anchor distT="0" distB="0" distL="114300" distR="114300" simplePos="0" relativeHeight="251669504" behindDoc="0" locked="0" layoutInCell="1" allowOverlap="1" wp14:anchorId="629DC473" wp14:editId="59865C0C">
                <wp:simplePos x="0" y="0"/>
                <wp:positionH relativeFrom="column">
                  <wp:posOffset>6852920</wp:posOffset>
                </wp:positionH>
                <wp:positionV relativeFrom="paragraph">
                  <wp:posOffset>1075055</wp:posOffset>
                </wp:positionV>
                <wp:extent cx="1903095" cy="1062990"/>
                <wp:effectExtent l="57150" t="38100" r="78105" b="99060"/>
                <wp:wrapNone/>
                <wp:docPr id="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3095" cy="1062990"/>
                        </a:xfrm>
                        <a:prstGeom prst="rect">
                          <a:avLst/>
                        </a:prstGeom>
                        <a:ln>
                          <a:headEnd/>
                          <a:tailEnd/>
                        </a:ln>
                      </wps:spPr>
                      <wps:style>
                        <a:lnRef idx="1">
                          <a:schemeClr val="accent6"/>
                        </a:lnRef>
                        <a:fillRef idx="2">
                          <a:schemeClr val="accent6"/>
                        </a:fillRef>
                        <a:effectRef idx="1">
                          <a:schemeClr val="accent6"/>
                        </a:effectRef>
                        <a:fontRef idx="minor">
                          <a:schemeClr val="dk1"/>
                        </a:fontRef>
                      </wps:style>
                      <wps:txbx>
                        <w:txbxContent>
                          <w:p w14:paraId="3DC8AA7C" w14:textId="77777777" w:rsidR="007679D9" w:rsidRPr="00A87DBB" w:rsidRDefault="007679D9" w:rsidP="00277D84">
                            <w:pPr>
                              <w:jc w:val="center"/>
                              <w:rPr>
                                <w:sz w:val="28"/>
                              </w:rPr>
                            </w:pPr>
                            <w:r>
                              <w:rPr>
                                <w:sz w:val="28"/>
                              </w:rPr>
                              <w:t>Caisse Autonome d’Assurance Maladie (création à moyen terme)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8B7386A" id="_x0000_s1033" type="#_x0000_t202" style="position:absolute;left:0;text-align:left;margin-left:539.6pt;margin-top:84.65pt;width:149.85pt;height:83.7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" fillcolor="#fbcaa2 [1625]" strokecolor="#f68c36 [3049]">
                <v:fill color2="#fdefe3 [505]" rotate="t" angle="180" colors="0 #ffbe86;22938f #ffd0aa;1 #ffebdb" focus="100%" type="gradient"/>
                <v:shadow on="t" color="black" opacity="24903f" origin=",.5" offset="0,.55556mm"/>
                <v:textbox>
                  <w:txbxContent>
                    <w:p w:rsidR="007679D9" w:rsidRPr="00A87DBB" w:rsidRDefault="007679D9" w:rsidP="00277D84">
                      <w:pPr>
                        <w:jc w:val="center"/>
                        <w:rPr>
                          <w:sz w:val="28"/>
                        </w:rPr>
                      </w:pPr>
                      <w:r>
                        <w:rPr>
                          <w:sz w:val="28"/>
                        </w:rPr>
                        <w:t>Caisse Autonome d’Assurance Maladie (création à moyen terme)</w:t>
                      </w:r>
                    </w:p>
                  </w:txbxContent>
                </v:textbox>
              </v:shape>
            </w:pict>
          </mc:Fallback>
        </mc:AlternateContent>
      </w:r>
      <w:r w:rsidRPr="00BF29A2">
        <w:rPr>
          <w:rFonts w:cstheme="minorHAnsi"/>
          <w:noProof/>
          <w:sz w:val="24"/>
          <w:szCs w:val="24"/>
          <w:lang w:eastAsia="fr-FR"/>
        </w:rPr>
        <mc:AlternateContent>
          <mc:Choice Requires="wps">
            <w:drawing>
              <wp:anchor distT="0" distB="0" distL="114300" distR="114300" simplePos="0" relativeHeight="251674624" behindDoc="0" locked="0" layoutInCell="1" allowOverlap="1" wp14:anchorId="12862442" wp14:editId="3F29C108">
                <wp:simplePos x="0" y="0"/>
                <wp:positionH relativeFrom="column">
                  <wp:posOffset>2119630</wp:posOffset>
                </wp:positionH>
                <wp:positionV relativeFrom="paragraph">
                  <wp:posOffset>3061335</wp:posOffset>
                </wp:positionV>
                <wp:extent cx="1551940" cy="1828165"/>
                <wp:effectExtent l="38100" t="19050" r="67310" b="76835"/>
                <wp:wrapNone/>
                <wp:docPr id="17" name="Connecteur droit 17"/>
                <wp:cNvGraphicFramePr/>
                <a:graphic xmlns:a="http://schemas.openxmlformats.org/drawingml/2006/main">
                  <a:graphicData uri="http://schemas.microsoft.com/office/word/2010/wordprocessingShape">
                    <wps:wsp>
                      <wps:cNvCnPr/>
                      <wps:spPr>
                        <a:xfrm flipH="1">
                          <a:off x="0" y="0"/>
                          <a:ext cx="1551940" cy="1828165"/>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20ECC6F" id="Connecteur droit 17" o:spid="_x0000_s1026" style="position:absolute;flip:x;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66.9pt,241.05pt" to="289.1pt,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" strokecolor="black [3200]" strokeweight="2pt">
                <v:shadow on="t" color="black" opacity="24903f" origin=",.5" offset="0,.55556mm"/>
              </v:line>
            </w:pict>
          </mc:Fallback>
        </mc:AlternateContent>
      </w:r>
      <w:r w:rsidRPr="00BF29A2">
        <w:rPr>
          <w:rFonts w:cstheme="minorHAnsi"/>
          <w:noProof/>
          <w:sz w:val="24"/>
          <w:szCs w:val="24"/>
          <w:lang w:eastAsia="fr-FR"/>
        </w:rPr>
        <mc:AlternateContent>
          <mc:Choice Requires="wps">
            <w:drawing>
              <wp:anchor distT="0" distB="0" distL="114300" distR="114300" simplePos="0" relativeHeight="251676672" behindDoc="0" locked="0" layoutInCell="1" allowOverlap="1" wp14:anchorId="3FDF2D91" wp14:editId="6FE3EF76">
                <wp:simplePos x="0" y="0"/>
                <wp:positionH relativeFrom="column">
                  <wp:posOffset>2119852</wp:posOffset>
                </wp:positionH>
                <wp:positionV relativeFrom="paragraph">
                  <wp:posOffset>4890076</wp:posOffset>
                </wp:positionV>
                <wp:extent cx="2976009" cy="635"/>
                <wp:effectExtent l="38100" t="38100" r="53340" b="94615"/>
                <wp:wrapNone/>
                <wp:docPr id="19" name="Connecteur droit 19"/>
                <wp:cNvGraphicFramePr/>
                <a:graphic xmlns:a="http://schemas.openxmlformats.org/drawingml/2006/main">
                  <a:graphicData uri="http://schemas.microsoft.com/office/word/2010/wordprocessingShape">
                    <wps:wsp>
                      <wps:cNvCnPr/>
                      <wps:spPr>
                        <a:xfrm flipH="1" flipV="1">
                          <a:off x="0" y="0"/>
                          <a:ext cx="2976009" cy="635"/>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E0294AF" id="Connecteur droit 19" o:spid="_x0000_s1026" style="position:absolute;flip:x y;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66.9pt,385.05pt" to="401.25pt,38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" strokecolor="black [3200]" strokeweight="2pt">
                <v:shadow on="t" color="black" opacity="24903f" origin=",.5" offset="0,.55556mm"/>
              </v:line>
            </w:pict>
          </mc:Fallback>
        </mc:AlternateContent>
      </w:r>
      <w:r w:rsidRPr="00BF29A2">
        <w:rPr>
          <w:rFonts w:cstheme="minorHAnsi"/>
          <w:noProof/>
          <w:sz w:val="24"/>
          <w:szCs w:val="24"/>
          <w:lang w:eastAsia="fr-FR"/>
        </w:rPr>
        <mc:AlternateContent>
          <mc:Choice Requires="wps">
            <w:drawing>
              <wp:anchor distT="0" distB="0" distL="114300" distR="114300" simplePos="0" relativeHeight="251675648" behindDoc="0" locked="0" layoutInCell="1" allowOverlap="1" wp14:anchorId="16666F44" wp14:editId="72C73EAB">
                <wp:simplePos x="0" y="0"/>
                <wp:positionH relativeFrom="column">
                  <wp:posOffset>3671555</wp:posOffset>
                </wp:positionH>
                <wp:positionV relativeFrom="paragraph">
                  <wp:posOffset>3061911</wp:posOffset>
                </wp:positionV>
                <wp:extent cx="1424837" cy="1828785"/>
                <wp:effectExtent l="38100" t="19050" r="61595" b="76835"/>
                <wp:wrapNone/>
                <wp:docPr id="18" name="Connecteur droit 18"/>
                <wp:cNvGraphicFramePr/>
                <a:graphic xmlns:a="http://schemas.openxmlformats.org/drawingml/2006/main">
                  <a:graphicData uri="http://schemas.microsoft.com/office/word/2010/wordprocessingShape">
                    <wps:wsp>
                      <wps:cNvCnPr/>
                      <wps:spPr>
                        <a:xfrm>
                          <a:off x="0" y="0"/>
                          <a:ext cx="1424837" cy="1828785"/>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AD61053" id="Connecteur droit 18" o:spid="_x0000_s1026" style="position:absolute;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89.1pt,241.1pt" to="401.3pt,38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" strokecolor="black [3200]" strokeweight="2pt">
                <v:shadow on="t" color="black" opacity="24903f" origin=",.5" offset="0,.55556mm"/>
              </v:line>
            </w:pict>
          </mc:Fallback>
        </mc:AlternateContent>
      </w:r>
      <w:r w:rsidRPr="00BF29A2">
        <w:rPr>
          <w:rFonts w:cstheme="minorHAnsi"/>
          <w:noProof/>
          <w:sz w:val="24"/>
          <w:szCs w:val="24"/>
          <w:lang w:eastAsia="fr-FR"/>
        </w:rPr>
        <mc:AlternateContent>
          <mc:Choice Requires="wps">
            <w:drawing>
              <wp:anchor distT="0" distB="0" distL="114300" distR="114300" simplePos="0" relativeHeight="251673600" behindDoc="0" locked="0" layoutInCell="1" allowOverlap="1" wp14:anchorId="60BC2473" wp14:editId="2CCF3335">
                <wp:simplePos x="0" y="0"/>
                <wp:positionH relativeFrom="column">
                  <wp:posOffset>2757805</wp:posOffset>
                </wp:positionH>
                <wp:positionV relativeFrom="paragraph">
                  <wp:posOffset>3561641</wp:posOffset>
                </wp:positionV>
                <wp:extent cx="1031240" cy="552539"/>
                <wp:effectExtent l="76200" t="57150" r="73660" b="95250"/>
                <wp:wrapNone/>
                <wp:docPr id="13" name="Triangle isocèle 13"/>
                <wp:cNvGraphicFramePr/>
                <a:graphic xmlns:a="http://schemas.openxmlformats.org/drawingml/2006/main">
                  <a:graphicData uri="http://schemas.microsoft.com/office/word/2010/wordprocessingShape">
                    <wps:wsp>
                      <wps:cNvSpPr/>
                      <wps:spPr>
                        <a:xfrm>
                          <a:off x="0" y="0"/>
                          <a:ext cx="1031240" cy="552539"/>
                        </a:xfrm>
                        <a:prstGeom prst="triangle">
                          <a:avLst>
                            <a:gd name="adj" fmla="val 45873"/>
                          </a:avLst>
                        </a:prstGeom>
                      </wps:spPr>
                      <wps:style>
                        <a:lnRef idx="3">
                          <a:schemeClr val="lt1"/>
                        </a:lnRef>
                        <a:fillRef idx="1">
                          <a:schemeClr val="accent4"/>
                        </a:fillRef>
                        <a:effectRef idx="1">
                          <a:schemeClr val="accent4"/>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D70FE0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Triangle isocèle 13" o:spid="_x0000_s1026" type="#_x0000_t5" style="position:absolute;margin-left:217.15pt;margin-top:280.45pt;width:81.2pt;height:43.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" adj="9909" fillcolor="#8064a2 [3207]" strokecolor="white [3201]" strokeweight="3pt">
                <v:shadow on="t" color="black" opacity="24903f" origin=",.5" offset="0,.55556mm"/>
              </v:shape>
            </w:pict>
          </mc:Fallback>
        </mc:AlternateContent>
      </w:r>
      <w:r w:rsidRPr="00BF29A2">
        <w:rPr>
          <w:rFonts w:cstheme="minorHAnsi"/>
          <w:noProof/>
          <w:sz w:val="24"/>
          <w:szCs w:val="24"/>
          <w:lang w:eastAsia="fr-FR"/>
        </w:rPr>
        <mc:AlternateContent>
          <mc:Choice Requires="wps">
            <w:drawing>
              <wp:anchor distT="0" distB="0" distL="114300" distR="114300" simplePos="0" relativeHeight="251661312" behindDoc="0" locked="0" layoutInCell="1" allowOverlap="1" wp14:anchorId="23EC5385" wp14:editId="3C4CD1EF">
                <wp:simplePos x="0" y="0"/>
                <wp:positionH relativeFrom="column">
                  <wp:posOffset>2183647</wp:posOffset>
                </wp:positionH>
                <wp:positionV relativeFrom="paragraph">
                  <wp:posOffset>3061911</wp:posOffset>
                </wp:positionV>
                <wp:extent cx="2913321" cy="1828785"/>
                <wp:effectExtent l="57150" t="38100" r="78105" b="95885"/>
                <wp:wrapNone/>
                <wp:docPr id="16" name="Triangle isocèle 16"/>
                <wp:cNvGraphicFramePr/>
                <a:graphic xmlns:a="http://schemas.openxmlformats.org/drawingml/2006/main">
                  <a:graphicData uri="http://schemas.microsoft.com/office/word/2010/wordprocessingShape">
                    <wps:wsp>
                      <wps:cNvSpPr/>
                      <wps:spPr>
                        <a:xfrm>
                          <a:off x="0" y="0"/>
                          <a:ext cx="2913321" cy="1828785"/>
                        </a:xfrm>
                        <a:prstGeom prst="triangle">
                          <a:avLst/>
                        </a:prstGeom>
                      </wps:spPr>
                      <wps:style>
                        <a:lnRef idx="1">
                          <a:schemeClr val="accent6"/>
                        </a:lnRef>
                        <a:fillRef idx="2">
                          <a:schemeClr val="accent6"/>
                        </a:fillRef>
                        <a:effectRef idx="1">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0389D4E5" id="Triangle isocèle 16" o:spid="_x0000_s1026" type="#_x0000_t5" style="position:absolute;margin-left:171.95pt;margin-top:241.1pt;width:229.4pt;height:2in;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" fillcolor="#fbcaa2 [1625]" strokecolor="#f68c36 [3049]">
                <v:fill color2="#fdefe3 [505]" rotate="t" angle="180" colors="0 #ffbe86;22938f #ffd0aa;1 #ffebdb" focus="100%" type="gradient"/>
                <v:shadow on="t" color="black" opacity="24903f" origin=",.5" offset="0,.55556mm"/>
              </v:shape>
            </w:pict>
          </mc:Fallback>
        </mc:AlternateContent>
      </w:r>
      <w:r w:rsidRPr="00BF29A2">
        <w:rPr>
          <w:rFonts w:cstheme="minorHAnsi"/>
          <w:noProof/>
          <w:sz w:val="24"/>
          <w:szCs w:val="24"/>
          <w:lang w:eastAsia="fr-FR"/>
        </w:rPr>
        <mc:AlternateContent>
          <mc:Choice Requires="wps">
            <w:drawing>
              <wp:anchor distT="0" distB="0" distL="114300" distR="114300" simplePos="0" relativeHeight="251662336" behindDoc="0" locked="0" layoutInCell="1" allowOverlap="1" wp14:anchorId="6A1E95A3" wp14:editId="325F89EC">
                <wp:simplePos x="0" y="0"/>
                <wp:positionH relativeFrom="column">
                  <wp:posOffset>2119852</wp:posOffset>
                </wp:positionH>
                <wp:positionV relativeFrom="paragraph">
                  <wp:posOffset>3561641</wp:posOffset>
                </wp:positionV>
                <wp:extent cx="2349795" cy="1329070"/>
                <wp:effectExtent l="76200" t="57150" r="50800" b="99695"/>
                <wp:wrapNone/>
                <wp:docPr id="14" name="Triangle isocèle 14"/>
                <wp:cNvGraphicFramePr/>
                <a:graphic xmlns:a="http://schemas.openxmlformats.org/drawingml/2006/main">
                  <a:graphicData uri="http://schemas.microsoft.com/office/word/2010/wordprocessingShape">
                    <wps:wsp>
                      <wps:cNvSpPr/>
                      <wps:spPr>
                        <a:xfrm>
                          <a:off x="0" y="0"/>
                          <a:ext cx="2349795" cy="1329070"/>
                        </a:xfrm>
                        <a:prstGeom prst="triangle">
                          <a:avLst>
                            <a:gd name="adj" fmla="val 49533"/>
                          </a:avLst>
                        </a:prstGeom>
                      </wps:spPr>
                      <wps:style>
                        <a:lnRef idx="3">
                          <a:schemeClr val="lt1"/>
                        </a:lnRef>
                        <a:fillRef idx="1">
                          <a:schemeClr val="accent3"/>
                        </a:fillRef>
                        <a:effectRef idx="1">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B7B610" id="Triangle isocèle 14" o:spid="_x0000_s1026" type="#_x0000_t5" style="position:absolute;margin-left:166.9pt;margin-top:280.45pt;width:185pt;height:104.6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" adj="10699" fillcolor="#9bbb59 [3206]" strokecolor="white [3201]" strokeweight="3pt">
                <v:shadow on="t" color="black" opacity="24903f" origin=",.5" offset="0,.55556mm"/>
              </v:shape>
            </w:pict>
          </mc:Fallback>
        </mc:AlternateContent>
      </w:r>
      <w:r w:rsidRPr="00BF29A2">
        <w:rPr>
          <w:rFonts w:cstheme="minorHAnsi"/>
          <w:noProof/>
          <w:sz w:val="24"/>
          <w:szCs w:val="24"/>
          <w:lang w:eastAsia="fr-FR"/>
        </w:rPr>
        <mc:AlternateContent>
          <mc:Choice Requires="wps">
            <w:drawing>
              <wp:anchor distT="0" distB="0" distL="114300" distR="114300" simplePos="0" relativeHeight="251672576" behindDoc="0" locked="0" layoutInCell="1" allowOverlap="1" wp14:anchorId="163AF84E" wp14:editId="6F548C71">
                <wp:simplePos x="0" y="0"/>
                <wp:positionH relativeFrom="column">
                  <wp:posOffset>2757805</wp:posOffset>
                </wp:positionH>
                <wp:positionV relativeFrom="paragraph">
                  <wp:posOffset>4124694</wp:posOffset>
                </wp:positionV>
                <wp:extent cx="1031240" cy="0"/>
                <wp:effectExtent l="38100" t="38100" r="54610" b="95250"/>
                <wp:wrapNone/>
                <wp:docPr id="12" name="Connecteur droit 12"/>
                <wp:cNvGraphicFramePr/>
                <a:graphic xmlns:a="http://schemas.openxmlformats.org/drawingml/2006/main">
                  <a:graphicData uri="http://schemas.microsoft.com/office/word/2010/wordprocessingShape">
                    <wps:wsp>
                      <wps:cNvCnPr/>
                      <wps:spPr>
                        <a:xfrm>
                          <a:off x="0" y="0"/>
                          <a:ext cx="1031240" cy="0"/>
                        </a:xfrm>
                        <a:prstGeom prst="line">
                          <a:avLst/>
                        </a:prstGeom>
                      </wps:spPr>
                      <wps:style>
                        <a:lnRef idx="2">
                          <a:schemeClr val="accent2"/>
                        </a:lnRef>
                        <a:fillRef idx="0">
                          <a:schemeClr val="accent2"/>
                        </a:fillRef>
                        <a:effectRef idx="1">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E8D34C2" id="Connecteur droit 12" o:spid="_x0000_s1026" style="position:absolute;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7.15pt,324.8pt" to="298.35pt,32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" strokecolor="#c0504d [3205]" strokeweight="2pt">
                <v:shadow on="t" color="black" opacity="24903f" origin=",.5" offset="0,.55556mm"/>
              </v:line>
            </w:pict>
          </mc:Fallback>
        </mc:AlternateContent>
      </w:r>
      <w:r w:rsidRPr="00BF29A2">
        <w:rPr>
          <w:rFonts w:cstheme="minorHAnsi"/>
          <w:noProof/>
          <w:sz w:val="24"/>
          <w:szCs w:val="24"/>
          <w:lang w:eastAsia="fr-FR"/>
        </w:rPr>
        <mc:AlternateContent>
          <mc:Choice Requires="wps">
            <w:drawing>
              <wp:anchor distT="0" distB="0" distL="114300" distR="114300" simplePos="0" relativeHeight="251668480" behindDoc="0" locked="0" layoutInCell="1" allowOverlap="1" wp14:anchorId="199CCF87" wp14:editId="2FD226EA">
                <wp:simplePos x="0" y="0"/>
                <wp:positionH relativeFrom="column">
                  <wp:posOffset>4185285</wp:posOffset>
                </wp:positionH>
                <wp:positionV relativeFrom="paragraph">
                  <wp:posOffset>1097280</wp:posOffset>
                </wp:positionV>
                <wp:extent cx="1903095" cy="1062990"/>
                <wp:effectExtent l="76200" t="57150" r="78105" b="99060"/>
                <wp:wrapNone/>
                <wp:docPr id="6"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3095" cy="1062990"/>
                        </a:xfrm>
                        <a:prstGeom prst="rect">
                          <a:avLst/>
                        </a:prstGeom>
                        <a:ln>
                          <a:headEnd/>
                          <a:tailEnd/>
                        </a:ln>
                      </wps:spPr>
                      <wps:style>
                        <a:lnRef idx="3">
                          <a:schemeClr val="lt1"/>
                        </a:lnRef>
                        <a:fillRef idx="1">
                          <a:schemeClr val="accent3"/>
                        </a:fillRef>
                        <a:effectRef idx="1">
                          <a:schemeClr val="accent3"/>
                        </a:effectRef>
                        <a:fontRef idx="minor">
                          <a:schemeClr val="lt1"/>
                        </a:fontRef>
                      </wps:style>
                      <wps:txbx>
                        <w:txbxContent>
                          <w:p w14:paraId="1C25DB59" w14:textId="77777777" w:rsidR="007679D9" w:rsidRPr="00A87DBB" w:rsidRDefault="007679D9" w:rsidP="00277D84">
                            <w:pPr>
                              <w:jc w:val="center"/>
                              <w:rPr>
                                <w:sz w:val="28"/>
                              </w:rPr>
                            </w:pPr>
                            <w:r>
                              <w:rPr>
                                <w:sz w:val="28"/>
                              </w:rPr>
                              <w:t>Programme « </w:t>
                            </w:r>
                            <w:r w:rsidRPr="00A87DBB">
                              <w:rPr>
                                <w:sz w:val="28"/>
                              </w:rPr>
                              <w:t>Prestations des soins et services de santé</w:t>
                            </w:r>
                            <w:r>
                              <w:rPr>
                                <w:sz w:val="28"/>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6C4F8F5" id="_x0000_s1034" type="#_x0000_t202" style="position:absolute;left:0;text-align:left;margin-left:329.55pt;margin-top:86.4pt;width:149.85pt;height:83.7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" fillcolor="#9bbb59 [3206]" strokecolor="white [3201]" strokeweight="3pt">
                <v:shadow on="t" color="black" opacity="24903f" origin=",.5" offset="0,.55556mm"/>
                <v:textbox>
                  <w:txbxContent>
                    <w:p w:rsidR="007679D9" w:rsidRPr="00A87DBB" w:rsidRDefault="007679D9" w:rsidP="00277D84">
                      <w:pPr>
                        <w:jc w:val="center"/>
                        <w:rPr>
                          <w:sz w:val="28"/>
                        </w:rPr>
                      </w:pPr>
                      <w:r>
                        <w:rPr>
                          <w:sz w:val="28"/>
                        </w:rPr>
                        <w:t>Programme « </w:t>
                      </w:r>
                      <w:r w:rsidRPr="00A87DBB">
                        <w:rPr>
                          <w:sz w:val="28"/>
                        </w:rPr>
                        <w:t>Prestations des soins et services de santé</w:t>
                      </w:r>
                      <w:r>
                        <w:rPr>
                          <w:sz w:val="28"/>
                        </w:rPr>
                        <w:t xml:space="preserve"> »</w:t>
                      </w:r>
                    </w:p>
                  </w:txbxContent>
                </v:textbox>
              </v:shape>
            </w:pict>
          </mc:Fallback>
        </mc:AlternateContent>
      </w:r>
      <w:r w:rsidRPr="00BF29A2">
        <w:rPr>
          <w:rFonts w:cstheme="minorHAnsi"/>
          <w:noProof/>
          <w:sz w:val="24"/>
          <w:szCs w:val="24"/>
          <w:lang w:eastAsia="fr-FR"/>
        </w:rPr>
        <mc:AlternateContent>
          <mc:Choice Requires="wps">
            <w:drawing>
              <wp:anchor distT="0" distB="0" distL="114300" distR="114300" simplePos="0" relativeHeight="251667456" behindDoc="0" locked="0" layoutInCell="1" allowOverlap="1" wp14:anchorId="2C2BB3AE" wp14:editId="2398D76E">
                <wp:simplePos x="0" y="0"/>
                <wp:positionH relativeFrom="column">
                  <wp:posOffset>2016125</wp:posOffset>
                </wp:positionH>
                <wp:positionV relativeFrom="paragraph">
                  <wp:posOffset>1097915</wp:posOffset>
                </wp:positionV>
                <wp:extent cx="1903095" cy="1062990"/>
                <wp:effectExtent l="76200" t="57150" r="78105" b="99060"/>
                <wp:wrapNone/>
                <wp:docPr id="8"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3095" cy="1062990"/>
                        </a:xfrm>
                        <a:prstGeom prst="rect">
                          <a:avLst/>
                        </a:prstGeom>
                        <a:ln>
                          <a:headEnd/>
                          <a:tailEnd/>
                        </a:ln>
                      </wps:spPr>
                      <wps:style>
                        <a:lnRef idx="3">
                          <a:schemeClr val="lt1"/>
                        </a:lnRef>
                        <a:fillRef idx="1">
                          <a:schemeClr val="accent3"/>
                        </a:fillRef>
                        <a:effectRef idx="1">
                          <a:schemeClr val="accent3"/>
                        </a:effectRef>
                        <a:fontRef idx="minor">
                          <a:schemeClr val="lt1"/>
                        </a:fontRef>
                      </wps:style>
                      <wps:txbx>
                        <w:txbxContent>
                          <w:p w14:paraId="45DA26C8" w14:textId="77777777" w:rsidR="007679D9" w:rsidRPr="00A87DBB" w:rsidRDefault="007679D9" w:rsidP="00277D84">
                            <w:pPr>
                              <w:jc w:val="center"/>
                              <w:rPr>
                                <w:sz w:val="28"/>
                              </w:rPr>
                            </w:pPr>
                            <w:r>
                              <w:rPr>
                                <w:sz w:val="28"/>
                              </w:rPr>
                              <w:t>Programme « </w:t>
                            </w:r>
                            <w:r w:rsidRPr="00A87DBB">
                              <w:rPr>
                                <w:sz w:val="28"/>
                              </w:rPr>
                              <w:t>Accès aux soins et services de santé</w:t>
                            </w:r>
                            <w:r>
                              <w:rPr>
                                <w:sz w:val="28"/>
                              </w:rPr>
                              <w:t>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53CFDFB" id="_x0000_s1035" type="#_x0000_t202" style="position:absolute;left:0;text-align:left;margin-left:158.75pt;margin-top:86.45pt;width:149.85pt;height:83.7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" fillcolor="#9bbb59 [3206]" strokecolor="white [3201]" strokeweight="3pt">
                <v:shadow on="t" color="black" opacity="24903f" origin=",.5" offset="0,.55556mm"/>
                <v:textbox>
                  <w:txbxContent>
                    <w:p w:rsidR="007679D9" w:rsidRPr="00A87DBB" w:rsidRDefault="007679D9" w:rsidP="00277D84">
                      <w:pPr>
                        <w:jc w:val="center"/>
                        <w:rPr>
                          <w:sz w:val="28"/>
                        </w:rPr>
                      </w:pPr>
                      <w:r>
                        <w:rPr>
                          <w:sz w:val="28"/>
                        </w:rPr>
                        <w:t>Programme « </w:t>
                      </w:r>
                      <w:r w:rsidRPr="00A87DBB">
                        <w:rPr>
                          <w:sz w:val="28"/>
                        </w:rPr>
                        <w:t>Accès aux soins et services de santé</w:t>
                      </w:r>
                      <w:r>
                        <w:rPr>
                          <w:sz w:val="28"/>
                        </w:rPr>
                        <w:t> »</w:t>
                      </w:r>
                    </w:p>
                  </w:txbxContent>
                </v:textbox>
              </v:shape>
            </w:pict>
          </mc:Fallback>
        </mc:AlternateContent>
      </w:r>
      <w:r w:rsidRPr="00BF29A2">
        <w:rPr>
          <w:rFonts w:cstheme="minorHAnsi"/>
          <w:noProof/>
          <w:sz w:val="24"/>
          <w:szCs w:val="24"/>
          <w:lang w:eastAsia="fr-FR"/>
        </w:rPr>
        <mc:AlternateContent>
          <mc:Choice Requires="wps">
            <w:drawing>
              <wp:anchor distT="0" distB="0" distL="114300" distR="114300" simplePos="0" relativeHeight="251666432" behindDoc="0" locked="0" layoutInCell="1" allowOverlap="1" wp14:anchorId="398D59CC" wp14:editId="7EBAC1D8">
                <wp:simplePos x="0" y="0"/>
                <wp:positionH relativeFrom="column">
                  <wp:posOffset>-156210</wp:posOffset>
                </wp:positionH>
                <wp:positionV relativeFrom="paragraph">
                  <wp:posOffset>1094105</wp:posOffset>
                </wp:positionV>
                <wp:extent cx="1903095" cy="1062990"/>
                <wp:effectExtent l="76200" t="57150" r="78105" b="99060"/>
                <wp:wrapNone/>
                <wp:docPr id="3"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3095" cy="1062990"/>
                        </a:xfrm>
                        <a:prstGeom prst="rect">
                          <a:avLst/>
                        </a:prstGeom>
                        <a:ln>
                          <a:headEnd/>
                          <a:tailEnd/>
                        </a:ln>
                      </wps:spPr>
                      <wps:style>
                        <a:lnRef idx="3">
                          <a:schemeClr val="lt1"/>
                        </a:lnRef>
                        <a:fillRef idx="1">
                          <a:schemeClr val="accent3"/>
                        </a:fillRef>
                        <a:effectRef idx="1">
                          <a:schemeClr val="accent3"/>
                        </a:effectRef>
                        <a:fontRef idx="minor">
                          <a:schemeClr val="lt1"/>
                        </a:fontRef>
                      </wps:style>
                      <wps:txbx>
                        <w:txbxContent>
                          <w:p w14:paraId="13640E81" w14:textId="77777777" w:rsidR="007679D9" w:rsidRPr="00A87DBB" w:rsidRDefault="007679D9" w:rsidP="00277D84">
                            <w:pPr>
                              <w:jc w:val="center"/>
                              <w:rPr>
                                <w:sz w:val="28"/>
                              </w:rPr>
                            </w:pPr>
                            <w:r>
                              <w:rPr>
                                <w:sz w:val="28"/>
                              </w:rPr>
                              <w:t>Programme « </w:t>
                            </w:r>
                            <w:r w:rsidRPr="00A87DBB">
                              <w:rPr>
                                <w:sz w:val="28"/>
                              </w:rPr>
                              <w:t>Pilotage et Administration de la politique du Ministère de la Santé</w:t>
                            </w:r>
                            <w:r>
                              <w:rPr>
                                <w:sz w:val="28"/>
                              </w:rPr>
                              <w:t>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AF31A53" id="_x0000_s1036" type="#_x0000_t202" style="position:absolute;left:0;text-align:left;margin-left:-12.3pt;margin-top:86.15pt;width:149.85pt;height:83.7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" fillcolor="#9bbb59 [3206]" strokecolor="white [3201]" strokeweight="3pt">
                <v:shadow on="t" color="black" opacity="24903f" origin=",.5" offset="0,.55556mm"/>
                <v:textbox>
                  <w:txbxContent>
                    <w:p w:rsidR="007679D9" w:rsidRPr="00A87DBB" w:rsidRDefault="007679D9" w:rsidP="00277D84">
                      <w:pPr>
                        <w:jc w:val="center"/>
                        <w:rPr>
                          <w:sz w:val="28"/>
                        </w:rPr>
                      </w:pPr>
                      <w:r>
                        <w:rPr>
                          <w:sz w:val="28"/>
                        </w:rPr>
                        <w:t>Programme « </w:t>
                      </w:r>
                      <w:r w:rsidRPr="00A87DBB">
                        <w:rPr>
                          <w:sz w:val="28"/>
                        </w:rPr>
                        <w:t>Pilotage et Administration de la politique du Ministère de la Santé</w:t>
                      </w:r>
                      <w:r>
                        <w:rPr>
                          <w:sz w:val="28"/>
                        </w:rPr>
                        <w:t> »</w:t>
                      </w:r>
                    </w:p>
                  </w:txbxContent>
                </v:textbox>
              </v:shape>
            </w:pict>
          </mc:Fallback>
        </mc:AlternateContent>
      </w:r>
    </w:p>
    <w:p w14:paraId="3DE04B87" w14:textId="77777777" w:rsidR="001B17C8" w:rsidRPr="00BF29A2" w:rsidRDefault="00277D84" w:rsidP="000902A1">
      <w:pPr>
        <w:rPr>
          <w:rFonts w:cstheme="minorHAnsi"/>
          <w:color w:val="FF0000"/>
          <w:sz w:val="24"/>
          <w:szCs w:val="24"/>
        </w:rPr>
      </w:pPr>
      <w:r w:rsidRPr="00BF29A2">
        <w:rPr>
          <w:rFonts w:cstheme="minorHAnsi"/>
          <w:noProof/>
          <w:sz w:val="24"/>
          <w:szCs w:val="24"/>
          <w:lang w:eastAsia="fr-FR"/>
        </w:rPr>
        <mc:AlternateContent>
          <mc:Choice Requires="wps">
            <w:drawing>
              <wp:anchor distT="0" distB="0" distL="114300" distR="114300" simplePos="0" relativeHeight="251696128" behindDoc="0" locked="0" layoutInCell="1" allowOverlap="1" wp14:anchorId="5DAB7A65" wp14:editId="16836982">
                <wp:simplePos x="0" y="0"/>
                <wp:positionH relativeFrom="column">
                  <wp:posOffset>2332355</wp:posOffset>
                </wp:positionH>
                <wp:positionV relativeFrom="paragraph">
                  <wp:posOffset>217805</wp:posOffset>
                </wp:positionV>
                <wp:extent cx="1403350" cy="0"/>
                <wp:effectExtent l="0" t="76200" r="25400" b="114300"/>
                <wp:wrapNone/>
                <wp:docPr id="298" name="Connecteur droit avec flèche 298"/>
                <wp:cNvGraphicFramePr/>
                <a:graphic xmlns:a="http://schemas.openxmlformats.org/drawingml/2006/main">
                  <a:graphicData uri="http://schemas.microsoft.com/office/word/2010/wordprocessingShape">
                    <wps:wsp>
                      <wps:cNvCnPr/>
                      <wps:spPr>
                        <a:xfrm>
                          <a:off x="0" y="0"/>
                          <a:ext cx="1403350" cy="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5834F6A" id="Connecteur droit avec flèche 298" o:spid="_x0000_s1026" type="#_x0000_t32" style="position:absolute;margin-left:183.65pt;margin-top:17.15pt;width:110.5pt;height:0;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" strokecolor="#4579b8 [3044]">
                <v:stroke endarrow="open"/>
              </v:shape>
            </w:pict>
          </mc:Fallback>
        </mc:AlternateContent>
      </w:r>
    </w:p>
    <w:p w14:paraId="60BE59E0" w14:textId="77777777" w:rsidR="00515C25" w:rsidRPr="00BF29A2" w:rsidRDefault="00E4665A">
      <w:pPr>
        <w:rPr>
          <w:rFonts w:cstheme="minorHAnsi"/>
          <w:b/>
          <w:i/>
          <w:sz w:val="24"/>
          <w:szCs w:val="24"/>
        </w:rPr>
      </w:pPr>
      <w:r w:rsidRPr="00BF29A2">
        <w:rPr>
          <w:rFonts w:cstheme="minorHAnsi"/>
          <w:noProof/>
          <w:sz w:val="24"/>
          <w:szCs w:val="24"/>
          <w:lang w:eastAsia="fr-FR"/>
        </w:rPr>
        <mc:AlternateContent>
          <mc:Choice Requires="wps">
            <w:drawing>
              <wp:anchor distT="0" distB="0" distL="114300" distR="114300" simplePos="0" relativeHeight="251695104" behindDoc="0" locked="0" layoutInCell="1" allowOverlap="1" wp14:anchorId="4A735A85" wp14:editId="4664864B">
                <wp:simplePos x="0" y="0"/>
                <wp:positionH relativeFrom="column">
                  <wp:posOffset>1617345</wp:posOffset>
                </wp:positionH>
                <wp:positionV relativeFrom="paragraph">
                  <wp:posOffset>4210685</wp:posOffset>
                </wp:positionV>
                <wp:extent cx="4018915" cy="654685"/>
                <wp:effectExtent l="0" t="0" r="19685" b="12065"/>
                <wp:wrapNone/>
                <wp:docPr id="297" name="Zone de texte 297"/>
                <wp:cNvGraphicFramePr/>
                <a:graphic xmlns:a="http://schemas.openxmlformats.org/drawingml/2006/main">
                  <a:graphicData uri="http://schemas.microsoft.com/office/word/2010/wordprocessingShape">
                    <wps:wsp>
                      <wps:cNvSpPr txBox="1"/>
                      <wps:spPr>
                        <a:xfrm>
                          <a:off x="0" y="0"/>
                          <a:ext cx="4018915" cy="65468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1D475A3" w14:textId="77777777" w:rsidR="007679D9" w:rsidRDefault="007679D9" w:rsidP="00277D84">
                            <w:r>
                              <w:t>Le paquet de soins disponible à tous les niveaux de la pyramide sanitaire est financé par différents mécanismes complémentaires – y compris la prise en charge de la malnutrition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09568B" id="Zone de texte 297" o:spid="_x0000_s1037" type="#_x0000_t202" style="position:absolute;margin-left:127.35pt;margin-top:331.55pt;width:316.45pt;height:51.5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" fillcolor="white [3201]" strokeweight=".5pt">
                <v:textbox>
                  <w:txbxContent>
                    <w:p w:rsidR="007679D9" w:rsidRDefault="007679D9" w:rsidP="00277D84">
                      <w:r>
                        <w:t>Le paquet de soins disponible à tous les niveaux de la pyramide sanitaire est financé par différents mécanismes complémentaires – y compris la prise en charge de la malnutrition</w:t>
                      </w:r>
                    </w:p>
                  </w:txbxContent>
                </v:textbox>
              </v:shape>
            </w:pict>
          </mc:Fallback>
        </mc:AlternateContent>
      </w:r>
      <w:r w:rsidR="00277D84" w:rsidRPr="00BF29A2">
        <w:rPr>
          <w:rFonts w:cstheme="minorHAnsi"/>
          <w:noProof/>
          <w:sz w:val="24"/>
          <w:szCs w:val="24"/>
          <w:lang w:eastAsia="fr-FR"/>
        </w:rPr>
        <mc:AlternateContent>
          <mc:Choice Requires="wps">
            <w:drawing>
              <wp:anchor distT="0" distB="0" distL="114300" distR="114300" simplePos="0" relativeHeight="251684864" behindDoc="0" locked="0" layoutInCell="1" allowOverlap="1" wp14:anchorId="1980CD41" wp14:editId="7D4F0090">
                <wp:simplePos x="0" y="0"/>
                <wp:positionH relativeFrom="column">
                  <wp:posOffset>7711440</wp:posOffset>
                </wp:positionH>
                <wp:positionV relativeFrom="paragraph">
                  <wp:posOffset>191770</wp:posOffset>
                </wp:positionV>
                <wp:extent cx="0" cy="265430"/>
                <wp:effectExtent l="95250" t="0" r="57150" b="58420"/>
                <wp:wrapNone/>
                <wp:docPr id="30" name="Connecteur droit avec flèche 30"/>
                <wp:cNvGraphicFramePr/>
                <a:graphic xmlns:a="http://schemas.openxmlformats.org/drawingml/2006/main">
                  <a:graphicData uri="http://schemas.microsoft.com/office/word/2010/wordprocessingShape">
                    <wps:wsp>
                      <wps:cNvCnPr/>
                      <wps:spPr>
                        <a:xfrm>
                          <a:off x="0" y="0"/>
                          <a:ext cx="0" cy="26543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5B6B555" id="Connecteur droit avec flèche 30" o:spid="_x0000_s1026" type="#_x0000_t32" style="position:absolute;margin-left:607.2pt;margin-top:15.1pt;width:0;height:20.9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" strokecolor="#4579b8 [3044]">
                <v:stroke endarrow="open"/>
              </v:shape>
            </w:pict>
          </mc:Fallback>
        </mc:AlternateContent>
      </w:r>
      <w:r w:rsidR="00277D84" w:rsidRPr="00BF29A2">
        <w:rPr>
          <w:rFonts w:cstheme="minorHAnsi"/>
          <w:noProof/>
          <w:sz w:val="24"/>
          <w:szCs w:val="24"/>
          <w:lang w:eastAsia="fr-FR"/>
        </w:rPr>
        <mc:AlternateContent>
          <mc:Choice Requires="wps">
            <w:drawing>
              <wp:anchor distT="0" distB="0" distL="114300" distR="114300" simplePos="0" relativeHeight="251679744" behindDoc="0" locked="0" layoutInCell="1" allowOverlap="1" wp14:anchorId="5AD59F3A" wp14:editId="504A6B48">
                <wp:simplePos x="0" y="0"/>
                <wp:positionH relativeFrom="column">
                  <wp:posOffset>2990850</wp:posOffset>
                </wp:positionH>
                <wp:positionV relativeFrom="paragraph">
                  <wp:posOffset>202565</wp:posOffset>
                </wp:positionV>
                <wp:extent cx="1562100" cy="243840"/>
                <wp:effectExtent l="38100" t="0" r="19050" b="99060"/>
                <wp:wrapNone/>
                <wp:docPr id="22" name="Connecteur droit avec flèche 22"/>
                <wp:cNvGraphicFramePr/>
                <a:graphic xmlns:a="http://schemas.openxmlformats.org/drawingml/2006/main">
                  <a:graphicData uri="http://schemas.microsoft.com/office/word/2010/wordprocessingShape">
                    <wps:wsp>
                      <wps:cNvCnPr/>
                      <wps:spPr>
                        <a:xfrm flipH="1">
                          <a:off x="0" y="0"/>
                          <a:ext cx="1562100" cy="24384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DC26BBD" id="Connecteur droit avec flèche 22" o:spid="_x0000_s1026" type="#_x0000_t32" style="position:absolute;margin-left:235.5pt;margin-top:15.95pt;width:123pt;height:19.2pt;flip:x;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" strokecolor="#4579b8 [3044]">
                <v:stroke endarrow="open"/>
              </v:shape>
            </w:pict>
          </mc:Fallback>
        </mc:AlternateContent>
      </w:r>
      <w:r w:rsidR="00277D84" w:rsidRPr="00BF29A2">
        <w:rPr>
          <w:rFonts w:cstheme="minorHAnsi"/>
          <w:noProof/>
          <w:sz w:val="24"/>
          <w:szCs w:val="24"/>
          <w:lang w:eastAsia="fr-FR"/>
        </w:rPr>
        <mc:AlternateContent>
          <mc:Choice Requires="wps">
            <w:drawing>
              <wp:anchor distT="0" distB="0" distL="114300" distR="114300" simplePos="0" relativeHeight="251680768" behindDoc="0" locked="0" layoutInCell="1" allowOverlap="1" wp14:anchorId="5202829F" wp14:editId="4559E2F5">
                <wp:simplePos x="0" y="0"/>
                <wp:positionH relativeFrom="column">
                  <wp:posOffset>906780</wp:posOffset>
                </wp:positionH>
                <wp:positionV relativeFrom="paragraph">
                  <wp:posOffset>191770</wp:posOffset>
                </wp:positionV>
                <wp:extent cx="2827655" cy="286385"/>
                <wp:effectExtent l="38100" t="0" r="10795" b="94615"/>
                <wp:wrapNone/>
                <wp:docPr id="23" name="Connecteur droit avec flèche 23"/>
                <wp:cNvGraphicFramePr/>
                <a:graphic xmlns:a="http://schemas.openxmlformats.org/drawingml/2006/main">
                  <a:graphicData uri="http://schemas.microsoft.com/office/word/2010/wordprocessingShape">
                    <wps:wsp>
                      <wps:cNvCnPr/>
                      <wps:spPr>
                        <a:xfrm flipH="1">
                          <a:off x="0" y="0"/>
                          <a:ext cx="2827655" cy="28638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D69CDB3" id="Connecteur droit avec flèche 23" o:spid="_x0000_s1026" type="#_x0000_t32" style="position:absolute;margin-left:71.4pt;margin-top:15.1pt;width:222.65pt;height:22.55pt;flip:x;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" strokecolor="#4579b8 [3044]">
                <v:stroke endarrow="open"/>
              </v:shape>
            </w:pict>
          </mc:Fallback>
        </mc:AlternateContent>
      </w:r>
      <w:r w:rsidR="00277D84" w:rsidRPr="00BF29A2">
        <w:rPr>
          <w:rFonts w:cstheme="minorHAnsi"/>
          <w:noProof/>
          <w:sz w:val="24"/>
          <w:szCs w:val="24"/>
          <w:lang w:eastAsia="fr-FR"/>
        </w:rPr>
        <mc:AlternateContent>
          <mc:Choice Requires="wps">
            <w:drawing>
              <wp:anchor distT="0" distB="0" distL="114300" distR="114300" simplePos="0" relativeHeight="251683840" behindDoc="0" locked="0" layoutInCell="1" allowOverlap="1" wp14:anchorId="246498A3" wp14:editId="42407191">
                <wp:simplePos x="0" y="0"/>
                <wp:positionH relativeFrom="column">
                  <wp:posOffset>4915535</wp:posOffset>
                </wp:positionH>
                <wp:positionV relativeFrom="paragraph">
                  <wp:posOffset>202565</wp:posOffset>
                </wp:positionV>
                <wp:extent cx="179705" cy="276860"/>
                <wp:effectExtent l="0" t="0" r="48895" b="66040"/>
                <wp:wrapNone/>
                <wp:docPr id="28" name="Connecteur droit avec flèche 28"/>
                <wp:cNvGraphicFramePr/>
                <a:graphic xmlns:a="http://schemas.openxmlformats.org/drawingml/2006/main">
                  <a:graphicData uri="http://schemas.microsoft.com/office/word/2010/wordprocessingShape">
                    <wps:wsp>
                      <wps:cNvCnPr/>
                      <wps:spPr>
                        <a:xfrm>
                          <a:off x="0" y="0"/>
                          <a:ext cx="179705" cy="27686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DA1D792" id="Connecteur droit avec flèche 28" o:spid="_x0000_s1026" type="#_x0000_t32" style="position:absolute;margin-left:387.05pt;margin-top:15.95pt;width:14.15pt;height:21.8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" strokecolor="#4579b8 [3044]">
                <v:stroke endarrow="open"/>
              </v:shape>
            </w:pict>
          </mc:Fallback>
        </mc:AlternateContent>
      </w:r>
      <w:r w:rsidR="00277D84" w:rsidRPr="00BF29A2">
        <w:rPr>
          <w:rFonts w:cstheme="minorHAnsi"/>
          <w:noProof/>
          <w:sz w:val="24"/>
          <w:szCs w:val="24"/>
          <w:lang w:eastAsia="fr-FR"/>
        </w:rPr>
        <mc:AlternateContent>
          <mc:Choice Requires="wps">
            <w:drawing>
              <wp:anchor distT="0" distB="0" distL="114300" distR="114300" simplePos="0" relativeHeight="251682816" behindDoc="0" locked="0" layoutInCell="1" allowOverlap="1" wp14:anchorId="3D51A509" wp14:editId="0035308D">
                <wp:simplePos x="0" y="0"/>
                <wp:positionH relativeFrom="column">
                  <wp:posOffset>2331720</wp:posOffset>
                </wp:positionH>
                <wp:positionV relativeFrom="paragraph">
                  <wp:posOffset>202565</wp:posOffset>
                </wp:positionV>
                <wp:extent cx="1849755" cy="255270"/>
                <wp:effectExtent l="0" t="0" r="74295" b="87630"/>
                <wp:wrapNone/>
                <wp:docPr id="26" name="Connecteur droit avec flèche 26"/>
                <wp:cNvGraphicFramePr/>
                <a:graphic xmlns:a="http://schemas.openxmlformats.org/drawingml/2006/main">
                  <a:graphicData uri="http://schemas.microsoft.com/office/word/2010/wordprocessingShape">
                    <wps:wsp>
                      <wps:cNvCnPr/>
                      <wps:spPr>
                        <a:xfrm>
                          <a:off x="0" y="0"/>
                          <a:ext cx="1849755" cy="25527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0D06A86" id="Connecteur droit avec flèche 26" o:spid="_x0000_s1026" type="#_x0000_t32" style="position:absolute;margin-left:183.6pt;margin-top:15.95pt;width:145.65pt;height:20.1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" strokecolor="#4579b8 [3044]">
                <v:stroke endarrow="open"/>
              </v:shape>
            </w:pict>
          </mc:Fallback>
        </mc:AlternateContent>
      </w:r>
      <w:r w:rsidR="00277D84" w:rsidRPr="00BF29A2">
        <w:rPr>
          <w:rFonts w:cstheme="minorHAnsi"/>
          <w:noProof/>
          <w:sz w:val="24"/>
          <w:szCs w:val="24"/>
          <w:lang w:eastAsia="fr-FR"/>
        </w:rPr>
        <mc:AlternateContent>
          <mc:Choice Requires="wps">
            <w:drawing>
              <wp:anchor distT="0" distB="0" distL="114300" distR="114300" simplePos="0" relativeHeight="251681792" behindDoc="0" locked="0" layoutInCell="1" allowOverlap="1" wp14:anchorId="13944261" wp14:editId="39C33CB6">
                <wp:simplePos x="0" y="0"/>
                <wp:positionH relativeFrom="column">
                  <wp:posOffset>2331720</wp:posOffset>
                </wp:positionH>
                <wp:positionV relativeFrom="paragraph">
                  <wp:posOffset>191135</wp:posOffset>
                </wp:positionV>
                <wp:extent cx="626745" cy="266065"/>
                <wp:effectExtent l="0" t="0" r="78105" b="76835"/>
                <wp:wrapNone/>
                <wp:docPr id="24" name="Connecteur droit avec flèche 24"/>
                <wp:cNvGraphicFramePr/>
                <a:graphic xmlns:a="http://schemas.openxmlformats.org/drawingml/2006/main">
                  <a:graphicData uri="http://schemas.microsoft.com/office/word/2010/wordprocessingShape">
                    <wps:wsp>
                      <wps:cNvCnPr/>
                      <wps:spPr>
                        <a:xfrm>
                          <a:off x="0" y="0"/>
                          <a:ext cx="626745" cy="26606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97E579F" id="Connecteur droit avec flèche 24" o:spid="_x0000_s1026" type="#_x0000_t32" style="position:absolute;margin-left:183.6pt;margin-top:15.05pt;width:49.35pt;height:20.9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" strokecolor="#4579b8 [3044]">
                <v:stroke endarrow="open"/>
              </v:shape>
            </w:pict>
          </mc:Fallback>
        </mc:AlternateContent>
      </w:r>
      <w:r w:rsidR="00277D84" w:rsidRPr="00BF29A2">
        <w:rPr>
          <w:rFonts w:cstheme="minorHAnsi"/>
          <w:noProof/>
          <w:sz w:val="24"/>
          <w:szCs w:val="24"/>
          <w:lang w:eastAsia="fr-FR"/>
        </w:rPr>
        <mc:AlternateContent>
          <mc:Choice Requires="wps">
            <w:drawing>
              <wp:anchor distT="0" distB="0" distL="114300" distR="114300" simplePos="0" relativeHeight="251678720" behindDoc="0" locked="0" layoutInCell="1" allowOverlap="1" wp14:anchorId="11FCE02D" wp14:editId="2D30E408">
                <wp:simplePos x="0" y="0"/>
                <wp:positionH relativeFrom="column">
                  <wp:posOffset>768350</wp:posOffset>
                </wp:positionH>
                <wp:positionV relativeFrom="paragraph">
                  <wp:posOffset>201295</wp:posOffset>
                </wp:positionV>
                <wp:extent cx="318770" cy="245745"/>
                <wp:effectExtent l="38100" t="0" r="24130" b="59055"/>
                <wp:wrapNone/>
                <wp:docPr id="21" name="Connecteur droit avec flèche 21"/>
                <wp:cNvGraphicFramePr/>
                <a:graphic xmlns:a="http://schemas.openxmlformats.org/drawingml/2006/main">
                  <a:graphicData uri="http://schemas.microsoft.com/office/word/2010/wordprocessingShape">
                    <wps:wsp>
                      <wps:cNvCnPr/>
                      <wps:spPr>
                        <a:xfrm flipH="1">
                          <a:off x="0" y="0"/>
                          <a:ext cx="318770" cy="24574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886990B" id="Connecteur droit avec flèche 21" o:spid="_x0000_s1026" type="#_x0000_t32" style="position:absolute;margin-left:60.5pt;margin-top:15.85pt;width:25.1pt;height:19.35pt;flip:x;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" strokecolor="#4579b8 [3044]">
                <v:stroke endarrow="open"/>
              </v:shape>
            </w:pict>
          </mc:Fallback>
        </mc:AlternateContent>
      </w:r>
      <w:r w:rsidR="00515C25" w:rsidRPr="00BF29A2">
        <w:rPr>
          <w:rFonts w:cstheme="minorHAnsi"/>
          <w:b/>
          <w:i/>
          <w:sz w:val="24"/>
          <w:szCs w:val="24"/>
        </w:rPr>
        <w:br w:type="page"/>
      </w:r>
    </w:p>
    <w:p w14:paraId="018ACC6E" w14:textId="77777777" w:rsidR="004B2E69" w:rsidRPr="00BF29A2" w:rsidRDefault="004B2E69" w:rsidP="003F3FAC">
      <w:pPr>
        <w:rPr>
          <w:rFonts w:cstheme="minorHAnsi"/>
          <w:b/>
          <w:i/>
          <w:sz w:val="24"/>
          <w:szCs w:val="24"/>
        </w:rPr>
        <w:sectPr w:rsidR="004B2E69" w:rsidRPr="00BF29A2" w:rsidSect="004B2E69">
          <w:pgSz w:w="16838" w:h="11906" w:orient="landscape"/>
          <w:pgMar w:top="1418" w:right="1418" w:bottom="1418" w:left="1418" w:header="709" w:footer="709" w:gutter="0"/>
          <w:cols w:space="708"/>
          <w:docGrid w:linePitch="360"/>
        </w:sectPr>
      </w:pPr>
    </w:p>
    <w:p w14:paraId="44D15A92" w14:textId="77777777" w:rsidR="00122B15" w:rsidRDefault="00122B15" w:rsidP="00122B15">
      <w:pPr>
        <w:pStyle w:val="Titre1"/>
      </w:pPr>
      <w:bookmarkStart w:id="30" w:name="_Toc21449031"/>
      <w:r>
        <w:t>Hypothèses et risques</w:t>
      </w:r>
      <w:bookmarkEnd w:id="30"/>
    </w:p>
    <w:p w14:paraId="2E8C7F3D" w14:textId="77777777" w:rsidR="003F3FAC" w:rsidRPr="00BF29A2" w:rsidRDefault="00122B15" w:rsidP="00BF29A2">
      <w:pPr>
        <w:pStyle w:val="Titre2"/>
      </w:pPr>
      <w:bookmarkStart w:id="31" w:name="_Toc21449032"/>
      <w:r>
        <w:t xml:space="preserve">Hypothèse </w:t>
      </w:r>
      <w:r w:rsidR="008D5D3A">
        <w:t>n°</w:t>
      </w:r>
      <w:r>
        <w:t xml:space="preserve">1 : plus de santé est obtenu avec </w:t>
      </w:r>
      <w:r w:rsidR="003F3FAC" w:rsidRPr="00BF29A2">
        <w:t xml:space="preserve">l’argent </w:t>
      </w:r>
      <w:r>
        <w:t xml:space="preserve">disponible, </w:t>
      </w:r>
      <w:r w:rsidR="003F3FAC" w:rsidRPr="00BF29A2">
        <w:t xml:space="preserve">et plus </w:t>
      </w:r>
      <w:r>
        <w:t xml:space="preserve">de ressources publiques nationales sont mises à disposition </w:t>
      </w:r>
      <w:r w:rsidR="003F3FAC" w:rsidRPr="00BF29A2">
        <w:t>pour la santé</w:t>
      </w:r>
      <w:bookmarkEnd w:id="31"/>
      <w:r w:rsidR="003F3FAC" w:rsidRPr="00BF29A2">
        <w:t xml:space="preserve"> </w:t>
      </w:r>
    </w:p>
    <w:p w14:paraId="5EFA1130" w14:textId="77777777" w:rsidR="003F3FAC" w:rsidRPr="00BF29A2" w:rsidRDefault="003F3FAC" w:rsidP="003F3FAC">
      <w:pPr>
        <w:pStyle w:val="Paragraphedeliste"/>
        <w:ind w:left="1134"/>
        <w:rPr>
          <w:rFonts w:cstheme="minorHAnsi"/>
          <w:sz w:val="24"/>
          <w:szCs w:val="24"/>
        </w:rPr>
      </w:pPr>
    </w:p>
    <w:p w14:paraId="3A7249F6" w14:textId="77777777" w:rsidR="003F3FAC" w:rsidRPr="00C847ED" w:rsidRDefault="003F3FAC" w:rsidP="003F3FAC">
      <w:pPr>
        <w:pStyle w:val="Paragraphedeliste"/>
        <w:numPr>
          <w:ilvl w:val="0"/>
          <w:numId w:val="4"/>
        </w:numPr>
        <w:rPr>
          <w:rFonts w:cstheme="minorHAnsi"/>
          <w:b/>
          <w:sz w:val="24"/>
          <w:szCs w:val="24"/>
        </w:rPr>
      </w:pPr>
      <w:r w:rsidRPr="00C847ED">
        <w:rPr>
          <w:rFonts w:cstheme="minorHAnsi"/>
          <w:b/>
          <w:sz w:val="24"/>
          <w:szCs w:val="24"/>
        </w:rPr>
        <w:t>Amélioration de l’efficience à tous les niveaux</w:t>
      </w:r>
    </w:p>
    <w:p w14:paraId="4D8C2EF2" w14:textId="77777777" w:rsidR="0051115C" w:rsidRPr="0051115C" w:rsidRDefault="0051115C" w:rsidP="0051115C">
      <w:pPr>
        <w:rPr>
          <w:rFonts w:cstheme="minorHAnsi"/>
          <w:i/>
          <w:sz w:val="24"/>
          <w:szCs w:val="24"/>
        </w:rPr>
      </w:pPr>
      <w:r w:rsidRPr="0051115C">
        <w:rPr>
          <w:rFonts w:cstheme="minorHAnsi"/>
          <w:i/>
          <w:sz w:val="24"/>
          <w:szCs w:val="24"/>
        </w:rPr>
        <w:t>La mise en œuvre effective de la réforme des budget-programmes</w:t>
      </w:r>
    </w:p>
    <w:p w14:paraId="15F1C5D2" w14:textId="77777777" w:rsidR="00A01B4C" w:rsidRDefault="00A01B4C" w:rsidP="00A01B4C">
      <w:pPr>
        <w:rPr>
          <w:rFonts w:cstheme="minorHAnsi"/>
          <w:sz w:val="24"/>
          <w:szCs w:val="24"/>
        </w:rPr>
      </w:pPr>
      <w:r>
        <w:rPr>
          <w:rFonts w:cstheme="minorHAnsi"/>
          <w:sz w:val="24"/>
          <w:szCs w:val="24"/>
        </w:rPr>
        <w:t>La meilleure façon d’accroître l’assiette fiscale et d’améliorer l’efficience des dépenses. Or au Niger une réforme phare de la gestion des finances publiques est initiée, qui vise une gestion basée sur les résultats. La réforme des budgets-programme se présente comme la manière la plus structurelle d’améliorer l’efficience des dépenses de la CSU.</w:t>
      </w:r>
    </w:p>
    <w:p w14:paraId="773EBCD6" w14:textId="77777777" w:rsidR="00A01B4C" w:rsidRPr="00A01B4C" w:rsidRDefault="00A01B4C" w:rsidP="00A01B4C">
      <w:pPr>
        <w:rPr>
          <w:rFonts w:cstheme="minorHAnsi"/>
          <w:sz w:val="24"/>
          <w:szCs w:val="24"/>
        </w:rPr>
      </w:pPr>
      <w:r>
        <w:rPr>
          <w:rFonts w:cstheme="minorHAnsi"/>
          <w:sz w:val="24"/>
          <w:szCs w:val="24"/>
        </w:rPr>
        <w:t>Cette réforme</w:t>
      </w:r>
      <w:r w:rsidR="0051115C">
        <w:rPr>
          <w:rFonts w:cstheme="minorHAnsi"/>
          <w:sz w:val="24"/>
          <w:szCs w:val="24"/>
        </w:rPr>
        <w:t xml:space="preserve"> passe par une volonté politique et un effort redoublé de coopération entre les départements </w:t>
      </w:r>
      <w:r>
        <w:rPr>
          <w:rFonts w:cstheme="minorHAnsi"/>
          <w:sz w:val="24"/>
          <w:szCs w:val="24"/>
        </w:rPr>
        <w:t xml:space="preserve">sectoriels </w:t>
      </w:r>
      <w:r w:rsidR="0051115C">
        <w:rPr>
          <w:rFonts w:cstheme="minorHAnsi"/>
          <w:sz w:val="24"/>
          <w:szCs w:val="24"/>
        </w:rPr>
        <w:t xml:space="preserve">(à commencer par le Ministère de la Santé) et le Ministère des Finances. </w:t>
      </w:r>
      <w:r w:rsidR="0051115C" w:rsidRPr="00A01B4C">
        <w:rPr>
          <w:rFonts w:cstheme="minorHAnsi"/>
          <w:sz w:val="24"/>
          <w:szCs w:val="24"/>
        </w:rPr>
        <w:t xml:space="preserve">Les  ressources des ministères sectoriels  </w:t>
      </w:r>
      <w:r w:rsidRPr="00A01B4C">
        <w:rPr>
          <w:rFonts w:cstheme="minorHAnsi"/>
          <w:sz w:val="24"/>
          <w:szCs w:val="24"/>
        </w:rPr>
        <w:t>devront</w:t>
      </w:r>
      <w:r w:rsidR="0051115C" w:rsidRPr="00A01B4C">
        <w:rPr>
          <w:rFonts w:cstheme="minorHAnsi"/>
          <w:sz w:val="24"/>
          <w:szCs w:val="24"/>
        </w:rPr>
        <w:t xml:space="preserve">  être  gérées par les responsables des programmes</w:t>
      </w:r>
      <w:r w:rsidRPr="00A01B4C">
        <w:rPr>
          <w:rFonts w:cstheme="minorHAnsi"/>
          <w:sz w:val="24"/>
          <w:szCs w:val="24"/>
        </w:rPr>
        <w:t> ; il s’agira</w:t>
      </w:r>
      <w:r w:rsidR="0051115C" w:rsidRPr="00A01B4C">
        <w:rPr>
          <w:rFonts w:cstheme="minorHAnsi"/>
          <w:sz w:val="24"/>
          <w:szCs w:val="24"/>
        </w:rPr>
        <w:t xml:space="preserve"> de mettre la stratégie de déconcentration de l'ordonnancement en œuvre et de respecter la séparation des pouvoirs.</w:t>
      </w:r>
      <w:r w:rsidRPr="00A01B4C">
        <w:rPr>
          <w:rFonts w:cstheme="minorHAnsi"/>
          <w:sz w:val="24"/>
          <w:szCs w:val="24"/>
        </w:rPr>
        <w:t xml:space="preserve"> Il faudra également adapter les différe</w:t>
      </w:r>
      <w:r>
        <w:rPr>
          <w:rFonts w:cstheme="minorHAnsi"/>
          <w:sz w:val="24"/>
          <w:szCs w:val="24"/>
        </w:rPr>
        <w:t xml:space="preserve">nts outils de rapportage annuel, assurer une plus grande </w:t>
      </w:r>
      <w:r w:rsidRPr="00A01B4C">
        <w:rPr>
          <w:rFonts w:cstheme="minorHAnsi"/>
          <w:sz w:val="24"/>
          <w:szCs w:val="24"/>
        </w:rPr>
        <w:t>utilisation des solutions numériques</w:t>
      </w:r>
      <w:r>
        <w:rPr>
          <w:rFonts w:cstheme="minorHAnsi"/>
          <w:sz w:val="24"/>
          <w:szCs w:val="24"/>
        </w:rPr>
        <w:t>, et</w:t>
      </w:r>
      <w:r w:rsidRPr="00A01B4C">
        <w:rPr>
          <w:rFonts w:cstheme="minorHAnsi"/>
          <w:sz w:val="24"/>
          <w:szCs w:val="24"/>
        </w:rPr>
        <w:t xml:space="preserve"> mettre en place le cadre de suivi de la performance.</w:t>
      </w:r>
    </w:p>
    <w:p w14:paraId="3CDF5CBF" w14:textId="77777777" w:rsidR="00A01B4C" w:rsidRPr="005B3F52" w:rsidRDefault="005B3F52" w:rsidP="00A01B4C">
      <w:pPr>
        <w:rPr>
          <w:rFonts w:cstheme="minorHAnsi"/>
          <w:i/>
          <w:sz w:val="24"/>
          <w:szCs w:val="24"/>
        </w:rPr>
      </w:pPr>
      <w:r w:rsidRPr="005B3F52">
        <w:rPr>
          <w:rFonts w:cstheme="minorHAnsi"/>
          <w:i/>
          <w:sz w:val="24"/>
          <w:szCs w:val="24"/>
        </w:rPr>
        <w:t>L’utilisation optimum des financements dans le choix des dépenses</w:t>
      </w:r>
    </w:p>
    <w:p w14:paraId="5FF5E0BA" w14:textId="77777777" w:rsidR="0051115C" w:rsidRPr="0051115C" w:rsidRDefault="005B3F52" w:rsidP="00C847ED">
      <w:pPr>
        <w:rPr>
          <w:rFonts w:cstheme="minorHAnsi"/>
          <w:sz w:val="24"/>
          <w:szCs w:val="24"/>
        </w:rPr>
      </w:pPr>
      <w:r>
        <w:rPr>
          <w:rFonts w:cstheme="minorHAnsi"/>
          <w:sz w:val="24"/>
          <w:szCs w:val="24"/>
        </w:rPr>
        <w:t>Dans le secteur de la santé</w:t>
      </w:r>
      <w:r w:rsidR="00C847ED">
        <w:rPr>
          <w:rFonts w:cstheme="minorHAnsi"/>
          <w:sz w:val="24"/>
          <w:szCs w:val="24"/>
        </w:rPr>
        <w:t xml:space="preserve"> et les secteurs connexes</w:t>
      </w:r>
      <w:r>
        <w:rPr>
          <w:rFonts w:cstheme="minorHAnsi"/>
          <w:sz w:val="24"/>
          <w:szCs w:val="24"/>
        </w:rPr>
        <w:t xml:space="preserve">, l’efficience consiste aussi en l’achat stratégique, c’est-à-dire l’allocation de ressources et l’achat de services dans le sens d’un optimum de santé. Parmi les orientations plus précises, </w:t>
      </w:r>
      <w:r w:rsidR="00C847ED">
        <w:rPr>
          <w:rFonts w:cstheme="minorHAnsi"/>
          <w:sz w:val="24"/>
          <w:szCs w:val="24"/>
        </w:rPr>
        <w:t xml:space="preserve">on soulignera le choix des interventions à haut impact, l’importance de mettre l’accent sur la prévention et l’éducation à la santé, ou encore la recherche d’efficience dans les administrations publiques. Pour tout cela, la décentralisation </w:t>
      </w:r>
      <w:r>
        <w:rPr>
          <w:rFonts w:cstheme="minorHAnsi"/>
          <w:sz w:val="24"/>
          <w:szCs w:val="24"/>
        </w:rPr>
        <w:t xml:space="preserve"> </w:t>
      </w:r>
      <w:r w:rsidR="00C847ED">
        <w:rPr>
          <w:rFonts w:cstheme="minorHAnsi"/>
          <w:sz w:val="24"/>
          <w:szCs w:val="24"/>
        </w:rPr>
        <w:t>est encore une orientation fondamentale qui rapproche les politiques et les financements des besoins de la population.</w:t>
      </w:r>
    </w:p>
    <w:p w14:paraId="76BB3B80" w14:textId="77777777" w:rsidR="003F3FAC" w:rsidRPr="00C847ED" w:rsidRDefault="003F3FAC" w:rsidP="00C847ED">
      <w:pPr>
        <w:pStyle w:val="Paragraphedeliste"/>
        <w:numPr>
          <w:ilvl w:val="0"/>
          <w:numId w:val="4"/>
        </w:numPr>
        <w:rPr>
          <w:rFonts w:cstheme="minorHAnsi"/>
          <w:b/>
          <w:sz w:val="24"/>
          <w:szCs w:val="24"/>
        </w:rPr>
      </w:pPr>
      <w:r w:rsidRPr="00C847ED">
        <w:rPr>
          <w:rFonts w:cstheme="minorHAnsi"/>
          <w:b/>
          <w:sz w:val="24"/>
          <w:szCs w:val="24"/>
        </w:rPr>
        <w:t>Améliorat</w:t>
      </w:r>
      <w:r w:rsidR="00EE2796">
        <w:rPr>
          <w:rFonts w:cstheme="minorHAnsi"/>
          <w:b/>
          <w:sz w:val="24"/>
          <w:szCs w:val="24"/>
        </w:rPr>
        <w:t>ion du financement domestique de l’</w:t>
      </w:r>
      <w:r w:rsidRPr="00C847ED">
        <w:rPr>
          <w:rFonts w:cstheme="minorHAnsi"/>
          <w:b/>
          <w:sz w:val="24"/>
          <w:szCs w:val="24"/>
        </w:rPr>
        <w:t xml:space="preserve">Etat </w:t>
      </w:r>
    </w:p>
    <w:p w14:paraId="07E687FA" w14:textId="77777777" w:rsidR="00C847ED" w:rsidRDefault="00C847ED" w:rsidP="00C847ED">
      <w:pPr>
        <w:rPr>
          <w:rFonts w:cstheme="minorHAnsi"/>
          <w:sz w:val="24"/>
          <w:szCs w:val="24"/>
        </w:rPr>
      </w:pPr>
      <w:r w:rsidRPr="00C847ED">
        <w:rPr>
          <w:rFonts w:cstheme="minorHAnsi"/>
          <w:sz w:val="24"/>
          <w:szCs w:val="24"/>
        </w:rPr>
        <w:t>La Couverture Sanitaire Universelle</w:t>
      </w:r>
      <w:r>
        <w:rPr>
          <w:rFonts w:cstheme="minorHAnsi"/>
          <w:sz w:val="24"/>
          <w:szCs w:val="24"/>
        </w:rPr>
        <w:t xml:space="preserve">, parce qu’elle se veut universelle, requière une redistribution des moyens. Cette redistribution est le fait de l’Etat, que ce soit par l’impôt ou les prélèvements obligatoires. Qui plus est, le poids de la santé et des conditions de bien être dans l’économie est tel qu’une partie importante de la richesse doit être orientée vers elles. </w:t>
      </w:r>
    </w:p>
    <w:p w14:paraId="31FB39A5" w14:textId="77777777" w:rsidR="00CF451D" w:rsidRPr="00CF451D" w:rsidRDefault="00CF451D" w:rsidP="00C847ED">
      <w:pPr>
        <w:rPr>
          <w:rFonts w:cstheme="minorHAnsi"/>
          <w:i/>
          <w:sz w:val="24"/>
          <w:szCs w:val="24"/>
        </w:rPr>
      </w:pPr>
      <w:r w:rsidRPr="00CF451D">
        <w:rPr>
          <w:rFonts w:cstheme="minorHAnsi"/>
          <w:i/>
          <w:sz w:val="24"/>
          <w:szCs w:val="24"/>
        </w:rPr>
        <w:t>Objectif de dépenses publiques en santé :</w:t>
      </w:r>
    </w:p>
    <w:p w14:paraId="0DDF2EC9" w14:textId="77777777" w:rsidR="00C847ED" w:rsidRDefault="00C847ED" w:rsidP="00C847ED">
      <w:pPr>
        <w:rPr>
          <w:rFonts w:cstheme="minorHAnsi"/>
          <w:sz w:val="24"/>
          <w:szCs w:val="24"/>
        </w:rPr>
      </w:pPr>
      <w:r>
        <w:rPr>
          <w:rFonts w:cstheme="minorHAnsi"/>
          <w:sz w:val="24"/>
          <w:szCs w:val="24"/>
        </w:rPr>
        <w:t xml:space="preserve">La santé seule représente plus de 10% du PNB mondial ; or il ne s’agit pas dépenses non productives. Au contraire, il est prouvé que l’investissement en santé et une source de richesse, non seulement </w:t>
      </w:r>
      <w:r w:rsidR="00CF451D">
        <w:rPr>
          <w:rFonts w:cstheme="minorHAnsi"/>
          <w:sz w:val="24"/>
          <w:szCs w:val="24"/>
        </w:rPr>
        <w:t xml:space="preserve">parce que la bonne santé est une condition de capacité de production des individus, mais aussi parce que le secteur est un grand pourvoyeur d’emplois directs et indirects. </w:t>
      </w:r>
    </w:p>
    <w:p w14:paraId="46127F34" w14:textId="77777777" w:rsidR="00CF451D" w:rsidRDefault="00CF451D" w:rsidP="00C847ED">
      <w:pPr>
        <w:rPr>
          <w:rFonts w:cstheme="minorHAnsi"/>
          <w:sz w:val="24"/>
          <w:szCs w:val="24"/>
        </w:rPr>
      </w:pPr>
      <w:r>
        <w:rPr>
          <w:rFonts w:cstheme="minorHAnsi"/>
          <w:sz w:val="24"/>
          <w:szCs w:val="24"/>
        </w:rPr>
        <w:t>La récente déclaration sur la CSU aux Nations Unies déjà citée donne un objectif de 5% du PIB pour les dépenses publiques en santé. Aujourd’hui, le Niger s</w:t>
      </w:r>
      <w:r w:rsidR="00E630C0">
        <w:rPr>
          <w:rFonts w:cstheme="minorHAnsi"/>
          <w:sz w:val="24"/>
          <w:szCs w:val="24"/>
        </w:rPr>
        <w:t>’</w:t>
      </w:r>
      <w:r>
        <w:rPr>
          <w:rFonts w:cstheme="minorHAnsi"/>
          <w:sz w:val="24"/>
          <w:szCs w:val="24"/>
        </w:rPr>
        <w:t>e</w:t>
      </w:r>
      <w:r w:rsidR="00E630C0">
        <w:rPr>
          <w:rFonts w:cstheme="minorHAnsi"/>
          <w:sz w:val="24"/>
          <w:szCs w:val="24"/>
        </w:rPr>
        <w:t>st situé</w:t>
      </w:r>
      <w:r>
        <w:rPr>
          <w:rFonts w:cstheme="minorHAnsi"/>
          <w:sz w:val="24"/>
          <w:szCs w:val="24"/>
        </w:rPr>
        <w:t xml:space="preserve"> </w:t>
      </w:r>
      <w:r w:rsidR="00E972F3">
        <w:rPr>
          <w:rFonts w:cstheme="minorHAnsi"/>
          <w:sz w:val="24"/>
          <w:szCs w:val="24"/>
        </w:rPr>
        <w:t>légèrement au-dessus</w:t>
      </w:r>
      <w:r w:rsidRPr="00E972F3">
        <w:rPr>
          <w:rFonts w:cstheme="minorHAnsi"/>
          <w:sz w:val="24"/>
          <w:szCs w:val="24"/>
        </w:rPr>
        <w:t xml:space="preserve"> de 2%</w:t>
      </w:r>
      <w:r w:rsidR="00E630C0">
        <w:rPr>
          <w:rFonts w:cstheme="minorHAnsi"/>
          <w:sz w:val="24"/>
          <w:szCs w:val="24"/>
        </w:rPr>
        <w:t xml:space="preserve"> entre 2010 et 2016. D’après les CNS 2017, le dernier chiffre serait de 3.521%</w:t>
      </w:r>
      <w:r w:rsidR="00E630C0">
        <w:rPr>
          <w:rStyle w:val="Appelnotedebasdep"/>
          <w:rFonts w:cstheme="minorHAnsi"/>
          <w:sz w:val="24"/>
          <w:szCs w:val="24"/>
        </w:rPr>
        <w:footnoteReference w:id="12"/>
      </w:r>
      <w:r w:rsidRPr="00E972F3">
        <w:rPr>
          <w:rFonts w:cstheme="minorHAnsi"/>
          <w:sz w:val="24"/>
          <w:szCs w:val="24"/>
        </w:rPr>
        <w:t xml:space="preserve">. </w:t>
      </w:r>
      <w:r>
        <w:rPr>
          <w:rFonts w:cstheme="minorHAnsi"/>
          <w:sz w:val="24"/>
          <w:szCs w:val="24"/>
        </w:rPr>
        <w:t xml:space="preserve">Le tableau suivant montre </w:t>
      </w:r>
      <w:r w:rsidR="00E630C0">
        <w:rPr>
          <w:rFonts w:cstheme="minorHAnsi"/>
          <w:sz w:val="24"/>
          <w:szCs w:val="24"/>
        </w:rPr>
        <w:t xml:space="preserve">l’historique et </w:t>
      </w:r>
      <w:r>
        <w:rPr>
          <w:rFonts w:cstheme="minorHAnsi"/>
          <w:sz w:val="24"/>
          <w:szCs w:val="24"/>
        </w:rPr>
        <w:t>l’objectif d’évolution de ce taux dans l’optique d’atteindre l’engagement de la déclaration :</w:t>
      </w:r>
    </w:p>
    <w:p w14:paraId="4EA6D1D8" w14:textId="77777777" w:rsidR="00CF451D" w:rsidRPr="00CF451D" w:rsidRDefault="00CF451D" w:rsidP="00C847ED">
      <w:pPr>
        <w:rPr>
          <w:rFonts w:cstheme="minorHAnsi"/>
          <w:sz w:val="24"/>
          <w:szCs w:val="24"/>
          <w:u w:val="single"/>
        </w:rPr>
      </w:pPr>
      <w:r w:rsidRPr="00CF451D">
        <w:rPr>
          <w:rFonts w:cstheme="minorHAnsi"/>
          <w:sz w:val="24"/>
          <w:szCs w:val="24"/>
          <w:u w:val="single"/>
        </w:rPr>
        <w:t>Tableau : évolution de la part des dépenses publiques consacrées à la santé dans le PIB</w:t>
      </w:r>
      <w:r w:rsidR="00F31360">
        <w:rPr>
          <w:rStyle w:val="Appelnotedebasdep"/>
          <w:rFonts w:cstheme="minorHAnsi"/>
          <w:sz w:val="24"/>
          <w:szCs w:val="24"/>
          <w:u w:val="single"/>
        </w:rPr>
        <w:footnoteReference w:id="13"/>
      </w:r>
    </w:p>
    <w:p w14:paraId="70CD3125" w14:textId="77777777" w:rsidR="00CF451D" w:rsidRDefault="00EE2796" w:rsidP="00C847ED">
      <w:pPr>
        <w:rPr>
          <w:rFonts w:cstheme="minorHAnsi"/>
          <w:sz w:val="24"/>
          <w:szCs w:val="24"/>
        </w:rPr>
      </w:pPr>
      <w:r>
        <w:rPr>
          <w:rFonts w:cstheme="minorHAnsi"/>
          <w:noProof/>
          <w:sz w:val="24"/>
          <w:szCs w:val="24"/>
          <w:lang w:eastAsia="fr-FR"/>
        </w:rPr>
        <w:drawing>
          <wp:inline distT="0" distB="0" distL="0" distR="0" wp14:anchorId="47A8DDE6" wp14:editId="345595F9">
            <wp:extent cx="6261100" cy="1859280"/>
            <wp:effectExtent l="0" t="0" r="6350" b="7620"/>
            <wp:docPr id="32" name="Imag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261100" cy="1859280"/>
                    </a:xfrm>
                    <a:prstGeom prst="rect">
                      <a:avLst/>
                    </a:prstGeom>
                    <a:noFill/>
                  </pic:spPr>
                </pic:pic>
              </a:graphicData>
            </a:graphic>
          </wp:inline>
        </w:drawing>
      </w:r>
    </w:p>
    <w:p w14:paraId="0AE344F1" w14:textId="77777777" w:rsidR="00CF451D" w:rsidRDefault="00C32BEA" w:rsidP="00C847ED">
      <w:pPr>
        <w:rPr>
          <w:rFonts w:cstheme="minorHAnsi"/>
          <w:sz w:val="24"/>
          <w:szCs w:val="24"/>
        </w:rPr>
      </w:pPr>
      <w:r w:rsidRPr="00C32BEA">
        <w:rPr>
          <w:rFonts w:cstheme="minorHAnsi"/>
          <w:i/>
          <w:sz w:val="24"/>
          <w:szCs w:val="24"/>
          <w:u w:val="single"/>
        </w:rPr>
        <w:t>Source</w:t>
      </w:r>
      <w:r>
        <w:rPr>
          <w:rFonts w:cstheme="minorHAnsi"/>
          <w:sz w:val="24"/>
          <w:szCs w:val="24"/>
        </w:rPr>
        <w:t> : Comptes Nationaux de la Santé</w:t>
      </w:r>
    </w:p>
    <w:p w14:paraId="4BD885A0" w14:textId="77777777" w:rsidR="00CF451D" w:rsidRPr="00CF451D" w:rsidRDefault="00CF451D" w:rsidP="00C847ED">
      <w:pPr>
        <w:rPr>
          <w:rFonts w:cstheme="minorHAnsi"/>
          <w:i/>
          <w:sz w:val="24"/>
          <w:szCs w:val="24"/>
        </w:rPr>
      </w:pPr>
      <w:r w:rsidRPr="00CF451D">
        <w:rPr>
          <w:rFonts w:cstheme="minorHAnsi"/>
          <w:i/>
          <w:sz w:val="24"/>
          <w:szCs w:val="24"/>
        </w:rPr>
        <w:t>Objectif de dépenses publiques pour la CSU</w:t>
      </w:r>
    </w:p>
    <w:p w14:paraId="4C8B2E2E" w14:textId="77777777" w:rsidR="00CF451D" w:rsidRDefault="00CF451D" w:rsidP="00C847ED">
      <w:pPr>
        <w:rPr>
          <w:rFonts w:cstheme="minorHAnsi"/>
          <w:sz w:val="24"/>
          <w:szCs w:val="24"/>
        </w:rPr>
      </w:pPr>
      <w:r>
        <w:rPr>
          <w:rFonts w:cstheme="minorHAnsi"/>
          <w:sz w:val="24"/>
          <w:szCs w:val="24"/>
        </w:rPr>
        <w:t>Etendu à la CSU, cette réflexion explicite l’impérative nécessité et l’opportunité que représente pour l’Etat le financement de la CSU. Il s’agit en soit de financer le bien-être de la population, de le faire universellement – donc d’œuvrer pour la consolidation des fondements d’une société ou d’un Etat-nation -, et de le faire dans le cadre d’une économie productive, productive de bien-être.</w:t>
      </w:r>
    </w:p>
    <w:p w14:paraId="12777980" w14:textId="77777777" w:rsidR="00F31360" w:rsidRDefault="00CF451D">
      <w:pPr>
        <w:rPr>
          <w:rFonts w:cstheme="minorHAnsi"/>
          <w:sz w:val="24"/>
          <w:szCs w:val="24"/>
        </w:rPr>
      </w:pPr>
      <w:r w:rsidRPr="00C32BEA">
        <w:rPr>
          <w:rFonts w:cstheme="minorHAnsi"/>
          <w:sz w:val="24"/>
          <w:szCs w:val="24"/>
        </w:rPr>
        <w:t xml:space="preserve">L’initiative SUN </w:t>
      </w:r>
      <w:r w:rsidR="00C32BEA">
        <w:rPr>
          <w:rFonts w:cstheme="minorHAnsi"/>
          <w:sz w:val="24"/>
          <w:szCs w:val="24"/>
        </w:rPr>
        <w:t>propose</w:t>
      </w:r>
      <w:r w:rsidRPr="00C32BEA">
        <w:rPr>
          <w:rFonts w:cstheme="minorHAnsi"/>
          <w:sz w:val="24"/>
          <w:szCs w:val="24"/>
        </w:rPr>
        <w:t xml:space="preserve"> un suivi des dépenses de la lutte </w:t>
      </w:r>
      <w:r w:rsidR="00C32BEA">
        <w:rPr>
          <w:rFonts w:cstheme="minorHAnsi"/>
          <w:sz w:val="24"/>
          <w:szCs w:val="24"/>
        </w:rPr>
        <w:t xml:space="preserve">contre la malnutrition dans tous les secteurs avec une méthodologie intéressante qui pondère chaque intervention. </w:t>
      </w:r>
      <w:r>
        <w:rPr>
          <w:rFonts w:cstheme="minorHAnsi"/>
          <w:sz w:val="24"/>
          <w:szCs w:val="24"/>
        </w:rPr>
        <w:t xml:space="preserve">Un exercice de suivi du budget consacré à la CSU pourrait être fait, qui s’inspirera de la méthodologie développée dans le cadre de la lutte contre la malnutrition. </w:t>
      </w:r>
    </w:p>
    <w:p w14:paraId="0C7CCE5D" w14:textId="77777777" w:rsidR="00F31360" w:rsidRDefault="00F31360">
      <w:pPr>
        <w:rPr>
          <w:rFonts w:cstheme="minorHAnsi"/>
          <w:sz w:val="24"/>
          <w:szCs w:val="24"/>
        </w:rPr>
      </w:pPr>
      <w:r>
        <w:rPr>
          <w:rFonts w:cstheme="minorHAnsi"/>
          <w:sz w:val="24"/>
          <w:szCs w:val="24"/>
        </w:rPr>
        <w:br w:type="page"/>
      </w:r>
    </w:p>
    <w:p w14:paraId="2B05755E" w14:textId="77777777" w:rsidR="003F3FAC" w:rsidRDefault="00122B15" w:rsidP="00C32BEA">
      <w:pPr>
        <w:pStyle w:val="Titre2"/>
        <w:rPr>
          <w:rStyle w:val="Titre2Car"/>
          <w:b/>
          <w:bCs/>
        </w:rPr>
      </w:pPr>
      <w:bookmarkStart w:id="32" w:name="_Toc21449033"/>
      <w:r>
        <w:rPr>
          <w:rStyle w:val="Titre2Car"/>
          <w:b/>
          <w:bCs/>
        </w:rPr>
        <w:t>Hypothèse n°2 : l</w:t>
      </w:r>
      <w:r w:rsidR="003F3FAC" w:rsidRPr="00BF29A2">
        <w:rPr>
          <w:rStyle w:val="Titre2Car"/>
          <w:b/>
          <w:bCs/>
        </w:rPr>
        <w:t xml:space="preserve">e dialogue </w:t>
      </w:r>
      <w:r>
        <w:rPr>
          <w:rStyle w:val="Titre2Car"/>
          <w:b/>
          <w:bCs/>
        </w:rPr>
        <w:t xml:space="preserve">national dans toutes ses dimensions est amélioré, y compris le dialogue </w:t>
      </w:r>
      <w:r w:rsidR="003F3FAC" w:rsidRPr="00BF29A2">
        <w:rPr>
          <w:rStyle w:val="Titre2Car"/>
          <w:b/>
          <w:bCs/>
        </w:rPr>
        <w:t>politique, social et sociétal</w:t>
      </w:r>
      <w:r w:rsidR="00B835AF">
        <w:rPr>
          <w:rStyle w:val="Titre2Car"/>
          <w:b/>
          <w:bCs/>
        </w:rPr>
        <w:t>, et l’intégration de la problématique du genre</w:t>
      </w:r>
      <w:bookmarkEnd w:id="32"/>
      <w:r>
        <w:rPr>
          <w:rStyle w:val="Titre2Car"/>
          <w:b/>
          <w:bCs/>
        </w:rPr>
        <w:t xml:space="preserve"> </w:t>
      </w:r>
    </w:p>
    <w:p w14:paraId="0B7457BD" w14:textId="77777777" w:rsidR="00122B15" w:rsidRPr="00122B15" w:rsidRDefault="00122B15" w:rsidP="00122B15"/>
    <w:p w14:paraId="0956B72B" w14:textId="77777777" w:rsidR="003F3FAC" w:rsidRPr="002F723B" w:rsidRDefault="003F3FAC" w:rsidP="003F3FAC">
      <w:pPr>
        <w:pStyle w:val="Paragraphedeliste"/>
        <w:numPr>
          <w:ilvl w:val="1"/>
          <w:numId w:val="3"/>
        </w:numPr>
        <w:ind w:left="1843" w:hanging="425"/>
        <w:rPr>
          <w:rFonts w:cstheme="minorHAnsi"/>
          <w:b/>
          <w:sz w:val="24"/>
          <w:szCs w:val="24"/>
        </w:rPr>
      </w:pPr>
      <w:r w:rsidRPr="002F723B">
        <w:rPr>
          <w:rFonts w:cstheme="minorHAnsi"/>
          <w:b/>
          <w:sz w:val="24"/>
          <w:szCs w:val="24"/>
        </w:rPr>
        <w:t>L’intersectorialité</w:t>
      </w:r>
    </w:p>
    <w:p w14:paraId="5EBDA75D" w14:textId="77777777" w:rsidR="00CF451D" w:rsidRDefault="00CF451D" w:rsidP="00CF451D">
      <w:pPr>
        <w:rPr>
          <w:rFonts w:cstheme="minorHAnsi"/>
          <w:sz w:val="24"/>
          <w:szCs w:val="24"/>
        </w:rPr>
      </w:pPr>
      <w:r>
        <w:rPr>
          <w:rFonts w:cstheme="minorHAnsi"/>
          <w:sz w:val="24"/>
          <w:szCs w:val="24"/>
        </w:rPr>
        <w:t xml:space="preserve">La santé doit être de toutes les politiques, et la CSU est davantage encore une question d’intersectorialité. </w:t>
      </w:r>
    </w:p>
    <w:p w14:paraId="2CCA8436" w14:textId="77777777" w:rsidR="00CF451D" w:rsidRPr="00CF451D" w:rsidRDefault="00CF451D" w:rsidP="00CF451D">
      <w:pPr>
        <w:rPr>
          <w:rFonts w:cstheme="minorHAnsi"/>
          <w:sz w:val="24"/>
          <w:szCs w:val="24"/>
        </w:rPr>
      </w:pPr>
      <w:r>
        <w:rPr>
          <w:rFonts w:cstheme="minorHAnsi"/>
          <w:sz w:val="24"/>
          <w:szCs w:val="24"/>
        </w:rPr>
        <w:t>Une condition de réussite de la stratégie CSU tiendra à la capacité de l’administration à travailler de manière intersectorielle. Ceci signifie qu’il faut poursuivre les efforts pour trouver des moyens de collaborer entre Ministères et Institutions de l’Etat qui dépassent les cadres administratifs rigides</w:t>
      </w:r>
      <w:r w:rsidR="002F723B">
        <w:rPr>
          <w:rFonts w:cstheme="minorHAnsi"/>
          <w:sz w:val="24"/>
          <w:szCs w:val="24"/>
        </w:rPr>
        <w:t xml:space="preserve"> et développent des conditions de redevabilité – soit intersectoriels soit sectoriel dans le cadre d’activités intersectorielles (cf. également infra chapitre suivi/évaluation).</w:t>
      </w:r>
    </w:p>
    <w:p w14:paraId="703ED4E5" w14:textId="77777777" w:rsidR="003F3FAC" w:rsidRPr="002F723B" w:rsidRDefault="003F3FAC" w:rsidP="003F3FAC">
      <w:pPr>
        <w:pStyle w:val="Paragraphedeliste"/>
        <w:numPr>
          <w:ilvl w:val="1"/>
          <w:numId w:val="3"/>
        </w:numPr>
        <w:ind w:left="1843" w:hanging="425"/>
        <w:rPr>
          <w:rFonts w:cstheme="minorHAnsi"/>
          <w:b/>
          <w:sz w:val="24"/>
          <w:szCs w:val="24"/>
        </w:rPr>
      </w:pPr>
      <w:r w:rsidRPr="002F723B">
        <w:rPr>
          <w:rFonts w:cstheme="minorHAnsi"/>
          <w:b/>
          <w:sz w:val="24"/>
          <w:szCs w:val="24"/>
        </w:rPr>
        <w:t xml:space="preserve">Le dialogue </w:t>
      </w:r>
      <w:r w:rsidR="002F723B">
        <w:rPr>
          <w:rFonts w:cstheme="minorHAnsi"/>
          <w:b/>
          <w:sz w:val="24"/>
          <w:szCs w:val="24"/>
        </w:rPr>
        <w:t>social</w:t>
      </w:r>
      <w:r w:rsidRPr="002F723B">
        <w:rPr>
          <w:rFonts w:cstheme="minorHAnsi"/>
          <w:b/>
          <w:sz w:val="24"/>
          <w:szCs w:val="24"/>
        </w:rPr>
        <w:t xml:space="preserve"> et le partenariat public-privé</w:t>
      </w:r>
    </w:p>
    <w:p w14:paraId="357A47C2" w14:textId="77777777" w:rsidR="002F723B" w:rsidRDefault="002F723B" w:rsidP="002F723B">
      <w:pPr>
        <w:rPr>
          <w:rFonts w:cstheme="minorHAnsi"/>
          <w:sz w:val="24"/>
          <w:szCs w:val="24"/>
        </w:rPr>
      </w:pPr>
      <w:r>
        <w:rPr>
          <w:rFonts w:cstheme="minorHAnsi"/>
          <w:sz w:val="24"/>
          <w:szCs w:val="24"/>
        </w:rPr>
        <w:t>La CSU est un paradigme qui en appelle à la volonté politique mais qui ne peut être qu’un projet de société, soit un défi qui ne peut être porté que par la volonté du pays dans son ensemble d’aller vers le bien-être et d’y aller tous ensemble, c’est-à-dire en usant de solidarité.</w:t>
      </w:r>
    </w:p>
    <w:p w14:paraId="2F1FACFA" w14:textId="77777777" w:rsidR="002F723B" w:rsidRPr="002F723B" w:rsidRDefault="002F723B" w:rsidP="002F723B">
      <w:pPr>
        <w:rPr>
          <w:rFonts w:cstheme="minorHAnsi"/>
          <w:sz w:val="24"/>
          <w:szCs w:val="24"/>
        </w:rPr>
      </w:pPr>
      <w:r>
        <w:rPr>
          <w:rFonts w:cstheme="minorHAnsi"/>
          <w:sz w:val="24"/>
          <w:szCs w:val="24"/>
        </w:rPr>
        <w:t>Aussi le dialogue avec les corps constitués, avec les représentants des travailleurs, ou encore avec le secteur privé, est un dialogue qui doit être nourri pour que chacun tienne son rôle dans la tenue de l’objectif CSU.</w:t>
      </w:r>
    </w:p>
    <w:p w14:paraId="6D3BC1F1" w14:textId="77777777" w:rsidR="003F3FAC" w:rsidRPr="002F723B" w:rsidRDefault="003F3FAC" w:rsidP="003F3FAC">
      <w:pPr>
        <w:pStyle w:val="Paragraphedeliste"/>
        <w:numPr>
          <w:ilvl w:val="1"/>
          <w:numId w:val="3"/>
        </w:numPr>
        <w:ind w:left="1843" w:hanging="425"/>
        <w:rPr>
          <w:rFonts w:cstheme="minorHAnsi"/>
          <w:b/>
          <w:sz w:val="24"/>
          <w:szCs w:val="24"/>
        </w:rPr>
      </w:pPr>
      <w:r w:rsidRPr="002F723B">
        <w:rPr>
          <w:rFonts w:cstheme="minorHAnsi"/>
          <w:b/>
          <w:sz w:val="24"/>
          <w:szCs w:val="24"/>
        </w:rPr>
        <w:t>L’implication des populations</w:t>
      </w:r>
    </w:p>
    <w:p w14:paraId="288C3390" w14:textId="77777777" w:rsidR="002F723B" w:rsidRPr="002F723B" w:rsidRDefault="002F723B" w:rsidP="002F723B">
      <w:pPr>
        <w:rPr>
          <w:rFonts w:cstheme="minorHAnsi"/>
          <w:sz w:val="24"/>
          <w:szCs w:val="24"/>
        </w:rPr>
      </w:pPr>
      <w:r>
        <w:rPr>
          <w:rFonts w:cstheme="minorHAnsi"/>
          <w:sz w:val="24"/>
          <w:szCs w:val="24"/>
        </w:rPr>
        <w:t xml:space="preserve">Pour les mêmes raisons, les populations dans leur ensemble doivent faire partie du projet CSU. Celles-ci peuvent être impliquées notamment dans le cadre de la décentralisation, au niveau de la santé communautaire, dans le cadre des mutuelles de santé et autres guichets du tiers payant en santé ouverts </w:t>
      </w:r>
      <w:r w:rsidR="00EE2796">
        <w:rPr>
          <w:rFonts w:cstheme="minorHAnsi"/>
          <w:sz w:val="24"/>
          <w:szCs w:val="24"/>
        </w:rPr>
        <w:t>aux</w:t>
      </w:r>
      <w:r>
        <w:rPr>
          <w:rFonts w:cstheme="minorHAnsi"/>
          <w:sz w:val="24"/>
          <w:szCs w:val="24"/>
        </w:rPr>
        <w:t xml:space="preserve"> bénéficiaires, dans le dialogue avec les prestataires de services de santé…</w:t>
      </w:r>
      <w:r w:rsidR="00533028">
        <w:rPr>
          <w:rFonts w:cstheme="minorHAnsi"/>
          <w:sz w:val="24"/>
          <w:szCs w:val="24"/>
        </w:rPr>
        <w:t>Cela nécessitera l’adoption d’une nouvelle approche de la participation communautaire, qui mettrait mieux celle-ci au centre des actions de santé à la base.</w:t>
      </w:r>
    </w:p>
    <w:p w14:paraId="25A2DC47" w14:textId="77777777" w:rsidR="00B835AF" w:rsidRPr="002F723B" w:rsidRDefault="00B835AF" w:rsidP="003F3FAC">
      <w:pPr>
        <w:pStyle w:val="Paragraphedeliste"/>
        <w:numPr>
          <w:ilvl w:val="1"/>
          <w:numId w:val="3"/>
        </w:numPr>
        <w:ind w:left="1843" w:hanging="425"/>
        <w:rPr>
          <w:rFonts w:cstheme="minorHAnsi"/>
          <w:b/>
          <w:sz w:val="24"/>
          <w:szCs w:val="24"/>
        </w:rPr>
      </w:pPr>
      <w:r w:rsidRPr="002F723B">
        <w:rPr>
          <w:rFonts w:cstheme="minorHAnsi"/>
          <w:b/>
          <w:sz w:val="24"/>
          <w:szCs w:val="24"/>
        </w:rPr>
        <w:t>Prise en compte de la question du « genre »</w:t>
      </w:r>
    </w:p>
    <w:p w14:paraId="73E955C6" w14:textId="77777777" w:rsidR="008E735C" w:rsidRPr="00BF29A2" w:rsidRDefault="002F723B">
      <w:pPr>
        <w:rPr>
          <w:rFonts w:cstheme="minorHAnsi"/>
          <w:sz w:val="24"/>
          <w:szCs w:val="24"/>
        </w:rPr>
      </w:pPr>
      <w:r>
        <w:rPr>
          <w:rFonts w:cstheme="minorHAnsi"/>
          <w:sz w:val="24"/>
          <w:szCs w:val="24"/>
        </w:rPr>
        <w:t xml:space="preserve">Il a été dit que l’éducation est peut-être première dans l’atteinte de la CSU, parce que seuls une appréciation personnelle et </w:t>
      </w:r>
      <w:r w:rsidR="00442F08">
        <w:rPr>
          <w:rFonts w:cstheme="minorHAnsi"/>
          <w:sz w:val="24"/>
          <w:szCs w:val="24"/>
        </w:rPr>
        <w:t>un</w:t>
      </w:r>
      <w:r>
        <w:rPr>
          <w:rFonts w:cstheme="minorHAnsi"/>
          <w:sz w:val="24"/>
          <w:szCs w:val="24"/>
        </w:rPr>
        <w:t xml:space="preserve"> engagement individuel permettront à la population d’être en bonne santé. La question du genre s’inscrit dès l’éducation</w:t>
      </w:r>
      <w:r w:rsidR="00F951F9">
        <w:rPr>
          <w:rFonts w:cstheme="minorHAnsi"/>
          <w:sz w:val="24"/>
          <w:szCs w:val="24"/>
        </w:rPr>
        <w:t> : selon le Partenariat mondial pour l’éducation en 2015</w:t>
      </w:r>
      <w:r w:rsidR="00533028">
        <w:rPr>
          <w:rFonts w:cstheme="minorHAnsi"/>
          <w:sz w:val="24"/>
          <w:szCs w:val="24"/>
        </w:rPr>
        <w:t xml:space="preserve">, </w:t>
      </w:r>
      <w:r w:rsidR="00F951F9">
        <w:rPr>
          <w:rFonts w:cstheme="minorHAnsi"/>
          <w:sz w:val="24"/>
          <w:szCs w:val="24"/>
        </w:rPr>
        <w:t xml:space="preserve"> 62,2% des filles ont terminé l’école primaire contre 75,5% des garçons et le taux d’achèvement du premier cycle du secondaire s’élevait quant à lui à 13% pour les filles contre 18% pour les garçons</w:t>
      </w:r>
      <w:r>
        <w:rPr>
          <w:rFonts w:cstheme="minorHAnsi"/>
          <w:sz w:val="24"/>
          <w:szCs w:val="24"/>
        </w:rPr>
        <w:t>. Plus généralement, la préoccupation constante à la question de la participation des femmes à la stratégie CSU est une condition de réussite de celle-ci.</w:t>
      </w:r>
    </w:p>
    <w:p w14:paraId="598C7FCB" w14:textId="77777777" w:rsidR="003F3FAC" w:rsidRDefault="00122B15" w:rsidP="00FB412A">
      <w:pPr>
        <w:pStyle w:val="Titre2"/>
      </w:pPr>
      <w:bookmarkStart w:id="33" w:name="_Toc21449034"/>
      <w:r>
        <w:t>Hypothèse n°3 : les défis de la CSU étant profondément adaptatifs, tout est mis en œuvre pour un meilleur l</w:t>
      </w:r>
      <w:r w:rsidR="003F3FAC" w:rsidRPr="00BF29A2">
        <w:t>eadership</w:t>
      </w:r>
      <w:bookmarkEnd w:id="33"/>
      <w:r w:rsidR="008B7F98" w:rsidRPr="00BF29A2">
        <w:t xml:space="preserve"> </w:t>
      </w:r>
    </w:p>
    <w:p w14:paraId="7E0F7A1D" w14:textId="77777777" w:rsidR="00122B15" w:rsidRPr="00122B15" w:rsidRDefault="00122B15" w:rsidP="00122B15"/>
    <w:p w14:paraId="32CCB5E7" w14:textId="77777777" w:rsidR="003F3FAC" w:rsidRPr="00D069F1" w:rsidRDefault="0089724C" w:rsidP="00D069F1">
      <w:pPr>
        <w:pStyle w:val="Paragraphedeliste"/>
        <w:numPr>
          <w:ilvl w:val="0"/>
          <w:numId w:val="35"/>
        </w:numPr>
        <w:rPr>
          <w:rFonts w:cstheme="minorHAnsi"/>
          <w:i/>
          <w:sz w:val="24"/>
          <w:szCs w:val="24"/>
        </w:rPr>
      </w:pPr>
      <w:r>
        <w:rPr>
          <w:rFonts w:cstheme="minorHAnsi"/>
          <w:i/>
          <w:sz w:val="24"/>
          <w:szCs w:val="24"/>
        </w:rPr>
        <w:t xml:space="preserve">Leadership et </w:t>
      </w:r>
      <w:r w:rsidR="003F3FAC" w:rsidRPr="00D069F1">
        <w:rPr>
          <w:rFonts w:cstheme="minorHAnsi"/>
          <w:i/>
          <w:sz w:val="24"/>
          <w:szCs w:val="24"/>
        </w:rPr>
        <w:t>exemplarité</w:t>
      </w:r>
    </w:p>
    <w:p w14:paraId="726B330F" w14:textId="77777777" w:rsidR="0089724C" w:rsidRDefault="00D069F1" w:rsidP="00D069F1">
      <w:pPr>
        <w:rPr>
          <w:rFonts w:cstheme="minorHAnsi"/>
          <w:sz w:val="24"/>
          <w:szCs w:val="24"/>
        </w:rPr>
      </w:pPr>
      <w:r>
        <w:rPr>
          <w:rFonts w:cstheme="minorHAnsi"/>
          <w:sz w:val="24"/>
          <w:szCs w:val="24"/>
        </w:rPr>
        <w:t xml:space="preserve">Les différents diagnostics sectoriels et celui transversal de la CSU souligne l’importance du leadership pour avancer. Ceci peut être résumé par l’importance de la prise de conscience individuelle et la prise de responsabilités collectives </w:t>
      </w:r>
      <w:r w:rsidR="00DA72FF">
        <w:rPr>
          <w:rFonts w:cstheme="minorHAnsi"/>
          <w:sz w:val="24"/>
          <w:szCs w:val="24"/>
        </w:rPr>
        <w:t>sur la base de</w:t>
      </w:r>
      <w:r>
        <w:rPr>
          <w:rFonts w:cstheme="minorHAnsi"/>
          <w:sz w:val="24"/>
          <w:szCs w:val="24"/>
        </w:rPr>
        <w:t xml:space="preserve"> valeur</w:t>
      </w:r>
      <w:r w:rsidR="00DA72FF">
        <w:rPr>
          <w:rFonts w:cstheme="minorHAnsi"/>
          <w:sz w:val="24"/>
          <w:szCs w:val="24"/>
        </w:rPr>
        <w:t>s</w:t>
      </w:r>
      <w:r>
        <w:rPr>
          <w:rFonts w:cstheme="minorHAnsi"/>
          <w:sz w:val="24"/>
          <w:szCs w:val="24"/>
        </w:rPr>
        <w:t xml:space="preserve"> pour un changement national.</w:t>
      </w:r>
    </w:p>
    <w:p w14:paraId="1592C5FB" w14:textId="77777777" w:rsidR="00D069F1" w:rsidRDefault="0089724C" w:rsidP="00D069F1">
      <w:pPr>
        <w:rPr>
          <w:rFonts w:cstheme="minorHAnsi"/>
          <w:sz w:val="24"/>
          <w:szCs w:val="24"/>
        </w:rPr>
      </w:pPr>
      <w:r>
        <w:rPr>
          <w:rFonts w:cstheme="minorHAnsi"/>
          <w:sz w:val="24"/>
          <w:szCs w:val="24"/>
        </w:rPr>
        <w:t>La création d’une dynamique nationale en faveur de la CSU part alors de soi, en tant que chacun est acteur potentiel de changement et que le changement commence par soi. Si l</w:t>
      </w:r>
      <w:r w:rsidR="00D069F1">
        <w:rPr>
          <w:rFonts w:cstheme="minorHAnsi"/>
          <w:sz w:val="24"/>
          <w:szCs w:val="24"/>
        </w:rPr>
        <w:t xml:space="preserve">e leadership est appelé à jouer un rôle fondamental dans l’atteinte de la CSU, </w:t>
      </w:r>
      <w:r>
        <w:rPr>
          <w:rFonts w:cstheme="minorHAnsi"/>
          <w:sz w:val="24"/>
          <w:szCs w:val="24"/>
        </w:rPr>
        <w:t>c’est aussi</w:t>
      </w:r>
      <w:r w:rsidR="00D069F1">
        <w:rPr>
          <w:rFonts w:cstheme="minorHAnsi"/>
          <w:sz w:val="24"/>
          <w:szCs w:val="24"/>
        </w:rPr>
        <w:t xml:space="preserve"> par l’exemplarité. Chacun à son niveau doit se montrer en cohérence dans l’attention à sa </w:t>
      </w:r>
      <w:r>
        <w:rPr>
          <w:rFonts w:cstheme="minorHAnsi"/>
          <w:sz w:val="24"/>
          <w:szCs w:val="24"/>
        </w:rPr>
        <w:t>propre santé, et</w:t>
      </w:r>
      <w:r w:rsidR="00D069F1">
        <w:rPr>
          <w:rFonts w:cstheme="minorHAnsi"/>
          <w:sz w:val="24"/>
          <w:szCs w:val="24"/>
        </w:rPr>
        <w:t xml:space="preserve"> dans la recherche de performance et d’efficience de ses</w:t>
      </w:r>
      <w:r>
        <w:rPr>
          <w:rFonts w:cstheme="minorHAnsi"/>
          <w:sz w:val="24"/>
          <w:szCs w:val="24"/>
        </w:rPr>
        <w:t xml:space="preserve"> propres</w:t>
      </w:r>
      <w:r w:rsidR="00D069F1">
        <w:rPr>
          <w:rFonts w:cstheme="minorHAnsi"/>
          <w:sz w:val="24"/>
          <w:szCs w:val="24"/>
        </w:rPr>
        <w:t xml:space="preserve"> actions.</w:t>
      </w:r>
    </w:p>
    <w:p w14:paraId="3AC1E7A7" w14:textId="77777777" w:rsidR="0089724C" w:rsidRPr="00D069F1" w:rsidRDefault="0089724C" w:rsidP="00D069F1">
      <w:pPr>
        <w:rPr>
          <w:rFonts w:cstheme="minorHAnsi"/>
          <w:sz w:val="24"/>
          <w:szCs w:val="24"/>
        </w:rPr>
      </w:pPr>
      <w:r>
        <w:rPr>
          <w:rFonts w:cstheme="minorHAnsi"/>
          <w:sz w:val="24"/>
          <w:szCs w:val="24"/>
        </w:rPr>
        <w:t>L’engagement collectif peut alors se faire sur la base de l’écoute,</w:t>
      </w:r>
      <w:r w:rsidRPr="0089724C">
        <w:rPr>
          <w:rFonts w:cstheme="minorHAnsi"/>
          <w:sz w:val="24"/>
          <w:szCs w:val="24"/>
        </w:rPr>
        <w:t xml:space="preserve"> </w:t>
      </w:r>
      <w:r>
        <w:rPr>
          <w:rFonts w:cstheme="minorHAnsi"/>
          <w:sz w:val="24"/>
          <w:szCs w:val="24"/>
        </w:rPr>
        <w:t xml:space="preserve">de la compréhension de la perspective différente de l’autre dans ce domaine complexe et multiacteurs, de la réalité et de l’existant, et le meilleur chemin est pris pour aller de l’avant.  </w:t>
      </w:r>
    </w:p>
    <w:p w14:paraId="3BE0D7B9" w14:textId="77777777" w:rsidR="00D069F1" w:rsidRPr="00D069F1" w:rsidRDefault="003F3FAC" w:rsidP="00D069F1">
      <w:pPr>
        <w:pStyle w:val="Paragraphedeliste"/>
        <w:numPr>
          <w:ilvl w:val="0"/>
          <w:numId w:val="35"/>
        </w:numPr>
        <w:rPr>
          <w:rFonts w:cstheme="minorHAnsi"/>
          <w:i/>
          <w:sz w:val="24"/>
          <w:szCs w:val="24"/>
        </w:rPr>
      </w:pPr>
      <w:r w:rsidRPr="00D069F1">
        <w:rPr>
          <w:rFonts w:cstheme="minorHAnsi"/>
          <w:i/>
          <w:sz w:val="24"/>
          <w:szCs w:val="24"/>
        </w:rPr>
        <w:t>La responsabilité et la déontologie</w:t>
      </w:r>
    </w:p>
    <w:p w14:paraId="3BC096D2" w14:textId="77777777" w:rsidR="00B17550" w:rsidRDefault="00D069F1">
      <w:pPr>
        <w:rPr>
          <w:rFonts w:cstheme="minorHAnsi"/>
          <w:sz w:val="24"/>
          <w:szCs w:val="24"/>
        </w:rPr>
      </w:pPr>
      <w:r>
        <w:rPr>
          <w:rFonts w:cstheme="minorHAnsi"/>
          <w:sz w:val="24"/>
          <w:szCs w:val="24"/>
        </w:rPr>
        <w:t xml:space="preserve">Lorsqu’il s’agit de santé et plus généralement d’intervenir dans les domaines vitaux des populations, </w:t>
      </w:r>
      <w:r w:rsidR="0089724C">
        <w:rPr>
          <w:rFonts w:cstheme="minorHAnsi"/>
          <w:sz w:val="24"/>
          <w:szCs w:val="24"/>
        </w:rPr>
        <w:t xml:space="preserve">le leadership signifie aussi rapidement </w:t>
      </w:r>
      <w:r>
        <w:rPr>
          <w:rFonts w:cstheme="minorHAnsi"/>
          <w:sz w:val="24"/>
          <w:szCs w:val="24"/>
        </w:rPr>
        <w:t>la responsabilité et la déontologie. La prise en charge de l’individu, son éducation ou son accompagnement requièrent un haut niveau d’éthique.</w:t>
      </w:r>
    </w:p>
    <w:p w14:paraId="6666BC1F" w14:textId="77777777" w:rsidR="00FB412A" w:rsidRDefault="0089724C" w:rsidP="00FB412A">
      <w:pPr>
        <w:pStyle w:val="Titre2"/>
      </w:pPr>
      <w:bookmarkStart w:id="34" w:name="_Toc21449035"/>
      <w:r>
        <w:t>Hypothèse n°</w:t>
      </w:r>
      <w:r w:rsidR="00ED1638">
        <w:t>4</w:t>
      </w:r>
      <w:r>
        <w:t xml:space="preserve"> : </w:t>
      </w:r>
      <w:r w:rsidR="00FB412A" w:rsidRPr="00FB412A">
        <w:t xml:space="preserve">Evolution </w:t>
      </w:r>
      <w:r>
        <w:t>favorable</w:t>
      </w:r>
      <w:r w:rsidR="00FB412A" w:rsidRPr="00FB412A">
        <w:t xml:space="preserve"> de la société</w:t>
      </w:r>
      <w:r w:rsidR="000F7DCB">
        <w:t xml:space="preserve"> sur le plan démographique et éducatif / culturel</w:t>
      </w:r>
      <w:bookmarkEnd w:id="34"/>
    </w:p>
    <w:p w14:paraId="0E4BD632" w14:textId="77777777" w:rsidR="0089724C" w:rsidRPr="0089724C" w:rsidRDefault="0089724C" w:rsidP="0089724C"/>
    <w:p w14:paraId="0E64E2FB" w14:textId="77777777" w:rsidR="00FB412A" w:rsidRPr="00FB412A" w:rsidRDefault="00FB412A" w:rsidP="00FB412A">
      <w:pPr>
        <w:pStyle w:val="Paragraphedeliste"/>
        <w:numPr>
          <w:ilvl w:val="0"/>
          <w:numId w:val="45"/>
        </w:numPr>
        <w:rPr>
          <w:rFonts w:cstheme="minorHAnsi"/>
          <w:i/>
          <w:sz w:val="24"/>
          <w:szCs w:val="24"/>
        </w:rPr>
      </w:pPr>
      <w:r w:rsidRPr="00FB412A">
        <w:rPr>
          <w:rFonts w:cstheme="minorHAnsi"/>
          <w:i/>
          <w:sz w:val="24"/>
          <w:szCs w:val="24"/>
        </w:rPr>
        <w:t>Amélioration du dividende démographique</w:t>
      </w:r>
    </w:p>
    <w:p w14:paraId="4F646E1B" w14:textId="77777777" w:rsidR="00FB412A" w:rsidRDefault="00FB412A" w:rsidP="00FB412A">
      <w:pPr>
        <w:spacing w:after="160" w:line="259" w:lineRule="auto"/>
        <w:rPr>
          <w:rFonts w:cstheme="minorHAnsi"/>
          <w:sz w:val="24"/>
          <w:szCs w:val="24"/>
        </w:rPr>
      </w:pPr>
      <w:r>
        <w:rPr>
          <w:rFonts w:cstheme="minorHAnsi"/>
          <w:sz w:val="24"/>
          <w:szCs w:val="24"/>
        </w:rPr>
        <w:t xml:space="preserve">L’une des dimensions de la couverture sanitaire universelle est justement l’universalité. Le développement de la CSU est notamment jugé à l’aune de la population qui bénéficie de soins de santé de qualité sans encourir de difficulté financière. Dans ce cadre, le rapport entre la population qui participe à l’effort et la population qui bénéficie des avantages est crucial. Ce rapport n’est aujourd’hui que peu favorable au Niger, où </w:t>
      </w:r>
      <w:r w:rsidRPr="001040FA">
        <w:rPr>
          <w:rFonts w:cstheme="minorHAnsi"/>
          <w:sz w:val="24"/>
          <w:szCs w:val="24"/>
        </w:rPr>
        <w:t>La population se caractérise par sa jeunesse, 15 ans en moyenne, conséquence d’un taux de natalité très élevé. 19 % de la population est âgée de moins de 5 ans</w:t>
      </w:r>
      <w:r>
        <w:rPr>
          <w:rFonts w:cstheme="minorHAnsi"/>
          <w:sz w:val="24"/>
          <w:szCs w:val="24"/>
        </w:rPr>
        <w:t>.</w:t>
      </w:r>
    </w:p>
    <w:p w14:paraId="5AE0E11E" w14:textId="77777777" w:rsidR="00FB412A" w:rsidRPr="00DC4B54" w:rsidRDefault="00FB412A" w:rsidP="00FB412A">
      <w:pPr>
        <w:spacing w:after="160" w:line="259" w:lineRule="auto"/>
        <w:rPr>
          <w:rFonts w:cstheme="minorHAnsi"/>
          <w:sz w:val="24"/>
          <w:szCs w:val="24"/>
        </w:rPr>
      </w:pPr>
      <w:r>
        <w:rPr>
          <w:rFonts w:cstheme="minorHAnsi"/>
          <w:sz w:val="24"/>
          <w:szCs w:val="24"/>
        </w:rPr>
        <w:t>Aussi dans un contexte de contraintes au niveau des ressources, et dans un environnement menacé par le changement climatique et autres pressions extérieures, une meilleur maîtrise du taux « personnes productives / personnes dépendantes » sera un atout certain. Ceci passe avant tout par l’éducation, mais peut faire l’objet de stratégies multiples, que le paradigme de CSU peut aider à porter.</w:t>
      </w:r>
    </w:p>
    <w:p w14:paraId="0029178A" w14:textId="77777777" w:rsidR="00FB412A" w:rsidRPr="00FB412A" w:rsidRDefault="00FB412A" w:rsidP="00FB412A">
      <w:pPr>
        <w:pStyle w:val="Paragraphedeliste"/>
        <w:numPr>
          <w:ilvl w:val="0"/>
          <w:numId w:val="45"/>
        </w:numPr>
        <w:spacing w:after="160" w:line="259" w:lineRule="auto"/>
        <w:rPr>
          <w:rFonts w:cstheme="minorHAnsi"/>
          <w:i/>
          <w:sz w:val="24"/>
          <w:szCs w:val="24"/>
        </w:rPr>
      </w:pPr>
      <w:r w:rsidRPr="00FB412A">
        <w:rPr>
          <w:rFonts w:cstheme="minorHAnsi"/>
          <w:i/>
          <w:sz w:val="24"/>
          <w:szCs w:val="24"/>
        </w:rPr>
        <w:t>rôle transversal de l’éducation et des conceptions culturelles</w:t>
      </w:r>
    </w:p>
    <w:p w14:paraId="4378C23A" w14:textId="77777777" w:rsidR="00FB412A" w:rsidRDefault="00FB412A" w:rsidP="00FB412A">
      <w:pPr>
        <w:rPr>
          <w:rFonts w:cstheme="minorHAnsi"/>
          <w:sz w:val="24"/>
          <w:szCs w:val="24"/>
        </w:rPr>
      </w:pPr>
      <w:r>
        <w:rPr>
          <w:rFonts w:cstheme="minorHAnsi"/>
          <w:sz w:val="24"/>
          <w:szCs w:val="24"/>
        </w:rPr>
        <w:t>Le rôle de l’éducation dans les progrès de la Couverture Sanitaire Universelle mérite d’être mentionné en soit. La santé n’oublie jamais de parler d’éducation à la santé. L’eau, l’hygiène et l’assainissement mentionne l’éducation en matière d’hygiène et autre conditions d’accès à l’eau potable. La lutte contre la malnutrition passe également par l’éducation. De même la maîtrise de la démographie ne peut être que la résultante de choix personnels qui évoluent souvent avec l’éducation. Finalement elle est première en tout, et la CSU ne saurait être atteinte sans une attention spécifique des politiques publiques en matière d’éducation.</w:t>
      </w:r>
    </w:p>
    <w:p w14:paraId="0AC014A6" w14:textId="77777777" w:rsidR="00FB412A" w:rsidRDefault="00FB412A">
      <w:pPr>
        <w:rPr>
          <w:rFonts w:cstheme="minorHAnsi"/>
          <w:sz w:val="24"/>
          <w:szCs w:val="24"/>
        </w:rPr>
      </w:pPr>
      <w:r>
        <w:rPr>
          <w:rFonts w:cstheme="minorHAnsi"/>
          <w:sz w:val="24"/>
          <w:szCs w:val="24"/>
        </w:rPr>
        <w:t>Au fondement de l’éducation se trouvent également</w:t>
      </w:r>
      <w:r w:rsidRPr="00FB412A">
        <w:rPr>
          <w:rFonts w:cstheme="minorHAnsi"/>
          <w:sz w:val="24"/>
          <w:szCs w:val="24"/>
        </w:rPr>
        <w:t xml:space="preserve"> la religion et</w:t>
      </w:r>
      <w:r>
        <w:rPr>
          <w:rFonts w:cstheme="minorHAnsi"/>
          <w:sz w:val="24"/>
          <w:szCs w:val="24"/>
        </w:rPr>
        <w:t xml:space="preserve"> les</w:t>
      </w:r>
      <w:r w:rsidRPr="00FB412A">
        <w:rPr>
          <w:rFonts w:cstheme="minorHAnsi"/>
          <w:sz w:val="24"/>
          <w:szCs w:val="24"/>
        </w:rPr>
        <w:t xml:space="preserve"> autres conceptions culturelles</w:t>
      </w:r>
      <w:r>
        <w:rPr>
          <w:rFonts w:cstheme="minorHAnsi"/>
          <w:sz w:val="24"/>
          <w:szCs w:val="24"/>
        </w:rPr>
        <w:t xml:space="preserve"> de la population. Celles-ci peuvent être des conditions positives ou négatives</w:t>
      </w:r>
      <w:r w:rsidR="00AA792B">
        <w:rPr>
          <w:rFonts w:cstheme="minorHAnsi"/>
          <w:sz w:val="24"/>
          <w:szCs w:val="24"/>
        </w:rPr>
        <w:t xml:space="preserve"> pour évoluer</w:t>
      </w:r>
      <w:r>
        <w:rPr>
          <w:rFonts w:cstheme="minorHAnsi"/>
          <w:sz w:val="24"/>
          <w:szCs w:val="24"/>
        </w:rPr>
        <w:t xml:space="preserve"> vers un état de bien-être. </w:t>
      </w:r>
      <w:r w:rsidR="00ED1638">
        <w:rPr>
          <w:rFonts w:cstheme="minorHAnsi"/>
          <w:sz w:val="24"/>
          <w:szCs w:val="24"/>
        </w:rPr>
        <w:t>Chacun doit veiller à ce que la religion et les autres concepti</w:t>
      </w:r>
      <w:r w:rsidR="00442F08">
        <w:rPr>
          <w:rFonts w:cstheme="minorHAnsi"/>
          <w:sz w:val="24"/>
          <w:szCs w:val="24"/>
        </w:rPr>
        <w:t>ons culturelles servent le bien-</w:t>
      </w:r>
      <w:r w:rsidR="00ED1638">
        <w:rPr>
          <w:rFonts w:cstheme="minorHAnsi"/>
          <w:sz w:val="24"/>
          <w:szCs w:val="24"/>
        </w:rPr>
        <w:t>être de l’individu et la bonne santé de chacun et de tous.</w:t>
      </w:r>
    </w:p>
    <w:p w14:paraId="05E4E38C" w14:textId="77777777" w:rsidR="00122B15" w:rsidRDefault="00122B15" w:rsidP="00122B15">
      <w:pPr>
        <w:pStyle w:val="Titre2"/>
      </w:pPr>
      <w:bookmarkStart w:id="35" w:name="_Toc21449036"/>
      <w:r>
        <w:t>Risques</w:t>
      </w:r>
      <w:bookmarkEnd w:id="35"/>
    </w:p>
    <w:p w14:paraId="38FA3106" w14:textId="77777777" w:rsidR="0089724C" w:rsidRPr="0089724C" w:rsidRDefault="0089724C" w:rsidP="0089724C"/>
    <w:p w14:paraId="713791BD" w14:textId="77777777" w:rsidR="00122B15" w:rsidRPr="00122B15" w:rsidRDefault="00122B15" w:rsidP="00122B15">
      <w:pPr>
        <w:spacing w:after="240"/>
        <w:jc w:val="both"/>
        <w:rPr>
          <w:rFonts w:cstheme="minorHAnsi"/>
          <w:sz w:val="24"/>
          <w:szCs w:val="24"/>
        </w:rPr>
      </w:pPr>
      <w:r w:rsidRPr="00122B15">
        <w:rPr>
          <w:rFonts w:cstheme="minorHAnsi"/>
          <w:sz w:val="24"/>
          <w:szCs w:val="24"/>
        </w:rPr>
        <w:t xml:space="preserve">Les principaux risques dans l’atteinte de l’objectif général de la stratégie sont d’ordre </w:t>
      </w:r>
      <w:r w:rsidR="00DA72FF">
        <w:rPr>
          <w:rFonts w:cstheme="minorHAnsi"/>
          <w:sz w:val="24"/>
          <w:szCs w:val="24"/>
        </w:rPr>
        <w:t>é</w:t>
      </w:r>
      <w:r w:rsidRPr="00122B15">
        <w:rPr>
          <w:rFonts w:cstheme="minorHAnsi"/>
          <w:sz w:val="24"/>
          <w:szCs w:val="24"/>
        </w:rPr>
        <w:t>pidémique, financier, climatique</w:t>
      </w:r>
      <w:r w:rsidR="00DA72FF">
        <w:rPr>
          <w:rFonts w:cstheme="minorHAnsi"/>
          <w:sz w:val="24"/>
          <w:szCs w:val="24"/>
        </w:rPr>
        <w:t xml:space="preserve"> et sécuritaire</w:t>
      </w:r>
      <w:r w:rsidRPr="00122B15">
        <w:rPr>
          <w:rFonts w:cstheme="minorHAnsi"/>
          <w:sz w:val="24"/>
          <w:szCs w:val="24"/>
        </w:rPr>
        <w:t>.</w:t>
      </w:r>
    </w:p>
    <w:p w14:paraId="7BDEE256" w14:textId="77777777" w:rsidR="00122B15" w:rsidRPr="00122B15" w:rsidRDefault="00122B15" w:rsidP="00122B15">
      <w:pPr>
        <w:jc w:val="both"/>
        <w:rPr>
          <w:rFonts w:cstheme="minorHAnsi"/>
          <w:sz w:val="24"/>
          <w:szCs w:val="24"/>
        </w:rPr>
      </w:pPr>
      <w:r w:rsidRPr="00122B15">
        <w:rPr>
          <w:rFonts w:cstheme="minorHAnsi"/>
          <w:sz w:val="24"/>
          <w:szCs w:val="24"/>
        </w:rPr>
        <w:t xml:space="preserve">Le risque Sanitaire/ Epidémique : La situation qui prévaut dans les pays voisins, rend le Niger vulnérable sur le plan sanitaire. En effet les déplacements des populations à cause de l’insécurité peuvent être des sources de propagation des maladies, de la malnutrition des réfugiés (enfants et femmes) et même des autochtones   ayant accueillies et nourri les réfugiés en attendant l’aide de l’état et des partenaires.  </w:t>
      </w:r>
    </w:p>
    <w:p w14:paraId="309E05FD" w14:textId="77777777" w:rsidR="00122B15" w:rsidRPr="00122B15" w:rsidRDefault="00122B15" w:rsidP="00122B15">
      <w:pPr>
        <w:jc w:val="both"/>
        <w:rPr>
          <w:rFonts w:cstheme="minorHAnsi"/>
          <w:sz w:val="24"/>
          <w:szCs w:val="24"/>
        </w:rPr>
      </w:pPr>
      <w:r w:rsidRPr="00122B15">
        <w:rPr>
          <w:rFonts w:cstheme="minorHAnsi"/>
          <w:sz w:val="24"/>
          <w:szCs w:val="24"/>
        </w:rPr>
        <w:t xml:space="preserve">Le risque financier est principalement lié à la crise économique et financière mondiale. Cette crise peut affecter les pays amis et réduire le volume de l’aide publique au développement. Le risque financier pourrait être atténué si le Niger consent plus d’efforts dans la mobilisation des ressources internes et s’il diversifie ses partenaires. </w:t>
      </w:r>
    </w:p>
    <w:p w14:paraId="3958816B" w14:textId="77777777" w:rsidR="00122B15" w:rsidRPr="00122B15" w:rsidRDefault="00122B15" w:rsidP="00122B15">
      <w:pPr>
        <w:jc w:val="both"/>
        <w:rPr>
          <w:rFonts w:cstheme="minorHAnsi"/>
          <w:sz w:val="24"/>
          <w:szCs w:val="24"/>
        </w:rPr>
      </w:pPr>
      <w:r w:rsidRPr="00122B15">
        <w:rPr>
          <w:rFonts w:cstheme="minorHAnsi"/>
          <w:sz w:val="24"/>
          <w:szCs w:val="24"/>
        </w:rPr>
        <w:t>Quant au risque climatique, les changements du climat observés ces dernières années ont des effets négatifs sur la production agricole et animale. Ces effets ont pour conséquences, la baisse de productivité /mortalité des animaux ainsi  que  dans le domaine Agricole. L’indisponibilité en quantité et qualité entraine forcément la malnutrition et le développement de certaines maladies.</w:t>
      </w:r>
    </w:p>
    <w:p w14:paraId="1369BCCA" w14:textId="77777777" w:rsidR="00442F08" w:rsidRPr="00122B15" w:rsidRDefault="00442F08" w:rsidP="00442F08">
      <w:pPr>
        <w:jc w:val="both"/>
        <w:rPr>
          <w:rFonts w:cstheme="minorHAnsi"/>
          <w:sz w:val="24"/>
          <w:szCs w:val="24"/>
        </w:rPr>
      </w:pPr>
      <w:r>
        <w:rPr>
          <w:rFonts w:cstheme="minorHAnsi"/>
          <w:sz w:val="24"/>
          <w:szCs w:val="24"/>
        </w:rPr>
        <w:t>Si l</w:t>
      </w:r>
      <w:r w:rsidR="001F0071">
        <w:rPr>
          <w:rFonts w:cstheme="minorHAnsi"/>
          <w:sz w:val="24"/>
          <w:szCs w:val="24"/>
        </w:rPr>
        <w:t>a pression sur sécurité nationale</w:t>
      </w:r>
      <w:r>
        <w:rPr>
          <w:rFonts w:cstheme="minorHAnsi"/>
          <w:sz w:val="24"/>
          <w:szCs w:val="24"/>
        </w:rPr>
        <w:t xml:space="preserve"> perdure, il y a</w:t>
      </w:r>
      <w:r w:rsidR="001F0071">
        <w:rPr>
          <w:rFonts w:cstheme="minorHAnsi"/>
          <w:sz w:val="24"/>
          <w:szCs w:val="24"/>
        </w:rPr>
        <w:t>ura</w:t>
      </w:r>
      <w:r>
        <w:rPr>
          <w:rFonts w:cstheme="minorHAnsi"/>
          <w:sz w:val="24"/>
          <w:szCs w:val="24"/>
        </w:rPr>
        <w:t xml:space="preserve"> une conséquence directe non seulement sur la production de la richesse nationale mais aussi sa redistribution qui risque de se faire au détriment des secteurs sociaux dont la santé.</w:t>
      </w:r>
    </w:p>
    <w:p w14:paraId="5A7C5FD5" w14:textId="77777777" w:rsidR="00122B15" w:rsidRPr="00122B15" w:rsidRDefault="00122B15" w:rsidP="00122B15">
      <w:pPr>
        <w:jc w:val="both"/>
        <w:rPr>
          <w:rFonts w:cstheme="minorHAnsi"/>
          <w:sz w:val="24"/>
          <w:szCs w:val="24"/>
        </w:rPr>
      </w:pPr>
      <w:r w:rsidRPr="00122B15">
        <w:rPr>
          <w:rFonts w:cstheme="minorHAnsi"/>
          <w:sz w:val="24"/>
          <w:szCs w:val="24"/>
        </w:rPr>
        <w:t>La mise en œuvre de la SDDE permettra d’atténuer ce risque à travers la modernisation des modes de production et la prévention des risques</w:t>
      </w:r>
    </w:p>
    <w:p w14:paraId="70754F09" w14:textId="77777777" w:rsidR="00BF29A2" w:rsidRPr="00BF29A2" w:rsidRDefault="003F3FAC" w:rsidP="00F64372">
      <w:pPr>
        <w:pStyle w:val="Titre1"/>
      </w:pPr>
      <w:bookmarkStart w:id="36" w:name="_Toc21449037"/>
      <w:r w:rsidRPr="00BF29A2">
        <w:t>Le cadre de</w:t>
      </w:r>
      <w:r w:rsidR="00AA792B">
        <w:t xml:space="preserve"> mise en œuvre et de </w:t>
      </w:r>
      <w:r w:rsidRPr="00BF29A2">
        <w:t xml:space="preserve"> suivi-évaluation de la stratégie CSU</w:t>
      </w:r>
      <w:bookmarkEnd w:id="36"/>
      <w:r w:rsidRPr="00BF29A2">
        <w:t xml:space="preserve"> </w:t>
      </w:r>
    </w:p>
    <w:p w14:paraId="5F65F23F" w14:textId="77777777" w:rsidR="003F3FAC" w:rsidRDefault="003F3FAC" w:rsidP="00D069F1">
      <w:pPr>
        <w:pStyle w:val="Titre2"/>
      </w:pPr>
      <w:bookmarkStart w:id="37" w:name="_Toc21449038"/>
      <w:r w:rsidRPr="00BF29A2">
        <w:t>Les cadres de</w:t>
      </w:r>
      <w:r w:rsidR="00AA792B">
        <w:t xml:space="preserve"> mise en œuvre et de </w:t>
      </w:r>
      <w:r w:rsidRPr="00BF29A2">
        <w:t>suivi sectoriel</w:t>
      </w:r>
      <w:bookmarkEnd w:id="37"/>
    </w:p>
    <w:p w14:paraId="650B3CF7" w14:textId="77777777" w:rsidR="00D069F1" w:rsidRDefault="00D069F1" w:rsidP="00D069F1">
      <w:pPr>
        <w:rPr>
          <w:rFonts w:cstheme="minorHAnsi"/>
          <w:sz w:val="24"/>
          <w:szCs w:val="24"/>
        </w:rPr>
      </w:pPr>
      <w:r w:rsidRPr="00D069F1">
        <w:rPr>
          <w:rFonts w:cstheme="minorHAnsi"/>
          <w:sz w:val="24"/>
          <w:szCs w:val="24"/>
        </w:rPr>
        <w:t>La redevabilité concerne les dispositions formelles qui assurent la responsabilité. Au Ministère de la Santé, il y a ceux instaurés par la cour des compte</w:t>
      </w:r>
      <w:r w:rsidR="00422AF9">
        <w:rPr>
          <w:rFonts w:cstheme="minorHAnsi"/>
          <w:sz w:val="24"/>
          <w:szCs w:val="24"/>
        </w:rPr>
        <w:t>s</w:t>
      </w:r>
      <w:r w:rsidRPr="00D069F1">
        <w:rPr>
          <w:rFonts w:cstheme="minorHAnsi"/>
          <w:sz w:val="24"/>
          <w:szCs w:val="24"/>
        </w:rPr>
        <w:t xml:space="preserve"> et le PDES à travers la mise en place d'un mécanisme de contrôle des dépenses à postériori et l’existence d’un pôle de suivi conjoint de mise en œuvre du PDES (obligation de produire </w:t>
      </w:r>
      <w:r w:rsidR="00F717B7">
        <w:rPr>
          <w:rFonts w:cstheme="minorHAnsi"/>
          <w:sz w:val="24"/>
          <w:szCs w:val="24"/>
        </w:rPr>
        <w:t xml:space="preserve">le </w:t>
      </w:r>
      <w:r w:rsidRPr="00D069F1">
        <w:rPr>
          <w:rFonts w:cstheme="minorHAnsi"/>
          <w:sz w:val="24"/>
          <w:szCs w:val="24"/>
        </w:rPr>
        <w:t>RAP et existence</w:t>
      </w:r>
      <w:r w:rsidR="00F717B7">
        <w:rPr>
          <w:rFonts w:cstheme="minorHAnsi"/>
          <w:sz w:val="24"/>
          <w:szCs w:val="24"/>
        </w:rPr>
        <w:t xml:space="preserve"> du</w:t>
      </w:r>
      <w:r w:rsidRPr="00D069F1">
        <w:rPr>
          <w:rFonts w:cstheme="minorHAnsi"/>
          <w:sz w:val="24"/>
          <w:szCs w:val="24"/>
        </w:rPr>
        <w:t xml:space="preserve"> RAMO) mais aussi ceux </w:t>
      </w:r>
      <w:r w:rsidR="00B226D6" w:rsidRPr="00D069F1">
        <w:rPr>
          <w:rFonts w:cstheme="minorHAnsi"/>
          <w:sz w:val="24"/>
          <w:szCs w:val="24"/>
        </w:rPr>
        <w:t>instaur</w:t>
      </w:r>
      <w:r w:rsidR="00B226D6">
        <w:rPr>
          <w:rFonts w:cstheme="minorHAnsi"/>
          <w:sz w:val="24"/>
          <w:szCs w:val="24"/>
        </w:rPr>
        <w:t>é</w:t>
      </w:r>
      <w:r w:rsidR="00B226D6" w:rsidRPr="00D069F1">
        <w:rPr>
          <w:rFonts w:cstheme="minorHAnsi"/>
          <w:sz w:val="24"/>
          <w:szCs w:val="24"/>
        </w:rPr>
        <w:t xml:space="preserve">s </w:t>
      </w:r>
      <w:r w:rsidRPr="00D069F1">
        <w:rPr>
          <w:rFonts w:cstheme="minorHAnsi"/>
          <w:sz w:val="24"/>
          <w:szCs w:val="24"/>
        </w:rPr>
        <w:t xml:space="preserve">par le ministère de la </w:t>
      </w:r>
      <w:r w:rsidR="00B226D6" w:rsidRPr="00D069F1">
        <w:rPr>
          <w:rFonts w:cstheme="minorHAnsi"/>
          <w:sz w:val="24"/>
          <w:szCs w:val="24"/>
        </w:rPr>
        <w:t>sant</w:t>
      </w:r>
      <w:r w:rsidR="00B226D6">
        <w:rPr>
          <w:rFonts w:cstheme="minorHAnsi"/>
          <w:sz w:val="24"/>
          <w:szCs w:val="24"/>
        </w:rPr>
        <w:t>é</w:t>
      </w:r>
      <w:r w:rsidR="00B226D6" w:rsidRPr="00D069F1">
        <w:rPr>
          <w:rFonts w:cstheme="minorHAnsi"/>
          <w:sz w:val="24"/>
          <w:szCs w:val="24"/>
        </w:rPr>
        <w:t xml:space="preserve"> </w:t>
      </w:r>
      <w:r w:rsidRPr="00D069F1">
        <w:rPr>
          <w:rFonts w:cstheme="minorHAnsi"/>
          <w:sz w:val="24"/>
          <w:szCs w:val="24"/>
        </w:rPr>
        <w:t>et ses partenaires en particulier le FCS (cadre de concertation (CNS, CTNS), contrats de performance qui lient les structures sanitaires au FC</w:t>
      </w:r>
      <w:r w:rsidR="00E4665A">
        <w:rPr>
          <w:rFonts w:cstheme="minorHAnsi"/>
          <w:sz w:val="24"/>
          <w:szCs w:val="24"/>
        </w:rPr>
        <w:t>S</w:t>
      </w:r>
      <w:r w:rsidRPr="00D069F1">
        <w:rPr>
          <w:rFonts w:cstheme="minorHAnsi"/>
          <w:sz w:val="24"/>
          <w:szCs w:val="24"/>
        </w:rPr>
        <w:t xml:space="preserve">). Chaque secteur dispose ainsi de ces cadres, plus ou moins performants. Un enjeu important consistera à </w:t>
      </w:r>
      <w:r w:rsidR="00EE2796">
        <w:rPr>
          <w:rFonts w:cstheme="minorHAnsi"/>
          <w:sz w:val="24"/>
          <w:szCs w:val="24"/>
        </w:rPr>
        <w:t>les améliorer, comme le prévoi</w:t>
      </w:r>
      <w:r w:rsidRPr="00D069F1">
        <w:rPr>
          <w:rFonts w:cstheme="minorHAnsi"/>
          <w:sz w:val="24"/>
          <w:szCs w:val="24"/>
        </w:rPr>
        <w:t>t notamment la refonte du système de gratuité ou la réforme des budget-programme.</w:t>
      </w:r>
    </w:p>
    <w:p w14:paraId="7B2EC703" w14:textId="77777777" w:rsidR="00AA792B" w:rsidRPr="00147593" w:rsidRDefault="00147593" w:rsidP="00D069F1">
      <w:pPr>
        <w:rPr>
          <w:rFonts w:cstheme="minorHAnsi"/>
          <w:color w:val="FF0000"/>
          <w:sz w:val="24"/>
          <w:szCs w:val="24"/>
        </w:rPr>
      </w:pPr>
      <w:r w:rsidRPr="00147593">
        <w:rPr>
          <w:rFonts w:cstheme="minorHAnsi"/>
          <w:color w:val="FF0000"/>
          <w:sz w:val="24"/>
          <w:szCs w:val="24"/>
        </w:rPr>
        <w:t>La problématique de l’accès à l’eau potable, de l’hygiène et de l’assainissement dispose également de ses cadres de suivi. De plus l’amélioration de l’état nutritionnel de la population et la protection sociale en santé sont traités dans des cadres sectoriels et multisectoriels.</w:t>
      </w:r>
    </w:p>
    <w:p w14:paraId="4C95C4E3" w14:textId="77777777" w:rsidR="003F3FAC" w:rsidRDefault="003F3FAC" w:rsidP="00D069F1">
      <w:pPr>
        <w:pStyle w:val="Titre2"/>
      </w:pPr>
      <w:bookmarkStart w:id="38" w:name="_Toc21449039"/>
      <w:r w:rsidRPr="00BF29A2">
        <w:t>Le cadre de suivi</w:t>
      </w:r>
      <w:r w:rsidR="00B17550">
        <w:t>- évaluation</w:t>
      </w:r>
      <w:r w:rsidRPr="00BF29A2">
        <w:t xml:space="preserve"> de la CSU</w:t>
      </w:r>
      <w:bookmarkEnd w:id="38"/>
      <w:r w:rsidRPr="00BF29A2">
        <w:t xml:space="preserve"> </w:t>
      </w:r>
    </w:p>
    <w:p w14:paraId="28AF099D" w14:textId="77777777" w:rsidR="00B17550" w:rsidRDefault="00B17550" w:rsidP="00D069F1">
      <w:r>
        <w:t>Un Groupe de Travail National sur la CSU a été créé par l’arrêté 232/PM du 5 Décembre 2014. Le GTN est largement intersectoriel et présidé par le Secrétaire Général du Ministère de la Santé Publique. Il est l’organe d’orientation de tous les acteurs de la CSU au Niger avec pouvoirs de coordination, de pilotage du processus de mise en œuvre et de contrôle de l’exécution des programmes. A ce titre, il est responsable du suivi de la mise en œuvre de la présente stratégie CSU.</w:t>
      </w:r>
      <w:r w:rsidR="00E14ADB">
        <w:t xml:space="preserve"> </w:t>
      </w:r>
      <w:r w:rsidR="00442F08">
        <w:t>Dans</w:t>
      </w:r>
      <w:r w:rsidR="00E14ADB">
        <w:t xml:space="preserve"> le court terme</w:t>
      </w:r>
      <w:r w:rsidR="00442F08">
        <w:t>, des rencontres de suivi devront avoir lieu</w:t>
      </w:r>
      <w:r w:rsidR="00E14ADB">
        <w:t xml:space="preserve"> tous les 6 mois</w:t>
      </w:r>
      <w:r w:rsidR="00442F08">
        <w:t> ; par la suite, les rencontres seront annuelles.</w:t>
      </w:r>
    </w:p>
    <w:p w14:paraId="5E109B02" w14:textId="77777777" w:rsidR="00B17550" w:rsidRDefault="00B17550" w:rsidP="00D069F1">
      <w:r>
        <w:t>Cependant, la présente stratégie CSU doit être également suivie et éva</w:t>
      </w:r>
      <w:r w:rsidR="00442F08">
        <w:t>luée</w:t>
      </w:r>
      <w:r>
        <w:t xml:space="preserve"> au niveau politique ; ce sera au niveau du gouvernement. Une évaluation de la CSU devra être envisagé</w:t>
      </w:r>
      <w:r w:rsidR="001D200D">
        <w:t>e</w:t>
      </w:r>
      <w:r>
        <w:t xml:space="preserve"> à mi-parcours, soit </w:t>
      </w:r>
      <w:r w:rsidR="005416D5">
        <w:t>en 2026.</w:t>
      </w:r>
      <w:r w:rsidR="00E14ADB">
        <w:t xml:space="preserve"> </w:t>
      </w:r>
      <w:r w:rsidR="00442F08">
        <w:t>Dans les premières années de la mise en œuvre de la stratégie, sera évaluée tous les ans</w:t>
      </w:r>
      <w:r w:rsidR="00F717B7">
        <w:t xml:space="preserve">. </w:t>
      </w:r>
    </w:p>
    <w:p w14:paraId="3E1786CD" w14:textId="77777777" w:rsidR="00B17550" w:rsidRDefault="00B17550" w:rsidP="005416D5">
      <w:pPr>
        <w:pStyle w:val="Titre2"/>
      </w:pPr>
      <w:bookmarkStart w:id="39" w:name="_Toc21449040"/>
      <w:r>
        <w:t>Les indicateurs de la CSU</w:t>
      </w:r>
      <w:bookmarkEnd w:id="39"/>
    </w:p>
    <w:p w14:paraId="279B2F9B" w14:textId="77777777" w:rsidR="00431DEF" w:rsidRDefault="00431DEF" w:rsidP="00431DEF">
      <w:r>
        <w:t>Les indicateurs de la CSU ont été arrêtés dans un document</w:t>
      </w:r>
      <w:r>
        <w:rPr>
          <w:rStyle w:val="Appelnotedebasdep"/>
        </w:rPr>
        <w:footnoteReference w:id="14"/>
      </w:r>
      <w:r>
        <w:t xml:space="preserve"> de l’OMS et de la Banque Mondiale intitulé « rapport de suivi 2017 : la couverture santé universelle ». On trouvera en annexe quelques extraits qui explicitent ces indicateurs. Il est à noter cependant que les indicateurs 3.8.2 continuent à faire l’objet de débat et pourraient être révisés encore.</w:t>
      </w:r>
    </w:p>
    <w:p w14:paraId="077E0B94" w14:textId="77777777" w:rsidR="00431DEF" w:rsidRDefault="00431DEF" w:rsidP="00431DEF">
      <w:pPr>
        <w:pStyle w:val="Titre2"/>
      </w:pPr>
      <w:bookmarkStart w:id="40" w:name="_Toc21449041"/>
      <w:r>
        <w:t>Baseline</w:t>
      </w:r>
      <w:r w:rsidR="00F951F9">
        <w:t xml:space="preserve"> de l’ODD 3.8</w:t>
      </w:r>
      <w:bookmarkEnd w:id="40"/>
    </w:p>
    <w:p w14:paraId="098EDE12" w14:textId="77777777" w:rsidR="0044393C" w:rsidRPr="0044393C" w:rsidRDefault="0044393C" w:rsidP="00431DEF">
      <w:pPr>
        <w:rPr>
          <w:b/>
        </w:rPr>
      </w:pPr>
      <w:r w:rsidRPr="0044393C">
        <w:rPr>
          <w:b/>
        </w:rPr>
        <w:t>Indicateur 3.8 1 (couverture des services)</w:t>
      </w:r>
      <w:r w:rsidR="00EE2796">
        <w:rPr>
          <w:b/>
        </w:rPr>
        <w:t xml:space="preserve"> – index composite</w:t>
      </w:r>
    </w:p>
    <w:tbl>
      <w:tblPr>
        <w:tblStyle w:val="Grilledutableau"/>
        <w:tblW w:w="0" w:type="auto"/>
        <w:tblLook w:val="04A0" w:firstRow="1" w:lastRow="0" w:firstColumn="1" w:lastColumn="0" w:noHBand="0" w:noVBand="1"/>
      </w:tblPr>
      <w:tblGrid>
        <w:gridCol w:w="2358"/>
        <w:gridCol w:w="2240"/>
        <w:gridCol w:w="2236"/>
        <w:gridCol w:w="2240"/>
      </w:tblGrid>
      <w:tr w:rsidR="0044393C" w14:paraId="17DD821F" w14:textId="77777777" w:rsidTr="0044393C">
        <w:tc>
          <w:tcPr>
            <w:tcW w:w="2419" w:type="dxa"/>
          </w:tcPr>
          <w:p w14:paraId="48EA1FF2" w14:textId="77777777" w:rsidR="0044393C" w:rsidRDefault="0044393C" w:rsidP="00431DEF">
            <w:r>
              <w:t>Niger</w:t>
            </w:r>
          </w:p>
        </w:tc>
        <w:tc>
          <w:tcPr>
            <w:tcW w:w="2289" w:type="dxa"/>
          </w:tcPr>
          <w:p w14:paraId="58D864B9" w14:textId="77777777" w:rsidR="0044393C" w:rsidRDefault="0044393C" w:rsidP="00431DEF">
            <w:r>
              <w:t>Sénégal</w:t>
            </w:r>
          </w:p>
        </w:tc>
        <w:tc>
          <w:tcPr>
            <w:tcW w:w="2289" w:type="dxa"/>
          </w:tcPr>
          <w:p w14:paraId="009CF6EF" w14:textId="77777777" w:rsidR="0044393C" w:rsidRDefault="0044393C" w:rsidP="00431DEF">
            <w:r>
              <w:t>Maroc</w:t>
            </w:r>
          </w:p>
        </w:tc>
        <w:tc>
          <w:tcPr>
            <w:tcW w:w="2289" w:type="dxa"/>
          </w:tcPr>
          <w:p w14:paraId="20B9ED9E" w14:textId="77777777" w:rsidR="0044393C" w:rsidRDefault="0044393C" w:rsidP="00431DEF">
            <w:r>
              <w:t>Burkina Faso</w:t>
            </w:r>
          </w:p>
        </w:tc>
      </w:tr>
      <w:tr w:rsidR="0044393C" w14:paraId="6686BC4B" w14:textId="77777777" w:rsidTr="0044393C">
        <w:tc>
          <w:tcPr>
            <w:tcW w:w="2419" w:type="dxa"/>
          </w:tcPr>
          <w:p w14:paraId="27D59553" w14:textId="77777777" w:rsidR="0044393C" w:rsidRDefault="0044393C" w:rsidP="00431DEF">
            <w:r>
              <w:t>33</w:t>
            </w:r>
          </w:p>
        </w:tc>
        <w:tc>
          <w:tcPr>
            <w:tcW w:w="2289" w:type="dxa"/>
          </w:tcPr>
          <w:p w14:paraId="47CE59DF" w14:textId="77777777" w:rsidR="0044393C" w:rsidRDefault="0044393C" w:rsidP="00431DEF">
            <w:r>
              <w:t>41</w:t>
            </w:r>
          </w:p>
        </w:tc>
        <w:tc>
          <w:tcPr>
            <w:tcW w:w="2289" w:type="dxa"/>
          </w:tcPr>
          <w:p w14:paraId="525A917F" w14:textId="77777777" w:rsidR="0044393C" w:rsidRDefault="0044393C" w:rsidP="00431DEF">
            <w:r>
              <w:t>65</w:t>
            </w:r>
          </w:p>
        </w:tc>
        <w:tc>
          <w:tcPr>
            <w:tcW w:w="2289" w:type="dxa"/>
          </w:tcPr>
          <w:p w14:paraId="778C903F" w14:textId="77777777" w:rsidR="0044393C" w:rsidRDefault="0044393C" w:rsidP="00431DEF">
            <w:r>
              <w:t>39</w:t>
            </w:r>
          </w:p>
        </w:tc>
      </w:tr>
    </w:tbl>
    <w:p w14:paraId="59F26961" w14:textId="77777777" w:rsidR="00ED1638" w:rsidRDefault="00ED1638" w:rsidP="00ED1638">
      <w:r>
        <w:t xml:space="preserve">L’ensemble des indicateurs de l’ODD 3.8.1 suivi se trouvent en annexe. </w:t>
      </w:r>
    </w:p>
    <w:p w14:paraId="43C189CD" w14:textId="77777777" w:rsidR="0044393C" w:rsidRPr="0044393C" w:rsidRDefault="0044393C" w:rsidP="00431DEF">
      <w:pPr>
        <w:rPr>
          <w:b/>
        </w:rPr>
      </w:pPr>
      <w:r w:rsidRPr="0044393C">
        <w:rPr>
          <w:b/>
        </w:rPr>
        <w:t>Indicateur 3.8.2 (protection financière)</w:t>
      </w:r>
    </w:p>
    <w:p w14:paraId="72D055F6" w14:textId="77777777" w:rsidR="00F951F9" w:rsidRDefault="0044393C">
      <w:pPr>
        <w:rPr>
          <w:rFonts w:asciiTheme="majorHAnsi" w:eastAsiaTheme="majorEastAsia" w:hAnsiTheme="majorHAnsi" w:cstheme="majorBidi"/>
          <w:b/>
          <w:bCs/>
          <w:color w:val="365F91" w:themeColor="accent1" w:themeShade="BF"/>
          <w:sz w:val="28"/>
          <w:szCs w:val="28"/>
        </w:rPr>
      </w:pPr>
      <w:r>
        <w:t>L’indicateur n’est pas disponible à ce jour. Aussi une étude devra être réalisée pour obtenir la donnée de référence.</w:t>
      </w:r>
      <w:r w:rsidR="00F951F9">
        <w:br w:type="page"/>
      </w:r>
    </w:p>
    <w:p w14:paraId="3D7EAC10" w14:textId="77777777" w:rsidR="002E26C8" w:rsidRDefault="002E26C8" w:rsidP="008E735C">
      <w:pPr>
        <w:pStyle w:val="Titre1"/>
        <w:sectPr w:rsidR="002E26C8" w:rsidSect="008E735C">
          <w:pgSz w:w="11906" w:h="16838" w:code="9"/>
          <w:pgMar w:top="1411" w:right="1411" w:bottom="1411" w:left="1411" w:header="706" w:footer="706" w:gutter="0"/>
          <w:cols w:space="708"/>
          <w:titlePg/>
          <w:docGrid w:linePitch="360"/>
        </w:sectPr>
      </w:pPr>
    </w:p>
    <w:p w14:paraId="3F9BB8A8" w14:textId="77777777" w:rsidR="008E735C" w:rsidRDefault="00296DE4" w:rsidP="008E735C">
      <w:pPr>
        <w:pStyle w:val="Titre1"/>
      </w:pPr>
      <w:bookmarkStart w:id="41" w:name="_Toc21449042"/>
      <w:r>
        <w:t>Plan d’actions</w:t>
      </w:r>
      <w:r w:rsidR="008E735C">
        <w:t xml:space="preserve"> (ébauche)</w:t>
      </w:r>
      <w:bookmarkEnd w:id="41"/>
    </w:p>
    <w:p w14:paraId="5407CC83" w14:textId="77777777" w:rsidR="00737C0B" w:rsidRPr="00737C0B" w:rsidRDefault="00737C0B" w:rsidP="00737C0B">
      <w:r w:rsidRPr="00737C0B">
        <w:rPr>
          <w:noProof/>
          <w:lang w:eastAsia="fr-FR"/>
        </w:rPr>
        <w:drawing>
          <wp:inline distT="0" distB="0" distL="0" distR="0" wp14:anchorId="52674DFE" wp14:editId="6027EFA0">
            <wp:extent cx="8898890" cy="5093050"/>
            <wp:effectExtent l="0" t="0" r="0" b="0"/>
            <wp:docPr id="38" name="Imag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8898890" cy="5093050"/>
                    </a:xfrm>
                    <a:prstGeom prst="rect">
                      <a:avLst/>
                    </a:prstGeom>
                    <a:noFill/>
                    <a:ln>
                      <a:noFill/>
                    </a:ln>
                  </pic:spPr>
                </pic:pic>
              </a:graphicData>
            </a:graphic>
          </wp:inline>
        </w:drawing>
      </w:r>
    </w:p>
    <w:p w14:paraId="4A3DA25E" w14:textId="77777777" w:rsidR="008E735C" w:rsidRDefault="00737C0B">
      <w:r w:rsidRPr="00737C0B">
        <w:rPr>
          <w:noProof/>
          <w:lang w:eastAsia="fr-FR"/>
        </w:rPr>
        <w:drawing>
          <wp:inline distT="0" distB="0" distL="0" distR="0" wp14:anchorId="7720AB9B" wp14:editId="3B645B62">
            <wp:extent cx="8898890" cy="4620135"/>
            <wp:effectExtent l="0" t="0" r="0" b="9525"/>
            <wp:docPr id="39" name="Imag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8898890" cy="4620135"/>
                    </a:xfrm>
                    <a:prstGeom prst="rect">
                      <a:avLst/>
                    </a:prstGeom>
                    <a:noFill/>
                    <a:ln>
                      <a:noFill/>
                    </a:ln>
                  </pic:spPr>
                </pic:pic>
              </a:graphicData>
            </a:graphic>
          </wp:inline>
        </w:drawing>
      </w:r>
    </w:p>
    <w:p w14:paraId="398AD5C0" w14:textId="77777777" w:rsidR="00737C0B" w:rsidRDefault="00737C0B"/>
    <w:p w14:paraId="1E370C48" w14:textId="77777777" w:rsidR="002E26C8" w:rsidRDefault="002E26C8" w:rsidP="0044393C">
      <w:pPr>
        <w:pStyle w:val="Titre1"/>
        <w:sectPr w:rsidR="002E26C8" w:rsidSect="002E26C8">
          <w:pgSz w:w="16838" w:h="11906" w:orient="landscape" w:code="9"/>
          <w:pgMar w:top="1412" w:right="1412" w:bottom="1412" w:left="1412" w:header="706" w:footer="706" w:gutter="0"/>
          <w:cols w:space="708"/>
          <w:titlePg/>
          <w:docGrid w:linePitch="360"/>
        </w:sectPr>
      </w:pPr>
    </w:p>
    <w:p w14:paraId="40DEDE5A" w14:textId="77777777" w:rsidR="00F507F1" w:rsidRDefault="00F507F1" w:rsidP="0044393C">
      <w:pPr>
        <w:pStyle w:val="Titre1"/>
      </w:pPr>
      <w:bookmarkStart w:id="42" w:name="_Toc21449043"/>
      <w:r>
        <w:t>Annexe : indicateurs CSU du Niger</w:t>
      </w:r>
      <w:bookmarkEnd w:id="42"/>
    </w:p>
    <w:p w14:paraId="41050560" w14:textId="77777777" w:rsidR="008E735C" w:rsidRPr="008E735C" w:rsidRDefault="008E735C" w:rsidP="008E735C"/>
    <w:p w14:paraId="78AC162E" w14:textId="77777777" w:rsidR="00F507F1" w:rsidRPr="0076111B" w:rsidRDefault="00F507F1" w:rsidP="00F507F1">
      <w:pPr>
        <w:spacing w:line="240" w:lineRule="auto"/>
        <w:rPr>
          <w:rFonts w:eastAsia="Calibri" w:cs="Tahoma"/>
          <w:sz w:val="24"/>
          <w:szCs w:val="24"/>
          <w:u w:val="single"/>
          <w:lang w:eastAsia="fr-FR"/>
        </w:rPr>
      </w:pPr>
      <w:r w:rsidRPr="0076111B">
        <w:rPr>
          <w:rFonts w:cs="Tahoma"/>
          <w:sz w:val="24"/>
          <w:szCs w:val="24"/>
          <w:u w:val="single"/>
        </w:rPr>
        <w:t>Indicateurs</w:t>
      </w:r>
      <w:r w:rsidRPr="0076111B">
        <w:rPr>
          <w:rFonts w:eastAsia="Calibri" w:cs="Tahoma"/>
          <w:iCs/>
          <w:sz w:val="24"/>
          <w:szCs w:val="24"/>
          <w:u w:val="single"/>
          <w:lang w:eastAsia="fr-FR"/>
        </w:rPr>
        <w:t xml:space="preserve"> pour mesurer la vie saine et le bien-être pour tous, à tous les âges (objectif ODD 3</w:t>
      </w:r>
      <w:r>
        <w:rPr>
          <w:rFonts w:eastAsia="Calibri" w:cs="Tahoma"/>
          <w:iCs/>
          <w:sz w:val="24"/>
          <w:szCs w:val="24"/>
          <w:u w:val="single"/>
          <w:lang w:eastAsia="fr-FR"/>
        </w:rPr>
        <w:t>.8.1</w:t>
      </w:r>
      <w:r w:rsidRPr="0076111B">
        <w:rPr>
          <w:rFonts w:eastAsia="Calibri" w:cs="Tahoma"/>
          <w:iCs/>
          <w:sz w:val="24"/>
          <w:szCs w:val="24"/>
          <w:u w:val="single"/>
          <w:lang w:eastAsia="fr-FR"/>
        </w:rPr>
        <w:t>)</w:t>
      </w:r>
    </w:p>
    <w:tbl>
      <w:tblPr>
        <w:tblW w:w="10350" w:type="dxa"/>
        <w:tblInd w:w="-440" w:type="dxa"/>
        <w:tblCellMar>
          <w:left w:w="0" w:type="dxa"/>
          <w:right w:w="0" w:type="dxa"/>
        </w:tblCellMar>
        <w:tblLook w:val="04A0" w:firstRow="1" w:lastRow="0" w:firstColumn="1" w:lastColumn="0" w:noHBand="0" w:noVBand="1"/>
      </w:tblPr>
      <w:tblGrid>
        <w:gridCol w:w="2291"/>
        <w:gridCol w:w="3302"/>
        <w:gridCol w:w="2352"/>
        <w:gridCol w:w="2405"/>
      </w:tblGrid>
      <w:tr w:rsidR="00F507F1" w:rsidRPr="00CF7F8E" w14:paraId="73F87C8E" w14:textId="77777777" w:rsidTr="008E735C">
        <w:trPr>
          <w:trHeight w:val="215"/>
        </w:trPr>
        <w:tc>
          <w:tcPr>
            <w:tcW w:w="2291" w:type="dxa"/>
            <w:tcBorders>
              <w:top w:val="single" w:sz="8" w:space="0" w:color="auto"/>
              <w:left w:val="single" w:sz="8" w:space="0" w:color="auto"/>
              <w:bottom w:val="nil"/>
              <w:right w:val="single" w:sz="8" w:space="0" w:color="auto"/>
            </w:tcBorders>
            <w:vAlign w:val="bottom"/>
            <w:hideMark/>
          </w:tcPr>
          <w:p w14:paraId="7CDBC889" w14:textId="77777777" w:rsidR="00F507F1" w:rsidRPr="00CF7F8E" w:rsidRDefault="00F507F1" w:rsidP="008E735C">
            <w:pPr>
              <w:spacing w:after="0" w:line="240" w:lineRule="auto"/>
              <w:ind w:left="640"/>
              <w:rPr>
                <w:rFonts w:cs="Tahoma"/>
                <w:b/>
                <w:bCs/>
                <w:sz w:val="20"/>
                <w:szCs w:val="20"/>
                <w:lang w:eastAsia="fr-FR"/>
              </w:rPr>
            </w:pPr>
            <w:r w:rsidRPr="00CF7F8E">
              <w:rPr>
                <w:rFonts w:cs="Tahoma"/>
                <w:b/>
                <w:bCs/>
                <w:sz w:val="20"/>
                <w:szCs w:val="20"/>
                <w:lang w:eastAsia="fr-FR"/>
              </w:rPr>
              <w:t>Domaine</w:t>
            </w:r>
          </w:p>
        </w:tc>
        <w:tc>
          <w:tcPr>
            <w:tcW w:w="3302" w:type="dxa"/>
            <w:tcBorders>
              <w:top w:val="single" w:sz="8" w:space="0" w:color="auto"/>
              <w:left w:val="nil"/>
              <w:bottom w:val="nil"/>
              <w:right w:val="single" w:sz="8" w:space="0" w:color="auto"/>
            </w:tcBorders>
            <w:vAlign w:val="bottom"/>
            <w:hideMark/>
          </w:tcPr>
          <w:p w14:paraId="16A92A48" w14:textId="77777777" w:rsidR="00F507F1" w:rsidRPr="00CF7F8E" w:rsidRDefault="00F507F1" w:rsidP="008E735C">
            <w:pPr>
              <w:spacing w:after="0" w:line="240" w:lineRule="auto"/>
              <w:ind w:left="1320"/>
              <w:rPr>
                <w:rFonts w:cs="Tahoma"/>
                <w:b/>
                <w:bCs/>
                <w:sz w:val="20"/>
                <w:szCs w:val="20"/>
                <w:lang w:eastAsia="fr-FR"/>
              </w:rPr>
            </w:pPr>
            <w:r w:rsidRPr="00CF7F8E">
              <w:rPr>
                <w:rFonts w:cs="Tahoma"/>
                <w:b/>
                <w:bCs/>
                <w:sz w:val="20"/>
                <w:szCs w:val="20"/>
                <w:lang w:eastAsia="fr-FR"/>
              </w:rPr>
              <w:t>Indicateur</w:t>
            </w:r>
          </w:p>
        </w:tc>
        <w:tc>
          <w:tcPr>
            <w:tcW w:w="4757" w:type="dxa"/>
            <w:gridSpan w:val="2"/>
            <w:tcBorders>
              <w:top w:val="single" w:sz="8" w:space="0" w:color="auto"/>
              <w:left w:val="nil"/>
              <w:bottom w:val="single" w:sz="8" w:space="0" w:color="auto"/>
              <w:right w:val="single" w:sz="8" w:space="0" w:color="auto"/>
            </w:tcBorders>
            <w:vAlign w:val="bottom"/>
            <w:hideMark/>
          </w:tcPr>
          <w:p w14:paraId="72C7BF08" w14:textId="77777777" w:rsidR="00F507F1" w:rsidRPr="00CF7F8E" w:rsidRDefault="00F507F1" w:rsidP="008E735C">
            <w:pPr>
              <w:spacing w:after="0" w:line="240" w:lineRule="auto"/>
              <w:ind w:left="740"/>
              <w:rPr>
                <w:rFonts w:cs="Tahoma"/>
                <w:b/>
                <w:bCs/>
                <w:sz w:val="20"/>
                <w:szCs w:val="20"/>
                <w:lang w:eastAsia="fr-FR"/>
              </w:rPr>
            </w:pPr>
            <w:r w:rsidRPr="00CF7F8E">
              <w:rPr>
                <w:rFonts w:cs="Tahoma"/>
                <w:b/>
                <w:bCs/>
                <w:sz w:val="20"/>
                <w:szCs w:val="20"/>
                <w:lang w:eastAsia="fr-FR"/>
              </w:rPr>
              <w:t>Statut du pays (le cas échéant)</w:t>
            </w:r>
          </w:p>
        </w:tc>
      </w:tr>
      <w:tr w:rsidR="00F507F1" w:rsidRPr="00CF7F8E" w14:paraId="0C1A5CC6" w14:textId="77777777" w:rsidTr="008E735C">
        <w:trPr>
          <w:trHeight w:val="97"/>
        </w:trPr>
        <w:tc>
          <w:tcPr>
            <w:tcW w:w="2291" w:type="dxa"/>
            <w:tcBorders>
              <w:top w:val="nil"/>
              <w:left w:val="single" w:sz="8" w:space="0" w:color="auto"/>
              <w:bottom w:val="single" w:sz="8" w:space="0" w:color="auto"/>
              <w:right w:val="single" w:sz="8" w:space="0" w:color="auto"/>
            </w:tcBorders>
            <w:vAlign w:val="bottom"/>
          </w:tcPr>
          <w:p w14:paraId="1ECF4E19" w14:textId="77777777" w:rsidR="00F507F1" w:rsidRPr="00CF7F8E" w:rsidRDefault="00F507F1" w:rsidP="008E735C">
            <w:pPr>
              <w:spacing w:after="0" w:line="240" w:lineRule="auto"/>
              <w:rPr>
                <w:rFonts w:cs="Tahoma"/>
                <w:sz w:val="20"/>
                <w:szCs w:val="20"/>
                <w:lang w:eastAsia="fr-FR"/>
              </w:rPr>
            </w:pPr>
          </w:p>
        </w:tc>
        <w:tc>
          <w:tcPr>
            <w:tcW w:w="3302" w:type="dxa"/>
            <w:tcBorders>
              <w:top w:val="nil"/>
              <w:left w:val="nil"/>
              <w:bottom w:val="single" w:sz="8" w:space="0" w:color="auto"/>
              <w:right w:val="single" w:sz="8" w:space="0" w:color="auto"/>
            </w:tcBorders>
            <w:vAlign w:val="bottom"/>
          </w:tcPr>
          <w:p w14:paraId="11F3C7F6" w14:textId="77777777" w:rsidR="00F507F1" w:rsidRPr="00CF7F8E" w:rsidRDefault="00F507F1" w:rsidP="008E735C">
            <w:pPr>
              <w:spacing w:after="0" w:line="240" w:lineRule="auto"/>
              <w:rPr>
                <w:rFonts w:cs="Tahoma"/>
                <w:sz w:val="20"/>
                <w:szCs w:val="20"/>
                <w:lang w:eastAsia="fr-FR"/>
              </w:rPr>
            </w:pPr>
          </w:p>
        </w:tc>
        <w:tc>
          <w:tcPr>
            <w:tcW w:w="2352" w:type="dxa"/>
            <w:tcBorders>
              <w:top w:val="nil"/>
              <w:left w:val="nil"/>
              <w:bottom w:val="single" w:sz="8" w:space="0" w:color="auto"/>
              <w:right w:val="single" w:sz="8" w:space="0" w:color="auto"/>
            </w:tcBorders>
            <w:vAlign w:val="bottom"/>
            <w:hideMark/>
          </w:tcPr>
          <w:p w14:paraId="504AE8A8" w14:textId="77777777" w:rsidR="00F507F1" w:rsidRPr="00CF7F8E" w:rsidRDefault="00F507F1" w:rsidP="008E735C">
            <w:pPr>
              <w:spacing w:after="0" w:line="240" w:lineRule="auto"/>
              <w:ind w:left="540"/>
              <w:rPr>
                <w:rFonts w:cs="Tahoma"/>
                <w:b/>
                <w:bCs/>
                <w:sz w:val="20"/>
                <w:szCs w:val="20"/>
                <w:lang w:eastAsia="fr-FR"/>
              </w:rPr>
            </w:pPr>
            <w:r w:rsidRPr="00CF7F8E">
              <w:rPr>
                <w:rFonts w:cs="Tahoma"/>
                <w:b/>
                <w:bCs/>
                <w:sz w:val="20"/>
                <w:szCs w:val="20"/>
                <w:lang w:eastAsia="fr-FR"/>
              </w:rPr>
              <w:t>2017</w:t>
            </w:r>
          </w:p>
        </w:tc>
        <w:tc>
          <w:tcPr>
            <w:tcW w:w="2405" w:type="dxa"/>
            <w:tcBorders>
              <w:top w:val="nil"/>
              <w:left w:val="nil"/>
              <w:bottom w:val="single" w:sz="8" w:space="0" w:color="auto"/>
              <w:right w:val="single" w:sz="8" w:space="0" w:color="auto"/>
            </w:tcBorders>
            <w:vAlign w:val="bottom"/>
            <w:hideMark/>
          </w:tcPr>
          <w:p w14:paraId="64CC4906" w14:textId="77777777" w:rsidR="00F507F1" w:rsidRPr="00CF7F8E" w:rsidRDefault="00F507F1" w:rsidP="008E735C">
            <w:pPr>
              <w:spacing w:after="0" w:line="240" w:lineRule="auto"/>
              <w:ind w:left="200"/>
              <w:rPr>
                <w:rFonts w:cs="Tahoma"/>
                <w:b/>
                <w:bCs/>
                <w:sz w:val="20"/>
                <w:szCs w:val="20"/>
                <w:lang w:eastAsia="fr-FR"/>
              </w:rPr>
            </w:pPr>
            <w:r w:rsidRPr="00CF7F8E">
              <w:rPr>
                <w:rFonts w:cs="Tahoma"/>
                <w:b/>
                <w:bCs/>
                <w:sz w:val="20"/>
                <w:szCs w:val="20"/>
                <w:lang w:eastAsia="fr-FR"/>
              </w:rPr>
              <w:t>Cible du pays (2030)</w:t>
            </w:r>
          </w:p>
        </w:tc>
      </w:tr>
      <w:tr w:rsidR="00F507F1" w:rsidRPr="00CF7F8E" w14:paraId="31645FFA" w14:textId="77777777" w:rsidTr="008E735C">
        <w:trPr>
          <w:trHeight w:val="195"/>
        </w:trPr>
        <w:tc>
          <w:tcPr>
            <w:tcW w:w="2291" w:type="dxa"/>
            <w:vMerge w:val="restart"/>
            <w:tcBorders>
              <w:top w:val="nil"/>
              <w:left w:val="single" w:sz="8" w:space="0" w:color="auto"/>
              <w:bottom w:val="nil"/>
              <w:right w:val="single" w:sz="8" w:space="0" w:color="auto"/>
            </w:tcBorders>
            <w:vAlign w:val="bottom"/>
            <w:hideMark/>
          </w:tcPr>
          <w:p w14:paraId="6A65D97D" w14:textId="77777777" w:rsidR="00F507F1" w:rsidRPr="00CF7F8E" w:rsidRDefault="00F507F1" w:rsidP="008E735C">
            <w:pPr>
              <w:spacing w:after="0" w:line="240" w:lineRule="auto"/>
              <w:ind w:left="120"/>
              <w:rPr>
                <w:rFonts w:cs="Tahoma"/>
                <w:b/>
                <w:bCs/>
                <w:sz w:val="20"/>
                <w:szCs w:val="20"/>
                <w:lang w:eastAsia="fr-FR"/>
              </w:rPr>
            </w:pPr>
            <w:r w:rsidRPr="00CF7F8E">
              <w:rPr>
                <w:rFonts w:cs="Tahoma"/>
                <w:b/>
                <w:bCs/>
                <w:sz w:val="20"/>
                <w:szCs w:val="20"/>
                <w:lang w:eastAsia="fr-FR"/>
              </w:rPr>
              <w:t xml:space="preserve">Espérance de vie </w:t>
            </w:r>
          </w:p>
        </w:tc>
        <w:tc>
          <w:tcPr>
            <w:tcW w:w="3302" w:type="dxa"/>
            <w:tcBorders>
              <w:top w:val="nil"/>
              <w:left w:val="nil"/>
              <w:bottom w:val="single" w:sz="8" w:space="0" w:color="auto"/>
              <w:right w:val="single" w:sz="8" w:space="0" w:color="auto"/>
            </w:tcBorders>
            <w:vAlign w:val="bottom"/>
            <w:hideMark/>
          </w:tcPr>
          <w:p w14:paraId="60558E23" w14:textId="77777777" w:rsidR="00F507F1" w:rsidRPr="00CF7F8E" w:rsidRDefault="00F507F1" w:rsidP="008E735C">
            <w:pPr>
              <w:spacing w:after="0" w:line="240" w:lineRule="auto"/>
              <w:ind w:left="80"/>
              <w:rPr>
                <w:rFonts w:cs="Tahoma"/>
                <w:sz w:val="20"/>
                <w:szCs w:val="20"/>
                <w:lang w:eastAsia="fr-FR"/>
              </w:rPr>
            </w:pPr>
            <w:r w:rsidRPr="00CF7F8E">
              <w:rPr>
                <w:rFonts w:cs="Tahoma"/>
                <w:sz w:val="20"/>
                <w:szCs w:val="20"/>
                <w:lang w:eastAsia="fr-FR"/>
              </w:rPr>
              <w:t>Espérance de vie</w:t>
            </w:r>
          </w:p>
        </w:tc>
        <w:tc>
          <w:tcPr>
            <w:tcW w:w="2352" w:type="dxa"/>
            <w:tcBorders>
              <w:top w:val="nil"/>
              <w:left w:val="nil"/>
              <w:bottom w:val="single" w:sz="8" w:space="0" w:color="auto"/>
              <w:right w:val="single" w:sz="8" w:space="0" w:color="auto"/>
            </w:tcBorders>
            <w:vAlign w:val="bottom"/>
            <w:hideMark/>
          </w:tcPr>
          <w:p w14:paraId="4D3ACCF9" w14:textId="77777777" w:rsidR="00F507F1" w:rsidRPr="00CF7F8E" w:rsidRDefault="00F507F1" w:rsidP="008E735C">
            <w:pPr>
              <w:spacing w:after="0" w:line="240" w:lineRule="auto"/>
              <w:jc w:val="center"/>
              <w:rPr>
                <w:rFonts w:cs="Tahoma"/>
                <w:sz w:val="20"/>
                <w:szCs w:val="20"/>
                <w:lang w:eastAsia="fr-FR"/>
              </w:rPr>
            </w:pPr>
            <w:r w:rsidRPr="00CF7F8E">
              <w:rPr>
                <w:rFonts w:cs="Tahoma"/>
                <w:sz w:val="20"/>
                <w:szCs w:val="20"/>
              </w:rPr>
              <w:t>60,5</w:t>
            </w:r>
          </w:p>
        </w:tc>
        <w:tc>
          <w:tcPr>
            <w:tcW w:w="2405" w:type="dxa"/>
            <w:tcBorders>
              <w:top w:val="nil"/>
              <w:left w:val="nil"/>
              <w:bottom w:val="single" w:sz="8" w:space="0" w:color="auto"/>
              <w:right w:val="single" w:sz="8" w:space="0" w:color="auto"/>
            </w:tcBorders>
            <w:vAlign w:val="bottom"/>
          </w:tcPr>
          <w:p w14:paraId="63D65AC0" w14:textId="77777777" w:rsidR="00F507F1" w:rsidRPr="00CF7F8E" w:rsidRDefault="00F507F1" w:rsidP="008E735C">
            <w:pPr>
              <w:spacing w:after="0" w:line="240" w:lineRule="auto"/>
              <w:jc w:val="center"/>
              <w:rPr>
                <w:rFonts w:cs="Tahoma"/>
                <w:sz w:val="20"/>
                <w:szCs w:val="20"/>
                <w:lang w:eastAsia="fr-FR"/>
              </w:rPr>
            </w:pPr>
          </w:p>
        </w:tc>
      </w:tr>
      <w:tr w:rsidR="00F507F1" w:rsidRPr="00CF7F8E" w14:paraId="49C0F9BA" w14:textId="77777777" w:rsidTr="008E735C">
        <w:trPr>
          <w:trHeight w:val="88"/>
        </w:trPr>
        <w:tc>
          <w:tcPr>
            <w:tcW w:w="0" w:type="auto"/>
            <w:vMerge/>
            <w:tcBorders>
              <w:top w:val="nil"/>
              <w:left w:val="single" w:sz="8" w:space="0" w:color="auto"/>
              <w:bottom w:val="nil"/>
              <w:right w:val="single" w:sz="8" w:space="0" w:color="auto"/>
            </w:tcBorders>
            <w:vAlign w:val="center"/>
            <w:hideMark/>
          </w:tcPr>
          <w:p w14:paraId="72C2C6B2" w14:textId="77777777" w:rsidR="00F507F1" w:rsidRPr="00CF7F8E" w:rsidRDefault="00F507F1" w:rsidP="008E735C">
            <w:pPr>
              <w:spacing w:after="0" w:line="240" w:lineRule="auto"/>
              <w:rPr>
                <w:rFonts w:cs="Tahoma"/>
                <w:b/>
                <w:bCs/>
                <w:sz w:val="20"/>
                <w:szCs w:val="20"/>
                <w:lang w:eastAsia="fr-FR"/>
              </w:rPr>
            </w:pPr>
          </w:p>
        </w:tc>
        <w:tc>
          <w:tcPr>
            <w:tcW w:w="3302" w:type="dxa"/>
            <w:vMerge w:val="restart"/>
            <w:tcBorders>
              <w:top w:val="nil"/>
              <w:left w:val="nil"/>
              <w:bottom w:val="single" w:sz="8" w:space="0" w:color="auto"/>
              <w:right w:val="single" w:sz="8" w:space="0" w:color="auto"/>
            </w:tcBorders>
            <w:vAlign w:val="bottom"/>
            <w:hideMark/>
          </w:tcPr>
          <w:p w14:paraId="354D8271" w14:textId="77777777" w:rsidR="00F507F1" w:rsidRPr="00CF7F8E" w:rsidRDefault="00F507F1" w:rsidP="008E735C">
            <w:pPr>
              <w:spacing w:after="0" w:line="240" w:lineRule="auto"/>
              <w:ind w:left="80"/>
              <w:rPr>
                <w:rFonts w:cs="Tahoma"/>
                <w:sz w:val="20"/>
                <w:szCs w:val="20"/>
                <w:lang w:eastAsia="fr-FR"/>
              </w:rPr>
            </w:pPr>
            <w:r w:rsidRPr="00CF7F8E">
              <w:rPr>
                <w:rFonts w:cs="Tahoma"/>
                <w:sz w:val="20"/>
                <w:szCs w:val="20"/>
                <w:lang w:eastAsia="fr-FR"/>
              </w:rPr>
              <w:t>Espérance de vie en bonne santé</w:t>
            </w:r>
          </w:p>
        </w:tc>
        <w:tc>
          <w:tcPr>
            <w:tcW w:w="2352" w:type="dxa"/>
            <w:tcBorders>
              <w:top w:val="nil"/>
              <w:left w:val="nil"/>
              <w:bottom w:val="nil"/>
              <w:right w:val="single" w:sz="8" w:space="0" w:color="auto"/>
            </w:tcBorders>
            <w:vAlign w:val="bottom"/>
          </w:tcPr>
          <w:p w14:paraId="7991F28D" w14:textId="77777777" w:rsidR="00F507F1" w:rsidRPr="00CF7F8E" w:rsidRDefault="00F507F1" w:rsidP="008E735C">
            <w:pPr>
              <w:spacing w:after="0" w:line="240" w:lineRule="auto"/>
              <w:rPr>
                <w:rFonts w:cs="Tahoma"/>
                <w:sz w:val="20"/>
                <w:szCs w:val="20"/>
                <w:lang w:eastAsia="fr-FR"/>
              </w:rPr>
            </w:pPr>
          </w:p>
        </w:tc>
        <w:tc>
          <w:tcPr>
            <w:tcW w:w="2405" w:type="dxa"/>
            <w:tcBorders>
              <w:top w:val="nil"/>
              <w:left w:val="nil"/>
              <w:bottom w:val="nil"/>
              <w:right w:val="single" w:sz="8" w:space="0" w:color="auto"/>
            </w:tcBorders>
            <w:vAlign w:val="bottom"/>
          </w:tcPr>
          <w:p w14:paraId="6F1312B1" w14:textId="77777777" w:rsidR="00F507F1" w:rsidRPr="00CF7F8E" w:rsidRDefault="00F507F1" w:rsidP="008E735C">
            <w:pPr>
              <w:spacing w:after="0" w:line="240" w:lineRule="auto"/>
              <w:jc w:val="center"/>
              <w:rPr>
                <w:rFonts w:cs="Tahoma"/>
                <w:sz w:val="20"/>
                <w:szCs w:val="20"/>
                <w:highlight w:val="yellow"/>
                <w:lang w:eastAsia="fr-FR"/>
              </w:rPr>
            </w:pPr>
          </w:p>
        </w:tc>
      </w:tr>
      <w:tr w:rsidR="00F507F1" w:rsidRPr="00CF7F8E" w14:paraId="73165C3D" w14:textId="77777777" w:rsidTr="008E735C">
        <w:trPr>
          <w:trHeight w:val="60"/>
        </w:trPr>
        <w:tc>
          <w:tcPr>
            <w:tcW w:w="2291" w:type="dxa"/>
            <w:tcBorders>
              <w:top w:val="nil"/>
              <w:left w:val="single" w:sz="8" w:space="0" w:color="auto"/>
              <w:bottom w:val="single" w:sz="8" w:space="0" w:color="auto"/>
              <w:right w:val="single" w:sz="8" w:space="0" w:color="auto"/>
            </w:tcBorders>
            <w:vAlign w:val="bottom"/>
          </w:tcPr>
          <w:p w14:paraId="0B391DEE" w14:textId="77777777" w:rsidR="00F507F1" w:rsidRPr="00CF7F8E" w:rsidRDefault="00F507F1" w:rsidP="008E735C">
            <w:pPr>
              <w:spacing w:after="0" w:line="240" w:lineRule="auto"/>
              <w:rPr>
                <w:rFonts w:cs="Tahoma"/>
                <w:sz w:val="20"/>
                <w:szCs w:val="20"/>
                <w:lang w:eastAsia="fr-FR"/>
              </w:rPr>
            </w:pPr>
          </w:p>
        </w:tc>
        <w:tc>
          <w:tcPr>
            <w:tcW w:w="0" w:type="auto"/>
            <w:vMerge/>
            <w:tcBorders>
              <w:top w:val="nil"/>
              <w:left w:val="nil"/>
              <w:bottom w:val="single" w:sz="8" w:space="0" w:color="auto"/>
              <w:right w:val="single" w:sz="8" w:space="0" w:color="auto"/>
            </w:tcBorders>
            <w:vAlign w:val="center"/>
            <w:hideMark/>
          </w:tcPr>
          <w:p w14:paraId="293DE045" w14:textId="77777777" w:rsidR="00F507F1" w:rsidRPr="00CF7F8E" w:rsidRDefault="00F507F1" w:rsidP="008E735C">
            <w:pPr>
              <w:spacing w:after="0" w:line="240" w:lineRule="auto"/>
              <w:rPr>
                <w:rFonts w:cs="Tahoma"/>
                <w:sz w:val="20"/>
                <w:szCs w:val="20"/>
                <w:lang w:eastAsia="fr-FR"/>
              </w:rPr>
            </w:pPr>
          </w:p>
        </w:tc>
        <w:tc>
          <w:tcPr>
            <w:tcW w:w="2352" w:type="dxa"/>
            <w:tcBorders>
              <w:top w:val="nil"/>
              <w:left w:val="nil"/>
              <w:bottom w:val="single" w:sz="8" w:space="0" w:color="auto"/>
              <w:right w:val="single" w:sz="8" w:space="0" w:color="auto"/>
            </w:tcBorders>
            <w:vAlign w:val="bottom"/>
          </w:tcPr>
          <w:p w14:paraId="45D1825F" w14:textId="77777777" w:rsidR="00F507F1" w:rsidRPr="00CF7F8E" w:rsidRDefault="00F507F1" w:rsidP="008E735C">
            <w:pPr>
              <w:spacing w:after="0" w:line="240" w:lineRule="auto"/>
              <w:jc w:val="center"/>
              <w:rPr>
                <w:rFonts w:cs="Tahoma"/>
                <w:sz w:val="20"/>
                <w:szCs w:val="20"/>
              </w:rPr>
            </w:pPr>
            <w:r w:rsidRPr="00CF7F8E">
              <w:rPr>
                <w:rFonts w:cs="Tahoma"/>
                <w:sz w:val="20"/>
                <w:szCs w:val="20"/>
              </w:rPr>
              <w:t>ND</w:t>
            </w:r>
          </w:p>
        </w:tc>
        <w:tc>
          <w:tcPr>
            <w:tcW w:w="2405" w:type="dxa"/>
            <w:tcBorders>
              <w:top w:val="nil"/>
              <w:left w:val="nil"/>
              <w:bottom w:val="single" w:sz="8" w:space="0" w:color="auto"/>
              <w:right w:val="single" w:sz="8" w:space="0" w:color="auto"/>
            </w:tcBorders>
            <w:vAlign w:val="bottom"/>
          </w:tcPr>
          <w:p w14:paraId="11833F0C" w14:textId="77777777" w:rsidR="00F507F1" w:rsidRPr="00CF7F8E" w:rsidRDefault="00F507F1" w:rsidP="008E735C">
            <w:pPr>
              <w:spacing w:after="0" w:line="240" w:lineRule="auto"/>
              <w:jc w:val="center"/>
              <w:rPr>
                <w:rFonts w:cs="Tahoma"/>
                <w:sz w:val="20"/>
                <w:szCs w:val="20"/>
                <w:highlight w:val="yellow"/>
                <w:lang w:eastAsia="fr-FR"/>
              </w:rPr>
            </w:pPr>
          </w:p>
        </w:tc>
      </w:tr>
      <w:tr w:rsidR="00F507F1" w:rsidRPr="00CF7F8E" w14:paraId="00903DD7" w14:textId="77777777" w:rsidTr="008E735C">
        <w:trPr>
          <w:trHeight w:val="197"/>
        </w:trPr>
        <w:tc>
          <w:tcPr>
            <w:tcW w:w="2291" w:type="dxa"/>
            <w:tcBorders>
              <w:top w:val="nil"/>
              <w:left w:val="single" w:sz="8" w:space="0" w:color="auto"/>
              <w:bottom w:val="single" w:sz="8" w:space="0" w:color="auto"/>
              <w:right w:val="single" w:sz="8" w:space="0" w:color="auto"/>
            </w:tcBorders>
            <w:vAlign w:val="bottom"/>
          </w:tcPr>
          <w:p w14:paraId="3BDD88CC" w14:textId="77777777" w:rsidR="00F507F1" w:rsidRPr="00CF7F8E" w:rsidRDefault="00F507F1" w:rsidP="008E735C">
            <w:pPr>
              <w:spacing w:after="0" w:line="240" w:lineRule="auto"/>
              <w:rPr>
                <w:rFonts w:cs="Tahoma"/>
                <w:sz w:val="20"/>
                <w:szCs w:val="20"/>
                <w:lang w:eastAsia="fr-FR"/>
              </w:rPr>
            </w:pPr>
          </w:p>
        </w:tc>
        <w:tc>
          <w:tcPr>
            <w:tcW w:w="3302" w:type="dxa"/>
            <w:tcBorders>
              <w:top w:val="nil"/>
              <w:left w:val="nil"/>
              <w:bottom w:val="single" w:sz="8" w:space="0" w:color="auto"/>
              <w:right w:val="single" w:sz="8" w:space="0" w:color="auto"/>
            </w:tcBorders>
            <w:vAlign w:val="bottom"/>
          </w:tcPr>
          <w:p w14:paraId="3CD5BEAB" w14:textId="77777777" w:rsidR="00F507F1" w:rsidRPr="00CF7F8E" w:rsidRDefault="00F507F1" w:rsidP="008E735C">
            <w:pPr>
              <w:spacing w:after="0" w:line="240" w:lineRule="auto"/>
              <w:rPr>
                <w:rFonts w:cs="Tahoma"/>
                <w:sz w:val="20"/>
                <w:szCs w:val="20"/>
                <w:lang w:eastAsia="fr-FR"/>
              </w:rPr>
            </w:pPr>
          </w:p>
        </w:tc>
        <w:tc>
          <w:tcPr>
            <w:tcW w:w="2352" w:type="dxa"/>
            <w:tcBorders>
              <w:top w:val="nil"/>
              <w:left w:val="nil"/>
              <w:bottom w:val="single" w:sz="8" w:space="0" w:color="auto"/>
              <w:right w:val="single" w:sz="8" w:space="0" w:color="auto"/>
            </w:tcBorders>
            <w:vAlign w:val="bottom"/>
          </w:tcPr>
          <w:p w14:paraId="6F0087AD" w14:textId="77777777" w:rsidR="00F507F1" w:rsidRPr="00CF7F8E" w:rsidRDefault="00F507F1" w:rsidP="008E735C">
            <w:pPr>
              <w:spacing w:after="0" w:line="240" w:lineRule="auto"/>
              <w:jc w:val="center"/>
              <w:rPr>
                <w:rFonts w:cs="Tahoma"/>
                <w:sz w:val="20"/>
                <w:szCs w:val="20"/>
              </w:rPr>
            </w:pPr>
          </w:p>
        </w:tc>
        <w:tc>
          <w:tcPr>
            <w:tcW w:w="2405" w:type="dxa"/>
            <w:tcBorders>
              <w:top w:val="nil"/>
              <w:left w:val="nil"/>
              <w:bottom w:val="single" w:sz="8" w:space="0" w:color="auto"/>
              <w:right w:val="single" w:sz="8" w:space="0" w:color="auto"/>
            </w:tcBorders>
            <w:vAlign w:val="bottom"/>
          </w:tcPr>
          <w:p w14:paraId="0261E4B9" w14:textId="77777777" w:rsidR="00F507F1" w:rsidRPr="00CF7F8E" w:rsidRDefault="00F507F1" w:rsidP="008E735C">
            <w:pPr>
              <w:spacing w:after="0" w:line="240" w:lineRule="auto"/>
              <w:jc w:val="center"/>
              <w:rPr>
                <w:rFonts w:cs="Tahoma"/>
                <w:sz w:val="20"/>
                <w:szCs w:val="20"/>
                <w:highlight w:val="yellow"/>
                <w:lang w:eastAsia="fr-FR"/>
              </w:rPr>
            </w:pPr>
          </w:p>
        </w:tc>
      </w:tr>
      <w:tr w:rsidR="00F507F1" w:rsidRPr="00CF7F8E" w14:paraId="08B958B0" w14:textId="77777777" w:rsidTr="008E735C">
        <w:trPr>
          <w:trHeight w:val="197"/>
        </w:trPr>
        <w:tc>
          <w:tcPr>
            <w:tcW w:w="2291" w:type="dxa"/>
            <w:tcBorders>
              <w:top w:val="nil"/>
              <w:left w:val="single" w:sz="8" w:space="0" w:color="auto"/>
              <w:bottom w:val="nil"/>
              <w:right w:val="single" w:sz="8" w:space="0" w:color="auto"/>
            </w:tcBorders>
            <w:vAlign w:val="bottom"/>
          </w:tcPr>
          <w:p w14:paraId="38A1102A" w14:textId="77777777" w:rsidR="00F507F1" w:rsidRPr="00CF7F8E" w:rsidRDefault="00F507F1" w:rsidP="008E735C">
            <w:pPr>
              <w:spacing w:after="0" w:line="240" w:lineRule="auto"/>
              <w:rPr>
                <w:rFonts w:cs="Tahoma"/>
                <w:sz w:val="20"/>
                <w:szCs w:val="20"/>
                <w:lang w:eastAsia="fr-FR"/>
              </w:rPr>
            </w:pPr>
          </w:p>
        </w:tc>
        <w:tc>
          <w:tcPr>
            <w:tcW w:w="3302" w:type="dxa"/>
            <w:tcBorders>
              <w:top w:val="nil"/>
              <w:left w:val="nil"/>
              <w:bottom w:val="single" w:sz="8" w:space="0" w:color="auto"/>
              <w:right w:val="single" w:sz="8" w:space="0" w:color="auto"/>
            </w:tcBorders>
            <w:vAlign w:val="bottom"/>
            <w:hideMark/>
          </w:tcPr>
          <w:p w14:paraId="15F5E86E" w14:textId="77777777" w:rsidR="00F507F1" w:rsidRPr="00CF7F8E" w:rsidRDefault="00F507F1" w:rsidP="008E735C">
            <w:pPr>
              <w:spacing w:after="0" w:line="240" w:lineRule="auto"/>
              <w:ind w:left="80"/>
              <w:rPr>
                <w:rFonts w:cs="Tahoma"/>
                <w:sz w:val="20"/>
                <w:szCs w:val="20"/>
                <w:lang w:eastAsia="fr-FR"/>
              </w:rPr>
            </w:pPr>
            <w:r w:rsidRPr="00CF7F8E">
              <w:rPr>
                <w:rFonts w:cs="Tahoma"/>
                <w:sz w:val="20"/>
                <w:szCs w:val="20"/>
                <w:lang w:eastAsia="fr-FR"/>
              </w:rPr>
              <w:t>VIH</w:t>
            </w:r>
          </w:p>
        </w:tc>
        <w:tc>
          <w:tcPr>
            <w:tcW w:w="2352" w:type="dxa"/>
            <w:tcBorders>
              <w:top w:val="nil"/>
              <w:left w:val="nil"/>
              <w:bottom w:val="single" w:sz="8" w:space="0" w:color="auto"/>
              <w:right w:val="single" w:sz="8" w:space="0" w:color="auto"/>
            </w:tcBorders>
            <w:vAlign w:val="bottom"/>
            <w:hideMark/>
          </w:tcPr>
          <w:p w14:paraId="15E28E25" w14:textId="77777777" w:rsidR="00F507F1" w:rsidRPr="00CF7F8E" w:rsidRDefault="00F507F1" w:rsidP="008E735C">
            <w:pPr>
              <w:spacing w:after="0" w:line="240" w:lineRule="auto"/>
              <w:jc w:val="center"/>
              <w:rPr>
                <w:rFonts w:cs="Tahoma"/>
                <w:sz w:val="20"/>
                <w:szCs w:val="20"/>
              </w:rPr>
            </w:pPr>
            <w:r w:rsidRPr="00CF7F8E">
              <w:rPr>
                <w:rFonts w:cs="Tahoma"/>
                <w:sz w:val="20"/>
                <w:szCs w:val="20"/>
              </w:rPr>
              <w:t>ND</w:t>
            </w:r>
          </w:p>
        </w:tc>
        <w:tc>
          <w:tcPr>
            <w:tcW w:w="2405" w:type="dxa"/>
            <w:tcBorders>
              <w:top w:val="nil"/>
              <w:left w:val="nil"/>
              <w:bottom w:val="single" w:sz="8" w:space="0" w:color="auto"/>
              <w:right w:val="single" w:sz="8" w:space="0" w:color="auto"/>
            </w:tcBorders>
            <w:vAlign w:val="bottom"/>
          </w:tcPr>
          <w:p w14:paraId="2F73CE2D" w14:textId="77777777" w:rsidR="00F507F1" w:rsidRPr="00CF7F8E" w:rsidRDefault="00F507F1" w:rsidP="008E735C">
            <w:pPr>
              <w:spacing w:after="0" w:line="240" w:lineRule="auto"/>
              <w:jc w:val="center"/>
              <w:rPr>
                <w:rFonts w:cs="Tahoma"/>
                <w:sz w:val="20"/>
                <w:szCs w:val="20"/>
                <w:highlight w:val="yellow"/>
                <w:lang w:eastAsia="fr-FR"/>
              </w:rPr>
            </w:pPr>
          </w:p>
        </w:tc>
      </w:tr>
      <w:tr w:rsidR="00F507F1" w:rsidRPr="00CF7F8E" w14:paraId="07ED354C" w14:textId="77777777" w:rsidTr="008E735C">
        <w:trPr>
          <w:trHeight w:val="196"/>
        </w:trPr>
        <w:tc>
          <w:tcPr>
            <w:tcW w:w="2291" w:type="dxa"/>
            <w:tcBorders>
              <w:top w:val="nil"/>
              <w:left w:val="single" w:sz="8" w:space="0" w:color="auto"/>
              <w:bottom w:val="nil"/>
              <w:right w:val="single" w:sz="8" w:space="0" w:color="auto"/>
            </w:tcBorders>
            <w:vAlign w:val="bottom"/>
          </w:tcPr>
          <w:p w14:paraId="498BFE3A" w14:textId="77777777" w:rsidR="00F507F1" w:rsidRPr="00CF7F8E" w:rsidRDefault="00F507F1" w:rsidP="008E735C">
            <w:pPr>
              <w:spacing w:after="0" w:line="240" w:lineRule="auto"/>
              <w:rPr>
                <w:rFonts w:cs="Tahoma"/>
                <w:sz w:val="20"/>
                <w:szCs w:val="20"/>
                <w:lang w:eastAsia="fr-FR"/>
              </w:rPr>
            </w:pPr>
          </w:p>
        </w:tc>
        <w:tc>
          <w:tcPr>
            <w:tcW w:w="3302" w:type="dxa"/>
            <w:tcBorders>
              <w:top w:val="nil"/>
              <w:left w:val="nil"/>
              <w:bottom w:val="single" w:sz="8" w:space="0" w:color="auto"/>
              <w:right w:val="single" w:sz="8" w:space="0" w:color="auto"/>
            </w:tcBorders>
            <w:vAlign w:val="bottom"/>
            <w:hideMark/>
          </w:tcPr>
          <w:p w14:paraId="1AA4C9F2" w14:textId="77777777" w:rsidR="00F507F1" w:rsidRPr="00CF7F8E" w:rsidRDefault="00F507F1" w:rsidP="008E735C">
            <w:pPr>
              <w:spacing w:after="0" w:line="240" w:lineRule="auto"/>
              <w:ind w:left="80"/>
              <w:rPr>
                <w:rFonts w:cs="Tahoma"/>
                <w:sz w:val="20"/>
                <w:szCs w:val="20"/>
                <w:lang w:eastAsia="fr-FR"/>
              </w:rPr>
            </w:pPr>
            <w:r w:rsidRPr="00CF7F8E">
              <w:rPr>
                <w:rFonts w:cs="Tahoma"/>
                <w:sz w:val="20"/>
                <w:szCs w:val="20"/>
                <w:lang w:eastAsia="fr-FR"/>
              </w:rPr>
              <w:t>Tuberculose</w:t>
            </w:r>
          </w:p>
        </w:tc>
        <w:tc>
          <w:tcPr>
            <w:tcW w:w="2352" w:type="dxa"/>
            <w:tcBorders>
              <w:top w:val="nil"/>
              <w:left w:val="nil"/>
              <w:bottom w:val="single" w:sz="8" w:space="0" w:color="auto"/>
              <w:right w:val="single" w:sz="8" w:space="0" w:color="auto"/>
            </w:tcBorders>
            <w:vAlign w:val="bottom"/>
            <w:hideMark/>
          </w:tcPr>
          <w:p w14:paraId="3EE3F858" w14:textId="77777777" w:rsidR="00F507F1" w:rsidRPr="00CF7F8E" w:rsidRDefault="00F507F1" w:rsidP="008E735C">
            <w:pPr>
              <w:spacing w:after="0" w:line="240" w:lineRule="auto"/>
              <w:jc w:val="center"/>
              <w:rPr>
                <w:rFonts w:cs="Tahoma"/>
                <w:sz w:val="20"/>
                <w:szCs w:val="20"/>
              </w:rPr>
            </w:pPr>
            <w:r w:rsidRPr="00CF7F8E">
              <w:rPr>
                <w:rFonts w:cs="Tahoma"/>
                <w:sz w:val="20"/>
                <w:szCs w:val="20"/>
              </w:rPr>
              <w:t>90/100000 hbts</w:t>
            </w:r>
            <w:r w:rsidRPr="00CF7F8E">
              <w:rPr>
                <w:rFonts w:cs="Tahoma"/>
                <w:sz w:val="20"/>
                <w:szCs w:val="20"/>
              </w:rPr>
              <w:footnoteReference w:id="15"/>
            </w:r>
          </w:p>
        </w:tc>
        <w:tc>
          <w:tcPr>
            <w:tcW w:w="2405" w:type="dxa"/>
            <w:tcBorders>
              <w:top w:val="nil"/>
              <w:left w:val="nil"/>
              <w:bottom w:val="single" w:sz="8" w:space="0" w:color="auto"/>
              <w:right w:val="single" w:sz="8" w:space="0" w:color="auto"/>
            </w:tcBorders>
            <w:vAlign w:val="bottom"/>
          </w:tcPr>
          <w:p w14:paraId="4ABB20FC" w14:textId="77777777" w:rsidR="00F507F1" w:rsidRPr="00CF7F8E" w:rsidRDefault="00F507F1" w:rsidP="008E735C">
            <w:pPr>
              <w:spacing w:after="0" w:line="240" w:lineRule="auto"/>
              <w:jc w:val="center"/>
              <w:rPr>
                <w:rFonts w:cs="Tahoma"/>
                <w:sz w:val="20"/>
                <w:szCs w:val="20"/>
                <w:highlight w:val="yellow"/>
                <w:lang w:eastAsia="fr-FR"/>
              </w:rPr>
            </w:pPr>
          </w:p>
        </w:tc>
      </w:tr>
      <w:tr w:rsidR="00F507F1" w:rsidRPr="00CF7F8E" w14:paraId="3E3843C3" w14:textId="77777777" w:rsidTr="008E735C">
        <w:trPr>
          <w:trHeight w:val="195"/>
        </w:trPr>
        <w:tc>
          <w:tcPr>
            <w:tcW w:w="2291" w:type="dxa"/>
            <w:tcBorders>
              <w:top w:val="nil"/>
              <w:left w:val="single" w:sz="8" w:space="0" w:color="auto"/>
              <w:bottom w:val="nil"/>
              <w:right w:val="single" w:sz="8" w:space="0" w:color="auto"/>
            </w:tcBorders>
            <w:vAlign w:val="bottom"/>
          </w:tcPr>
          <w:p w14:paraId="32225E9B" w14:textId="77777777" w:rsidR="00F507F1" w:rsidRPr="00CF7F8E" w:rsidRDefault="00F507F1" w:rsidP="008E735C">
            <w:pPr>
              <w:spacing w:after="0" w:line="240" w:lineRule="auto"/>
              <w:ind w:left="120"/>
              <w:rPr>
                <w:rFonts w:cs="Tahoma"/>
                <w:b/>
                <w:bCs/>
                <w:sz w:val="20"/>
                <w:szCs w:val="20"/>
                <w:lang w:eastAsia="fr-FR"/>
              </w:rPr>
            </w:pPr>
          </w:p>
        </w:tc>
        <w:tc>
          <w:tcPr>
            <w:tcW w:w="3302" w:type="dxa"/>
            <w:tcBorders>
              <w:top w:val="nil"/>
              <w:left w:val="nil"/>
              <w:bottom w:val="single" w:sz="8" w:space="0" w:color="auto"/>
              <w:right w:val="single" w:sz="8" w:space="0" w:color="auto"/>
            </w:tcBorders>
            <w:vAlign w:val="bottom"/>
            <w:hideMark/>
          </w:tcPr>
          <w:p w14:paraId="6B942A69" w14:textId="77777777" w:rsidR="00F507F1" w:rsidRPr="00CF7F8E" w:rsidRDefault="00F507F1" w:rsidP="008E735C">
            <w:pPr>
              <w:spacing w:after="0" w:line="240" w:lineRule="auto"/>
              <w:ind w:left="80"/>
              <w:rPr>
                <w:rFonts w:cs="Tahoma"/>
                <w:sz w:val="20"/>
                <w:szCs w:val="20"/>
                <w:lang w:eastAsia="fr-FR"/>
              </w:rPr>
            </w:pPr>
            <w:r w:rsidRPr="00CF7F8E">
              <w:rPr>
                <w:rFonts w:cs="Tahoma"/>
                <w:sz w:val="20"/>
                <w:szCs w:val="20"/>
                <w:lang w:eastAsia="fr-FR"/>
              </w:rPr>
              <w:t>Paludisme</w:t>
            </w:r>
          </w:p>
        </w:tc>
        <w:tc>
          <w:tcPr>
            <w:tcW w:w="2352" w:type="dxa"/>
            <w:tcBorders>
              <w:top w:val="nil"/>
              <w:left w:val="nil"/>
              <w:bottom w:val="single" w:sz="8" w:space="0" w:color="auto"/>
              <w:right w:val="single" w:sz="8" w:space="0" w:color="auto"/>
            </w:tcBorders>
            <w:vAlign w:val="bottom"/>
            <w:hideMark/>
          </w:tcPr>
          <w:p w14:paraId="2E2BF0A3" w14:textId="77777777" w:rsidR="00F507F1" w:rsidRPr="00CF7F8E" w:rsidRDefault="00F507F1" w:rsidP="008E735C">
            <w:pPr>
              <w:spacing w:after="0" w:line="240" w:lineRule="auto"/>
              <w:jc w:val="center"/>
              <w:rPr>
                <w:rFonts w:cs="Tahoma"/>
                <w:sz w:val="20"/>
                <w:szCs w:val="20"/>
              </w:rPr>
            </w:pPr>
            <w:r w:rsidRPr="00CF7F8E">
              <w:rPr>
                <w:rFonts w:cs="Tahoma"/>
                <w:sz w:val="20"/>
                <w:szCs w:val="20"/>
              </w:rPr>
              <w:t xml:space="preserve">115 cas/1.000 </w:t>
            </w:r>
          </w:p>
        </w:tc>
        <w:tc>
          <w:tcPr>
            <w:tcW w:w="2405" w:type="dxa"/>
            <w:tcBorders>
              <w:top w:val="nil"/>
              <w:left w:val="nil"/>
              <w:bottom w:val="single" w:sz="8" w:space="0" w:color="auto"/>
              <w:right w:val="single" w:sz="8" w:space="0" w:color="auto"/>
            </w:tcBorders>
            <w:vAlign w:val="bottom"/>
          </w:tcPr>
          <w:p w14:paraId="66BB65AB" w14:textId="77777777" w:rsidR="00F507F1" w:rsidRPr="00CF7F8E" w:rsidRDefault="00F507F1" w:rsidP="008E735C">
            <w:pPr>
              <w:spacing w:after="0" w:line="240" w:lineRule="auto"/>
              <w:jc w:val="center"/>
              <w:rPr>
                <w:rFonts w:cs="Tahoma"/>
                <w:sz w:val="20"/>
                <w:szCs w:val="20"/>
                <w:highlight w:val="yellow"/>
                <w:lang w:eastAsia="fr-FR"/>
              </w:rPr>
            </w:pPr>
          </w:p>
        </w:tc>
      </w:tr>
      <w:tr w:rsidR="00F507F1" w:rsidRPr="00CF7F8E" w14:paraId="7C54E4C6" w14:textId="77777777" w:rsidTr="008E735C">
        <w:trPr>
          <w:trHeight w:val="195"/>
        </w:trPr>
        <w:tc>
          <w:tcPr>
            <w:tcW w:w="2291" w:type="dxa"/>
            <w:vMerge w:val="restart"/>
            <w:tcBorders>
              <w:top w:val="nil"/>
              <w:left w:val="single" w:sz="8" w:space="0" w:color="auto"/>
              <w:bottom w:val="nil"/>
              <w:right w:val="single" w:sz="8" w:space="0" w:color="auto"/>
            </w:tcBorders>
            <w:vAlign w:val="bottom"/>
            <w:hideMark/>
          </w:tcPr>
          <w:p w14:paraId="0F8C663C" w14:textId="77777777" w:rsidR="00F507F1" w:rsidRPr="00CF7F8E" w:rsidRDefault="00F507F1" w:rsidP="008E735C">
            <w:pPr>
              <w:spacing w:after="0" w:line="240" w:lineRule="auto"/>
              <w:ind w:left="120"/>
              <w:rPr>
                <w:rFonts w:cs="Tahoma"/>
                <w:b/>
                <w:bCs/>
                <w:sz w:val="20"/>
                <w:szCs w:val="20"/>
                <w:lang w:eastAsia="fr-FR"/>
              </w:rPr>
            </w:pPr>
            <w:r w:rsidRPr="00CF7F8E">
              <w:rPr>
                <w:rFonts w:cs="Tahoma"/>
                <w:b/>
                <w:bCs/>
                <w:sz w:val="20"/>
                <w:szCs w:val="20"/>
                <w:lang w:eastAsia="fr-FR"/>
              </w:rPr>
              <w:t>Incidence des principaux problèmes de sante</w:t>
            </w:r>
          </w:p>
        </w:tc>
        <w:tc>
          <w:tcPr>
            <w:tcW w:w="3302" w:type="dxa"/>
            <w:tcBorders>
              <w:top w:val="nil"/>
              <w:left w:val="nil"/>
              <w:bottom w:val="single" w:sz="8" w:space="0" w:color="auto"/>
              <w:right w:val="single" w:sz="8" w:space="0" w:color="auto"/>
            </w:tcBorders>
            <w:vAlign w:val="bottom"/>
            <w:hideMark/>
          </w:tcPr>
          <w:p w14:paraId="183ACFD6" w14:textId="77777777" w:rsidR="00F507F1" w:rsidRPr="00CF7F8E" w:rsidRDefault="00F507F1" w:rsidP="008E735C">
            <w:pPr>
              <w:spacing w:after="0" w:line="240" w:lineRule="auto"/>
              <w:ind w:left="80"/>
              <w:rPr>
                <w:rFonts w:cs="Tahoma"/>
                <w:sz w:val="20"/>
                <w:szCs w:val="20"/>
                <w:lang w:eastAsia="fr-FR"/>
              </w:rPr>
            </w:pPr>
            <w:r w:rsidRPr="00CF7F8E">
              <w:rPr>
                <w:rFonts w:cs="Tahoma"/>
                <w:sz w:val="20"/>
                <w:szCs w:val="20"/>
                <w:lang w:eastAsia="fr-FR"/>
              </w:rPr>
              <w:t>Cancer (toutes causes)</w:t>
            </w:r>
          </w:p>
        </w:tc>
        <w:tc>
          <w:tcPr>
            <w:tcW w:w="2352" w:type="dxa"/>
            <w:tcBorders>
              <w:top w:val="nil"/>
              <w:left w:val="nil"/>
              <w:bottom w:val="single" w:sz="8" w:space="0" w:color="auto"/>
              <w:right w:val="single" w:sz="8" w:space="0" w:color="auto"/>
            </w:tcBorders>
            <w:vAlign w:val="bottom"/>
          </w:tcPr>
          <w:p w14:paraId="2343F586" w14:textId="77777777" w:rsidR="00F507F1" w:rsidRPr="00CF7F8E" w:rsidRDefault="00F507F1" w:rsidP="008E735C">
            <w:pPr>
              <w:spacing w:after="0" w:line="240" w:lineRule="auto"/>
              <w:jc w:val="center"/>
              <w:rPr>
                <w:rFonts w:cs="Tahoma"/>
                <w:sz w:val="20"/>
                <w:szCs w:val="20"/>
              </w:rPr>
            </w:pPr>
            <w:r w:rsidRPr="00CF7F8E">
              <w:rPr>
                <w:rFonts w:cs="Tahoma"/>
                <w:sz w:val="20"/>
                <w:szCs w:val="20"/>
              </w:rPr>
              <w:t>11 000 cas/an</w:t>
            </w:r>
          </w:p>
        </w:tc>
        <w:tc>
          <w:tcPr>
            <w:tcW w:w="2405" w:type="dxa"/>
            <w:tcBorders>
              <w:top w:val="nil"/>
              <w:left w:val="nil"/>
              <w:bottom w:val="single" w:sz="8" w:space="0" w:color="auto"/>
              <w:right w:val="single" w:sz="8" w:space="0" w:color="auto"/>
            </w:tcBorders>
            <w:vAlign w:val="bottom"/>
          </w:tcPr>
          <w:p w14:paraId="012ED2AD" w14:textId="77777777" w:rsidR="00F507F1" w:rsidRPr="00CF7F8E" w:rsidRDefault="00F507F1" w:rsidP="008E735C">
            <w:pPr>
              <w:spacing w:after="0" w:line="240" w:lineRule="auto"/>
              <w:jc w:val="center"/>
              <w:rPr>
                <w:rFonts w:cs="Tahoma"/>
                <w:sz w:val="20"/>
                <w:szCs w:val="20"/>
                <w:highlight w:val="yellow"/>
                <w:lang w:eastAsia="fr-FR"/>
              </w:rPr>
            </w:pPr>
          </w:p>
        </w:tc>
      </w:tr>
      <w:tr w:rsidR="00F507F1" w:rsidRPr="00CF7F8E" w14:paraId="39D0BFFF" w14:textId="77777777" w:rsidTr="008E735C">
        <w:trPr>
          <w:trHeight w:val="93"/>
        </w:trPr>
        <w:tc>
          <w:tcPr>
            <w:tcW w:w="0" w:type="auto"/>
            <w:vMerge/>
            <w:tcBorders>
              <w:top w:val="nil"/>
              <w:left w:val="single" w:sz="8" w:space="0" w:color="auto"/>
              <w:bottom w:val="nil"/>
              <w:right w:val="single" w:sz="8" w:space="0" w:color="auto"/>
            </w:tcBorders>
            <w:vAlign w:val="center"/>
            <w:hideMark/>
          </w:tcPr>
          <w:p w14:paraId="5FD98D65" w14:textId="77777777" w:rsidR="00F507F1" w:rsidRPr="00CF7F8E" w:rsidRDefault="00F507F1" w:rsidP="008E735C">
            <w:pPr>
              <w:spacing w:after="0" w:line="240" w:lineRule="auto"/>
              <w:rPr>
                <w:rFonts w:cs="Tahoma"/>
                <w:b/>
                <w:bCs/>
                <w:sz w:val="20"/>
                <w:szCs w:val="20"/>
                <w:lang w:eastAsia="fr-FR"/>
              </w:rPr>
            </w:pPr>
          </w:p>
        </w:tc>
        <w:tc>
          <w:tcPr>
            <w:tcW w:w="3302" w:type="dxa"/>
            <w:vMerge w:val="restart"/>
            <w:tcBorders>
              <w:top w:val="nil"/>
              <w:left w:val="nil"/>
              <w:bottom w:val="single" w:sz="8" w:space="0" w:color="auto"/>
              <w:right w:val="single" w:sz="8" w:space="0" w:color="auto"/>
            </w:tcBorders>
            <w:vAlign w:val="bottom"/>
            <w:hideMark/>
          </w:tcPr>
          <w:p w14:paraId="38123EAC" w14:textId="77777777" w:rsidR="00F507F1" w:rsidRPr="00CF7F8E" w:rsidRDefault="00F507F1" w:rsidP="008E735C">
            <w:pPr>
              <w:spacing w:after="0" w:line="240" w:lineRule="auto"/>
              <w:ind w:left="80"/>
              <w:rPr>
                <w:rFonts w:cs="Tahoma"/>
                <w:sz w:val="20"/>
                <w:szCs w:val="20"/>
                <w:lang w:eastAsia="fr-FR"/>
              </w:rPr>
            </w:pPr>
            <w:r w:rsidRPr="00CF7F8E">
              <w:rPr>
                <w:rFonts w:cs="Tahoma"/>
                <w:sz w:val="20"/>
                <w:szCs w:val="20"/>
                <w:lang w:eastAsia="fr-FR"/>
              </w:rPr>
              <w:t>Maladies pulmonaires obstructives chroniques</w:t>
            </w:r>
          </w:p>
        </w:tc>
        <w:tc>
          <w:tcPr>
            <w:tcW w:w="2352" w:type="dxa"/>
            <w:tcBorders>
              <w:top w:val="nil"/>
              <w:left w:val="nil"/>
              <w:bottom w:val="nil"/>
              <w:right w:val="single" w:sz="8" w:space="0" w:color="auto"/>
            </w:tcBorders>
            <w:vAlign w:val="bottom"/>
          </w:tcPr>
          <w:p w14:paraId="2EFB244D" w14:textId="77777777" w:rsidR="00F507F1" w:rsidRPr="00CF7F8E" w:rsidRDefault="00F507F1" w:rsidP="008E735C">
            <w:pPr>
              <w:spacing w:after="0" w:line="240" w:lineRule="auto"/>
              <w:jc w:val="center"/>
              <w:rPr>
                <w:rFonts w:cs="Tahoma"/>
                <w:sz w:val="20"/>
                <w:szCs w:val="20"/>
              </w:rPr>
            </w:pPr>
            <w:r w:rsidRPr="00CF7F8E">
              <w:rPr>
                <w:rFonts w:cs="Tahoma"/>
                <w:sz w:val="20"/>
                <w:szCs w:val="20"/>
              </w:rPr>
              <w:t>ND</w:t>
            </w:r>
          </w:p>
        </w:tc>
        <w:tc>
          <w:tcPr>
            <w:tcW w:w="2405" w:type="dxa"/>
            <w:tcBorders>
              <w:top w:val="nil"/>
              <w:left w:val="nil"/>
              <w:bottom w:val="nil"/>
              <w:right w:val="single" w:sz="8" w:space="0" w:color="auto"/>
            </w:tcBorders>
            <w:vAlign w:val="bottom"/>
          </w:tcPr>
          <w:p w14:paraId="73AC7350" w14:textId="77777777" w:rsidR="00F507F1" w:rsidRPr="00CF7F8E" w:rsidRDefault="00F507F1" w:rsidP="008E735C">
            <w:pPr>
              <w:spacing w:after="0" w:line="240" w:lineRule="auto"/>
              <w:jc w:val="center"/>
              <w:rPr>
                <w:rFonts w:cs="Tahoma"/>
                <w:sz w:val="20"/>
                <w:szCs w:val="20"/>
                <w:highlight w:val="yellow"/>
                <w:lang w:eastAsia="fr-FR"/>
              </w:rPr>
            </w:pPr>
          </w:p>
        </w:tc>
      </w:tr>
      <w:tr w:rsidR="00F507F1" w:rsidRPr="00CF7F8E" w14:paraId="4C786107" w14:textId="77777777" w:rsidTr="008E735C">
        <w:trPr>
          <w:trHeight w:val="104"/>
        </w:trPr>
        <w:tc>
          <w:tcPr>
            <w:tcW w:w="2291" w:type="dxa"/>
            <w:vMerge w:val="restart"/>
            <w:tcBorders>
              <w:top w:val="nil"/>
              <w:left w:val="single" w:sz="8" w:space="0" w:color="auto"/>
              <w:bottom w:val="nil"/>
              <w:right w:val="single" w:sz="8" w:space="0" w:color="auto"/>
            </w:tcBorders>
            <w:vAlign w:val="bottom"/>
          </w:tcPr>
          <w:p w14:paraId="18625DE6" w14:textId="77777777" w:rsidR="00F507F1" w:rsidRPr="00CF7F8E" w:rsidRDefault="00F507F1" w:rsidP="008E735C">
            <w:pPr>
              <w:spacing w:after="0" w:line="240" w:lineRule="auto"/>
              <w:rPr>
                <w:rFonts w:cs="Tahoma"/>
                <w:b/>
                <w:bCs/>
                <w:sz w:val="20"/>
                <w:szCs w:val="20"/>
                <w:lang w:eastAsia="fr-FR"/>
              </w:rPr>
            </w:pPr>
          </w:p>
        </w:tc>
        <w:tc>
          <w:tcPr>
            <w:tcW w:w="0" w:type="auto"/>
            <w:vMerge/>
            <w:tcBorders>
              <w:top w:val="nil"/>
              <w:left w:val="nil"/>
              <w:bottom w:val="single" w:sz="8" w:space="0" w:color="auto"/>
              <w:right w:val="single" w:sz="8" w:space="0" w:color="auto"/>
            </w:tcBorders>
            <w:vAlign w:val="center"/>
            <w:hideMark/>
          </w:tcPr>
          <w:p w14:paraId="10B9063E" w14:textId="77777777" w:rsidR="00F507F1" w:rsidRPr="00CF7F8E" w:rsidRDefault="00F507F1" w:rsidP="008E735C">
            <w:pPr>
              <w:spacing w:after="0" w:line="240" w:lineRule="auto"/>
              <w:rPr>
                <w:rFonts w:cs="Tahoma"/>
                <w:sz w:val="20"/>
                <w:szCs w:val="20"/>
                <w:lang w:eastAsia="fr-FR"/>
              </w:rPr>
            </w:pPr>
          </w:p>
        </w:tc>
        <w:tc>
          <w:tcPr>
            <w:tcW w:w="2352" w:type="dxa"/>
            <w:tcBorders>
              <w:top w:val="nil"/>
              <w:left w:val="nil"/>
              <w:bottom w:val="single" w:sz="8" w:space="0" w:color="auto"/>
              <w:right w:val="single" w:sz="8" w:space="0" w:color="auto"/>
            </w:tcBorders>
            <w:vAlign w:val="bottom"/>
          </w:tcPr>
          <w:p w14:paraId="25312927" w14:textId="77777777" w:rsidR="00F507F1" w:rsidRPr="00CF7F8E" w:rsidRDefault="00F507F1" w:rsidP="008E735C">
            <w:pPr>
              <w:spacing w:after="0" w:line="240" w:lineRule="auto"/>
              <w:jc w:val="center"/>
              <w:rPr>
                <w:rFonts w:cs="Tahoma"/>
                <w:sz w:val="20"/>
                <w:szCs w:val="20"/>
              </w:rPr>
            </w:pPr>
          </w:p>
        </w:tc>
        <w:tc>
          <w:tcPr>
            <w:tcW w:w="2405" w:type="dxa"/>
            <w:tcBorders>
              <w:top w:val="nil"/>
              <w:left w:val="nil"/>
              <w:bottom w:val="single" w:sz="8" w:space="0" w:color="auto"/>
              <w:right w:val="single" w:sz="8" w:space="0" w:color="auto"/>
            </w:tcBorders>
            <w:vAlign w:val="bottom"/>
          </w:tcPr>
          <w:p w14:paraId="6A049295" w14:textId="77777777" w:rsidR="00F507F1" w:rsidRPr="00CF7F8E" w:rsidRDefault="00F507F1" w:rsidP="008E735C">
            <w:pPr>
              <w:spacing w:after="0" w:line="240" w:lineRule="auto"/>
              <w:jc w:val="center"/>
              <w:rPr>
                <w:rFonts w:cs="Tahoma"/>
                <w:sz w:val="20"/>
                <w:szCs w:val="20"/>
                <w:highlight w:val="yellow"/>
                <w:lang w:eastAsia="fr-FR"/>
              </w:rPr>
            </w:pPr>
          </w:p>
        </w:tc>
      </w:tr>
      <w:tr w:rsidR="00F507F1" w:rsidRPr="00CF7F8E" w14:paraId="6F391E53" w14:textId="77777777" w:rsidTr="008E735C">
        <w:trPr>
          <w:trHeight w:val="82"/>
        </w:trPr>
        <w:tc>
          <w:tcPr>
            <w:tcW w:w="0" w:type="auto"/>
            <w:vMerge/>
            <w:tcBorders>
              <w:top w:val="nil"/>
              <w:left w:val="single" w:sz="8" w:space="0" w:color="auto"/>
              <w:bottom w:val="nil"/>
              <w:right w:val="single" w:sz="8" w:space="0" w:color="auto"/>
            </w:tcBorders>
            <w:vAlign w:val="center"/>
            <w:hideMark/>
          </w:tcPr>
          <w:p w14:paraId="412F2FE5" w14:textId="77777777" w:rsidR="00F507F1" w:rsidRPr="00CF7F8E" w:rsidRDefault="00F507F1" w:rsidP="008E735C">
            <w:pPr>
              <w:spacing w:after="0" w:line="240" w:lineRule="auto"/>
              <w:rPr>
                <w:rFonts w:cs="Tahoma"/>
                <w:b/>
                <w:bCs/>
                <w:sz w:val="20"/>
                <w:szCs w:val="20"/>
                <w:lang w:eastAsia="fr-FR"/>
              </w:rPr>
            </w:pPr>
          </w:p>
        </w:tc>
        <w:tc>
          <w:tcPr>
            <w:tcW w:w="3302" w:type="dxa"/>
            <w:vMerge w:val="restart"/>
            <w:tcBorders>
              <w:top w:val="nil"/>
              <w:left w:val="nil"/>
              <w:bottom w:val="single" w:sz="8" w:space="0" w:color="auto"/>
              <w:right w:val="single" w:sz="8" w:space="0" w:color="auto"/>
            </w:tcBorders>
            <w:vAlign w:val="bottom"/>
            <w:hideMark/>
          </w:tcPr>
          <w:p w14:paraId="4A4D42AD" w14:textId="77777777" w:rsidR="00F507F1" w:rsidRPr="00CF7F8E" w:rsidRDefault="00F507F1" w:rsidP="008E735C">
            <w:pPr>
              <w:spacing w:after="0" w:line="240" w:lineRule="auto"/>
              <w:ind w:left="80"/>
              <w:rPr>
                <w:rFonts w:cs="Tahoma"/>
                <w:sz w:val="20"/>
                <w:szCs w:val="20"/>
                <w:lang w:eastAsia="fr-FR"/>
              </w:rPr>
            </w:pPr>
            <w:r w:rsidRPr="00CF7F8E">
              <w:rPr>
                <w:rFonts w:cs="Tahoma"/>
                <w:sz w:val="20"/>
                <w:szCs w:val="20"/>
                <w:lang w:eastAsia="fr-FR"/>
              </w:rPr>
              <w:t>Diabète</w:t>
            </w:r>
          </w:p>
        </w:tc>
        <w:tc>
          <w:tcPr>
            <w:tcW w:w="2352" w:type="dxa"/>
            <w:tcBorders>
              <w:top w:val="nil"/>
              <w:left w:val="nil"/>
              <w:bottom w:val="nil"/>
              <w:right w:val="single" w:sz="8" w:space="0" w:color="auto"/>
            </w:tcBorders>
          </w:tcPr>
          <w:p w14:paraId="1103C290" w14:textId="77777777" w:rsidR="00F507F1" w:rsidRPr="00CF7F8E" w:rsidRDefault="00F507F1" w:rsidP="008E735C">
            <w:pPr>
              <w:spacing w:after="0" w:line="240" w:lineRule="auto"/>
              <w:jc w:val="center"/>
              <w:rPr>
                <w:rFonts w:cs="Tahoma"/>
                <w:sz w:val="20"/>
                <w:szCs w:val="20"/>
              </w:rPr>
            </w:pPr>
            <w:r w:rsidRPr="00CF7F8E">
              <w:rPr>
                <w:rFonts w:cs="Tahoma"/>
                <w:sz w:val="20"/>
                <w:szCs w:val="20"/>
              </w:rPr>
              <w:t>ND</w:t>
            </w:r>
          </w:p>
        </w:tc>
        <w:tc>
          <w:tcPr>
            <w:tcW w:w="2405" w:type="dxa"/>
            <w:tcBorders>
              <w:top w:val="nil"/>
              <w:left w:val="nil"/>
              <w:bottom w:val="nil"/>
              <w:right w:val="single" w:sz="8" w:space="0" w:color="auto"/>
            </w:tcBorders>
            <w:vAlign w:val="bottom"/>
          </w:tcPr>
          <w:p w14:paraId="584BCE60" w14:textId="77777777" w:rsidR="00F507F1" w:rsidRPr="00CF7F8E" w:rsidRDefault="00F507F1" w:rsidP="008E735C">
            <w:pPr>
              <w:spacing w:after="0" w:line="240" w:lineRule="auto"/>
              <w:jc w:val="center"/>
              <w:rPr>
                <w:rFonts w:cs="Tahoma"/>
                <w:sz w:val="20"/>
                <w:szCs w:val="20"/>
                <w:highlight w:val="yellow"/>
                <w:lang w:eastAsia="fr-FR"/>
              </w:rPr>
            </w:pPr>
          </w:p>
        </w:tc>
      </w:tr>
      <w:tr w:rsidR="00F507F1" w:rsidRPr="00CF7F8E" w14:paraId="35CFE904" w14:textId="77777777" w:rsidTr="008E735C">
        <w:trPr>
          <w:trHeight w:val="90"/>
        </w:trPr>
        <w:tc>
          <w:tcPr>
            <w:tcW w:w="2291" w:type="dxa"/>
            <w:tcBorders>
              <w:top w:val="nil"/>
              <w:left w:val="single" w:sz="8" w:space="0" w:color="auto"/>
              <w:bottom w:val="nil"/>
              <w:right w:val="single" w:sz="8" w:space="0" w:color="auto"/>
            </w:tcBorders>
            <w:vAlign w:val="bottom"/>
          </w:tcPr>
          <w:p w14:paraId="7D4D541A" w14:textId="77777777" w:rsidR="00F507F1" w:rsidRPr="00CF7F8E" w:rsidRDefault="00F507F1" w:rsidP="008E735C">
            <w:pPr>
              <w:spacing w:after="0" w:line="240" w:lineRule="auto"/>
              <w:rPr>
                <w:rFonts w:cs="Tahoma"/>
                <w:sz w:val="20"/>
                <w:szCs w:val="20"/>
                <w:lang w:eastAsia="fr-FR"/>
              </w:rPr>
            </w:pPr>
          </w:p>
        </w:tc>
        <w:tc>
          <w:tcPr>
            <w:tcW w:w="0" w:type="auto"/>
            <w:vMerge/>
            <w:tcBorders>
              <w:top w:val="nil"/>
              <w:left w:val="nil"/>
              <w:bottom w:val="single" w:sz="8" w:space="0" w:color="auto"/>
              <w:right w:val="single" w:sz="8" w:space="0" w:color="auto"/>
            </w:tcBorders>
            <w:vAlign w:val="center"/>
            <w:hideMark/>
          </w:tcPr>
          <w:p w14:paraId="1AA076B0" w14:textId="77777777" w:rsidR="00F507F1" w:rsidRPr="00CF7F8E" w:rsidRDefault="00F507F1" w:rsidP="008E735C">
            <w:pPr>
              <w:spacing w:after="0" w:line="240" w:lineRule="auto"/>
              <w:rPr>
                <w:rFonts w:cs="Tahoma"/>
                <w:sz w:val="20"/>
                <w:szCs w:val="20"/>
                <w:lang w:eastAsia="fr-FR"/>
              </w:rPr>
            </w:pPr>
          </w:p>
        </w:tc>
        <w:tc>
          <w:tcPr>
            <w:tcW w:w="2352" w:type="dxa"/>
            <w:tcBorders>
              <w:top w:val="nil"/>
              <w:left w:val="nil"/>
              <w:bottom w:val="single" w:sz="8" w:space="0" w:color="auto"/>
              <w:right w:val="single" w:sz="8" w:space="0" w:color="auto"/>
            </w:tcBorders>
          </w:tcPr>
          <w:p w14:paraId="18F6008D" w14:textId="77777777" w:rsidR="00F507F1" w:rsidRPr="00CF7F8E" w:rsidRDefault="00F507F1" w:rsidP="008E735C">
            <w:pPr>
              <w:spacing w:after="0" w:line="240" w:lineRule="auto"/>
              <w:rPr>
                <w:rFonts w:cs="Tahoma"/>
                <w:sz w:val="20"/>
                <w:szCs w:val="20"/>
              </w:rPr>
            </w:pPr>
          </w:p>
        </w:tc>
        <w:tc>
          <w:tcPr>
            <w:tcW w:w="2405" w:type="dxa"/>
            <w:tcBorders>
              <w:top w:val="nil"/>
              <w:left w:val="nil"/>
              <w:bottom w:val="single" w:sz="8" w:space="0" w:color="auto"/>
              <w:right w:val="single" w:sz="8" w:space="0" w:color="auto"/>
            </w:tcBorders>
            <w:vAlign w:val="bottom"/>
          </w:tcPr>
          <w:p w14:paraId="307FE70F" w14:textId="77777777" w:rsidR="00F507F1" w:rsidRPr="00CF7F8E" w:rsidRDefault="00F507F1" w:rsidP="008E735C">
            <w:pPr>
              <w:spacing w:after="0" w:line="240" w:lineRule="auto"/>
              <w:jc w:val="center"/>
              <w:rPr>
                <w:rFonts w:cs="Tahoma"/>
                <w:sz w:val="20"/>
                <w:szCs w:val="20"/>
                <w:highlight w:val="yellow"/>
                <w:lang w:eastAsia="fr-FR"/>
              </w:rPr>
            </w:pPr>
          </w:p>
        </w:tc>
      </w:tr>
      <w:tr w:rsidR="00F507F1" w:rsidRPr="00CF7F8E" w14:paraId="34FB3A92" w14:textId="77777777" w:rsidTr="008E735C">
        <w:trPr>
          <w:trHeight w:val="199"/>
        </w:trPr>
        <w:tc>
          <w:tcPr>
            <w:tcW w:w="2291" w:type="dxa"/>
            <w:tcBorders>
              <w:top w:val="nil"/>
              <w:left w:val="single" w:sz="8" w:space="0" w:color="auto"/>
              <w:bottom w:val="nil"/>
              <w:right w:val="single" w:sz="8" w:space="0" w:color="auto"/>
            </w:tcBorders>
            <w:vAlign w:val="bottom"/>
          </w:tcPr>
          <w:p w14:paraId="042B0BA2" w14:textId="77777777" w:rsidR="00F507F1" w:rsidRPr="00CF7F8E" w:rsidRDefault="00F507F1" w:rsidP="008E735C">
            <w:pPr>
              <w:spacing w:after="0" w:line="240" w:lineRule="auto"/>
              <w:rPr>
                <w:rFonts w:cs="Tahoma"/>
                <w:sz w:val="20"/>
                <w:szCs w:val="20"/>
                <w:lang w:eastAsia="fr-FR"/>
              </w:rPr>
            </w:pPr>
          </w:p>
        </w:tc>
        <w:tc>
          <w:tcPr>
            <w:tcW w:w="3302" w:type="dxa"/>
            <w:tcBorders>
              <w:top w:val="nil"/>
              <w:left w:val="nil"/>
              <w:bottom w:val="single" w:sz="8" w:space="0" w:color="auto"/>
              <w:right w:val="single" w:sz="8" w:space="0" w:color="auto"/>
            </w:tcBorders>
            <w:vAlign w:val="bottom"/>
            <w:hideMark/>
          </w:tcPr>
          <w:p w14:paraId="0269FCC7" w14:textId="77777777" w:rsidR="00F507F1" w:rsidRPr="00CF7F8E" w:rsidRDefault="00F507F1" w:rsidP="008E735C">
            <w:pPr>
              <w:spacing w:after="0" w:line="240" w:lineRule="auto"/>
              <w:ind w:left="80"/>
              <w:rPr>
                <w:rFonts w:cs="Tahoma"/>
                <w:sz w:val="20"/>
                <w:szCs w:val="20"/>
                <w:lang w:eastAsia="fr-FR"/>
              </w:rPr>
            </w:pPr>
            <w:r w:rsidRPr="00CF7F8E">
              <w:rPr>
                <w:rFonts w:cs="Tahoma"/>
                <w:sz w:val="20"/>
                <w:szCs w:val="20"/>
                <w:lang w:eastAsia="fr-FR"/>
              </w:rPr>
              <w:t>AVC</w:t>
            </w:r>
          </w:p>
        </w:tc>
        <w:tc>
          <w:tcPr>
            <w:tcW w:w="2352" w:type="dxa"/>
            <w:tcBorders>
              <w:top w:val="nil"/>
              <w:left w:val="nil"/>
              <w:bottom w:val="single" w:sz="8" w:space="0" w:color="auto"/>
              <w:right w:val="single" w:sz="8" w:space="0" w:color="auto"/>
            </w:tcBorders>
          </w:tcPr>
          <w:p w14:paraId="3713173D" w14:textId="77777777" w:rsidR="00F507F1" w:rsidRPr="00CF7F8E" w:rsidRDefault="00F507F1" w:rsidP="008E735C">
            <w:pPr>
              <w:spacing w:after="0" w:line="240" w:lineRule="auto"/>
              <w:jc w:val="center"/>
              <w:rPr>
                <w:rFonts w:cs="Tahoma"/>
                <w:sz w:val="20"/>
                <w:szCs w:val="20"/>
              </w:rPr>
            </w:pPr>
            <w:r w:rsidRPr="00CF7F8E">
              <w:rPr>
                <w:rFonts w:cs="Tahoma"/>
                <w:sz w:val="20"/>
                <w:szCs w:val="20"/>
              </w:rPr>
              <w:t>ND</w:t>
            </w:r>
          </w:p>
        </w:tc>
        <w:tc>
          <w:tcPr>
            <w:tcW w:w="2405" w:type="dxa"/>
            <w:tcBorders>
              <w:top w:val="nil"/>
              <w:left w:val="nil"/>
              <w:bottom w:val="single" w:sz="8" w:space="0" w:color="auto"/>
              <w:right w:val="single" w:sz="8" w:space="0" w:color="auto"/>
            </w:tcBorders>
            <w:vAlign w:val="bottom"/>
          </w:tcPr>
          <w:p w14:paraId="726F5ACC" w14:textId="77777777" w:rsidR="00F507F1" w:rsidRPr="00CF7F8E" w:rsidRDefault="00F507F1" w:rsidP="008E735C">
            <w:pPr>
              <w:spacing w:after="0" w:line="240" w:lineRule="auto"/>
              <w:jc w:val="center"/>
              <w:rPr>
                <w:rFonts w:cs="Tahoma"/>
                <w:sz w:val="20"/>
                <w:szCs w:val="20"/>
                <w:highlight w:val="yellow"/>
                <w:lang w:eastAsia="fr-FR"/>
              </w:rPr>
            </w:pPr>
          </w:p>
        </w:tc>
      </w:tr>
      <w:tr w:rsidR="00F507F1" w:rsidRPr="00CF7F8E" w14:paraId="713AB08B" w14:textId="77777777" w:rsidTr="008E735C">
        <w:trPr>
          <w:trHeight w:val="196"/>
        </w:trPr>
        <w:tc>
          <w:tcPr>
            <w:tcW w:w="2291" w:type="dxa"/>
            <w:tcBorders>
              <w:top w:val="nil"/>
              <w:left w:val="single" w:sz="8" w:space="0" w:color="auto"/>
              <w:bottom w:val="single" w:sz="8" w:space="0" w:color="auto"/>
              <w:right w:val="single" w:sz="8" w:space="0" w:color="auto"/>
            </w:tcBorders>
            <w:vAlign w:val="bottom"/>
          </w:tcPr>
          <w:p w14:paraId="2502D3A0" w14:textId="77777777" w:rsidR="00F507F1" w:rsidRPr="00CF7F8E" w:rsidRDefault="00F507F1" w:rsidP="008E735C">
            <w:pPr>
              <w:spacing w:after="0" w:line="240" w:lineRule="auto"/>
              <w:rPr>
                <w:rFonts w:cs="Tahoma"/>
                <w:sz w:val="20"/>
                <w:szCs w:val="20"/>
                <w:lang w:eastAsia="fr-FR"/>
              </w:rPr>
            </w:pPr>
          </w:p>
        </w:tc>
        <w:tc>
          <w:tcPr>
            <w:tcW w:w="3302" w:type="dxa"/>
            <w:tcBorders>
              <w:top w:val="nil"/>
              <w:left w:val="nil"/>
              <w:bottom w:val="single" w:sz="8" w:space="0" w:color="auto"/>
              <w:right w:val="single" w:sz="8" w:space="0" w:color="auto"/>
            </w:tcBorders>
            <w:vAlign w:val="bottom"/>
            <w:hideMark/>
          </w:tcPr>
          <w:p w14:paraId="787D59C5" w14:textId="77777777" w:rsidR="00F507F1" w:rsidRPr="00CF7F8E" w:rsidRDefault="00F507F1" w:rsidP="008E735C">
            <w:pPr>
              <w:spacing w:after="0" w:line="240" w:lineRule="auto"/>
              <w:ind w:left="80"/>
              <w:rPr>
                <w:rFonts w:cs="Tahoma"/>
                <w:sz w:val="20"/>
                <w:szCs w:val="20"/>
                <w:lang w:eastAsia="fr-FR"/>
              </w:rPr>
            </w:pPr>
            <w:r w:rsidRPr="00CF7F8E">
              <w:rPr>
                <w:rFonts w:cs="Tahoma"/>
                <w:sz w:val="20"/>
                <w:szCs w:val="20"/>
                <w:lang w:eastAsia="fr-FR"/>
              </w:rPr>
              <w:t>Événements liés à la circulation routière</w:t>
            </w:r>
          </w:p>
        </w:tc>
        <w:tc>
          <w:tcPr>
            <w:tcW w:w="2352" w:type="dxa"/>
            <w:tcBorders>
              <w:top w:val="nil"/>
              <w:left w:val="nil"/>
              <w:bottom w:val="single" w:sz="8" w:space="0" w:color="auto"/>
              <w:right w:val="single" w:sz="8" w:space="0" w:color="auto"/>
            </w:tcBorders>
          </w:tcPr>
          <w:p w14:paraId="7BE9C0B1" w14:textId="77777777" w:rsidR="00F507F1" w:rsidRPr="00CF7F8E" w:rsidRDefault="00F507F1" w:rsidP="008E735C">
            <w:pPr>
              <w:spacing w:after="0" w:line="240" w:lineRule="auto"/>
              <w:jc w:val="center"/>
              <w:rPr>
                <w:rFonts w:cs="Tahoma"/>
                <w:sz w:val="20"/>
                <w:szCs w:val="20"/>
              </w:rPr>
            </w:pPr>
            <w:r w:rsidRPr="00CF7F8E">
              <w:rPr>
                <w:rFonts w:cs="Tahoma"/>
                <w:sz w:val="20"/>
                <w:szCs w:val="20"/>
              </w:rPr>
              <w:t>ND</w:t>
            </w:r>
          </w:p>
        </w:tc>
        <w:tc>
          <w:tcPr>
            <w:tcW w:w="2405" w:type="dxa"/>
            <w:tcBorders>
              <w:top w:val="nil"/>
              <w:left w:val="nil"/>
              <w:bottom w:val="single" w:sz="8" w:space="0" w:color="auto"/>
              <w:right w:val="single" w:sz="8" w:space="0" w:color="auto"/>
            </w:tcBorders>
            <w:vAlign w:val="bottom"/>
          </w:tcPr>
          <w:p w14:paraId="51923651" w14:textId="77777777" w:rsidR="00F507F1" w:rsidRPr="00CF7F8E" w:rsidRDefault="00F507F1" w:rsidP="008E735C">
            <w:pPr>
              <w:spacing w:after="0" w:line="240" w:lineRule="auto"/>
              <w:jc w:val="center"/>
              <w:rPr>
                <w:rFonts w:cs="Tahoma"/>
                <w:sz w:val="20"/>
                <w:szCs w:val="20"/>
                <w:highlight w:val="yellow"/>
                <w:lang w:eastAsia="fr-FR"/>
              </w:rPr>
            </w:pPr>
          </w:p>
        </w:tc>
      </w:tr>
      <w:tr w:rsidR="00F507F1" w:rsidRPr="00CF7F8E" w14:paraId="4D2CFDB0" w14:textId="77777777" w:rsidTr="008E735C">
        <w:trPr>
          <w:trHeight w:val="197"/>
        </w:trPr>
        <w:tc>
          <w:tcPr>
            <w:tcW w:w="2291" w:type="dxa"/>
            <w:tcBorders>
              <w:top w:val="nil"/>
              <w:left w:val="single" w:sz="8" w:space="0" w:color="auto"/>
              <w:bottom w:val="single" w:sz="8" w:space="0" w:color="auto"/>
              <w:right w:val="single" w:sz="8" w:space="0" w:color="auto"/>
            </w:tcBorders>
            <w:vAlign w:val="bottom"/>
          </w:tcPr>
          <w:p w14:paraId="7393ACA5" w14:textId="77777777" w:rsidR="00F507F1" w:rsidRPr="00CF7F8E" w:rsidRDefault="00F507F1" w:rsidP="008E735C">
            <w:pPr>
              <w:spacing w:after="0" w:line="240" w:lineRule="auto"/>
              <w:rPr>
                <w:rFonts w:cs="Tahoma"/>
                <w:sz w:val="20"/>
                <w:szCs w:val="20"/>
                <w:lang w:eastAsia="fr-FR"/>
              </w:rPr>
            </w:pPr>
          </w:p>
        </w:tc>
        <w:tc>
          <w:tcPr>
            <w:tcW w:w="3302" w:type="dxa"/>
            <w:tcBorders>
              <w:top w:val="nil"/>
              <w:left w:val="nil"/>
              <w:bottom w:val="single" w:sz="8" w:space="0" w:color="auto"/>
              <w:right w:val="single" w:sz="8" w:space="0" w:color="auto"/>
            </w:tcBorders>
            <w:vAlign w:val="bottom"/>
          </w:tcPr>
          <w:p w14:paraId="0353225E" w14:textId="77777777" w:rsidR="00F507F1" w:rsidRPr="00CF7F8E" w:rsidRDefault="00F507F1" w:rsidP="008E735C">
            <w:pPr>
              <w:spacing w:after="0" w:line="240" w:lineRule="auto"/>
              <w:rPr>
                <w:rFonts w:cs="Tahoma"/>
                <w:sz w:val="20"/>
                <w:szCs w:val="20"/>
                <w:lang w:eastAsia="fr-FR"/>
              </w:rPr>
            </w:pPr>
          </w:p>
        </w:tc>
        <w:tc>
          <w:tcPr>
            <w:tcW w:w="2352" w:type="dxa"/>
            <w:tcBorders>
              <w:top w:val="nil"/>
              <w:left w:val="nil"/>
              <w:bottom w:val="single" w:sz="8" w:space="0" w:color="auto"/>
              <w:right w:val="single" w:sz="8" w:space="0" w:color="auto"/>
            </w:tcBorders>
            <w:vAlign w:val="bottom"/>
          </w:tcPr>
          <w:p w14:paraId="275A1D55" w14:textId="77777777" w:rsidR="00F507F1" w:rsidRPr="00CF7F8E" w:rsidRDefault="00F507F1" w:rsidP="008E735C">
            <w:pPr>
              <w:spacing w:after="0" w:line="240" w:lineRule="auto"/>
              <w:jc w:val="center"/>
              <w:rPr>
                <w:rFonts w:cs="Tahoma"/>
                <w:sz w:val="20"/>
                <w:szCs w:val="20"/>
              </w:rPr>
            </w:pPr>
          </w:p>
        </w:tc>
        <w:tc>
          <w:tcPr>
            <w:tcW w:w="2405" w:type="dxa"/>
            <w:tcBorders>
              <w:top w:val="nil"/>
              <w:left w:val="nil"/>
              <w:bottom w:val="single" w:sz="8" w:space="0" w:color="auto"/>
              <w:right w:val="single" w:sz="8" w:space="0" w:color="auto"/>
            </w:tcBorders>
            <w:vAlign w:val="bottom"/>
          </w:tcPr>
          <w:p w14:paraId="47240DAA" w14:textId="77777777" w:rsidR="00F507F1" w:rsidRPr="00CF7F8E" w:rsidRDefault="00F507F1" w:rsidP="008E735C">
            <w:pPr>
              <w:spacing w:after="0" w:line="240" w:lineRule="auto"/>
              <w:jc w:val="center"/>
              <w:rPr>
                <w:rFonts w:cs="Tahoma"/>
                <w:sz w:val="20"/>
                <w:szCs w:val="20"/>
                <w:highlight w:val="yellow"/>
                <w:lang w:eastAsia="fr-FR"/>
              </w:rPr>
            </w:pPr>
          </w:p>
        </w:tc>
      </w:tr>
      <w:tr w:rsidR="00F507F1" w:rsidRPr="00CF7F8E" w14:paraId="06D0F845" w14:textId="77777777" w:rsidTr="008E735C">
        <w:trPr>
          <w:trHeight w:val="194"/>
        </w:trPr>
        <w:tc>
          <w:tcPr>
            <w:tcW w:w="2291" w:type="dxa"/>
            <w:tcBorders>
              <w:top w:val="nil"/>
              <w:left w:val="single" w:sz="8" w:space="0" w:color="auto"/>
              <w:bottom w:val="nil"/>
              <w:right w:val="single" w:sz="8" w:space="0" w:color="auto"/>
            </w:tcBorders>
            <w:vAlign w:val="bottom"/>
            <w:hideMark/>
          </w:tcPr>
          <w:p w14:paraId="520D14FD" w14:textId="77777777" w:rsidR="00F507F1" w:rsidRPr="00CF7F8E" w:rsidRDefault="00F507F1" w:rsidP="008E735C">
            <w:pPr>
              <w:spacing w:after="0" w:line="240" w:lineRule="auto"/>
              <w:ind w:left="120"/>
              <w:rPr>
                <w:rFonts w:cs="Tahoma"/>
                <w:b/>
                <w:bCs/>
                <w:sz w:val="20"/>
                <w:szCs w:val="20"/>
                <w:lang w:eastAsia="fr-FR"/>
              </w:rPr>
            </w:pPr>
            <w:r w:rsidRPr="00CF7F8E">
              <w:rPr>
                <w:rFonts w:cs="Tahoma"/>
                <w:b/>
                <w:bCs/>
                <w:sz w:val="20"/>
                <w:szCs w:val="20"/>
                <w:lang w:eastAsia="fr-FR"/>
              </w:rPr>
              <w:t>Prévalence des principaux problèmes de santé</w:t>
            </w:r>
          </w:p>
        </w:tc>
        <w:tc>
          <w:tcPr>
            <w:tcW w:w="3302" w:type="dxa"/>
            <w:tcBorders>
              <w:top w:val="nil"/>
              <w:left w:val="nil"/>
              <w:bottom w:val="single" w:sz="8" w:space="0" w:color="auto"/>
              <w:right w:val="single" w:sz="8" w:space="0" w:color="auto"/>
            </w:tcBorders>
            <w:vAlign w:val="bottom"/>
            <w:hideMark/>
          </w:tcPr>
          <w:p w14:paraId="5AEB15C2" w14:textId="77777777" w:rsidR="00F507F1" w:rsidRPr="00CF7F8E" w:rsidRDefault="00F507F1" w:rsidP="008E735C">
            <w:pPr>
              <w:spacing w:after="0" w:line="240" w:lineRule="auto"/>
              <w:ind w:left="80"/>
              <w:rPr>
                <w:rFonts w:cs="Tahoma"/>
                <w:sz w:val="20"/>
                <w:szCs w:val="20"/>
                <w:lang w:eastAsia="fr-FR"/>
              </w:rPr>
            </w:pPr>
            <w:r w:rsidRPr="00CF7F8E">
              <w:rPr>
                <w:rFonts w:cs="Tahoma"/>
                <w:sz w:val="20"/>
                <w:szCs w:val="20"/>
                <w:lang w:eastAsia="fr-FR"/>
              </w:rPr>
              <w:t>VIH</w:t>
            </w:r>
          </w:p>
        </w:tc>
        <w:tc>
          <w:tcPr>
            <w:tcW w:w="2352" w:type="dxa"/>
            <w:tcBorders>
              <w:top w:val="nil"/>
              <w:left w:val="nil"/>
              <w:bottom w:val="single" w:sz="8" w:space="0" w:color="auto"/>
              <w:right w:val="single" w:sz="8" w:space="0" w:color="auto"/>
            </w:tcBorders>
            <w:vAlign w:val="bottom"/>
            <w:hideMark/>
          </w:tcPr>
          <w:p w14:paraId="07AEAA3E" w14:textId="77777777" w:rsidR="00F507F1" w:rsidRPr="00CF7F8E" w:rsidRDefault="00F507F1" w:rsidP="008E735C">
            <w:pPr>
              <w:spacing w:after="0" w:line="240" w:lineRule="auto"/>
              <w:jc w:val="center"/>
              <w:rPr>
                <w:rFonts w:cs="Tahoma"/>
                <w:sz w:val="20"/>
                <w:szCs w:val="20"/>
              </w:rPr>
            </w:pPr>
            <w:r w:rsidRPr="00CF7F8E">
              <w:rPr>
                <w:rFonts w:cs="Tahoma"/>
                <w:sz w:val="20"/>
                <w:szCs w:val="20"/>
              </w:rPr>
              <w:t>0,4%</w:t>
            </w:r>
            <w:r w:rsidRPr="00CF7F8E">
              <w:rPr>
                <w:rFonts w:cs="Tahoma"/>
                <w:sz w:val="20"/>
                <w:szCs w:val="20"/>
              </w:rPr>
              <w:footnoteReference w:id="16"/>
            </w:r>
          </w:p>
        </w:tc>
        <w:tc>
          <w:tcPr>
            <w:tcW w:w="2405" w:type="dxa"/>
            <w:tcBorders>
              <w:top w:val="nil"/>
              <w:left w:val="nil"/>
              <w:bottom w:val="single" w:sz="8" w:space="0" w:color="auto"/>
              <w:right w:val="single" w:sz="8" w:space="0" w:color="auto"/>
            </w:tcBorders>
            <w:vAlign w:val="bottom"/>
          </w:tcPr>
          <w:p w14:paraId="52C5BC2D" w14:textId="77777777" w:rsidR="00F507F1" w:rsidRPr="00CF7F8E" w:rsidRDefault="00F507F1" w:rsidP="008E735C">
            <w:pPr>
              <w:spacing w:after="0" w:line="240" w:lineRule="auto"/>
              <w:jc w:val="center"/>
              <w:rPr>
                <w:rFonts w:cs="Tahoma"/>
                <w:sz w:val="20"/>
                <w:szCs w:val="20"/>
                <w:highlight w:val="yellow"/>
                <w:lang w:eastAsia="fr-FR"/>
              </w:rPr>
            </w:pPr>
          </w:p>
        </w:tc>
      </w:tr>
      <w:tr w:rsidR="00F507F1" w:rsidRPr="00CF7F8E" w14:paraId="28008072" w14:textId="77777777" w:rsidTr="008E735C">
        <w:trPr>
          <w:trHeight w:val="133"/>
        </w:trPr>
        <w:tc>
          <w:tcPr>
            <w:tcW w:w="2291" w:type="dxa"/>
            <w:tcBorders>
              <w:top w:val="nil"/>
              <w:left w:val="single" w:sz="8" w:space="0" w:color="auto"/>
              <w:bottom w:val="nil"/>
              <w:right w:val="single" w:sz="8" w:space="0" w:color="auto"/>
            </w:tcBorders>
            <w:vAlign w:val="bottom"/>
          </w:tcPr>
          <w:p w14:paraId="19D13474" w14:textId="77777777" w:rsidR="00F507F1" w:rsidRPr="00CF7F8E" w:rsidRDefault="00F507F1" w:rsidP="008E735C">
            <w:pPr>
              <w:spacing w:after="0" w:line="240" w:lineRule="auto"/>
              <w:rPr>
                <w:rFonts w:cs="Tahoma"/>
                <w:b/>
                <w:bCs/>
                <w:sz w:val="20"/>
                <w:szCs w:val="20"/>
                <w:lang w:eastAsia="fr-FR"/>
              </w:rPr>
            </w:pPr>
          </w:p>
        </w:tc>
        <w:tc>
          <w:tcPr>
            <w:tcW w:w="3302" w:type="dxa"/>
            <w:tcBorders>
              <w:top w:val="nil"/>
              <w:left w:val="nil"/>
              <w:bottom w:val="single" w:sz="8" w:space="0" w:color="auto"/>
              <w:right w:val="single" w:sz="8" w:space="0" w:color="auto"/>
            </w:tcBorders>
            <w:vAlign w:val="bottom"/>
            <w:hideMark/>
          </w:tcPr>
          <w:p w14:paraId="09D60143" w14:textId="77777777" w:rsidR="00F507F1" w:rsidRPr="00CF7F8E" w:rsidRDefault="00F507F1" w:rsidP="008E735C">
            <w:pPr>
              <w:spacing w:after="0" w:line="240" w:lineRule="auto"/>
              <w:ind w:left="80"/>
              <w:rPr>
                <w:rFonts w:cs="Tahoma"/>
                <w:sz w:val="20"/>
                <w:szCs w:val="20"/>
                <w:lang w:eastAsia="fr-FR"/>
              </w:rPr>
            </w:pPr>
            <w:r w:rsidRPr="00CF7F8E">
              <w:rPr>
                <w:rFonts w:cs="Tahoma"/>
                <w:sz w:val="20"/>
                <w:szCs w:val="20"/>
                <w:lang w:eastAsia="fr-FR"/>
              </w:rPr>
              <w:t>Tuberculose</w:t>
            </w:r>
          </w:p>
        </w:tc>
        <w:tc>
          <w:tcPr>
            <w:tcW w:w="2352" w:type="dxa"/>
            <w:tcBorders>
              <w:top w:val="nil"/>
              <w:left w:val="nil"/>
              <w:bottom w:val="single" w:sz="8" w:space="0" w:color="auto"/>
              <w:right w:val="single" w:sz="8" w:space="0" w:color="auto"/>
            </w:tcBorders>
            <w:vAlign w:val="bottom"/>
          </w:tcPr>
          <w:p w14:paraId="71FB26E0" w14:textId="77777777" w:rsidR="00F507F1" w:rsidRPr="00CF7F8E" w:rsidRDefault="00F507F1" w:rsidP="008E735C">
            <w:pPr>
              <w:spacing w:after="0" w:line="240" w:lineRule="auto"/>
              <w:jc w:val="center"/>
              <w:rPr>
                <w:rFonts w:cs="Tahoma"/>
                <w:sz w:val="20"/>
                <w:szCs w:val="20"/>
              </w:rPr>
            </w:pPr>
            <w:r w:rsidRPr="00CF7F8E">
              <w:rPr>
                <w:rFonts w:cs="Tahoma"/>
                <w:sz w:val="20"/>
                <w:szCs w:val="20"/>
              </w:rPr>
              <w:t>155 pour 100 000 habitants</w:t>
            </w:r>
          </w:p>
        </w:tc>
        <w:tc>
          <w:tcPr>
            <w:tcW w:w="2405" w:type="dxa"/>
            <w:tcBorders>
              <w:top w:val="nil"/>
              <w:left w:val="nil"/>
              <w:bottom w:val="single" w:sz="8" w:space="0" w:color="auto"/>
              <w:right w:val="single" w:sz="8" w:space="0" w:color="auto"/>
            </w:tcBorders>
            <w:vAlign w:val="bottom"/>
          </w:tcPr>
          <w:p w14:paraId="4B0F60C7" w14:textId="77777777" w:rsidR="00F507F1" w:rsidRPr="00CF7F8E" w:rsidRDefault="00F507F1" w:rsidP="008E735C">
            <w:pPr>
              <w:spacing w:after="0" w:line="240" w:lineRule="auto"/>
              <w:jc w:val="center"/>
              <w:rPr>
                <w:rFonts w:cs="Tahoma"/>
                <w:sz w:val="20"/>
                <w:szCs w:val="20"/>
                <w:highlight w:val="yellow"/>
                <w:lang w:eastAsia="fr-FR"/>
              </w:rPr>
            </w:pPr>
          </w:p>
        </w:tc>
      </w:tr>
      <w:tr w:rsidR="00F507F1" w:rsidRPr="00CF7F8E" w14:paraId="0F91E314" w14:textId="77777777" w:rsidTr="008E735C">
        <w:trPr>
          <w:trHeight w:val="196"/>
        </w:trPr>
        <w:tc>
          <w:tcPr>
            <w:tcW w:w="2291" w:type="dxa"/>
            <w:tcBorders>
              <w:top w:val="nil"/>
              <w:left w:val="single" w:sz="8" w:space="0" w:color="auto"/>
              <w:bottom w:val="nil"/>
              <w:right w:val="single" w:sz="8" w:space="0" w:color="auto"/>
            </w:tcBorders>
            <w:vAlign w:val="bottom"/>
          </w:tcPr>
          <w:p w14:paraId="364C5A33" w14:textId="77777777" w:rsidR="00F507F1" w:rsidRPr="00CF7F8E" w:rsidRDefault="00F507F1" w:rsidP="008E735C">
            <w:pPr>
              <w:spacing w:after="0" w:line="240" w:lineRule="auto"/>
              <w:rPr>
                <w:rFonts w:cs="Tahoma"/>
                <w:sz w:val="20"/>
                <w:szCs w:val="20"/>
                <w:lang w:eastAsia="fr-FR"/>
              </w:rPr>
            </w:pPr>
          </w:p>
        </w:tc>
        <w:tc>
          <w:tcPr>
            <w:tcW w:w="3302" w:type="dxa"/>
            <w:tcBorders>
              <w:top w:val="nil"/>
              <w:left w:val="nil"/>
              <w:bottom w:val="single" w:sz="8" w:space="0" w:color="auto"/>
              <w:right w:val="single" w:sz="8" w:space="0" w:color="auto"/>
            </w:tcBorders>
            <w:vAlign w:val="bottom"/>
            <w:hideMark/>
          </w:tcPr>
          <w:p w14:paraId="2A2D26A1" w14:textId="77777777" w:rsidR="00F507F1" w:rsidRPr="00CF7F8E" w:rsidRDefault="00F507F1" w:rsidP="008E735C">
            <w:pPr>
              <w:spacing w:after="0" w:line="240" w:lineRule="auto"/>
              <w:ind w:left="80"/>
              <w:rPr>
                <w:rFonts w:cs="Tahoma"/>
                <w:sz w:val="20"/>
                <w:szCs w:val="20"/>
                <w:lang w:eastAsia="fr-FR"/>
              </w:rPr>
            </w:pPr>
            <w:r w:rsidRPr="00CF7F8E">
              <w:rPr>
                <w:rFonts w:cs="Tahoma"/>
                <w:sz w:val="20"/>
                <w:szCs w:val="20"/>
                <w:lang w:eastAsia="fr-FR"/>
              </w:rPr>
              <w:t>Paludisme</w:t>
            </w:r>
          </w:p>
        </w:tc>
        <w:tc>
          <w:tcPr>
            <w:tcW w:w="2352" w:type="dxa"/>
            <w:tcBorders>
              <w:top w:val="nil"/>
              <w:left w:val="nil"/>
              <w:bottom w:val="single" w:sz="8" w:space="0" w:color="auto"/>
              <w:right w:val="single" w:sz="8" w:space="0" w:color="auto"/>
            </w:tcBorders>
            <w:vAlign w:val="bottom"/>
          </w:tcPr>
          <w:p w14:paraId="212FA8A3" w14:textId="77777777" w:rsidR="00F507F1" w:rsidRPr="00CF7F8E" w:rsidRDefault="00F507F1" w:rsidP="008E735C">
            <w:pPr>
              <w:spacing w:after="0" w:line="240" w:lineRule="auto"/>
              <w:jc w:val="center"/>
              <w:rPr>
                <w:rFonts w:cs="Tahoma"/>
                <w:sz w:val="20"/>
                <w:szCs w:val="20"/>
              </w:rPr>
            </w:pPr>
          </w:p>
        </w:tc>
        <w:tc>
          <w:tcPr>
            <w:tcW w:w="2405" w:type="dxa"/>
            <w:tcBorders>
              <w:top w:val="nil"/>
              <w:left w:val="nil"/>
              <w:bottom w:val="single" w:sz="8" w:space="0" w:color="auto"/>
              <w:right w:val="single" w:sz="8" w:space="0" w:color="auto"/>
            </w:tcBorders>
            <w:vAlign w:val="bottom"/>
          </w:tcPr>
          <w:p w14:paraId="3C6526E5" w14:textId="77777777" w:rsidR="00F507F1" w:rsidRPr="00CF7F8E" w:rsidRDefault="00F507F1" w:rsidP="008E735C">
            <w:pPr>
              <w:spacing w:after="0" w:line="240" w:lineRule="auto"/>
              <w:jc w:val="center"/>
              <w:rPr>
                <w:rFonts w:cs="Tahoma"/>
                <w:sz w:val="20"/>
                <w:szCs w:val="20"/>
                <w:highlight w:val="yellow"/>
                <w:lang w:eastAsia="fr-FR"/>
              </w:rPr>
            </w:pPr>
          </w:p>
        </w:tc>
      </w:tr>
      <w:tr w:rsidR="00F507F1" w:rsidRPr="00CF7F8E" w14:paraId="68C6CDD2" w14:textId="77777777" w:rsidTr="008E735C">
        <w:trPr>
          <w:trHeight w:val="196"/>
        </w:trPr>
        <w:tc>
          <w:tcPr>
            <w:tcW w:w="2291" w:type="dxa"/>
            <w:tcBorders>
              <w:top w:val="nil"/>
              <w:left w:val="single" w:sz="8" w:space="0" w:color="auto"/>
              <w:bottom w:val="nil"/>
              <w:right w:val="single" w:sz="8" w:space="0" w:color="auto"/>
            </w:tcBorders>
            <w:vAlign w:val="bottom"/>
          </w:tcPr>
          <w:p w14:paraId="6AC13F78" w14:textId="77777777" w:rsidR="00F507F1" w:rsidRPr="00CF7F8E" w:rsidRDefault="00F507F1" w:rsidP="008E735C">
            <w:pPr>
              <w:spacing w:after="0" w:line="240" w:lineRule="auto"/>
              <w:rPr>
                <w:rFonts w:cs="Tahoma"/>
                <w:sz w:val="20"/>
                <w:szCs w:val="20"/>
                <w:lang w:eastAsia="fr-FR"/>
              </w:rPr>
            </w:pPr>
          </w:p>
        </w:tc>
        <w:tc>
          <w:tcPr>
            <w:tcW w:w="3302" w:type="dxa"/>
            <w:tcBorders>
              <w:top w:val="nil"/>
              <w:left w:val="nil"/>
              <w:bottom w:val="single" w:sz="8" w:space="0" w:color="auto"/>
              <w:right w:val="single" w:sz="8" w:space="0" w:color="auto"/>
            </w:tcBorders>
            <w:vAlign w:val="bottom"/>
            <w:hideMark/>
          </w:tcPr>
          <w:p w14:paraId="12ACCA32" w14:textId="77777777" w:rsidR="00F507F1" w:rsidRPr="00CF7F8E" w:rsidRDefault="00F507F1" w:rsidP="008E735C">
            <w:pPr>
              <w:spacing w:after="0" w:line="240" w:lineRule="auto"/>
              <w:ind w:left="80"/>
              <w:rPr>
                <w:rFonts w:cs="Tahoma"/>
                <w:sz w:val="20"/>
                <w:szCs w:val="20"/>
                <w:lang w:eastAsia="fr-FR"/>
              </w:rPr>
            </w:pPr>
            <w:r w:rsidRPr="00CF7F8E">
              <w:rPr>
                <w:rFonts w:cs="Tahoma"/>
                <w:sz w:val="20"/>
                <w:szCs w:val="20"/>
                <w:lang w:eastAsia="fr-FR"/>
              </w:rPr>
              <w:t>MTN (nombres de personnes)</w:t>
            </w:r>
          </w:p>
        </w:tc>
        <w:tc>
          <w:tcPr>
            <w:tcW w:w="2352" w:type="dxa"/>
            <w:tcBorders>
              <w:top w:val="nil"/>
              <w:left w:val="nil"/>
              <w:bottom w:val="single" w:sz="8" w:space="0" w:color="auto"/>
              <w:right w:val="single" w:sz="8" w:space="0" w:color="auto"/>
            </w:tcBorders>
          </w:tcPr>
          <w:p w14:paraId="09D58D59" w14:textId="77777777" w:rsidR="00F507F1" w:rsidRPr="00CF7F8E" w:rsidRDefault="00F507F1" w:rsidP="008E735C">
            <w:pPr>
              <w:spacing w:after="0" w:line="240" w:lineRule="auto"/>
              <w:jc w:val="center"/>
              <w:rPr>
                <w:rFonts w:cs="Tahoma"/>
                <w:sz w:val="20"/>
                <w:szCs w:val="20"/>
              </w:rPr>
            </w:pPr>
            <w:r w:rsidRPr="00CF7F8E">
              <w:rPr>
                <w:rFonts w:cs="Tahoma"/>
                <w:sz w:val="20"/>
                <w:szCs w:val="20"/>
              </w:rPr>
              <w:t>ND</w:t>
            </w:r>
          </w:p>
        </w:tc>
        <w:tc>
          <w:tcPr>
            <w:tcW w:w="2405" w:type="dxa"/>
            <w:tcBorders>
              <w:top w:val="nil"/>
              <w:left w:val="nil"/>
              <w:bottom w:val="single" w:sz="8" w:space="0" w:color="auto"/>
              <w:right w:val="single" w:sz="8" w:space="0" w:color="auto"/>
            </w:tcBorders>
            <w:vAlign w:val="bottom"/>
          </w:tcPr>
          <w:p w14:paraId="609C571D" w14:textId="77777777" w:rsidR="00F507F1" w:rsidRPr="00CF7F8E" w:rsidRDefault="00F507F1" w:rsidP="008E735C">
            <w:pPr>
              <w:spacing w:after="0" w:line="240" w:lineRule="auto"/>
              <w:jc w:val="center"/>
              <w:rPr>
                <w:rFonts w:cs="Tahoma"/>
                <w:sz w:val="20"/>
                <w:szCs w:val="20"/>
                <w:highlight w:val="yellow"/>
                <w:lang w:eastAsia="fr-FR"/>
              </w:rPr>
            </w:pPr>
          </w:p>
        </w:tc>
      </w:tr>
      <w:tr w:rsidR="00F507F1" w:rsidRPr="00CF7F8E" w14:paraId="05E02852" w14:textId="77777777" w:rsidTr="008E735C">
        <w:trPr>
          <w:trHeight w:val="196"/>
        </w:trPr>
        <w:tc>
          <w:tcPr>
            <w:tcW w:w="2291" w:type="dxa"/>
            <w:tcBorders>
              <w:top w:val="nil"/>
              <w:left w:val="single" w:sz="8" w:space="0" w:color="auto"/>
              <w:bottom w:val="nil"/>
              <w:right w:val="single" w:sz="8" w:space="0" w:color="auto"/>
            </w:tcBorders>
            <w:vAlign w:val="bottom"/>
          </w:tcPr>
          <w:p w14:paraId="2DD2ECC6" w14:textId="77777777" w:rsidR="00F507F1" w:rsidRPr="00CF7F8E" w:rsidRDefault="00F507F1" w:rsidP="008E735C">
            <w:pPr>
              <w:spacing w:after="0" w:line="240" w:lineRule="auto"/>
              <w:rPr>
                <w:rFonts w:cs="Tahoma"/>
                <w:sz w:val="20"/>
                <w:szCs w:val="20"/>
                <w:lang w:eastAsia="fr-FR"/>
              </w:rPr>
            </w:pPr>
          </w:p>
        </w:tc>
        <w:tc>
          <w:tcPr>
            <w:tcW w:w="3302" w:type="dxa"/>
            <w:tcBorders>
              <w:top w:val="nil"/>
              <w:left w:val="nil"/>
              <w:bottom w:val="single" w:sz="8" w:space="0" w:color="auto"/>
              <w:right w:val="single" w:sz="8" w:space="0" w:color="auto"/>
            </w:tcBorders>
            <w:vAlign w:val="bottom"/>
            <w:hideMark/>
          </w:tcPr>
          <w:p w14:paraId="0FD22899" w14:textId="77777777" w:rsidR="00F507F1" w:rsidRPr="00CF7F8E" w:rsidRDefault="00F507F1" w:rsidP="008E735C">
            <w:pPr>
              <w:spacing w:after="0" w:line="240" w:lineRule="auto"/>
              <w:ind w:left="80"/>
              <w:rPr>
                <w:rFonts w:cs="Tahoma"/>
                <w:sz w:val="20"/>
                <w:szCs w:val="20"/>
                <w:lang w:eastAsia="fr-FR"/>
              </w:rPr>
            </w:pPr>
            <w:r w:rsidRPr="00CF7F8E">
              <w:rPr>
                <w:rFonts w:cs="Tahoma"/>
                <w:sz w:val="20"/>
                <w:szCs w:val="20"/>
                <w:lang w:eastAsia="fr-FR"/>
              </w:rPr>
              <w:t>Cancer (toutes causes)</w:t>
            </w:r>
          </w:p>
        </w:tc>
        <w:tc>
          <w:tcPr>
            <w:tcW w:w="2352" w:type="dxa"/>
            <w:tcBorders>
              <w:top w:val="nil"/>
              <w:left w:val="nil"/>
              <w:bottom w:val="single" w:sz="8" w:space="0" w:color="auto"/>
              <w:right w:val="single" w:sz="8" w:space="0" w:color="auto"/>
            </w:tcBorders>
          </w:tcPr>
          <w:p w14:paraId="0C6C1FB2" w14:textId="77777777" w:rsidR="00F507F1" w:rsidRPr="00CF7F8E" w:rsidRDefault="00F507F1" w:rsidP="008E735C">
            <w:pPr>
              <w:spacing w:after="0" w:line="240" w:lineRule="auto"/>
              <w:jc w:val="center"/>
              <w:rPr>
                <w:rFonts w:cs="Tahoma"/>
                <w:sz w:val="20"/>
                <w:szCs w:val="20"/>
              </w:rPr>
            </w:pPr>
            <w:r w:rsidRPr="00CF7F8E">
              <w:rPr>
                <w:rFonts w:cs="Tahoma"/>
                <w:sz w:val="20"/>
                <w:szCs w:val="20"/>
              </w:rPr>
              <w:t>ND</w:t>
            </w:r>
          </w:p>
        </w:tc>
        <w:tc>
          <w:tcPr>
            <w:tcW w:w="2405" w:type="dxa"/>
            <w:tcBorders>
              <w:top w:val="nil"/>
              <w:left w:val="nil"/>
              <w:bottom w:val="single" w:sz="8" w:space="0" w:color="auto"/>
              <w:right w:val="single" w:sz="8" w:space="0" w:color="auto"/>
            </w:tcBorders>
            <w:vAlign w:val="bottom"/>
          </w:tcPr>
          <w:p w14:paraId="2B08A64A" w14:textId="77777777" w:rsidR="00F507F1" w:rsidRPr="00CF7F8E" w:rsidRDefault="00F507F1" w:rsidP="008E735C">
            <w:pPr>
              <w:spacing w:after="0" w:line="240" w:lineRule="auto"/>
              <w:jc w:val="center"/>
              <w:rPr>
                <w:rFonts w:cs="Tahoma"/>
                <w:sz w:val="20"/>
                <w:szCs w:val="20"/>
                <w:highlight w:val="yellow"/>
                <w:lang w:eastAsia="fr-FR"/>
              </w:rPr>
            </w:pPr>
          </w:p>
        </w:tc>
      </w:tr>
      <w:tr w:rsidR="00F507F1" w:rsidRPr="00CF7F8E" w14:paraId="0753BD41" w14:textId="77777777" w:rsidTr="008E735C">
        <w:trPr>
          <w:trHeight w:val="197"/>
        </w:trPr>
        <w:tc>
          <w:tcPr>
            <w:tcW w:w="2291" w:type="dxa"/>
            <w:tcBorders>
              <w:top w:val="nil"/>
              <w:left w:val="single" w:sz="8" w:space="0" w:color="auto"/>
              <w:bottom w:val="nil"/>
              <w:right w:val="single" w:sz="8" w:space="0" w:color="auto"/>
            </w:tcBorders>
            <w:vAlign w:val="bottom"/>
          </w:tcPr>
          <w:p w14:paraId="0377978D" w14:textId="77777777" w:rsidR="00F507F1" w:rsidRPr="00CF7F8E" w:rsidRDefault="00F507F1" w:rsidP="008E735C">
            <w:pPr>
              <w:spacing w:after="0" w:line="240" w:lineRule="auto"/>
              <w:rPr>
                <w:rFonts w:cs="Tahoma"/>
                <w:sz w:val="20"/>
                <w:szCs w:val="20"/>
                <w:lang w:eastAsia="fr-FR"/>
              </w:rPr>
            </w:pPr>
          </w:p>
        </w:tc>
        <w:tc>
          <w:tcPr>
            <w:tcW w:w="3302" w:type="dxa"/>
            <w:tcBorders>
              <w:top w:val="nil"/>
              <w:left w:val="nil"/>
              <w:bottom w:val="single" w:sz="8" w:space="0" w:color="auto"/>
              <w:right w:val="single" w:sz="8" w:space="0" w:color="auto"/>
            </w:tcBorders>
            <w:vAlign w:val="bottom"/>
            <w:hideMark/>
          </w:tcPr>
          <w:p w14:paraId="1DFDB3D2" w14:textId="77777777" w:rsidR="00F507F1" w:rsidRPr="00CF7F8E" w:rsidRDefault="00F507F1" w:rsidP="008E735C">
            <w:pPr>
              <w:spacing w:after="0" w:line="240" w:lineRule="auto"/>
              <w:ind w:left="80"/>
              <w:rPr>
                <w:rFonts w:cs="Tahoma"/>
                <w:sz w:val="20"/>
                <w:szCs w:val="20"/>
                <w:lang w:eastAsia="fr-FR"/>
              </w:rPr>
            </w:pPr>
            <w:r w:rsidRPr="00CF7F8E">
              <w:rPr>
                <w:rFonts w:cs="Tahoma"/>
                <w:sz w:val="20"/>
                <w:szCs w:val="20"/>
                <w:lang w:eastAsia="fr-FR"/>
              </w:rPr>
              <w:t>Maladies pulmonaires obstructives chroniques</w:t>
            </w:r>
          </w:p>
        </w:tc>
        <w:tc>
          <w:tcPr>
            <w:tcW w:w="2352" w:type="dxa"/>
            <w:tcBorders>
              <w:top w:val="nil"/>
              <w:left w:val="nil"/>
              <w:bottom w:val="single" w:sz="8" w:space="0" w:color="auto"/>
              <w:right w:val="single" w:sz="8" w:space="0" w:color="auto"/>
            </w:tcBorders>
          </w:tcPr>
          <w:p w14:paraId="28E85097" w14:textId="77777777" w:rsidR="00F507F1" w:rsidRPr="00CF7F8E" w:rsidRDefault="00F507F1" w:rsidP="008E735C">
            <w:pPr>
              <w:spacing w:after="0" w:line="240" w:lineRule="auto"/>
              <w:jc w:val="center"/>
              <w:rPr>
                <w:rFonts w:cs="Tahoma"/>
                <w:sz w:val="20"/>
                <w:szCs w:val="20"/>
              </w:rPr>
            </w:pPr>
            <w:r w:rsidRPr="00CF7F8E">
              <w:rPr>
                <w:rFonts w:cs="Tahoma"/>
                <w:sz w:val="20"/>
                <w:szCs w:val="20"/>
              </w:rPr>
              <w:t>ND</w:t>
            </w:r>
          </w:p>
        </w:tc>
        <w:tc>
          <w:tcPr>
            <w:tcW w:w="2405" w:type="dxa"/>
            <w:tcBorders>
              <w:top w:val="nil"/>
              <w:left w:val="nil"/>
              <w:bottom w:val="single" w:sz="8" w:space="0" w:color="auto"/>
              <w:right w:val="single" w:sz="8" w:space="0" w:color="auto"/>
            </w:tcBorders>
            <w:vAlign w:val="bottom"/>
          </w:tcPr>
          <w:p w14:paraId="73686767" w14:textId="77777777" w:rsidR="00F507F1" w:rsidRPr="00CF7F8E" w:rsidRDefault="00F507F1" w:rsidP="008E735C">
            <w:pPr>
              <w:spacing w:after="0" w:line="240" w:lineRule="auto"/>
              <w:jc w:val="center"/>
              <w:rPr>
                <w:rFonts w:cs="Tahoma"/>
                <w:sz w:val="20"/>
                <w:szCs w:val="20"/>
                <w:highlight w:val="yellow"/>
                <w:lang w:eastAsia="fr-FR"/>
              </w:rPr>
            </w:pPr>
          </w:p>
        </w:tc>
      </w:tr>
      <w:tr w:rsidR="00F507F1" w:rsidRPr="00CF7F8E" w14:paraId="5BA6823F" w14:textId="77777777" w:rsidTr="008E735C">
        <w:trPr>
          <w:trHeight w:val="197"/>
        </w:trPr>
        <w:tc>
          <w:tcPr>
            <w:tcW w:w="2291" w:type="dxa"/>
            <w:tcBorders>
              <w:top w:val="nil"/>
              <w:left w:val="single" w:sz="8" w:space="0" w:color="auto"/>
              <w:bottom w:val="nil"/>
              <w:right w:val="single" w:sz="8" w:space="0" w:color="auto"/>
            </w:tcBorders>
            <w:vAlign w:val="bottom"/>
          </w:tcPr>
          <w:p w14:paraId="32900A35" w14:textId="77777777" w:rsidR="00F507F1" w:rsidRPr="00CF7F8E" w:rsidRDefault="00F507F1" w:rsidP="008E735C">
            <w:pPr>
              <w:spacing w:after="0" w:line="240" w:lineRule="auto"/>
              <w:rPr>
                <w:rFonts w:cs="Tahoma"/>
                <w:sz w:val="20"/>
                <w:szCs w:val="20"/>
                <w:lang w:eastAsia="fr-FR"/>
              </w:rPr>
            </w:pPr>
          </w:p>
        </w:tc>
        <w:tc>
          <w:tcPr>
            <w:tcW w:w="3302" w:type="dxa"/>
            <w:tcBorders>
              <w:top w:val="nil"/>
              <w:left w:val="nil"/>
              <w:bottom w:val="single" w:sz="8" w:space="0" w:color="auto"/>
              <w:right w:val="single" w:sz="8" w:space="0" w:color="auto"/>
            </w:tcBorders>
            <w:vAlign w:val="bottom"/>
            <w:hideMark/>
          </w:tcPr>
          <w:p w14:paraId="5AE45171" w14:textId="77777777" w:rsidR="00F507F1" w:rsidRPr="00CF7F8E" w:rsidRDefault="00F507F1" w:rsidP="008E735C">
            <w:pPr>
              <w:spacing w:after="0" w:line="240" w:lineRule="auto"/>
              <w:ind w:left="80"/>
              <w:rPr>
                <w:rFonts w:cs="Tahoma"/>
                <w:sz w:val="20"/>
                <w:szCs w:val="20"/>
                <w:lang w:eastAsia="fr-FR"/>
              </w:rPr>
            </w:pPr>
            <w:r w:rsidRPr="00CF7F8E">
              <w:rPr>
                <w:rFonts w:cs="Tahoma"/>
                <w:sz w:val="20"/>
                <w:szCs w:val="20"/>
                <w:lang w:eastAsia="fr-FR"/>
              </w:rPr>
              <w:t>Diabète</w:t>
            </w:r>
          </w:p>
        </w:tc>
        <w:tc>
          <w:tcPr>
            <w:tcW w:w="2352" w:type="dxa"/>
            <w:tcBorders>
              <w:top w:val="nil"/>
              <w:left w:val="nil"/>
              <w:bottom w:val="single" w:sz="8" w:space="0" w:color="auto"/>
              <w:right w:val="single" w:sz="8" w:space="0" w:color="auto"/>
            </w:tcBorders>
            <w:vAlign w:val="bottom"/>
          </w:tcPr>
          <w:p w14:paraId="0415531E" w14:textId="77777777" w:rsidR="00F507F1" w:rsidRPr="00CF7F8E" w:rsidRDefault="00F507F1" w:rsidP="008E735C">
            <w:pPr>
              <w:spacing w:after="0" w:line="240" w:lineRule="auto"/>
              <w:jc w:val="center"/>
              <w:rPr>
                <w:rFonts w:cs="Tahoma"/>
                <w:sz w:val="20"/>
                <w:szCs w:val="20"/>
              </w:rPr>
            </w:pPr>
            <w:r w:rsidRPr="00CF7F8E">
              <w:rPr>
                <w:rFonts w:cs="Tahoma"/>
                <w:sz w:val="20"/>
                <w:szCs w:val="20"/>
              </w:rPr>
              <w:t xml:space="preserve">            4,3 %   </w:t>
            </w:r>
          </w:p>
        </w:tc>
        <w:tc>
          <w:tcPr>
            <w:tcW w:w="2405" w:type="dxa"/>
            <w:tcBorders>
              <w:top w:val="nil"/>
              <w:left w:val="nil"/>
              <w:bottom w:val="single" w:sz="8" w:space="0" w:color="auto"/>
              <w:right w:val="single" w:sz="8" w:space="0" w:color="auto"/>
            </w:tcBorders>
            <w:vAlign w:val="bottom"/>
          </w:tcPr>
          <w:p w14:paraId="41224B10" w14:textId="77777777" w:rsidR="00F507F1" w:rsidRPr="00CF7F8E" w:rsidRDefault="00F507F1" w:rsidP="008E735C">
            <w:pPr>
              <w:spacing w:after="0" w:line="240" w:lineRule="auto"/>
              <w:jc w:val="center"/>
              <w:rPr>
                <w:rFonts w:cs="Tahoma"/>
                <w:sz w:val="20"/>
                <w:szCs w:val="20"/>
                <w:highlight w:val="yellow"/>
                <w:lang w:eastAsia="fr-FR"/>
              </w:rPr>
            </w:pPr>
          </w:p>
        </w:tc>
      </w:tr>
      <w:tr w:rsidR="00F507F1" w:rsidRPr="00CF7F8E" w14:paraId="0B30651F" w14:textId="77777777" w:rsidTr="008E735C">
        <w:trPr>
          <w:trHeight w:val="196"/>
        </w:trPr>
        <w:tc>
          <w:tcPr>
            <w:tcW w:w="2291" w:type="dxa"/>
            <w:tcBorders>
              <w:top w:val="nil"/>
              <w:left w:val="single" w:sz="8" w:space="0" w:color="auto"/>
              <w:bottom w:val="nil"/>
              <w:right w:val="single" w:sz="8" w:space="0" w:color="auto"/>
            </w:tcBorders>
            <w:vAlign w:val="bottom"/>
          </w:tcPr>
          <w:p w14:paraId="1DDF9822" w14:textId="77777777" w:rsidR="00F507F1" w:rsidRPr="00CF7F8E" w:rsidRDefault="00F507F1" w:rsidP="008E735C">
            <w:pPr>
              <w:spacing w:after="0" w:line="240" w:lineRule="auto"/>
              <w:rPr>
                <w:rFonts w:cs="Tahoma"/>
                <w:sz w:val="20"/>
                <w:szCs w:val="20"/>
                <w:lang w:eastAsia="fr-FR"/>
              </w:rPr>
            </w:pPr>
          </w:p>
        </w:tc>
        <w:tc>
          <w:tcPr>
            <w:tcW w:w="3302" w:type="dxa"/>
            <w:tcBorders>
              <w:top w:val="nil"/>
              <w:left w:val="nil"/>
              <w:bottom w:val="single" w:sz="8" w:space="0" w:color="auto"/>
              <w:right w:val="single" w:sz="8" w:space="0" w:color="auto"/>
            </w:tcBorders>
            <w:vAlign w:val="bottom"/>
            <w:hideMark/>
          </w:tcPr>
          <w:p w14:paraId="25DC23C0" w14:textId="77777777" w:rsidR="00F507F1" w:rsidRPr="00CF7F8E" w:rsidRDefault="00F507F1" w:rsidP="008E735C">
            <w:pPr>
              <w:spacing w:after="0" w:line="240" w:lineRule="auto"/>
              <w:ind w:left="80"/>
              <w:rPr>
                <w:rFonts w:cs="Tahoma"/>
                <w:sz w:val="20"/>
                <w:szCs w:val="20"/>
                <w:lang w:eastAsia="fr-FR"/>
              </w:rPr>
            </w:pPr>
            <w:r w:rsidRPr="00CF7F8E">
              <w:rPr>
                <w:rFonts w:cs="Tahoma"/>
                <w:sz w:val="20"/>
                <w:szCs w:val="20"/>
                <w:lang w:eastAsia="fr-FR"/>
              </w:rPr>
              <w:t>AVC / maladie cardiaque</w:t>
            </w:r>
          </w:p>
        </w:tc>
        <w:tc>
          <w:tcPr>
            <w:tcW w:w="2352" w:type="dxa"/>
            <w:tcBorders>
              <w:top w:val="nil"/>
              <w:left w:val="nil"/>
              <w:bottom w:val="single" w:sz="8" w:space="0" w:color="auto"/>
              <w:right w:val="single" w:sz="8" w:space="0" w:color="auto"/>
            </w:tcBorders>
            <w:vAlign w:val="bottom"/>
          </w:tcPr>
          <w:p w14:paraId="09543699" w14:textId="77777777" w:rsidR="00F507F1" w:rsidRPr="00CF7F8E" w:rsidRDefault="00F507F1" w:rsidP="008E735C">
            <w:pPr>
              <w:spacing w:after="0" w:line="240" w:lineRule="auto"/>
              <w:jc w:val="center"/>
              <w:rPr>
                <w:rFonts w:cs="Tahoma"/>
                <w:sz w:val="20"/>
                <w:szCs w:val="20"/>
              </w:rPr>
            </w:pPr>
            <w:r w:rsidRPr="00CF7F8E">
              <w:rPr>
                <w:rFonts w:cs="Tahoma"/>
                <w:sz w:val="20"/>
                <w:szCs w:val="20"/>
              </w:rPr>
              <w:t>21,2 %   (HTA)</w:t>
            </w:r>
          </w:p>
        </w:tc>
        <w:tc>
          <w:tcPr>
            <w:tcW w:w="2405" w:type="dxa"/>
            <w:tcBorders>
              <w:top w:val="nil"/>
              <w:left w:val="nil"/>
              <w:bottom w:val="single" w:sz="8" w:space="0" w:color="auto"/>
              <w:right w:val="single" w:sz="8" w:space="0" w:color="auto"/>
            </w:tcBorders>
            <w:vAlign w:val="bottom"/>
          </w:tcPr>
          <w:p w14:paraId="7EBF47BF" w14:textId="77777777" w:rsidR="00F507F1" w:rsidRPr="00CF7F8E" w:rsidRDefault="00F507F1" w:rsidP="008E735C">
            <w:pPr>
              <w:spacing w:after="0" w:line="240" w:lineRule="auto"/>
              <w:jc w:val="center"/>
              <w:rPr>
                <w:rFonts w:cs="Tahoma"/>
                <w:sz w:val="20"/>
                <w:szCs w:val="20"/>
                <w:highlight w:val="yellow"/>
                <w:lang w:eastAsia="fr-FR"/>
              </w:rPr>
            </w:pPr>
          </w:p>
        </w:tc>
      </w:tr>
      <w:tr w:rsidR="00F507F1" w:rsidRPr="00CF7F8E" w14:paraId="7930215D" w14:textId="77777777" w:rsidTr="008E735C">
        <w:trPr>
          <w:trHeight w:val="196"/>
        </w:trPr>
        <w:tc>
          <w:tcPr>
            <w:tcW w:w="2291" w:type="dxa"/>
            <w:tcBorders>
              <w:top w:val="nil"/>
              <w:left w:val="single" w:sz="8" w:space="0" w:color="auto"/>
              <w:bottom w:val="single" w:sz="8" w:space="0" w:color="auto"/>
              <w:right w:val="single" w:sz="8" w:space="0" w:color="auto"/>
            </w:tcBorders>
            <w:vAlign w:val="bottom"/>
          </w:tcPr>
          <w:p w14:paraId="5AA41E1E" w14:textId="77777777" w:rsidR="00F507F1" w:rsidRPr="00CF7F8E" w:rsidRDefault="00F507F1" w:rsidP="008E735C">
            <w:pPr>
              <w:spacing w:after="0" w:line="240" w:lineRule="auto"/>
              <w:rPr>
                <w:rFonts w:cs="Tahoma"/>
                <w:sz w:val="20"/>
                <w:szCs w:val="20"/>
                <w:lang w:eastAsia="fr-FR"/>
              </w:rPr>
            </w:pPr>
          </w:p>
        </w:tc>
        <w:tc>
          <w:tcPr>
            <w:tcW w:w="3302" w:type="dxa"/>
            <w:tcBorders>
              <w:top w:val="nil"/>
              <w:left w:val="nil"/>
              <w:bottom w:val="single" w:sz="8" w:space="0" w:color="auto"/>
              <w:right w:val="single" w:sz="8" w:space="0" w:color="auto"/>
            </w:tcBorders>
            <w:vAlign w:val="bottom"/>
            <w:hideMark/>
          </w:tcPr>
          <w:p w14:paraId="65244627" w14:textId="77777777" w:rsidR="00F507F1" w:rsidRPr="00CF7F8E" w:rsidRDefault="00F507F1" w:rsidP="008E735C">
            <w:pPr>
              <w:spacing w:after="0" w:line="240" w:lineRule="auto"/>
              <w:ind w:left="80"/>
              <w:rPr>
                <w:rFonts w:cs="Tahoma"/>
                <w:sz w:val="20"/>
                <w:szCs w:val="20"/>
                <w:lang w:eastAsia="fr-FR"/>
              </w:rPr>
            </w:pPr>
            <w:r w:rsidRPr="00CF7F8E">
              <w:rPr>
                <w:rFonts w:cs="Tahoma"/>
                <w:sz w:val="20"/>
                <w:szCs w:val="20"/>
                <w:lang w:eastAsia="fr-FR"/>
              </w:rPr>
              <w:t>Événements liés à la circulation routière</w:t>
            </w:r>
          </w:p>
        </w:tc>
        <w:tc>
          <w:tcPr>
            <w:tcW w:w="2352" w:type="dxa"/>
            <w:tcBorders>
              <w:top w:val="nil"/>
              <w:left w:val="nil"/>
              <w:bottom w:val="single" w:sz="8" w:space="0" w:color="auto"/>
              <w:right w:val="single" w:sz="8" w:space="0" w:color="auto"/>
            </w:tcBorders>
            <w:vAlign w:val="bottom"/>
          </w:tcPr>
          <w:p w14:paraId="3BA43D88" w14:textId="77777777" w:rsidR="00F507F1" w:rsidRPr="00CF7F8E" w:rsidRDefault="00F507F1" w:rsidP="008E735C">
            <w:pPr>
              <w:spacing w:after="0" w:line="240" w:lineRule="auto"/>
              <w:jc w:val="center"/>
              <w:rPr>
                <w:rFonts w:cs="Tahoma"/>
                <w:sz w:val="20"/>
                <w:szCs w:val="20"/>
              </w:rPr>
            </w:pPr>
          </w:p>
        </w:tc>
        <w:tc>
          <w:tcPr>
            <w:tcW w:w="2405" w:type="dxa"/>
            <w:tcBorders>
              <w:top w:val="nil"/>
              <w:left w:val="nil"/>
              <w:bottom w:val="single" w:sz="8" w:space="0" w:color="auto"/>
              <w:right w:val="single" w:sz="8" w:space="0" w:color="auto"/>
            </w:tcBorders>
            <w:vAlign w:val="bottom"/>
          </w:tcPr>
          <w:p w14:paraId="26D94B72" w14:textId="77777777" w:rsidR="00F507F1" w:rsidRPr="00CF7F8E" w:rsidRDefault="00F507F1" w:rsidP="008E735C">
            <w:pPr>
              <w:spacing w:after="0" w:line="240" w:lineRule="auto"/>
              <w:jc w:val="center"/>
              <w:rPr>
                <w:rFonts w:cs="Tahoma"/>
                <w:sz w:val="20"/>
                <w:szCs w:val="20"/>
                <w:highlight w:val="yellow"/>
                <w:lang w:eastAsia="fr-FR"/>
              </w:rPr>
            </w:pPr>
          </w:p>
        </w:tc>
      </w:tr>
      <w:tr w:rsidR="00F507F1" w:rsidRPr="00CF7F8E" w14:paraId="44002FAE" w14:textId="77777777" w:rsidTr="008E735C">
        <w:trPr>
          <w:trHeight w:val="197"/>
        </w:trPr>
        <w:tc>
          <w:tcPr>
            <w:tcW w:w="2291" w:type="dxa"/>
            <w:tcBorders>
              <w:top w:val="nil"/>
              <w:left w:val="single" w:sz="8" w:space="0" w:color="auto"/>
              <w:bottom w:val="single" w:sz="8" w:space="0" w:color="auto"/>
              <w:right w:val="single" w:sz="8" w:space="0" w:color="auto"/>
            </w:tcBorders>
            <w:vAlign w:val="bottom"/>
          </w:tcPr>
          <w:p w14:paraId="467CDB87" w14:textId="77777777" w:rsidR="00F507F1" w:rsidRPr="00CF7F8E" w:rsidRDefault="00F507F1" w:rsidP="008E735C">
            <w:pPr>
              <w:spacing w:after="0" w:line="240" w:lineRule="auto"/>
              <w:rPr>
                <w:rFonts w:cs="Tahoma"/>
                <w:sz w:val="20"/>
                <w:szCs w:val="20"/>
                <w:lang w:eastAsia="fr-FR"/>
              </w:rPr>
            </w:pPr>
          </w:p>
        </w:tc>
        <w:tc>
          <w:tcPr>
            <w:tcW w:w="3302" w:type="dxa"/>
            <w:tcBorders>
              <w:top w:val="nil"/>
              <w:left w:val="nil"/>
              <w:bottom w:val="single" w:sz="8" w:space="0" w:color="auto"/>
              <w:right w:val="single" w:sz="8" w:space="0" w:color="auto"/>
            </w:tcBorders>
            <w:vAlign w:val="bottom"/>
          </w:tcPr>
          <w:p w14:paraId="3EFEB5DD" w14:textId="77777777" w:rsidR="00F507F1" w:rsidRPr="00CF7F8E" w:rsidRDefault="00F507F1" w:rsidP="008E735C">
            <w:pPr>
              <w:spacing w:after="0" w:line="240" w:lineRule="auto"/>
              <w:rPr>
                <w:rFonts w:cs="Tahoma"/>
                <w:sz w:val="20"/>
                <w:szCs w:val="20"/>
                <w:lang w:eastAsia="fr-FR"/>
              </w:rPr>
            </w:pPr>
          </w:p>
        </w:tc>
        <w:tc>
          <w:tcPr>
            <w:tcW w:w="2352" w:type="dxa"/>
            <w:tcBorders>
              <w:top w:val="nil"/>
              <w:left w:val="nil"/>
              <w:bottom w:val="single" w:sz="8" w:space="0" w:color="auto"/>
              <w:right w:val="single" w:sz="8" w:space="0" w:color="auto"/>
            </w:tcBorders>
            <w:vAlign w:val="bottom"/>
          </w:tcPr>
          <w:p w14:paraId="4C93C7BC" w14:textId="77777777" w:rsidR="00F507F1" w:rsidRPr="00CF7F8E" w:rsidRDefault="00F507F1" w:rsidP="008E735C">
            <w:pPr>
              <w:spacing w:after="0" w:line="240" w:lineRule="auto"/>
              <w:jc w:val="center"/>
              <w:rPr>
                <w:rFonts w:cs="Tahoma"/>
                <w:sz w:val="20"/>
                <w:szCs w:val="20"/>
              </w:rPr>
            </w:pPr>
          </w:p>
        </w:tc>
        <w:tc>
          <w:tcPr>
            <w:tcW w:w="2405" w:type="dxa"/>
            <w:tcBorders>
              <w:top w:val="nil"/>
              <w:left w:val="nil"/>
              <w:bottom w:val="single" w:sz="8" w:space="0" w:color="auto"/>
              <w:right w:val="single" w:sz="8" w:space="0" w:color="auto"/>
            </w:tcBorders>
            <w:vAlign w:val="bottom"/>
          </w:tcPr>
          <w:p w14:paraId="5C625914" w14:textId="77777777" w:rsidR="00F507F1" w:rsidRPr="00CF7F8E" w:rsidRDefault="00F507F1" w:rsidP="008E735C">
            <w:pPr>
              <w:spacing w:after="0" w:line="240" w:lineRule="auto"/>
              <w:jc w:val="center"/>
              <w:rPr>
                <w:rFonts w:cs="Tahoma"/>
                <w:sz w:val="20"/>
                <w:szCs w:val="20"/>
                <w:highlight w:val="yellow"/>
                <w:lang w:eastAsia="fr-FR"/>
              </w:rPr>
            </w:pPr>
          </w:p>
        </w:tc>
      </w:tr>
      <w:tr w:rsidR="00F507F1" w:rsidRPr="00CF7F8E" w14:paraId="151FF50A" w14:textId="77777777" w:rsidTr="008E735C">
        <w:trPr>
          <w:trHeight w:val="60"/>
        </w:trPr>
        <w:tc>
          <w:tcPr>
            <w:tcW w:w="2291" w:type="dxa"/>
            <w:tcBorders>
              <w:top w:val="nil"/>
              <w:left w:val="single" w:sz="8" w:space="0" w:color="auto"/>
              <w:bottom w:val="nil"/>
              <w:right w:val="single" w:sz="8" w:space="0" w:color="auto"/>
            </w:tcBorders>
            <w:vAlign w:val="bottom"/>
            <w:hideMark/>
          </w:tcPr>
          <w:p w14:paraId="5631F0C3" w14:textId="77777777" w:rsidR="00F507F1" w:rsidRPr="00CF7F8E" w:rsidRDefault="00F507F1" w:rsidP="008E735C">
            <w:pPr>
              <w:spacing w:after="0" w:line="240" w:lineRule="auto"/>
              <w:ind w:left="120"/>
              <w:rPr>
                <w:rFonts w:cs="Tahoma"/>
                <w:b/>
                <w:bCs/>
                <w:sz w:val="20"/>
                <w:szCs w:val="20"/>
                <w:lang w:eastAsia="fr-FR"/>
              </w:rPr>
            </w:pPr>
            <w:r w:rsidRPr="00CF7F8E">
              <w:rPr>
                <w:rFonts w:cs="Tahoma"/>
                <w:b/>
                <w:bCs/>
                <w:sz w:val="20"/>
                <w:szCs w:val="20"/>
                <w:lang w:eastAsia="fr-FR"/>
              </w:rPr>
              <w:t>Prévalence des principaux facteurs de risque pour la santé</w:t>
            </w:r>
          </w:p>
        </w:tc>
        <w:tc>
          <w:tcPr>
            <w:tcW w:w="3302" w:type="dxa"/>
            <w:tcBorders>
              <w:top w:val="nil"/>
              <w:left w:val="nil"/>
              <w:bottom w:val="single" w:sz="8" w:space="0" w:color="auto"/>
              <w:right w:val="single" w:sz="8" w:space="0" w:color="auto"/>
            </w:tcBorders>
            <w:vAlign w:val="bottom"/>
            <w:hideMark/>
          </w:tcPr>
          <w:p w14:paraId="54EE5EC7" w14:textId="77777777" w:rsidR="00F507F1" w:rsidRPr="00CF7F8E" w:rsidRDefault="00F507F1" w:rsidP="008E735C">
            <w:pPr>
              <w:spacing w:after="0" w:line="240" w:lineRule="auto"/>
              <w:ind w:left="80"/>
              <w:rPr>
                <w:rFonts w:cs="Tahoma"/>
                <w:sz w:val="20"/>
                <w:szCs w:val="20"/>
                <w:lang w:eastAsia="fr-FR"/>
              </w:rPr>
            </w:pPr>
            <w:r w:rsidRPr="00CF7F8E">
              <w:rPr>
                <w:rFonts w:cs="Tahoma"/>
                <w:sz w:val="20"/>
                <w:szCs w:val="20"/>
                <w:lang w:eastAsia="fr-FR"/>
              </w:rPr>
              <w:t>Abus d'alcool (adolescents)</w:t>
            </w:r>
          </w:p>
        </w:tc>
        <w:tc>
          <w:tcPr>
            <w:tcW w:w="2352" w:type="dxa"/>
            <w:tcBorders>
              <w:top w:val="nil"/>
              <w:left w:val="nil"/>
              <w:bottom w:val="single" w:sz="8" w:space="0" w:color="auto"/>
              <w:right w:val="single" w:sz="8" w:space="0" w:color="auto"/>
            </w:tcBorders>
            <w:vAlign w:val="bottom"/>
          </w:tcPr>
          <w:p w14:paraId="57B6CE62" w14:textId="77777777" w:rsidR="00F507F1" w:rsidRPr="00CF7F8E" w:rsidRDefault="00F507F1" w:rsidP="008E735C">
            <w:pPr>
              <w:spacing w:after="0" w:line="240" w:lineRule="auto"/>
              <w:jc w:val="center"/>
              <w:rPr>
                <w:rFonts w:cs="Tahoma"/>
                <w:sz w:val="20"/>
                <w:szCs w:val="20"/>
              </w:rPr>
            </w:pPr>
            <w:r w:rsidRPr="00CF7F8E">
              <w:rPr>
                <w:rFonts w:cs="Tahoma"/>
                <w:sz w:val="20"/>
                <w:szCs w:val="20"/>
              </w:rPr>
              <w:t>ND</w:t>
            </w:r>
          </w:p>
        </w:tc>
        <w:tc>
          <w:tcPr>
            <w:tcW w:w="2405" w:type="dxa"/>
            <w:tcBorders>
              <w:top w:val="nil"/>
              <w:left w:val="nil"/>
              <w:bottom w:val="single" w:sz="8" w:space="0" w:color="auto"/>
              <w:right w:val="single" w:sz="8" w:space="0" w:color="auto"/>
            </w:tcBorders>
            <w:vAlign w:val="bottom"/>
          </w:tcPr>
          <w:p w14:paraId="1B187A7E" w14:textId="77777777" w:rsidR="00F507F1" w:rsidRPr="00CF7F8E" w:rsidRDefault="00F507F1" w:rsidP="008E735C">
            <w:pPr>
              <w:spacing w:after="0" w:line="240" w:lineRule="auto"/>
              <w:jc w:val="center"/>
              <w:rPr>
                <w:rFonts w:cs="Tahoma"/>
                <w:sz w:val="20"/>
                <w:szCs w:val="20"/>
                <w:highlight w:val="yellow"/>
                <w:lang w:eastAsia="fr-FR"/>
              </w:rPr>
            </w:pPr>
          </w:p>
        </w:tc>
      </w:tr>
      <w:tr w:rsidR="00F507F1" w:rsidRPr="00CF7F8E" w14:paraId="50B8220A" w14:textId="77777777" w:rsidTr="008E735C">
        <w:trPr>
          <w:trHeight w:val="189"/>
        </w:trPr>
        <w:tc>
          <w:tcPr>
            <w:tcW w:w="2291" w:type="dxa"/>
            <w:tcBorders>
              <w:top w:val="nil"/>
              <w:left w:val="single" w:sz="8" w:space="0" w:color="auto"/>
              <w:bottom w:val="nil"/>
              <w:right w:val="single" w:sz="8" w:space="0" w:color="auto"/>
            </w:tcBorders>
            <w:vAlign w:val="bottom"/>
          </w:tcPr>
          <w:p w14:paraId="06083C21" w14:textId="77777777" w:rsidR="00F507F1" w:rsidRPr="00CF7F8E" w:rsidRDefault="00F507F1" w:rsidP="008E735C">
            <w:pPr>
              <w:spacing w:after="0" w:line="240" w:lineRule="auto"/>
              <w:ind w:left="120"/>
              <w:rPr>
                <w:rFonts w:cs="Tahoma"/>
                <w:b/>
                <w:bCs/>
                <w:sz w:val="20"/>
                <w:szCs w:val="20"/>
                <w:lang w:eastAsia="fr-FR"/>
              </w:rPr>
            </w:pPr>
          </w:p>
        </w:tc>
        <w:tc>
          <w:tcPr>
            <w:tcW w:w="3302" w:type="dxa"/>
            <w:tcBorders>
              <w:top w:val="nil"/>
              <w:left w:val="nil"/>
              <w:bottom w:val="single" w:sz="8" w:space="0" w:color="auto"/>
              <w:right w:val="single" w:sz="8" w:space="0" w:color="auto"/>
            </w:tcBorders>
            <w:vAlign w:val="bottom"/>
            <w:hideMark/>
          </w:tcPr>
          <w:p w14:paraId="04F77A03" w14:textId="77777777" w:rsidR="00F507F1" w:rsidRPr="00CF7F8E" w:rsidRDefault="00F507F1" w:rsidP="008E735C">
            <w:pPr>
              <w:spacing w:after="0" w:line="240" w:lineRule="auto"/>
              <w:ind w:left="80"/>
              <w:rPr>
                <w:rFonts w:cs="Tahoma"/>
                <w:sz w:val="20"/>
                <w:szCs w:val="20"/>
                <w:lang w:eastAsia="fr-FR"/>
              </w:rPr>
            </w:pPr>
            <w:r w:rsidRPr="00CF7F8E">
              <w:rPr>
                <w:rFonts w:cs="Tahoma"/>
                <w:sz w:val="20"/>
                <w:szCs w:val="20"/>
                <w:lang w:eastAsia="fr-FR"/>
              </w:rPr>
              <w:t>Obésité (enfants / adolescents)</w:t>
            </w:r>
          </w:p>
        </w:tc>
        <w:tc>
          <w:tcPr>
            <w:tcW w:w="2352" w:type="dxa"/>
            <w:tcBorders>
              <w:top w:val="nil"/>
              <w:left w:val="nil"/>
              <w:bottom w:val="single" w:sz="8" w:space="0" w:color="auto"/>
              <w:right w:val="single" w:sz="8" w:space="0" w:color="auto"/>
            </w:tcBorders>
            <w:vAlign w:val="bottom"/>
          </w:tcPr>
          <w:p w14:paraId="25106529" w14:textId="77777777" w:rsidR="00F507F1" w:rsidRPr="00CF7F8E" w:rsidRDefault="00F507F1" w:rsidP="008E735C">
            <w:pPr>
              <w:spacing w:after="0" w:line="240" w:lineRule="auto"/>
              <w:jc w:val="center"/>
              <w:rPr>
                <w:rFonts w:cs="Tahoma"/>
                <w:sz w:val="20"/>
                <w:szCs w:val="20"/>
              </w:rPr>
            </w:pPr>
            <w:r w:rsidRPr="00CF7F8E">
              <w:rPr>
                <w:rFonts w:cs="Tahoma"/>
                <w:sz w:val="20"/>
                <w:szCs w:val="20"/>
              </w:rPr>
              <w:t>ND</w:t>
            </w:r>
          </w:p>
        </w:tc>
        <w:tc>
          <w:tcPr>
            <w:tcW w:w="2405" w:type="dxa"/>
            <w:tcBorders>
              <w:top w:val="nil"/>
              <w:left w:val="nil"/>
              <w:bottom w:val="single" w:sz="8" w:space="0" w:color="auto"/>
              <w:right w:val="single" w:sz="8" w:space="0" w:color="auto"/>
            </w:tcBorders>
            <w:vAlign w:val="bottom"/>
          </w:tcPr>
          <w:p w14:paraId="0105A5D9" w14:textId="77777777" w:rsidR="00F507F1" w:rsidRPr="00CF7F8E" w:rsidRDefault="00F507F1" w:rsidP="008E735C">
            <w:pPr>
              <w:spacing w:after="0" w:line="240" w:lineRule="auto"/>
              <w:jc w:val="center"/>
              <w:rPr>
                <w:rFonts w:cs="Tahoma"/>
                <w:sz w:val="20"/>
                <w:szCs w:val="20"/>
                <w:highlight w:val="yellow"/>
                <w:lang w:eastAsia="fr-FR"/>
              </w:rPr>
            </w:pPr>
          </w:p>
        </w:tc>
      </w:tr>
      <w:tr w:rsidR="00F507F1" w:rsidRPr="00CF7F8E" w14:paraId="02BECC3E" w14:textId="77777777" w:rsidTr="008E735C">
        <w:trPr>
          <w:trHeight w:val="204"/>
        </w:trPr>
        <w:tc>
          <w:tcPr>
            <w:tcW w:w="2291" w:type="dxa"/>
            <w:tcBorders>
              <w:top w:val="nil"/>
              <w:left w:val="single" w:sz="8" w:space="0" w:color="auto"/>
              <w:bottom w:val="nil"/>
              <w:right w:val="single" w:sz="8" w:space="0" w:color="auto"/>
            </w:tcBorders>
            <w:vAlign w:val="bottom"/>
          </w:tcPr>
          <w:p w14:paraId="42FEB9EB" w14:textId="77777777" w:rsidR="00F507F1" w:rsidRPr="00CF7F8E" w:rsidRDefault="00F507F1" w:rsidP="008E735C">
            <w:pPr>
              <w:spacing w:after="0" w:line="240" w:lineRule="auto"/>
              <w:ind w:left="120"/>
              <w:rPr>
                <w:rFonts w:cs="Tahoma"/>
                <w:b/>
                <w:bCs/>
                <w:sz w:val="20"/>
                <w:szCs w:val="20"/>
                <w:lang w:eastAsia="fr-FR"/>
              </w:rPr>
            </w:pPr>
          </w:p>
        </w:tc>
        <w:tc>
          <w:tcPr>
            <w:tcW w:w="3302" w:type="dxa"/>
            <w:tcBorders>
              <w:top w:val="nil"/>
              <w:left w:val="nil"/>
              <w:bottom w:val="single" w:sz="8" w:space="0" w:color="auto"/>
              <w:right w:val="single" w:sz="8" w:space="0" w:color="auto"/>
            </w:tcBorders>
            <w:vAlign w:val="bottom"/>
            <w:hideMark/>
          </w:tcPr>
          <w:p w14:paraId="412F3AF9" w14:textId="77777777" w:rsidR="00F507F1" w:rsidRPr="00CF7F8E" w:rsidRDefault="00F507F1" w:rsidP="008E735C">
            <w:pPr>
              <w:spacing w:after="0" w:line="240" w:lineRule="auto"/>
              <w:ind w:left="80"/>
              <w:rPr>
                <w:rFonts w:cs="Tahoma"/>
                <w:sz w:val="20"/>
                <w:szCs w:val="20"/>
                <w:lang w:eastAsia="fr-FR"/>
              </w:rPr>
            </w:pPr>
            <w:r w:rsidRPr="00CF7F8E">
              <w:rPr>
                <w:rFonts w:cs="Tahoma"/>
                <w:sz w:val="20"/>
                <w:szCs w:val="20"/>
                <w:lang w:eastAsia="fr-FR"/>
              </w:rPr>
              <w:t>Inactivité physique (adolescents)</w:t>
            </w:r>
          </w:p>
        </w:tc>
        <w:tc>
          <w:tcPr>
            <w:tcW w:w="2352" w:type="dxa"/>
            <w:tcBorders>
              <w:top w:val="nil"/>
              <w:left w:val="nil"/>
              <w:bottom w:val="single" w:sz="8" w:space="0" w:color="auto"/>
              <w:right w:val="single" w:sz="8" w:space="0" w:color="auto"/>
            </w:tcBorders>
            <w:vAlign w:val="bottom"/>
          </w:tcPr>
          <w:p w14:paraId="4BF62AB0" w14:textId="77777777" w:rsidR="00F507F1" w:rsidRPr="00CF7F8E" w:rsidRDefault="00F507F1" w:rsidP="008E735C">
            <w:pPr>
              <w:spacing w:after="0" w:line="240" w:lineRule="auto"/>
              <w:jc w:val="center"/>
              <w:rPr>
                <w:rFonts w:cs="Tahoma"/>
                <w:sz w:val="20"/>
                <w:szCs w:val="20"/>
              </w:rPr>
            </w:pPr>
            <w:r w:rsidRPr="00CF7F8E">
              <w:rPr>
                <w:rFonts w:cs="Tahoma"/>
                <w:sz w:val="20"/>
                <w:szCs w:val="20"/>
              </w:rPr>
              <w:t>57.6% des adultes ne pratiquaient pas du sport</w:t>
            </w:r>
          </w:p>
        </w:tc>
        <w:tc>
          <w:tcPr>
            <w:tcW w:w="2405" w:type="dxa"/>
            <w:tcBorders>
              <w:top w:val="nil"/>
              <w:left w:val="nil"/>
              <w:bottom w:val="single" w:sz="8" w:space="0" w:color="auto"/>
              <w:right w:val="single" w:sz="8" w:space="0" w:color="auto"/>
            </w:tcBorders>
            <w:vAlign w:val="bottom"/>
          </w:tcPr>
          <w:p w14:paraId="3DD07FAC" w14:textId="77777777" w:rsidR="00F507F1" w:rsidRPr="00CF7F8E" w:rsidRDefault="00F507F1" w:rsidP="008E735C">
            <w:pPr>
              <w:spacing w:after="0" w:line="240" w:lineRule="auto"/>
              <w:jc w:val="center"/>
              <w:rPr>
                <w:rFonts w:cs="Tahoma"/>
                <w:sz w:val="20"/>
                <w:szCs w:val="20"/>
                <w:highlight w:val="yellow"/>
                <w:lang w:eastAsia="fr-FR"/>
              </w:rPr>
            </w:pPr>
          </w:p>
        </w:tc>
      </w:tr>
      <w:tr w:rsidR="00F507F1" w:rsidRPr="00CF7F8E" w14:paraId="29151CE8" w14:textId="77777777" w:rsidTr="008E735C">
        <w:trPr>
          <w:trHeight w:val="196"/>
        </w:trPr>
        <w:tc>
          <w:tcPr>
            <w:tcW w:w="2291" w:type="dxa"/>
            <w:tcBorders>
              <w:top w:val="nil"/>
              <w:left w:val="single" w:sz="8" w:space="0" w:color="auto"/>
              <w:bottom w:val="nil"/>
              <w:right w:val="single" w:sz="8" w:space="0" w:color="auto"/>
            </w:tcBorders>
            <w:vAlign w:val="bottom"/>
          </w:tcPr>
          <w:p w14:paraId="6CAE296F" w14:textId="77777777" w:rsidR="00F507F1" w:rsidRPr="00CF7F8E" w:rsidRDefault="00F507F1" w:rsidP="008E735C">
            <w:pPr>
              <w:spacing w:after="0" w:line="240" w:lineRule="auto"/>
              <w:rPr>
                <w:rFonts w:cs="Tahoma"/>
                <w:sz w:val="20"/>
                <w:szCs w:val="20"/>
                <w:lang w:eastAsia="fr-FR"/>
              </w:rPr>
            </w:pPr>
          </w:p>
        </w:tc>
        <w:tc>
          <w:tcPr>
            <w:tcW w:w="3302" w:type="dxa"/>
            <w:tcBorders>
              <w:top w:val="nil"/>
              <w:left w:val="nil"/>
              <w:bottom w:val="single" w:sz="8" w:space="0" w:color="auto"/>
              <w:right w:val="single" w:sz="8" w:space="0" w:color="auto"/>
            </w:tcBorders>
            <w:vAlign w:val="bottom"/>
            <w:hideMark/>
          </w:tcPr>
          <w:p w14:paraId="70786908" w14:textId="77777777" w:rsidR="00F507F1" w:rsidRPr="00CF7F8E" w:rsidRDefault="00F507F1" w:rsidP="008E735C">
            <w:pPr>
              <w:spacing w:after="0" w:line="240" w:lineRule="auto"/>
              <w:ind w:left="80"/>
              <w:rPr>
                <w:rFonts w:cs="Tahoma"/>
                <w:sz w:val="20"/>
                <w:szCs w:val="20"/>
                <w:lang w:eastAsia="fr-FR"/>
              </w:rPr>
            </w:pPr>
            <w:r w:rsidRPr="00CF7F8E">
              <w:rPr>
                <w:rFonts w:cs="Tahoma"/>
                <w:sz w:val="20"/>
                <w:szCs w:val="20"/>
                <w:lang w:eastAsia="fr-FR"/>
              </w:rPr>
              <w:t>Retard de croissance (enfants)</w:t>
            </w:r>
          </w:p>
        </w:tc>
        <w:tc>
          <w:tcPr>
            <w:tcW w:w="2352" w:type="dxa"/>
            <w:tcBorders>
              <w:top w:val="nil"/>
              <w:left w:val="nil"/>
              <w:bottom w:val="single" w:sz="8" w:space="0" w:color="auto"/>
              <w:right w:val="single" w:sz="8" w:space="0" w:color="auto"/>
            </w:tcBorders>
            <w:vAlign w:val="bottom"/>
          </w:tcPr>
          <w:p w14:paraId="5662436D" w14:textId="77777777" w:rsidR="00F507F1" w:rsidRPr="00CF7F8E" w:rsidRDefault="00F507F1" w:rsidP="008E735C">
            <w:pPr>
              <w:spacing w:after="0" w:line="240" w:lineRule="auto"/>
              <w:jc w:val="center"/>
              <w:rPr>
                <w:rFonts w:cs="Tahoma"/>
                <w:sz w:val="20"/>
                <w:szCs w:val="20"/>
              </w:rPr>
            </w:pPr>
            <w:r w:rsidRPr="00CF7F8E">
              <w:rPr>
                <w:rFonts w:cs="Tahoma"/>
                <w:sz w:val="20"/>
                <w:szCs w:val="20"/>
              </w:rPr>
              <w:t>ND</w:t>
            </w:r>
          </w:p>
        </w:tc>
        <w:tc>
          <w:tcPr>
            <w:tcW w:w="2405" w:type="dxa"/>
            <w:tcBorders>
              <w:top w:val="nil"/>
              <w:left w:val="nil"/>
              <w:bottom w:val="single" w:sz="8" w:space="0" w:color="auto"/>
              <w:right w:val="single" w:sz="8" w:space="0" w:color="auto"/>
            </w:tcBorders>
            <w:vAlign w:val="bottom"/>
          </w:tcPr>
          <w:p w14:paraId="12C19F9E" w14:textId="77777777" w:rsidR="00F507F1" w:rsidRPr="00CF7F8E" w:rsidRDefault="00F507F1" w:rsidP="008E735C">
            <w:pPr>
              <w:spacing w:after="0" w:line="240" w:lineRule="auto"/>
              <w:jc w:val="center"/>
              <w:rPr>
                <w:rFonts w:cs="Tahoma"/>
                <w:sz w:val="20"/>
                <w:szCs w:val="20"/>
                <w:highlight w:val="yellow"/>
                <w:lang w:eastAsia="fr-FR"/>
              </w:rPr>
            </w:pPr>
          </w:p>
        </w:tc>
      </w:tr>
      <w:tr w:rsidR="00F507F1" w:rsidRPr="00CF7F8E" w14:paraId="61605D14" w14:textId="77777777" w:rsidTr="008E735C">
        <w:trPr>
          <w:trHeight w:val="197"/>
        </w:trPr>
        <w:tc>
          <w:tcPr>
            <w:tcW w:w="2291" w:type="dxa"/>
            <w:tcBorders>
              <w:top w:val="nil"/>
              <w:left w:val="single" w:sz="8" w:space="0" w:color="auto"/>
              <w:bottom w:val="single" w:sz="8" w:space="0" w:color="auto"/>
              <w:right w:val="single" w:sz="8" w:space="0" w:color="auto"/>
            </w:tcBorders>
            <w:vAlign w:val="bottom"/>
          </w:tcPr>
          <w:p w14:paraId="2A02C613" w14:textId="77777777" w:rsidR="00F507F1" w:rsidRPr="00CF7F8E" w:rsidRDefault="00F507F1" w:rsidP="008E735C">
            <w:pPr>
              <w:spacing w:after="0" w:line="240" w:lineRule="auto"/>
              <w:rPr>
                <w:rFonts w:cs="Tahoma"/>
                <w:sz w:val="20"/>
                <w:szCs w:val="20"/>
                <w:lang w:eastAsia="fr-FR"/>
              </w:rPr>
            </w:pPr>
          </w:p>
        </w:tc>
        <w:tc>
          <w:tcPr>
            <w:tcW w:w="3302" w:type="dxa"/>
            <w:tcBorders>
              <w:top w:val="nil"/>
              <w:left w:val="nil"/>
              <w:bottom w:val="single" w:sz="8" w:space="0" w:color="auto"/>
              <w:right w:val="single" w:sz="8" w:space="0" w:color="auto"/>
            </w:tcBorders>
            <w:vAlign w:val="bottom"/>
            <w:hideMark/>
          </w:tcPr>
          <w:p w14:paraId="47759FEB" w14:textId="77777777" w:rsidR="00F507F1" w:rsidRPr="00CF7F8E" w:rsidRDefault="00F507F1" w:rsidP="008E735C">
            <w:pPr>
              <w:spacing w:after="0" w:line="240" w:lineRule="auto"/>
              <w:ind w:left="80"/>
              <w:rPr>
                <w:rFonts w:cs="Tahoma"/>
                <w:sz w:val="20"/>
                <w:szCs w:val="20"/>
                <w:lang w:eastAsia="fr-FR"/>
              </w:rPr>
            </w:pPr>
            <w:r w:rsidRPr="00CF7F8E">
              <w:rPr>
                <w:rFonts w:cs="Tahoma"/>
                <w:sz w:val="20"/>
                <w:szCs w:val="20"/>
                <w:lang w:eastAsia="fr-FR"/>
              </w:rPr>
              <w:t>Tabagisme (plus de 15 ans)</w:t>
            </w:r>
          </w:p>
        </w:tc>
        <w:tc>
          <w:tcPr>
            <w:tcW w:w="2352" w:type="dxa"/>
            <w:tcBorders>
              <w:top w:val="nil"/>
              <w:left w:val="nil"/>
              <w:bottom w:val="single" w:sz="8" w:space="0" w:color="auto"/>
              <w:right w:val="single" w:sz="8" w:space="0" w:color="auto"/>
            </w:tcBorders>
            <w:vAlign w:val="bottom"/>
          </w:tcPr>
          <w:p w14:paraId="0684CC1F" w14:textId="77777777" w:rsidR="00F507F1" w:rsidRPr="00CF7F8E" w:rsidRDefault="00F507F1" w:rsidP="008E735C">
            <w:pPr>
              <w:spacing w:after="0" w:line="240" w:lineRule="auto"/>
              <w:jc w:val="center"/>
              <w:rPr>
                <w:rFonts w:cs="Tahoma"/>
                <w:sz w:val="20"/>
                <w:szCs w:val="20"/>
              </w:rPr>
            </w:pPr>
            <w:r w:rsidRPr="00CF7F8E">
              <w:rPr>
                <w:rFonts w:cs="Tahoma"/>
                <w:sz w:val="20"/>
                <w:szCs w:val="20"/>
              </w:rPr>
              <w:t>12,8% de tabagisme en milieu scolaire (Selon une étude réalisée par CARE-NIGER, en mai 2007)</w:t>
            </w:r>
          </w:p>
        </w:tc>
        <w:tc>
          <w:tcPr>
            <w:tcW w:w="2405" w:type="dxa"/>
            <w:tcBorders>
              <w:top w:val="nil"/>
              <w:left w:val="nil"/>
              <w:bottom w:val="single" w:sz="8" w:space="0" w:color="auto"/>
              <w:right w:val="single" w:sz="8" w:space="0" w:color="auto"/>
            </w:tcBorders>
            <w:vAlign w:val="bottom"/>
          </w:tcPr>
          <w:p w14:paraId="2F977B42" w14:textId="77777777" w:rsidR="00F507F1" w:rsidRPr="00CF7F8E" w:rsidRDefault="00F507F1" w:rsidP="008E735C">
            <w:pPr>
              <w:spacing w:after="0" w:line="240" w:lineRule="auto"/>
              <w:jc w:val="center"/>
              <w:rPr>
                <w:rFonts w:cs="Tahoma"/>
                <w:sz w:val="20"/>
                <w:szCs w:val="20"/>
                <w:highlight w:val="yellow"/>
                <w:lang w:eastAsia="fr-FR"/>
              </w:rPr>
            </w:pPr>
          </w:p>
        </w:tc>
      </w:tr>
      <w:tr w:rsidR="00F507F1" w:rsidRPr="00CF7F8E" w14:paraId="76B54C23" w14:textId="77777777" w:rsidTr="008E735C">
        <w:trPr>
          <w:trHeight w:val="198"/>
        </w:trPr>
        <w:tc>
          <w:tcPr>
            <w:tcW w:w="2291" w:type="dxa"/>
            <w:tcBorders>
              <w:top w:val="nil"/>
              <w:left w:val="single" w:sz="8" w:space="0" w:color="auto"/>
              <w:bottom w:val="single" w:sz="8" w:space="0" w:color="auto"/>
              <w:right w:val="single" w:sz="8" w:space="0" w:color="auto"/>
            </w:tcBorders>
            <w:vAlign w:val="bottom"/>
          </w:tcPr>
          <w:p w14:paraId="48DFBAC1" w14:textId="77777777" w:rsidR="00F507F1" w:rsidRPr="00CF7F8E" w:rsidRDefault="00F507F1" w:rsidP="008E735C">
            <w:pPr>
              <w:spacing w:after="0" w:line="240" w:lineRule="auto"/>
              <w:rPr>
                <w:rFonts w:cs="Tahoma"/>
                <w:sz w:val="20"/>
                <w:szCs w:val="20"/>
                <w:lang w:eastAsia="fr-FR"/>
              </w:rPr>
            </w:pPr>
          </w:p>
        </w:tc>
        <w:tc>
          <w:tcPr>
            <w:tcW w:w="3302" w:type="dxa"/>
            <w:tcBorders>
              <w:top w:val="nil"/>
              <w:left w:val="nil"/>
              <w:bottom w:val="single" w:sz="8" w:space="0" w:color="auto"/>
              <w:right w:val="single" w:sz="8" w:space="0" w:color="auto"/>
            </w:tcBorders>
            <w:vAlign w:val="bottom"/>
          </w:tcPr>
          <w:p w14:paraId="4A0C6CEF" w14:textId="77777777" w:rsidR="00F507F1" w:rsidRPr="00CF7F8E" w:rsidRDefault="00F507F1" w:rsidP="008E735C">
            <w:pPr>
              <w:spacing w:after="0" w:line="240" w:lineRule="auto"/>
              <w:rPr>
                <w:rFonts w:cs="Tahoma"/>
                <w:sz w:val="20"/>
                <w:szCs w:val="20"/>
                <w:lang w:eastAsia="fr-FR"/>
              </w:rPr>
            </w:pPr>
          </w:p>
        </w:tc>
        <w:tc>
          <w:tcPr>
            <w:tcW w:w="2352" w:type="dxa"/>
            <w:tcBorders>
              <w:top w:val="nil"/>
              <w:left w:val="nil"/>
              <w:bottom w:val="single" w:sz="8" w:space="0" w:color="auto"/>
              <w:right w:val="single" w:sz="8" w:space="0" w:color="auto"/>
            </w:tcBorders>
            <w:vAlign w:val="bottom"/>
          </w:tcPr>
          <w:p w14:paraId="59BBD91A" w14:textId="77777777" w:rsidR="00F507F1" w:rsidRPr="00CF7F8E" w:rsidRDefault="00F507F1" w:rsidP="008E735C">
            <w:pPr>
              <w:spacing w:after="0" w:line="240" w:lineRule="auto"/>
              <w:jc w:val="center"/>
              <w:rPr>
                <w:rFonts w:cs="Tahoma"/>
                <w:sz w:val="20"/>
                <w:szCs w:val="20"/>
              </w:rPr>
            </w:pPr>
          </w:p>
        </w:tc>
        <w:tc>
          <w:tcPr>
            <w:tcW w:w="2405" w:type="dxa"/>
            <w:tcBorders>
              <w:top w:val="nil"/>
              <w:left w:val="nil"/>
              <w:bottom w:val="single" w:sz="8" w:space="0" w:color="auto"/>
              <w:right w:val="single" w:sz="8" w:space="0" w:color="auto"/>
            </w:tcBorders>
            <w:vAlign w:val="bottom"/>
          </w:tcPr>
          <w:p w14:paraId="168490D7" w14:textId="77777777" w:rsidR="00F507F1" w:rsidRPr="00CF7F8E" w:rsidRDefault="00F507F1" w:rsidP="008E735C">
            <w:pPr>
              <w:spacing w:after="0" w:line="240" w:lineRule="auto"/>
              <w:jc w:val="center"/>
              <w:rPr>
                <w:rFonts w:cs="Tahoma"/>
                <w:sz w:val="20"/>
                <w:szCs w:val="20"/>
                <w:highlight w:val="yellow"/>
                <w:lang w:eastAsia="fr-FR"/>
              </w:rPr>
            </w:pPr>
          </w:p>
        </w:tc>
      </w:tr>
      <w:tr w:rsidR="00F507F1" w:rsidRPr="00CF7F8E" w14:paraId="32BF9C79" w14:textId="77777777" w:rsidTr="008E735C">
        <w:trPr>
          <w:trHeight w:val="232"/>
        </w:trPr>
        <w:tc>
          <w:tcPr>
            <w:tcW w:w="2291" w:type="dxa"/>
            <w:tcBorders>
              <w:top w:val="nil"/>
              <w:left w:val="single" w:sz="8" w:space="0" w:color="auto"/>
              <w:bottom w:val="nil"/>
              <w:right w:val="single" w:sz="8" w:space="0" w:color="auto"/>
            </w:tcBorders>
            <w:vAlign w:val="bottom"/>
            <w:hideMark/>
          </w:tcPr>
          <w:p w14:paraId="2436D839" w14:textId="77777777" w:rsidR="00F507F1" w:rsidRPr="00CF7F8E" w:rsidRDefault="00F507F1" w:rsidP="008E735C">
            <w:pPr>
              <w:spacing w:after="0" w:line="240" w:lineRule="auto"/>
              <w:ind w:left="120"/>
              <w:rPr>
                <w:rFonts w:cs="Tahoma"/>
                <w:b/>
                <w:bCs/>
                <w:sz w:val="20"/>
                <w:szCs w:val="20"/>
                <w:lang w:eastAsia="fr-FR"/>
              </w:rPr>
            </w:pPr>
            <w:r w:rsidRPr="00CF7F8E">
              <w:rPr>
                <w:rFonts w:cs="Tahoma"/>
                <w:b/>
                <w:bCs/>
                <w:sz w:val="20"/>
                <w:szCs w:val="20"/>
                <w:lang w:eastAsia="fr-FR"/>
              </w:rPr>
              <w:t>Décès annuels (mortalité) dus à des problèmes clés de santé</w:t>
            </w:r>
          </w:p>
        </w:tc>
        <w:tc>
          <w:tcPr>
            <w:tcW w:w="3302" w:type="dxa"/>
            <w:tcBorders>
              <w:top w:val="nil"/>
              <w:left w:val="nil"/>
              <w:bottom w:val="single" w:sz="8" w:space="0" w:color="auto"/>
              <w:right w:val="single" w:sz="8" w:space="0" w:color="auto"/>
            </w:tcBorders>
            <w:vAlign w:val="bottom"/>
            <w:hideMark/>
          </w:tcPr>
          <w:p w14:paraId="6711BFC6" w14:textId="77777777" w:rsidR="00F507F1" w:rsidRPr="00CF7F8E" w:rsidRDefault="00F507F1" w:rsidP="008E735C">
            <w:pPr>
              <w:spacing w:after="0" w:line="240" w:lineRule="auto"/>
              <w:rPr>
                <w:rFonts w:cs="Tahoma"/>
                <w:sz w:val="20"/>
                <w:szCs w:val="20"/>
                <w:lang w:eastAsia="fr-FR"/>
              </w:rPr>
            </w:pPr>
            <w:r w:rsidRPr="00CF7F8E">
              <w:rPr>
                <w:rFonts w:cs="Tahoma"/>
                <w:sz w:val="20"/>
                <w:szCs w:val="20"/>
                <w:lang w:eastAsia="fr-FR"/>
              </w:rPr>
              <w:t>VIH</w:t>
            </w:r>
          </w:p>
        </w:tc>
        <w:tc>
          <w:tcPr>
            <w:tcW w:w="2352" w:type="dxa"/>
            <w:tcBorders>
              <w:top w:val="nil"/>
              <w:left w:val="nil"/>
              <w:bottom w:val="single" w:sz="8" w:space="0" w:color="auto"/>
              <w:right w:val="single" w:sz="8" w:space="0" w:color="auto"/>
            </w:tcBorders>
            <w:vAlign w:val="bottom"/>
          </w:tcPr>
          <w:p w14:paraId="2EF6EA32" w14:textId="77777777" w:rsidR="00F507F1" w:rsidRPr="00CF7F8E" w:rsidRDefault="00F507F1" w:rsidP="008E735C">
            <w:pPr>
              <w:spacing w:after="0" w:line="240" w:lineRule="auto"/>
              <w:jc w:val="center"/>
              <w:rPr>
                <w:rFonts w:cs="Tahoma"/>
                <w:sz w:val="20"/>
                <w:szCs w:val="20"/>
              </w:rPr>
            </w:pPr>
            <w:r w:rsidRPr="00CF7F8E">
              <w:rPr>
                <w:rFonts w:cs="Tahoma"/>
                <w:sz w:val="20"/>
                <w:szCs w:val="20"/>
              </w:rPr>
              <w:t>ND</w:t>
            </w:r>
          </w:p>
        </w:tc>
        <w:tc>
          <w:tcPr>
            <w:tcW w:w="2405" w:type="dxa"/>
            <w:tcBorders>
              <w:top w:val="nil"/>
              <w:left w:val="nil"/>
              <w:bottom w:val="single" w:sz="8" w:space="0" w:color="auto"/>
              <w:right w:val="single" w:sz="8" w:space="0" w:color="auto"/>
            </w:tcBorders>
            <w:vAlign w:val="bottom"/>
          </w:tcPr>
          <w:p w14:paraId="51833CC8" w14:textId="77777777" w:rsidR="00F507F1" w:rsidRPr="00CF7F8E" w:rsidRDefault="00F507F1" w:rsidP="008E735C">
            <w:pPr>
              <w:spacing w:after="0" w:line="240" w:lineRule="auto"/>
              <w:jc w:val="center"/>
              <w:rPr>
                <w:rFonts w:cs="Tahoma"/>
                <w:sz w:val="20"/>
                <w:szCs w:val="20"/>
                <w:highlight w:val="yellow"/>
                <w:lang w:eastAsia="fr-FR"/>
              </w:rPr>
            </w:pPr>
          </w:p>
        </w:tc>
      </w:tr>
      <w:tr w:rsidR="00F507F1" w:rsidRPr="00CF7F8E" w14:paraId="443CB9E3" w14:textId="77777777" w:rsidTr="008E735C">
        <w:trPr>
          <w:trHeight w:val="189"/>
        </w:trPr>
        <w:tc>
          <w:tcPr>
            <w:tcW w:w="2291" w:type="dxa"/>
            <w:tcBorders>
              <w:top w:val="nil"/>
              <w:left w:val="single" w:sz="8" w:space="0" w:color="auto"/>
              <w:bottom w:val="nil"/>
              <w:right w:val="single" w:sz="8" w:space="0" w:color="auto"/>
            </w:tcBorders>
            <w:vAlign w:val="bottom"/>
          </w:tcPr>
          <w:p w14:paraId="7BE2A34C" w14:textId="77777777" w:rsidR="00F507F1" w:rsidRPr="00CF7F8E" w:rsidRDefault="00F507F1" w:rsidP="008E735C">
            <w:pPr>
              <w:spacing w:after="0" w:line="240" w:lineRule="auto"/>
              <w:rPr>
                <w:rFonts w:cs="Tahoma"/>
                <w:b/>
                <w:bCs/>
                <w:sz w:val="20"/>
                <w:szCs w:val="20"/>
                <w:lang w:eastAsia="fr-FR"/>
              </w:rPr>
            </w:pPr>
          </w:p>
        </w:tc>
        <w:tc>
          <w:tcPr>
            <w:tcW w:w="3302" w:type="dxa"/>
            <w:tcBorders>
              <w:top w:val="nil"/>
              <w:left w:val="nil"/>
              <w:bottom w:val="single" w:sz="8" w:space="0" w:color="auto"/>
              <w:right w:val="single" w:sz="8" w:space="0" w:color="auto"/>
            </w:tcBorders>
            <w:vAlign w:val="bottom"/>
            <w:hideMark/>
          </w:tcPr>
          <w:p w14:paraId="409F968B" w14:textId="77777777" w:rsidR="00F507F1" w:rsidRPr="00CF7F8E" w:rsidRDefault="00F507F1" w:rsidP="008E735C">
            <w:pPr>
              <w:spacing w:after="0" w:line="240" w:lineRule="auto"/>
              <w:ind w:left="80"/>
              <w:rPr>
                <w:rFonts w:cs="Tahoma"/>
                <w:sz w:val="20"/>
                <w:szCs w:val="20"/>
                <w:lang w:eastAsia="fr-FR"/>
              </w:rPr>
            </w:pPr>
            <w:r w:rsidRPr="00CF7F8E">
              <w:rPr>
                <w:rFonts w:cs="Tahoma"/>
                <w:sz w:val="20"/>
                <w:szCs w:val="20"/>
                <w:lang w:eastAsia="fr-FR"/>
              </w:rPr>
              <w:t>Tuberculose</w:t>
            </w:r>
          </w:p>
        </w:tc>
        <w:tc>
          <w:tcPr>
            <w:tcW w:w="2352" w:type="dxa"/>
            <w:tcBorders>
              <w:top w:val="nil"/>
              <w:left w:val="nil"/>
              <w:bottom w:val="single" w:sz="8" w:space="0" w:color="auto"/>
              <w:right w:val="single" w:sz="8" w:space="0" w:color="auto"/>
            </w:tcBorders>
            <w:vAlign w:val="bottom"/>
          </w:tcPr>
          <w:p w14:paraId="455F16C1" w14:textId="77777777" w:rsidR="00F507F1" w:rsidRPr="00CF7F8E" w:rsidRDefault="00F507F1" w:rsidP="008E735C">
            <w:pPr>
              <w:spacing w:after="0" w:line="240" w:lineRule="auto"/>
              <w:jc w:val="center"/>
              <w:rPr>
                <w:rFonts w:cs="Tahoma"/>
                <w:sz w:val="20"/>
                <w:szCs w:val="20"/>
              </w:rPr>
            </w:pPr>
            <w:r w:rsidRPr="00CF7F8E">
              <w:rPr>
                <w:rFonts w:cs="Tahoma"/>
                <w:sz w:val="20"/>
                <w:szCs w:val="20"/>
              </w:rPr>
              <w:t>18/100000 hbts (profil pays TB OMS 2018)</w:t>
            </w:r>
          </w:p>
        </w:tc>
        <w:tc>
          <w:tcPr>
            <w:tcW w:w="2405" w:type="dxa"/>
            <w:tcBorders>
              <w:top w:val="nil"/>
              <w:left w:val="nil"/>
              <w:bottom w:val="single" w:sz="8" w:space="0" w:color="auto"/>
              <w:right w:val="single" w:sz="8" w:space="0" w:color="auto"/>
            </w:tcBorders>
            <w:vAlign w:val="bottom"/>
          </w:tcPr>
          <w:p w14:paraId="6BF8D628" w14:textId="77777777" w:rsidR="00F507F1" w:rsidRPr="00CF7F8E" w:rsidRDefault="00F507F1" w:rsidP="008E735C">
            <w:pPr>
              <w:spacing w:after="0" w:line="240" w:lineRule="auto"/>
              <w:jc w:val="center"/>
              <w:rPr>
                <w:rFonts w:cs="Tahoma"/>
                <w:sz w:val="20"/>
                <w:szCs w:val="20"/>
                <w:highlight w:val="yellow"/>
                <w:lang w:eastAsia="fr-FR"/>
              </w:rPr>
            </w:pPr>
          </w:p>
        </w:tc>
      </w:tr>
      <w:tr w:rsidR="00F507F1" w:rsidRPr="00CF7F8E" w14:paraId="6F6BA81F" w14:textId="77777777" w:rsidTr="008E735C">
        <w:trPr>
          <w:trHeight w:val="204"/>
        </w:trPr>
        <w:tc>
          <w:tcPr>
            <w:tcW w:w="2291" w:type="dxa"/>
            <w:tcBorders>
              <w:top w:val="nil"/>
              <w:left w:val="single" w:sz="8" w:space="0" w:color="auto"/>
              <w:bottom w:val="nil"/>
              <w:right w:val="single" w:sz="8" w:space="0" w:color="auto"/>
            </w:tcBorders>
            <w:vAlign w:val="bottom"/>
          </w:tcPr>
          <w:p w14:paraId="68B40EF5" w14:textId="77777777" w:rsidR="00F507F1" w:rsidRPr="00CF7F8E" w:rsidRDefault="00F507F1" w:rsidP="008E735C">
            <w:pPr>
              <w:spacing w:after="0" w:line="240" w:lineRule="auto"/>
              <w:ind w:left="120"/>
              <w:rPr>
                <w:rFonts w:cs="Tahoma"/>
                <w:b/>
                <w:bCs/>
                <w:sz w:val="20"/>
                <w:szCs w:val="20"/>
                <w:lang w:eastAsia="fr-FR"/>
              </w:rPr>
            </w:pPr>
          </w:p>
        </w:tc>
        <w:tc>
          <w:tcPr>
            <w:tcW w:w="3302" w:type="dxa"/>
            <w:tcBorders>
              <w:top w:val="nil"/>
              <w:left w:val="nil"/>
              <w:bottom w:val="single" w:sz="8" w:space="0" w:color="auto"/>
              <w:right w:val="single" w:sz="8" w:space="0" w:color="auto"/>
            </w:tcBorders>
            <w:vAlign w:val="bottom"/>
            <w:hideMark/>
          </w:tcPr>
          <w:p w14:paraId="5EAEB082" w14:textId="77777777" w:rsidR="00F507F1" w:rsidRPr="00CF7F8E" w:rsidRDefault="00F507F1" w:rsidP="008E735C">
            <w:pPr>
              <w:spacing w:after="0" w:line="240" w:lineRule="auto"/>
              <w:ind w:left="80"/>
              <w:rPr>
                <w:rFonts w:cs="Tahoma"/>
                <w:sz w:val="20"/>
                <w:szCs w:val="20"/>
                <w:lang w:eastAsia="fr-FR"/>
              </w:rPr>
            </w:pPr>
            <w:r w:rsidRPr="00CF7F8E">
              <w:rPr>
                <w:rFonts w:cs="Tahoma"/>
                <w:sz w:val="20"/>
                <w:szCs w:val="20"/>
                <w:lang w:eastAsia="fr-FR"/>
              </w:rPr>
              <w:t>Paludisme</w:t>
            </w:r>
          </w:p>
        </w:tc>
        <w:tc>
          <w:tcPr>
            <w:tcW w:w="2352" w:type="dxa"/>
            <w:tcBorders>
              <w:top w:val="nil"/>
              <w:left w:val="nil"/>
              <w:bottom w:val="single" w:sz="8" w:space="0" w:color="auto"/>
              <w:right w:val="single" w:sz="8" w:space="0" w:color="auto"/>
            </w:tcBorders>
            <w:vAlign w:val="bottom"/>
            <w:hideMark/>
          </w:tcPr>
          <w:p w14:paraId="6EB64D74" w14:textId="77777777" w:rsidR="00F507F1" w:rsidRPr="00CF7F8E" w:rsidRDefault="00F507F1" w:rsidP="008E735C">
            <w:pPr>
              <w:spacing w:after="0" w:line="240" w:lineRule="auto"/>
              <w:jc w:val="center"/>
              <w:rPr>
                <w:rFonts w:cs="Tahoma"/>
                <w:sz w:val="20"/>
                <w:szCs w:val="20"/>
              </w:rPr>
            </w:pPr>
            <w:r w:rsidRPr="00CF7F8E">
              <w:rPr>
                <w:rFonts w:cs="Tahoma"/>
                <w:sz w:val="20"/>
                <w:szCs w:val="20"/>
              </w:rPr>
              <w:t>4474</w:t>
            </w:r>
          </w:p>
        </w:tc>
        <w:tc>
          <w:tcPr>
            <w:tcW w:w="2405" w:type="dxa"/>
            <w:tcBorders>
              <w:top w:val="nil"/>
              <w:left w:val="nil"/>
              <w:bottom w:val="single" w:sz="8" w:space="0" w:color="auto"/>
              <w:right w:val="single" w:sz="8" w:space="0" w:color="auto"/>
            </w:tcBorders>
            <w:vAlign w:val="bottom"/>
          </w:tcPr>
          <w:p w14:paraId="62C6605D" w14:textId="77777777" w:rsidR="00F507F1" w:rsidRPr="00CF7F8E" w:rsidRDefault="00F507F1" w:rsidP="008E735C">
            <w:pPr>
              <w:spacing w:after="0" w:line="240" w:lineRule="auto"/>
              <w:jc w:val="center"/>
              <w:rPr>
                <w:rFonts w:cs="Tahoma"/>
                <w:sz w:val="20"/>
                <w:szCs w:val="20"/>
                <w:highlight w:val="yellow"/>
                <w:lang w:eastAsia="fr-FR"/>
              </w:rPr>
            </w:pPr>
          </w:p>
        </w:tc>
      </w:tr>
      <w:tr w:rsidR="00F507F1" w:rsidRPr="00CF7F8E" w14:paraId="5DF4E468" w14:textId="77777777" w:rsidTr="008E735C">
        <w:trPr>
          <w:trHeight w:val="198"/>
        </w:trPr>
        <w:tc>
          <w:tcPr>
            <w:tcW w:w="2291" w:type="dxa"/>
            <w:tcBorders>
              <w:top w:val="nil"/>
              <w:left w:val="single" w:sz="8" w:space="0" w:color="auto"/>
              <w:bottom w:val="nil"/>
              <w:right w:val="single" w:sz="8" w:space="0" w:color="auto"/>
            </w:tcBorders>
            <w:vAlign w:val="bottom"/>
          </w:tcPr>
          <w:p w14:paraId="101DB363" w14:textId="77777777" w:rsidR="00F507F1" w:rsidRPr="00CF7F8E" w:rsidRDefault="00F507F1" w:rsidP="008E735C">
            <w:pPr>
              <w:spacing w:after="0" w:line="240" w:lineRule="auto"/>
              <w:rPr>
                <w:rFonts w:cs="Tahoma"/>
                <w:sz w:val="20"/>
                <w:szCs w:val="20"/>
                <w:lang w:eastAsia="fr-FR"/>
              </w:rPr>
            </w:pPr>
          </w:p>
        </w:tc>
        <w:tc>
          <w:tcPr>
            <w:tcW w:w="3302" w:type="dxa"/>
            <w:tcBorders>
              <w:top w:val="nil"/>
              <w:left w:val="nil"/>
              <w:bottom w:val="single" w:sz="8" w:space="0" w:color="auto"/>
              <w:right w:val="single" w:sz="8" w:space="0" w:color="auto"/>
            </w:tcBorders>
            <w:vAlign w:val="bottom"/>
            <w:hideMark/>
          </w:tcPr>
          <w:p w14:paraId="5E7795D5" w14:textId="77777777" w:rsidR="00F507F1" w:rsidRPr="00CF7F8E" w:rsidRDefault="00F507F1" w:rsidP="008E735C">
            <w:pPr>
              <w:spacing w:after="0" w:line="240" w:lineRule="auto"/>
              <w:ind w:left="80"/>
              <w:rPr>
                <w:rFonts w:cs="Tahoma"/>
                <w:sz w:val="20"/>
                <w:szCs w:val="20"/>
                <w:lang w:eastAsia="fr-FR"/>
              </w:rPr>
            </w:pPr>
            <w:r w:rsidRPr="00CF7F8E">
              <w:rPr>
                <w:rFonts w:cs="Tahoma"/>
                <w:sz w:val="20"/>
                <w:szCs w:val="20"/>
                <w:lang w:eastAsia="fr-FR"/>
              </w:rPr>
              <w:t>MTN (nombres de personnes)</w:t>
            </w:r>
          </w:p>
        </w:tc>
        <w:tc>
          <w:tcPr>
            <w:tcW w:w="2352" w:type="dxa"/>
            <w:tcBorders>
              <w:top w:val="nil"/>
              <w:left w:val="nil"/>
              <w:bottom w:val="single" w:sz="8" w:space="0" w:color="auto"/>
              <w:right w:val="single" w:sz="8" w:space="0" w:color="auto"/>
            </w:tcBorders>
            <w:vAlign w:val="bottom"/>
          </w:tcPr>
          <w:p w14:paraId="2CBC076A" w14:textId="77777777" w:rsidR="00F507F1" w:rsidRPr="00CF7F8E" w:rsidRDefault="00F507F1" w:rsidP="008E735C">
            <w:pPr>
              <w:spacing w:after="0" w:line="240" w:lineRule="auto"/>
              <w:jc w:val="center"/>
              <w:rPr>
                <w:rFonts w:cs="Tahoma"/>
                <w:sz w:val="20"/>
                <w:szCs w:val="20"/>
              </w:rPr>
            </w:pPr>
            <w:r w:rsidRPr="00CF7F8E">
              <w:rPr>
                <w:rFonts w:cs="Tahoma"/>
                <w:sz w:val="20"/>
                <w:szCs w:val="20"/>
              </w:rPr>
              <w:t>ND</w:t>
            </w:r>
          </w:p>
        </w:tc>
        <w:tc>
          <w:tcPr>
            <w:tcW w:w="2405" w:type="dxa"/>
            <w:tcBorders>
              <w:top w:val="nil"/>
              <w:left w:val="nil"/>
              <w:bottom w:val="single" w:sz="8" w:space="0" w:color="auto"/>
              <w:right w:val="single" w:sz="8" w:space="0" w:color="auto"/>
            </w:tcBorders>
            <w:vAlign w:val="bottom"/>
          </w:tcPr>
          <w:p w14:paraId="44752AB9" w14:textId="77777777" w:rsidR="00F507F1" w:rsidRPr="00CF7F8E" w:rsidRDefault="00F507F1" w:rsidP="008E735C">
            <w:pPr>
              <w:spacing w:after="0" w:line="240" w:lineRule="auto"/>
              <w:jc w:val="center"/>
              <w:rPr>
                <w:rFonts w:cs="Tahoma"/>
                <w:sz w:val="20"/>
                <w:szCs w:val="20"/>
                <w:highlight w:val="yellow"/>
                <w:lang w:eastAsia="fr-FR"/>
              </w:rPr>
            </w:pPr>
          </w:p>
        </w:tc>
      </w:tr>
      <w:tr w:rsidR="00F507F1" w:rsidRPr="00CF7F8E" w14:paraId="798594EE" w14:textId="77777777" w:rsidTr="008E735C">
        <w:trPr>
          <w:trHeight w:val="196"/>
        </w:trPr>
        <w:tc>
          <w:tcPr>
            <w:tcW w:w="2291" w:type="dxa"/>
            <w:tcBorders>
              <w:top w:val="nil"/>
              <w:left w:val="single" w:sz="8" w:space="0" w:color="auto"/>
              <w:bottom w:val="nil"/>
              <w:right w:val="single" w:sz="8" w:space="0" w:color="auto"/>
            </w:tcBorders>
            <w:vAlign w:val="bottom"/>
          </w:tcPr>
          <w:p w14:paraId="16EB4486" w14:textId="77777777" w:rsidR="00F507F1" w:rsidRPr="00CF7F8E" w:rsidRDefault="00F507F1" w:rsidP="008E735C">
            <w:pPr>
              <w:spacing w:after="0" w:line="240" w:lineRule="auto"/>
              <w:rPr>
                <w:rFonts w:cs="Tahoma"/>
                <w:sz w:val="20"/>
                <w:szCs w:val="20"/>
                <w:lang w:eastAsia="fr-FR"/>
              </w:rPr>
            </w:pPr>
          </w:p>
        </w:tc>
        <w:tc>
          <w:tcPr>
            <w:tcW w:w="3302" w:type="dxa"/>
            <w:tcBorders>
              <w:top w:val="nil"/>
              <w:left w:val="nil"/>
              <w:bottom w:val="single" w:sz="8" w:space="0" w:color="auto"/>
              <w:right w:val="single" w:sz="8" w:space="0" w:color="auto"/>
            </w:tcBorders>
            <w:vAlign w:val="bottom"/>
            <w:hideMark/>
          </w:tcPr>
          <w:p w14:paraId="5AB07AE1" w14:textId="77777777" w:rsidR="00F507F1" w:rsidRPr="00CF7F8E" w:rsidRDefault="00F507F1" w:rsidP="008E735C">
            <w:pPr>
              <w:spacing w:after="0" w:line="240" w:lineRule="auto"/>
              <w:ind w:left="80"/>
              <w:rPr>
                <w:rFonts w:cs="Tahoma"/>
                <w:sz w:val="20"/>
                <w:szCs w:val="20"/>
                <w:lang w:eastAsia="fr-FR"/>
              </w:rPr>
            </w:pPr>
            <w:r w:rsidRPr="00CF7F8E">
              <w:rPr>
                <w:rFonts w:cs="Tahoma"/>
                <w:sz w:val="20"/>
                <w:szCs w:val="20"/>
                <w:lang w:eastAsia="fr-FR"/>
              </w:rPr>
              <w:t>Cancer (toutes causes)</w:t>
            </w:r>
          </w:p>
        </w:tc>
        <w:tc>
          <w:tcPr>
            <w:tcW w:w="2352" w:type="dxa"/>
            <w:tcBorders>
              <w:top w:val="nil"/>
              <w:left w:val="nil"/>
              <w:bottom w:val="single" w:sz="8" w:space="0" w:color="auto"/>
              <w:right w:val="single" w:sz="8" w:space="0" w:color="auto"/>
            </w:tcBorders>
            <w:vAlign w:val="bottom"/>
          </w:tcPr>
          <w:p w14:paraId="3F66FE67" w14:textId="77777777" w:rsidR="00F507F1" w:rsidRPr="00CF7F8E" w:rsidRDefault="00F507F1" w:rsidP="008E735C">
            <w:pPr>
              <w:spacing w:after="0" w:line="240" w:lineRule="auto"/>
              <w:jc w:val="center"/>
              <w:rPr>
                <w:rFonts w:cs="Tahoma"/>
                <w:sz w:val="20"/>
                <w:szCs w:val="20"/>
              </w:rPr>
            </w:pPr>
            <w:r w:rsidRPr="00CF7F8E">
              <w:rPr>
                <w:rFonts w:cs="Tahoma"/>
                <w:sz w:val="20"/>
                <w:szCs w:val="20"/>
              </w:rPr>
              <w:t>Les MNT sont à l’origine de 19 % de tous les décès au Niger (Profil de pays sur les MNT réalisée par le MSP en 2011) causes</w:t>
            </w:r>
          </w:p>
        </w:tc>
        <w:tc>
          <w:tcPr>
            <w:tcW w:w="2405" w:type="dxa"/>
            <w:tcBorders>
              <w:top w:val="nil"/>
              <w:left w:val="nil"/>
              <w:bottom w:val="single" w:sz="8" w:space="0" w:color="auto"/>
              <w:right w:val="single" w:sz="8" w:space="0" w:color="auto"/>
            </w:tcBorders>
            <w:vAlign w:val="bottom"/>
          </w:tcPr>
          <w:p w14:paraId="6D3A8823" w14:textId="77777777" w:rsidR="00F507F1" w:rsidRPr="00CF7F8E" w:rsidRDefault="00F507F1" w:rsidP="008E735C">
            <w:pPr>
              <w:spacing w:after="0" w:line="240" w:lineRule="auto"/>
              <w:jc w:val="center"/>
              <w:rPr>
                <w:rFonts w:cs="Tahoma"/>
                <w:sz w:val="20"/>
                <w:szCs w:val="20"/>
                <w:highlight w:val="yellow"/>
                <w:lang w:eastAsia="fr-FR"/>
              </w:rPr>
            </w:pPr>
          </w:p>
        </w:tc>
      </w:tr>
      <w:tr w:rsidR="00F507F1" w:rsidRPr="00CF7F8E" w14:paraId="4D747E97" w14:textId="77777777" w:rsidTr="008E735C">
        <w:trPr>
          <w:trHeight w:val="196"/>
        </w:trPr>
        <w:tc>
          <w:tcPr>
            <w:tcW w:w="2291" w:type="dxa"/>
            <w:tcBorders>
              <w:top w:val="nil"/>
              <w:left w:val="single" w:sz="8" w:space="0" w:color="auto"/>
              <w:bottom w:val="nil"/>
              <w:right w:val="single" w:sz="8" w:space="0" w:color="auto"/>
            </w:tcBorders>
            <w:vAlign w:val="bottom"/>
          </w:tcPr>
          <w:p w14:paraId="14AF7629" w14:textId="77777777" w:rsidR="00F507F1" w:rsidRPr="00CF7F8E" w:rsidRDefault="00F507F1" w:rsidP="008E735C">
            <w:pPr>
              <w:spacing w:after="0" w:line="240" w:lineRule="auto"/>
              <w:rPr>
                <w:rFonts w:cs="Tahoma"/>
                <w:sz w:val="20"/>
                <w:szCs w:val="20"/>
                <w:lang w:eastAsia="fr-FR"/>
              </w:rPr>
            </w:pPr>
          </w:p>
        </w:tc>
        <w:tc>
          <w:tcPr>
            <w:tcW w:w="3302" w:type="dxa"/>
            <w:tcBorders>
              <w:top w:val="nil"/>
              <w:left w:val="nil"/>
              <w:bottom w:val="single" w:sz="8" w:space="0" w:color="auto"/>
              <w:right w:val="single" w:sz="8" w:space="0" w:color="auto"/>
            </w:tcBorders>
            <w:vAlign w:val="bottom"/>
            <w:hideMark/>
          </w:tcPr>
          <w:p w14:paraId="2A54B493" w14:textId="77777777" w:rsidR="00F507F1" w:rsidRPr="00CF7F8E" w:rsidRDefault="00F507F1" w:rsidP="008E735C">
            <w:pPr>
              <w:spacing w:after="0" w:line="240" w:lineRule="auto"/>
              <w:ind w:left="80"/>
              <w:rPr>
                <w:rFonts w:cs="Tahoma"/>
                <w:sz w:val="20"/>
                <w:szCs w:val="20"/>
                <w:lang w:eastAsia="fr-FR"/>
              </w:rPr>
            </w:pPr>
            <w:r w:rsidRPr="00CF7F8E">
              <w:rPr>
                <w:rFonts w:cs="Tahoma"/>
                <w:sz w:val="20"/>
                <w:szCs w:val="20"/>
                <w:lang w:eastAsia="fr-FR"/>
              </w:rPr>
              <w:t>Maladies pulmonaires obstructives chroniques</w:t>
            </w:r>
          </w:p>
        </w:tc>
        <w:tc>
          <w:tcPr>
            <w:tcW w:w="2352" w:type="dxa"/>
            <w:tcBorders>
              <w:top w:val="nil"/>
              <w:left w:val="nil"/>
              <w:bottom w:val="single" w:sz="8" w:space="0" w:color="auto"/>
              <w:right w:val="single" w:sz="8" w:space="0" w:color="auto"/>
            </w:tcBorders>
            <w:vAlign w:val="bottom"/>
          </w:tcPr>
          <w:p w14:paraId="0EA02F4A" w14:textId="77777777" w:rsidR="00F507F1" w:rsidRPr="00CF7F8E" w:rsidRDefault="00F507F1" w:rsidP="008E735C">
            <w:pPr>
              <w:spacing w:after="0" w:line="240" w:lineRule="auto"/>
              <w:jc w:val="center"/>
              <w:rPr>
                <w:rFonts w:cs="Tahoma"/>
                <w:sz w:val="20"/>
                <w:szCs w:val="20"/>
              </w:rPr>
            </w:pPr>
            <w:r w:rsidRPr="00CF7F8E">
              <w:rPr>
                <w:rFonts w:cs="Tahoma"/>
                <w:sz w:val="20"/>
                <w:szCs w:val="20"/>
              </w:rPr>
              <w:t>ND</w:t>
            </w:r>
          </w:p>
        </w:tc>
        <w:tc>
          <w:tcPr>
            <w:tcW w:w="2405" w:type="dxa"/>
            <w:tcBorders>
              <w:top w:val="nil"/>
              <w:left w:val="nil"/>
              <w:bottom w:val="single" w:sz="8" w:space="0" w:color="auto"/>
              <w:right w:val="single" w:sz="8" w:space="0" w:color="auto"/>
            </w:tcBorders>
            <w:vAlign w:val="bottom"/>
          </w:tcPr>
          <w:p w14:paraId="3242F317" w14:textId="77777777" w:rsidR="00F507F1" w:rsidRPr="00CF7F8E" w:rsidRDefault="00F507F1" w:rsidP="008E735C">
            <w:pPr>
              <w:spacing w:after="0" w:line="240" w:lineRule="auto"/>
              <w:jc w:val="center"/>
              <w:rPr>
                <w:rFonts w:cs="Tahoma"/>
                <w:sz w:val="20"/>
                <w:szCs w:val="20"/>
                <w:highlight w:val="yellow"/>
                <w:lang w:eastAsia="fr-FR"/>
              </w:rPr>
            </w:pPr>
          </w:p>
        </w:tc>
      </w:tr>
      <w:tr w:rsidR="00F507F1" w:rsidRPr="00CF7F8E" w14:paraId="26831306" w14:textId="77777777" w:rsidTr="008E735C">
        <w:trPr>
          <w:trHeight w:val="196"/>
        </w:trPr>
        <w:tc>
          <w:tcPr>
            <w:tcW w:w="2291" w:type="dxa"/>
            <w:tcBorders>
              <w:top w:val="nil"/>
              <w:left w:val="single" w:sz="8" w:space="0" w:color="auto"/>
              <w:bottom w:val="nil"/>
              <w:right w:val="single" w:sz="8" w:space="0" w:color="auto"/>
            </w:tcBorders>
            <w:vAlign w:val="bottom"/>
          </w:tcPr>
          <w:p w14:paraId="09293A67" w14:textId="77777777" w:rsidR="00F507F1" w:rsidRPr="00CF7F8E" w:rsidRDefault="00F507F1" w:rsidP="008E735C">
            <w:pPr>
              <w:spacing w:after="0" w:line="240" w:lineRule="auto"/>
              <w:rPr>
                <w:rFonts w:cs="Tahoma"/>
                <w:sz w:val="20"/>
                <w:szCs w:val="20"/>
                <w:lang w:eastAsia="fr-FR"/>
              </w:rPr>
            </w:pPr>
          </w:p>
        </w:tc>
        <w:tc>
          <w:tcPr>
            <w:tcW w:w="3302" w:type="dxa"/>
            <w:tcBorders>
              <w:top w:val="nil"/>
              <w:left w:val="nil"/>
              <w:bottom w:val="single" w:sz="8" w:space="0" w:color="auto"/>
              <w:right w:val="single" w:sz="8" w:space="0" w:color="auto"/>
            </w:tcBorders>
            <w:vAlign w:val="bottom"/>
            <w:hideMark/>
          </w:tcPr>
          <w:p w14:paraId="0DB24934" w14:textId="77777777" w:rsidR="00F507F1" w:rsidRPr="00CF7F8E" w:rsidRDefault="00F507F1" w:rsidP="008E735C">
            <w:pPr>
              <w:spacing w:after="0" w:line="240" w:lineRule="auto"/>
              <w:ind w:left="80"/>
              <w:rPr>
                <w:rFonts w:cs="Tahoma"/>
                <w:sz w:val="20"/>
                <w:szCs w:val="20"/>
                <w:lang w:eastAsia="fr-FR"/>
              </w:rPr>
            </w:pPr>
            <w:r w:rsidRPr="00CF7F8E">
              <w:rPr>
                <w:rFonts w:cs="Tahoma"/>
                <w:sz w:val="20"/>
                <w:szCs w:val="20"/>
                <w:lang w:eastAsia="fr-FR"/>
              </w:rPr>
              <w:t>Diabète</w:t>
            </w:r>
          </w:p>
        </w:tc>
        <w:tc>
          <w:tcPr>
            <w:tcW w:w="2352" w:type="dxa"/>
            <w:tcBorders>
              <w:top w:val="nil"/>
              <w:left w:val="nil"/>
              <w:bottom w:val="single" w:sz="8" w:space="0" w:color="auto"/>
              <w:right w:val="single" w:sz="8" w:space="0" w:color="auto"/>
            </w:tcBorders>
            <w:vAlign w:val="bottom"/>
          </w:tcPr>
          <w:p w14:paraId="0BAF03D2" w14:textId="77777777" w:rsidR="00F507F1" w:rsidRPr="00CF7F8E" w:rsidRDefault="00F507F1" w:rsidP="008E735C">
            <w:pPr>
              <w:spacing w:after="0" w:line="240" w:lineRule="auto"/>
              <w:jc w:val="center"/>
              <w:rPr>
                <w:rFonts w:cs="Tahoma"/>
                <w:sz w:val="20"/>
                <w:szCs w:val="20"/>
              </w:rPr>
            </w:pPr>
            <w:r w:rsidRPr="00CF7F8E">
              <w:rPr>
                <w:rFonts w:cs="Tahoma"/>
                <w:sz w:val="20"/>
                <w:szCs w:val="20"/>
              </w:rPr>
              <w:t>ND</w:t>
            </w:r>
          </w:p>
        </w:tc>
        <w:tc>
          <w:tcPr>
            <w:tcW w:w="2405" w:type="dxa"/>
            <w:tcBorders>
              <w:top w:val="nil"/>
              <w:left w:val="nil"/>
              <w:bottom w:val="single" w:sz="8" w:space="0" w:color="auto"/>
              <w:right w:val="single" w:sz="8" w:space="0" w:color="auto"/>
            </w:tcBorders>
            <w:vAlign w:val="bottom"/>
          </w:tcPr>
          <w:p w14:paraId="54323E0B" w14:textId="77777777" w:rsidR="00F507F1" w:rsidRPr="00CF7F8E" w:rsidRDefault="00F507F1" w:rsidP="008E735C">
            <w:pPr>
              <w:spacing w:after="0" w:line="240" w:lineRule="auto"/>
              <w:jc w:val="center"/>
              <w:rPr>
                <w:rFonts w:cs="Tahoma"/>
                <w:sz w:val="20"/>
                <w:szCs w:val="20"/>
                <w:highlight w:val="red"/>
                <w:lang w:eastAsia="fr-FR"/>
              </w:rPr>
            </w:pPr>
          </w:p>
        </w:tc>
      </w:tr>
      <w:tr w:rsidR="00F507F1" w:rsidRPr="00CF7F8E" w14:paraId="50B383A8" w14:textId="77777777" w:rsidTr="008E735C">
        <w:trPr>
          <w:trHeight w:val="198"/>
        </w:trPr>
        <w:tc>
          <w:tcPr>
            <w:tcW w:w="2291" w:type="dxa"/>
            <w:tcBorders>
              <w:top w:val="nil"/>
              <w:left w:val="single" w:sz="8" w:space="0" w:color="auto"/>
              <w:bottom w:val="nil"/>
              <w:right w:val="single" w:sz="8" w:space="0" w:color="auto"/>
            </w:tcBorders>
            <w:vAlign w:val="bottom"/>
          </w:tcPr>
          <w:p w14:paraId="0D7D9DA8" w14:textId="77777777" w:rsidR="00F507F1" w:rsidRPr="00CF7F8E" w:rsidRDefault="00F507F1" w:rsidP="008E735C">
            <w:pPr>
              <w:spacing w:after="0" w:line="240" w:lineRule="auto"/>
              <w:rPr>
                <w:rFonts w:cs="Tahoma"/>
                <w:sz w:val="20"/>
                <w:szCs w:val="20"/>
                <w:lang w:eastAsia="fr-FR"/>
              </w:rPr>
            </w:pPr>
          </w:p>
        </w:tc>
        <w:tc>
          <w:tcPr>
            <w:tcW w:w="3302" w:type="dxa"/>
            <w:tcBorders>
              <w:top w:val="nil"/>
              <w:left w:val="nil"/>
              <w:bottom w:val="single" w:sz="8" w:space="0" w:color="auto"/>
              <w:right w:val="single" w:sz="8" w:space="0" w:color="auto"/>
            </w:tcBorders>
            <w:vAlign w:val="bottom"/>
            <w:hideMark/>
          </w:tcPr>
          <w:p w14:paraId="2715ECA8" w14:textId="77777777" w:rsidR="00F507F1" w:rsidRPr="00CF7F8E" w:rsidRDefault="00F507F1" w:rsidP="008E735C">
            <w:pPr>
              <w:spacing w:after="0" w:line="240" w:lineRule="auto"/>
              <w:ind w:left="80"/>
              <w:rPr>
                <w:rFonts w:cs="Tahoma"/>
                <w:sz w:val="20"/>
                <w:szCs w:val="20"/>
                <w:lang w:eastAsia="fr-FR"/>
              </w:rPr>
            </w:pPr>
            <w:r w:rsidRPr="00CF7F8E">
              <w:rPr>
                <w:rFonts w:cs="Tahoma"/>
                <w:sz w:val="20"/>
                <w:szCs w:val="20"/>
                <w:lang w:eastAsia="fr-FR"/>
              </w:rPr>
              <w:t>AVC / maladie cardiaque; Diabète et Cancers</w:t>
            </w:r>
          </w:p>
        </w:tc>
        <w:tc>
          <w:tcPr>
            <w:tcW w:w="2352" w:type="dxa"/>
            <w:tcBorders>
              <w:top w:val="nil"/>
              <w:left w:val="nil"/>
              <w:bottom w:val="single" w:sz="8" w:space="0" w:color="auto"/>
              <w:right w:val="single" w:sz="8" w:space="0" w:color="auto"/>
            </w:tcBorders>
            <w:vAlign w:val="bottom"/>
          </w:tcPr>
          <w:p w14:paraId="0F24AC78" w14:textId="77777777" w:rsidR="00F507F1" w:rsidRPr="00CF7F8E" w:rsidRDefault="00F507F1" w:rsidP="008E735C">
            <w:pPr>
              <w:spacing w:after="0" w:line="240" w:lineRule="auto"/>
              <w:jc w:val="center"/>
              <w:rPr>
                <w:rFonts w:cs="Tahoma"/>
                <w:sz w:val="20"/>
                <w:szCs w:val="20"/>
              </w:rPr>
            </w:pPr>
            <w:r w:rsidRPr="00CF7F8E">
              <w:rPr>
                <w:rFonts w:cs="Tahoma"/>
                <w:sz w:val="20"/>
                <w:szCs w:val="20"/>
              </w:rPr>
              <w:t xml:space="preserve">Les MNT sont à l’origine de 19 % de tous les décès au Niger (Profil de pays sur les MNT réalisée par le MSP en 2011) causes </w:t>
            </w:r>
          </w:p>
        </w:tc>
        <w:tc>
          <w:tcPr>
            <w:tcW w:w="2405" w:type="dxa"/>
            <w:tcBorders>
              <w:top w:val="nil"/>
              <w:left w:val="nil"/>
              <w:bottom w:val="single" w:sz="8" w:space="0" w:color="auto"/>
              <w:right w:val="single" w:sz="8" w:space="0" w:color="auto"/>
            </w:tcBorders>
            <w:vAlign w:val="bottom"/>
          </w:tcPr>
          <w:p w14:paraId="0CF93D5B" w14:textId="77777777" w:rsidR="00F507F1" w:rsidRPr="00CF7F8E" w:rsidRDefault="00F507F1" w:rsidP="008E735C">
            <w:pPr>
              <w:spacing w:after="0" w:line="240" w:lineRule="auto"/>
              <w:jc w:val="center"/>
              <w:rPr>
                <w:rFonts w:cs="Tahoma"/>
                <w:sz w:val="20"/>
                <w:szCs w:val="20"/>
                <w:highlight w:val="yellow"/>
                <w:lang w:eastAsia="fr-FR"/>
              </w:rPr>
            </w:pPr>
          </w:p>
        </w:tc>
      </w:tr>
      <w:tr w:rsidR="00F507F1" w:rsidRPr="00CF7F8E" w14:paraId="449C151F" w14:textId="77777777" w:rsidTr="008E735C">
        <w:trPr>
          <w:trHeight w:val="54"/>
        </w:trPr>
        <w:tc>
          <w:tcPr>
            <w:tcW w:w="2291" w:type="dxa"/>
            <w:tcBorders>
              <w:top w:val="nil"/>
              <w:left w:val="single" w:sz="8" w:space="0" w:color="auto"/>
              <w:bottom w:val="single" w:sz="8" w:space="0" w:color="auto"/>
              <w:right w:val="single" w:sz="8" w:space="0" w:color="auto"/>
            </w:tcBorders>
            <w:vAlign w:val="bottom"/>
          </w:tcPr>
          <w:p w14:paraId="11CE9555" w14:textId="77777777" w:rsidR="00F507F1" w:rsidRPr="00CF7F8E" w:rsidRDefault="00F507F1" w:rsidP="008E735C">
            <w:pPr>
              <w:spacing w:after="0" w:line="240" w:lineRule="auto"/>
              <w:rPr>
                <w:rFonts w:cs="Tahoma"/>
                <w:sz w:val="20"/>
                <w:szCs w:val="20"/>
                <w:lang w:eastAsia="fr-FR"/>
              </w:rPr>
            </w:pPr>
          </w:p>
        </w:tc>
        <w:tc>
          <w:tcPr>
            <w:tcW w:w="3302" w:type="dxa"/>
            <w:tcBorders>
              <w:top w:val="nil"/>
              <w:left w:val="nil"/>
              <w:bottom w:val="single" w:sz="8" w:space="0" w:color="auto"/>
              <w:right w:val="single" w:sz="8" w:space="0" w:color="auto"/>
            </w:tcBorders>
            <w:vAlign w:val="bottom"/>
            <w:hideMark/>
          </w:tcPr>
          <w:p w14:paraId="3D43946D" w14:textId="77777777" w:rsidR="00F507F1" w:rsidRPr="00CF7F8E" w:rsidRDefault="00F507F1" w:rsidP="008E735C">
            <w:pPr>
              <w:spacing w:after="0" w:line="240" w:lineRule="auto"/>
              <w:ind w:left="80"/>
              <w:rPr>
                <w:rFonts w:cs="Tahoma"/>
                <w:sz w:val="20"/>
                <w:szCs w:val="20"/>
                <w:lang w:eastAsia="fr-FR"/>
              </w:rPr>
            </w:pPr>
            <w:r w:rsidRPr="00CF7F8E">
              <w:rPr>
                <w:rFonts w:cs="Tahoma"/>
                <w:sz w:val="20"/>
                <w:szCs w:val="20"/>
                <w:lang w:eastAsia="fr-FR"/>
              </w:rPr>
              <w:t>Événements liés à la circulation routière</w:t>
            </w:r>
          </w:p>
        </w:tc>
        <w:tc>
          <w:tcPr>
            <w:tcW w:w="2352" w:type="dxa"/>
            <w:tcBorders>
              <w:top w:val="nil"/>
              <w:left w:val="nil"/>
              <w:bottom w:val="single" w:sz="8" w:space="0" w:color="auto"/>
              <w:right w:val="single" w:sz="8" w:space="0" w:color="auto"/>
            </w:tcBorders>
            <w:vAlign w:val="bottom"/>
          </w:tcPr>
          <w:p w14:paraId="64A1FC6D" w14:textId="77777777" w:rsidR="00F507F1" w:rsidRPr="00CF7F8E" w:rsidRDefault="00F507F1" w:rsidP="008E735C">
            <w:pPr>
              <w:spacing w:after="0" w:line="240" w:lineRule="auto"/>
              <w:jc w:val="center"/>
              <w:rPr>
                <w:rFonts w:cs="Tahoma"/>
                <w:sz w:val="20"/>
                <w:szCs w:val="20"/>
              </w:rPr>
            </w:pPr>
            <w:r w:rsidRPr="00CF7F8E">
              <w:rPr>
                <w:rFonts w:cs="Tahoma"/>
                <w:sz w:val="20"/>
                <w:szCs w:val="20"/>
              </w:rPr>
              <w:t xml:space="preserve">Les traumatismes représentent </w:t>
            </w:r>
          </w:p>
          <w:p w14:paraId="355DD1D7" w14:textId="77777777" w:rsidR="00F507F1" w:rsidRPr="00CF7F8E" w:rsidRDefault="00F507F1" w:rsidP="008E735C">
            <w:pPr>
              <w:spacing w:after="0" w:line="240" w:lineRule="auto"/>
              <w:jc w:val="center"/>
              <w:rPr>
                <w:rFonts w:cs="Tahoma"/>
                <w:sz w:val="20"/>
                <w:szCs w:val="20"/>
              </w:rPr>
            </w:pPr>
            <w:r w:rsidRPr="00CF7F8E">
              <w:rPr>
                <w:rFonts w:cs="Tahoma"/>
                <w:sz w:val="20"/>
                <w:szCs w:val="20"/>
              </w:rPr>
              <w:t>3 % des 19 % de causes de décès par MNT</w:t>
            </w:r>
          </w:p>
        </w:tc>
        <w:tc>
          <w:tcPr>
            <w:tcW w:w="2405" w:type="dxa"/>
            <w:tcBorders>
              <w:top w:val="nil"/>
              <w:left w:val="nil"/>
              <w:bottom w:val="single" w:sz="8" w:space="0" w:color="auto"/>
              <w:right w:val="single" w:sz="8" w:space="0" w:color="auto"/>
            </w:tcBorders>
            <w:vAlign w:val="bottom"/>
          </w:tcPr>
          <w:p w14:paraId="6B4802B0" w14:textId="77777777" w:rsidR="00F507F1" w:rsidRPr="00CF7F8E" w:rsidRDefault="00F507F1" w:rsidP="008E735C">
            <w:pPr>
              <w:spacing w:after="0" w:line="240" w:lineRule="auto"/>
              <w:jc w:val="center"/>
              <w:rPr>
                <w:rFonts w:cs="Tahoma"/>
                <w:sz w:val="20"/>
                <w:szCs w:val="20"/>
                <w:highlight w:val="yellow"/>
                <w:lang w:eastAsia="fr-FR"/>
              </w:rPr>
            </w:pPr>
          </w:p>
        </w:tc>
      </w:tr>
      <w:tr w:rsidR="00F507F1" w:rsidRPr="00CF7F8E" w14:paraId="7AC71599" w14:textId="77777777" w:rsidTr="008E735C">
        <w:trPr>
          <w:trHeight w:val="195"/>
        </w:trPr>
        <w:tc>
          <w:tcPr>
            <w:tcW w:w="2291" w:type="dxa"/>
            <w:tcBorders>
              <w:top w:val="nil"/>
              <w:left w:val="single" w:sz="8" w:space="0" w:color="auto"/>
              <w:bottom w:val="nil"/>
              <w:right w:val="single" w:sz="8" w:space="0" w:color="auto"/>
            </w:tcBorders>
            <w:vAlign w:val="bottom"/>
            <w:hideMark/>
          </w:tcPr>
          <w:p w14:paraId="32E3116A" w14:textId="77777777" w:rsidR="00F507F1" w:rsidRPr="00CF7F8E" w:rsidRDefault="00F507F1" w:rsidP="008E735C">
            <w:pPr>
              <w:spacing w:after="0" w:line="240" w:lineRule="auto"/>
              <w:rPr>
                <w:rFonts w:cs="Tahoma"/>
                <w:b/>
                <w:bCs/>
                <w:sz w:val="20"/>
                <w:szCs w:val="20"/>
                <w:lang w:eastAsia="fr-FR"/>
              </w:rPr>
            </w:pPr>
            <w:r w:rsidRPr="00CF7F8E">
              <w:rPr>
                <w:rFonts w:cs="Tahoma"/>
                <w:b/>
                <w:bCs/>
                <w:sz w:val="20"/>
                <w:szCs w:val="20"/>
                <w:lang w:eastAsia="fr-FR"/>
              </w:rPr>
              <w:t xml:space="preserve">Taux de mortalité </w:t>
            </w:r>
          </w:p>
        </w:tc>
        <w:tc>
          <w:tcPr>
            <w:tcW w:w="3302" w:type="dxa"/>
            <w:tcBorders>
              <w:top w:val="nil"/>
              <w:left w:val="nil"/>
              <w:bottom w:val="single" w:sz="8" w:space="0" w:color="auto"/>
              <w:right w:val="single" w:sz="8" w:space="0" w:color="auto"/>
            </w:tcBorders>
            <w:vAlign w:val="bottom"/>
            <w:hideMark/>
          </w:tcPr>
          <w:p w14:paraId="4C1FF077" w14:textId="77777777" w:rsidR="00F507F1" w:rsidRPr="00CF7F8E" w:rsidRDefault="00F507F1" w:rsidP="008E735C">
            <w:pPr>
              <w:spacing w:after="0" w:line="240" w:lineRule="auto"/>
              <w:ind w:left="80"/>
              <w:rPr>
                <w:rFonts w:cs="Tahoma"/>
                <w:sz w:val="20"/>
                <w:szCs w:val="20"/>
                <w:lang w:eastAsia="fr-FR"/>
              </w:rPr>
            </w:pPr>
            <w:r w:rsidRPr="00CF7F8E">
              <w:rPr>
                <w:rFonts w:cs="Tahoma"/>
                <w:sz w:val="20"/>
                <w:szCs w:val="20"/>
                <w:lang w:eastAsia="fr-FR"/>
              </w:rPr>
              <w:t xml:space="preserve">Taux de mortalité maternelle </w:t>
            </w:r>
          </w:p>
        </w:tc>
        <w:tc>
          <w:tcPr>
            <w:tcW w:w="2352" w:type="dxa"/>
            <w:tcBorders>
              <w:top w:val="nil"/>
              <w:left w:val="nil"/>
              <w:bottom w:val="single" w:sz="8" w:space="0" w:color="auto"/>
              <w:right w:val="single" w:sz="8" w:space="0" w:color="auto"/>
            </w:tcBorders>
            <w:vAlign w:val="bottom"/>
            <w:hideMark/>
          </w:tcPr>
          <w:p w14:paraId="0058E0B9" w14:textId="77777777" w:rsidR="00F507F1" w:rsidRPr="00CF7F8E" w:rsidRDefault="00F507F1" w:rsidP="008E735C">
            <w:pPr>
              <w:spacing w:after="0" w:line="240" w:lineRule="auto"/>
              <w:jc w:val="center"/>
              <w:rPr>
                <w:rFonts w:cs="Tahoma"/>
                <w:sz w:val="20"/>
                <w:szCs w:val="20"/>
              </w:rPr>
            </w:pPr>
            <w:r w:rsidRPr="00CF7F8E">
              <w:rPr>
                <w:rFonts w:cs="Tahoma"/>
                <w:sz w:val="20"/>
                <w:szCs w:val="20"/>
              </w:rPr>
              <w:t>520 (pour 100 000 naissances vivantes) en 2016</w:t>
            </w:r>
          </w:p>
        </w:tc>
        <w:tc>
          <w:tcPr>
            <w:tcW w:w="2405" w:type="dxa"/>
            <w:tcBorders>
              <w:top w:val="nil"/>
              <w:left w:val="nil"/>
              <w:bottom w:val="single" w:sz="8" w:space="0" w:color="auto"/>
              <w:right w:val="single" w:sz="8" w:space="0" w:color="auto"/>
            </w:tcBorders>
            <w:vAlign w:val="bottom"/>
          </w:tcPr>
          <w:p w14:paraId="6CB1C45D" w14:textId="77777777" w:rsidR="00F507F1" w:rsidRPr="00CF7F8E" w:rsidRDefault="00F507F1" w:rsidP="008E735C">
            <w:pPr>
              <w:spacing w:after="0" w:line="240" w:lineRule="auto"/>
              <w:jc w:val="center"/>
              <w:rPr>
                <w:rFonts w:cs="Tahoma"/>
                <w:sz w:val="20"/>
                <w:szCs w:val="20"/>
                <w:highlight w:val="yellow"/>
                <w:lang w:eastAsia="fr-FR"/>
              </w:rPr>
            </w:pPr>
          </w:p>
        </w:tc>
      </w:tr>
      <w:tr w:rsidR="00F507F1" w:rsidRPr="00CF7F8E" w14:paraId="2EF892B0" w14:textId="77777777" w:rsidTr="008E735C">
        <w:trPr>
          <w:trHeight w:val="197"/>
        </w:trPr>
        <w:tc>
          <w:tcPr>
            <w:tcW w:w="2291" w:type="dxa"/>
            <w:tcBorders>
              <w:top w:val="nil"/>
              <w:left w:val="single" w:sz="8" w:space="0" w:color="auto"/>
              <w:bottom w:val="nil"/>
              <w:right w:val="single" w:sz="8" w:space="0" w:color="auto"/>
            </w:tcBorders>
            <w:vAlign w:val="bottom"/>
          </w:tcPr>
          <w:p w14:paraId="429499E0" w14:textId="77777777" w:rsidR="00F507F1" w:rsidRPr="00CF7F8E" w:rsidRDefault="00F507F1" w:rsidP="008E735C">
            <w:pPr>
              <w:spacing w:after="0" w:line="240" w:lineRule="auto"/>
              <w:rPr>
                <w:rFonts w:cs="Tahoma"/>
                <w:sz w:val="20"/>
                <w:szCs w:val="20"/>
                <w:lang w:eastAsia="fr-FR"/>
              </w:rPr>
            </w:pPr>
          </w:p>
        </w:tc>
        <w:tc>
          <w:tcPr>
            <w:tcW w:w="3302" w:type="dxa"/>
            <w:tcBorders>
              <w:top w:val="nil"/>
              <w:left w:val="nil"/>
              <w:bottom w:val="single" w:sz="8" w:space="0" w:color="auto"/>
              <w:right w:val="single" w:sz="8" w:space="0" w:color="auto"/>
            </w:tcBorders>
            <w:vAlign w:val="bottom"/>
            <w:hideMark/>
          </w:tcPr>
          <w:p w14:paraId="59DFF3A0" w14:textId="77777777" w:rsidR="00F507F1" w:rsidRPr="00CF7F8E" w:rsidRDefault="00F507F1" w:rsidP="008E735C">
            <w:pPr>
              <w:spacing w:after="0" w:line="240" w:lineRule="auto"/>
              <w:ind w:left="80"/>
              <w:rPr>
                <w:rFonts w:cs="Tahoma"/>
                <w:sz w:val="20"/>
                <w:szCs w:val="20"/>
                <w:lang w:eastAsia="fr-FR"/>
              </w:rPr>
            </w:pPr>
            <w:r w:rsidRPr="00CF7F8E">
              <w:rPr>
                <w:rFonts w:cs="Tahoma"/>
                <w:sz w:val="20"/>
                <w:szCs w:val="20"/>
                <w:lang w:eastAsia="fr-FR"/>
              </w:rPr>
              <w:t>Taux de mortalité néonatale</w:t>
            </w:r>
          </w:p>
        </w:tc>
        <w:tc>
          <w:tcPr>
            <w:tcW w:w="2352" w:type="dxa"/>
            <w:tcBorders>
              <w:top w:val="nil"/>
              <w:left w:val="nil"/>
              <w:bottom w:val="single" w:sz="8" w:space="0" w:color="auto"/>
              <w:right w:val="single" w:sz="8" w:space="0" w:color="auto"/>
            </w:tcBorders>
            <w:vAlign w:val="bottom"/>
            <w:hideMark/>
          </w:tcPr>
          <w:p w14:paraId="7F922560" w14:textId="77777777" w:rsidR="00F507F1" w:rsidRPr="00CF7F8E" w:rsidRDefault="00F507F1" w:rsidP="008E735C">
            <w:pPr>
              <w:spacing w:after="0" w:line="240" w:lineRule="auto"/>
              <w:jc w:val="center"/>
              <w:rPr>
                <w:rFonts w:cs="Tahoma"/>
                <w:sz w:val="20"/>
                <w:szCs w:val="20"/>
              </w:rPr>
            </w:pPr>
            <w:r w:rsidRPr="00CF7F8E">
              <w:rPr>
                <w:rFonts w:cs="Tahoma"/>
                <w:sz w:val="20"/>
                <w:szCs w:val="20"/>
              </w:rPr>
              <w:t>24‰ (20</w:t>
            </w:r>
            <w:r w:rsidRPr="00CF7F8E">
              <w:rPr>
                <w:rFonts w:cs="Tahoma"/>
                <w:sz w:val="20"/>
                <w:szCs w:val="20"/>
              </w:rPr>
              <w:footnoteReference w:id="17"/>
            </w:r>
            <w:r w:rsidRPr="00CF7F8E">
              <w:rPr>
                <w:rFonts w:cs="Tahoma"/>
                <w:sz w:val="20"/>
                <w:szCs w:val="20"/>
              </w:rPr>
              <w:t>)</w:t>
            </w:r>
          </w:p>
        </w:tc>
        <w:tc>
          <w:tcPr>
            <w:tcW w:w="2405" w:type="dxa"/>
            <w:tcBorders>
              <w:top w:val="nil"/>
              <w:left w:val="nil"/>
              <w:bottom w:val="single" w:sz="8" w:space="0" w:color="auto"/>
              <w:right w:val="single" w:sz="8" w:space="0" w:color="auto"/>
            </w:tcBorders>
            <w:vAlign w:val="bottom"/>
          </w:tcPr>
          <w:p w14:paraId="24B0D56E" w14:textId="77777777" w:rsidR="00F507F1" w:rsidRPr="00CF7F8E" w:rsidRDefault="00F507F1" w:rsidP="008E735C">
            <w:pPr>
              <w:spacing w:after="0" w:line="240" w:lineRule="auto"/>
              <w:jc w:val="center"/>
              <w:rPr>
                <w:rFonts w:cs="Tahoma"/>
                <w:sz w:val="20"/>
                <w:szCs w:val="20"/>
                <w:highlight w:val="yellow"/>
                <w:lang w:eastAsia="fr-FR"/>
              </w:rPr>
            </w:pPr>
          </w:p>
        </w:tc>
      </w:tr>
      <w:tr w:rsidR="00F507F1" w:rsidRPr="00CF7F8E" w14:paraId="7BA7C3E2" w14:textId="77777777" w:rsidTr="008E735C">
        <w:trPr>
          <w:trHeight w:val="198"/>
        </w:trPr>
        <w:tc>
          <w:tcPr>
            <w:tcW w:w="2291" w:type="dxa"/>
            <w:tcBorders>
              <w:top w:val="nil"/>
              <w:left w:val="single" w:sz="8" w:space="0" w:color="auto"/>
              <w:bottom w:val="nil"/>
              <w:right w:val="single" w:sz="8" w:space="0" w:color="auto"/>
            </w:tcBorders>
            <w:vAlign w:val="bottom"/>
          </w:tcPr>
          <w:p w14:paraId="1120267C" w14:textId="77777777" w:rsidR="00F507F1" w:rsidRPr="00CF7F8E" w:rsidRDefault="00F507F1" w:rsidP="008E735C">
            <w:pPr>
              <w:spacing w:after="0" w:line="240" w:lineRule="auto"/>
              <w:rPr>
                <w:rFonts w:cs="Tahoma"/>
                <w:sz w:val="20"/>
                <w:szCs w:val="20"/>
                <w:lang w:eastAsia="fr-FR"/>
              </w:rPr>
            </w:pPr>
          </w:p>
        </w:tc>
        <w:tc>
          <w:tcPr>
            <w:tcW w:w="3302" w:type="dxa"/>
            <w:tcBorders>
              <w:top w:val="nil"/>
              <w:left w:val="nil"/>
              <w:bottom w:val="single" w:sz="8" w:space="0" w:color="auto"/>
              <w:right w:val="single" w:sz="8" w:space="0" w:color="auto"/>
            </w:tcBorders>
            <w:vAlign w:val="bottom"/>
            <w:hideMark/>
          </w:tcPr>
          <w:p w14:paraId="19710D89" w14:textId="77777777" w:rsidR="00F507F1" w:rsidRPr="00CF7F8E" w:rsidRDefault="00F507F1" w:rsidP="008E735C">
            <w:pPr>
              <w:spacing w:after="0" w:line="240" w:lineRule="auto"/>
              <w:ind w:left="80"/>
              <w:rPr>
                <w:rFonts w:cs="Tahoma"/>
                <w:sz w:val="20"/>
                <w:szCs w:val="20"/>
                <w:lang w:eastAsia="fr-FR"/>
              </w:rPr>
            </w:pPr>
            <w:r w:rsidRPr="00CF7F8E">
              <w:rPr>
                <w:rFonts w:cs="Tahoma"/>
                <w:sz w:val="20"/>
                <w:szCs w:val="20"/>
                <w:lang w:eastAsia="fr-FR"/>
              </w:rPr>
              <w:t>Taux de mortalité des moins de 1 an</w:t>
            </w:r>
          </w:p>
        </w:tc>
        <w:tc>
          <w:tcPr>
            <w:tcW w:w="2352" w:type="dxa"/>
            <w:tcBorders>
              <w:top w:val="nil"/>
              <w:left w:val="nil"/>
              <w:bottom w:val="single" w:sz="8" w:space="0" w:color="auto"/>
              <w:right w:val="single" w:sz="8" w:space="0" w:color="auto"/>
            </w:tcBorders>
            <w:vAlign w:val="bottom"/>
            <w:hideMark/>
          </w:tcPr>
          <w:p w14:paraId="2120F3DF" w14:textId="77777777" w:rsidR="00F507F1" w:rsidRPr="00CF7F8E" w:rsidRDefault="00F507F1" w:rsidP="008E735C">
            <w:pPr>
              <w:spacing w:after="0" w:line="240" w:lineRule="auto"/>
              <w:jc w:val="center"/>
              <w:rPr>
                <w:rFonts w:cs="Tahoma"/>
                <w:sz w:val="20"/>
                <w:szCs w:val="20"/>
              </w:rPr>
            </w:pPr>
            <w:r w:rsidRPr="00CF7F8E">
              <w:rPr>
                <w:rFonts w:cs="Tahoma"/>
                <w:sz w:val="20"/>
                <w:szCs w:val="20"/>
              </w:rPr>
              <w:t>51‰ (20</w:t>
            </w:r>
            <w:r w:rsidRPr="00CF7F8E">
              <w:rPr>
                <w:rFonts w:cs="Tahoma"/>
                <w:sz w:val="20"/>
                <w:szCs w:val="20"/>
              </w:rPr>
              <w:footnoteReference w:id="18"/>
            </w:r>
            <w:r w:rsidRPr="00CF7F8E">
              <w:rPr>
                <w:rFonts w:cs="Tahoma"/>
                <w:sz w:val="20"/>
                <w:szCs w:val="20"/>
              </w:rPr>
              <w:t>)</w:t>
            </w:r>
          </w:p>
        </w:tc>
        <w:tc>
          <w:tcPr>
            <w:tcW w:w="2405" w:type="dxa"/>
            <w:tcBorders>
              <w:top w:val="nil"/>
              <w:left w:val="nil"/>
              <w:bottom w:val="single" w:sz="8" w:space="0" w:color="auto"/>
              <w:right w:val="single" w:sz="8" w:space="0" w:color="auto"/>
            </w:tcBorders>
            <w:vAlign w:val="bottom"/>
          </w:tcPr>
          <w:p w14:paraId="08388735" w14:textId="77777777" w:rsidR="00F507F1" w:rsidRPr="00CF7F8E" w:rsidRDefault="00F507F1" w:rsidP="008E735C">
            <w:pPr>
              <w:spacing w:after="0" w:line="240" w:lineRule="auto"/>
              <w:jc w:val="center"/>
              <w:rPr>
                <w:rFonts w:cs="Tahoma"/>
                <w:sz w:val="20"/>
                <w:szCs w:val="20"/>
                <w:highlight w:val="yellow"/>
                <w:lang w:eastAsia="fr-FR"/>
              </w:rPr>
            </w:pPr>
          </w:p>
        </w:tc>
      </w:tr>
      <w:tr w:rsidR="00F507F1" w:rsidRPr="00CF7F8E" w14:paraId="6DC8010D" w14:textId="77777777" w:rsidTr="008E735C">
        <w:trPr>
          <w:trHeight w:val="196"/>
        </w:trPr>
        <w:tc>
          <w:tcPr>
            <w:tcW w:w="2291" w:type="dxa"/>
            <w:tcBorders>
              <w:top w:val="nil"/>
              <w:left w:val="single" w:sz="8" w:space="0" w:color="auto"/>
              <w:bottom w:val="nil"/>
              <w:right w:val="single" w:sz="8" w:space="0" w:color="auto"/>
            </w:tcBorders>
            <w:vAlign w:val="bottom"/>
          </w:tcPr>
          <w:p w14:paraId="6E12A7D0" w14:textId="77777777" w:rsidR="00F507F1" w:rsidRPr="00CF7F8E" w:rsidRDefault="00F507F1" w:rsidP="008E735C">
            <w:pPr>
              <w:spacing w:after="0" w:line="240" w:lineRule="auto"/>
              <w:rPr>
                <w:rFonts w:cs="Tahoma"/>
                <w:sz w:val="20"/>
                <w:szCs w:val="20"/>
                <w:lang w:eastAsia="fr-FR"/>
              </w:rPr>
            </w:pPr>
          </w:p>
        </w:tc>
        <w:tc>
          <w:tcPr>
            <w:tcW w:w="3302" w:type="dxa"/>
            <w:tcBorders>
              <w:top w:val="nil"/>
              <w:left w:val="nil"/>
              <w:bottom w:val="single" w:sz="8" w:space="0" w:color="auto"/>
              <w:right w:val="single" w:sz="8" w:space="0" w:color="auto"/>
            </w:tcBorders>
            <w:vAlign w:val="bottom"/>
            <w:hideMark/>
          </w:tcPr>
          <w:p w14:paraId="5CBCDA5C" w14:textId="77777777" w:rsidR="00F507F1" w:rsidRPr="00CF7F8E" w:rsidRDefault="00F507F1" w:rsidP="008E735C">
            <w:pPr>
              <w:spacing w:after="0" w:line="240" w:lineRule="auto"/>
              <w:ind w:left="80"/>
              <w:rPr>
                <w:rFonts w:cs="Tahoma"/>
                <w:sz w:val="20"/>
                <w:szCs w:val="20"/>
                <w:lang w:eastAsia="fr-FR"/>
              </w:rPr>
            </w:pPr>
            <w:r w:rsidRPr="00CF7F8E">
              <w:rPr>
                <w:rFonts w:cs="Tahoma"/>
                <w:sz w:val="20"/>
                <w:szCs w:val="20"/>
                <w:lang w:eastAsia="fr-FR"/>
              </w:rPr>
              <w:t xml:space="preserve">Taux de mortalité des moins de 5 ans </w:t>
            </w:r>
          </w:p>
        </w:tc>
        <w:tc>
          <w:tcPr>
            <w:tcW w:w="2352" w:type="dxa"/>
            <w:tcBorders>
              <w:top w:val="nil"/>
              <w:left w:val="nil"/>
              <w:bottom w:val="single" w:sz="8" w:space="0" w:color="auto"/>
              <w:right w:val="single" w:sz="8" w:space="0" w:color="auto"/>
            </w:tcBorders>
            <w:vAlign w:val="bottom"/>
            <w:hideMark/>
          </w:tcPr>
          <w:p w14:paraId="5411E8BE" w14:textId="77777777" w:rsidR="00F507F1" w:rsidRPr="00CF7F8E" w:rsidRDefault="00F507F1" w:rsidP="008E735C">
            <w:pPr>
              <w:spacing w:after="0" w:line="240" w:lineRule="auto"/>
              <w:jc w:val="center"/>
              <w:rPr>
                <w:rFonts w:cs="Tahoma"/>
                <w:sz w:val="20"/>
                <w:szCs w:val="20"/>
              </w:rPr>
            </w:pPr>
            <w:r w:rsidRPr="00CF7F8E">
              <w:rPr>
                <w:rFonts w:cs="Tahoma"/>
                <w:sz w:val="20"/>
                <w:szCs w:val="20"/>
              </w:rPr>
              <w:t>126‰ (20</w:t>
            </w:r>
            <w:r w:rsidRPr="00CF7F8E">
              <w:rPr>
                <w:rFonts w:cs="Tahoma"/>
                <w:sz w:val="20"/>
                <w:szCs w:val="20"/>
              </w:rPr>
              <w:footnoteReference w:id="19"/>
            </w:r>
            <w:r w:rsidRPr="00CF7F8E">
              <w:rPr>
                <w:rFonts w:cs="Tahoma"/>
                <w:sz w:val="20"/>
                <w:szCs w:val="20"/>
              </w:rPr>
              <w:t>)</w:t>
            </w:r>
          </w:p>
        </w:tc>
        <w:tc>
          <w:tcPr>
            <w:tcW w:w="2405" w:type="dxa"/>
            <w:tcBorders>
              <w:top w:val="nil"/>
              <w:left w:val="nil"/>
              <w:bottom w:val="single" w:sz="8" w:space="0" w:color="auto"/>
              <w:right w:val="single" w:sz="8" w:space="0" w:color="auto"/>
            </w:tcBorders>
            <w:vAlign w:val="bottom"/>
          </w:tcPr>
          <w:p w14:paraId="4E1A9B63" w14:textId="77777777" w:rsidR="00F507F1" w:rsidRPr="00CF7F8E" w:rsidRDefault="00F507F1" w:rsidP="008E735C">
            <w:pPr>
              <w:spacing w:after="0" w:line="240" w:lineRule="auto"/>
              <w:jc w:val="center"/>
              <w:rPr>
                <w:rFonts w:cs="Tahoma"/>
                <w:sz w:val="20"/>
                <w:szCs w:val="20"/>
                <w:highlight w:val="yellow"/>
                <w:lang w:eastAsia="fr-FR"/>
              </w:rPr>
            </w:pPr>
          </w:p>
        </w:tc>
      </w:tr>
      <w:tr w:rsidR="00F507F1" w:rsidRPr="00CF7F8E" w14:paraId="58A1F8E8" w14:textId="77777777" w:rsidTr="008E735C">
        <w:trPr>
          <w:trHeight w:val="196"/>
        </w:trPr>
        <w:tc>
          <w:tcPr>
            <w:tcW w:w="2291" w:type="dxa"/>
            <w:tcBorders>
              <w:top w:val="nil"/>
              <w:left w:val="single" w:sz="8" w:space="0" w:color="auto"/>
              <w:bottom w:val="nil"/>
              <w:right w:val="single" w:sz="8" w:space="0" w:color="auto"/>
            </w:tcBorders>
            <w:vAlign w:val="bottom"/>
          </w:tcPr>
          <w:p w14:paraId="2CDD32A1" w14:textId="77777777" w:rsidR="00F507F1" w:rsidRPr="00CF7F8E" w:rsidRDefault="00F507F1" w:rsidP="008E735C">
            <w:pPr>
              <w:spacing w:after="0" w:line="240" w:lineRule="auto"/>
              <w:rPr>
                <w:rFonts w:cs="Tahoma"/>
                <w:sz w:val="20"/>
                <w:szCs w:val="20"/>
                <w:lang w:eastAsia="fr-FR"/>
              </w:rPr>
            </w:pPr>
          </w:p>
        </w:tc>
        <w:tc>
          <w:tcPr>
            <w:tcW w:w="3302" w:type="dxa"/>
            <w:tcBorders>
              <w:top w:val="nil"/>
              <w:left w:val="nil"/>
              <w:bottom w:val="single" w:sz="8" w:space="0" w:color="auto"/>
              <w:right w:val="single" w:sz="8" w:space="0" w:color="auto"/>
            </w:tcBorders>
            <w:vAlign w:val="bottom"/>
            <w:hideMark/>
          </w:tcPr>
          <w:p w14:paraId="3CEC1B56" w14:textId="77777777" w:rsidR="00F507F1" w:rsidRPr="00CF7F8E" w:rsidRDefault="00F507F1" w:rsidP="008E735C">
            <w:pPr>
              <w:spacing w:after="0" w:line="240" w:lineRule="auto"/>
              <w:ind w:left="80"/>
              <w:rPr>
                <w:rFonts w:cs="Tahoma"/>
                <w:sz w:val="20"/>
                <w:szCs w:val="20"/>
                <w:lang w:eastAsia="fr-FR"/>
              </w:rPr>
            </w:pPr>
            <w:r w:rsidRPr="00CF7F8E">
              <w:rPr>
                <w:rFonts w:cs="Tahoma"/>
                <w:sz w:val="20"/>
                <w:szCs w:val="20"/>
                <w:lang w:eastAsia="fr-FR"/>
              </w:rPr>
              <w:t>Taux de mortalité des adolescents</w:t>
            </w:r>
          </w:p>
        </w:tc>
        <w:tc>
          <w:tcPr>
            <w:tcW w:w="2352" w:type="dxa"/>
            <w:tcBorders>
              <w:top w:val="nil"/>
              <w:left w:val="nil"/>
              <w:bottom w:val="single" w:sz="8" w:space="0" w:color="auto"/>
              <w:right w:val="single" w:sz="8" w:space="0" w:color="auto"/>
            </w:tcBorders>
            <w:vAlign w:val="bottom"/>
          </w:tcPr>
          <w:p w14:paraId="48E18BB5" w14:textId="77777777" w:rsidR="00F507F1" w:rsidRPr="00CF7F8E" w:rsidRDefault="00F507F1" w:rsidP="008E735C">
            <w:pPr>
              <w:spacing w:after="0" w:line="240" w:lineRule="auto"/>
              <w:jc w:val="center"/>
              <w:rPr>
                <w:rFonts w:cs="Tahoma"/>
                <w:sz w:val="20"/>
                <w:szCs w:val="20"/>
              </w:rPr>
            </w:pPr>
            <w:r w:rsidRPr="00CF7F8E">
              <w:rPr>
                <w:rFonts w:cs="Tahoma"/>
                <w:sz w:val="20"/>
                <w:szCs w:val="20"/>
              </w:rPr>
              <w:t>ND</w:t>
            </w:r>
          </w:p>
        </w:tc>
        <w:tc>
          <w:tcPr>
            <w:tcW w:w="2405" w:type="dxa"/>
            <w:tcBorders>
              <w:top w:val="nil"/>
              <w:left w:val="nil"/>
              <w:bottom w:val="single" w:sz="8" w:space="0" w:color="auto"/>
              <w:right w:val="single" w:sz="8" w:space="0" w:color="auto"/>
            </w:tcBorders>
            <w:vAlign w:val="bottom"/>
          </w:tcPr>
          <w:p w14:paraId="0FB973F3" w14:textId="77777777" w:rsidR="00F507F1" w:rsidRPr="00CF7F8E" w:rsidRDefault="00F507F1" w:rsidP="008E735C">
            <w:pPr>
              <w:spacing w:after="0" w:line="240" w:lineRule="auto"/>
              <w:jc w:val="center"/>
              <w:rPr>
                <w:rFonts w:cs="Tahoma"/>
                <w:sz w:val="20"/>
                <w:szCs w:val="20"/>
                <w:highlight w:val="yellow"/>
                <w:lang w:eastAsia="fr-FR"/>
              </w:rPr>
            </w:pPr>
          </w:p>
        </w:tc>
      </w:tr>
      <w:tr w:rsidR="00F507F1" w:rsidRPr="00CF7F8E" w14:paraId="5EDCC583" w14:textId="77777777" w:rsidTr="008E735C">
        <w:trPr>
          <w:trHeight w:val="196"/>
        </w:trPr>
        <w:tc>
          <w:tcPr>
            <w:tcW w:w="2291" w:type="dxa"/>
            <w:tcBorders>
              <w:top w:val="nil"/>
              <w:left w:val="single" w:sz="8" w:space="0" w:color="auto"/>
              <w:bottom w:val="nil"/>
              <w:right w:val="single" w:sz="8" w:space="0" w:color="auto"/>
            </w:tcBorders>
            <w:vAlign w:val="bottom"/>
          </w:tcPr>
          <w:p w14:paraId="58D6CEFF" w14:textId="77777777" w:rsidR="00F507F1" w:rsidRPr="00CF7F8E" w:rsidRDefault="00F507F1" w:rsidP="008E735C">
            <w:pPr>
              <w:spacing w:after="0" w:line="240" w:lineRule="auto"/>
              <w:rPr>
                <w:rFonts w:cs="Tahoma"/>
                <w:sz w:val="20"/>
                <w:szCs w:val="20"/>
                <w:lang w:eastAsia="fr-FR"/>
              </w:rPr>
            </w:pPr>
          </w:p>
        </w:tc>
        <w:tc>
          <w:tcPr>
            <w:tcW w:w="3302" w:type="dxa"/>
            <w:tcBorders>
              <w:top w:val="nil"/>
              <w:left w:val="nil"/>
              <w:bottom w:val="single" w:sz="8" w:space="0" w:color="auto"/>
              <w:right w:val="single" w:sz="8" w:space="0" w:color="auto"/>
            </w:tcBorders>
            <w:vAlign w:val="bottom"/>
            <w:hideMark/>
          </w:tcPr>
          <w:p w14:paraId="43CFE9FF" w14:textId="77777777" w:rsidR="00F507F1" w:rsidRPr="00CF7F8E" w:rsidRDefault="00F507F1" w:rsidP="008E735C">
            <w:pPr>
              <w:spacing w:after="0" w:line="240" w:lineRule="auto"/>
              <w:ind w:left="80"/>
              <w:rPr>
                <w:rFonts w:cs="Tahoma"/>
                <w:sz w:val="20"/>
                <w:szCs w:val="20"/>
                <w:lang w:eastAsia="fr-FR"/>
              </w:rPr>
            </w:pPr>
            <w:r w:rsidRPr="00CF7F8E">
              <w:rPr>
                <w:rFonts w:cs="Tahoma"/>
                <w:sz w:val="20"/>
                <w:szCs w:val="20"/>
                <w:lang w:eastAsia="fr-FR"/>
              </w:rPr>
              <w:t>Taux de mortalité des adultes</w:t>
            </w:r>
          </w:p>
        </w:tc>
        <w:tc>
          <w:tcPr>
            <w:tcW w:w="2352" w:type="dxa"/>
            <w:tcBorders>
              <w:top w:val="nil"/>
              <w:left w:val="nil"/>
              <w:bottom w:val="single" w:sz="8" w:space="0" w:color="auto"/>
              <w:right w:val="single" w:sz="8" w:space="0" w:color="auto"/>
            </w:tcBorders>
            <w:vAlign w:val="bottom"/>
          </w:tcPr>
          <w:p w14:paraId="1A50C1EB" w14:textId="77777777" w:rsidR="00F507F1" w:rsidRPr="00CF7F8E" w:rsidRDefault="00F507F1" w:rsidP="008E735C">
            <w:pPr>
              <w:spacing w:after="0" w:line="240" w:lineRule="auto"/>
              <w:jc w:val="center"/>
              <w:rPr>
                <w:rFonts w:cs="Tahoma"/>
                <w:sz w:val="20"/>
                <w:szCs w:val="20"/>
              </w:rPr>
            </w:pPr>
            <w:r w:rsidRPr="00CF7F8E">
              <w:rPr>
                <w:rFonts w:cs="Tahoma"/>
                <w:sz w:val="20"/>
                <w:szCs w:val="20"/>
              </w:rPr>
              <w:t>ND</w:t>
            </w:r>
          </w:p>
        </w:tc>
        <w:tc>
          <w:tcPr>
            <w:tcW w:w="2405" w:type="dxa"/>
            <w:tcBorders>
              <w:top w:val="nil"/>
              <w:left w:val="nil"/>
              <w:bottom w:val="single" w:sz="8" w:space="0" w:color="auto"/>
              <w:right w:val="single" w:sz="8" w:space="0" w:color="auto"/>
            </w:tcBorders>
            <w:vAlign w:val="bottom"/>
          </w:tcPr>
          <w:p w14:paraId="272C0587" w14:textId="77777777" w:rsidR="00F507F1" w:rsidRPr="00CF7F8E" w:rsidRDefault="00F507F1" w:rsidP="008E735C">
            <w:pPr>
              <w:spacing w:after="0" w:line="240" w:lineRule="auto"/>
              <w:jc w:val="center"/>
              <w:rPr>
                <w:rFonts w:cs="Tahoma"/>
                <w:sz w:val="20"/>
                <w:szCs w:val="20"/>
                <w:highlight w:val="yellow"/>
                <w:lang w:eastAsia="fr-FR"/>
              </w:rPr>
            </w:pPr>
          </w:p>
        </w:tc>
      </w:tr>
      <w:tr w:rsidR="00F507F1" w:rsidRPr="00CF7F8E" w14:paraId="5DB9D7A6" w14:textId="77777777" w:rsidTr="008E735C">
        <w:trPr>
          <w:trHeight w:val="54"/>
        </w:trPr>
        <w:tc>
          <w:tcPr>
            <w:tcW w:w="2291" w:type="dxa"/>
            <w:tcBorders>
              <w:top w:val="nil"/>
              <w:left w:val="single" w:sz="8" w:space="0" w:color="auto"/>
              <w:bottom w:val="single" w:sz="8" w:space="0" w:color="auto"/>
              <w:right w:val="single" w:sz="8" w:space="0" w:color="auto"/>
            </w:tcBorders>
            <w:vAlign w:val="bottom"/>
          </w:tcPr>
          <w:p w14:paraId="569218A4" w14:textId="77777777" w:rsidR="00F507F1" w:rsidRPr="00CF7F8E" w:rsidRDefault="00F507F1" w:rsidP="008E735C">
            <w:pPr>
              <w:spacing w:after="0" w:line="240" w:lineRule="auto"/>
              <w:rPr>
                <w:rFonts w:cs="Tahoma"/>
                <w:sz w:val="20"/>
                <w:szCs w:val="20"/>
                <w:lang w:eastAsia="fr-FR"/>
              </w:rPr>
            </w:pPr>
          </w:p>
        </w:tc>
        <w:tc>
          <w:tcPr>
            <w:tcW w:w="3302" w:type="dxa"/>
            <w:tcBorders>
              <w:top w:val="nil"/>
              <w:left w:val="nil"/>
              <w:bottom w:val="single" w:sz="8" w:space="0" w:color="auto"/>
              <w:right w:val="single" w:sz="8" w:space="0" w:color="auto"/>
            </w:tcBorders>
            <w:vAlign w:val="bottom"/>
            <w:hideMark/>
          </w:tcPr>
          <w:p w14:paraId="3DC8348E" w14:textId="77777777" w:rsidR="00F507F1" w:rsidRPr="00CF7F8E" w:rsidRDefault="00F507F1" w:rsidP="008E735C">
            <w:pPr>
              <w:spacing w:after="0" w:line="240" w:lineRule="auto"/>
              <w:ind w:left="80"/>
              <w:rPr>
                <w:rFonts w:cs="Tahoma"/>
                <w:sz w:val="20"/>
                <w:szCs w:val="20"/>
                <w:lang w:eastAsia="fr-FR"/>
              </w:rPr>
            </w:pPr>
            <w:r w:rsidRPr="00CF7F8E">
              <w:rPr>
                <w:rFonts w:cs="Tahoma"/>
                <w:sz w:val="20"/>
                <w:szCs w:val="20"/>
                <w:lang w:eastAsia="fr-FR"/>
              </w:rPr>
              <w:t>Taux brut de mortalité</w:t>
            </w:r>
          </w:p>
        </w:tc>
        <w:tc>
          <w:tcPr>
            <w:tcW w:w="2352" w:type="dxa"/>
            <w:tcBorders>
              <w:top w:val="nil"/>
              <w:left w:val="nil"/>
              <w:bottom w:val="single" w:sz="8" w:space="0" w:color="auto"/>
              <w:right w:val="single" w:sz="8" w:space="0" w:color="auto"/>
            </w:tcBorders>
            <w:vAlign w:val="bottom"/>
          </w:tcPr>
          <w:p w14:paraId="4494F16B" w14:textId="77777777" w:rsidR="00F507F1" w:rsidRPr="00CF7F8E" w:rsidRDefault="00F507F1" w:rsidP="008E735C">
            <w:pPr>
              <w:spacing w:after="0" w:line="240" w:lineRule="auto"/>
              <w:jc w:val="center"/>
              <w:rPr>
                <w:rFonts w:cs="Tahoma"/>
                <w:sz w:val="20"/>
                <w:szCs w:val="20"/>
              </w:rPr>
            </w:pPr>
            <w:r w:rsidRPr="00CF7F8E">
              <w:rPr>
                <w:rFonts w:cs="Tahoma"/>
                <w:sz w:val="20"/>
                <w:szCs w:val="20"/>
              </w:rPr>
              <w:t>ND</w:t>
            </w:r>
          </w:p>
        </w:tc>
        <w:tc>
          <w:tcPr>
            <w:tcW w:w="2405" w:type="dxa"/>
            <w:tcBorders>
              <w:top w:val="nil"/>
              <w:left w:val="nil"/>
              <w:bottom w:val="single" w:sz="8" w:space="0" w:color="auto"/>
              <w:right w:val="single" w:sz="8" w:space="0" w:color="auto"/>
            </w:tcBorders>
            <w:vAlign w:val="bottom"/>
          </w:tcPr>
          <w:p w14:paraId="20FE7ACD" w14:textId="77777777" w:rsidR="00F507F1" w:rsidRPr="00CF7F8E" w:rsidRDefault="00F507F1" w:rsidP="008E735C">
            <w:pPr>
              <w:spacing w:after="0" w:line="240" w:lineRule="auto"/>
              <w:jc w:val="center"/>
              <w:rPr>
                <w:rFonts w:cs="Tahoma"/>
                <w:sz w:val="20"/>
                <w:szCs w:val="20"/>
                <w:lang w:eastAsia="fr-FR"/>
              </w:rPr>
            </w:pPr>
          </w:p>
        </w:tc>
      </w:tr>
    </w:tbl>
    <w:p w14:paraId="3D92D897" w14:textId="77777777" w:rsidR="00F507F1" w:rsidRPr="009037CC" w:rsidRDefault="00F507F1" w:rsidP="00F507F1">
      <w:pPr>
        <w:spacing w:line="240" w:lineRule="auto"/>
        <w:jc w:val="both"/>
        <w:rPr>
          <w:rFonts w:cs="Tahoma"/>
          <w:sz w:val="24"/>
          <w:szCs w:val="24"/>
        </w:rPr>
        <w:sectPr w:rsidR="00F507F1" w:rsidRPr="009037CC" w:rsidSect="002E26C8">
          <w:pgSz w:w="11906" w:h="16838" w:code="9"/>
          <w:pgMar w:top="1412" w:right="1412" w:bottom="1412" w:left="1412" w:header="706" w:footer="706" w:gutter="0"/>
          <w:cols w:space="708"/>
          <w:titlePg/>
          <w:docGrid w:linePitch="360"/>
        </w:sectPr>
      </w:pPr>
    </w:p>
    <w:p w14:paraId="458BF82A" w14:textId="77777777" w:rsidR="00431DEF" w:rsidRDefault="0044393C" w:rsidP="00F507F1">
      <w:pPr>
        <w:pStyle w:val="Titre1"/>
      </w:pPr>
      <w:bookmarkStart w:id="43" w:name="_Toc21449044"/>
      <w:r>
        <w:t>Annexe : calcul des indicateurs de la CSU</w:t>
      </w:r>
      <w:bookmarkEnd w:id="43"/>
    </w:p>
    <w:p w14:paraId="25BC3EE6" w14:textId="77777777" w:rsidR="0044393C" w:rsidRPr="0044393C" w:rsidRDefault="0044393C" w:rsidP="0044393C"/>
    <w:p w14:paraId="41C5B6A6" w14:textId="77777777" w:rsidR="005416D5" w:rsidRDefault="00D4535B" w:rsidP="00D069F1">
      <w:r>
        <w:rPr>
          <w:noProof/>
          <w:lang w:eastAsia="fr-FR"/>
        </w:rPr>
        <w:drawing>
          <wp:inline distT="0" distB="0" distL="0" distR="0" wp14:anchorId="1412A508" wp14:editId="2A51E2FF">
            <wp:extent cx="5759450" cy="2361705"/>
            <wp:effectExtent l="0" t="0" r="0" b="635"/>
            <wp:docPr id="29" name="Imag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stretch>
                      <a:fillRect/>
                    </a:stretch>
                  </pic:blipFill>
                  <pic:spPr>
                    <a:xfrm>
                      <a:off x="0" y="0"/>
                      <a:ext cx="5759450" cy="2361705"/>
                    </a:xfrm>
                    <a:prstGeom prst="rect">
                      <a:avLst/>
                    </a:prstGeom>
                  </pic:spPr>
                </pic:pic>
              </a:graphicData>
            </a:graphic>
          </wp:inline>
        </w:drawing>
      </w:r>
    </w:p>
    <w:p w14:paraId="58FCE7E1" w14:textId="77777777" w:rsidR="00431DEF" w:rsidRDefault="00431DEF" w:rsidP="00D069F1">
      <w:r>
        <w:rPr>
          <w:noProof/>
          <w:lang w:eastAsia="fr-FR"/>
        </w:rPr>
        <w:drawing>
          <wp:inline distT="0" distB="0" distL="0" distR="0" wp14:anchorId="227E283B" wp14:editId="5CDA1FDF">
            <wp:extent cx="5753100" cy="5476875"/>
            <wp:effectExtent l="0" t="0" r="0" b="9525"/>
            <wp:docPr id="299" name="Image 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5753100" cy="5476875"/>
                    </a:xfrm>
                    <a:prstGeom prst="rect">
                      <a:avLst/>
                    </a:prstGeom>
                  </pic:spPr>
                </pic:pic>
              </a:graphicData>
            </a:graphic>
          </wp:inline>
        </w:drawing>
      </w:r>
    </w:p>
    <w:p w14:paraId="795879F4" w14:textId="77777777" w:rsidR="00431DEF" w:rsidRPr="00D069F1" w:rsidRDefault="00431DEF" w:rsidP="00D069F1">
      <w:r>
        <w:rPr>
          <w:noProof/>
          <w:lang w:eastAsia="fr-FR"/>
        </w:rPr>
        <w:drawing>
          <wp:inline distT="0" distB="0" distL="0" distR="0" wp14:anchorId="37058FF2" wp14:editId="6B6FF9E6">
            <wp:extent cx="3209925" cy="4886325"/>
            <wp:effectExtent l="0" t="0" r="9525" b="9525"/>
            <wp:docPr id="300" name="Image 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3209925" cy="4886325"/>
                    </a:xfrm>
                    <a:prstGeom prst="rect">
                      <a:avLst/>
                    </a:prstGeom>
                  </pic:spPr>
                </pic:pic>
              </a:graphicData>
            </a:graphic>
          </wp:inline>
        </w:drawing>
      </w:r>
    </w:p>
    <w:p w14:paraId="524B6FF7" w14:textId="77777777" w:rsidR="003F3FAC" w:rsidRPr="00BF29A2" w:rsidRDefault="003F3FAC" w:rsidP="003F3FAC">
      <w:pPr>
        <w:pStyle w:val="Paragraphedeliste"/>
        <w:ind w:left="1494"/>
        <w:rPr>
          <w:rFonts w:cstheme="minorHAnsi"/>
          <w:color w:val="FF0000"/>
          <w:sz w:val="24"/>
          <w:szCs w:val="24"/>
        </w:rPr>
      </w:pPr>
    </w:p>
    <w:p w14:paraId="331326FB" w14:textId="77777777" w:rsidR="00515C25" w:rsidRPr="00BF29A2" w:rsidRDefault="00515C25">
      <w:pPr>
        <w:rPr>
          <w:rFonts w:cstheme="minorHAnsi"/>
          <w:b/>
          <w:i/>
          <w:sz w:val="24"/>
          <w:szCs w:val="24"/>
        </w:rPr>
      </w:pPr>
    </w:p>
    <w:sectPr w:rsidR="00515C25" w:rsidRPr="00BF29A2" w:rsidSect="002E26C8">
      <w:pgSz w:w="11906" w:h="16838" w:code="9"/>
      <w:pgMar w:top="1412" w:right="1412" w:bottom="1412" w:left="141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60DCD6B" w14:textId="77777777" w:rsidR="00A21491" w:rsidRDefault="00A21491" w:rsidP="003F3FAC">
      <w:pPr>
        <w:spacing w:after="0" w:line="240" w:lineRule="auto"/>
      </w:pPr>
      <w:r>
        <w:separator/>
      </w:r>
    </w:p>
  </w:endnote>
  <w:endnote w:type="continuationSeparator" w:id="0">
    <w:p w14:paraId="63865999" w14:textId="77777777" w:rsidR="00A21491" w:rsidRDefault="00A21491" w:rsidP="003F3F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15354085"/>
      <w:docPartObj>
        <w:docPartGallery w:val="Page Numbers (Bottom of Page)"/>
        <w:docPartUnique/>
      </w:docPartObj>
    </w:sdtPr>
    <w:sdtEndPr/>
    <w:sdtContent>
      <w:p w14:paraId="02052AD7" w14:textId="77777777" w:rsidR="007679D9" w:rsidRDefault="007679D9">
        <w:pPr>
          <w:pStyle w:val="Pieddepage"/>
          <w:jc w:val="right"/>
        </w:pPr>
        <w:r>
          <w:fldChar w:fldCharType="begin"/>
        </w:r>
        <w:r>
          <w:instrText>PAGE   \* MERGEFORMAT</w:instrText>
        </w:r>
        <w:r>
          <w:fldChar w:fldCharType="separate"/>
        </w:r>
        <w:r w:rsidR="0051494F">
          <w:rPr>
            <w:noProof/>
          </w:rPr>
          <w:t>1</w:t>
        </w:r>
        <w:r>
          <w:fldChar w:fldCharType="end"/>
        </w:r>
      </w:p>
    </w:sdtContent>
  </w:sdt>
  <w:p w14:paraId="1B4937ED" w14:textId="77777777" w:rsidR="007679D9" w:rsidRDefault="007679D9">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1D2D53B" w14:textId="77777777" w:rsidR="00A21491" w:rsidRDefault="00A21491" w:rsidP="003F3FAC">
      <w:pPr>
        <w:spacing w:after="0" w:line="240" w:lineRule="auto"/>
      </w:pPr>
      <w:r>
        <w:separator/>
      </w:r>
    </w:p>
  </w:footnote>
  <w:footnote w:type="continuationSeparator" w:id="0">
    <w:p w14:paraId="699EA965" w14:textId="77777777" w:rsidR="00A21491" w:rsidRDefault="00A21491" w:rsidP="003F3FAC">
      <w:pPr>
        <w:spacing w:after="0" w:line="240" w:lineRule="auto"/>
      </w:pPr>
      <w:r>
        <w:continuationSeparator/>
      </w:r>
    </w:p>
  </w:footnote>
  <w:footnote w:id="1">
    <w:p w14:paraId="629C3BCA" w14:textId="77777777" w:rsidR="007679D9" w:rsidRPr="002A495B" w:rsidRDefault="007679D9" w:rsidP="00122B15">
      <w:pPr>
        <w:pStyle w:val="Notedebasdepage"/>
        <w:rPr>
          <w:lang w:val="en-US"/>
        </w:rPr>
      </w:pPr>
      <w:r>
        <w:rPr>
          <w:rStyle w:val="Appelnotedebasdep"/>
        </w:rPr>
        <w:footnoteRef/>
      </w:r>
      <w:r w:rsidRPr="002A495B">
        <w:rPr>
          <w:lang w:val="en-US"/>
        </w:rPr>
        <w:t xml:space="preserve"> Source INS</w:t>
      </w:r>
    </w:p>
  </w:footnote>
  <w:footnote w:id="2">
    <w:p w14:paraId="1EAE8DB3" w14:textId="77777777" w:rsidR="004744D3" w:rsidRDefault="004744D3" w:rsidP="004744D3">
      <w:pPr>
        <w:pStyle w:val="Notedebasdepage"/>
      </w:pPr>
      <w:r>
        <w:rPr>
          <w:rStyle w:val="Appelnotedebasdep"/>
        </w:rPr>
        <w:footnoteRef/>
      </w:r>
      <w:r>
        <w:t xml:space="preserve"> Wikipédia</w:t>
      </w:r>
    </w:p>
  </w:footnote>
  <w:footnote w:id="3">
    <w:p w14:paraId="297ED349" w14:textId="77777777" w:rsidR="004744D3" w:rsidRDefault="004744D3">
      <w:pPr>
        <w:pStyle w:val="Notedebasdepage"/>
      </w:pPr>
      <w:r>
        <w:rPr>
          <w:rStyle w:val="Appelnotedebasdep"/>
        </w:rPr>
        <w:footnoteRef/>
      </w:r>
      <w:r>
        <w:t xml:space="preserve"> </w:t>
      </w:r>
      <w:r w:rsidRPr="004744D3">
        <w:t>https://fr.statista.com/statistiques/697817/esperance-de-vie-niger/</w:t>
      </w:r>
    </w:p>
  </w:footnote>
  <w:footnote w:id="4">
    <w:p w14:paraId="017C6766" w14:textId="77777777" w:rsidR="007679D9" w:rsidRPr="002A495B" w:rsidRDefault="007679D9" w:rsidP="00012D78">
      <w:pPr>
        <w:pStyle w:val="Notedebasdepage"/>
        <w:rPr>
          <w:lang w:val="en-US"/>
        </w:rPr>
      </w:pPr>
      <w:r>
        <w:rPr>
          <w:rStyle w:val="Appelnotedebasdep"/>
        </w:rPr>
        <w:footnoteRef/>
      </w:r>
      <w:r w:rsidRPr="002A495B">
        <w:rPr>
          <w:lang w:val="en-US"/>
        </w:rPr>
        <w:t xml:space="preserve"> cf. http://vizhub.healthdata.org/gbd-compare</w:t>
      </w:r>
    </w:p>
  </w:footnote>
  <w:footnote w:id="5">
    <w:p w14:paraId="1C97594C" w14:textId="77777777" w:rsidR="007679D9" w:rsidRDefault="007679D9" w:rsidP="00012D78">
      <w:pPr>
        <w:pStyle w:val="Notedebasdepage"/>
      </w:pPr>
      <w:r>
        <w:rPr>
          <w:rStyle w:val="Appelnotedebasdep"/>
        </w:rPr>
        <w:footnoteRef/>
      </w:r>
      <w:r>
        <w:t xml:space="preserve"> </w:t>
      </w:r>
      <w:r w:rsidRPr="002A495B">
        <w:rPr>
          <w:lang w:val="en-US"/>
        </w:rPr>
        <w:t>cf. http://vizhub.healthdata.org/gbd-compare</w:t>
      </w:r>
    </w:p>
  </w:footnote>
  <w:footnote w:id="6">
    <w:p w14:paraId="754976A6" w14:textId="77777777" w:rsidR="007679D9" w:rsidRPr="002A495B" w:rsidRDefault="007679D9">
      <w:pPr>
        <w:pStyle w:val="Notedebasdepage"/>
        <w:rPr>
          <w:lang w:val="en-US"/>
        </w:rPr>
      </w:pPr>
      <w:r>
        <w:rPr>
          <w:rStyle w:val="Appelnotedebasdep"/>
        </w:rPr>
        <w:footnoteRef/>
      </w:r>
      <w:r w:rsidRPr="002A495B">
        <w:rPr>
          <w:lang w:val="en-US"/>
        </w:rPr>
        <w:t xml:space="preserve"> </w:t>
      </w:r>
      <w:r w:rsidRPr="00A22125">
        <w:rPr>
          <w:bCs/>
          <w:lang w:val="en-GB"/>
        </w:rPr>
        <w:t>Health Financing Progress Matrix, OMS, 2019.</w:t>
      </w:r>
    </w:p>
  </w:footnote>
  <w:footnote w:id="7">
    <w:p w14:paraId="1E59B2EF" w14:textId="77777777" w:rsidR="007679D9" w:rsidRDefault="007679D9">
      <w:pPr>
        <w:pStyle w:val="Notedebasdepage"/>
      </w:pPr>
      <w:r>
        <w:rPr>
          <w:rStyle w:val="Appelnotedebasdep"/>
        </w:rPr>
        <w:footnoteRef/>
      </w:r>
      <w:r>
        <w:t xml:space="preserve"> CNS 2016. Le reste des données proviennent des CNS (séries créés à partir de </w:t>
      </w:r>
      <w:hyperlink r:id="rId1" w:history="1">
        <w:r w:rsidRPr="000965BF">
          <w:rPr>
            <w:rStyle w:val="Lienhypertexte"/>
          </w:rPr>
          <w:t>http://apps.who.int/nha/database/ViewData/Indicators/en</w:t>
        </w:r>
      </w:hyperlink>
      <w:r>
        <w:t>) ou du rapport national des CNS 2017.</w:t>
      </w:r>
    </w:p>
  </w:footnote>
  <w:footnote w:id="8">
    <w:p w14:paraId="723236FD" w14:textId="77777777" w:rsidR="007679D9" w:rsidRDefault="007679D9">
      <w:pPr>
        <w:pStyle w:val="Notedebasdepage"/>
      </w:pPr>
      <w:r>
        <w:rPr>
          <w:rStyle w:val="Appelnotedebasdep"/>
        </w:rPr>
        <w:footnoteRef/>
      </w:r>
      <w:r>
        <w:t xml:space="preserve"> </w:t>
      </w:r>
      <w:r w:rsidRPr="00E30B5F">
        <w:t>L</w:t>
      </w:r>
      <w:r>
        <w:t>’addition des</w:t>
      </w:r>
      <w:r w:rsidRPr="00E30B5F">
        <w:t xml:space="preserve"> deux agrégats « dépenses courantes en santé » et «</w:t>
      </w:r>
      <w:r>
        <w:t xml:space="preserve">formation </w:t>
      </w:r>
      <w:r w:rsidRPr="00E30B5F">
        <w:t xml:space="preserve">de capital » </w:t>
      </w:r>
      <w:r>
        <w:t>permet d’</w:t>
      </w:r>
      <w:r w:rsidRPr="00E30B5F">
        <w:t>obtenir les « dépenses totales de santé ».</w:t>
      </w:r>
    </w:p>
  </w:footnote>
  <w:footnote w:id="9">
    <w:p w14:paraId="0B7482A5" w14:textId="77777777" w:rsidR="007679D9" w:rsidRDefault="007679D9">
      <w:pPr>
        <w:pStyle w:val="Notedebasdepage"/>
      </w:pPr>
      <w:r>
        <w:rPr>
          <w:rStyle w:val="Appelnotedebasdep"/>
        </w:rPr>
        <w:footnoteRef/>
      </w:r>
      <w:r>
        <w:t xml:space="preserve"> NB : ces causes sont structurellement les premières au Niger. Néanmoins il relèvera du suivi-évaluation de la stratégie de vérifier l’évolution des déterminants de la santé dans le temps pour adapter la réponse.</w:t>
      </w:r>
    </w:p>
  </w:footnote>
  <w:footnote w:id="10">
    <w:p w14:paraId="0FC4BBCD" w14:textId="77777777" w:rsidR="007679D9" w:rsidRPr="00C844D2" w:rsidRDefault="007679D9" w:rsidP="00C844D2">
      <w:pPr>
        <w:rPr>
          <w:rFonts w:cs="Calibri"/>
        </w:rPr>
      </w:pPr>
      <w:r>
        <w:rPr>
          <w:rStyle w:val="Appelnotedebasdep"/>
        </w:rPr>
        <w:footnoteRef/>
      </w:r>
      <w:r>
        <w:t xml:space="preserve"> </w:t>
      </w:r>
      <w:r>
        <w:rPr>
          <w:rFonts w:cs="Calibri"/>
        </w:rPr>
        <w:t>Une remarque importante s’impose : le programme n°2 du Ministère de la Santé recoupe le domaine de la protection sociale santé ou « protection financière contre le risque maladie » selon la terminologie de l’objectif stratégique n°2 de la présente stratégie. Et pour cause, une part importante des mécanismes de prise en charge contre le risque maladie est aujourd’hui mise en œuvre par le Ministère de la Santé. Dans la mise en perspective d’un schéma de financement de la santé cohérent (cf. infra), le respect de la séparation des rôles entre acheteurs de soins et prestataires des services de santé, ou encore dans la logique de la loi sur la Protection Sociale, le programme 2 est donc ici amputé des mécanismes de protect</w:t>
      </w:r>
      <w:r w:rsidR="00C844D2">
        <w:rPr>
          <w:rFonts w:cs="Calibri"/>
        </w:rPr>
        <w:t>ion contre le risque financier.</w:t>
      </w:r>
    </w:p>
  </w:footnote>
  <w:footnote w:id="11">
    <w:p w14:paraId="0965625F" w14:textId="77777777" w:rsidR="007679D9" w:rsidRDefault="007679D9" w:rsidP="007444DB">
      <w:pPr>
        <w:pStyle w:val="Notedebasdepage"/>
      </w:pPr>
      <w:r>
        <w:rPr>
          <w:rStyle w:val="Appelnotedebasdep"/>
        </w:rPr>
        <w:footnoteRef/>
      </w:r>
      <w:r>
        <w:t xml:space="preserve"> Données Banque Mondiale</w:t>
      </w:r>
    </w:p>
  </w:footnote>
  <w:footnote w:id="12">
    <w:p w14:paraId="117B8126" w14:textId="77777777" w:rsidR="007679D9" w:rsidRDefault="007679D9">
      <w:pPr>
        <w:pStyle w:val="Notedebasdepage"/>
      </w:pPr>
      <w:r>
        <w:rPr>
          <w:rStyle w:val="Appelnotedebasdep"/>
        </w:rPr>
        <w:footnoteRef/>
      </w:r>
      <w:r>
        <w:t xml:space="preserve"> Les dépenses publiques de santé représentent 43,64% des DTS en 2017 (mais de 18,47% à 19,32% les 5 années précédentes) et les dépenses de santé représentent 8,07% du PIB en 2017 (mais seulement de 6.07% à 6.96% les 5 années précédentes). </w:t>
      </w:r>
    </w:p>
  </w:footnote>
  <w:footnote w:id="13">
    <w:p w14:paraId="4A164FD8" w14:textId="77777777" w:rsidR="007679D9" w:rsidRDefault="007679D9">
      <w:pPr>
        <w:pStyle w:val="Notedebasdepage"/>
      </w:pPr>
      <w:r>
        <w:rPr>
          <w:rStyle w:val="Appelnotedebasdep"/>
        </w:rPr>
        <w:footnoteRef/>
      </w:r>
      <w:r>
        <w:t xml:space="preserve"> Dans cette hypothèse le chiffre de 2017 issu des CNS est reporté à l’identique pour 2018 et 2019 puis une progression régulière est proposée jusqu’à l’atteinte des 5% en 2030.</w:t>
      </w:r>
    </w:p>
  </w:footnote>
  <w:footnote w:id="14">
    <w:p w14:paraId="5501DE6B" w14:textId="77777777" w:rsidR="007679D9" w:rsidRDefault="007679D9" w:rsidP="00431DEF">
      <w:pPr>
        <w:pStyle w:val="Notedebasdepage"/>
      </w:pPr>
      <w:r>
        <w:rPr>
          <w:rStyle w:val="Appelnotedebasdep"/>
        </w:rPr>
        <w:footnoteRef/>
      </w:r>
      <w:r>
        <w:t xml:space="preserve"> </w:t>
      </w:r>
      <w:hyperlink r:id="rId2" w:history="1">
        <w:r w:rsidRPr="00D95C50">
          <w:rPr>
            <w:rStyle w:val="Lienhypertexte"/>
          </w:rPr>
          <w:t>https://apps.who.int/iris/bitstream/handle/10665/272598/9789242513554-fre.pdf?ua=1</w:t>
        </w:r>
      </w:hyperlink>
      <w:r>
        <w:t xml:space="preserve"> </w:t>
      </w:r>
    </w:p>
  </w:footnote>
  <w:footnote w:id="15">
    <w:p w14:paraId="43BE9D9D" w14:textId="77777777" w:rsidR="007679D9" w:rsidRPr="006D7554" w:rsidRDefault="007679D9" w:rsidP="00F507F1">
      <w:pPr>
        <w:pStyle w:val="Notedebasdepage"/>
        <w:rPr>
          <w:sz w:val="16"/>
          <w:szCs w:val="16"/>
        </w:rPr>
      </w:pPr>
      <w:r>
        <w:rPr>
          <w:rStyle w:val="Appelnotedebasdep"/>
        </w:rPr>
        <w:footnoteRef/>
      </w:r>
      <w:r>
        <w:t xml:space="preserve"> </w:t>
      </w:r>
      <w:r>
        <w:rPr>
          <w:sz w:val="16"/>
          <w:szCs w:val="16"/>
        </w:rPr>
        <w:t>Profil TB Niger 2011 à 2018 (www.who.int/TB/data)</w:t>
      </w:r>
    </w:p>
  </w:footnote>
  <w:footnote w:id="16">
    <w:p w14:paraId="02B17BB6" w14:textId="77777777" w:rsidR="007679D9" w:rsidRPr="006D7554" w:rsidRDefault="007679D9" w:rsidP="00F507F1">
      <w:pPr>
        <w:pStyle w:val="Notedebasdepage"/>
        <w:rPr>
          <w:lang w:val="en-GB"/>
        </w:rPr>
      </w:pPr>
      <w:r>
        <w:rPr>
          <w:rStyle w:val="Appelnotedebasdep"/>
        </w:rPr>
        <w:footnoteRef/>
      </w:r>
      <w:r w:rsidRPr="006D7554">
        <w:rPr>
          <w:lang w:val="en-GB"/>
        </w:rPr>
        <w:t xml:space="preserve"> EDSN 2012</w:t>
      </w:r>
    </w:p>
  </w:footnote>
  <w:footnote w:id="17">
    <w:p w14:paraId="6DE3A944" w14:textId="77777777" w:rsidR="007679D9" w:rsidRPr="006D7554" w:rsidRDefault="007679D9" w:rsidP="00F507F1">
      <w:pPr>
        <w:pStyle w:val="Notedebasdepage"/>
        <w:rPr>
          <w:sz w:val="16"/>
          <w:szCs w:val="16"/>
          <w:lang w:val="en-GB"/>
        </w:rPr>
      </w:pPr>
      <w:r>
        <w:rPr>
          <w:sz w:val="16"/>
          <w:szCs w:val="16"/>
        </w:rPr>
        <w:footnoteRef/>
      </w:r>
      <w:r w:rsidRPr="006D7554">
        <w:rPr>
          <w:sz w:val="16"/>
          <w:szCs w:val="16"/>
          <w:lang w:val="en-GB"/>
        </w:rPr>
        <w:t xml:space="preserve"> ENISED 2015</w:t>
      </w:r>
    </w:p>
  </w:footnote>
  <w:footnote w:id="18">
    <w:p w14:paraId="51E17FBA" w14:textId="77777777" w:rsidR="007679D9" w:rsidRPr="006D7554" w:rsidRDefault="007679D9" w:rsidP="00F507F1">
      <w:pPr>
        <w:pStyle w:val="Notedebasdepage"/>
        <w:rPr>
          <w:sz w:val="16"/>
          <w:szCs w:val="16"/>
          <w:lang w:val="en-GB"/>
        </w:rPr>
      </w:pPr>
      <w:r>
        <w:rPr>
          <w:sz w:val="16"/>
          <w:szCs w:val="16"/>
        </w:rPr>
        <w:footnoteRef/>
      </w:r>
      <w:r w:rsidRPr="006D7554">
        <w:rPr>
          <w:sz w:val="16"/>
          <w:szCs w:val="16"/>
          <w:lang w:val="en-GB"/>
        </w:rPr>
        <w:t xml:space="preserve"> ENISED 2015</w:t>
      </w:r>
    </w:p>
  </w:footnote>
  <w:footnote w:id="19">
    <w:p w14:paraId="52EDF43C" w14:textId="77777777" w:rsidR="007679D9" w:rsidRPr="00F507F1" w:rsidRDefault="007679D9" w:rsidP="00F507F1">
      <w:pPr>
        <w:pStyle w:val="Notedebasdepage"/>
        <w:rPr>
          <w:sz w:val="16"/>
          <w:szCs w:val="16"/>
          <w:lang w:val="en-GB"/>
        </w:rPr>
      </w:pPr>
      <w:r w:rsidRPr="00F507F1">
        <w:rPr>
          <w:sz w:val="16"/>
          <w:szCs w:val="16"/>
          <w:lang w:val="en-GB"/>
        </w:rPr>
        <w:footnoteRef/>
      </w:r>
      <w:r w:rsidRPr="00F507F1">
        <w:rPr>
          <w:sz w:val="16"/>
          <w:szCs w:val="16"/>
          <w:lang w:val="en-GB"/>
        </w:rPr>
        <w:t xml:space="preserve"> ENISED 2015</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8A43D0"/>
    <w:multiLevelType w:val="hybridMultilevel"/>
    <w:tmpl w:val="7534ABC4"/>
    <w:lvl w:ilvl="0" w:tplc="040C000F">
      <w:start w:val="1"/>
      <w:numFmt w:val="decimal"/>
      <w:lvlText w:val="%1."/>
      <w:lvlJc w:val="left"/>
      <w:pPr>
        <w:ind w:left="720" w:hanging="360"/>
      </w:pPr>
      <w:rPr>
        <w:rFont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55239A4"/>
    <w:multiLevelType w:val="hybridMultilevel"/>
    <w:tmpl w:val="45C0595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08277A81"/>
    <w:multiLevelType w:val="hybridMultilevel"/>
    <w:tmpl w:val="0D9A4824"/>
    <w:lvl w:ilvl="0" w:tplc="A4421DCA">
      <w:start w:val="1"/>
      <w:numFmt w:val="decimal"/>
      <w:lvlText w:val="%1."/>
      <w:lvlJc w:val="left"/>
      <w:pPr>
        <w:ind w:left="720" w:hanging="360"/>
      </w:pPr>
      <w:rPr>
        <w:rFonts w:asciiTheme="minorHAnsi" w:eastAsiaTheme="minorHAnsi" w:hAnsiTheme="minorHAnsi" w:cstheme="minorBidi" w:hint="default"/>
        <w:b w:val="0"/>
        <w:color w:val="auto"/>
        <w:sz w:val="22"/>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09FE7A12"/>
    <w:multiLevelType w:val="hybridMultilevel"/>
    <w:tmpl w:val="90A46A00"/>
    <w:lvl w:ilvl="0" w:tplc="080C000B">
      <w:start w:val="1"/>
      <w:numFmt w:val="bullet"/>
      <w:lvlText w:val=""/>
      <w:lvlJc w:val="left"/>
      <w:pPr>
        <w:ind w:left="720" w:hanging="360"/>
      </w:pPr>
      <w:rPr>
        <w:rFonts w:ascii="Wingdings" w:hAnsi="Wingding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 w15:restartNumberingAfterBreak="0">
    <w:nsid w:val="0AF2218C"/>
    <w:multiLevelType w:val="hybridMultilevel"/>
    <w:tmpl w:val="4FD62C00"/>
    <w:lvl w:ilvl="0" w:tplc="040C0001">
      <w:start w:val="1"/>
      <w:numFmt w:val="bullet"/>
      <w:lvlText w:val=""/>
      <w:lvlJc w:val="left"/>
      <w:pPr>
        <w:tabs>
          <w:tab w:val="num" w:pos="720"/>
        </w:tabs>
        <w:ind w:left="720" w:hanging="360"/>
      </w:pPr>
      <w:rPr>
        <w:rFonts w:ascii="Symbol" w:hAnsi="Symbol" w:hint="default"/>
      </w:rPr>
    </w:lvl>
    <w:lvl w:ilvl="1" w:tplc="040C0019">
      <w:start w:val="1"/>
      <w:numFmt w:val="lowerLetter"/>
      <w:lvlText w:val="%2."/>
      <w:lvlJc w:val="left"/>
      <w:pPr>
        <w:tabs>
          <w:tab w:val="num" w:pos="1800"/>
        </w:tabs>
        <w:ind w:left="1800" w:hanging="360"/>
      </w:pPr>
    </w:lvl>
    <w:lvl w:ilvl="2" w:tplc="040C001B">
      <w:start w:val="1"/>
      <w:numFmt w:val="lowerRoman"/>
      <w:lvlText w:val="%3."/>
      <w:lvlJc w:val="right"/>
      <w:pPr>
        <w:tabs>
          <w:tab w:val="num" w:pos="2520"/>
        </w:tabs>
        <w:ind w:left="2520" w:hanging="180"/>
      </w:pPr>
    </w:lvl>
    <w:lvl w:ilvl="3" w:tplc="040C000F">
      <w:start w:val="1"/>
      <w:numFmt w:val="decimal"/>
      <w:lvlText w:val="%4."/>
      <w:lvlJc w:val="left"/>
      <w:pPr>
        <w:tabs>
          <w:tab w:val="num" w:pos="3240"/>
        </w:tabs>
        <w:ind w:left="3240" w:hanging="360"/>
      </w:pPr>
    </w:lvl>
    <w:lvl w:ilvl="4" w:tplc="040C0019" w:tentative="1">
      <w:start w:val="1"/>
      <w:numFmt w:val="lowerLetter"/>
      <w:lvlText w:val="%5."/>
      <w:lvlJc w:val="left"/>
      <w:pPr>
        <w:tabs>
          <w:tab w:val="num" w:pos="3960"/>
        </w:tabs>
        <w:ind w:left="3960" w:hanging="360"/>
      </w:pPr>
    </w:lvl>
    <w:lvl w:ilvl="5" w:tplc="040C001B" w:tentative="1">
      <w:start w:val="1"/>
      <w:numFmt w:val="lowerRoman"/>
      <w:lvlText w:val="%6."/>
      <w:lvlJc w:val="right"/>
      <w:pPr>
        <w:tabs>
          <w:tab w:val="num" w:pos="4680"/>
        </w:tabs>
        <w:ind w:left="4680" w:hanging="180"/>
      </w:pPr>
    </w:lvl>
    <w:lvl w:ilvl="6" w:tplc="040C000F" w:tentative="1">
      <w:start w:val="1"/>
      <w:numFmt w:val="decimal"/>
      <w:lvlText w:val="%7."/>
      <w:lvlJc w:val="left"/>
      <w:pPr>
        <w:tabs>
          <w:tab w:val="num" w:pos="5400"/>
        </w:tabs>
        <w:ind w:left="5400" w:hanging="360"/>
      </w:pPr>
    </w:lvl>
    <w:lvl w:ilvl="7" w:tplc="040C0019" w:tentative="1">
      <w:start w:val="1"/>
      <w:numFmt w:val="lowerLetter"/>
      <w:lvlText w:val="%8."/>
      <w:lvlJc w:val="left"/>
      <w:pPr>
        <w:tabs>
          <w:tab w:val="num" w:pos="6120"/>
        </w:tabs>
        <w:ind w:left="6120" w:hanging="360"/>
      </w:pPr>
    </w:lvl>
    <w:lvl w:ilvl="8" w:tplc="040C001B" w:tentative="1">
      <w:start w:val="1"/>
      <w:numFmt w:val="lowerRoman"/>
      <w:lvlText w:val="%9."/>
      <w:lvlJc w:val="right"/>
      <w:pPr>
        <w:tabs>
          <w:tab w:val="num" w:pos="6840"/>
        </w:tabs>
        <w:ind w:left="6840" w:hanging="180"/>
      </w:pPr>
    </w:lvl>
  </w:abstractNum>
  <w:abstractNum w:abstractNumId="5" w15:restartNumberingAfterBreak="0">
    <w:nsid w:val="0BB25911"/>
    <w:multiLevelType w:val="hybridMultilevel"/>
    <w:tmpl w:val="0584E6E8"/>
    <w:lvl w:ilvl="0" w:tplc="8CFABD98">
      <w:start w:val="1"/>
      <w:numFmt w:val="lowerLetter"/>
      <w:lvlText w:val="%1."/>
      <w:lvlJc w:val="left"/>
      <w:pPr>
        <w:ind w:left="2563" w:hanging="360"/>
      </w:pPr>
      <w:rPr>
        <w:rFonts w:hint="default"/>
      </w:rPr>
    </w:lvl>
    <w:lvl w:ilvl="1" w:tplc="040C0019" w:tentative="1">
      <w:start w:val="1"/>
      <w:numFmt w:val="lowerLetter"/>
      <w:lvlText w:val="%2."/>
      <w:lvlJc w:val="left"/>
      <w:pPr>
        <w:ind w:left="3283" w:hanging="360"/>
      </w:pPr>
    </w:lvl>
    <w:lvl w:ilvl="2" w:tplc="040C001B" w:tentative="1">
      <w:start w:val="1"/>
      <w:numFmt w:val="lowerRoman"/>
      <w:lvlText w:val="%3."/>
      <w:lvlJc w:val="right"/>
      <w:pPr>
        <w:ind w:left="4003" w:hanging="180"/>
      </w:pPr>
    </w:lvl>
    <w:lvl w:ilvl="3" w:tplc="040C000F" w:tentative="1">
      <w:start w:val="1"/>
      <w:numFmt w:val="decimal"/>
      <w:lvlText w:val="%4."/>
      <w:lvlJc w:val="left"/>
      <w:pPr>
        <w:ind w:left="4723" w:hanging="360"/>
      </w:pPr>
    </w:lvl>
    <w:lvl w:ilvl="4" w:tplc="040C0019" w:tentative="1">
      <w:start w:val="1"/>
      <w:numFmt w:val="lowerLetter"/>
      <w:lvlText w:val="%5."/>
      <w:lvlJc w:val="left"/>
      <w:pPr>
        <w:ind w:left="5443" w:hanging="360"/>
      </w:pPr>
    </w:lvl>
    <w:lvl w:ilvl="5" w:tplc="040C001B" w:tentative="1">
      <w:start w:val="1"/>
      <w:numFmt w:val="lowerRoman"/>
      <w:lvlText w:val="%6."/>
      <w:lvlJc w:val="right"/>
      <w:pPr>
        <w:ind w:left="6163" w:hanging="180"/>
      </w:pPr>
    </w:lvl>
    <w:lvl w:ilvl="6" w:tplc="040C000F" w:tentative="1">
      <w:start w:val="1"/>
      <w:numFmt w:val="decimal"/>
      <w:lvlText w:val="%7."/>
      <w:lvlJc w:val="left"/>
      <w:pPr>
        <w:ind w:left="6883" w:hanging="360"/>
      </w:pPr>
    </w:lvl>
    <w:lvl w:ilvl="7" w:tplc="040C0019" w:tentative="1">
      <w:start w:val="1"/>
      <w:numFmt w:val="lowerLetter"/>
      <w:lvlText w:val="%8."/>
      <w:lvlJc w:val="left"/>
      <w:pPr>
        <w:ind w:left="7603" w:hanging="360"/>
      </w:pPr>
    </w:lvl>
    <w:lvl w:ilvl="8" w:tplc="040C001B" w:tentative="1">
      <w:start w:val="1"/>
      <w:numFmt w:val="lowerRoman"/>
      <w:lvlText w:val="%9."/>
      <w:lvlJc w:val="right"/>
      <w:pPr>
        <w:ind w:left="8323" w:hanging="180"/>
      </w:pPr>
    </w:lvl>
  </w:abstractNum>
  <w:abstractNum w:abstractNumId="6" w15:restartNumberingAfterBreak="0">
    <w:nsid w:val="0C6357B0"/>
    <w:multiLevelType w:val="hybridMultilevel"/>
    <w:tmpl w:val="B99C2F36"/>
    <w:lvl w:ilvl="0" w:tplc="D388A70A">
      <w:start w:val="15"/>
      <w:numFmt w:val="bullet"/>
      <w:lvlText w:val="-"/>
      <w:lvlJc w:val="left"/>
      <w:pPr>
        <w:ind w:left="720" w:hanging="360"/>
      </w:pPr>
      <w:rPr>
        <w:rFonts w:ascii="Calibri" w:eastAsiaTheme="minorHAns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0CD92315"/>
    <w:multiLevelType w:val="hybridMultilevel"/>
    <w:tmpl w:val="B46ABA62"/>
    <w:lvl w:ilvl="0" w:tplc="9E98B97E">
      <w:start w:val="1"/>
      <w:numFmt w:val="bullet"/>
      <w:lvlText w:val="-"/>
      <w:lvlJc w:val="left"/>
      <w:pPr>
        <w:ind w:left="720" w:hanging="360"/>
      </w:pPr>
      <w:rPr>
        <w:rFonts w:ascii="Cambria" w:eastAsiaTheme="minorHAnsi" w:hAnsi="Cambria" w:cstheme="majorHAns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10EC6FD9"/>
    <w:multiLevelType w:val="hybridMultilevel"/>
    <w:tmpl w:val="0B30AF00"/>
    <w:lvl w:ilvl="0" w:tplc="51F0E9CE">
      <w:start w:val="1"/>
      <w:numFmt w:val="lowerLetter"/>
      <w:lvlText w:val="%1."/>
      <w:lvlJc w:val="left"/>
      <w:pPr>
        <w:ind w:left="1800" w:hanging="360"/>
      </w:pPr>
      <w:rPr>
        <w:rFonts w:hint="default"/>
      </w:rPr>
    </w:lvl>
    <w:lvl w:ilvl="1" w:tplc="040C0019">
      <w:start w:val="1"/>
      <w:numFmt w:val="lowerLetter"/>
      <w:lvlText w:val="%2."/>
      <w:lvlJc w:val="left"/>
      <w:pPr>
        <w:ind w:left="2520" w:hanging="360"/>
      </w:pPr>
    </w:lvl>
    <w:lvl w:ilvl="2" w:tplc="040C001B">
      <w:start w:val="1"/>
      <w:numFmt w:val="lowerRoman"/>
      <w:lvlText w:val="%3."/>
      <w:lvlJc w:val="right"/>
      <w:pPr>
        <w:ind w:left="3240" w:hanging="180"/>
      </w:pPr>
    </w:lvl>
    <w:lvl w:ilvl="3" w:tplc="040C000F" w:tentative="1">
      <w:start w:val="1"/>
      <w:numFmt w:val="decimal"/>
      <w:lvlText w:val="%4."/>
      <w:lvlJc w:val="left"/>
      <w:pPr>
        <w:ind w:left="3960" w:hanging="360"/>
      </w:pPr>
    </w:lvl>
    <w:lvl w:ilvl="4" w:tplc="040C0019" w:tentative="1">
      <w:start w:val="1"/>
      <w:numFmt w:val="lowerLetter"/>
      <w:lvlText w:val="%5."/>
      <w:lvlJc w:val="left"/>
      <w:pPr>
        <w:ind w:left="4680" w:hanging="360"/>
      </w:pPr>
    </w:lvl>
    <w:lvl w:ilvl="5" w:tplc="040C001B" w:tentative="1">
      <w:start w:val="1"/>
      <w:numFmt w:val="lowerRoman"/>
      <w:lvlText w:val="%6."/>
      <w:lvlJc w:val="right"/>
      <w:pPr>
        <w:ind w:left="5400" w:hanging="180"/>
      </w:pPr>
    </w:lvl>
    <w:lvl w:ilvl="6" w:tplc="040C000F" w:tentative="1">
      <w:start w:val="1"/>
      <w:numFmt w:val="decimal"/>
      <w:lvlText w:val="%7."/>
      <w:lvlJc w:val="left"/>
      <w:pPr>
        <w:ind w:left="6120" w:hanging="360"/>
      </w:pPr>
    </w:lvl>
    <w:lvl w:ilvl="7" w:tplc="040C0019" w:tentative="1">
      <w:start w:val="1"/>
      <w:numFmt w:val="lowerLetter"/>
      <w:lvlText w:val="%8."/>
      <w:lvlJc w:val="left"/>
      <w:pPr>
        <w:ind w:left="6840" w:hanging="360"/>
      </w:pPr>
    </w:lvl>
    <w:lvl w:ilvl="8" w:tplc="040C001B" w:tentative="1">
      <w:start w:val="1"/>
      <w:numFmt w:val="lowerRoman"/>
      <w:lvlText w:val="%9."/>
      <w:lvlJc w:val="right"/>
      <w:pPr>
        <w:ind w:left="7560" w:hanging="180"/>
      </w:pPr>
    </w:lvl>
  </w:abstractNum>
  <w:abstractNum w:abstractNumId="9" w15:restartNumberingAfterBreak="0">
    <w:nsid w:val="11436F14"/>
    <w:multiLevelType w:val="hybridMultilevel"/>
    <w:tmpl w:val="CA2EFE0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167779A6"/>
    <w:multiLevelType w:val="hybridMultilevel"/>
    <w:tmpl w:val="3A3C7234"/>
    <w:lvl w:ilvl="0" w:tplc="080C000B">
      <w:start w:val="1"/>
      <w:numFmt w:val="bullet"/>
      <w:lvlText w:val=""/>
      <w:lvlJc w:val="left"/>
      <w:pPr>
        <w:ind w:left="720" w:hanging="360"/>
      </w:pPr>
      <w:rPr>
        <w:rFonts w:ascii="Wingdings" w:hAnsi="Wingding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1" w15:restartNumberingAfterBreak="0">
    <w:nsid w:val="197D1895"/>
    <w:multiLevelType w:val="hybridMultilevel"/>
    <w:tmpl w:val="D7963F14"/>
    <w:lvl w:ilvl="0" w:tplc="FFFFFFFF">
      <w:start w:val="1"/>
      <w:numFmt w:val="bullet"/>
      <w:lvlText w:val="-"/>
      <w:lvlJc w:val="left"/>
      <w:pPr>
        <w:ind w:left="720" w:hanging="360"/>
      </w:pPr>
      <w:rPr>
        <w:rFonts w:ascii="Calibri" w:eastAsia="Calibri" w:hAnsi="Calibri"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199E76A9"/>
    <w:multiLevelType w:val="hybridMultilevel"/>
    <w:tmpl w:val="A47C9FAA"/>
    <w:lvl w:ilvl="0" w:tplc="040C0019">
      <w:start w:val="9"/>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19E343AA"/>
    <w:multiLevelType w:val="hybridMultilevel"/>
    <w:tmpl w:val="FFCA939C"/>
    <w:lvl w:ilvl="0" w:tplc="907C8ADE">
      <w:start w:val="1"/>
      <w:numFmt w:val="lowerLetter"/>
      <w:lvlText w:val="%1."/>
      <w:lvlJc w:val="left"/>
      <w:pPr>
        <w:ind w:left="2160" w:hanging="360"/>
      </w:pPr>
      <w:rPr>
        <w:rFonts w:hint="default"/>
      </w:rPr>
    </w:lvl>
    <w:lvl w:ilvl="1" w:tplc="040C0019">
      <w:start w:val="1"/>
      <w:numFmt w:val="lowerLetter"/>
      <w:lvlText w:val="%2."/>
      <w:lvlJc w:val="left"/>
      <w:pPr>
        <w:ind w:left="2880" w:hanging="360"/>
      </w:pPr>
    </w:lvl>
    <w:lvl w:ilvl="2" w:tplc="040C001B">
      <w:start w:val="1"/>
      <w:numFmt w:val="lowerRoman"/>
      <w:lvlText w:val="%3."/>
      <w:lvlJc w:val="right"/>
      <w:pPr>
        <w:ind w:left="3600" w:hanging="180"/>
      </w:pPr>
    </w:lvl>
    <w:lvl w:ilvl="3" w:tplc="040C000F" w:tentative="1">
      <w:start w:val="1"/>
      <w:numFmt w:val="decimal"/>
      <w:lvlText w:val="%4."/>
      <w:lvlJc w:val="left"/>
      <w:pPr>
        <w:ind w:left="4320" w:hanging="360"/>
      </w:pPr>
    </w:lvl>
    <w:lvl w:ilvl="4" w:tplc="040C0019" w:tentative="1">
      <w:start w:val="1"/>
      <w:numFmt w:val="lowerLetter"/>
      <w:lvlText w:val="%5."/>
      <w:lvlJc w:val="left"/>
      <w:pPr>
        <w:ind w:left="5040" w:hanging="360"/>
      </w:pPr>
    </w:lvl>
    <w:lvl w:ilvl="5" w:tplc="040C001B" w:tentative="1">
      <w:start w:val="1"/>
      <w:numFmt w:val="lowerRoman"/>
      <w:lvlText w:val="%6."/>
      <w:lvlJc w:val="right"/>
      <w:pPr>
        <w:ind w:left="5760" w:hanging="180"/>
      </w:pPr>
    </w:lvl>
    <w:lvl w:ilvl="6" w:tplc="040C000F" w:tentative="1">
      <w:start w:val="1"/>
      <w:numFmt w:val="decimal"/>
      <w:lvlText w:val="%7."/>
      <w:lvlJc w:val="left"/>
      <w:pPr>
        <w:ind w:left="6480" w:hanging="360"/>
      </w:pPr>
    </w:lvl>
    <w:lvl w:ilvl="7" w:tplc="040C0019" w:tentative="1">
      <w:start w:val="1"/>
      <w:numFmt w:val="lowerLetter"/>
      <w:lvlText w:val="%8."/>
      <w:lvlJc w:val="left"/>
      <w:pPr>
        <w:ind w:left="7200" w:hanging="360"/>
      </w:pPr>
    </w:lvl>
    <w:lvl w:ilvl="8" w:tplc="040C001B" w:tentative="1">
      <w:start w:val="1"/>
      <w:numFmt w:val="lowerRoman"/>
      <w:lvlText w:val="%9."/>
      <w:lvlJc w:val="right"/>
      <w:pPr>
        <w:ind w:left="7920" w:hanging="180"/>
      </w:pPr>
    </w:lvl>
  </w:abstractNum>
  <w:abstractNum w:abstractNumId="14" w15:restartNumberingAfterBreak="0">
    <w:nsid w:val="1A91572C"/>
    <w:multiLevelType w:val="hybridMultilevel"/>
    <w:tmpl w:val="18003A02"/>
    <w:lvl w:ilvl="0" w:tplc="48463D1C">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1BC45242"/>
    <w:multiLevelType w:val="hybridMultilevel"/>
    <w:tmpl w:val="68E6A4E2"/>
    <w:lvl w:ilvl="0" w:tplc="C7C0B1B2">
      <w:start w:val="1"/>
      <w:numFmt w:val="lowerLetter"/>
      <w:lvlText w:val="%1."/>
      <w:lvlJc w:val="left"/>
      <w:pPr>
        <w:ind w:left="1800" w:hanging="360"/>
      </w:pPr>
      <w:rPr>
        <w:rFonts w:hint="default"/>
      </w:rPr>
    </w:lvl>
    <w:lvl w:ilvl="1" w:tplc="040C0019">
      <w:start w:val="1"/>
      <w:numFmt w:val="lowerLetter"/>
      <w:lvlText w:val="%2."/>
      <w:lvlJc w:val="left"/>
      <w:pPr>
        <w:ind w:left="2520" w:hanging="360"/>
      </w:pPr>
    </w:lvl>
    <w:lvl w:ilvl="2" w:tplc="040C001B" w:tentative="1">
      <w:start w:val="1"/>
      <w:numFmt w:val="lowerRoman"/>
      <w:lvlText w:val="%3."/>
      <w:lvlJc w:val="right"/>
      <w:pPr>
        <w:ind w:left="3240" w:hanging="180"/>
      </w:pPr>
    </w:lvl>
    <w:lvl w:ilvl="3" w:tplc="040C000F" w:tentative="1">
      <w:start w:val="1"/>
      <w:numFmt w:val="decimal"/>
      <w:lvlText w:val="%4."/>
      <w:lvlJc w:val="left"/>
      <w:pPr>
        <w:ind w:left="3960" w:hanging="360"/>
      </w:pPr>
    </w:lvl>
    <w:lvl w:ilvl="4" w:tplc="040C0019" w:tentative="1">
      <w:start w:val="1"/>
      <w:numFmt w:val="lowerLetter"/>
      <w:lvlText w:val="%5."/>
      <w:lvlJc w:val="left"/>
      <w:pPr>
        <w:ind w:left="4680" w:hanging="360"/>
      </w:pPr>
    </w:lvl>
    <w:lvl w:ilvl="5" w:tplc="040C001B" w:tentative="1">
      <w:start w:val="1"/>
      <w:numFmt w:val="lowerRoman"/>
      <w:lvlText w:val="%6."/>
      <w:lvlJc w:val="right"/>
      <w:pPr>
        <w:ind w:left="5400" w:hanging="180"/>
      </w:pPr>
    </w:lvl>
    <w:lvl w:ilvl="6" w:tplc="040C000F" w:tentative="1">
      <w:start w:val="1"/>
      <w:numFmt w:val="decimal"/>
      <w:lvlText w:val="%7."/>
      <w:lvlJc w:val="left"/>
      <w:pPr>
        <w:ind w:left="6120" w:hanging="360"/>
      </w:pPr>
    </w:lvl>
    <w:lvl w:ilvl="7" w:tplc="040C0019" w:tentative="1">
      <w:start w:val="1"/>
      <w:numFmt w:val="lowerLetter"/>
      <w:lvlText w:val="%8."/>
      <w:lvlJc w:val="left"/>
      <w:pPr>
        <w:ind w:left="6840" w:hanging="360"/>
      </w:pPr>
    </w:lvl>
    <w:lvl w:ilvl="8" w:tplc="040C001B" w:tentative="1">
      <w:start w:val="1"/>
      <w:numFmt w:val="lowerRoman"/>
      <w:lvlText w:val="%9."/>
      <w:lvlJc w:val="right"/>
      <w:pPr>
        <w:ind w:left="7560" w:hanging="180"/>
      </w:pPr>
    </w:lvl>
  </w:abstractNum>
  <w:abstractNum w:abstractNumId="16" w15:restartNumberingAfterBreak="0">
    <w:nsid w:val="1D9A5B8F"/>
    <w:multiLevelType w:val="hybridMultilevel"/>
    <w:tmpl w:val="6CCEBCFE"/>
    <w:lvl w:ilvl="0" w:tplc="064252CC">
      <w:start w:val="1"/>
      <w:numFmt w:val="bullet"/>
      <w:lvlText w:val="•"/>
      <w:lvlJc w:val="left"/>
      <w:pPr>
        <w:tabs>
          <w:tab w:val="num" w:pos="720"/>
        </w:tabs>
        <w:ind w:left="720" w:hanging="360"/>
      </w:pPr>
      <w:rPr>
        <w:rFonts w:ascii="Times New Roman" w:hAnsi="Times New Roman" w:hint="default"/>
      </w:rPr>
    </w:lvl>
    <w:lvl w:ilvl="1" w:tplc="ECF89948" w:tentative="1">
      <w:start w:val="1"/>
      <w:numFmt w:val="bullet"/>
      <w:lvlText w:val="•"/>
      <w:lvlJc w:val="left"/>
      <w:pPr>
        <w:tabs>
          <w:tab w:val="num" w:pos="1440"/>
        </w:tabs>
        <w:ind w:left="1440" w:hanging="360"/>
      </w:pPr>
      <w:rPr>
        <w:rFonts w:ascii="Times New Roman" w:hAnsi="Times New Roman" w:hint="default"/>
      </w:rPr>
    </w:lvl>
    <w:lvl w:ilvl="2" w:tplc="F53ED1A0" w:tentative="1">
      <w:start w:val="1"/>
      <w:numFmt w:val="bullet"/>
      <w:lvlText w:val="•"/>
      <w:lvlJc w:val="left"/>
      <w:pPr>
        <w:tabs>
          <w:tab w:val="num" w:pos="2160"/>
        </w:tabs>
        <w:ind w:left="2160" w:hanging="360"/>
      </w:pPr>
      <w:rPr>
        <w:rFonts w:ascii="Times New Roman" w:hAnsi="Times New Roman" w:hint="default"/>
      </w:rPr>
    </w:lvl>
    <w:lvl w:ilvl="3" w:tplc="7BF26F42" w:tentative="1">
      <w:start w:val="1"/>
      <w:numFmt w:val="bullet"/>
      <w:lvlText w:val="•"/>
      <w:lvlJc w:val="left"/>
      <w:pPr>
        <w:tabs>
          <w:tab w:val="num" w:pos="2880"/>
        </w:tabs>
        <w:ind w:left="2880" w:hanging="360"/>
      </w:pPr>
      <w:rPr>
        <w:rFonts w:ascii="Times New Roman" w:hAnsi="Times New Roman" w:hint="default"/>
      </w:rPr>
    </w:lvl>
    <w:lvl w:ilvl="4" w:tplc="987436E6" w:tentative="1">
      <w:start w:val="1"/>
      <w:numFmt w:val="bullet"/>
      <w:lvlText w:val="•"/>
      <w:lvlJc w:val="left"/>
      <w:pPr>
        <w:tabs>
          <w:tab w:val="num" w:pos="3600"/>
        </w:tabs>
        <w:ind w:left="3600" w:hanging="360"/>
      </w:pPr>
      <w:rPr>
        <w:rFonts w:ascii="Times New Roman" w:hAnsi="Times New Roman" w:hint="default"/>
      </w:rPr>
    </w:lvl>
    <w:lvl w:ilvl="5" w:tplc="8B223F1A" w:tentative="1">
      <w:start w:val="1"/>
      <w:numFmt w:val="bullet"/>
      <w:lvlText w:val="•"/>
      <w:lvlJc w:val="left"/>
      <w:pPr>
        <w:tabs>
          <w:tab w:val="num" w:pos="4320"/>
        </w:tabs>
        <w:ind w:left="4320" w:hanging="360"/>
      </w:pPr>
      <w:rPr>
        <w:rFonts w:ascii="Times New Roman" w:hAnsi="Times New Roman" w:hint="default"/>
      </w:rPr>
    </w:lvl>
    <w:lvl w:ilvl="6" w:tplc="18F6F8B4" w:tentative="1">
      <w:start w:val="1"/>
      <w:numFmt w:val="bullet"/>
      <w:lvlText w:val="•"/>
      <w:lvlJc w:val="left"/>
      <w:pPr>
        <w:tabs>
          <w:tab w:val="num" w:pos="5040"/>
        </w:tabs>
        <w:ind w:left="5040" w:hanging="360"/>
      </w:pPr>
      <w:rPr>
        <w:rFonts w:ascii="Times New Roman" w:hAnsi="Times New Roman" w:hint="default"/>
      </w:rPr>
    </w:lvl>
    <w:lvl w:ilvl="7" w:tplc="CE2046AE" w:tentative="1">
      <w:start w:val="1"/>
      <w:numFmt w:val="bullet"/>
      <w:lvlText w:val="•"/>
      <w:lvlJc w:val="left"/>
      <w:pPr>
        <w:tabs>
          <w:tab w:val="num" w:pos="5760"/>
        </w:tabs>
        <w:ind w:left="5760" w:hanging="360"/>
      </w:pPr>
      <w:rPr>
        <w:rFonts w:ascii="Times New Roman" w:hAnsi="Times New Roman" w:hint="default"/>
      </w:rPr>
    </w:lvl>
    <w:lvl w:ilvl="8" w:tplc="E0BAC9BA" w:tentative="1">
      <w:start w:val="1"/>
      <w:numFmt w:val="bullet"/>
      <w:lvlText w:val="•"/>
      <w:lvlJc w:val="left"/>
      <w:pPr>
        <w:tabs>
          <w:tab w:val="num" w:pos="6480"/>
        </w:tabs>
        <w:ind w:left="6480" w:hanging="360"/>
      </w:pPr>
      <w:rPr>
        <w:rFonts w:ascii="Times New Roman" w:hAnsi="Times New Roman" w:hint="default"/>
      </w:rPr>
    </w:lvl>
  </w:abstractNum>
  <w:abstractNum w:abstractNumId="17" w15:restartNumberingAfterBreak="0">
    <w:nsid w:val="1F7E6621"/>
    <w:multiLevelType w:val="hybridMultilevel"/>
    <w:tmpl w:val="2550B2A2"/>
    <w:lvl w:ilvl="0" w:tplc="03901580">
      <w:start w:val="2"/>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206F6DDB"/>
    <w:multiLevelType w:val="hybridMultilevel"/>
    <w:tmpl w:val="406A7130"/>
    <w:lvl w:ilvl="0" w:tplc="040C000F">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15:restartNumberingAfterBreak="0">
    <w:nsid w:val="26E97F5D"/>
    <w:multiLevelType w:val="hybridMultilevel"/>
    <w:tmpl w:val="F626945C"/>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15:restartNumberingAfterBreak="0">
    <w:nsid w:val="27AC2D70"/>
    <w:multiLevelType w:val="hybridMultilevel"/>
    <w:tmpl w:val="1B46A87E"/>
    <w:lvl w:ilvl="0" w:tplc="B5D2C97C">
      <w:start w:val="1"/>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2AF7018F"/>
    <w:multiLevelType w:val="hybridMultilevel"/>
    <w:tmpl w:val="92E257F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2" w15:restartNumberingAfterBreak="0">
    <w:nsid w:val="2CC65C40"/>
    <w:multiLevelType w:val="hybridMultilevel"/>
    <w:tmpl w:val="BA5E571E"/>
    <w:lvl w:ilvl="0" w:tplc="294A651E">
      <w:numFmt w:val="bullet"/>
      <w:lvlText w:val="-"/>
      <w:lvlJc w:val="left"/>
      <w:pPr>
        <w:ind w:left="720" w:hanging="360"/>
      </w:pPr>
      <w:rPr>
        <w:rFonts w:ascii="Calibri" w:eastAsiaTheme="minorHAns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2E541840"/>
    <w:multiLevelType w:val="hybridMultilevel"/>
    <w:tmpl w:val="F5EE4406"/>
    <w:lvl w:ilvl="0" w:tplc="F1061544">
      <w:start w:val="1"/>
      <w:numFmt w:val="bullet"/>
      <w:lvlText w:val="•"/>
      <w:lvlJc w:val="left"/>
      <w:pPr>
        <w:tabs>
          <w:tab w:val="num" w:pos="720"/>
        </w:tabs>
        <w:ind w:left="720" w:hanging="360"/>
      </w:pPr>
      <w:rPr>
        <w:rFonts w:ascii="Times New Roman" w:hAnsi="Times New Roman" w:hint="default"/>
      </w:rPr>
    </w:lvl>
    <w:lvl w:ilvl="1" w:tplc="1DD859C6" w:tentative="1">
      <w:start w:val="1"/>
      <w:numFmt w:val="bullet"/>
      <w:lvlText w:val="•"/>
      <w:lvlJc w:val="left"/>
      <w:pPr>
        <w:tabs>
          <w:tab w:val="num" w:pos="1440"/>
        </w:tabs>
        <w:ind w:left="1440" w:hanging="360"/>
      </w:pPr>
      <w:rPr>
        <w:rFonts w:ascii="Times New Roman" w:hAnsi="Times New Roman" w:hint="default"/>
      </w:rPr>
    </w:lvl>
    <w:lvl w:ilvl="2" w:tplc="6EB46F90" w:tentative="1">
      <w:start w:val="1"/>
      <w:numFmt w:val="bullet"/>
      <w:lvlText w:val="•"/>
      <w:lvlJc w:val="left"/>
      <w:pPr>
        <w:tabs>
          <w:tab w:val="num" w:pos="2160"/>
        </w:tabs>
        <w:ind w:left="2160" w:hanging="360"/>
      </w:pPr>
      <w:rPr>
        <w:rFonts w:ascii="Times New Roman" w:hAnsi="Times New Roman" w:hint="default"/>
      </w:rPr>
    </w:lvl>
    <w:lvl w:ilvl="3" w:tplc="5740B6FE" w:tentative="1">
      <w:start w:val="1"/>
      <w:numFmt w:val="bullet"/>
      <w:lvlText w:val="•"/>
      <w:lvlJc w:val="left"/>
      <w:pPr>
        <w:tabs>
          <w:tab w:val="num" w:pos="2880"/>
        </w:tabs>
        <w:ind w:left="2880" w:hanging="360"/>
      </w:pPr>
      <w:rPr>
        <w:rFonts w:ascii="Times New Roman" w:hAnsi="Times New Roman" w:hint="default"/>
      </w:rPr>
    </w:lvl>
    <w:lvl w:ilvl="4" w:tplc="C8224CBE" w:tentative="1">
      <w:start w:val="1"/>
      <w:numFmt w:val="bullet"/>
      <w:lvlText w:val="•"/>
      <w:lvlJc w:val="left"/>
      <w:pPr>
        <w:tabs>
          <w:tab w:val="num" w:pos="3600"/>
        </w:tabs>
        <w:ind w:left="3600" w:hanging="360"/>
      </w:pPr>
      <w:rPr>
        <w:rFonts w:ascii="Times New Roman" w:hAnsi="Times New Roman" w:hint="default"/>
      </w:rPr>
    </w:lvl>
    <w:lvl w:ilvl="5" w:tplc="A6384DBC" w:tentative="1">
      <w:start w:val="1"/>
      <w:numFmt w:val="bullet"/>
      <w:lvlText w:val="•"/>
      <w:lvlJc w:val="left"/>
      <w:pPr>
        <w:tabs>
          <w:tab w:val="num" w:pos="4320"/>
        </w:tabs>
        <w:ind w:left="4320" w:hanging="360"/>
      </w:pPr>
      <w:rPr>
        <w:rFonts w:ascii="Times New Roman" w:hAnsi="Times New Roman" w:hint="default"/>
      </w:rPr>
    </w:lvl>
    <w:lvl w:ilvl="6" w:tplc="9350E318" w:tentative="1">
      <w:start w:val="1"/>
      <w:numFmt w:val="bullet"/>
      <w:lvlText w:val="•"/>
      <w:lvlJc w:val="left"/>
      <w:pPr>
        <w:tabs>
          <w:tab w:val="num" w:pos="5040"/>
        </w:tabs>
        <w:ind w:left="5040" w:hanging="360"/>
      </w:pPr>
      <w:rPr>
        <w:rFonts w:ascii="Times New Roman" w:hAnsi="Times New Roman" w:hint="default"/>
      </w:rPr>
    </w:lvl>
    <w:lvl w:ilvl="7" w:tplc="A78898B2" w:tentative="1">
      <w:start w:val="1"/>
      <w:numFmt w:val="bullet"/>
      <w:lvlText w:val="•"/>
      <w:lvlJc w:val="left"/>
      <w:pPr>
        <w:tabs>
          <w:tab w:val="num" w:pos="5760"/>
        </w:tabs>
        <w:ind w:left="5760" w:hanging="360"/>
      </w:pPr>
      <w:rPr>
        <w:rFonts w:ascii="Times New Roman" w:hAnsi="Times New Roman" w:hint="default"/>
      </w:rPr>
    </w:lvl>
    <w:lvl w:ilvl="8" w:tplc="4CB2BCD8" w:tentative="1">
      <w:start w:val="1"/>
      <w:numFmt w:val="bullet"/>
      <w:lvlText w:val="•"/>
      <w:lvlJc w:val="left"/>
      <w:pPr>
        <w:tabs>
          <w:tab w:val="num" w:pos="6480"/>
        </w:tabs>
        <w:ind w:left="6480" w:hanging="360"/>
      </w:pPr>
      <w:rPr>
        <w:rFonts w:ascii="Times New Roman" w:hAnsi="Times New Roman" w:hint="default"/>
      </w:rPr>
    </w:lvl>
  </w:abstractNum>
  <w:abstractNum w:abstractNumId="24" w15:restartNumberingAfterBreak="0">
    <w:nsid w:val="355D629A"/>
    <w:multiLevelType w:val="hybridMultilevel"/>
    <w:tmpl w:val="183621F0"/>
    <w:lvl w:ilvl="0" w:tplc="040C0019">
      <w:start w:val="1"/>
      <w:numFmt w:val="lowerLetter"/>
      <w:lvlText w:val="%1."/>
      <w:lvlJc w:val="left"/>
      <w:pPr>
        <w:ind w:left="2160" w:hanging="360"/>
      </w:pPr>
    </w:lvl>
    <w:lvl w:ilvl="1" w:tplc="040C0019" w:tentative="1">
      <w:start w:val="1"/>
      <w:numFmt w:val="lowerLetter"/>
      <w:lvlText w:val="%2."/>
      <w:lvlJc w:val="left"/>
      <w:pPr>
        <w:ind w:left="2880" w:hanging="360"/>
      </w:pPr>
    </w:lvl>
    <w:lvl w:ilvl="2" w:tplc="040C001B" w:tentative="1">
      <w:start w:val="1"/>
      <w:numFmt w:val="lowerRoman"/>
      <w:lvlText w:val="%3."/>
      <w:lvlJc w:val="right"/>
      <w:pPr>
        <w:ind w:left="3600" w:hanging="180"/>
      </w:pPr>
    </w:lvl>
    <w:lvl w:ilvl="3" w:tplc="040C000F" w:tentative="1">
      <w:start w:val="1"/>
      <w:numFmt w:val="decimal"/>
      <w:lvlText w:val="%4."/>
      <w:lvlJc w:val="left"/>
      <w:pPr>
        <w:ind w:left="4320" w:hanging="360"/>
      </w:pPr>
    </w:lvl>
    <w:lvl w:ilvl="4" w:tplc="040C0019" w:tentative="1">
      <w:start w:val="1"/>
      <w:numFmt w:val="lowerLetter"/>
      <w:lvlText w:val="%5."/>
      <w:lvlJc w:val="left"/>
      <w:pPr>
        <w:ind w:left="5040" w:hanging="360"/>
      </w:pPr>
    </w:lvl>
    <w:lvl w:ilvl="5" w:tplc="040C001B" w:tentative="1">
      <w:start w:val="1"/>
      <w:numFmt w:val="lowerRoman"/>
      <w:lvlText w:val="%6."/>
      <w:lvlJc w:val="right"/>
      <w:pPr>
        <w:ind w:left="5760" w:hanging="180"/>
      </w:pPr>
    </w:lvl>
    <w:lvl w:ilvl="6" w:tplc="040C000F" w:tentative="1">
      <w:start w:val="1"/>
      <w:numFmt w:val="decimal"/>
      <w:lvlText w:val="%7."/>
      <w:lvlJc w:val="left"/>
      <w:pPr>
        <w:ind w:left="6480" w:hanging="360"/>
      </w:pPr>
    </w:lvl>
    <w:lvl w:ilvl="7" w:tplc="040C0019" w:tentative="1">
      <w:start w:val="1"/>
      <w:numFmt w:val="lowerLetter"/>
      <w:lvlText w:val="%8."/>
      <w:lvlJc w:val="left"/>
      <w:pPr>
        <w:ind w:left="7200" w:hanging="360"/>
      </w:pPr>
    </w:lvl>
    <w:lvl w:ilvl="8" w:tplc="040C001B" w:tentative="1">
      <w:start w:val="1"/>
      <w:numFmt w:val="lowerRoman"/>
      <w:lvlText w:val="%9."/>
      <w:lvlJc w:val="right"/>
      <w:pPr>
        <w:ind w:left="7920" w:hanging="180"/>
      </w:pPr>
    </w:lvl>
  </w:abstractNum>
  <w:abstractNum w:abstractNumId="25" w15:restartNumberingAfterBreak="0">
    <w:nsid w:val="35FF2C3B"/>
    <w:multiLevelType w:val="hybridMultilevel"/>
    <w:tmpl w:val="656C7FB0"/>
    <w:lvl w:ilvl="0" w:tplc="CC1A87E2">
      <w:numFmt w:val="bullet"/>
      <w:lvlText w:val=""/>
      <w:lvlJc w:val="left"/>
      <w:pPr>
        <w:ind w:left="720" w:hanging="360"/>
      </w:pPr>
      <w:rPr>
        <w:rFonts w:ascii="Wingdings" w:eastAsiaTheme="majorEastAsia" w:hAnsi="Wingdings" w:cstheme="maj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39926331"/>
    <w:multiLevelType w:val="hybridMultilevel"/>
    <w:tmpl w:val="A55AFE16"/>
    <w:lvl w:ilvl="0" w:tplc="B41285E2">
      <w:start w:val="1"/>
      <w:numFmt w:val="decimal"/>
      <w:lvlText w:val="%1."/>
      <w:lvlJc w:val="left"/>
      <w:pPr>
        <w:ind w:left="1080" w:hanging="360"/>
      </w:pPr>
      <w:rPr>
        <w:rFonts w:hint="default"/>
      </w:rPr>
    </w:lvl>
    <w:lvl w:ilvl="1" w:tplc="040C0019">
      <w:start w:val="1"/>
      <w:numFmt w:val="lowerLetter"/>
      <w:lvlText w:val="%2."/>
      <w:lvlJc w:val="left"/>
      <w:pPr>
        <w:ind w:left="1779"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27" w15:restartNumberingAfterBreak="0">
    <w:nsid w:val="3F05629E"/>
    <w:multiLevelType w:val="hybridMultilevel"/>
    <w:tmpl w:val="004E1F04"/>
    <w:lvl w:ilvl="0" w:tplc="0409000F">
      <w:start w:val="8"/>
      <w:numFmt w:val="decimal"/>
      <w:lvlText w:val="%1."/>
      <w:lvlJc w:val="left"/>
      <w:pPr>
        <w:ind w:left="720" w:hanging="360"/>
      </w:pPr>
      <w:rPr>
        <w:rFonts w:hint="default"/>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3FCC3303"/>
    <w:multiLevelType w:val="hybridMultilevel"/>
    <w:tmpl w:val="C3401B96"/>
    <w:lvl w:ilvl="0" w:tplc="6AE8E410">
      <w:start w:val="1"/>
      <w:numFmt w:val="lowerLetter"/>
      <w:lvlText w:val="%1."/>
      <w:lvlJc w:val="left"/>
      <w:pPr>
        <w:ind w:left="2203" w:hanging="360"/>
      </w:pPr>
      <w:rPr>
        <w:rFonts w:hint="default"/>
      </w:rPr>
    </w:lvl>
    <w:lvl w:ilvl="1" w:tplc="040C0019">
      <w:start w:val="1"/>
      <w:numFmt w:val="lowerLetter"/>
      <w:lvlText w:val="%2."/>
      <w:lvlJc w:val="left"/>
      <w:pPr>
        <w:ind w:left="2923" w:hanging="360"/>
      </w:pPr>
    </w:lvl>
    <w:lvl w:ilvl="2" w:tplc="040C001B" w:tentative="1">
      <w:start w:val="1"/>
      <w:numFmt w:val="lowerRoman"/>
      <w:lvlText w:val="%3."/>
      <w:lvlJc w:val="right"/>
      <w:pPr>
        <w:ind w:left="3643" w:hanging="180"/>
      </w:pPr>
    </w:lvl>
    <w:lvl w:ilvl="3" w:tplc="040C000F" w:tentative="1">
      <w:start w:val="1"/>
      <w:numFmt w:val="decimal"/>
      <w:lvlText w:val="%4."/>
      <w:lvlJc w:val="left"/>
      <w:pPr>
        <w:ind w:left="4363" w:hanging="360"/>
      </w:pPr>
    </w:lvl>
    <w:lvl w:ilvl="4" w:tplc="040C0019" w:tentative="1">
      <w:start w:val="1"/>
      <w:numFmt w:val="lowerLetter"/>
      <w:lvlText w:val="%5."/>
      <w:lvlJc w:val="left"/>
      <w:pPr>
        <w:ind w:left="5083" w:hanging="360"/>
      </w:pPr>
    </w:lvl>
    <w:lvl w:ilvl="5" w:tplc="040C001B" w:tentative="1">
      <w:start w:val="1"/>
      <w:numFmt w:val="lowerRoman"/>
      <w:lvlText w:val="%6."/>
      <w:lvlJc w:val="right"/>
      <w:pPr>
        <w:ind w:left="5803" w:hanging="180"/>
      </w:pPr>
    </w:lvl>
    <w:lvl w:ilvl="6" w:tplc="040C000F" w:tentative="1">
      <w:start w:val="1"/>
      <w:numFmt w:val="decimal"/>
      <w:lvlText w:val="%7."/>
      <w:lvlJc w:val="left"/>
      <w:pPr>
        <w:ind w:left="6523" w:hanging="360"/>
      </w:pPr>
    </w:lvl>
    <w:lvl w:ilvl="7" w:tplc="040C0019" w:tentative="1">
      <w:start w:val="1"/>
      <w:numFmt w:val="lowerLetter"/>
      <w:lvlText w:val="%8."/>
      <w:lvlJc w:val="left"/>
      <w:pPr>
        <w:ind w:left="7243" w:hanging="360"/>
      </w:pPr>
    </w:lvl>
    <w:lvl w:ilvl="8" w:tplc="040C001B" w:tentative="1">
      <w:start w:val="1"/>
      <w:numFmt w:val="lowerRoman"/>
      <w:lvlText w:val="%9."/>
      <w:lvlJc w:val="right"/>
      <w:pPr>
        <w:ind w:left="7963" w:hanging="180"/>
      </w:pPr>
    </w:lvl>
  </w:abstractNum>
  <w:abstractNum w:abstractNumId="29" w15:restartNumberingAfterBreak="0">
    <w:nsid w:val="419C3B71"/>
    <w:multiLevelType w:val="hybridMultilevel"/>
    <w:tmpl w:val="6B82CDB8"/>
    <w:lvl w:ilvl="0" w:tplc="5D8AE5E6">
      <w:start w:val="2021"/>
      <w:numFmt w:val="bullet"/>
      <w:lvlText w:val=""/>
      <w:lvlJc w:val="left"/>
      <w:pPr>
        <w:ind w:left="1065" w:hanging="360"/>
      </w:pPr>
      <w:rPr>
        <w:rFonts w:ascii="Wingdings" w:eastAsiaTheme="minorHAnsi" w:hAnsi="Wingdings" w:cstheme="minorHAnsi" w:hint="default"/>
        <w:color w:val="FF0000"/>
      </w:rPr>
    </w:lvl>
    <w:lvl w:ilvl="1" w:tplc="040C0003" w:tentative="1">
      <w:start w:val="1"/>
      <w:numFmt w:val="bullet"/>
      <w:lvlText w:val="o"/>
      <w:lvlJc w:val="left"/>
      <w:pPr>
        <w:ind w:left="1785" w:hanging="360"/>
      </w:pPr>
      <w:rPr>
        <w:rFonts w:ascii="Courier New" w:hAnsi="Courier New" w:cs="Courier New" w:hint="default"/>
      </w:rPr>
    </w:lvl>
    <w:lvl w:ilvl="2" w:tplc="040C0005" w:tentative="1">
      <w:start w:val="1"/>
      <w:numFmt w:val="bullet"/>
      <w:lvlText w:val=""/>
      <w:lvlJc w:val="left"/>
      <w:pPr>
        <w:ind w:left="2505" w:hanging="360"/>
      </w:pPr>
      <w:rPr>
        <w:rFonts w:ascii="Wingdings" w:hAnsi="Wingdings" w:hint="default"/>
      </w:rPr>
    </w:lvl>
    <w:lvl w:ilvl="3" w:tplc="040C0001" w:tentative="1">
      <w:start w:val="1"/>
      <w:numFmt w:val="bullet"/>
      <w:lvlText w:val=""/>
      <w:lvlJc w:val="left"/>
      <w:pPr>
        <w:ind w:left="3225" w:hanging="360"/>
      </w:pPr>
      <w:rPr>
        <w:rFonts w:ascii="Symbol" w:hAnsi="Symbol" w:hint="default"/>
      </w:rPr>
    </w:lvl>
    <w:lvl w:ilvl="4" w:tplc="040C0003" w:tentative="1">
      <w:start w:val="1"/>
      <w:numFmt w:val="bullet"/>
      <w:lvlText w:val="o"/>
      <w:lvlJc w:val="left"/>
      <w:pPr>
        <w:ind w:left="3945" w:hanging="360"/>
      </w:pPr>
      <w:rPr>
        <w:rFonts w:ascii="Courier New" w:hAnsi="Courier New" w:cs="Courier New" w:hint="default"/>
      </w:rPr>
    </w:lvl>
    <w:lvl w:ilvl="5" w:tplc="040C0005" w:tentative="1">
      <w:start w:val="1"/>
      <w:numFmt w:val="bullet"/>
      <w:lvlText w:val=""/>
      <w:lvlJc w:val="left"/>
      <w:pPr>
        <w:ind w:left="4665" w:hanging="360"/>
      </w:pPr>
      <w:rPr>
        <w:rFonts w:ascii="Wingdings" w:hAnsi="Wingdings" w:hint="default"/>
      </w:rPr>
    </w:lvl>
    <w:lvl w:ilvl="6" w:tplc="040C0001" w:tentative="1">
      <w:start w:val="1"/>
      <w:numFmt w:val="bullet"/>
      <w:lvlText w:val=""/>
      <w:lvlJc w:val="left"/>
      <w:pPr>
        <w:ind w:left="5385" w:hanging="360"/>
      </w:pPr>
      <w:rPr>
        <w:rFonts w:ascii="Symbol" w:hAnsi="Symbol" w:hint="default"/>
      </w:rPr>
    </w:lvl>
    <w:lvl w:ilvl="7" w:tplc="040C0003" w:tentative="1">
      <w:start w:val="1"/>
      <w:numFmt w:val="bullet"/>
      <w:lvlText w:val="o"/>
      <w:lvlJc w:val="left"/>
      <w:pPr>
        <w:ind w:left="6105" w:hanging="360"/>
      </w:pPr>
      <w:rPr>
        <w:rFonts w:ascii="Courier New" w:hAnsi="Courier New" w:cs="Courier New" w:hint="default"/>
      </w:rPr>
    </w:lvl>
    <w:lvl w:ilvl="8" w:tplc="040C0005" w:tentative="1">
      <w:start w:val="1"/>
      <w:numFmt w:val="bullet"/>
      <w:lvlText w:val=""/>
      <w:lvlJc w:val="left"/>
      <w:pPr>
        <w:ind w:left="6825" w:hanging="360"/>
      </w:pPr>
      <w:rPr>
        <w:rFonts w:ascii="Wingdings" w:hAnsi="Wingdings" w:hint="default"/>
      </w:rPr>
    </w:lvl>
  </w:abstractNum>
  <w:abstractNum w:abstractNumId="30" w15:restartNumberingAfterBreak="0">
    <w:nsid w:val="42BE3752"/>
    <w:multiLevelType w:val="hybridMultilevel"/>
    <w:tmpl w:val="233E42CA"/>
    <w:lvl w:ilvl="0" w:tplc="040C0001">
      <w:start w:val="1"/>
      <w:numFmt w:val="bullet"/>
      <w:lvlText w:val=""/>
      <w:lvlJc w:val="left"/>
      <w:pPr>
        <w:tabs>
          <w:tab w:val="num" w:pos="720"/>
        </w:tabs>
        <w:ind w:left="720" w:hanging="360"/>
      </w:pPr>
      <w:rPr>
        <w:rFonts w:ascii="Symbol" w:hAnsi="Symbol" w:hint="default"/>
      </w:rPr>
    </w:lvl>
    <w:lvl w:ilvl="1" w:tplc="040C0019" w:tentative="1">
      <w:start w:val="1"/>
      <w:numFmt w:val="lowerLetter"/>
      <w:lvlText w:val="%2."/>
      <w:lvlJc w:val="left"/>
      <w:pPr>
        <w:tabs>
          <w:tab w:val="num" w:pos="1800"/>
        </w:tabs>
        <w:ind w:left="1800" w:hanging="360"/>
      </w:pPr>
    </w:lvl>
    <w:lvl w:ilvl="2" w:tplc="040C001B" w:tentative="1">
      <w:start w:val="1"/>
      <w:numFmt w:val="lowerRoman"/>
      <w:lvlText w:val="%3."/>
      <w:lvlJc w:val="right"/>
      <w:pPr>
        <w:tabs>
          <w:tab w:val="num" w:pos="2520"/>
        </w:tabs>
        <w:ind w:left="2520" w:hanging="180"/>
      </w:pPr>
    </w:lvl>
    <w:lvl w:ilvl="3" w:tplc="040C000F" w:tentative="1">
      <w:start w:val="1"/>
      <w:numFmt w:val="decimal"/>
      <w:lvlText w:val="%4."/>
      <w:lvlJc w:val="left"/>
      <w:pPr>
        <w:tabs>
          <w:tab w:val="num" w:pos="3240"/>
        </w:tabs>
        <w:ind w:left="3240" w:hanging="360"/>
      </w:pPr>
    </w:lvl>
    <w:lvl w:ilvl="4" w:tplc="040C0019" w:tentative="1">
      <w:start w:val="1"/>
      <w:numFmt w:val="lowerLetter"/>
      <w:lvlText w:val="%5."/>
      <w:lvlJc w:val="left"/>
      <w:pPr>
        <w:tabs>
          <w:tab w:val="num" w:pos="3960"/>
        </w:tabs>
        <w:ind w:left="3960" w:hanging="360"/>
      </w:pPr>
    </w:lvl>
    <w:lvl w:ilvl="5" w:tplc="040C001B" w:tentative="1">
      <w:start w:val="1"/>
      <w:numFmt w:val="lowerRoman"/>
      <w:lvlText w:val="%6."/>
      <w:lvlJc w:val="right"/>
      <w:pPr>
        <w:tabs>
          <w:tab w:val="num" w:pos="4680"/>
        </w:tabs>
        <w:ind w:left="4680" w:hanging="180"/>
      </w:pPr>
    </w:lvl>
    <w:lvl w:ilvl="6" w:tplc="040C000F" w:tentative="1">
      <w:start w:val="1"/>
      <w:numFmt w:val="decimal"/>
      <w:lvlText w:val="%7."/>
      <w:lvlJc w:val="left"/>
      <w:pPr>
        <w:tabs>
          <w:tab w:val="num" w:pos="5400"/>
        </w:tabs>
        <w:ind w:left="5400" w:hanging="360"/>
      </w:pPr>
    </w:lvl>
    <w:lvl w:ilvl="7" w:tplc="040C0019" w:tentative="1">
      <w:start w:val="1"/>
      <w:numFmt w:val="lowerLetter"/>
      <w:lvlText w:val="%8."/>
      <w:lvlJc w:val="left"/>
      <w:pPr>
        <w:tabs>
          <w:tab w:val="num" w:pos="6120"/>
        </w:tabs>
        <w:ind w:left="6120" w:hanging="360"/>
      </w:pPr>
    </w:lvl>
    <w:lvl w:ilvl="8" w:tplc="040C001B" w:tentative="1">
      <w:start w:val="1"/>
      <w:numFmt w:val="lowerRoman"/>
      <w:lvlText w:val="%9."/>
      <w:lvlJc w:val="right"/>
      <w:pPr>
        <w:tabs>
          <w:tab w:val="num" w:pos="6840"/>
        </w:tabs>
        <w:ind w:left="6840" w:hanging="180"/>
      </w:pPr>
    </w:lvl>
  </w:abstractNum>
  <w:abstractNum w:abstractNumId="31" w15:restartNumberingAfterBreak="0">
    <w:nsid w:val="4E0F58F8"/>
    <w:multiLevelType w:val="hybridMultilevel"/>
    <w:tmpl w:val="E81E6316"/>
    <w:lvl w:ilvl="0" w:tplc="040C000F">
      <w:start w:val="1"/>
      <w:numFmt w:val="decimal"/>
      <w:lvlText w:val="%1."/>
      <w:lvlJc w:val="left"/>
      <w:pPr>
        <w:ind w:left="720" w:hanging="360"/>
      </w:p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2" w15:restartNumberingAfterBreak="0">
    <w:nsid w:val="52C045A8"/>
    <w:multiLevelType w:val="hybridMultilevel"/>
    <w:tmpl w:val="EDAC7036"/>
    <w:lvl w:ilvl="0" w:tplc="040C000F">
      <w:start w:val="1"/>
      <w:numFmt w:val="decimal"/>
      <w:lvlText w:val="%1."/>
      <w:lvlJc w:val="left"/>
      <w:pPr>
        <w:ind w:left="720" w:hanging="360"/>
      </w:pPr>
      <w:rPr>
        <w:rFont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3" w15:restartNumberingAfterBreak="0">
    <w:nsid w:val="56D614FC"/>
    <w:multiLevelType w:val="hybridMultilevel"/>
    <w:tmpl w:val="8A8A6C12"/>
    <w:lvl w:ilvl="0" w:tplc="040C000D">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4" w15:restartNumberingAfterBreak="0">
    <w:nsid w:val="5AD84A43"/>
    <w:multiLevelType w:val="hybridMultilevel"/>
    <w:tmpl w:val="D93EA024"/>
    <w:lvl w:ilvl="0" w:tplc="0ED415CE">
      <w:start w:val="3"/>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5" w15:restartNumberingAfterBreak="0">
    <w:nsid w:val="5E6503BF"/>
    <w:multiLevelType w:val="hybridMultilevel"/>
    <w:tmpl w:val="E66A1ABE"/>
    <w:lvl w:ilvl="0" w:tplc="040C0017">
      <w:start w:val="1"/>
      <w:numFmt w:val="lowerLetter"/>
      <w:lvlText w:val="%1)"/>
      <w:lvlJc w:val="left"/>
      <w:pPr>
        <w:ind w:left="720" w:hanging="360"/>
      </w:pPr>
      <w:rPr>
        <w:rFonts w:hint="default"/>
        <w:color w:val="004800"/>
        <w:sz w:val="24"/>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6" w15:restartNumberingAfterBreak="0">
    <w:nsid w:val="60BF434F"/>
    <w:multiLevelType w:val="hybridMultilevel"/>
    <w:tmpl w:val="784A174A"/>
    <w:lvl w:ilvl="0" w:tplc="C79C4D72">
      <w:start w:val="1"/>
      <w:numFmt w:val="decimal"/>
      <w:lvlText w:val="%1."/>
      <w:lvlJc w:val="left"/>
      <w:pPr>
        <w:ind w:left="1440" w:hanging="360"/>
      </w:pPr>
      <w:rPr>
        <w:rFonts w:hint="default"/>
      </w:rPr>
    </w:lvl>
    <w:lvl w:ilvl="1" w:tplc="040C0019">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37" w15:restartNumberingAfterBreak="0">
    <w:nsid w:val="61856B48"/>
    <w:multiLevelType w:val="hybridMultilevel"/>
    <w:tmpl w:val="DFC2991E"/>
    <w:lvl w:ilvl="0" w:tplc="FBC8C91C">
      <w:start w:val="3"/>
      <w:numFmt w:val="bullet"/>
      <w:lvlText w:val=""/>
      <w:lvlJc w:val="left"/>
      <w:pPr>
        <w:ind w:left="720" w:hanging="360"/>
      </w:pPr>
      <w:rPr>
        <w:rFonts w:ascii="Symbol" w:eastAsiaTheme="minorHAnsi" w:hAnsi="Symbol" w:cstheme="minorHAns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8" w15:restartNumberingAfterBreak="0">
    <w:nsid w:val="641F4C91"/>
    <w:multiLevelType w:val="hybridMultilevel"/>
    <w:tmpl w:val="207CBC2E"/>
    <w:lvl w:ilvl="0" w:tplc="040C0019">
      <w:start w:val="1"/>
      <w:numFmt w:val="lowerLetter"/>
      <w:lvlText w:val="%1."/>
      <w:lvlJc w:val="left"/>
      <w:pPr>
        <w:ind w:left="1440" w:hanging="360"/>
      </w:p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39" w15:restartNumberingAfterBreak="0">
    <w:nsid w:val="6CC350C5"/>
    <w:multiLevelType w:val="hybridMultilevel"/>
    <w:tmpl w:val="4C969AC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0" w15:restartNumberingAfterBreak="0">
    <w:nsid w:val="6D8968B4"/>
    <w:multiLevelType w:val="hybridMultilevel"/>
    <w:tmpl w:val="53BCCB8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1" w15:restartNumberingAfterBreak="0">
    <w:nsid w:val="72311EF5"/>
    <w:multiLevelType w:val="hybridMultilevel"/>
    <w:tmpl w:val="94C6F43E"/>
    <w:lvl w:ilvl="0" w:tplc="9E98B97E">
      <w:start w:val="1"/>
      <w:numFmt w:val="bullet"/>
      <w:lvlText w:val="-"/>
      <w:lvlJc w:val="left"/>
      <w:pPr>
        <w:ind w:left="720" w:hanging="360"/>
      </w:pPr>
      <w:rPr>
        <w:rFonts w:ascii="Cambria" w:eastAsiaTheme="minorHAnsi" w:hAnsi="Cambria" w:cstheme="majorHAns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2" w15:restartNumberingAfterBreak="0">
    <w:nsid w:val="72A90D10"/>
    <w:multiLevelType w:val="hybridMultilevel"/>
    <w:tmpl w:val="269EE8DE"/>
    <w:lvl w:ilvl="0" w:tplc="B0180416">
      <w:start w:val="4"/>
      <w:numFmt w:val="bullet"/>
      <w:lvlText w:val="-"/>
      <w:lvlJc w:val="left"/>
      <w:pPr>
        <w:ind w:left="1080" w:hanging="360"/>
      </w:pPr>
      <w:rPr>
        <w:rFonts w:ascii="Times New Roman" w:eastAsiaTheme="minorHAnsi" w:hAnsi="Times New Roman" w:cs="Times New Roman" w:hint="default"/>
      </w:rPr>
    </w:lvl>
    <w:lvl w:ilvl="1" w:tplc="040C0003">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43" w15:restartNumberingAfterBreak="0">
    <w:nsid w:val="74FD658D"/>
    <w:multiLevelType w:val="multilevel"/>
    <w:tmpl w:val="61C078F8"/>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44" w15:restartNumberingAfterBreak="0">
    <w:nsid w:val="75A35040"/>
    <w:multiLevelType w:val="hybridMultilevel"/>
    <w:tmpl w:val="3504514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5" w15:restartNumberingAfterBreak="0">
    <w:nsid w:val="75B4584F"/>
    <w:multiLevelType w:val="hybridMultilevel"/>
    <w:tmpl w:val="197E5906"/>
    <w:lvl w:ilvl="0" w:tplc="A5448EF4">
      <w:start w:val="1"/>
      <w:numFmt w:val="bullet"/>
      <w:lvlText w:val="-"/>
      <w:lvlJc w:val="left"/>
      <w:pPr>
        <w:tabs>
          <w:tab w:val="num" w:pos="720"/>
        </w:tabs>
        <w:ind w:left="720" w:hanging="360"/>
      </w:pPr>
      <w:rPr>
        <w:rFonts w:ascii="Times New Roman" w:hAnsi="Times New Roman" w:hint="default"/>
      </w:rPr>
    </w:lvl>
    <w:lvl w:ilvl="1" w:tplc="8AB8568C" w:tentative="1">
      <w:start w:val="1"/>
      <w:numFmt w:val="bullet"/>
      <w:lvlText w:val="-"/>
      <w:lvlJc w:val="left"/>
      <w:pPr>
        <w:tabs>
          <w:tab w:val="num" w:pos="1440"/>
        </w:tabs>
        <w:ind w:left="1440" w:hanging="360"/>
      </w:pPr>
      <w:rPr>
        <w:rFonts w:ascii="Times New Roman" w:hAnsi="Times New Roman" w:hint="default"/>
      </w:rPr>
    </w:lvl>
    <w:lvl w:ilvl="2" w:tplc="923C8F46" w:tentative="1">
      <w:start w:val="1"/>
      <w:numFmt w:val="bullet"/>
      <w:lvlText w:val="-"/>
      <w:lvlJc w:val="left"/>
      <w:pPr>
        <w:tabs>
          <w:tab w:val="num" w:pos="2160"/>
        </w:tabs>
        <w:ind w:left="2160" w:hanging="360"/>
      </w:pPr>
      <w:rPr>
        <w:rFonts w:ascii="Times New Roman" w:hAnsi="Times New Roman" w:hint="default"/>
      </w:rPr>
    </w:lvl>
    <w:lvl w:ilvl="3" w:tplc="12F6B6E4" w:tentative="1">
      <w:start w:val="1"/>
      <w:numFmt w:val="bullet"/>
      <w:lvlText w:val="-"/>
      <w:lvlJc w:val="left"/>
      <w:pPr>
        <w:tabs>
          <w:tab w:val="num" w:pos="2880"/>
        </w:tabs>
        <w:ind w:left="2880" w:hanging="360"/>
      </w:pPr>
      <w:rPr>
        <w:rFonts w:ascii="Times New Roman" w:hAnsi="Times New Roman" w:hint="default"/>
      </w:rPr>
    </w:lvl>
    <w:lvl w:ilvl="4" w:tplc="DB222C14" w:tentative="1">
      <w:start w:val="1"/>
      <w:numFmt w:val="bullet"/>
      <w:lvlText w:val="-"/>
      <w:lvlJc w:val="left"/>
      <w:pPr>
        <w:tabs>
          <w:tab w:val="num" w:pos="3600"/>
        </w:tabs>
        <w:ind w:left="3600" w:hanging="360"/>
      </w:pPr>
      <w:rPr>
        <w:rFonts w:ascii="Times New Roman" w:hAnsi="Times New Roman" w:hint="default"/>
      </w:rPr>
    </w:lvl>
    <w:lvl w:ilvl="5" w:tplc="630895FE" w:tentative="1">
      <w:start w:val="1"/>
      <w:numFmt w:val="bullet"/>
      <w:lvlText w:val="-"/>
      <w:lvlJc w:val="left"/>
      <w:pPr>
        <w:tabs>
          <w:tab w:val="num" w:pos="4320"/>
        </w:tabs>
        <w:ind w:left="4320" w:hanging="360"/>
      </w:pPr>
      <w:rPr>
        <w:rFonts w:ascii="Times New Roman" w:hAnsi="Times New Roman" w:hint="default"/>
      </w:rPr>
    </w:lvl>
    <w:lvl w:ilvl="6" w:tplc="B3CA0064" w:tentative="1">
      <w:start w:val="1"/>
      <w:numFmt w:val="bullet"/>
      <w:lvlText w:val="-"/>
      <w:lvlJc w:val="left"/>
      <w:pPr>
        <w:tabs>
          <w:tab w:val="num" w:pos="5040"/>
        </w:tabs>
        <w:ind w:left="5040" w:hanging="360"/>
      </w:pPr>
      <w:rPr>
        <w:rFonts w:ascii="Times New Roman" w:hAnsi="Times New Roman" w:hint="default"/>
      </w:rPr>
    </w:lvl>
    <w:lvl w:ilvl="7" w:tplc="4B00C53C" w:tentative="1">
      <w:start w:val="1"/>
      <w:numFmt w:val="bullet"/>
      <w:lvlText w:val="-"/>
      <w:lvlJc w:val="left"/>
      <w:pPr>
        <w:tabs>
          <w:tab w:val="num" w:pos="5760"/>
        </w:tabs>
        <w:ind w:left="5760" w:hanging="360"/>
      </w:pPr>
      <w:rPr>
        <w:rFonts w:ascii="Times New Roman" w:hAnsi="Times New Roman" w:hint="default"/>
      </w:rPr>
    </w:lvl>
    <w:lvl w:ilvl="8" w:tplc="02A6000C" w:tentative="1">
      <w:start w:val="1"/>
      <w:numFmt w:val="bullet"/>
      <w:lvlText w:val="-"/>
      <w:lvlJc w:val="left"/>
      <w:pPr>
        <w:tabs>
          <w:tab w:val="num" w:pos="6480"/>
        </w:tabs>
        <w:ind w:left="6480" w:hanging="360"/>
      </w:pPr>
      <w:rPr>
        <w:rFonts w:ascii="Times New Roman" w:hAnsi="Times New Roman" w:hint="default"/>
      </w:rPr>
    </w:lvl>
  </w:abstractNum>
  <w:abstractNum w:abstractNumId="46" w15:restartNumberingAfterBreak="0">
    <w:nsid w:val="763C1AC9"/>
    <w:multiLevelType w:val="hybridMultilevel"/>
    <w:tmpl w:val="C4DCD714"/>
    <w:lvl w:ilvl="0" w:tplc="4AB21E4C">
      <w:start w:val="1"/>
      <w:numFmt w:val="decimal"/>
      <w:lvlText w:val="%1."/>
      <w:lvlJc w:val="left"/>
      <w:pPr>
        <w:ind w:left="1494" w:hanging="360"/>
      </w:pPr>
      <w:rPr>
        <w:rFonts w:hint="default"/>
      </w:rPr>
    </w:lvl>
    <w:lvl w:ilvl="1" w:tplc="040C0019">
      <w:start w:val="1"/>
      <w:numFmt w:val="lowerLetter"/>
      <w:lvlText w:val="%2."/>
      <w:lvlJc w:val="left"/>
      <w:pPr>
        <w:ind w:left="2214" w:hanging="360"/>
      </w:pPr>
    </w:lvl>
    <w:lvl w:ilvl="2" w:tplc="040C001B" w:tentative="1">
      <w:start w:val="1"/>
      <w:numFmt w:val="lowerRoman"/>
      <w:lvlText w:val="%3."/>
      <w:lvlJc w:val="right"/>
      <w:pPr>
        <w:ind w:left="2934" w:hanging="180"/>
      </w:pPr>
    </w:lvl>
    <w:lvl w:ilvl="3" w:tplc="040C000F" w:tentative="1">
      <w:start w:val="1"/>
      <w:numFmt w:val="decimal"/>
      <w:lvlText w:val="%4."/>
      <w:lvlJc w:val="left"/>
      <w:pPr>
        <w:ind w:left="3654" w:hanging="360"/>
      </w:pPr>
    </w:lvl>
    <w:lvl w:ilvl="4" w:tplc="040C0019" w:tentative="1">
      <w:start w:val="1"/>
      <w:numFmt w:val="lowerLetter"/>
      <w:lvlText w:val="%5."/>
      <w:lvlJc w:val="left"/>
      <w:pPr>
        <w:ind w:left="4374" w:hanging="360"/>
      </w:pPr>
    </w:lvl>
    <w:lvl w:ilvl="5" w:tplc="040C001B" w:tentative="1">
      <w:start w:val="1"/>
      <w:numFmt w:val="lowerRoman"/>
      <w:lvlText w:val="%6."/>
      <w:lvlJc w:val="right"/>
      <w:pPr>
        <w:ind w:left="5094" w:hanging="180"/>
      </w:pPr>
    </w:lvl>
    <w:lvl w:ilvl="6" w:tplc="040C000F" w:tentative="1">
      <w:start w:val="1"/>
      <w:numFmt w:val="decimal"/>
      <w:lvlText w:val="%7."/>
      <w:lvlJc w:val="left"/>
      <w:pPr>
        <w:ind w:left="5814" w:hanging="360"/>
      </w:pPr>
    </w:lvl>
    <w:lvl w:ilvl="7" w:tplc="040C0019" w:tentative="1">
      <w:start w:val="1"/>
      <w:numFmt w:val="lowerLetter"/>
      <w:lvlText w:val="%8."/>
      <w:lvlJc w:val="left"/>
      <w:pPr>
        <w:ind w:left="6534" w:hanging="360"/>
      </w:pPr>
    </w:lvl>
    <w:lvl w:ilvl="8" w:tplc="040C001B" w:tentative="1">
      <w:start w:val="1"/>
      <w:numFmt w:val="lowerRoman"/>
      <w:lvlText w:val="%9."/>
      <w:lvlJc w:val="right"/>
      <w:pPr>
        <w:ind w:left="7254" w:hanging="180"/>
      </w:pPr>
    </w:lvl>
  </w:abstractNum>
  <w:abstractNum w:abstractNumId="47" w15:restartNumberingAfterBreak="0">
    <w:nsid w:val="7AE461FB"/>
    <w:multiLevelType w:val="hybridMultilevel"/>
    <w:tmpl w:val="A26C877A"/>
    <w:lvl w:ilvl="0" w:tplc="040C0019">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8" w15:restartNumberingAfterBreak="0">
    <w:nsid w:val="7F5667C4"/>
    <w:multiLevelType w:val="hybridMultilevel"/>
    <w:tmpl w:val="8026B1E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8"/>
  </w:num>
  <w:num w:numId="2">
    <w:abstractNumId w:val="26"/>
  </w:num>
  <w:num w:numId="3">
    <w:abstractNumId w:val="36"/>
  </w:num>
  <w:num w:numId="4">
    <w:abstractNumId w:val="15"/>
  </w:num>
  <w:num w:numId="5">
    <w:abstractNumId w:val="48"/>
  </w:num>
  <w:num w:numId="6">
    <w:abstractNumId w:val="46"/>
  </w:num>
  <w:num w:numId="7">
    <w:abstractNumId w:val="40"/>
  </w:num>
  <w:num w:numId="8">
    <w:abstractNumId w:val="20"/>
  </w:num>
  <w:num w:numId="9">
    <w:abstractNumId w:val="19"/>
  </w:num>
  <w:num w:numId="10">
    <w:abstractNumId w:val="21"/>
  </w:num>
  <w:num w:numId="11">
    <w:abstractNumId w:val="17"/>
  </w:num>
  <w:num w:numId="12">
    <w:abstractNumId w:val="34"/>
  </w:num>
  <w:num w:numId="13">
    <w:abstractNumId w:val="43"/>
  </w:num>
  <w:num w:numId="14">
    <w:abstractNumId w:val="10"/>
  </w:num>
  <w:num w:numId="15">
    <w:abstractNumId w:val="3"/>
  </w:num>
  <w:num w:numId="16">
    <w:abstractNumId w:val="25"/>
  </w:num>
  <w:num w:numId="17">
    <w:abstractNumId w:val="22"/>
  </w:num>
  <w:num w:numId="18">
    <w:abstractNumId w:val="8"/>
  </w:num>
  <w:num w:numId="19">
    <w:abstractNumId w:val="7"/>
  </w:num>
  <w:num w:numId="20">
    <w:abstractNumId w:val="35"/>
  </w:num>
  <w:num w:numId="21">
    <w:abstractNumId w:val="4"/>
  </w:num>
  <w:num w:numId="22">
    <w:abstractNumId w:val="30"/>
  </w:num>
  <w:num w:numId="23">
    <w:abstractNumId w:val="11"/>
  </w:num>
  <w:num w:numId="24">
    <w:abstractNumId w:val="33"/>
  </w:num>
  <w:num w:numId="25">
    <w:abstractNumId w:val="27"/>
  </w:num>
  <w:num w:numId="26">
    <w:abstractNumId w:val="16"/>
  </w:num>
  <w:num w:numId="27">
    <w:abstractNumId w:val="14"/>
  </w:num>
  <w:num w:numId="28">
    <w:abstractNumId w:val="23"/>
  </w:num>
  <w:num w:numId="29">
    <w:abstractNumId w:val="42"/>
  </w:num>
  <w:num w:numId="30">
    <w:abstractNumId w:val="39"/>
  </w:num>
  <w:num w:numId="31">
    <w:abstractNumId w:val="38"/>
  </w:num>
  <w:num w:numId="32">
    <w:abstractNumId w:val="12"/>
  </w:num>
  <w:num w:numId="33">
    <w:abstractNumId w:val="13"/>
  </w:num>
  <w:num w:numId="34">
    <w:abstractNumId w:val="37"/>
  </w:num>
  <w:num w:numId="35">
    <w:abstractNumId w:val="28"/>
  </w:num>
  <w:num w:numId="36">
    <w:abstractNumId w:val="47"/>
  </w:num>
  <w:num w:numId="37">
    <w:abstractNumId w:val="9"/>
  </w:num>
  <w:num w:numId="38">
    <w:abstractNumId w:val="32"/>
  </w:num>
  <w:num w:numId="39">
    <w:abstractNumId w:val="0"/>
  </w:num>
  <w:num w:numId="40">
    <w:abstractNumId w:val="31"/>
  </w:num>
  <w:num w:numId="41">
    <w:abstractNumId w:val="44"/>
  </w:num>
  <w:num w:numId="42">
    <w:abstractNumId w:val="1"/>
  </w:num>
  <w:num w:numId="43">
    <w:abstractNumId w:val="29"/>
  </w:num>
  <w:num w:numId="44">
    <w:abstractNumId w:val="24"/>
  </w:num>
  <w:num w:numId="45">
    <w:abstractNumId w:val="5"/>
  </w:num>
  <w:num w:numId="46">
    <w:abstractNumId w:val="41"/>
  </w:num>
  <w:num w:numId="47">
    <w:abstractNumId w:val="6"/>
  </w:num>
  <w:num w:numId="48">
    <w:abstractNumId w:val="2"/>
  </w:num>
  <w:num w:numId="49">
    <w:abstractNumId w:val="4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3FAC"/>
    <w:rsid w:val="00012D78"/>
    <w:rsid w:val="00047318"/>
    <w:rsid w:val="000720F9"/>
    <w:rsid w:val="00076E2C"/>
    <w:rsid w:val="000902A1"/>
    <w:rsid w:val="00093848"/>
    <w:rsid w:val="000B27D1"/>
    <w:rsid w:val="000B5EFA"/>
    <w:rsid w:val="000E6FB8"/>
    <w:rsid w:val="000F7319"/>
    <w:rsid w:val="000F7DCB"/>
    <w:rsid w:val="001040FA"/>
    <w:rsid w:val="00122B15"/>
    <w:rsid w:val="00147593"/>
    <w:rsid w:val="00195382"/>
    <w:rsid w:val="001B17C8"/>
    <w:rsid w:val="001C336A"/>
    <w:rsid w:val="001D200D"/>
    <w:rsid w:val="001E2F83"/>
    <w:rsid w:val="001F0071"/>
    <w:rsid w:val="001F0332"/>
    <w:rsid w:val="001F483A"/>
    <w:rsid w:val="0020278D"/>
    <w:rsid w:val="0020554B"/>
    <w:rsid w:val="00206E5C"/>
    <w:rsid w:val="00207FB9"/>
    <w:rsid w:val="002378D9"/>
    <w:rsid w:val="0025614E"/>
    <w:rsid w:val="00277D84"/>
    <w:rsid w:val="002854AB"/>
    <w:rsid w:val="00296DE4"/>
    <w:rsid w:val="002A2CA3"/>
    <w:rsid w:val="002A495B"/>
    <w:rsid w:val="002A7E0E"/>
    <w:rsid w:val="002B7443"/>
    <w:rsid w:val="002C018F"/>
    <w:rsid w:val="002C5823"/>
    <w:rsid w:val="002E26C8"/>
    <w:rsid w:val="002E3BE8"/>
    <w:rsid w:val="002E453C"/>
    <w:rsid w:val="002F723B"/>
    <w:rsid w:val="002F7DED"/>
    <w:rsid w:val="00300AA5"/>
    <w:rsid w:val="00311312"/>
    <w:rsid w:val="00316F0B"/>
    <w:rsid w:val="0038474F"/>
    <w:rsid w:val="00390960"/>
    <w:rsid w:val="003A2FEB"/>
    <w:rsid w:val="003B01E2"/>
    <w:rsid w:val="003C297D"/>
    <w:rsid w:val="003C497C"/>
    <w:rsid w:val="003F1D7C"/>
    <w:rsid w:val="003F2ADC"/>
    <w:rsid w:val="003F3AF5"/>
    <w:rsid w:val="003F3FAC"/>
    <w:rsid w:val="003F7257"/>
    <w:rsid w:val="004137CB"/>
    <w:rsid w:val="00422AF9"/>
    <w:rsid w:val="00423B36"/>
    <w:rsid w:val="00431DEF"/>
    <w:rsid w:val="004347A3"/>
    <w:rsid w:val="00442F08"/>
    <w:rsid w:val="0044393C"/>
    <w:rsid w:val="004469E6"/>
    <w:rsid w:val="004547BF"/>
    <w:rsid w:val="0047090C"/>
    <w:rsid w:val="004744D3"/>
    <w:rsid w:val="00474A8A"/>
    <w:rsid w:val="00484E5B"/>
    <w:rsid w:val="004905BC"/>
    <w:rsid w:val="004977D5"/>
    <w:rsid w:val="004A1E0B"/>
    <w:rsid w:val="004A6ECA"/>
    <w:rsid w:val="004B2E69"/>
    <w:rsid w:val="004B4EAD"/>
    <w:rsid w:val="004C04DB"/>
    <w:rsid w:val="004C0DCB"/>
    <w:rsid w:val="004C20AA"/>
    <w:rsid w:val="004E068C"/>
    <w:rsid w:val="0051115C"/>
    <w:rsid w:val="005146E8"/>
    <w:rsid w:val="0051494F"/>
    <w:rsid w:val="00515C25"/>
    <w:rsid w:val="005310D7"/>
    <w:rsid w:val="005310EF"/>
    <w:rsid w:val="00533028"/>
    <w:rsid w:val="005352FD"/>
    <w:rsid w:val="00537315"/>
    <w:rsid w:val="005416D5"/>
    <w:rsid w:val="00550B1A"/>
    <w:rsid w:val="00573B6C"/>
    <w:rsid w:val="005774EC"/>
    <w:rsid w:val="0059217F"/>
    <w:rsid w:val="005B3F52"/>
    <w:rsid w:val="005B4D56"/>
    <w:rsid w:val="005C41C9"/>
    <w:rsid w:val="005E7A4A"/>
    <w:rsid w:val="00600733"/>
    <w:rsid w:val="00603354"/>
    <w:rsid w:val="0064632F"/>
    <w:rsid w:val="006463D8"/>
    <w:rsid w:val="00667251"/>
    <w:rsid w:val="00696733"/>
    <w:rsid w:val="006B5114"/>
    <w:rsid w:val="006B58BC"/>
    <w:rsid w:val="006D28E4"/>
    <w:rsid w:val="006E10F9"/>
    <w:rsid w:val="006E5C00"/>
    <w:rsid w:val="006F11DB"/>
    <w:rsid w:val="006F20B2"/>
    <w:rsid w:val="006F606D"/>
    <w:rsid w:val="00737C0B"/>
    <w:rsid w:val="007444DB"/>
    <w:rsid w:val="00756F52"/>
    <w:rsid w:val="007679D9"/>
    <w:rsid w:val="0079394A"/>
    <w:rsid w:val="007A2854"/>
    <w:rsid w:val="007B6C8E"/>
    <w:rsid w:val="007D2B75"/>
    <w:rsid w:val="007D6182"/>
    <w:rsid w:val="007E07D3"/>
    <w:rsid w:val="007E68AD"/>
    <w:rsid w:val="0080780D"/>
    <w:rsid w:val="00810053"/>
    <w:rsid w:val="008107FF"/>
    <w:rsid w:val="00847E6C"/>
    <w:rsid w:val="008566D6"/>
    <w:rsid w:val="00866A12"/>
    <w:rsid w:val="0087441C"/>
    <w:rsid w:val="0089724C"/>
    <w:rsid w:val="008B7F98"/>
    <w:rsid w:val="008D5D3A"/>
    <w:rsid w:val="008E0727"/>
    <w:rsid w:val="008E735C"/>
    <w:rsid w:val="008F6239"/>
    <w:rsid w:val="009146B8"/>
    <w:rsid w:val="009301E7"/>
    <w:rsid w:val="00950E71"/>
    <w:rsid w:val="00965E25"/>
    <w:rsid w:val="00971E95"/>
    <w:rsid w:val="00972EB7"/>
    <w:rsid w:val="00983258"/>
    <w:rsid w:val="00985C19"/>
    <w:rsid w:val="009932A2"/>
    <w:rsid w:val="009A7FBB"/>
    <w:rsid w:val="009C06D0"/>
    <w:rsid w:val="009C0D04"/>
    <w:rsid w:val="009C7E89"/>
    <w:rsid w:val="009E2964"/>
    <w:rsid w:val="00A01B4C"/>
    <w:rsid w:val="00A21491"/>
    <w:rsid w:val="00A22125"/>
    <w:rsid w:val="00A27C8D"/>
    <w:rsid w:val="00A31C1D"/>
    <w:rsid w:val="00A46F97"/>
    <w:rsid w:val="00A54740"/>
    <w:rsid w:val="00A67DBB"/>
    <w:rsid w:val="00A8508D"/>
    <w:rsid w:val="00AA792B"/>
    <w:rsid w:val="00AB1F76"/>
    <w:rsid w:val="00AC7079"/>
    <w:rsid w:val="00AD4430"/>
    <w:rsid w:val="00AD660A"/>
    <w:rsid w:val="00B0501A"/>
    <w:rsid w:val="00B17550"/>
    <w:rsid w:val="00B21936"/>
    <w:rsid w:val="00B226D6"/>
    <w:rsid w:val="00B25837"/>
    <w:rsid w:val="00B31851"/>
    <w:rsid w:val="00B44BAF"/>
    <w:rsid w:val="00B57824"/>
    <w:rsid w:val="00B64450"/>
    <w:rsid w:val="00B65E81"/>
    <w:rsid w:val="00B835AF"/>
    <w:rsid w:val="00B85C9A"/>
    <w:rsid w:val="00BA5566"/>
    <w:rsid w:val="00BB6FCC"/>
    <w:rsid w:val="00BC1AA9"/>
    <w:rsid w:val="00BC28DD"/>
    <w:rsid w:val="00BD6EC9"/>
    <w:rsid w:val="00BF232C"/>
    <w:rsid w:val="00BF29A2"/>
    <w:rsid w:val="00C04F69"/>
    <w:rsid w:val="00C2694C"/>
    <w:rsid w:val="00C32BEA"/>
    <w:rsid w:val="00C43FB7"/>
    <w:rsid w:val="00C623ED"/>
    <w:rsid w:val="00C74290"/>
    <w:rsid w:val="00C844D2"/>
    <w:rsid w:val="00C847ED"/>
    <w:rsid w:val="00C87C96"/>
    <w:rsid w:val="00C90DAE"/>
    <w:rsid w:val="00CA1FF5"/>
    <w:rsid w:val="00CA2EBE"/>
    <w:rsid w:val="00CC5F3B"/>
    <w:rsid w:val="00CD389F"/>
    <w:rsid w:val="00CD6674"/>
    <w:rsid w:val="00CF451D"/>
    <w:rsid w:val="00CF6834"/>
    <w:rsid w:val="00D069F1"/>
    <w:rsid w:val="00D070BC"/>
    <w:rsid w:val="00D175FB"/>
    <w:rsid w:val="00D23AF3"/>
    <w:rsid w:val="00D32BA6"/>
    <w:rsid w:val="00D41D0C"/>
    <w:rsid w:val="00D4535B"/>
    <w:rsid w:val="00D508EE"/>
    <w:rsid w:val="00D56EC9"/>
    <w:rsid w:val="00D57614"/>
    <w:rsid w:val="00D83351"/>
    <w:rsid w:val="00D84C92"/>
    <w:rsid w:val="00D853DF"/>
    <w:rsid w:val="00D87001"/>
    <w:rsid w:val="00D97799"/>
    <w:rsid w:val="00DA72FF"/>
    <w:rsid w:val="00DB64ED"/>
    <w:rsid w:val="00DC4B54"/>
    <w:rsid w:val="00DE0977"/>
    <w:rsid w:val="00DE12A6"/>
    <w:rsid w:val="00DE671B"/>
    <w:rsid w:val="00DF13CF"/>
    <w:rsid w:val="00E071F1"/>
    <w:rsid w:val="00E14ADB"/>
    <w:rsid w:val="00E30B5F"/>
    <w:rsid w:val="00E4665A"/>
    <w:rsid w:val="00E630C0"/>
    <w:rsid w:val="00E67171"/>
    <w:rsid w:val="00E82BCA"/>
    <w:rsid w:val="00E91695"/>
    <w:rsid w:val="00E96B92"/>
    <w:rsid w:val="00E972F3"/>
    <w:rsid w:val="00EA6FCD"/>
    <w:rsid w:val="00EB27CA"/>
    <w:rsid w:val="00ED1638"/>
    <w:rsid w:val="00EE2796"/>
    <w:rsid w:val="00EE287A"/>
    <w:rsid w:val="00F02A89"/>
    <w:rsid w:val="00F04741"/>
    <w:rsid w:val="00F31360"/>
    <w:rsid w:val="00F32995"/>
    <w:rsid w:val="00F34C19"/>
    <w:rsid w:val="00F429F5"/>
    <w:rsid w:val="00F507F1"/>
    <w:rsid w:val="00F64372"/>
    <w:rsid w:val="00F717B7"/>
    <w:rsid w:val="00F8057D"/>
    <w:rsid w:val="00F951F9"/>
    <w:rsid w:val="00FA4404"/>
    <w:rsid w:val="00FB412A"/>
    <w:rsid w:val="00FB5FE3"/>
    <w:rsid w:val="00FC6DB9"/>
    <w:rsid w:val="00FD062A"/>
    <w:rsid w:val="00FD0722"/>
    <w:rsid w:val="00FD179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9F0C73"/>
  <w15:docId w15:val="{A940CC04-17C0-4A93-873B-C5ECA6DB15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3F3FAC"/>
  </w:style>
  <w:style w:type="paragraph" w:styleId="Titre1">
    <w:name w:val="heading 1"/>
    <w:basedOn w:val="Normal"/>
    <w:next w:val="Normal"/>
    <w:link w:val="Titre1Car"/>
    <w:uiPriority w:val="9"/>
    <w:qFormat/>
    <w:rsid w:val="00BF29A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next w:val="Normal"/>
    <w:link w:val="Titre2Car"/>
    <w:uiPriority w:val="9"/>
    <w:unhideWhenUsed/>
    <w:qFormat/>
    <w:rsid w:val="00BF29A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itre3">
    <w:name w:val="heading 3"/>
    <w:basedOn w:val="Normal"/>
    <w:next w:val="Normal"/>
    <w:link w:val="Titre3Car"/>
    <w:uiPriority w:val="9"/>
    <w:unhideWhenUsed/>
    <w:qFormat/>
    <w:rsid w:val="00FD062A"/>
    <w:pPr>
      <w:keepNext/>
      <w:keepLines/>
      <w:spacing w:before="200" w:after="0"/>
      <w:outlineLvl w:val="2"/>
    </w:pPr>
    <w:rPr>
      <w:rFonts w:asciiTheme="majorHAnsi" w:eastAsiaTheme="majorEastAsia" w:hAnsiTheme="majorHAnsi" w:cstheme="majorBidi"/>
      <w:b/>
      <w:bCs/>
      <w:color w:val="4F81BD" w:themeColor="accent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aliases w:val="Titre1,References,Paragraphe de liste2,MCHIP_list paragraph,List Paragraph1,Recommendation,Bullet List,FooterText,Bioforce zListePuce,Paragraphe de liste1,Numbered List Paragraph,Bullets,ReferencesCxSpLast"/>
    <w:basedOn w:val="Normal"/>
    <w:link w:val="ParagraphedelisteCar"/>
    <w:uiPriority w:val="34"/>
    <w:qFormat/>
    <w:rsid w:val="003F3FAC"/>
    <w:pPr>
      <w:ind w:left="720"/>
      <w:contextualSpacing/>
    </w:pPr>
  </w:style>
  <w:style w:type="paragraph" w:styleId="Notedebasdepage">
    <w:name w:val="footnote text"/>
    <w:aliases w:val="Footnote Text Char,Footnote Text Char1 Char,Footnote Text Char Char Char1,Footnote Text Char1 Char Char Char1,Footnote Text Char1 Char1 Char,Footnote Text Char Char Char Char,Texte de note de bas de page,ADB"/>
    <w:basedOn w:val="Normal"/>
    <w:link w:val="NotedebasdepageCar"/>
    <w:uiPriority w:val="99"/>
    <w:unhideWhenUsed/>
    <w:rsid w:val="003F3FAC"/>
    <w:pPr>
      <w:spacing w:after="0" w:line="240" w:lineRule="auto"/>
    </w:pPr>
    <w:rPr>
      <w:sz w:val="20"/>
      <w:szCs w:val="20"/>
    </w:rPr>
  </w:style>
  <w:style w:type="character" w:customStyle="1" w:styleId="NotedebasdepageCar">
    <w:name w:val="Note de bas de page Car"/>
    <w:aliases w:val="Footnote Text Char Car,Footnote Text Char1 Char Car,Footnote Text Char Char Char1 Car,Footnote Text Char1 Char Char Char1 Car,Footnote Text Char1 Char1 Char Car,Footnote Text Char Char Char Char Car,ADB Car"/>
    <w:basedOn w:val="Policepardfaut"/>
    <w:link w:val="Notedebasdepage"/>
    <w:uiPriority w:val="99"/>
    <w:rsid w:val="003F3FAC"/>
    <w:rPr>
      <w:sz w:val="20"/>
      <w:szCs w:val="20"/>
    </w:rPr>
  </w:style>
  <w:style w:type="character" w:styleId="Appelnotedebasdep">
    <w:name w:val="footnote reference"/>
    <w:basedOn w:val="Policepardfaut"/>
    <w:uiPriority w:val="99"/>
    <w:unhideWhenUsed/>
    <w:rsid w:val="003F3FAC"/>
    <w:rPr>
      <w:vertAlign w:val="superscript"/>
    </w:rPr>
  </w:style>
  <w:style w:type="paragraph" w:styleId="Textedebulles">
    <w:name w:val="Balloon Text"/>
    <w:basedOn w:val="Normal"/>
    <w:link w:val="TextedebullesCar"/>
    <w:uiPriority w:val="99"/>
    <w:semiHidden/>
    <w:unhideWhenUsed/>
    <w:rsid w:val="00A22125"/>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A22125"/>
    <w:rPr>
      <w:rFonts w:ascii="Tahoma" w:hAnsi="Tahoma" w:cs="Tahoma"/>
      <w:sz w:val="16"/>
      <w:szCs w:val="16"/>
    </w:rPr>
  </w:style>
  <w:style w:type="table" w:styleId="Grilledutableau">
    <w:name w:val="Table Grid"/>
    <w:basedOn w:val="TableauNormal"/>
    <w:uiPriority w:val="59"/>
    <w:rsid w:val="008107F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re1Car">
    <w:name w:val="Titre 1 Car"/>
    <w:basedOn w:val="Policepardfaut"/>
    <w:link w:val="Titre1"/>
    <w:uiPriority w:val="9"/>
    <w:rsid w:val="00BF29A2"/>
    <w:rPr>
      <w:rFonts w:asciiTheme="majorHAnsi" w:eastAsiaTheme="majorEastAsia" w:hAnsiTheme="majorHAnsi" w:cstheme="majorBidi"/>
      <w:b/>
      <w:bCs/>
      <w:color w:val="365F91" w:themeColor="accent1" w:themeShade="BF"/>
      <w:sz w:val="28"/>
      <w:szCs w:val="28"/>
    </w:rPr>
  </w:style>
  <w:style w:type="paragraph" w:styleId="En-ttedetabledesmatires">
    <w:name w:val="TOC Heading"/>
    <w:basedOn w:val="Titre1"/>
    <w:next w:val="Normal"/>
    <w:uiPriority w:val="39"/>
    <w:semiHidden/>
    <w:unhideWhenUsed/>
    <w:qFormat/>
    <w:rsid w:val="00BF29A2"/>
    <w:pPr>
      <w:outlineLvl w:val="9"/>
    </w:pPr>
    <w:rPr>
      <w:lang w:eastAsia="fr-FR"/>
    </w:rPr>
  </w:style>
  <w:style w:type="character" w:customStyle="1" w:styleId="Titre2Car">
    <w:name w:val="Titre 2 Car"/>
    <w:basedOn w:val="Policepardfaut"/>
    <w:link w:val="Titre2"/>
    <w:uiPriority w:val="9"/>
    <w:rsid w:val="00BF29A2"/>
    <w:rPr>
      <w:rFonts w:asciiTheme="majorHAnsi" w:eastAsiaTheme="majorEastAsia" w:hAnsiTheme="majorHAnsi" w:cstheme="majorBidi"/>
      <w:b/>
      <w:bCs/>
      <w:color w:val="4F81BD" w:themeColor="accent1"/>
      <w:sz w:val="26"/>
      <w:szCs w:val="26"/>
    </w:rPr>
  </w:style>
  <w:style w:type="paragraph" w:styleId="TM1">
    <w:name w:val="toc 1"/>
    <w:basedOn w:val="Normal"/>
    <w:next w:val="Normal"/>
    <w:autoRedefine/>
    <w:uiPriority w:val="39"/>
    <w:unhideWhenUsed/>
    <w:rsid w:val="001F0332"/>
    <w:pPr>
      <w:spacing w:after="100"/>
    </w:pPr>
  </w:style>
  <w:style w:type="paragraph" w:styleId="TM2">
    <w:name w:val="toc 2"/>
    <w:basedOn w:val="Normal"/>
    <w:next w:val="Normal"/>
    <w:autoRedefine/>
    <w:uiPriority w:val="39"/>
    <w:unhideWhenUsed/>
    <w:rsid w:val="001F0332"/>
    <w:pPr>
      <w:spacing w:after="100"/>
      <w:ind w:left="220"/>
    </w:pPr>
  </w:style>
  <w:style w:type="character" w:styleId="Lienhypertexte">
    <w:name w:val="Hyperlink"/>
    <w:basedOn w:val="Policepardfaut"/>
    <w:uiPriority w:val="99"/>
    <w:unhideWhenUsed/>
    <w:rsid w:val="001F0332"/>
    <w:rPr>
      <w:color w:val="0000FF" w:themeColor="hyperlink"/>
      <w:u w:val="single"/>
    </w:rPr>
  </w:style>
  <w:style w:type="character" w:customStyle="1" w:styleId="Titre3Car">
    <w:name w:val="Titre 3 Car"/>
    <w:basedOn w:val="Policepardfaut"/>
    <w:link w:val="Titre3"/>
    <w:uiPriority w:val="9"/>
    <w:rsid w:val="00FD062A"/>
    <w:rPr>
      <w:rFonts w:asciiTheme="majorHAnsi" w:eastAsiaTheme="majorEastAsia" w:hAnsiTheme="majorHAnsi" w:cstheme="majorBidi"/>
      <w:b/>
      <w:bCs/>
      <w:color w:val="4F81BD" w:themeColor="accent1"/>
    </w:rPr>
  </w:style>
  <w:style w:type="character" w:customStyle="1" w:styleId="ParagraphedelisteCar">
    <w:name w:val="Paragraphe de liste Car"/>
    <w:aliases w:val="Titre1 Car,References Car,Paragraphe de liste2 Car,MCHIP_list paragraph Car,List Paragraph1 Car,Recommendation Car,Bullet List Car,FooterText Car,Bioforce zListePuce Car,Paragraphe de liste1 Car,Numbered List Paragraph Car"/>
    <w:link w:val="Paragraphedeliste"/>
    <w:uiPriority w:val="34"/>
    <w:locked/>
    <w:rsid w:val="00047318"/>
  </w:style>
  <w:style w:type="paragraph" w:styleId="Sansinterligne">
    <w:name w:val="No Spacing"/>
    <w:uiPriority w:val="1"/>
    <w:qFormat/>
    <w:rsid w:val="002E3BE8"/>
    <w:pPr>
      <w:spacing w:after="0" w:line="240" w:lineRule="auto"/>
    </w:pPr>
  </w:style>
  <w:style w:type="table" w:styleId="Listeclaire-Accent1">
    <w:name w:val="Light List Accent 1"/>
    <w:basedOn w:val="TableauNormal"/>
    <w:uiPriority w:val="61"/>
    <w:rsid w:val="002378D9"/>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character" w:styleId="Marquedecommentaire">
    <w:name w:val="annotation reference"/>
    <w:basedOn w:val="Policepardfaut"/>
    <w:uiPriority w:val="99"/>
    <w:semiHidden/>
    <w:unhideWhenUsed/>
    <w:rsid w:val="005E7A4A"/>
    <w:rPr>
      <w:sz w:val="16"/>
      <w:szCs w:val="16"/>
    </w:rPr>
  </w:style>
  <w:style w:type="paragraph" w:styleId="Commentaire">
    <w:name w:val="annotation text"/>
    <w:basedOn w:val="Normal"/>
    <w:link w:val="CommentaireCar"/>
    <w:uiPriority w:val="99"/>
    <w:semiHidden/>
    <w:unhideWhenUsed/>
    <w:rsid w:val="005E7A4A"/>
    <w:pPr>
      <w:spacing w:line="240" w:lineRule="auto"/>
    </w:pPr>
    <w:rPr>
      <w:sz w:val="20"/>
      <w:szCs w:val="20"/>
    </w:rPr>
  </w:style>
  <w:style w:type="character" w:customStyle="1" w:styleId="CommentaireCar">
    <w:name w:val="Commentaire Car"/>
    <w:basedOn w:val="Policepardfaut"/>
    <w:link w:val="Commentaire"/>
    <w:uiPriority w:val="99"/>
    <w:semiHidden/>
    <w:rsid w:val="005E7A4A"/>
    <w:rPr>
      <w:sz w:val="20"/>
      <w:szCs w:val="20"/>
    </w:rPr>
  </w:style>
  <w:style w:type="paragraph" w:styleId="Objetducommentaire">
    <w:name w:val="annotation subject"/>
    <w:basedOn w:val="Commentaire"/>
    <w:next w:val="Commentaire"/>
    <w:link w:val="ObjetducommentaireCar"/>
    <w:uiPriority w:val="99"/>
    <w:semiHidden/>
    <w:unhideWhenUsed/>
    <w:rsid w:val="005E7A4A"/>
    <w:rPr>
      <w:b/>
      <w:bCs/>
    </w:rPr>
  </w:style>
  <w:style w:type="character" w:customStyle="1" w:styleId="ObjetducommentaireCar">
    <w:name w:val="Objet du commentaire Car"/>
    <w:basedOn w:val="CommentaireCar"/>
    <w:link w:val="Objetducommentaire"/>
    <w:uiPriority w:val="99"/>
    <w:semiHidden/>
    <w:rsid w:val="005E7A4A"/>
    <w:rPr>
      <w:b/>
      <w:bCs/>
      <w:sz w:val="20"/>
      <w:szCs w:val="20"/>
    </w:rPr>
  </w:style>
  <w:style w:type="character" w:customStyle="1" w:styleId="text18">
    <w:name w:val="text18"/>
    <w:basedOn w:val="Policepardfaut"/>
    <w:rsid w:val="00AB1F76"/>
  </w:style>
  <w:style w:type="paragraph" w:styleId="En-tte">
    <w:name w:val="header"/>
    <w:basedOn w:val="Normal"/>
    <w:link w:val="En-tteCar"/>
    <w:uiPriority w:val="99"/>
    <w:unhideWhenUsed/>
    <w:rsid w:val="008566D6"/>
    <w:pPr>
      <w:tabs>
        <w:tab w:val="center" w:pos="4536"/>
        <w:tab w:val="right" w:pos="9072"/>
      </w:tabs>
      <w:spacing w:after="0" w:line="240" w:lineRule="auto"/>
    </w:pPr>
  </w:style>
  <w:style w:type="character" w:customStyle="1" w:styleId="En-tteCar">
    <w:name w:val="En-tête Car"/>
    <w:basedOn w:val="Policepardfaut"/>
    <w:link w:val="En-tte"/>
    <w:uiPriority w:val="99"/>
    <w:rsid w:val="008566D6"/>
  </w:style>
  <w:style w:type="paragraph" w:styleId="Pieddepage">
    <w:name w:val="footer"/>
    <w:basedOn w:val="Normal"/>
    <w:link w:val="PieddepageCar"/>
    <w:uiPriority w:val="99"/>
    <w:unhideWhenUsed/>
    <w:rsid w:val="008566D6"/>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8566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37631663">
      <w:bodyDiv w:val="1"/>
      <w:marLeft w:val="0"/>
      <w:marRight w:val="0"/>
      <w:marTop w:val="0"/>
      <w:marBottom w:val="0"/>
      <w:divBdr>
        <w:top w:val="none" w:sz="0" w:space="0" w:color="auto"/>
        <w:left w:val="none" w:sz="0" w:space="0" w:color="auto"/>
        <w:bottom w:val="none" w:sz="0" w:space="0" w:color="auto"/>
        <w:right w:val="none" w:sz="0" w:space="0" w:color="auto"/>
      </w:divBdr>
      <w:divsChild>
        <w:div w:id="435637761">
          <w:marLeft w:val="547"/>
          <w:marRight w:val="0"/>
          <w:marTop w:val="96"/>
          <w:marBottom w:val="0"/>
          <w:divBdr>
            <w:top w:val="none" w:sz="0" w:space="0" w:color="auto"/>
            <w:left w:val="none" w:sz="0" w:space="0" w:color="auto"/>
            <w:bottom w:val="none" w:sz="0" w:space="0" w:color="auto"/>
            <w:right w:val="none" w:sz="0" w:space="0" w:color="auto"/>
          </w:divBdr>
        </w:div>
      </w:divsChild>
    </w:div>
    <w:div w:id="1156073991">
      <w:bodyDiv w:val="1"/>
      <w:marLeft w:val="0"/>
      <w:marRight w:val="0"/>
      <w:marTop w:val="0"/>
      <w:marBottom w:val="0"/>
      <w:divBdr>
        <w:top w:val="none" w:sz="0" w:space="0" w:color="auto"/>
        <w:left w:val="none" w:sz="0" w:space="0" w:color="auto"/>
        <w:bottom w:val="none" w:sz="0" w:space="0" w:color="auto"/>
        <w:right w:val="none" w:sz="0" w:space="0" w:color="auto"/>
      </w:divBdr>
    </w:div>
    <w:div w:id="1289896634">
      <w:bodyDiv w:val="1"/>
      <w:marLeft w:val="0"/>
      <w:marRight w:val="0"/>
      <w:marTop w:val="0"/>
      <w:marBottom w:val="0"/>
      <w:divBdr>
        <w:top w:val="none" w:sz="0" w:space="0" w:color="auto"/>
        <w:left w:val="none" w:sz="0" w:space="0" w:color="auto"/>
        <w:bottom w:val="none" w:sz="0" w:space="0" w:color="auto"/>
        <w:right w:val="none" w:sz="0" w:space="0" w:color="auto"/>
      </w:divBdr>
    </w:div>
    <w:div w:id="1556158664">
      <w:bodyDiv w:val="1"/>
      <w:marLeft w:val="0"/>
      <w:marRight w:val="0"/>
      <w:marTop w:val="0"/>
      <w:marBottom w:val="0"/>
      <w:divBdr>
        <w:top w:val="none" w:sz="0" w:space="0" w:color="auto"/>
        <w:left w:val="none" w:sz="0" w:space="0" w:color="auto"/>
        <w:bottom w:val="none" w:sz="0" w:space="0" w:color="auto"/>
        <w:right w:val="none" w:sz="0" w:space="0" w:color="auto"/>
      </w:divBdr>
    </w:div>
    <w:div w:id="2045518770">
      <w:bodyDiv w:val="1"/>
      <w:marLeft w:val="0"/>
      <w:marRight w:val="0"/>
      <w:marTop w:val="0"/>
      <w:marBottom w:val="0"/>
      <w:divBdr>
        <w:top w:val="none" w:sz="0" w:space="0" w:color="auto"/>
        <w:left w:val="none" w:sz="0" w:space="0" w:color="auto"/>
        <w:bottom w:val="none" w:sz="0" w:space="0" w:color="auto"/>
        <w:right w:val="none" w:sz="0" w:space="0" w:color="auto"/>
      </w:divBdr>
    </w:div>
    <w:div w:id="20723822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7.png"/><Relationship Id="rId3" Type="http://schemas.openxmlformats.org/officeDocument/2006/relationships/styles" Target="styles.xml"/><Relationship Id="rId21" Type="http://schemas.openxmlformats.org/officeDocument/2006/relationships/image" Target="media/image13.emf"/><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6.emf"/><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chart" Target="charts/chart1.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5.emf"/><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4.png"/><Relationship Id="rId28" Type="http://schemas.openxmlformats.org/officeDocument/2006/relationships/image" Target="media/image19.png"/><Relationship Id="rId10" Type="http://schemas.openxmlformats.org/officeDocument/2006/relationships/image" Target="media/image3.emf"/><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png"/><Relationship Id="rId22" Type="http://schemas.openxmlformats.org/officeDocument/2006/relationships/footer" Target="footer1.xml"/><Relationship Id="rId27" Type="http://schemas.openxmlformats.org/officeDocument/2006/relationships/image" Target="media/image18.png"/><Relationship Id="rId30" Type="http://schemas.openxmlformats.org/officeDocument/2006/relationships/theme" Target="theme/theme1.xml"/></Relationships>
</file>

<file path=word/_rels/footnotes.xml.rels><?xml version="1.0" encoding="UTF-8" standalone="yes"?>
<Relationships xmlns="http://schemas.openxmlformats.org/package/2006/relationships"><Relationship Id="rId2" Type="http://schemas.openxmlformats.org/officeDocument/2006/relationships/hyperlink" Target="https://apps.who.int/iris/bitstream/handle/10665/272598/9789242513554-fre.pdf?ua=1" TargetMode="External"/><Relationship Id="rId1" Type="http://schemas.openxmlformats.org/officeDocument/2006/relationships/hyperlink" Target="http://apps.who.int/nha/database/ViewData/Indicators/en" TargetMode="External"/></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Worksheet.xlsx"/><Relationship Id="rId1" Type="http://schemas.openxmlformats.org/officeDocument/2006/relationships/themeOverride" Target="../theme/themeOverrid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000" b="0" i="0" u="none" strike="noStrike" kern="1200" spc="0" baseline="0">
                <a:solidFill>
                  <a:schemeClr val="tx1">
                    <a:lumMod val="65000"/>
                    <a:lumOff val="35000"/>
                  </a:schemeClr>
                </a:solidFill>
                <a:latin typeface="+mn-lt"/>
                <a:ea typeface="+mn-ea"/>
                <a:cs typeface="+mn-cs"/>
              </a:defRPr>
            </a:pPr>
            <a:r>
              <a:rPr lang="fr-FR" sz="1000" b="0" i="0" u="none" strike="noStrike" baseline="0">
                <a:effectLst/>
              </a:rPr>
              <a:t>Graphique n°: </a:t>
            </a:r>
            <a:r>
              <a:rPr lang="fr-FR" sz="1000"/>
              <a:t>Evolution</a:t>
            </a:r>
            <a:r>
              <a:rPr lang="fr-FR" sz="1000" baseline="0"/>
              <a:t> </a:t>
            </a:r>
            <a:r>
              <a:rPr lang="fr-FR" sz="1000"/>
              <a:t>des taux (%) de malnutrition chronique et malnutrition aigue globale des enfants &lt;</a:t>
            </a:r>
            <a:r>
              <a:rPr lang="fr-FR" sz="1000" baseline="0"/>
              <a:t> 5ans</a:t>
            </a:r>
            <a:endParaRPr lang="fr-FR" sz="1000"/>
          </a:p>
        </c:rich>
      </c:tx>
      <c:overlay val="0"/>
      <c:spPr>
        <a:noFill/>
        <a:ln>
          <a:noFill/>
        </a:ln>
        <a:effectLst/>
      </c:spPr>
    </c:title>
    <c:autoTitleDeleted val="0"/>
    <c:plotArea>
      <c:layout>
        <c:manualLayout>
          <c:layoutTarget val="inner"/>
          <c:xMode val="edge"/>
          <c:yMode val="edge"/>
          <c:x val="8.6025371828521394E-2"/>
          <c:y val="0.29381999125109398"/>
          <c:w val="0.88341907261592301"/>
          <c:h val="0.60274606299212596"/>
        </c:manualLayout>
      </c:layout>
      <c:lineChart>
        <c:grouping val="standard"/>
        <c:varyColors val="0"/>
        <c:ser>
          <c:idx val="0"/>
          <c:order val="0"/>
          <c:tx>
            <c:strRef>
              <c:f>Feuil1!$C$89</c:f>
              <c:strCache>
                <c:ptCount val="1"/>
                <c:pt idx="0">
                  <c:v>Chronique</c:v>
                </c:pt>
              </c:strCache>
            </c:strRef>
          </c:tx>
          <c:spPr>
            <a:ln w="28575" cap="rnd">
              <a:solidFill>
                <a:schemeClr val="accent1"/>
              </a:solidFill>
              <a:round/>
            </a:ln>
            <a:effectLst/>
          </c:spPr>
          <c:marker>
            <c:symbol val="circle"/>
            <c:size val="5"/>
            <c:spPr>
              <a:solidFill>
                <a:schemeClr val="accent1"/>
              </a:solidFill>
              <a:ln w="9525">
                <a:solidFill>
                  <a:schemeClr val="accent1"/>
                </a:solidFill>
              </a:ln>
              <a:effectLst/>
            </c:spPr>
          </c:marker>
          <c:dLbls>
            <c:dLbl>
              <c:idx val="0"/>
              <c:layout>
                <c:manualLayout>
                  <c:x val="-4.7118110236220499E-2"/>
                  <c:y val="-4.1666666666666699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5F16-4A84-87D6-0A2880983CF0}"/>
                </c:ext>
              </c:extLst>
            </c:dLbl>
            <c:dLbl>
              <c:idx val="1"/>
              <c:layout>
                <c:manualLayout>
                  <c:x val="-4.9895888013998302E-2"/>
                  <c:y val="4.1666666666666602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5F16-4A84-87D6-0A2880983CF0}"/>
                </c:ext>
              </c:extLst>
            </c:dLbl>
            <c:dLbl>
              <c:idx val="2"/>
              <c:layout>
                <c:manualLayout>
                  <c:x val="-4.7118110236220499E-2"/>
                  <c:y val="-4.1666666666666699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5F16-4A84-87D6-0A2880983CF0}"/>
                </c:ext>
              </c:extLst>
            </c:dLbl>
            <c:dLbl>
              <c:idx val="3"/>
              <c:layout>
                <c:manualLayout>
                  <c:x val="-4.7118110236220499E-2"/>
                  <c:y val="4.6296296296296301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5F16-4A84-87D6-0A2880983CF0}"/>
                </c:ext>
              </c:extLst>
            </c:dLbl>
            <c:dLbl>
              <c:idx val="4"/>
              <c:layout>
                <c:manualLayout>
                  <c:x val="-4.7118110236220499E-2"/>
                  <c:y val="-5.5555555555555497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5F16-4A84-87D6-0A2880983CF0}"/>
                </c:ext>
              </c:extLst>
            </c:dLbl>
            <c:dLbl>
              <c:idx val="5"/>
              <c:layout>
                <c:manualLayout>
                  <c:x val="-3.76666666666668E-2"/>
                  <c:y val="5.0925925925925798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5F16-4A84-87D6-0A2880983CF0}"/>
                </c:ext>
              </c:extLst>
            </c:dLbl>
            <c:dLbl>
              <c:idx val="6"/>
              <c:layout>
                <c:manualLayout>
                  <c:x val="-4.7118110236220603E-2"/>
                  <c:y val="-6.0185185185185203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5F16-4A84-87D6-0A2880983CF0}"/>
                </c:ext>
              </c:extLst>
            </c:dLbl>
            <c:dLbl>
              <c:idx val="7"/>
              <c:layout>
                <c:manualLayout>
                  <c:x val="-4.7118110236220499E-2"/>
                  <c:y val="4.1666666666666602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5F16-4A84-87D6-0A2880983CF0}"/>
                </c:ext>
              </c:extLst>
            </c:dLbl>
            <c:dLbl>
              <c:idx val="8"/>
              <c:layout>
                <c:manualLayout>
                  <c:x val="-4.7118110236220603E-2"/>
                  <c:y val="-5.5555555555555497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5F16-4A84-87D6-0A2880983CF0}"/>
                </c:ext>
              </c:extLst>
            </c:dLbl>
            <c:dLbl>
              <c:idx val="9"/>
              <c:layout>
                <c:manualLayout>
                  <c:x val="-4.7118110236220499E-2"/>
                  <c:y val="5.0925925925925798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9-5F16-4A84-87D6-0A2880983CF0}"/>
                </c:ext>
              </c:extLst>
            </c:dLbl>
            <c:dLbl>
              <c:idx val="10"/>
              <c:layout>
                <c:manualLayout>
                  <c:x val="-4.7118110236220499E-2"/>
                  <c:y val="-7.4074074074074098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A-5F16-4A84-87D6-0A2880983CF0}"/>
                </c:ext>
              </c:extLst>
            </c:dLbl>
            <c:dLbl>
              <c:idx val="11"/>
              <c:layout>
                <c:manualLayout>
                  <c:x val="-2.9390201224847E-2"/>
                  <c:y val="6.48148148148147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B-5F16-4A84-87D6-0A2880983CF0}"/>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Feuil1!$D$88:$O$88</c:f>
              <c:numCache>
                <c:formatCode>General</c:formatCode>
                <c:ptCount val="12"/>
                <c:pt idx="0">
                  <c:v>2006</c:v>
                </c:pt>
                <c:pt idx="1">
                  <c:v>2007</c:v>
                </c:pt>
                <c:pt idx="2">
                  <c:v>2008</c:v>
                </c:pt>
                <c:pt idx="3">
                  <c:v>2009</c:v>
                </c:pt>
                <c:pt idx="4">
                  <c:v>2010</c:v>
                </c:pt>
                <c:pt idx="5">
                  <c:v>2011</c:v>
                </c:pt>
                <c:pt idx="6">
                  <c:v>2012</c:v>
                </c:pt>
                <c:pt idx="7">
                  <c:v>2013</c:v>
                </c:pt>
                <c:pt idx="8">
                  <c:v>2014</c:v>
                </c:pt>
                <c:pt idx="9">
                  <c:v>2015</c:v>
                </c:pt>
                <c:pt idx="10">
                  <c:v>2016</c:v>
                </c:pt>
                <c:pt idx="11">
                  <c:v>2018</c:v>
                </c:pt>
              </c:numCache>
            </c:numRef>
          </c:cat>
          <c:val>
            <c:numRef>
              <c:f>Feuil1!$D$89:$O$89</c:f>
              <c:numCache>
                <c:formatCode>General</c:formatCode>
                <c:ptCount val="12"/>
                <c:pt idx="0">
                  <c:v>54.8</c:v>
                </c:pt>
                <c:pt idx="1">
                  <c:v>49.9</c:v>
                </c:pt>
                <c:pt idx="2">
                  <c:v>47.2</c:v>
                </c:pt>
                <c:pt idx="3">
                  <c:v>46.3</c:v>
                </c:pt>
                <c:pt idx="4">
                  <c:v>48.1</c:v>
                </c:pt>
                <c:pt idx="5">
                  <c:v>51</c:v>
                </c:pt>
                <c:pt idx="6">
                  <c:v>46.1</c:v>
                </c:pt>
                <c:pt idx="7">
                  <c:v>42.5</c:v>
                </c:pt>
                <c:pt idx="8">
                  <c:v>45.5</c:v>
                </c:pt>
                <c:pt idx="9">
                  <c:v>46.4</c:v>
                </c:pt>
                <c:pt idx="10">
                  <c:v>42.2</c:v>
                </c:pt>
                <c:pt idx="11">
                  <c:v>47.8</c:v>
                </c:pt>
              </c:numCache>
            </c:numRef>
          </c:val>
          <c:smooth val="0"/>
          <c:extLst>
            <c:ext xmlns:c16="http://schemas.microsoft.com/office/drawing/2014/chart" uri="{C3380CC4-5D6E-409C-BE32-E72D297353CC}">
              <c16:uniqueId val="{0000000C-5F16-4A84-87D6-0A2880983CF0}"/>
            </c:ext>
          </c:extLst>
        </c:ser>
        <c:ser>
          <c:idx val="1"/>
          <c:order val="1"/>
          <c:tx>
            <c:strRef>
              <c:f>Feuil1!$C$90</c:f>
              <c:strCache>
                <c:ptCount val="1"/>
                <c:pt idx="0">
                  <c:v>Aigue globale</c:v>
                </c:pt>
              </c:strCache>
            </c:strRef>
          </c:tx>
          <c:spPr>
            <a:ln w="28575" cap="rnd">
              <a:solidFill>
                <a:schemeClr val="accent2"/>
              </a:solidFill>
              <a:round/>
            </a:ln>
            <a:effectLst/>
          </c:spPr>
          <c:marker>
            <c:symbol val="circle"/>
            <c:size val="5"/>
            <c:spPr>
              <a:solidFill>
                <a:schemeClr val="accent2"/>
              </a:solidFill>
              <a:ln w="9525">
                <a:solidFill>
                  <a:schemeClr val="accent2"/>
                </a:solidFill>
              </a:ln>
              <a:effectLst/>
            </c:spPr>
          </c:marker>
          <c:dLbls>
            <c:dLbl>
              <c:idx val="0"/>
              <c:layout>
                <c:manualLayout>
                  <c:x val="-4.1562554680664901E-2"/>
                  <c:y val="5.0925925925925902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D-5F16-4A84-87D6-0A2880983CF0}"/>
                </c:ext>
              </c:extLst>
            </c:dLbl>
            <c:dLbl>
              <c:idx val="1"/>
              <c:layout>
                <c:manualLayout>
                  <c:x val="-3.8784776902887098E-2"/>
                  <c:y val="-5.5555555555555601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E-5F16-4A84-87D6-0A2880983CF0}"/>
                </c:ext>
              </c:extLst>
            </c:dLbl>
            <c:dLbl>
              <c:idx val="2"/>
              <c:layout>
                <c:manualLayout>
                  <c:x val="-4.7118110236220499E-2"/>
                  <c:y val="4.1666666666666699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F-5F16-4A84-87D6-0A2880983CF0}"/>
                </c:ext>
              </c:extLst>
            </c:dLbl>
            <c:dLbl>
              <c:idx val="3"/>
              <c:layout>
                <c:manualLayout>
                  <c:x val="-4.7118110236220499E-2"/>
                  <c:y val="-6.9444444444444503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0-5F16-4A84-87D6-0A2880983CF0}"/>
                </c:ext>
              </c:extLst>
            </c:dLbl>
            <c:dLbl>
              <c:idx val="4"/>
              <c:layout>
                <c:manualLayout>
                  <c:x val="-3.8784776902887098E-2"/>
                  <c:y val="6.0185185185185203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1-5F16-4A84-87D6-0A2880983CF0}"/>
                </c:ext>
              </c:extLst>
            </c:dLbl>
            <c:dLbl>
              <c:idx val="5"/>
              <c:layout>
                <c:manualLayout>
                  <c:x val="-5.5451443569553699E-2"/>
                  <c:y val="-7.8703703703703803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2-5F16-4A84-87D6-0A2880983CF0}"/>
                </c:ext>
              </c:extLst>
            </c:dLbl>
            <c:dLbl>
              <c:idx val="6"/>
              <c:layout>
                <c:manualLayout>
                  <c:x val="-4.4340332458442801E-2"/>
                  <c:y val="4.6296296296296301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3-5F16-4A84-87D6-0A2880983CF0}"/>
                </c:ext>
              </c:extLst>
            </c:dLbl>
            <c:dLbl>
              <c:idx val="7"/>
              <c:layout>
                <c:manualLayout>
                  <c:x val="-5.2673665791776E-2"/>
                  <c:y val="-5.0925925925925902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4-5F16-4A84-87D6-0A2880983CF0}"/>
                </c:ext>
              </c:extLst>
            </c:dLbl>
            <c:dLbl>
              <c:idx val="8"/>
              <c:layout>
                <c:manualLayout>
                  <c:x val="-5.5451443569553803E-2"/>
                  <c:y val="4.6296296296296301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5-5F16-4A84-87D6-0A2880983CF0}"/>
                </c:ext>
              </c:extLst>
            </c:dLbl>
            <c:dLbl>
              <c:idx val="9"/>
              <c:layout>
                <c:manualLayout>
                  <c:x val="-3.7666666666666702E-2"/>
                  <c:y val="-5.5555555555555497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6-5F16-4A84-87D6-0A2880983CF0}"/>
                </c:ext>
              </c:extLst>
            </c:dLbl>
            <c:dLbl>
              <c:idx val="10"/>
              <c:layout>
                <c:manualLayout>
                  <c:x val="-3.8784776902887202E-2"/>
                  <c:y val="5.5555555555555497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7-5F16-4A84-87D6-0A2880983CF0}"/>
                </c:ext>
              </c:extLst>
            </c:dLbl>
            <c:dLbl>
              <c:idx val="11"/>
              <c:layout>
                <c:manualLayout>
                  <c:x val="-4.0444444444444401E-2"/>
                  <c:y val="-4.1666666666666803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8-5F16-4A84-87D6-0A2880983CF0}"/>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Feuil1!$D$88:$O$88</c:f>
              <c:numCache>
                <c:formatCode>General</c:formatCode>
                <c:ptCount val="12"/>
                <c:pt idx="0">
                  <c:v>2006</c:v>
                </c:pt>
                <c:pt idx="1">
                  <c:v>2007</c:v>
                </c:pt>
                <c:pt idx="2">
                  <c:v>2008</c:v>
                </c:pt>
                <c:pt idx="3">
                  <c:v>2009</c:v>
                </c:pt>
                <c:pt idx="4">
                  <c:v>2010</c:v>
                </c:pt>
                <c:pt idx="5">
                  <c:v>2011</c:v>
                </c:pt>
                <c:pt idx="6">
                  <c:v>2012</c:v>
                </c:pt>
                <c:pt idx="7">
                  <c:v>2013</c:v>
                </c:pt>
                <c:pt idx="8">
                  <c:v>2014</c:v>
                </c:pt>
                <c:pt idx="9">
                  <c:v>2015</c:v>
                </c:pt>
                <c:pt idx="10">
                  <c:v>2016</c:v>
                </c:pt>
                <c:pt idx="11">
                  <c:v>2018</c:v>
                </c:pt>
              </c:numCache>
            </c:numRef>
          </c:cat>
          <c:val>
            <c:numRef>
              <c:f>Feuil1!$D$90:$O$90</c:f>
              <c:numCache>
                <c:formatCode>General</c:formatCode>
                <c:ptCount val="12"/>
                <c:pt idx="0">
                  <c:v>10.3</c:v>
                </c:pt>
                <c:pt idx="1">
                  <c:v>12.3</c:v>
                </c:pt>
                <c:pt idx="2">
                  <c:v>11.6</c:v>
                </c:pt>
                <c:pt idx="3">
                  <c:v>12.3</c:v>
                </c:pt>
                <c:pt idx="4">
                  <c:v>16.7</c:v>
                </c:pt>
                <c:pt idx="5">
                  <c:v>12.3</c:v>
                </c:pt>
                <c:pt idx="6">
                  <c:v>14.8</c:v>
                </c:pt>
                <c:pt idx="7">
                  <c:v>13.3</c:v>
                </c:pt>
                <c:pt idx="8">
                  <c:v>14.8</c:v>
                </c:pt>
                <c:pt idx="9">
                  <c:v>15</c:v>
                </c:pt>
                <c:pt idx="10">
                  <c:v>10.3</c:v>
                </c:pt>
                <c:pt idx="11">
                  <c:v>15</c:v>
                </c:pt>
              </c:numCache>
            </c:numRef>
          </c:val>
          <c:smooth val="0"/>
          <c:extLst>
            <c:ext xmlns:c16="http://schemas.microsoft.com/office/drawing/2014/chart" uri="{C3380CC4-5D6E-409C-BE32-E72D297353CC}">
              <c16:uniqueId val="{00000019-5F16-4A84-87D6-0A2880983CF0}"/>
            </c:ext>
          </c:extLst>
        </c:ser>
        <c:dLbls>
          <c:dLblPos val="ctr"/>
          <c:showLegendKey val="0"/>
          <c:showVal val="1"/>
          <c:showCatName val="0"/>
          <c:showSerName val="0"/>
          <c:showPercent val="0"/>
          <c:showBubbleSize val="0"/>
        </c:dLbls>
        <c:marker val="1"/>
        <c:smooth val="0"/>
        <c:axId val="346781952"/>
        <c:axId val="168280064"/>
      </c:lineChart>
      <c:catAx>
        <c:axId val="346781952"/>
        <c:scaling>
          <c:orientation val="minMax"/>
        </c:scaling>
        <c:delete val="0"/>
        <c:axPos val="b"/>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168280064"/>
        <c:crosses val="autoZero"/>
        <c:auto val="1"/>
        <c:lblAlgn val="ctr"/>
        <c:lblOffset val="100"/>
        <c:noMultiLvlLbl val="0"/>
      </c:catAx>
      <c:valAx>
        <c:axId val="16828006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346781952"/>
        <c:crosses val="autoZero"/>
        <c:crossBetween val="between"/>
      </c:valAx>
      <c:spPr>
        <a:noFill/>
        <a:ln>
          <a:noFill/>
        </a:ln>
        <a:effectLst/>
      </c:spPr>
    </c:plotArea>
    <c:legend>
      <c:legendPos val="b"/>
      <c:layout>
        <c:manualLayout>
          <c:xMode val="edge"/>
          <c:yMode val="edge"/>
          <c:x val="0.28972878390201201"/>
          <c:y val="0.15702894281072"/>
          <c:w val="0.64021037600185005"/>
          <c:h val="7.6531147892227799E-2"/>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2">
    <c:autoUpdate val="0"/>
  </c:externalData>
</c:chartSpace>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9DB077-2AB1-4A81-B050-3515A896E0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12564</Words>
  <Characters>69105</Characters>
  <Application>Microsoft Office Word</Application>
  <DocSecurity>0</DocSecurity>
  <Lines>575</Lines>
  <Paragraphs>163</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81506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Bigeard, Mr Alexis - bf</dc:creator>
  <cp:lastModifiedBy>MP ALLIOD</cp:lastModifiedBy>
  <cp:revision>2</cp:revision>
  <dcterms:created xsi:type="dcterms:W3CDTF">2020-10-22T13:21:00Z</dcterms:created>
  <dcterms:modified xsi:type="dcterms:W3CDTF">2020-10-22T13:21:00Z</dcterms:modified>
</cp:coreProperties>
</file>