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6B35" w:rsidRDefault="004147B3">
      <w:r>
        <w:rPr>
          <w:noProof/>
          <w:lang w:eastAsia="fr-FR"/>
        </w:rPr>
        <w:pict>
          <v:shapetype id="_x0000_t202" coordsize="21600,21600" o:spt="202" path="m,l,21600r21600,l21600,xe">
            <v:stroke joinstyle="miter"/>
            <v:path gradientshapeok="t" o:connecttype="rect"/>
          </v:shapetype>
          <v:shape id="_x0000_s1027" type="#_x0000_t202" style="position:absolute;margin-left:138.35pt;margin-top:110.5pt;width:203.8pt;height:118.2pt;z-index:251658240">
            <v:textbox>
              <w:txbxContent>
                <w:p w:rsidR="004147B3" w:rsidRPr="004C7B41" w:rsidRDefault="004147B3" w:rsidP="004C7B41">
                  <w:pPr>
                    <w:jc w:val="center"/>
                    <w:rPr>
                      <w:rFonts w:ascii="Cambria" w:hAnsi="Cambria"/>
                      <w:sz w:val="32"/>
                      <w:szCs w:val="32"/>
                      <w:lang w:val="fr-BE"/>
                    </w:rPr>
                  </w:pPr>
                  <w:r w:rsidRPr="004C7B41">
                    <w:rPr>
                      <w:rFonts w:ascii="Cambria" w:hAnsi="Cambria"/>
                      <w:sz w:val="32"/>
                      <w:szCs w:val="32"/>
                      <w:lang w:val="fr-BE"/>
                    </w:rPr>
                    <w:t>Politique Nationale secteur santé</w:t>
                  </w:r>
                </w:p>
                <w:p w:rsidR="004C7B41" w:rsidRPr="004C7B41" w:rsidRDefault="004C7B41" w:rsidP="004C7B41">
                  <w:pPr>
                    <w:jc w:val="center"/>
                    <w:rPr>
                      <w:rFonts w:ascii="Cambria" w:hAnsi="Cambria"/>
                      <w:sz w:val="32"/>
                      <w:szCs w:val="32"/>
                      <w:lang w:val="fr-BE"/>
                    </w:rPr>
                  </w:pPr>
                  <w:proofErr w:type="spellStart"/>
                  <w:r w:rsidRPr="004C7B41">
                    <w:rPr>
                      <w:rFonts w:ascii="Cambria" w:hAnsi="Cambria"/>
                      <w:sz w:val="32"/>
                      <w:szCs w:val="32"/>
                      <w:lang w:val="fr-BE"/>
                    </w:rPr>
                    <w:t>Draft</w:t>
                  </w:r>
                  <w:proofErr w:type="spellEnd"/>
                </w:p>
                <w:p w:rsidR="004C7B41" w:rsidRPr="004C7B41" w:rsidRDefault="004C7B41" w:rsidP="004C7B41">
                  <w:pPr>
                    <w:jc w:val="center"/>
                    <w:rPr>
                      <w:rFonts w:ascii="Cambria" w:hAnsi="Cambria"/>
                      <w:sz w:val="32"/>
                      <w:szCs w:val="32"/>
                      <w:lang w:val="fr-BE"/>
                    </w:rPr>
                  </w:pPr>
                  <w:r w:rsidRPr="004C7B41">
                    <w:rPr>
                      <w:rFonts w:ascii="Cambria" w:hAnsi="Cambria"/>
                      <w:sz w:val="32"/>
                      <w:szCs w:val="32"/>
                      <w:lang w:val="fr-BE"/>
                    </w:rPr>
                    <w:t>28 08 2017</w:t>
                  </w:r>
                </w:p>
              </w:txbxContent>
            </v:textbox>
          </v:shape>
        </w:pict>
      </w:r>
      <w:r w:rsidR="00C46B35">
        <w:br w:type="page"/>
      </w:r>
    </w:p>
    <w:p w:rsidR="002F2C48" w:rsidRDefault="002F2C48" w:rsidP="002F2C48">
      <w:pPr>
        <w:pStyle w:val="Titre1"/>
      </w:pPr>
      <w:r>
        <w:lastRenderedPageBreak/>
        <w:t>AVANT PROPOS</w:t>
      </w:r>
    </w:p>
    <w:p w:rsidR="002F2C48" w:rsidRPr="00A90D43" w:rsidRDefault="002F2C48" w:rsidP="002F2C48">
      <w:pPr>
        <w:rPr>
          <w:sz w:val="24"/>
          <w:szCs w:val="24"/>
        </w:rPr>
      </w:pPr>
    </w:p>
    <w:p w:rsidR="00A90D43" w:rsidRDefault="00A90D43" w:rsidP="00A90D43">
      <w:pPr>
        <w:pStyle w:val="Titre1"/>
      </w:pPr>
      <w:r>
        <w:t>SOMMAIRE</w:t>
      </w:r>
    </w:p>
    <w:p w:rsidR="00A90D43" w:rsidRDefault="00A90D43" w:rsidP="002F2C48"/>
    <w:p w:rsidR="00A90D43" w:rsidRDefault="00A90D43" w:rsidP="002F2C48"/>
    <w:p w:rsidR="00A90D43" w:rsidRDefault="00A90D43" w:rsidP="00A90D43">
      <w:pPr>
        <w:pStyle w:val="Titre1"/>
      </w:pPr>
      <w:r>
        <w:t>SIGLES ET ABREVIATIONS</w:t>
      </w:r>
    </w:p>
    <w:p w:rsidR="002F2C48" w:rsidRPr="00A90D43" w:rsidRDefault="002F2C48" w:rsidP="002F2C48">
      <w:pPr>
        <w:rPr>
          <w:sz w:val="24"/>
          <w:szCs w:val="24"/>
        </w:rPr>
      </w:pPr>
    </w:p>
    <w:p w:rsidR="00A90D43" w:rsidRPr="00A90D43" w:rsidRDefault="00A90D43" w:rsidP="002F2C48">
      <w:pPr>
        <w:rPr>
          <w:sz w:val="24"/>
          <w:szCs w:val="24"/>
        </w:rPr>
      </w:pPr>
    </w:p>
    <w:p w:rsidR="00A90D43" w:rsidRPr="002F2C48" w:rsidRDefault="00A90D43" w:rsidP="002F2C48"/>
    <w:p w:rsidR="00C46B35" w:rsidRDefault="00C46B35" w:rsidP="000614D2">
      <w:pPr>
        <w:pStyle w:val="Paragraphedeliste"/>
        <w:widowControl w:val="0"/>
        <w:numPr>
          <w:ilvl w:val="0"/>
          <w:numId w:val="17"/>
        </w:numPr>
        <w:autoSpaceDE w:val="0"/>
        <w:autoSpaceDN w:val="0"/>
        <w:adjustRightInd w:val="0"/>
        <w:spacing w:after="0" w:line="379" w:lineRule="auto"/>
        <w:ind w:right="7264"/>
        <w:rPr>
          <w:rStyle w:val="Titre1Car"/>
        </w:rPr>
      </w:pPr>
      <w:r w:rsidRPr="002F2C48">
        <w:rPr>
          <w:rStyle w:val="Titre1Car"/>
        </w:rPr>
        <w:t>RESUME</w:t>
      </w:r>
    </w:p>
    <w:p w:rsidR="00A90D43" w:rsidRPr="00A90D43" w:rsidRDefault="00A90D43" w:rsidP="00C46B35">
      <w:pPr>
        <w:widowControl w:val="0"/>
        <w:autoSpaceDE w:val="0"/>
        <w:autoSpaceDN w:val="0"/>
        <w:adjustRightInd w:val="0"/>
        <w:spacing w:after="0" w:line="379" w:lineRule="auto"/>
        <w:ind w:left="116" w:right="7264"/>
        <w:rPr>
          <w:rStyle w:val="Titre1Car"/>
          <w:rFonts w:asciiTheme="minorHAnsi" w:hAnsiTheme="minorHAnsi" w:cstheme="minorHAnsi"/>
          <w:sz w:val="24"/>
          <w:szCs w:val="24"/>
        </w:rPr>
      </w:pPr>
    </w:p>
    <w:p w:rsidR="00A90D43" w:rsidRPr="00A90D43" w:rsidRDefault="00A90D43" w:rsidP="00C46B35">
      <w:pPr>
        <w:widowControl w:val="0"/>
        <w:autoSpaceDE w:val="0"/>
        <w:autoSpaceDN w:val="0"/>
        <w:adjustRightInd w:val="0"/>
        <w:spacing w:after="0" w:line="379" w:lineRule="auto"/>
        <w:ind w:left="116" w:right="7264"/>
        <w:rPr>
          <w:rStyle w:val="Titre1Car"/>
          <w:rFonts w:asciiTheme="minorHAnsi" w:hAnsiTheme="minorHAnsi" w:cstheme="minorHAnsi"/>
          <w:sz w:val="24"/>
          <w:szCs w:val="24"/>
        </w:rPr>
      </w:pPr>
    </w:p>
    <w:p w:rsidR="00C46B35" w:rsidRPr="00C46B35" w:rsidRDefault="00C46B35" w:rsidP="000614D2">
      <w:pPr>
        <w:pStyle w:val="Titre1"/>
        <w:numPr>
          <w:ilvl w:val="0"/>
          <w:numId w:val="17"/>
        </w:numPr>
      </w:pPr>
      <w:r w:rsidRPr="00C46B35">
        <w:t>CONT</w:t>
      </w:r>
      <w:r w:rsidRPr="00C46B35">
        <w:rPr>
          <w:spacing w:val="1"/>
        </w:rPr>
        <w:t>E</w:t>
      </w:r>
      <w:r w:rsidRPr="00C46B35">
        <w:t>XTE</w:t>
      </w:r>
      <w:r w:rsidRPr="00C46B35">
        <w:rPr>
          <w:spacing w:val="1"/>
        </w:rPr>
        <w:t xml:space="preserve"> </w:t>
      </w:r>
      <w:r w:rsidRPr="00C46B35">
        <w:t>ET JU</w:t>
      </w:r>
      <w:r w:rsidRPr="00C46B35">
        <w:rPr>
          <w:spacing w:val="-2"/>
        </w:rPr>
        <w:t>ST</w:t>
      </w:r>
      <w:r w:rsidRPr="00C46B35">
        <w:t>I</w:t>
      </w:r>
      <w:r w:rsidRPr="00C46B35">
        <w:rPr>
          <w:spacing w:val="-2"/>
        </w:rPr>
        <w:t>F</w:t>
      </w:r>
      <w:r w:rsidRPr="00C46B35">
        <w:t>IC</w:t>
      </w:r>
      <w:r w:rsidRPr="00C46B35">
        <w:rPr>
          <w:spacing w:val="-1"/>
        </w:rPr>
        <w:t>A</w:t>
      </w:r>
      <w:r w:rsidRPr="00C46B35">
        <w:t>TION</w:t>
      </w:r>
    </w:p>
    <w:p w:rsidR="00C46B35" w:rsidRPr="00C46B35" w:rsidRDefault="00C46B35" w:rsidP="00C46B35">
      <w:pPr>
        <w:widowControl w:val="0"/>
        <w:autoSpaceDE w:val="0"/>
        <w:autoSpaceDN w:val="0"/>
        <w:adjustRightInd w:val="0"/>
        <w:spacing w:before="4" w:after="0" w:line="150" w:lineRule="exact"/>
        <w:rPr>
          <w:rFonts w:cstheme="minorHAnsi"/>
          <w:color w:val="000000"/>
          <w:sz w:val="24"/>
          <w:szCs w:val="24"/>
        </w:rPr>
      </w:pPr>
    </w:p>
    <w:p w:rsidR="000614D2" w:rsidRDefault="000614D2" w:rsidP="000614D2">
      <w:pPr>
        <w:pStyle w:val="Titre2"/>
        <w:numPr>
          <w:ilvl w:val="1"/>
          <w:numId w:val="17"/>
        </w:numPr>
      </w:pPr>
      <w:r>
        <w:t>D</w:t>
      </w:r>
      <w:r w:rsidR="00C46B35" w:rsidRPr="00C46B35">
        <w:rPr>
          <w:spacing w:val="-1"/>
        </w:rPr>
        <w:t>e</w:t>
      </w:r>
      <w:r w:rsidR="00C46B35" w:rsidRPr="00C46B35">
        <w:t>s</w:t>
      </w:r>
      <w:r w:rsidR="00C46B35" w:rsidRPr="00C46B35">
        <w:rPr>
          <w:spacing w:val="-1"/>
        </w:rPr>
        <w:t>c</w:t>
      </w:r>
      <w:r w:rsidR="00C46B35" w:rsidRPr="00C46B35">
        <w:t>ription du s</w:t>
      </w:r>
      <w:r w:rsidR="00C46B35" w:rsidRPr="00C46B35">
        <w:rPr>
          <w:spacing w:val="-1"/>
        </w:rPr>
        <w:t>ec</w:t>
      </w:r>
      <w:r w:rsidR="00C46B35" w:rsidRPr="00C46B35">
        <w:t>te</w:t>
      </w:r>
      <w:r w:rsidR="00C46B35" w:rsidRPr="00C46B35">
        <w:rPr>
          <w:spacing w:val="2"/>
        </w:rPr>
        <w:t>u</w:t>
      </w:r>
      <w:r w:rsidR="00C46B35" w:rsidRPr="00C46B35">
        <w:t>r</w:t>
      </w:r>
    </w:p>
    <w:p w:rsidR="00194AF8" w:rsidRPr="00D81428" w:rsidRDefault="00194AF8" w:rsidP="00D81428">
      <w:pPr>
        <w:pStyle w:val="Paragraphedeliste"/>
        <w:widowControl w:val="0"/>
        <w:numPr>
          <w:ilvl w:val="0"/>
          <w:numId w:val="29"/>
        </w:numPr>
        <w:autoSpaceDE w:val="0"/>
        <w:autoSpaceDN w:val="0"/>
        <w:adjustRightInd w:val="0"/>
        <w:spacing w:after="0" w:line="240" w:lineRule="auto"/>
        <w:jc w:val="both"/>
        <w:rPr>
          <w:iCs/>
          <w:sz w:val="24"/>
          <w:szCs w:val="24"/>
        </w:rPr>
      </w:pPr>
      <w:r w:rsidRPr="00D81428">
        <w:rPr>
          <w:iCs/>
          <w:sz w:val="24"/>
          <w:szCs w:val="24"/>
        </w:rPr>
        <w:t xml:space="preserve">Le secteur de planification santé </w:t>
      </w:r>
      <w:r w:rsidR="00DB1AA4" w:rsidRPr="00D81428">
        <w:rPr>
          <w:iCs/>
          <w:sz w:val="24"/>
          <w:szCs w:val="24"/>
        </w:rPr>
        <w:t>couvre les questions de santé précisément pour ce qui touche aux produits, appareils et matériels médicaux, aux services ambulatoires, aux services hospitaliers, aux services de santé publique (CFB 07),  à la santé et action sociale (NBA 180030) et à la nutrition (Autres domaines concernés). Le Cadre Sectoriel de Dialogue de ce secteur est présidé par le Ministre de la santé. Le</w:t>
      </w:r>
      <w:r w:rsidRPr="00D81428">
        <w:rPr>
          <w:iCs/>
          <w:sz w:val="24"/>
          <w:szCs w:val="24"/>
        </w:rPr>
        <w:t xml:space="preserve"> Minist</w:t>
      </w:r>
      <w:r w:rsidR="00DB1AA4" w:rsidRPr="00D81428">
        <w:rPr>
          <w:iCs/>
          <w:sz w:val="24"/>
          <w:szCs w:val="24"/>
        </w:rPr>
        <w:t>re</w:t>
      </w:r>
      <w:r w:rsidRPr="00D81428">
        <w:rPr>
          <w:iCs/>
          <w:sz w:val="24"/>
          <w:szCs w:val="24"/>
        </w:rPr>
        <w:t xml:space="preserve"> de la femme, de la solidarité nationale et de la famille (MFSNF)</w:t>
      </w:r>
      <w:r w:rsidR="00DB1AA4" w:rsidRPr="00D81428">
        <w:rPr>
          <w:iCs/>
          <w:sz w:val="24"/>
          <w:szCs w:val="24"/>
        </w:rPr>
        <w:t xml:space="preserve"> et</w:t>
      </w:r>
      <w:r w:rsidRPr="00D81428">
        <w:rPr>
          <w:iCs/>
          <w:sz w:val="24"/>
          <w:szCs w:val="24"/>
        </w:rPr>
        <w:t xml:space="preserve"> le Minist</w:t>
      </w:r>
      <w:r w:rsidR="00DB1AA4" w:rsidRPr="00D81428">
        <w:rPr>
          <w:iCs/>
          <w:sz w:val="24"/>
          <w:szCs w:val="24"/>
        </w:rPr>
        <w:t>re</w:t>
      </w:r>
      <w:r w:rsidRPr="00D81428">
        <w:rPr>
          <w:iCs/>
          <w:sz w:val="24"/>
          <w:szCs w:val="24"/>
        </w:rPr>
        <w:t xml:space="preserve"> de l'agriculture et des aménagements hydrauliques (MAAH) </w:t>
      </w:r>
      <w:r w:rsidR="00DB1AA4" w:rsidRPr="00D81428">
        <w:rPr>
          <w:iCs/>
          <w:sz w:val="24"/>
          <w:szCs w:val="24"/>
        </w:rPr>
        <w:t>en assurent respe</w:t>
      </w:r>
      <w:r w:rsidR="00944E8A" w:rsidRPr="00D81428">
        <w:rPr>
          <w:iCs/>
          <w:sz w:val="24"/>
          <w:szCs w:val="24"/>
        </w:rPr>
        <w:t>ctivement la première et la deux</w:t>
      </w:r>
      <w:r w:rsidR="00DB1AA4" w:rsidRPr="00D81428">
        <w:rPr>
          <w:iCs/>
          <w:sz w:val="24"/>
          <w:szCs w:val="24"/>
        </w:rPr>
        <w:t>ième vice-présidence</w:t>
      </w:r>
      <w:r w:rsidRPr="00D81428">
        <w:rPr>
          <w:iCs/>
          <w:sz w:val="24"/>
          <w:szCs w:val="24"/>
        </w:rPr>
        <w:t>.</w:t>
      </w:r>
    </w:p>
    <w:p w:rsidR="00194AF8" w:rsidRPr="00274D58" w:rsidRDefault="00194AF8" w:rsidP="00944E8A">
      <w:pPr>
        <w:pStyle w:val="Paragraphedeliste"/>
        <w:widowControl w:val="0"/>
        <w:numPr>
          <w:ilvl w:val="0"/>
          <w:numId w:val="29"/>
        </w:numPr>
        <w:autoSpaceDE w:val="0"/>
        <w:autoSpaceDN w:val="0"/>
        <w:adjustRightInd w:val="0"/>
        <w:spacing w:after="0" w:line="240" w:lineRule="auto"/>
        <w:jc w:val="both"/>
        <w:rPr>
          <w:sz w:val="24"/>
          <w:szCs w:val="24"/>
        </w:rPr>
      </w:pPr>
      <w:r w:rsidRPr="00A37EA2">
        <w:rPr>
          <w:iCs/>
          <w:sz w:val="24"/>
          <w:szCs w:val="24"/>
        </w:rPr>
        <w:t xml:space="preserve">Le secteur de planification santé est mise en œuvre par 3 programmes budgétaires affectés au Ministère de la santé notamment (056) accès aux services de santé, (057) prestations de services de santé et (057) pilotage et soutien aux services du Ministère de la santé, 1 programme budgétaire affecté au Ministère de l'agriculture et de l'hydraulique notamment 076 Prévention et gestion des crises alimentaires et nutritionnelles ; Le Ministère de la femme,  de la solidarité </w:t>
      </w:r>
      <w:r w:rsidR="00DB1AA4">
        <w:rPr>
          <w:iCs/>
          <w:sz w:val="24"/>
          <w:szCs w:val="24"/>
        </w:rPr>
        <w:t xml:space="preserve">nationale et de la famille </w:t>
      </w:r>
      <w:r w:rsidRPr="00A37EA2">
        <w:rPr>
          <w:iCs/>
          <w:sz w:val="24"/>
          <w:szCs w:val="24"/>
        </w:rPr>
        <w:t xml:space="preserve">gère </w:t>
      </w:r>
      <w:r w:rsidR="00DB1AA4">
        <w:rPr>
          <w:iCs/>
          <w:sz w:val="24"/>
          <w:szCs w:val="24"/>
        </w:rPr>
        <w:t>4</w:t>
      </w:r>
      <w:r w:rsidRPr="00A37EA2">
        <w:rPr>
          <w:iCs/>
          <w:sz w:val="24"/>
          <w:szCs w:val="24"/>
        </w:rPr>
        <w:t xml:space="preserve"> programmes budgétaires mais il n'a pas été déterminé quels programmes</w:t>
      </w:r>
      <w:r w:rsidRPr="00274D58">
        <w:rPr>
          <w:sz w:val="24"/>
          <w:szCs w:val="24"/>
        </w:rPr>
        <w:t xml:space="preserve"> répondent au CSD du secteur de planification santé</w:t>
      </w:r>
      <w:r>
        <w:rPr>
          <w:sz w:val="24"/>
          <w:szCs w:val="24"/>
        </w:rPr>
        <w:t xml:space="preserve"> : </w:t>
      </w:r>
      <w:r w:rsidRPr="00F650F0">
        <w:rPr>
          <w:rFonts w:asciiTheme="minorHAnsi" w:hAnsiTheme="minorHAnsi" w:cstheme="minorHAnsi"/>
          <w:b/>
          <w:bCs/>
          <w:sz w:val="24"/>
          <w:szCs w:val="24"/>
          <w:lang w:val="fr-BE"/>
        </w:rPr>
        <w:t>048 Femme et du genre</w:t>
      </w:r>
      <w:r w:rsidRPr="001F1F06">
        <w:rPr>
          <w:rFonts w:asciiTheme="minorHAnsi" w:hAnsiTheme="minorHAnsi" w:cstheme="minorHAnsi"/>
          <w:b/>
          <w:bCs/>
          <w:sz w:val="24"/>
          <w:szCs w:val="24"/>
          <w:lang w:val="fr-BE"/>
        </w:rPr>
        <w:t xml:space="preserve"> ; </w:t>
      </w:r>
      <w:r w:rsidRPr="00F650F0">
        <w:rPr>
          <w:rFonts w:asciiTheme="minorHAnsi" w:hAnsiTheme="minorHAnsi" w:cstheme="minorHAnsi"/>
          <w:b/>
          <w:bCs/>
          <w:sz w:val="24"/>
          <w:szCs w:val="24"/>
          <w:lang w:val="fr-BE"/>
        </w:rPr>
        <w:t>049 Enfance et famille</w:t>
      </w:r>
      <w:r w:rsidRPr="001F1F06">
        <w:rPr>
          <w:rFonts w:asciiTheme="minorHAnsi" w:hAnsiTheme="minorHAnsi" w:cstheme="minorHAnsi"/>
          <w:b/>
          <w:bCs/>
          <w:sz w:val="24"/>
          <w:szCs w:val="24"/>
          <w:lang w:val="fr-BE"/>
        </w:rPr>
        <w:t xml:space="preserve"> ; </w:t>
      </w:r>
      <w:r w:rsidRPr="00F650F0">
        <w:rPr>
          <w:rFonts w:asciiTheme="minorHAnsi" w:hAnsiTheme="minorHAnsi" w:cstheme="minorHAnsi"/>
          <w:b/>
          <w:bCs/>
          <w:sz w:val="24"/>
          <w:szCs w:val="24"/>
          <w:lang w:val="fr-BE"/>
        </w:rPr>
        <w:t>050 Solidarité nationale et gestion des catastrophes</w:t>
      </w:r>
      <w:r w:rsidRPr="001F1F06">
        <w:rPr>
          <w:rFonts w:asciiTheme="minorHAnsi" w:hAnsiTheme="minorHAnsi" w:cstheme="minorHAnsi"/>
          <w:b/>
          <w:bCs/>
          <w:sz w:val="24"/>
          <w:szCs w:val="24"/>
          <w:lang w:val="fr-BE"/>
        </w:rPr>
        <w:t xml:space="preserve"> ; </w:t>
      </w:r>
      <w:r w:rsidRPr="00F650F0">
        <w:rPr>
          <w:rFonts w:asciiTheme="minorHAnsi" w:hAnsiTheme="minorHAnsi" w:cstheme="minorHAnsi"/>
          <w:sz w:val="24"/>
          <w:szCs w:val="24"/>
          <w:lang w:val="fr-BE"/>
        </w:rPr>
        <w:t>051 Pilotage et soutien des services du Ministère</w:t>
      </w:r>
      <w:r w:rsidRPr="00274D58">
        <w:rPr>
          <w:sz w:val="24"/>
          <w:szCs w:val="24"/>
        </w:rPr>
        <w:t>.</w:t>
      </w:r>
    </w:p>
    <w:p w:rsidR="00C46B35" w:rsidRDefault="000614D2" w:rsidP="00DD2863">
      <w:pPr>
        <w:pStyle w:val="Titre2"/>
        <w:numPr>
          <w:ilvl w:val="1"/>
          <w:numId w:val="26"/>
        </w:numPr>
      </w:pPr>
      <w:r w:rsidRPr="000614D2">
        <w:t>P</w:t>
      </w:r>
      <w:r w:rsidR="00C46B35" w:rsidRPr="000614D2">
        <w:t>érimètre ou champs d’actions</w:t>
      </w:r>
      <w:r w:rsidR="00646ECC">
        <w:t xml:space="preserve"> du secteur</w:t>
      </w:r>
    </w:p>
    <w:p w:rsidR="00CD2430" w:rsidRDefault="00194AF8" w:rsidP="00CD2430">
      <w:pPr>
        <w:pStyle w:val="Paragraphedeliste"/>
        <w:widowControl w:val="0"/>
        <w:numPr>
          <w:ilvl w:val="0"/>
          <w:numId w:val="26"/>
        </w:numPr>
        <w:autoSpaceDE w:val="0"/>
        <w:autoSpaceDN w:val="0"/>
        <w:adjustRightInd w:val="0"/>
        <w:spacing w:after="0" w:line="240" w:lineRule="auto"/>
        <w:jc w:val="both"/>
        <w:rPr>
          <w:iCs/>
          <w:sz w:val="24"/>
          <w:szCs w:val="24"/>
        </w:rPr>
      </w:pPr>
      <w:r w:rsidRPr="00CD2430">
        <w:rPr>
          <w:iCs/>
          <w:sz w:val="24"/>
          <w:szCs w:val="24"/>
        </w:rPr>
        <w:t>La politique sectorielle de santé aborde des thématiques qui peuvent être regroupées</w:t>
      </w:r>
      <w:r w:rsidRPr="00CD2430">
        <w:rPr>
          <w:sz w:val="24"/>
          <w:szCs w:val="24"/>
        </w:rPr>
        <w:t xml:space="preserve"> en composantes verticales et en composantes horizontales. Ainsi, </w:t>
      </w:r>
      <w:r w:rsidRPr="007D3AFE">
        <w:rPr>
          <w:sz w:val="24"/>
          <w:szCs w:val="24"/>
        </w:rPr>
        <w:t xml:space="preserve"> </w:t>
      </w:r>
      <w:r w:rsidR="00F020BE" w:rsidRPr="007D3AFE">
        <w:rPr>
          <w:sz w:val="24"/>
          <w:szCs w:val="24"/>
        </w:rPr>
        <w:t xml:space="preserve">le </w:t>
      </w:r>
      <w:r w:rsidRPr="00527481">
        <w:rPr>
          <w:sz w:val="24"/>
          <w:szCs w:val="24"/>
        </w:rPr>
        <w:t xml:space="preserve">secteur </w:t>
      </w:r>
      <w:r w:rsidRPr="00D95826">
        <w:rPr>
          <w:sz w:val="24"/>
          <w:szCs w:val="24"/>
        </w:rPr>
        <w:t xml:space="preserve"> embrasse  </w:t>
      </w:r>
      <w:r w:rsidR="00DB1AA4" w:rsidRPr="001C3C4A">
        <w:rPr>
          <w:sz w:val="24"/>
          <w:szCs w:val="24"/>
        </w:rPr>
        <w:lastRenderedPageBreak/>
        <w:t xml:space="preserve">d'une part </w:t>
      </w:r>
      <w:r w:rsidR="00F020BE" w:rsidRPr="001C3C4A">
        <w:rPr>
          <w:sz w:val="24"/>
          <w:szCs w:val="24"/>
        </w:rPr>
        <w:t xml:space="preserve">toutes </w:t>
      </w:r>
      <w:r w:rsidRPr="001C3C4A">
        <w:rPr>
          <w:sz w:val="24"/>
          <w:szCs w:val="24"/>
        </w:rPr>
        <w:t>les interventions qui concourent à promouvoir, prévenir, rétablir et réhabiliter la santé de la population</w:t>
      </w:r>
      <w:r w:rsidR="00DB1AA4" w:rsidRPr="001C3C4A">
        <w:rPr>
          <w:sz w:val="24"/>
          <w:szCs w:val="24"/>
        </w:rPr>
        <w:t xml:space="preserve">, notamment </w:t>
      </w:r>
      <w:r w:rsidRPr="008415B7">
        <w:rPr>
          <w:iCs/>
          <w:sz w:val="24"/>
          <w:szCs w:val="24"/>
        </w:rPr>
        <w:t>: (i) la santé maternelle et infantile</w:t>
      </w:r>
      <w:r w:rsidR="00BE1117" w:rsidRPr="008415B7">
        <w:rPr>
          <w:iCs/>
          <w:sz w:val="24"/>
          <w:szCs w:val="24"/>
        </w:rPr>
        <w:t xml:space="preserve"> dont </w:t>
      </w:r>
      <w:r w:rsidR="008E51DC">
        <w:rPr>
          <w:iCs/>
          <w:sz w:val="24"/>
          <w:szCs w:val="24"/>
        </w:rPr>
        <w:t>l’élimination des mutilations génitales féminines, (ii) les maladies transmissibles et non transmissibles dont les maladies tropicales négligées, (iii) l'amélioration de l'état</w:t>
      </w:r>
      <w:r w:rsidR="00944E8A">
        <w:rPr>
          <w:iCs/>
          <w:sz w:val="24"/>
          <w:szCs w:val="24"/>
        </w:rPr>
        <w:t xml:space="preserve"> </w:t>
      </w:r>
      <w:r w:rsidR="008E51DC">
        <w:rPr>
          <w:iCs/>
          <w:sz w:val="24"/>
          <w:szCs w:val="24"/>
        </w:rPr>
        <w:t>nutritionnel par la prise en charge de la malnutrition et les interventions en matière de sécurité alimentaire et nutritionnelle. Ces interventions sont formulées dans des plans stratégiques spécifiques qui se basent sur des évaluations</w:t>
      </w:r>
      <w:r w:rsidR="00CD2430">
        <w:rPr>
          <w:iCs/>
          <w:sz w:val="24"/>
          <w:szCs w:val="24"/>
        </w:rPr>
        <w:t>,</w:t>
      </w:r>
      <w:r w:rsidR="00CD2430" w:rsidRPr="00CD2430">
        <w:rPr>
          <w:iCs/>
          <w:sz w:val="24"/>
          <w:szCs w:val="24"/>
        </w:rPr>
        <w:t xml:space="preserve"> études</w:t>
      </w:r>
      <w:r w:rsidR="00CD2430">
        <w:rPr>
          <w:iCs/>
          <w:sz w:val="24"/>
          <w:szCs w:val="24"/>
        </w:rPr>
        <w:t xml:space="preserve"> et recherches.</w:t>
      </w:r>
      <w:r w:rsidR="00CD2430" w:rsidRPr="00CD2430">
        <w:rPr>
          <w:iCs/>
          <w:sz w:val="24"/>
          <w:szCs w:val="24"/>
        </w:rPr>
        <w:t xml:space="preserve"> </w:t>
      </w:r>
    </w:p>
    <w:p w:rsidR="00BE1117" w:rsidRPr="00CD2430" w:rsidRDefault="00F020BE" w:rsidP="00CD2430">
      <w:pPr>
        <w:pStyle w:val="Paragraphedeliste"/>
        <w:widowControl w:val="0"/>
        <w:numPr>
          <w:ilvl w:val="0"/>
          <w:numId w:val="26"/>
        </w:numPr>
        <w:autoSpaceDE w:val="0"/>
        <w:autoSpaceDN w:val="0"/>
        <w:adjustRightInd w:val="0"/>
        <w:spacing w:after="0" w:line="240" w:lineRule="auto"/>
        <w:jc w:val="both"/>
        <w:rPr>
          <w:iCs/>
          <w:sz w:val="24"/>
          <w:szCs w:val="24"/>
        </w:rPr>
      </w:pPr>
      <w:r w:rsidRPr="00CD2430">
        <w:rPr>
          <w:iCs/>
          <w:sz w:val="24"/>
          <w:szCs w:val="24"/>
        </w:rPr>
        <w:t>D</w:t>
      </w:r>
      <w:r w:rsidR="00DB1AA4" w:rsidRPr="00CD2430">
        <w:rPr>
          <w:iCs/>
          <w:sz w:val="24"/>
          <w:szCs w:val="24"/>
        </w:rPr>
        <w:t xml:space="preserve">'autre part </w:t>
      </w:r>
      <w:r w:rsidRPr="00CD2430">
        <w:rPr>
          <w:iCs/>
          <w:sz w:val="24"/>
          <w:szCs w:val="24"/>
        </w:rPr>
        <w:t xml:space="preserve">le secteur se base sur </w:t>
      </w:r>
      <w:r w:rsidR="00194AF8" w:rsidRPr="00CD2430">
        <w:rPr>
          <w:iCs/>
          <w:sz w:val="24"/>
          <w:szCs w:val="24"/>
        </w:rPr>
        <w:t xml:space="preserve">l’offre des services </w:t>
      </w:r>
      <w:r w:rsidR="00DB1AA4" w:rsidRPr="00CD2430">
        <w:rPr>
          <w:iCs/>
          <w:sz w:val="24"/>
          <w:szCs w:val="24"/>
        </w:rPr>
        <w:t>de</w:t>
      </w:r>
      <w:r w:rsidR="00194AF8" w:rsidRPr="00CD2430">
        <w:rPr>
          <w:iCs/>
          <w:sz w:val="24"/>
          <w:szCs w:val="24"/>
        </w:rPr>
        <w:t xml:space="preserve"> </w:t>
      </w:r>
      <w:r w:rsidR="00944E8A" w:rsidRPr="00CD2430">
        <w:rPr>
          <w:iCs/>
          <w:sz w:val="24"/>
          <w:szCs w:val="24"/>
        </w:rPr>
        <w:t>soins</w:t>
      </w:r>
      <w:r w:rsidR="00194AF8" w:rsidRPr="00CD2430">
        <w:rPr>
          <w:iCs/>
          <w:sz w:val="24"/>
          <w:szCs w:val="24"/>
        </w:rPr>
        <w:t xml:space="preserve">, </w:t>
      </w:r>
      <w:r w:rsidR="00DB1AA4" w:rsidRPr="00CD2430">
        <w:rPr>
          <w:iCs/>
          <w:sz w:val="24"/>
          <w:szCs w:val="24"/>
        </w:rPr>
        <w:t>de</w:t>
      </w:r>
      <w:r w:rsidR="00194AF8" w:rsidRPr="00CD2430">
        <w:rPr>
          <w:iCs/>
          <w:sz w:val="24"/>
          <w:szCs w:val="24"/>
        </w:rPr>
        <w:t xml:space="preserve"> </w:t>
      </w:r>
      <w:proofErr w:type="spellStart"/>
      <w:r w:rsidRPr="00CD2430">
        <w:rPr>
          <w:iCs/>
          <w:sz w:val="24"/>
          <w:szCs w:val="24"/>
        </w:rPr>
        <w:t>de</w:t>
      </w:r>
      <w:proofErr w:type="spellEnd"/>
      <w:r w:rsidRPr="00CD2430">
        <w:rPr>
          <w:iCs/>
          <w:sz w:val="24"/>
          <w:szCs w:val="24"/>
        </w:rPr>
        <w:t xml:space="preserve"> </w:t>
      </w:r>
      <w:r w:rsidR="00194AF8" w:rsidRPr="007D3AFE">
        <w:rPr>
          <w:iCs/>
          <w:sz w:val="24"/>
          <w:szCs w:val="24"/>
        </w:rPr>
        <w:t xml:space="preserve">promotion </w:t>
      </w:r>
      <w:r w:rsidR="00CD2430" w:rsidRPr="007D3AFE">
        <w:rPr>
          <w:iCs/>
          <w:sz w:val="24"/>
          <w:szCs w:val="24"/>
        </w:rPr>
        <w:t xml:space="preserve">de la santé </w:t>
      </w:r>
      <w:r w:rsidR="00194AF8" w:rsidRPr="007D3AFE">
        <w:rPr>
          <w:iCs/>
          <w:sz w:val="24"/>
          <w:szCs w:val="24"/>
        </w:rPr>
        <w:t xml:space="preserve">et </w:t>
      </w:r>
      <w:r w:rsidRPr="0033537D">
        <w:rPr>
          <w:iCs/>
          <w:sz w:val="24"/>
          <w:szCs w:val="24"/>
        </w:rPr>
        <w:t xml:space="preserve">de </w:t>
      </w:r>
      <w:r w:rsidR="00194AF8" w:rsidRPr="00527481">
        <w:rPr>
          <w:iCs/>
          <w:sz w:val="24"/>
          <w:szCs w:val="24"/>
        </w:rPr>
        <w:t xml:space="preserve">protection </w:t>
      </w:r>
      <w:r w:rsidR="00646ECC" w:rsidRPr="00DD031B">
        <w:rPr>
          <w:iCs/>
          <w:sz w:val="24"/>
          <w:szCs w:val="24"/>
        </w:rPr>
        <w:t>sociale</w:t>
      </w:r>
      <w:r w:rsidR="00194AF8" w:rsidRPr="00D95826">
        <w:rPr>
          <w:iCs/>
          <w:sz w:val="24"/>
          <w:szCs w:val="24"/>
        </w:rPr>
        <w:t>.</w:t>
      </w:r>
      <w:r w:rsidR="00CD2430" w:rsidRPr="00D95826">
        <w:rPr>
          <w:iCs/>
          <w:sz w:val="24"/>
          <w:szCs w:val="24"/>
        </w:rPr>
        <w:t xml:space="preserve"> </w:t>
      </w:r>
      <w:proofErr w:type="gramStart"/>
      <w:r w:rsidR="00CD2430" w:rsidRPr="001C3C4A">
        <w:rPr>
          <w:iCs/>
          <w:sz w:val="24"/>
          <w:szCs w:val="24"/>
        </w:rPr>
        <w:t>Cet</w:t>
      </w:r>
      <w:proofErr w:type="gramEnd"/>
      <w:r w:rsidR="00CD2430" w:rsidRPr="001C3C4A">
        <w:rPr>
          <w:iCs/>
          <w:sz w:val="24"/>
          <w:szCs w:val="24"/>
        </w:rPr>
        <w:t xml:space="preserve"> offre de services doit favoriser un accès équitable de tous et couvrir to</w:t>
      </w:r>
      <w:r w:rsidR="00CD2430" w:rsidRPr="008D0BB4">
        <w:rPr>
          <w:iCs/>
          <w:sz w:val="24"/>
          <w:szCs w:val="24"/>
        </w:rPr>
        <w:t>us les besoins</w:t>
      </w:r>
      <w:r w:rsidR="00F82BBB" w:rsidRPr="008D0BB4">
        <w:rPr>
          <w:iCs/>
          <w:sz w:val="24"/>
          <w:szCs w:val="24"/>
        </w:rPr>
        <w:t>.</w:t>
      </w:r>
      <w:r w:rsidR="00CD2430" w:rsidRPr="008415B7">
        <w:rPr>
          <w:iCs/>
          <w:sz w:val="24"/>
          <w:szCs w:val="24"/>
        </w:rPr>
        <w:t xml:space="preserve"> Il doit garantir une protection</w:t>
      </w:r>
      <w:r w:rsidR="008E51DC">
        <w:rPr>
          <w:iCs/>
          <w:sz w:val="24"/>
          <w:szCs w:val="24"/>
        </w:rPr>
        <w:t xml:space="preserve"> contre les dépenses catastrophiques et l'appauvrissement.  </w:t>
      </w:r>
      <w:r w:rsidR="008E51DC">
        <w:rPr>
          <w:iCs/>
          <w:sz w:val="24"/>
          <w:szCs w:val="24"/>
        </w:rPr>
        <w:t>L’offre des services et soins de santé regroupe les structures de prise en charge sanitaire y compris la médecine et la pharmacopée traditionnelles ainsi que la réadaptation et la réinsertion sociale du patient. La promotion et la protection de la santé intègre les soins de Santé communautaire et les services de Protection sociale et de prise en charge sanitaire, socioéconomique et psychosociale des personnes vulnérables, dont les personnes infectées et affectées par le VIH/SIDA</w:t>
      </w:r>
      <w:r w:rsidR="008E51DC">
        <w:rPr>
          <w:iCs/>
          <w:sz w:val="24"/>
          <w:szCs w:val="24"/>
        </w:rPr>
        <w:t xml:space="preserve">. </w:t>
      </w:r>
      <w:r w:rsidR="008E51DC">
        <w:rPr>
          <w:iCs/>
          <w:sz w:val="24"/>
          <w:szCs w:val="24"/>
        </w:rPr>
        <w:t xml:space="preserve">L'offre de services est soutenu par la mise en </w:t>
      </w:r>
      <w:proofErr w:type="spellStart"/>
      <w:r w:rsidR="008E51DC">
        <w:rPr>
          <w:iCs/>
          <w:sz w:val="24"/>
          <w:szCs w:val="24"/>
        </w:rPr>
        <w:t>oeuvre</w:t>
      </w:r>
      <w:proofErr w:type="spellEnd"/>
      <w:r w:rsidR="008E51DC">
        <w:rPr>
          <w:iCs/>
          <w:sz w:val="24"/>
          <w:szCs w:val="24"/>
        </w:rPr>
        <w:t xml:space="preserve"> des  composantes transversales   à savoir : (i) la gouvernance et le leadership, (ii), (ii) les Infrastructures, équipements et leur maintenance, (iii)  </w:t>
      </w:r>
      <w:r w:rsidR="008E51DC">
        <w:rPr>
          <w:rFonts w:cs="Rockwell"/>
          <w:sz w:val="24"/>
          <w:szCs w:val="24"/>
        </w:rPr>
        <w:t xml:space="preserve"> les ressources humaines, et (iv) la gestion de l'information sanitaire, (v) les produits de santé</w:t>
      </w:r>
      <w:r w:rsidR="008E51DC">
        <w:rPr>
          <w:rFonts w:cs="Rockwell"/>
          <w:sz w:val="24"/>
          <w:szCs w:val="24"/>
        </w:rPr>
        <w:t xml:space="preserve"> </w:t>
      </w:r>
    </w:p>
    <w:p w:rsidR="004914F1" w:rsidRDefault="004914F1">
      <w:pPr>
        <w:pStyle w:val="Paragraphedeliste"/>
        <w:widowControl w:val="0"/>
        <w:autoSpaceDE w:val="0"/>
        <w:autoSpaceDN w:val="0"/>
        <w:adjustRightInd w:val="0"/>
        <w:spacing w:after="0" w:line="240" w:lineRule="auto"/>
        <w:ind w:left="435"/>
        <w:jc w:val="both"/>
        <w:rPr>
          <w:iCs/>
          <w:sz w:val="24"/>
          <w:szCs w:val="24"/>
        </w:rPr>
      </w:pPr>
    </w:p>
    <w:p w:rsidR="00194AF8" w:rsidRPr="00D81428" w:rsidRDefault="00194AF8" w:rsidP="00D81428">
      <w:pPr>
        <w:pStyle w:val="Paragraphedeliste"/>
        <w:widowControl w:val="0"/>
        <w:numPr>
          <w:ilvl w:val="0"/>
          <w:numId w:val="26"/>
        </w:numPr>
        <w:autoSpaceDE w:val="0"/>
        <w:autoSpaceDN w:val="0"/>
        <w:adjustRightInd w:val="0"/>
        <w:spacing w:after="0" w:line="240" w:lineRule="auto"/>
        <w:jc w:val="both"/>
        <w:rPr>
          <w:iCs/>
          <w:sz w:val="24"/>
          <w:szCs w:val="24"/>
        </w:rPr>
      </w:pPr>
      <w:r w:rsidRPr="00A37EA2">
        <w:rPr>
          <w:iCs/>
          <w:sz w:val="24"/>
          <w:szCs w:val="24"/>
        </w:rPr>
        <w:t xml:space="preserve">La </w:t>
      </w:r>
      <w:r w:rsidR="00F020BE">
        <w:rPr>
          <w:iCs/>
          <w:sz w:val="24"/>
          <w:szCs w:val="24"/>
        </w:rPr>
        <w:t xml:space="preserve">transition démographique et le développement d'un dividende démographique </w:t>
      </w:r>
      <w:r w:rsidRPr="00A37EA2">
        <w:rPr>
          <w:iCs/>
          <w:sz w:val="24"/>
          <w:szCs w:val="24"/>
        </w:rPr>
        <w:t xml:space="preserve"> </w:t>
      </w:r>
      <w:r w:rsidR="00F020BE">
        <w:rPr>
          <w:iCs/>
          <w:sz w:val="24"/>
          <w:szCs w:val="24"/>
        </w:rPr>
        <w:t xml:space="preserve">comprend </w:t>
      </w:r>
      <w:r w:rsidRPr="00A37EA2">
        <w:rPr>
          <w:iCs/>
          <w:sz w:val="24"/>
          <w:szCs w:val="24"/>
        </w:rPr>
        <w:t xml:space="preserve"> </w:t>
      </w:r>
      <w:r w:rsidR="00BE1117">
        <w:rPr>
          <w:iCs/>
          <w:sz w:val="24"/>
          <w:szCs w:val="24"/>
        </w:rPr>
        <w:t xml:space="preserve">d'une part des interventions spécifiques comme </w:t>
      </w:r>
      <w:r w:rsidRPr="00A37EA2">
        <w:rPr>
          <w:iCs/>
          <w:sz w:val="24"/>
          <w:szCs w:val="24"/>
        </w:rPr>
        <w:t xml:space="preserve">la planification familiale </w:t>
      </w:r>
      <w:r w:rsidR="00BE1117">
        <w:rPr>
          <w:iCs/>
          <w:sz w:val="24"/>
          <w:szCs w:val="24"/>
        </w:rPr>
        <w:t>et</w:t>
      </w:r>
      <w:r w:rsidRPr="00A37EA2">
        <w:rPr>
          <w:iCs/>
          <w:sz w:val="24"/>
          <w:szCs w:val="24"/>
        </w:rPr>
        <w:t xml:space="preserve"> l’élimination des mariages d’enfants</w:t>
      </w:r>
      <w:r w:rsidR="00BE1117">
        <w:rPr>
          <w:iCs/>
          <w:sz w:val="24"/>
          <w:szCs w:val="24"/>
        </w:rPr>
        <w:t xml:space="preserve"> et d'autre part le développement </w:t>
      </w:r>
      <w:r w:rsidR="00646ECC">
        <w:rPr>
          <w:iCs/>
          <w:sz w:val="24"/>
          <w:szCs w:val="24"/>
        </w:rPr>
        <w:t>socio-</w:t>
      </w:r>
      <w:r w:rsidR="00BE1117">
        <w:rPr>
          <w:iCs/>
          <w:sz w:val="24"/>
          <w:szCs w:val="24"/>
        </w:rPr>
        <w:t>économique</w:t>
      </w:r>
      <w:r w:rsidR="00646ECC">
        <w:rPr>
          <w:iCs/>
          <w:sz w:val="24"/>
          <w:szCs w:val="24"/>
        </w:rPr>
        <w:t xml:space="preserve"> dans son ensemble par</w:t>
      </w:r>
      <w:r w:rsidR="00BE1117">
        <w:rPr>
          <w:iCs/>
          <w:sz w:val="24"/>
          <w:szCs w:val="24"/>
        </w:rPr>
        <w:t xml:space="preserve"> le développement des infrastructures sociales, la gestion de la migration </w:t>
      </w:r>
      <w:r w:rsidR="00646ECC">
        <w:rPr>
          <w:iCs/>
          <w:sz w:val="24"/>
          <w:szCs w:val="24"/>
        </w:rPr>
        <w:t xml:space="preserve">le climat d'affaires </w:t>
      </w:r>
      <w:r w:rsidR="00BE1117">
        <w:rPr>
          <w:iCs/>
          <w:sz w:val="24"/>
          <w:szCs w:val="24"/>
        </w:rPr>
        <w:t>et l'éducation.</w:t>
      </w:r>
    </w:p>
    <w:p w:rsidR="00646ECC" w:rsidRDefault="00646ECC" w:rsidP="00646ECC">
      <w:pPr>
        <w:pStyle w:val="Paragraphedeliste"/>
        <w:widowControl w:val="0"/>
        <w:numPr>
          <w:ilvl w:val="0"/>
          <w:numId w:val="26"/>
        </w:numPr>
        <w:autoSpaceDE w:val="0"/>
        <w:autoSpaceDN w:val="0"/>
        <w:adjustRightInd w:val="0"/>
        <w:spacing w:after="0" w:line="240" w:lineRule="auto"/>
        <w:jc w:val="both"/>
        <w:rPr>
          <w:iCs/>
          <w:sz w:val="24"/>
          <w:szCs w:val="24"/>
        </w:rPr>
      </w:pPr>
      <w:r>
        <w:rPr>
          <w:iCs/>
          <w:sz w:val="24"/>
          <w:szCs w:val="24"/>
        </w:rPr>
        <w:t xml:space="preserve">Les mécanismes de financement, notamment les </w:t>
      </w:r>
      <w:r w:rsidR="00CD2430">
        <w:rPr>
          <w:iCs/>
          <w:sz w:val="24"/>
          <w:szCs w:val="24"/>
        </w:rPr>
        <w:t xml:space="preserve">mécanismes </w:t>
      </w:r>
      <w:r>
        <w:rPr>
          <w:iCs/>
          <w:sz w:val="24"/>
          <w:szCs w:val="24"/>
        </w:rPr>
        <w:t>de mobilisation, de mise en commun et d'allocation</w:t>
      </w:r>
      <w:r w:rsidR="00CD2430">
        <w:rPr>
          <w:iCs/>
          <w:sz w:val="24"/>
          <w:szCs w:val="24"/>
        </w:rPr>
        <w:t xml:space="preserve"> et la définition du paquet de bénéfices</w:t>
      </w:r>
      <w:r>
        <w:rPr>
          <w:iCs/>
          <w:sz w:val="24"/>
          <w:szCs w:val="24"/>
        </w:rPr>
        <w:t xml:space="preserve">, permet </w:t>
      </w:r>
      <w:r w:rsidR="00EF6286">
        <w:rPr>
          <w:iCs/>
          <w:sz w:val="24"/>
          <w:szCs w:val="24"/>
        </w:rPr>
        <w:t xml:space="preserve">d'une part </w:t>
      </w:r>
      <w:r>
        <w:rPr>
          <w:iCs/>
          <w:sz w:val="24"/>
          <w:szCs w:val="24"/>
        </w:rPr>
        <w:t>la mise en œuvre de ces interventions de santé</w:t>
      </w:r>
      <w:r w:rsidR="00EF6286">
        <w:rPr>
          <w:iCs/>
          <w:sz w:val="24"/>
          <w:szCs w:val="24"/>
        </w:rPr>
        <w:t xml:space="preserve"> et de protection sociale</w:t>
      </w:r>
      <w:r>
        <w:rPr>
          <w:iCs/>
          <w:sz w:val="24"/>
          <w:szCs w:val="24"/>
        </w:rPr>
        <w:t xml:space="preserve"> et </w:t>
      </w:r>
      <w:r w:rsidR="00EF6286">
        <w:rPr>
          <w:iCs/>
          <w:sz w:val="24"/>
          <w:szCs w:val="24"/>
        </w:rPr>
        <w:t xml:space="preserve">d'autre part </w:t>
      </w:r>
      <w:r>
        <w:rPr>
          <w:iCs/>
          <w:sz w:val="24"/>
          <w:szCs w:val="24"/>
        </w:rPr>
        <w:t>le développement des services de santé et de protection sociale. Cette logique est illustré</w:t>
      </w:r>
      <w:r w:rsidR="00EF25A7">
        <w:rPr>
          <w:iCs/>
          <w:sz w:val="24"/>
          <w:szCs w:val="24"/>
        </w:rPr>
        <w:t>e</w:t>
      </w:r>
      <w:r>
        <w:rPr>
          <w:iCs/>
          <w:sz w:val="24"/>
          <w:szCs w:val="24"/>
        </w:rPr>
        <w:t xml:space="preserve"> par la Figure 1.</w:t>
      </w:r>
    </w:p>
    <w:p w:rsidR="004914F1" w:rsidRDefault="004914F1">
      <w:pPr>
        <w:pStyle w:val="Paragraphedeliste"/>
        <w:widowControl w:val="0"/>
        <w:autoSpaceDE w:val="0"/>
        <w:autoSpaceDN w:val="0"/>
        <w:adjustRightInd w:val="0"/>
        <w:spacing w:after="0" w:line="240" w:lineRule="auto"/>
        <w:ind w:left="435"/>
        <w:jc w:val="both"/>
        <w:rPr>
          <w:sz w:val="24"/>
          <w:szCs w:val="24"/>
        </w:rPr>
      </w:pPr>
    </w:p>
    <w:p w:rsidR="00BE1117" w:rsidRDefault="00D81428" w:rsidP="00944E8A">
      <w:pPr>
        <w:pStyle w:val="Paragraphedeliste"/>
        <w:widowControl w:val="0"/>
        <w:autoSpaceDE w:val="0"/>
        <w:autoSpaceDN w:val="0"/>
        <w:adjustRightInd w:val="0"/>
        <w:spacing w:after="0" w:line="240" w:lineRule="auto"/>
        <w:ind w:left="435"/>
        <w:jc w:val="both"/>
        <w:rPr>
          <w:sz w:val="24"/>
          <w:szCs w:val="24"/>
        </w:rPr>
      </w:pPr>
      <w:r w:rsidRPr="008E51DC">
        <w:rPr>
          <w:sz w:val="24"/>
          <w:szCs w:val="24"/>
        </w:rPr>
        <w:object w:dxaOrig="9622" w:dyaOrig="540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3.85pt;height:270.35pt" o:ole="">
            <v:imagedata r:id="rId8" o:title=""/>
          </v:shape>
          <o:OLEObject Type="Embed" ProgID="PowerPoint.Slide.12" ShapeID="_x0000_i1025" DrawAspect="Content" ObjectID="_1565439604" r:id="rId9"/>
        </w:object>
      </w:r>
    </w:p>
    <w:p w:rsidR="00C46B35" w:rsidRPr="00C46B35" w:rsidRDefault="000614D2" w:rsidP="00194AF8">
      <w:pPr>
        <w:pStyle w:val="Titre2"/>
        <w:numPr>
          <w:ilvl w:val="1"/>
          <w:numId w:val="23"/>
        </w:numPr>
      </w:pPr>
      <w:r>
        <w:t>I</w:t>
      </w:r>
      <w:r w:rsidR="00C46B35" w:rsidRPr="00C46B35">
        <w:t>mpo</w:t>
      </w:r>
      <w:r w:rsidR="00C46B35" w:rsidRPr="000614D2">
        <w:t>r</w:t>
      </w:r>
      <w:r w:rsidR="00C46B35" w:rsidRPr="00C46B35">
        <w:t>tan</w:t>
      </w:r>
      <w:r w:rsidR="00C46B35" w:rsidRPr="000614D2">
        <w:t>c</w:t>
      </w:r>
      <w:r w:rsidR="00C46B35" w:rsidRPr="00C46B35">
        <w:t>e</w:t>
      </w:r>
      <w:r w:rsidR="00C46B35" w:rsidRPr="000614D2">
        <w:t xml:space="preserve"> </w:t>
      </w:r>
      <w:r w:rsidR="00C46B35" w:rsidRPr="00C46B35">
        <w:t>de</w:t>
      </w:r>
      <w:r w:rsidR="00C46B35" w:rsidRPr="000614D2">
        <w:t xml:space="preserve"> </w:t>
      </w:r>
      <w:r w:rsidR="00C46B35" w:rsidRPr="00C46B35">
        <w:t>la</w:t>
      </w:r>
      <w:r w:rsidR="00C46B35" w:rsidRPr="000614D2">
        <w:t xml:space="preserve"> </w:t>
      </w:r>
      <w:r w:rsidR="00C46B35" w:rsidRPr="00C46B35">
        <w:t>pol</w:t>
      </w:r>
      <w:r w:rsidR="00C46B35" w:rsidRPr="000614D2">
        <w:t>i</w:t>
      </w:r>
      <w:r w:rsidR="00C46B35" w:rsidRPr="00C46B35">
        <w:t>t</w:t>
      </w:r>
      <w:r w:rsidR="00C46B35" w:rsidRPr="000614D2">
        <w:t>i</w:t>
      </w:r>
      <w:r w:rsidR="00C46B35" w:rsidRPr="00C46B35">
        <w:t>que</w:t>
      </w:r>
      <w:r w:rsidR="00C46B35" w:rsidRPr="000614D2">
        <w:t xml:space="preserve"> (</w:t>
      </w:r>
      <w:r w:rsidR="00C46B35" w:rsidRPr="00C46B35">
        <w:t>jus</w:t>
      </w:r>
      <w:r w:rsidR="00C46B35" w:rsidRPr="000614D2">
        <w:t>t</w:t>
      </w:r>
      <w:r w:rsidR="00C46B35" w:rsidRPr="00C46B35">
        <w:t>ific</w:t>
      </w:r>
      <w:r w:rsidR="00C46B35" w:rsidRPr="000614D2">
        <w:t>a</w:t>
      </w:r>
      <w:r w:rsidR="00C46B35" w:rsidRPr="00C46B35">
        <w:t>t</w:t>
      </w:r>
      <w:r w:rsidR="00C46B35" w:rsidRPr="000614D2">
        <w:t>i</w:t>
      </w:r>
      <w:r w:rsidR="00C46B35" w:rsidRPr="00C46B35">
        <w:t>on)</w:t>
      </w:r>
    </w:p>
    <w:p w:rsidR="00944E8A" w:rsidRPr="00944E8A" w:rsidRDefault="00944E8A" w:rsidP="00944E8A">
      <w:pPr>
        <w:pStyle w:val="DefaultText"/>
        <w:numPr>
          <w:ilvl w:val="0"/>
          <w:numId w:val="26"/>
        </w:numPr>
        <w:jc w:val="both"/>
        <w:rPr>
          <w:rFonts w:asciiTheme="minorHAnsi" w:hAnsiTheme="minorHAnsi" w:cstheme="minorHAnsi"/>
          <w:sz w:val="24"/>
          <w:lang w:val="fr-FR"/>
        </w:rPr>
      </w:pPr>
      <w:r w:rsidRPr="00163B7E">
        <w:rPr>
          <w:rFonts w:asciiTheme="minorHAnsi" w:hAnsiTheme="minorHAnsi" w:cstheme="minorHAnsi"/>
          <w:sz w:val="24"/>
          <w:lang w:val="fr-FR"/>
        </w:rPr>
        <w:t xml:space="preserve">Le Burkina Faso s’est inscrit depuis 2003 à la faveur de la révision du Cadre Stratégique de Lutte contre la Pauvreté (CSLP) dans une démarche de mise en cohérence des politiques macro-économiques avec les diverses interventions sectorielles. Cette démarche a permis de susciter un intérêt des acteurs pour l’élaboration et la mise en œuvre des politiques sectorielles pour opérationnaliser le CSLP en tant que référentiel national de développement. La pratique a gagné de l’engouement dans le cadre de l’élaboration et de la mise en œuvre de la Stratégie de croissance accélérée et de développement durable (SCADD). Cet engouement a cependant conduit à une pléthore de politiques sectorielles créant parfois des difficultés de convergence entre elles et le référentiel des interventions notamment en termes d’horizon temporel et à une confusion des terminologies et de la hiérarchisation des instruments (politiques, </w:t>
      </w:r>
      <w:r w:rsidRPr="00944E8A">
        <w:rPr>
          <w:rFonts w:asciiTheme="minorHAnsi" w:hAnsiTheme="minorHAnsi" w:cstheme="minorHAnsi"/>
          <w:sz w:val="24"/>
          <w:lang w:val="fr-FR"/>
        </w:rPr>
        <w:t>stratégies, plans d’actions, programmes, etc.).</w:t>
      </w:r>
    </w:p>
    <w:p w:rsidR="00C46B35" w:rsidRPr="00D81428" w:rsidRDefault="00944E8A" w:rsidP="00944E8A">
      <w:pPr>
        <w:pStyle w:val="DefaultText"/>
        <w:numPr>
          <w:ilvl w:val="0"/>
          <w:numId w:val="26"/>
        </w:numPr>
        <w:jc w:val="both"/>
        <w:rPr>
          <w:rFonts w:asciiTheme="minorHAnsi" w:hAnsiTheme="minorHAnsi" w:cstheme="minorHAnsi"/>
          <w:sz w:val="24"/>
          <w:lang w:val="fr-FR"/>
        </w:rPr>
      </w:pPr>
      <w:r w:rsidRPr="00944E8A">
        <w:rPr>
          <w:rFonts w:asciiTheme="minorHAnsi" w:hAnsiTheme="minorHAnsi" w:cstheme="minorHAnsi"/>
          <w:sz w:val="24"/>
          <w:lang w:val="fr-FR"/>
        </w:rPr>
        <w:t xml:space="preserve">L’adoption du Plan national de développement économique et social (PNDES) le 20 juillet 2016 consacre désormais l’opérationnalisation du document d’orientation au niveau national autour de quatorze (14) secteurs de planification. </w:t>
      </w:r>
      <w:r w:rsidRPr="00944E8A">
        <w:rPr>
          <w:rFonts w:asciiTheme="minorHAnsi" w:hAnsiTheme="minorHAnsi" w:cstheme="minorHAnsi"/>
          <w:sz w:val="24"/>
        </w:rPr>
        <w:t xml:space="preserve">Le PNDES </w:t>
      </w:r>
      <w:proofErr w:type="spellStart"/>
      <w:r w:rsidRPr="00944E8A">
        <w:rPr>
          <w:rFonts w:asciiTheme="minorHAnsi" w:hAnsiTheme="minorHAnsi" w:cstheme="minorHAnsi"/>
          <w:sz w:val="24"/>
        </w:rPr>
        <w:t>est</w:t>
      </w:r>
      <w:proofErr w:type="spellEnd"/>
      <w:r w:rsidRPr="00944E8A">
        <w:rPr>
          <w:rFonts w:asciiTheme="minorHAnsi" w:hAnsiTheme="minorHAnsi" w:cstheme="minorHAnsi"/>
          <w:sz w:val="24"/>
        </w:rPr>
        <w:t xml:space="preserve"> </w:t>
      </w:r>
      <w:proofErr w:type="spellStart"/>
      <w:r w:rsidRPr="00944E8A">
        <w:rPr>
          <w:rFonts w:asciiTheme="minorHAnsi" w:hAnsiTheme="minorHAnsi" w:cstheme="minorHAnsi"/>
          <w:sz w:val="24"/>
        </w:rPr>
        <w:t>donc</w:t>
      </w:r>
      <w:proofErr w:type="spellEnd"/>
      <w:r w:rsidRPr="00944E8A">
        <w:rPr>
          <w:rFonts w:asciiTheme="minorHAnsi" w:hAnsiTheme="minorHAnsi" w:cstheme="minorHAnsi"/>
          <w:sz w:val="24"/>
        </w:rPr>
        <w:t xml:space="preserve"> conçu dans la logique de la gestion axée sur les résultats (GAR), avec à l’esprit que chaque cadre sectoriel de dialogue (CSD) dispose de sa Politique sectorielle conformément aux 14 secteurs de planification retenus dans le PNDES et que chaque cadre régional de dialogue (CRD) dispose de ses plans locaux de développement (PRD et PCD). Ces instruments doivent également être conçus suivant la logique GAR. </w:t>
      </w:r>
      <w:r w:rsidRPr="001E2E63">
        <w:rPr>
          <w:rFonts w:asciiTheme="minorHAnsi" w:hAnsiTheme="minorHAnsi" w:cstheme="minorHAnsi"/>
          <w:sz w:val="24"/>
          <w:lang w:val="fr-FR"/>
        </w:rPr>
        <w:t xml:space="preserve">Il s'agit donc d'une mise en cohérence des dynamiques sectorielles existantes et non de réécrire les </w:t>
      </w:r>
      <w:r w:rsidR="001E2E63" w:rsidRPr="001E2E63">
        <w:rPr>
          <w:rFonts w:asciiTheme="minorHAnsi" w:hAnsiTheme="minorHAnsi" w:cstheme="minorHAnsi"/>
          <w:sz w:val="24"/>
          <w:lang w:val="fr-FR"/>
        </w:rPr>
        <w:t>documents référentiels existant</w:t>
      </w:r>
      <w:r w:rsidR="001E2E63">
        <w:rPr>
          <w:rFonts w:asciiTheme="minorHAnsi" w:hAnsiTheme="minorHAnsi" w:cstheme="minorHAnsi"/>
          <w:sz w:val="24"/>
          <w:lang w:val="fr-FR"/>
        </w:rPr>
        <w:t>s</w:t>
      </w:r>
      <w:r w:rsidRPr="001E2E63">
        <w:rPr>
          <w:rFonts w:asciiTheme="minorHAnsi" w:hAnsiTheme="minorHAnsi" w:cstheme="minorHAnsi"/>
          <w:sz w:val="24"/>
          <w:lang w:val="fr-FR"/>
        </w:rPr>
        <w:t xml:space="preserve"> (PNDS, PNS, etc.).</w:t>
      </w:r>
    </w:p>
    <w:p w:rsidR="00D81428" w:rsidRPr="001E2E63" w:rsidRDefault="00D81428" w:rsidP="00D81428">
      <w:pPr>
        <w:pStyle w:val="DefaultText"/>
        <w:jc w:val="both"/>
        <w:rPr>
          <w:rFonts w:asciiTheme="minorHAnsi" w:hAnsiTheme="minorHAnsi" w:cstheme="minorHAnsi"/>
          <w:sz w:val="24"/>
          <w:lang w:val="fr-FR"/>
        </w:rPr>
      </w:pPr>
    </w:p>
    <w:p w:rsidR="00D81428" w:rsidRPr="001E2E63" w:rsidRDefault="00D81428" w:rsidP="00D81428">
      <w:pPr>
        <w:pStyle w:val="DefaultText"/>
        <w:jc w:val="both"/>
        <w:rPr>
          <w:rFonts w:asciiTheme="minorHAnsi" w:hAnsiTheme="minorHAnsi" w:cstheme="minorHAnsi"/>
          <w:sz w:val="24"/>
          <w:lang w:val="fr-FR"/>
        </w:rPr>
      </w:pPr>
    </w:p>
    <w:p w:rsidR="00D81428" w:rsidRPr="00944E8A" w:rsidRDefault="00D81428" w:rsidP="00D81428">
      <w:pPr>
        <w:pStyle w:val="DefaultText"/>
        <w:jc w:val="both"/>
        <w:rPr>
          <w:rFonts w:asciiTheme="minorHAnsi" w:hAnsiTheme="minorHAnsi" w:cstheme="minorHAnsi"/>
          <w:sz w:val="24"/>
          <w:lang w:val="fr-FR"/>
        </w:rPr>
      </w:pPr>
    </w:p>
    <w:p w:rsidR="00C46B35" w:rsidRDefault="00C46B35" w:rsidP="00944E8A">
      <w:pPr>
        <w:pStyle w:val="Titre1"/>
        <w:numPr>
          <w:ilvl w:val="0"/>
          <w:numId w:val="27"/>
        </w:numPr>
      </w:pPr>
      <w:r w:rsidRPr="00DD2863">
        <w:lastRenderedPageBreak/>
        <w:t>Partie I</w:t>
      </w:r>
      <w:r w:rsidRPr="00C46B35">
        <w:t xml:space="preserve"> : </w:t>
      </w:r>
      <w:r w:rsidRPr="00DD2863">
        <w:t>An</w:t>
      </w:r>
      <w:r w:rsidRPr="00C46B35">
        <w:t>alyse de la</w:t>
      </w:r>
      <w:r w:rsidRPr="00DD2863">
        <w:t xml:space="preserve"> </w:t>
      </w:r>
      <w:r w:rsidRPr="00C46B35">
        <w:t>sit</w:t>
      </w:r>
      <w:r w:rsidRPr="00DD2863">
        <w:t>u</w:t>
      </w:r>
      <w:r w:rsidRPr="00C46B35">
        <w:t>a</w:t>
      </w:r>
      <w:r w:rsidRPr="00DD2863">
        <w:t>t</w:t>
      </w:r>
      <w:r w:rsidRPr="00C46B35">
        <w:t>ion</w:t>
      </w:r>
      <w:r w:rsidRPr="00DD2863">
        <w:t xml:space="preserve"> d</w:t>
      </w:r>
      <w:r w:rsidRPr="00C46B35">
        <w:t>u</w:t>
      </w:r>
      <w:r w:rsidRPr="00DD2863">
        <w:t xml:space="preserve"> </w:t>
      </w:r>
      <w:r w:rsidRPr="00C46B35">
        <w:t>se</w:t>
      </w:r>
      <w:r w:rsidRPr="00DD2863">
        <w:t>c</w:t>
      </w:r>
      <w:r w:rsidRPr="00C46B35">
        <w:t>t</w:t>
      </w:r>
      <w:r w:rsidRPr="00DD2863">
        <w:t>eu</w:t>
      </w:r>
      <w:r w:rsidRPr="00C46B35">
        <w:t>r</w:t>
      </w:r>
    </w:p>
    <w:p w:rsidR="00C46B35" w:rsidRPr="00C46B35" w:rsidRDefault="00C46B35" w:rsidP="00C46B35">
      <w:pPr>
        <w:widowControl w:val="0"/>
        <w:autoSpaceDE w:val="0"/>
        <w:autoSpaceDN w:val="0"/>
        <w:adjustRightInd w:val="0"/>
        <w:spacing w:before="6" w:after="0" w:line="150" w:lineRule="exact"/>
        <w:rPr>
          <w:rFonts w:cstheme="minorHAnsi"/>
          <w:color w:val="000000"/>
          <w:sz w:val="24"/>
          <w:szCs w:val="24"/>
        </w:rPr>
      </w:pPr>
    </w:p>
    <w:p w:rsidR="00C46B35" w:rsidRPr="000614D2" w:rsidRDefault="000614D2" w:rsidP="00DD2863">
      <w:pPr>
        <w:pStyle w:val="Titre2"/>
        <w:numPr>
          <w:ilvl w:val="1"/>
          <w:numId w:val="27"/>
        </w:numPr>
      </w:pPr>
      <w:r>
        <w:t>C</w:t>
      </w:r>
      <w:r w:rsidR="00C46B35" w:rsidRPr="000614D2">
        <w:t>onte</w:t>
      </w:r>
      <w:r w:rsidR="00C46B35" w:rsidRPr="000614D2">
        <w:rPr>
          <w:spacing w:val="2"/>
        </w:rPr>
        <w:t>x</w:t>
      </w:r>
      <w:r w:rsidR="00C46B35" w:rsidRPr="000614D2">
        <w:t>te poli</w:t>
      </w:r>
      <w:r w:rsidR="00C46B35" w:rsidRPr="000614D2">
        <w:rPr>
          <w:spacing w:val="1"/>
        </w:rPr>
        <w:t>t</w:t>
      </w:r>
      <w:r w:rsidR="00C46B35" w:rsidRPr="000614D2">
        <w:t>ique, so</w:t>
      </w:r>
      <w:r w:rsidR="00C46B35" w:rsidRPr="000614D2">
        <w:rPr>
          <w:spacing w:val="-1"/>
        </w:rPr>
        <w:t>c</w:t>
      </w:r>
      <w:r w:rsidR="00C46B35" w:rsidRPr="000614D2">
        <w:t>i</w:t>
      </w:r>
      <w:r w:rsidR="00C46B35" w:rsidRPr="000614D2">
        <w:rPr>
          <w:spacing w:val="2"/>
        </w:rPr>
        <w:t>o</w:t>
      </w:r>
      <w:r w:rsidR="00C46B35" w:rsidRPr="000614D2">
        <w:rPr>
          <w:spacing w:val="-1"/>
        </w:rPr>
        <w:t>-éc</w:t>
      </w:r>
      <w:r w:rsidR="00C46B35" w:rsidRPr="000614D2">
        <w:t>onom</w:t>
      </w:r>
      <w:r w:rsidR="00C46B35" w:rsidRPr="000614D2">
        <w:rPr>
          <w:spacing w:val="1"/>
        </w:rPr>
        <w:t>i</w:t>
      </w:r>
      <w:r w:rsidR="00C46B35" w:rsidRPr="000614D2">
        <w:t>que</w:t>
      </w:r>
    </w:p>
    <w:p w:rsidR="00FB41B0" w:rsidRDefault="00194AF8" w:rsidP="00DD2863">
      <w:pPr>
        <w:pStyle w:val="Paragraphedeliste"/>
        <w:widowControl w:val="0"/>
        <w:numPr>
          <w:ilvl w:val="0"/>
          <w:numId w:val="26"/>
        </w:numPr>
        <w:autoSpaceDE w:val="0"/>
        <w:autoSpaceDN w:val="0"/>
        <w:adjustRightInd w:val="0"/>
        <w:spacing w:after="0" w:line="240" w:lineRule="auto"/>
        <w:jc w:val="both"/>
        <w:rPr>
          <w:rFonts w:cs="Rockwell"/>
          <w:noProof/>
          <w:color w:val="000000"/>
          <w:sz w:val="24"/>
          <w:szCs w:val="24"/>
        </w:rPr>
      </w:pPr>
      <w:r w:rsidRPr="00194AF8">
        <w:rPr>
          <w:rFonts w:cs="Rockwell"/>
          <w:noProof/>
          <w:color w:val="000000"/>
          <w:sz w:val="24"/>
          <w:szCs w:val="24"/>
        </w:rPr>
        <w:t>Le contexte politique actuel est caractérisé par une forte demande sociale à l’endroit d’un pouvoir démocratique dans un pays à ressources limitées. Le pouvoir en est conscient. Cette demande de la population est également perçue au niveau de la sous-région. En effet, la CEDEAO a pris la résolution d’engager l’ensemble des Etats à consacrer au secteur de la santé au moins 15% de leur budget. De plus, la population dans le contexte de la démocratie, devient aussi plus regardant sur les questions de gestion de la chose publique. Ainsi le principe de la redévabilité s’inscrit dans la vie des institutions. Il y a donc une nécessité de consolider les bases de la bonne gouvernance à travers des institutions solides. Ces exigences devraient agir sur l’organisation et le fonctionnement du système de santé.</w:t>
      </w:r>
    </w:p>
    <w:p w:rsidR="00FB41B0" w:rsidRPr="00FB41B0" w:rsidRDefault="00FB41B0" w:rsidP="00DD2863">
      <w:pPr>
        <w:pStyle w:val="Paragraphedeliste"/>
        <w:widowControl w:val="0"/>
        <w:numPr>
          <w:ilvl w:val="0"/>
          <w:numId w:val="26"/>
        </w:numPr>
        <w:autoSpaceDE w:val="0"/>
        <w:autoSpaceDN w:val="0"/>
        <w:adjustRightInd w:val="0"/>
        <w:spacing w:after="0" w:line="240" w:lineRule="auto"/>
        <w:jc w:val="both"/>
        <w:rPr>
          <w:rFonts w:cs="Rockwell"/>
          <w:noProof/>
          <w:color w:val="000000"/>
          <w:sz w:val="24"/>
          <w:szCs w:val="24"/>
        </w:rPr>
      </w:pPr>
      <w:r w:rsidRPr="00FB41B0">
        <w:rPr>
          <w:sz w:val="24"/>
          <w:szCs w:val="24"/>
        </w:rPr>
        <w:t xml:space="preserve">Le Burkina Faso est un pays sub-saharien enclavé, à faible revenu (670 dollars par habitant en </w:t>
      </w:r>
      <w:r w:rsidRPr="00FB41B0">
        <w:rPr>
          <w:sz w:val="24"/>
          <w:szCs w:val="24"/>
          <w:highlight w:val="yellow"/>
        </w:rPr>
        <w:t>2013</w:t>
      </w:r>
      <w:r w:rsidRPr="00D8428E">
        <w:rPr>
          <w:rStyle w:val="Appelnotedebasdep"/>
          <w:sz w:val="24"/>
          <w:szCs w:val="24"/>
          <w:highlight w:val="yellow"/>
        </w:rPr>
        <w:footnoteReference w:id="1"/>
      </w:r>
      <w:r w:rsidRPr="00FB41B0">
        <w:rPr>
          <w:sz w:val="24"/>
          <w:szCs w:val="24"/>
        </w:rPr>
        <w:t xml:space="preserve">) et aux ressources naturelles plutôt limitées. </w:t>
      </w:r>
      <w:r w:rsidRPr="00FB41B0">
        <w:rPr>
          <w:iCs/>
          <w:sz w:val="24"/>
          <w:szCs w:val="24"/>
        </w:rPr>
        <w:t xml:space="preserve">Son économie, ces cinq dernières années, a évolué dans un environnement international marqué par une stagnation du rythme de progression de l’activité </w:t>
      </w:r>
      <w:r w:rsidRPr="00FB41B0">
        <w:rPr>
          <w:rFonts w:cs="Arial"/>
          <w:sz w:val="24"/>
          <w:szCs w:val="24"/>
        </w:rPr>
        <w:t>dans les pays émergents et en développement et un ralentissement dans les pays avancés</w:t>
      </w:r>
      <w:r w:rsidRPr="00FB41B0">
        <w:rPr>
          <w:iCs/>
          <w:sz w:val="24"/>
          <w:szCs w:val="24"/>
        </w:rPr>
        <w:t>. Au niveau de l'Union économique et monétaire Ouest Africaine (UEMOA), les économies des</w:t>
      </w:r>
      <w:r w:rsidRPr="00FB41B0">
        <w:rPr>
          <w:sz w:val="24"/>
          <w:szCs w:val="24"/>
        </w:rPr>
        <w:t xml:space="preserve"> Etats membres ont enregistré des performances économiques appréciables avec un taux de croissance du PIB de l’ordre de 6% en 2015 et en 2016.</w:t>
      </w:r>
    </w:p>
    <w:p w:rsidR="00194AF8" w:rsidRPr="00FB41B0" w:rsidRDefault="00FB41B0" w:rsidP="00DD2863">
      <w:pPr>
        <w:pStyle w:val="Paragraphedeliste"/>
        <w:widowControl w:val="0"/>
        <w:numPr>
          <w:ilvl w:val="0"/>
          <w:numId w:val="26"/>
        </w:numPr>
        <w:autoSpaceDE w:val="0"/>
        <w:autoSpaceDN w:val="0"/>
        <w:adjustRightInd w:val="0"/>
        <w:spacing w:after="0" w:line="240" w:lineRule="auto"/>
        <w:jc w:val="both"/>
        <w:rPr>
          <w:sz w:val="24"/>
          <w:szCs w:val="24"/>
        </w:rPr>
      </w:pPr>
      <w:r w:rsidRPr="00D8428E">
        <w:rPr>
          <w:rFonts w:cs="Calibri,Bold"/>
          <w:bCs/>
          <w:sz w:val="24"/>
          <w:szCs w:val="24"/>
        </w:rPr>
        <w:t>Le Burkina Faso, évolue dans un contexte de persistance de la pauvreté dont l'incidence se situait à 40,1% en 2014, d'un fort taux d'analphabétisme des personnes de plus de 15 ans se situant à 65,5%, d'une espérance de vie de moins de 60 ans, ainsi que d'une forte exploitation et consommation de ressources naturelles.</w:t>
      </w:r>
      <w:r>
        <w:rPr>
          <w:sz w:val="24"/>
          <w:szCs w:val="24"/>
        </w:rPr>
        <w:t xml:space="preserve"> </w:t>
      </w:r>
      <w:r w:rsidRPr="00D8428E">
        <w:rPr>
          <w:sz w:val="24"/>
          <w:szCs w:val="24"/>
        </w:rPr>
        <w:t xml:space="preserve">L’économie est fortement dominée par l’agriculture qui occupe près de 80 % de la population active. Le coton est la culture de rente la plus importante pour le pays. Toutefois, suite à la découverte de vastes gisements miniers, les exportations aurifères ont pris de l’importance dans l’activité économique du pays. </w:t>
      </w:r>
      <w:r>
        <w:rPr>
          <w:sz w:val="24"/>
          <w:szCs w:val="24"/>
        </w:rPr>
        <w:t>Les redevances minières ont permis une augmentation conséquente du financement de l'Etat dans les secteurs sociaux entre 2010 et 2013.</w:t>
      </w:r>
    </w:p>
    <w:p w:rsidR="00FB41B0" w:rsidRDefault="00FB41B0" w:rsidP="00DD2863">
      <w:pPr>
        <w:pStyle w:val="Paragraphedeliste"/>
        <w:widowControl w:val="0"/>
        <w:numPr>
          <w:ilvl w:val="0"/>
          <w:numId w:val="26"/>
        </w:numPr>
        <w:autoSpaceDE w:val="0"/>
        <w:autoSpaceDN w:val="0"/>
        <w:adjustRightInd w:val="0"/>
        <w:spacing w:after="0" w:line="240" w:lineRule="auto"/>
        <w:jc w:val="both"/>
        <w:rPr>
          <w:sz w:val="24"/>
          <w:szCs w:val="24"/>
        </w:rPr>
      </w:pPr>
      <w:r w:rsidRPr="00D8428E">
        <w:rPr>
          <w:sz w:val="24"/>
          <w:szCs w:val="24"/>
        </w:rPr>
        <w:t xml:space="preserve">Le Burkina </w:t>
      </w:r>
      <w:r w:rsidRPr="00FB41B0">
        <w:rPr>
          <w:sz w:val="24"/>
          <w:szCs w:val="24"/>
        </w:rPr>
        <w:t>Faso</w:t>
      </w:r>
      <w:r w:rsidRPr="00D8428E">
        <w:rPr>
          <w:sz w:val="24"/>
          <w:szCs w:val="24"/>
        </w:rPr>
        <w:t xml:space="preserve"> reste vulnérable aux chocs exogènes tels que les variations pluviométriques, les crises financières et pétrolières internationales et l’instabilité régionale due aux crises politiques.</w:t>
      </w:r>
    </w:p>
    <w:p w:rsidR="00FB41B0" w:rsidRPr="00FB41B0" w:rsidRDefault="00FB41B0" w:rsidP="00DD2863">
      <w:pPr>
        <w:pStyle w:val="Paragraphedeliste"/>
        <w:widowControl w:val="0"/>
        <w:numPr>
          <w:ilvl w:val="0"/>
          <w:numId w:val="26"/>
        </w:numPr>
        <w:autoSpaceDE w:val="0"/>
        <w:autoSpaceDN w:val="0"/>
        <w:adjustRightInd w:val="0"/>
        <w:spacing w:after="0" w:line="240" w:lineRule="auto"/>
        <w:jc w:val="both"/>
        <w:rPr>
          <w:sz w:val="24"/>
          <w:szCs w:val="24"/>
        </w:rPr>
      </w:pPr>
      <w:r w:rsidRPr="00FB41B0">
        <w:rPr>
          <w:sz w:val="24"/>
          <w:szCs w:val="24"/>
        </w:rPr>
        <w:t>La population</w:t>
      </w:r>
      <w:r w:rsidR="008E51DC" w:rsidRPr="008E51DC">
        <w:rPr>
          <w:vertAlign w:val="superscript"/>
        </w:rPr>
        <w:footnoteReference w:id="2"/>
      </w:r>
      <w:r w:rsidRPr="00FB41B0">
        <w:rPr>
          <w:sz w:val="24"/>
          <w:szCs w:val="24"/>
        </w:rPr>
        <w:t xml:space="preserve">, qui croît au rythme annuel moyen de 3,1%, est estimée à </w:t>
      </w:r>
      <w:r w:rsidR="00944E8A">
        <w:rPr>
          <w:sz w:val="24"/>
          <w:szCs w:val="24"/>
        </w:rPr>
        <w:t>19 034 399</w:t>
      </w:r>
      <w:r w:rsidR="00944E8A">
        <w:rPr>
          <w:rStyle w:val="Appelnotedebasdep"/>
          <w:sz w:val="24"/>
          <w:szCs w:val="24"/>
        </w:rPr>
        <w:footnoteReference w:id="3"/>
      </w:r>
      <w:r w:rsidRPr="00FB41B0">
        <w:rPr>
          <w:sz w:val="24"/>
          <w:szCs w:val="24"/>
        </w:rPr>
        <w:t xml:space="preserve"> et se caractérise par sa jeunesse (plus de 60 % de moins de 20 ans) et des mouvements migratoires qui se traduisent notamment, par un exode rural notable ayant pour conséquence</w:t>
      </w:r>
      <w:r w:rsidR="00944E8A">
        <w:rPr>
          <w:sz w:val="24"/>
          <w:szCs w:val="24"/>
        </w:rPr>
        <w:t xml:space="preserve"> un fort </w:t>
      </w:r>
      <w:r w:rsidRPr="00FB41B0">
        <w:rPr>
          <w:sz w:val="24"/>
          <w:szCs w:val="24"/>
        </w:rPr>
        <w:t xml:space="preserve">accroissement des quartiers </w:t>
      </w:r>
      <w:r w:rsidR="00944E8A" w:rsidRPr="00FB41B0">
        <w:rPr>
          <w:sz w:val="24"/>
          <w:szCs w:val="24"/>
        </w:rPr>
        <w:t>spontanés</w:t>
      </w:r>
      <w:r w:rsidRPr="00FB41B0">
        <w:rPr>
          <w:sz w:val="24"/>
          <w:szCs w:val="24"/>
        </w:rPr>
        <w:t xml:space="preserve"> en zone </w:t>
      </w:r>
      <w:r w:rsidR="00944E8A" w:rsidRPr="00FB41B0">
        <w:rPr>
          <w:sz w:val="24"/>
          <w:szCs w:val="24"/>
        </w:rPr>
        <w:t>périurbaine</w:t>
      </w:r>
      <w:r w:rsidRPr="00FB41B0">
        <w:rPr>
          <w:sz w:val="24"/>
          <w:szCs w:val="24"/>
        </w:rPr>
        <w:t xml:space="preserve">, une migration internationale ancienne et importante. </w:t>
      </w:r>
    </w:p>
    <w:p w:rsidR="00FB41B0" w:rsidRPr="00576E0F" w:rsidRDefault="00FB41B0" w:rsidP="00DD2863">
      <w:pPr>
        <w:pStyle w:val="Paragraphedeliste"/>
        <w:widowControl w:val="0"/>
        <w:numPr>
          <w:ilvl w:val="0"/>
          <w:numId w:val="26"/>
        </w:numPr>
        <w:autoSpaceDE w:val="0"/>
        <w:autoSpaceDN w:val="0"/>
        <w:adjustRightInd w:val="0"/>
        <w:spacing w:after="0" w:line="240" w:lineRule="auto"/>
        <w:jc w:val="both"/>
        <w:rPr>
          <w:sz w:val="24"/>
          <w:szCs w:val="24"/>
        </w:rPr>
      </w:pPr>
      <w:r w:rsidRPr="00FB41B0">
        <w:rPr>
          <w:sz w:val="24"/>
          <w:szCs w:val="24"/>
        </w:rPr>
        <w:t xml:space="preserve">Somme </w:t>
      </w:r>
      <w:r w:rsidRPr="00576E0F">
        <w:rPr>
          <w:sz w:val="24"/>
          <w:szCs w:val="24"/>
        </w:rPr>
        <w:t>toute</w:t>
      </w:r>
      <w:r w:rsidRPr="00FB41B0">
        <w:rPr>
          <w:sz w:val="24"/>
          <w:szCs w:val="24"/>
        </w:rPr>
        <w:t>, le Burkina Faso est caractérisé par un Indice de développement humain (IDH) à 0,420 (2014</w:t>
      </w:r>
      <w:r w:rsidRPr="00FB41B0">
        <w:footnoteReference w:id="4"/>
      </w:r>
      <w:r w:rsidRPr="00FB41B0">
        <w:rPr>
          <w:sz w:val="24"/>
          <w:szCs w:val="24"/>
        </w:rPr>
        <w:t>). C’est donc un pays à faible niveau de développement, avec une forte croissance démographique qui fait pression sur la capacité de l’Etat à offrir des services sociaux de bases dont la santé, l’éducation, le logement et</w:t>
      </w:r>
      <w:r w:rsidRPr="00576E0F">
        <w:rPr>
          <w:rFonts w:cs="Calibri,Bold"/>
          <w:bCs/>
          <w:sz w:val="24"/>
          <w:szCs w:val="24"/>
        </w:rPr>
        <w:t xml:space="preserve"> l’alimentation </w:t>
      </w:r>
      <w:r w:rsidRPr="00576E0F">
        <w:rPr>
          <w:rFonts w:cs="Calibri,Bold"/>
          <w:bCs/>
          <w:sz w:val="24"/>
          <w:szCs w:val="24"/>
        </w:rPr>
        <w:lastRenderedPageBreak/>
        <w:t>adéquate. Dans la perspective d'un développement humain inclusif et durable, les principales problématiques qui se posent sont relatives à la persistance des inégalités sociales, aux insuffisances du système productif national, à la faible qualité des ressources humaines, à l'inefficacité et à l'inefficience de la gouvernance.</w:t>
      </w:r>
    </w:p>
    <w:p w:rsidR="00FB41B0" w:rsidRPr="00D8428E" w:rsidRDefault="00FB41B0" w:rsidP="00DD2863">
      <w:pPr>
        <w:pStyle w:val="Titre2"/>
        <w:numPr>
          <w:ilvl w:val="1"/>
          <w:numId w:val="27"/>
        </w:numPr>
      </w:pPr>
      <w:r w:rsidRPr="00D8428E">
        <w:t>Contexte culturel</w:t>
      </w:r>
    </w:p>
    <w:p w:rsidR="00B657E4" w:rsidRPr="00B657E4" w:rsidRDefault="00FB41B0" w:rsidP="00DD2863">
      <w:pPr>
        <w:pStyle w:val="Paragraphedeliste"/>
        <w:widowControl w:val="0"/>
        <w:numPr>
          <w:ilvl w:val="0"/>
          <w:numId w:val="26"/>
        </w:numPr>
        <w:autoSpaceDE w:val="0"/>
        <w:autoSpaceDN w:val="0"/>
        <w:adjustRightInd w:val="0"/>
        <w:spacing w:after="0" w:line="240" w:lineRule="auto"/>
        <w:jc w:val="both"/>
        <w:rPr>
          <w:sz w:val="24"/>
          <w:szCs w:val="24"/>
        </w:rPr>
      </w:pPr>
      <w:r w:rsidRPr="00FB41B0">
        <w:rPr>
          <w:sz w:val="24"/>
          <w:szCs w:val="24"/>
        </w:rPr>
        <w:t>Le Burkina Faso compte une soixantaine de groupes ethniques possédant chacune ses</w:t>
      </w:r>
      <w:r w:rsidRPr="00B657E4">
        <w:rPr>
          <w:sz w:val="24"/>
          <w:szCs w:val="24"/>
        </w:rPr>
        <w:t xml:space="preserve"> traditions et ses manifestations culturelles. Organisés en communautés, ces groupes entretiennent entre elles des relations d’échanges socioculturelles qui sont un socle de développement d’une diversité culturelle assumée. La richesse du patrimoine immatériel burkinabé a conduit à l’émergence de nombreuses activités culturelles modernes. C’est pourquoi le Burkina Faso est reconnu pour son dynamisme culturel qui se manifeste effectivement par le fait qu’il abrite de grandes manifestations culturelles d’envergure internationale.</w:t>
      </w:r>
    </w:p>
    <w:p w:rsidR="00B657E4" w:rsidRPr="00B657E4" w:rsidRDefault="00FB41B0" w:rsidP="00DD2863">
      <w:pPr>
        <w:pStyle w:val="Paragraphedeliste"/>
        <w:widowControl w:val="0"/>
        <w:numPr>
          <w:ilvl w:val="0"/>
          <w:numId w:val="26"/>
        </w:numPr>
        <w:autoSpaceDE w:val="0"/>
        <w:autoSpaceDN w:val="0"/>
        <w:adjustRightInd w:val="0"/>
        <w:spacing w:after="0" w:line="240" w:lineRule="auto"/>
        <w:jc w:val="both"/>
        <w:rPr>
          <w:sz w:val="24"/>
          <w:szCs w:val="24"/>
        </w:rPr>
      </w:pPr>
      <w:r w:rsidRPr="00B657E4">
        <w:rPr>
          <w:sz w:val="24"/>
          <w:szCs w:val="24"/>
        </w:rPr>
        <w:t xml:space="preserve">Certaines pratiques traditionnelles comme le lévirat, l’excision, le mariage d’enfant, ou des interdits défavorables au genre, néfastes pour la santé sont aujourd’hui en nette recul. A l’opposé, un riche savoir dont les </w:t>
      </w:r>
      <w:proofErr w:type="spellStart"/>
      <w:r w:rsidRPr="00B657E4">
        <w:rPr>
          <w:sz w:val="24"/>
          <w:szCs w:val="24"/>
        </w:rPr>
        <w:t>tradipraticiens</w:t>
      </w:r>
      <w:proofErr w:type="spellEnd"/>
      <w:r w:rsidRPr="00B657E4">
        <w:rPr>
          <w:sz w:val="24"/>
          <w:szCs w:val="24"/>
        </w:rPr>
        <w:t xml:space="preserve"> de santé sont les dépositaires constitue une source de la pharmacopée africaine à valoriser. </w:t>
      </w:r>
    </w:p>
    <w:p w:rsidR="00FB41B0" w:rsidRPr="00B657E4" w:rsidRDefault="00FB41B0" w:rsidP="00DD2863">
      <w:pPr>
        <w:pStyle w:val="Paragraphedeliste"/>
        <w:widowControl w:val="0"/>
        <w:numPr>
          <w:ilvl w:val="0"/>
          <w:numId w:val="26"/>
        </w:numPr>
        <w:autoSpaceDE w:val="0"/>
        <w:autoSpaceDN w:val="0"/>
        <w:adjustRightInd w:val="0"/>
        <w:spacing w:after="0" w:line="240" w:lineRule="auto"/>
        <w:jc w:val="both"/>
        <w:rPr>
          <w:rFonts w:cs="Arial"/>
          <w:sz w:val="24"/>
          <w:szCs w:val="24"/>
        </w:rPr>
      </w:pPr>
      <w:r w:rsidRPr="00B657E4">
        <w:rPr>
          <w:sz w:val="24"/>
          <w:szCs w:val="24"/>
        </w:rPr>
        <w:t>Les différentes manifestations culturelles constituent des espaces d’échanges et également présentent les risques sanitaires inhérents au rassemblement de foules avec la promiscuité. Il offre néanmoins un cadre approprié pour toucher un grand nombre de personnes par sensibilisation sur des thèmes de santé. Ainsi, le cinéma mobile, notamment animé par le FESPACO, et le Cinéma Numérique Ambulant (CNA), circule dans les provinces, sensibilise et informe les populations locales sur des thèmes liés à la santé, à l’environnement, à l’éducation, à la culture, à la lutte contre la pauvreté, etc. Les théâtres-forums sont également des moyens de</w:t>
      </w:r>
      <w:r w:rsidRPr="00B657E4">
        <w:rPr>
          <w:rFonts w:cs="Calibri,Bold"/>
          <w:bCs/>
          <w:sz w:val="24"/>
          <w:szCs w:val="24"/>
        </w:rPr>
        <w:t xml:space="preserve"> sensibilisation pour la santé auxquels il est fait recours assez fréquemment.</w:t>
      </w:r>
    </w:p>
    <w:p w:rsidR="00FB41B0" w:rsidRDefault="00FB41B0" w:rsidP="00DD2863">
      <w:pPr>
        <w:pStyle w:val="Titre2"/>
        <w:numPr>
          <w:ilvl w:val="1"/>
          <w:numId w:val="27"/>
        </w:numPr>
      </w:pPr>
      <w:r w:rsidRPr="00926B43">
        <w:t>Education</w:t>
      </w:r>
    </w:p>
    <w:p w:rsidR="00FB41B0" w:rsidRDefault="00FB41B0" w:rsidP="00DD2863">
      <w:pPr>
        <w:pStyle w:val="Style1"/>
        <w:numPr>
          <w:ilvl w:val="0"/>
          <w:numId w:val="26"/>
        </w:numPr>
        <w:spacing w:after="300" w:line="240" w:lineRule="auto"/>
        <w:rPr>
          <w:rFonts w:cstheme="majorBidi"/>
          <w:bCs/>
          <w:sz w:val="26"/>
          <w:szCs w:val="26"/>
        </w:rPr>
      </w:pPr>
      <w:r w:rsidRPr="009D27C4">
        <w:rPr>
          <w:rFonts w:asciiTheme="minorHAnsi" w:hAnsiTheme="minorHAnsi" w:cstheme="minorHAnsi"/>
          <w:sz w:val="24"/>
          <w:szCs w:val="24"/>
        </w:rPr>
        <w:t>Il existe une corrélation positive entre le niveau d’instruction et l’état de santé de la population. Au Burkina Faso</w:t>
      </w:r>
      <w:r w:rsidRPr="009D27C4">
        <w:rPr>
          <w:rStyle w:val="Appelnotedebasdep"/>
          <w:rFonts w:asciiTheme="minorHAnsi" w:hAnsiTheme="minorHAnsi" w:cstheme="minorHAnsi"/>
          <w:sz w:val="24"/>
        </w:rPr>
        <w:footnoteReference w:id="5"/>
      </w:r>
      <w:r w:rsidRPr="009D27C4">
        <w:rPr>
          <w:rFonts w:asciiTheme="minorHAnsi" w:hAnsiTheme="minorHAnsi" w:cstheme="minorHAnsi"/>
          <w:sz w:val="24"/>
          <w:szCs w:val="24"/>
        </w:rPr>
        <w:t xml:space="preserve"> le taux d’alphabétisation des jeunes âgés de 15 à 24 ans en 2014 est estimé à 50%. Du reste, il existe de grandes disparités selon le milieu de résidence. Le français est la principale langue d’alphabétisation avec un taux de 28%. Concernant la scolarisation, elle est principalement favorable au milieu urbain. Le Taux brute de fréquentation scolaire (TBFS), tous niveaux confondus est de 73% en milieu urbain contre 38% en milieu rural. Plus le chef de ménage est instruit, plus les membres du ménage ont la chance d’être alphabétisés ou scolarisés. En 2014, le taux net de scolarisation (TNS) de 64,4% (64,7% pour les garçons et 64,2% pour les filles).</w:t>
      </w:r>
    </w:p>
    <w:p w:rsidR="00FB41B0" w:rsidRDefault="00FB41B0" w:rsidP="00DD2863">
      <w:pPr>
        <w:pStyle w:val="Titre2"/>
        <w:numPr>
          <w:ilvl w:val="1"/>
          <w:numId w:val="27"/>
        </w:numPr>
        <w:rPr>
          <w:bCs w:val="0"/>
        </w:rPr>
      </w:pPr>
      <w:r w:rsidRPr="00C00AC8">
        <w:t>Eau, Hygiène et Assainissem</w:t>
      </w:r>
      <w:r w:rsidRPr="00926B43">
        <w:t>ent</w:t>
      </w:r>
    </w:p>
    <w:p w:rsidR="00FB41B0" w:rsidRPr="00A37EA2" w:rsidRDefault="00FB41B0" w:rsidP="00DD2863">
      <w:pPr>
        <w:pStyle w:val="Paragraphedeliste"/>
        <w:widowControl w:val="0"/>
        <w:numPr>
          <w:ilvl w:val="0"/>
          <w:numId w:val="26"/>
        </w:numPr>
        <w:autoSpaceDE w:val="0"/>
        <w:autoSpaceDN w:val="0"/>
        <w:adjustRightInd w:val="0"/>
        <w:spacing w:after="0" w:line="240" w:lineRule="auto"/>
        <w:jc w:val="both"/>
        <w:rPr>
          <w:iCs/>
          <w:sz w:val="24"/>
          <w:szCs w:val="24"/>
        </w:rPr>
      </w:pPr>
      <w:r w:rsidRPr="00926B43">
        <w:rPr>
          <w:rFonts w:cs="Calibri,Bold"/>
          <w:bCs/>
          <w:sz w:val="24"/>
          <w:szCs w:val="24"/>
        </w:rPr>
        <w:t>Dans le domaine de l’eau, Au total 82%</w:t>
      </w:r>
      <w:r>
        <w:rPr>
          <w:rStyle w:val="Appelnotedebasdep"/>
          <w:rFonts w:cs="Calibri,Bold"/>
          <w:bCs/>
          <w:sz w:val="24"/>
          <w:szCs w:val="24"/>
        </w:rPr>
        <w:footnoteReference w:id="6"/>
      </w:r>
      <w:r w:rsidRPr="00926B43">
        <w:rPr>
          <w:rFonts w:cs="Calibri,Bold"/>
          <w:bCs/>
          <w:sz w:val="24"/>
          <w:szCs w:val="24"/>
        </w:rPr>
        <w:t xml:space="preserve"> de la population a accès à une source d’eau améliorée.  En ce qui concerne l’hygiène et l’assainissement, la couverture actuelle est estimée à seulement 20% de la population vivant dans des ménages disposant de toilettes appropriées. De graves disparités existent entre le milieu urbain (50%) et le milieu rural (7%).</w:t>
      </w:r>
      <w:r w:rsidR="00CB532E">
        <w:rPr>
          <w:rFonts w:cs="Calibri,Bold"/>
          <w:bCs/>
          <w:sz w:val="24"/>
          <w:szCs w:val="24"/>
        </w:rPr>
        <w:t xml:space="preserve"> Cette situation est comptable de l</w:t>
      </w:r>
      <w:r w:rsidR="00CB532E" w:rsidRPr="000B782B">
        <w:rPr>
          <w:sz w:val="24"/>
          <w:szCs w:val="24"/>
        </w:rPr>
        <w:t xml:space="preserve">a contamination </w:t>
      </w:r>
      <w:proofErr w:type="spellStart"/>
      <w:r w:rsidR="00CB532E" w:rsidRPr="000B782B">
        <w:rPr>
          <w:sz w:val="24"/>
          <w:szCs w:val="24"/>
        </w:rPr>
        <w:t>féco</w:t>
      </w:r>
      <w:proofErr w:type="spellEnd"/>
      <w:r w:rsidR="00CB532E" w:rsidRPr="000B782B">
        <w:rPr>
          <w:sz w:val="24"/>
          <w:szCs w:val="24"/>
        </w:rPr>
        <w:t>-orale</w:t>
      </w:r>
      <w:r w:rsidR="00CB532E">
        <w:rPr>
          <w:sz w:val="24"/>
          <w:szCs w:val="24"/>
        </w:rPr>
        <w:t xml:space="preserve"> qui est </w:t>
      </w:r>
      <w:r w:rsidR="00CB532E">
        <w:rPr>
          <w:sz w:val="24"/>
          <w:szCs w:val="24"/>
        </w:rPr>
        <w:lastRenderedPageBreak/>
        <w:t>source de plusieurs pathologies dont :</w:t>
      </w:r>
      <w:r w:rsidR="00CB532E" w:rsidRPr="000B782B">
        <w:rPr>
          <w:sz w:val="24"/>
          <w:szCs w:val="24"/>
        </w:rPr>
        <w:t xml:space="preserve"> la typhoïde, les diarrhées virales et bactériennes, l'amibiase, l'hépatite, l'ascaridiose, les gastro-entérites.</w:t>
      </w:r>
      <w:r w:rsidRPr="00926B43">
        <w:rPr>
          <w:rFonts w:cs="Calibri,Bold"/>
          <w:bCs/>
          <w:sz w:val="24"/>
          <w:szCs w:val="24"/>
        </w:rPr>
        <w:t xml:space="preserve"> Les dotations </w:t>
      </w:r>
      <w:r w:rsidRPr="00A37EA2">
        <w:rPr>
          <w:iCs/>
          <w:sz w:val="24"/>
          <w:szCs w:val="24"/>
        </w:rPr>
        <w:t>budgétaires du ministère en charge de l’eau et de l’assainissement, ont baissé entre 2013 et 2016 respectivement de 7.6% et 4.7%.  L’assainissement  représente le plus grand défi,  pourtant dans les allocations intra-ministérielles, moins de 20% des ressources lui sont consacrées.</w:t>
      </w:r>
    </w:p>
    <w:p w:rsidR="0031598B" w:rsidRPr="00C00AC8" w:rsidRDefault="0031598B" w:rsidP="00DD2863">
      <w:pPr>
        <w:pStyle w:val="Paragraphedeliste"/>
        <w:widowControl w:val="0"/>
        <w:numPr>
          <w:ilvl w:val="0"/>
          <w:numId w:val="26"/>
        </w:numPr>
        <w:autoSpaceDE w:val="0"/>
        <w:autoSpaceDN w:val="0"/>
        <w:adjustRightInd w:val="0"/>
        <w:spacing w:after="0" w:line="240" w:lineRule="auto"/>
        <w:jc w:val="both"/>
        <w:rPr>
          <w:rFonts w:cs="Calibri,Bold"/>
          <w:bCs/>
          <w:sz w:val="24"/>
          <w:szCs w:val="24"/>
        </w:rPr>
      </w:pPr>
      <w:r w:rsidRPr="00A37EA2">
        <w:rPr>
          <w:iCs/>
          <w:sz w:val="24"/>
          <w:szCs w:val="24"/>
        </w:rPr>
        <w:t>La gestion des déchets solides</w:t>
      </w:r>
      <w:r w:rsidR="00944E8A">
        <w:rPr>
          <w:iCs/>
          <w:sz w:val="24"/>
          <w:szCs w:val="24"/>
        </w:rPr>
        <w:t xml:space="preserve"> est peu ou pas organisée. P</w:t>
      </w:r>
      <w:r w:rsidRPr="00A37EA2">
        <w:rPr>
          <w:iCs/>
          <w:sz w:val="24"/>
          <w:szCs w:val="24"/>
        </w:rPr>
        <w:t>roduits essentiellement par les ménages, l'administration et le commerce, ces déchets font l'objet d'une préoccupation aussi bien en milieu urbain que rural. En milieu urbain, hormis Ouagadougou et Bobo-Dioulasso, les autres villes ne disposent pas de décharges contrôlées pour l'élimination écologiquement</w:t>
      </w:r>
      <w:r w:rsidRPr="000B782B">
        <w:rPr>
          <w:sz w:val="24"/>
          <w:szCs w:val="24"/>
        </w:rPr>
        <w:t xml:space="preserve"> rationnelle des déchets solides municipaux. Le taux de collecte en milieu urbain reste encore faible (moins de 50%)</w:t>
      </w:r>
      <w:r>
        <w:rPr>
          <w:sz w:val="24"/>
          <w:szCs w:val="24"/>
        </w:rPr>
        <w:t>.</w:t>
      </w:r>
      <w:r w:rsidRPr="000B782B">
        <w:rPr>
          <w:sz w:val="24"/>
          <w:szCs w:val="24"/>
        </w:rPr>
        <w:t xml:space="preserve"> Les déchets plastiques, notamment les emballages de faible épaisseur sont responsables de la destruction du cheptel, (environ 30% de la mortalité du cheptel sont liés à l'ingestion du plastique), la dégradation du paysage, l'appauvrissement des sols, la détérioration de la qualité de l'air, la diminution de la recharge de la nappe phréatique</w:t>
      </w:r>
      <w:r>
        <w:t xml:space="preserve">, </w:t>
      </w:r>
      <w:r w:rsidRPr="00B25966">
        <w:rPr>
          <w:sz w:val="24"/>
          <w:szCs w:val="24"/>
        </w:rPr>
        <w:t>etc.</w:t>
      </w:r>
    </w:p>
    <w:p w:rsidR="00C46B35" w:rsidRPr="000614D2" w:rsidRDefault="000614D2" w:rsidP="00DD2863">
      <w:pPr>
        <w:pStyle w:val="Titre2"/>
        <w:numPr>
          <w:ilvl w:val="1"/>
          <w:numId w:val="27"/>
        </w:numPr>
      </w:pPr>
      <w:r w:rsidRPr="000614D2">
        <w:t>C</w:t>
      </w:r>
      <w:r w:rsidR="00C46B35" w:rsidRPr="000614D2">
        <w:t>adre organisationnel, institutionnel et règlementaire</w:t>
      </w:r>
    </w:p>
    <w:p w:rsidR="000614D2" w:rsidRDefault="000614D2" w:rsidP="00C46B35">
      <w:pPr>
        <w:widowControl w:val="0"/>
        <w:autoSpaceDE w:val="0"/>
        <w:autoSpaceDN w:val="0"/>
        <w:adjustRightInd w:val="0"/>
        <w:spacing w:after="0" w:line="240" w:lineRule="auto"/>
        <w:ind w:left="116"/>
        <w:rPr>
          <w:rFonts w:cstheme="minorHAnsi"/>
          <w:color w:val="000000"/>
          <w:sz w:val="24"/>
          <w:szCs w:val="24"/>
        </w:rPr>
      </w:pPr>
    </w:p>
    <w:p w:rsidR="00B657E4" w:rsidRPr="00B657E4" w:rsidRDefault="00B657E4" w:rsidP="00DD2863">
      <w:pPr>
        <w:pStyle w:val="Paragraphedeliste"/>
        <w:widowControl w:val="0"/>
        <w:numPr>
          <w:ilvl w:val="0"/>
          <w:numId w:val="26"/>
        </w:numPr>
        <w:autoSpaceDE w:val="0"/>
        <w:autoSpaceDN w:val="0"/>
        <w:adjustRightInd w:val="0"/>
        <w:spacing w:after="0" w:line="240" w:lineRule="auto"/>
        <w:jc w:val="both"/>
        <w:rPr>
          <w:sz w:val="24"/>
          <w:szCs w:val="24"/>
        </w:rPr>
      </w:pPr>
      <w:r w:rsidRPr="00957711">
        <w:rPr>
          <w:rFonts w:cs="Arial"/>
          <w:sz w:val="24"/>
          <w:szCs w:val="24"/>
          <w:lang w:eastAsia="en-GB"/>
        </w:rPr>
        <w:t xml:space="preserve">Dans le </w:t>
      </w:r>
      <w:r w:rsidRPr="00C77B5F">
        <w:rPr>
          <w:rFonts w:cs="Rockwell"/>
          <w:sz w:val="24"/>
          <w:szCs w:val="24"/>
        </w:rPr>
        <w:t>cadre</w:t>
      </w:r>
      <w:r w:rsidRPr="00957711">
        <w:rPr>
          <w:rFonts w:cs="Arial"/>
          <w:sz w:val="24"/>
          <w:szCs w:val="24"/>
          <w:lang w:eastAsia="en-GB"/>
        </w:rPr>
        <w:t xml:space="preserve"> de la mise en œuvre du Plan national de développement économique et social (PNDES), le secteur de planification santé</w:t>
      </w:r>
      <w:r w:rsidR="00185BBB">
        <w:rPr>
          <w:rFonts w:cs="Arial"/>
          <w:sz w:val="24"/>
          <w:szCs w:val="24"/>
          <w:lang w:eastAsia="en-GB"/>
        </w:rPr>
        <w:t xml:space="preserve"> </w:t>
      </w:r>
      <w:r w:rsidR="00185BBB">
        <w:rPr>
          <w:sz w:val="24"/>
          <w:szCs w:val="24"/>
        </w:rPr>
        <w:t xml:space="preserve">couvre </w:t>
      </w:r>
      <w:r w:rsidR="00185BBB" w:rsidRPr="00A37EA2">
        <w:rPr>
          <w:iCs/>
          <w:sz w:val="24"/>
          <w:szCs w:val="24"/>
        </w:rPr>
        <w:t>les questions de santé précisément pour ce qui touche aux produits, appareils et matériels médicaux, aux services ambulatoires, aux services hospitaliers, aux services de santé publique (CFB 07),  à la santé et action sociale (NBA 180030) et à la nutrition (Autres domaines concernés)</w:t>
      </w:r>
      <w:r w:rsidR="00185BBB">
        <w:rPr>
          <w:iCs/>
          <w:sz w:val="24"/>
          <w:szCs w:val="24"/>
        </w:rPr>
        <w:t xml:space="preserve">. </w:t>
      </w:r>
      <w:r w:rsidRPr="00957711">
        <w:rPr>
          <w:rFonts w:cs="Arial"/>
          <w:sz w:val="24"/>
          <w:szCs w:val="24"/>
          <w:lang w:eastAsia="en-GB"/>
        </w:rPr>
        <w:t xml:space="preserve"> </w:t>
      </w:r>
      <w:r w:rsidR="00185BBB">
        <w:rPr>
          <w:rFonts w:cs="Arial"/>
          <w:sz w:val="24"/>
          <w:szCs w:val="24"/>
          <w:lang w:eastAsia="en-GB"/>
        </w:rPr>
        <w:t xml:space="preserve">Il implique </w:t>
      </w:r>
      <w:r w:rsidRPr="00957711">
        <w:rPr>
          <w:rFonts w:cs="Arial"/>
          <w:sz w:val="24"/>
          <w:szCs w:val="24"/>
          <w:lang w:eastAsia="en-GB"/>
        </w:rPr>
        <w:t xml:space="preserve"> le Ministère en charge de la santé, le Ministère en charge de l’action sociale et le Ministère en charge de l’agriculture. Ce secteur de planification santé organise, met en œuvre et capitalise les actions de tous les acteurs du domaine de la santé.</w:t>
      </w:r>
      <w:r>
        <w:rPr>
          <w:rFonts w:cs="Arial"/>
          <w:sz w:val="24"/>
          <w:szCs w:val="24"/>
          <w:lang w:eastAsia="en-GB"/>
        </w:rPr>
        <w:t xml:space="preserve"> </w:t>
      </w:r>
      <w:r w:rsidRPr="00957711">
        <w:rPr>
          <w:rFonts w:cs="Arial"/>
          <w:sz w:val="24"/>
          <w:szCs w:val="24"/>
          <w:lang w:eastAsia="en-GB"/>
        </w:rPr>
        <w:t xml:space="preserve">Cependant le secteur ainsi défini ne prend pas en compte la liaison santé animale, santé humaine et environnement matérialisée dans l’approche « one </w:t>
      </w:r>
      <w:proofErr w:type="spellStart"/>
      <w:r w:rsidRPr="00957711">
        <w:rPr>
          <w:rFonts w:cs="Arial"/>
          <w:sz w:val="24"/>
          <w:szCs w:val="24"/>
          <w:lang w:eastAsia="en-GB"/>
        </w:rPr>
        <w:t>health</w:t>
      </w:r>
      <w:proofErr w:type="spellEnd"/>
      <w:r w:rsidRPr="00957711">
        <w:rPr>
          <w:rFonts w:cs="Arial"/>
          <w:sz w:val="24"/>
          <w:szCs w:val="24"/>
          <w:lang w:eastAsia="en-GB"/>
        </w:rPr>
        <w:t xml:space="preserve"> ». De plus la question de </w:t>
      </w:r>
      <w:r w:rsidRPr="00B657E4">
        <w:rPr>
          <w:sz w:val="24"/>
          <w:szCs w:val="24"/>
        </w:rPr>
        <w:t>la sécurité alimentaire dépasse le volet production végétale pris en compte dans le département de l’agriculture et doit nécessairement intégrer l’apport alimentaire d’origine animale et halieutique. En matière de promotion de la santé dans un contexte de progression des maladies non-transmissibles</w:t>
      </w:r>
      <w:r w:rsidR="00185BBB">
        <w:rPr>
          <w:sz w:val="24"/>
          <w:szCs w:val="24"/>
        </w:rPr>
        <w:t xml:space="preserve"> et des accidents de la circulation</w:t>
      </w:r>
      <w:r w:rsidRPr="00B657E4">
        <w:rPr>
          <w:sz w:val="24"/>
          <w:szCs w:val="24"/>
        </w:rPr>
        <w:t xml:space="preserve">, l’implication du département chargé du sport avec la promotion de l’exercice physique régulier et adapté </w:t>
      </w:r>
      <w:r w:rsidR="00185BBB">
        <w:rPr>
          <w:sz w:val="24"/>
          <w:szCs w:val="24"/>
        </w:rPr>
        <w:t>et du ministère des transport</w:t>
      </w:r>
      <w:r w:rsidR="00944E8A">
        <w:rPr>
          <w:sz w:val="24"/>
          <w:szCs w:val="24"/>
        </w:rPr>
        <w:t>s</w:t>
      </w:r>
      <w:r w:rsidR="00185BBB">
        <w:rPr>
          <w:sz w:val="24"/>
          <w:szCs w:val="24"/>
        </w:rPr>
        <w:t xml:space="preserve"> pour la prévention des accidents </w:t>
      </w:r>
      <w:r w:rsidRPr="00B657E4">
        <w:rPr>
          <w:sz w:val="24"/>
          <w:szCs w:val="24"/>
        </w:rPr>
        <w:t>est encore insuffisante.</w:t>
      </w:r>
    </w:p>
    <w:p w:rsidR="00B657E4" w:rsidRPr="00B657E4" w:rsidRDefault="00B657E4" w:rsidP="00DD2863">
      <w:pPr>
        <w:pStyle w:val="Paragraphedeliste"/>
        <w:widowControl w:val="0"/>
        <w:numPr>
          <w:ilvl w:val="0"/>
          <w:numId w:val="26"/>
        </w:numPr>
        <w:autoSpaceDE w:val="0"/>
        <w:autoSpaceDN w:val="0"/>
        <w:adjustRightInd w:val="0"/>
        <w:spacing w:after="0" w:line="240" w:lineRule="auto"/>
        <w:jc w:val="both"/>
        <w:rPr>
          <w:sz w:val="24"/>
          <w:szCs w:val="24"/>
        </w:rPr>
      </w:pPr>
      <w:r w:rsidRPr="00B657E4">
        <w:rPr>
          <w:sz w:val="24"/>
          <w:szCs w:val="24"/>
        </w:rPr>
        <w:t xml:space="preserve">Le leadership du Ministère de la santé est resté suffisamment solide pour maintenir la qualité du dialogue sectoriel à un niveau élevé. En effet, le décret n° 2017-00148/PRES/PM/SGG_CM du 23 mars 2017 portant attribution des membres du gouvernement du Burkina Faso consacre l’organisation des ministères composant ce secteur. Chaque ministère en son sein </w:t>
      </w:r>
      <w:proofErr w:type="gramStart"/>
      <w:r w:rsidRPr="00B657E4">
        <w:rPr>
          <w:sz w:val="24"/>
          <w:szCs w:val="24"/>
        </w:rPr>
        <w:t>a</w:t>
      </w:r>
      <w:proofErr w:type="gramEnd"/>
      <w:r w:rsidRPr="00B657E4">
        <w:rPr>
          <w:sz w:val="24"/>
          <w:szCs w:val="24"/>
        </w:rPr>
        <w:t xml:space="preserve"> son organisation régit par des textes règlementaires. Malgré l’existence d’un cadre de dialogue sectoriel, la circulation de l’information entre ces entités n’est pas encadrée par un texte approprié. En outre, des insuffisances de fonctionnement ou de suivi, entravent la synergie d’action et l’efficacité des cadres de collaboration entre les départements intervenant dans la santé.</w:t>
      </w:r>
    </w:p>
    <w:p w:rsidR="00B657E4" w:rsidRPr="00B657E4" w:rsidRDefault="00B657E4" w:rsidP="00DD2863">
      <w:pPr>
        <w:pStyle w:val="Paragraphedeliste"/>
        <w:widowControl w:val="0"/>
        <w:numPr>
          <w:ilvl w:val="0"/>
          <w:numId w:val="26"/>
        </w:numPr>
        <w:autoSpaceDE w:val="0"/>
        <w:autoSpaceDN w:val="0"/>
        <w:adjustRightInd w:val="0"/>
        <w:spacing w:after="0" w:line="240" w:lineRule="auto"/>
        <w:jc w:val="both"/>
        <w:rPr>
          <w:sz w:val="24"/>
          <w:szCs w:val="24"/>
        </w:rPr>
      </w:pPr>
      <w:r w:rsidRPr="002F0A86">
        <w:rPr>
          <w:sz w:val="24"/>
          <w:szCs w:val="24"/>
        </w:rPr>
        <w:t xml:space="preserve">Selon l’article </w:t>
      </w:r>
      <w:r w:rsidR="002F0A86" w:rsidRPr="002F0A86">
        <w:rPr>
          <w:sz w:val="24"/>
          <w:szCs w:val="24"/>
        </w:rPr>
        <w:t>18</w:t>
      </w:r>
      <w:r w:rsidRPr="002F0A86">
        <w:rPr>
          <w:sz w:val="24"/>
          <w:szCs w:val="24"/>
        </w:rPr>
        <w:t xml:space="preserve"> </w:t>
      </w:r>
      <w:r w:rsidR="002F0A86" w:rsidRPr="002F0A86">
        <w:rPr>
          <w:sz w:val="24"/>
          <w:szCs w:val="24"/>
        </w:rPr>
        <w:t>d</w:t>
      </w:r>
      <w:r w:rsidRPr="002F0A86">
        <w:rPr>
          <w:sz w:val="24"/>
          <w:szCs w:val="24"/>
        </w:rPr>
        <w:t>e la constitu</w:t>
      </w:r>
      <w:r w:rsidR="002F0A86" w:rsidRPr="002F0A86">
        <w:rPr>
          <w:sz w:val="24"/>
          <w:szCs w:val="24"/>
        </w:rPr>
        <w:t>t</w:t>
      </w:r>
      <w:r w:rsidRPr="002F0A86">
        <w:rPr>
          <w:sz w:val="24"/>
          <w:szCs w:val="24"/>
        </w:rPr>
        <w:t>ion, la santé est un droit fondamental au  Burkina</w:t>
      </w:r>
      <w:r w:rsidRPr="00B657E4">
        <w:rPr>
          <w:sz w:val="24"/>
          <w:szCs w:val="24"/>
        </w:rPr>
        <w:t xml:space="preserve"> Faso. Pour y faire droit le pays dispose d’un arsenal juridique et réglementaire pour faire </w:t>
      </w:r>
      <w:r w:rsidRPr="00B657E4">
        <w:rPr>
          <w:sz w:val="24"/>
          <w:szCs w:val="24"/>
        </w:rPr>
        <w:lastRenderedPageBreak/>
        <w:t>fonctionner le secteur de planification santé. On citera notamment le code de santé publique, la loi sur la protection et promotion des personnes âgées, la loi sur l’élimination des Mutilations génitale féminines, la loi sur l’Assurance Maladie Universelle "AMU", la loi cadre régissant les finances publiques et la loi relative à la prévention et de gestion des risques, des crises humanitaires et des catastrophes. Les textes juridiques ont été élaborés, il y a de cela quelques années, dans un contexte différent de nos jours. Il s’avère nécessaire de les faire évoluer pour prendre en compte les insuffisances suivantes : (i) les chevauchements des attributions ou prérogatives, notamment en matière de contrôle des produits et des aliments (ii) le manque de séparation des rôles et fonctions des différents acteurs et intervenants du système de santé.</w:t>
      </w:r>
    </w:p>
    <w:p w:rsidR="000614D2" w:rsidRPr="00C46B35" w:rsidRDefault="00B657E4" w:rsidP="00DD2863">
      <w:pPr>
        <w:pStyle w:val="Paragraphedeliste"/>
        <w:widowControl w:val="0"/>
        <w:numPr>
          <w:ilvl w:val="0"/>
          <w:numId w:val="26"/>
        </w:numPr>
        <w:autoSpaceDE w:val="0"/>
        <w:autoSpaceDN w:val="0"/>
        <w:adjustRightInd w:val="0"/>
        <w:spacing w:after="0" w:line="240" w:lineRule="auto"/>
        <w:jc w:val="both"/>
        <w:rPr>
          <w:rFonts w:cstheme="minorHAnsi"/>
          <w:color w:val="000000"/>
          <w:sz w:val="24"/>
          <w:szCs w:val="24"/>
        </w:rPr>
      </w:pPr>
      <w:r w:rsidRPr="00B657E4">
        <w:rPr>
          <w:sz w:val="24"/>
          <w:szCs w:val="24"/>
        </w:rPr>
        <w:t>Au regard de cet arsenal juridique chaque citoyen quelque soit sa condition d’existence dispose de droit à la santé. L’Etat</w:t>
      </w:r>
      <w:r>
        <w:rPr>
          <w:sz w:val="24"/>
          <w:szCs w:val="24"/>
        </w:rPr>
        <w:t xml:space="preserve"> doit mettre l’ensemble des mes</w:t>
      </w:r>
      <w:r w:rsidRPr="00B657E4">
        <w:rPr>
          <w:sz w:val="24"/>
          <w:szCs w:val="24"/>
        </w:rPr>
        <w:t>ures en œuvres afin que</w:t>
      </w:r>
      <w:r>
        <w:rPr>
          <w:rFonts w:cs="Arial"/>
          <w:sz w:val="24"/>
          <w:szCs w:val="24"/>
          <w:lang w:eastAsia="en-GB"/>
        </w:rPr>
        <w:t xml:space="preserve"> ces droits soient respectés. Par exemple chaque enfant a droit à bénéficié de vaccin, chaque femme doit pouvoir contrôler sa santé reproductive comme elle le souhaite, chaque malade du SIDA doit accéder aux soins, etc.</w:t>
      </w:r>
    </w:p>
    <w:p w:rsidR="00C46B35" w:rsidRDefault="000614D2" w:rsidP="00DD2863">
      <w:pPr>
        <w:pStyle w:val="Titre2"/>
        <w:numPr>
          <w:ilvl w:val="1"/>
          <w:numId w:val="27"/>
        </w:numPr>
      </w:pPr>
      <w:r w:rsidRPr="000614D2">
        <w:t>A</w:t>
      </w:r>
      <w:r w:rsidR="00C46B35" w:rsidRPr="000614D2">
        <w:t>cteurs et  rôles</w:t>
      </w:r>
    </w:p>
    <w:p w:rsidR="00700890" w:rsidRPr="00D81428" w:rsidRDefault="00700890" w:rsidP="00D81428">
      <w:pPr>
        <w:pStyle w:val="Paragraphedeliste"/>
        <w:widowControl w:val="0"/>
        <w:numPr>
          <w:ilvl w:val="0"/>
          <w:numId w:val="26"/>
        </w:numPr>
        <w:autoSpaceDE w:val="0"/>
        <w:autoSpaceDN w:val="0"/>
        <w:adjustRightInd w:val="0"/>
        <w:spacing w:after="0" w:line="240" w:lineRule="auto"/>
        <w:jc w:val="both"/>
        <w:rPr>
          <w:sz w:val="24"/>
          <w:szCs w:val="24"/>
        </w:rPr>
      </w:pPr>
      <w:r w:rsidRPr="00D81428">
        <w:rPr>
          <w:sz w:val="24"/>
          <w:szCs w:val="24"/>
        </w:rPr>
        <w:t>Les acteurs gouvernementaux constitués par les ministères impliqués ont en charge la définition et la mise en œuvre des politiques, projets et programmes. Ils sont spécifiquement responsables de la bonne coordination du secteur.</w:t>
      </w:r>
    </w:p>
    <w:p w:rsidR="00700890" w:rsidRPr="00D81428" w:rsidRDefault="00700890" w:rsidP="00D81428">
      <w:pPr>
        <w:pStyle w:val="Paragraphedeliste"/>
        <w:widowControl w:val="0"/>
        <w:numPr>
          <w:ilvl w:val="0"/>
          <w:numId w:val="26"/>
        </w:numPr>
        <w:autoSpaceDE w:val="0"/>
        <w:autoSpaceDN w:val="0"/>
        <w:adjustRightInd w:val="0"/>
        <w:spacing w:after="0" w:line="240" w:lineRule="auto"/>
        <w:jc w:val="both"/>
        <w:rPr>
          <w:sz w:val="24"/>
          <w:szCs w:val="24"/>
        </w:rPr>
      </w:pPr>
      <w:r w:rsidRPr="00D81428">
        <w:rPr>
          <w:sz w:val="24"/>
          <w:szCs w:val="24"/>
        </w:rPr>
        <w:t>En plus des acteurs gouvernementaux, les collectivités territoriales ont en charge la mise en œuvre des services sociaux de base dont la santé. Ces collectivités du fait de leurs faibles capacités dans le secteur spécifique ont encore du mal à assumer pleinement leurs rôles.</w:t>
      </w:r>
    </w:p>
    <w:p w:rsidR="00700890" w:rsidRPr="00D81428" w:rsidRDefault="00700890" w:rsidP="00D81428">
      <w:pPr>
        <w:pStyle w:val="Paragraphedeliste"/>
        <w:widowControl w:val="0"/>
        <w:numPr>
          <w:ilvl w:val="0"/>
          <w:numId w:val="26"/>
        </w:numPr>
        <w:autoSpaceDE w:val="0"/>
        <w:autoSpaceDN w:val="0"/>
        <w:adjustRightInd w:val="0"/>
        <w:spacing w:after="0" w:line="240" w:lineRule="auto"/>
        <w:jc w:val="both"/>
        <w:rPr>
          <w:sz w:val="24"/>
          <w:szCs w:val="24"/>
        </w:rPr>
      </w:pPr>
      <w:r w:rsidRPr="00D81428">
        <w:rPr>
          <w:sz w:val="24"/>
          <w:szCs w:val="24"/>
        </w:rPr>
        <w:t>Le secteur privé des soins participe pleinement à la couverture sanitaire du pays. Cependant l’intégration de leurs données dans le système d’information sanitaire ainsi que leur participation aux objectifs de santé publique restent marginal.</w:t>
      </w:r>
    </w:p>
    <w:p w:rsidR="00700890" w:rsidRPr="00D81428" w:rsidRDefault="00700890" w:rsidP="00D81428">
      <w:pPr>
        <w:pStyle w:val="Paragraphedeliste"/>
        <w:widowControl w:val="0"/>
        <w:numPr>
          <w:ilvl w:val="0"/>
          <w:numId w:val="26"/>
        </w:numPr>
        <w:autoSpaceDE w:val="0"/>
        <w:autoSpaceDN w:val="0"/>
        <w:adjustRightInd w:val="0"/>
        <w:spacing w:after="0" w:line="240" w:lineRule="auto"/>
        <w:jc w:val="both"/>
        <w:rPr>
          <w:sz w:val="24"/>
          <w:szCs w:val="24"/>
        </w:rPr>
      </w:pPr>
      <w:r w:rsidRPr="00D81428">
        <w:rPr>
          <w:sz w:val="24"/>
          <w:szCs w:val="24"/>
        </w:rPr>
        <w:t>La société civile joue un rôle important dans les domaines de la communication pour le changement de comportement ainsi que dans la veille communautaire.</w:t>
      </w:r>
    </w:p>
    <w:p w:rsidR="004166E6" w:rsidRPr="00D81428" w:rsidRDefault="00700890" w:rsidP="00D81428">
      <w:pPr>
        <w:pStyle w:val="Paragraphedeliste"/>
        <w:widowControl w:val="0"/>
        <w:numPr>
          <w:ilvl w:val="0"/>
          <w:numId w:val="26"/>
        </w:numPr>
        <w:autoSpaceDE w:val="0"/>
        <w:autoSpaceDN w:val="0"/>
        <w:adjustRightInd w:val="0"/>
        <w:spacing w:after="0" w:line="240" w:lineRule="auto"/>
        <w:jc w:val="both"/>
        <w:rPr>
          <w:sz w:val="24"/>
          <w:szCs w:val="24"/>
        </w:rPr>
      </w:pPr>
      <w:r w:rsidRPr="00D81428">
        <w:rPr>
          <w:sz w:val="24"/>
          <w:szCs w:val="24"/>
        </w:rPr>
        <w:t>Les partenaires techniques et financiers accompagnent le Burkina Faso autant dans la conception et la mise en œuvre des documents stratégiques que dans leurs financements.</w:t>
      </w:r>
    </w:p>
    <w:p w:rsidR="004166E6" w:rsidRPr="004166E6" w:rsidRDefault="004166E6" w:rsidP="00D81428">
      <w:pPr>
        <w:pStyle w:val="Titre2"/>
        <w:numPr>
          <w:ilvl w:val="1"/>
          <w:numId w:val="27"/>
        </w:numPr>
      </w:pPr>
      <w:r w:rsidRPr="00454A62">
        <w:t xml:space="preserve">Evaluation des ressources </w:t>
      </w:r>
      <w:r>
        <w:t xml:space="preserve">et des mesures de gouvernance </w:t>
      </w:r>
      <w:r w:rsidRPr="00454A62">
        <w:t>du secteur</w:t>
      </w:r>
    </w:p>
    <w:p w:rsidR="000614D2" w:rsidRDefault="000614D2" w:rsidP="00C46B35">
      <w:pPr>
        <w:widowControl w:val="0"/>
        <w:autoSpaceDE w:val="0"/>
        <w:autoSpaceDN w:val="0"/>
        <w:adjustRightInd w:val="0"/>
        <w:spacing w:after="0" w:line="240" w:lineRule="auto"/>
        <w:ind w:left="116"/>
        <w:rPr>
          <w:rFonts w:cstheme="minorHAnsi"/>
          <w:color w:val="000000"/>
          <w:sz w:val="24"/>
          <w:szCs w:val="24"/>
        </w:rPr>
      </w:pPr>
    </w:p>
    <w:p w:rsidR="000614D2" w:rsidRPr="00D81428" w:rsidRDefault="000C4A3A" w:rsidP="00D81428">
      <w:pPr>
        <w:pStyle w:val="Titre3"/>
        <w:numPr>
          <w:ilvl w:val="2"/>
          <w:numId w:val="27"/>
        </w:numPr>
        <w:rPr>
          <w:sz w:val="24"/>
          <w:szCs w:val="24"/>
        </w:rPr>
      </w:pPr>
      <w:r w:rsidRPr="00D81428">
        <w:rPr>
          <w:sz w:val="24"/>
          <w:szCs w:val="24"/>
        </w:rPr>
        <w:t>Ressources humaines</w:t>
      </w:r>
    </w:p>
    <w:p w:rsidR="000C4A3A" w:rsidRPr="00372C2F" w:rsidRDefault="000C4A3A" w:rsidP="00372C2F">
      <w:pPr>
        <w:pStyle w:val="Paragraphedeliste"/>
        <w:widowControl w:val="0"/>
        <w:numPr>
          <w:ilvl w:val="0"/>
          <w:numId w:val="26"/>
        </w:numPr>
        <w:autoSpaceDE w:val="0"/>
        <w:autoSpaceDN w:val="0"/>
        <w:adjustRightInd w:val="0"/>
        <w:spacing w:after="0" w:line="240" w:lineRule="auto"/>
        <w:jc w:val="both"/>
        <w:rPr>
          <w:sz w:val="24"/>
          <w:szCs w:val="24"/>
        </w:rPr>
      </w:pPr>
      <w:r w:rsidRPr="00372C2F">
        <w:rPr>
          <w:sz w:val="24"/>
          <w:szCs w:val="24"/>
        </w:rPr>
        <w:t>L’effort de recrutement pour le ministère de la santé a fait passer l’effectif total de 19 000 à 26 127 agents entre 2010 et 2015</w:t>
      </w:r>
      <w:r w:rsidRPr="00372C2F">
        <w:rPr>
          <w:sz w:val="24"/>
          <w:szCs w:val="24"/>
        </w:rPr>
        <w:footnoteReference w:id="7"/>
      </w:r>
      <w:r w:rsidRPr="00372C2F">
        <w:rPr>
          <w:sz w:val="24"/>
          <w:szCs w:val="24"/>
        </w:rPr>
        <w:t xml:space="preserve">. Les dépenses liées aux ressources humaines en santé ont augmentée de 51%. Le pourcentage de formations sanitaires (CSPS) remplissant les normes minimales en personnel est passé de 83,1% en 2010 (année de base) à 94,8% en 2015 (cible 90%). Les ratios personnels/population sont passés de 1/22 063 à 1/15 518 pour les médecins (cible 1/18 000), de 1/5 151 à 1/4 243 pour les IDE (cible 1/5 000) et de 1/14 883 à 1/7 743 pour les sages-femmes (cible 1/10 000). Cependant, ces ratios calculés sur base de normes datant de 1999 risquent de </w:t>
      </w:r>
      <w:r w:rsidRPr="00372C2F">
        <w:rPr>
          <w:sz w:val="24"/>
          <w:szCs w:val="24"/>
        </w:rPr>
        <w:lastRenderedPageBreak/>
        <w:t xml:space="preserve">s’effondrer avec l’application de normes actualisées en cours de validation. D’autre part l’utilisation de la densité de l’offre de main-d’œuvre proposée par l’OMS, semble être un meilleur outil pour mesurer l’efficacité du personnel. On note également une inégale répartition du personnel entre les régions et à l’intérieur des régions. Pour les autres départements, leur système d’information ne permet de dégager une ressource humaine spécifique pour </w:t>
      </w:r>
      <w:r w:rsidR="00185BBB">
        <w:rPr>
          <w:sz w:val="24"/>
          <w:szCs w:val="24"/>
        </w:rPr>
        <w:t>la protection sociale et la sécurité alimentaire</w:t>
      </w:r>
    </w:p>
    <w:p w:rsidR="000C4A3A" w:rsidRDefault="000C4A3A" w:rsidP="00D81428">
      <w:pPr>
        <w:pStyle w:val="Titre3"/>
        <w:numPr>
          <w:ilvl w:val="2"/>
          <w:numId w:val="27"/>
        </w:numPr>
        <w:rPr>
          <w:sz w:val="24"/>
          <w:szCs w:val="24"/>
        </w:rPr>
      </w:pPr>
      <w:r w:rsidRPr="000C4A3A">
        <w:rPr>
          <w:sz w:val="24"/>
          <w:szCs w:val="24"/>
        </w:rPr>
        <w:t>Ressources matérielles</w:t>
      </w:r>
    </w:p>
    <w:p w:rsidR="000C4A3A" w:rsidRPr="000C4A3A" w:rsidRDefault="000C4A3A" w:rsidP="00DD2863">
      <w:pPr>
        <w:pStyle w:val="Paragraphedeliste"/>
        <w:widowControl w:val="0"/>
        <w:numPr>
          <w:ilvl w:val="0"/>
          <w:numId w:val="26"/>
        </w:numPr>
        <w:autoSpaceDE w:val="0"/>
        <w:autoSpaceDN w:val="0"/>
        <w:adjustRightInd w:val="0"/>
        <w:spacing w:after="0" w:line="240" w:lineRule="auto"/>
        <w:jc w:val="both"/>
        <w:rPr>
          <w:sz w:val="24"/>
          <w:szCs w:val="24"/>
        </w:rPr>
      </w:pPr>
      <w:r w:rsidRPr="00372C2F">
        <w:rPr>
          <w:sz w:val="24"/>
          <w:szCs w:val="24"/>
        </w:rPr>
        <w:t xml:space="preserve">Le nombre d’infrastructures sanitaires publiques est passé de 1897 en 2011 à 2060 en 2015 entrainant une amélioration du rayon moyen d’action théorique qui est passé de 7,3 km en 2001 à 6,8 km en 2015 pour une cible de 6 km. Toutefois, il persiste encore des disparités. En 2015, l’étendue de l’écart entre la région la plus favorisée et la moins favorisée était de 9 km et atteignait 13,2 km pour les districts. </w:t>
      </w:r>
      <w:r w:rsidRPr="000C4A3A">
        <w:rPr>
          <w:sz w:val="24"/>
          <w:szCs w:val="24"/>
        </w:rPr>
        <w:t>La mise en place de la SOGEMAB devrait permettre de régler la question des acquisitions et de la maintenance des équipements biomédicaux caractérisés par une très grande diversité de marques et de provenance.</w:t>
      </w:r>
    </w:p>
    <w:p w:rsidR="000C4A3A" w:rsidRPr="000C4A3A" w:rsidRDefault="000C4A3A" w:rsidP="00DD2863">
      <w:pPr>
        <w:pStyle w:val="Paragraphedeliste"/>
        <w:widowControl w:val="0"/>
        <w:numPr>
          <w:ilvl w:val="0"/>
          <w:numId w:val="26"/>
        </w:numPr>
        <w:autoSpaceDE w:val="0"/>
        <w:autoSpaceDN w:val="0"/>
        <w:adjustRightInd w:val="0"/>
        <w:spacing w:after="0" w:line="240" w:lineRule="auto"/>
        <w:jc w:val="both"/>
        <w:rPr>
          <w:sz w:val="24"/>
          <w:szCs w:val="24"/>
        </w:rPr>
      </w:pPr>
      <w:r w:rsidRPr="000C4A3A">
        <w:rPr>
          <w:sz w:val="24"/>
          <w:szCs w:val="24"/>
        </w:rPr>
        <w:t>Selon le répertoire national, en 212, il y avait 357 établissements sanitaires privés de soins au Burkina Faso. Ces établissements se repartissent entre : (i) cabinet de soins infirmiers 187 soit 52,38% ; (ii) centre médical 40 (11%) ; CSPS 35 (9,80%), clinique 32 (8,96%) etc. 73,67% de ces établissements sanitaires sont des formations sanitaires privés lucratives le reste se répartissant entre les formations sanitaires confessionnelles et associatives. Ces établissements sanitaires privés sont majoritairement situés dans la région du Centre (58,54%) et les Hauts Bassins (19,61%).</w:t>
      </w:r>
    </w:p>
    <w:p w:rsidR="000C4A3A" w:rsidRPr="00372C2F" w:rsidRDefault="000C4A3A" w:rsidP="00DD2863">
      <w:pPr>
        <w:pStyle w:val="Paragraphedeliste"/>
        <w:widowControl w:val="0"/>
        <w:numPr>
          <w:ilvl w:val="0"/>
          <w:numId w:val="26"/>
        </w:numPr>
        <w:autoSpaceDE w:val="0"/>
        <w:autoSpaceDN w:val="0"/>
        <w:adjustRightInd w:val="0"/>
        <w:spacing w:after="0" w:line="240" w:lineRule="auto"/>
        <w:jc w:val="both"/>
        <w:rPr>
          <w:sz w:val="24"/>
          <w:szCs w:val="24"/>
        </w:rPr>
      </w:pPr>
      <w:r w:rsidRPr="000C4A3A">
        <w:rPr>
          <w:sz w:val="24"/>
          <w:szCs w:val="24"/>
        </w:rPr>
        <w:t xml:space="preserve">Sur la base du Plan spécial d’équipement des EPS 2013- 2016, un ensemble d’équipements </w:t>
      </w:r>
      <w:proofErr w:type="spellStart"/>
      <w:r w:rsidRPr="000C4A3A">
        <w:rPr>
          <w:sz w:val="24"/>
          <w:szCs w:val="24"/>
        </w:rPr>
        <w:t>médico</w:t>
      </w:r>
      <w:proofErr w:type="spellEnd"/>
      <w:r w:rsidRPr="000C4A3A">
        <w:rPr>
          <w:sz w:val="24"/>
          <w:szCs w:val="24"/>
        </w:rPr>
        <w:t>-techniques ont été acquis au profit des structures de soins (CHU, CHR). Ces équipements ont permis de relever sensiblement le niveau du</w:t>
      </w:r>
      <w:r w:rsidRPr="00372C2F">
        <w:rPr>
          <w:sz w:val="24"/>
          <w:szCs w:val="24"/>
        </w:rPr>
        <w:t xml:space="preserve"> plateau technique des hôpitaux. Cependant la maintenance de ces équipements reste le défi majeur. Néanmoins, les indicateurs comme le taux de mortalité intra hospitalière (CHU, CHR, HD) et le taux d’occupation des lits (CHU, CHR, HD) n’ont pas connu l’amélioration escomptée après le relèvement de niveau du plateau technique.</w:t>
      </w:r>
    </w:p>
    <w:p w:rsidR="000C4A3A" w:rsidRDefault="000C4A3A" w:rsidP="000C4A3A"/>
    <w:p w:rsidR="000C4A3A" w:rsidRDefault="000C4A3A" w:rsidP="00D81428">
      <w:pPr>
        <w:pStyle w:val="Titre3"/>
        <w:numPr>
          <w:ilvl w:val="2"/>
          <w:numId w:val="27"/>
        </w:numPr>
        <w:rPr>
          <w:sz w:val="24"/>
          <w:szCs w:val="24"/>
        </w:rPr>
      </w:pPr>
      <w:r w:rsidRPr="000C4A3A">
        <w:rPr>
          <w:sz w:val="24"/>
          <w:szCs w:val="24"/>
        </w:rPr>
        <w:t>Médicaments, réactifs d’examens biologiques et Produits sanguins</w:t>
      </w:r>
    </w:p>
    <w:p w:rsidR="000C4A3A" w:rsidRPr="007463A5" w:rsidRDefault="007463A5" w:rsidP="00372C2F">
      <w:pPr>
        <w:pStyle w:val="Paragraphedeliste"/>
        <w:widowControl w:val="0"/>
        <w:numPr>
          <w:ilvl w:val="0"/>
          <w:numId w:val="26"/>
        </w:numPr>
        <w:autoSpaceDE w:val="0"/>
        <w:autoSpaceDN w:val="0"/>
        <w:adjustRightInd w:val="0"/>
        <w:spacing w:after="0" w:line="240" w:lineRule="auto"/>
        <w:jc w:val="both"/>
        <w:rPr>
          <w:sz w:val="24"/>
          <w:szCs w:val="24"/>
        </w:rPr>
      </w:pPr>
      <w:r w:rsidRPr="007463A5">
        <w:rPr>
          <w:sz w:val="24"/>
          <w:szCs w:val="24"/>
        </w:rPr>
        <w:t xml:space="preserve">L’approvisionnement des médicaments s’appuie sur la CAMEG, les grossistes privés, les officines pharmaceutiques privées et les dépôts de MEG publics et privés. Des ruptures de stock en MEG ont été observées au cours de ces 2 dernières années. </w:t>
      </w:r>
      <w:r w:rsidR="00372C2F" w:rsidRPr="00372C2F">
        <w:rPr>
          <w:sz w:val="24"/>
          <w:szCs w:val="24"/>
        </w:rPr>
        <w:t xml:space="preserve">La moyenne nationale de l’index de satisfaction en fin juillet 2017 est de 62,4%. L’objectif visé est d’atteindre au moins 80%. </w:t>
      </w:r>
      <w:r w:rsidRPr="007463A5">
        <w:rPr>
          <w:sz w:val="24"/>
          <w:szCs w:val="24"/>
        </w:rPr>
        <w:t xml:space="preserve">La contribution de l'Etat pour l'achat des produits contraceptifs, des produits de lutte contre le paludisme et le VIH/SIDA et de la nutrition reste insuffisante. Les retards de paiement exposent la CAMEG à des problèmes importants de trésorerie. De même la CAMEG a traversé une crise institutionnelle </w:t>
      </w:r>
      <w:r w:rsidR="00372C2F" w:rsidRPr="007463A5">
        <w:rPr>
          <w:sz w:val="24"/>
          <w:szCs w:val="24"/>
        </w:rPr>
        <w:t>aigüe</w:t>
      </w:r>
      <w:r w:rsidRPr="007463A5">
        <w:rPr>
          <w:sz w:val="24"/>
          <w:szCs w:val="24"/>
        </w:rPr>
        <w:t xml:space="preserve"> dont la résolution définitive sera salutaire pour le secteur. L’approvisionnement des structures de santé en réactifs d’examens biologiques passe également par la CAMEG et les grossistes privés. La diversité des marques des appareils d’analyse biologique a amené à mettre en place un processus d’homologation des réactifs. La collecte et la distribution des produits sanguins labiles ont été renforcées par la construction d’infrastructures qui ont développé le réseau du centre national de transfusion sanguine (CNTS). Cependant, le taux de satisfaction des besoins nationaux en produits sanguins </w:t>
      </w:r>
      <w:r w:rsidRPr="007463A5">
        <w:rPr>
          <w:sz w:val="24"/>
          <w:szCs w:val="24"/>
        </w:rPr>
        <w:lastRenderedPageBreak/>
        <w:t>reste insuffisant pour couvrir les besoins.</w:t>
      </w:r>
    </w:p>
    <w:p w:rsidR="000C4A3A" w:rsidRPr="000C4A3A" w:rsidRDefault="000C4A3A" w:rsidP="00D81428">
      <w:pPr>
        <w:pStyle w:val="Titre3"/>
        <w:numPr>
          <w:ilvl w:val="2"/>
          <w:numId w:val="27"/>
        </w:numPr>
        <w:rPr>
          <w:sz w:val="24"/>
          <w:szCs w:val="24"/>
        </w:rPr>
      </w:pPr>
      <w:r w:rsidRPr="000C4A3A">
        <w:rPr>
          <w:sz w:val="24"/>
          <w:szCs w:val="24"/>
        </w:rPr>
        <w:t>Ressources financières</w:t>
      </w:r>
    </w:p>
    <w:p w:rsidR="00295A7B" w:rsidRPr="00295A7B" w:rsidRDefault="00295A7B" w:rsidP="00DD2863">
      <w:pPr>
        <w:pStyle w:val="Paragraphedeliste"/>
        <w:widowControl w:val="0"/>
        <w:numPr>
          <w:ilvl w:val="0"/>
          <w:numId w:val="26"/>
        </w:numPr>
        <w:autoSpaceDE w:val="0"/>
        <w:autoSpaceDN w:val="0"/>
        <w:adjustRightInd w:val="0"/>
        <w:spacing w:after="0" w:line="240" w:lineRule="auto"/>
        <w:jc w:val="both"/>
        <w:rPr>
          <w:sz w:val="24"/>
          <w:szCs w:val="24"/>
        </w:rPr>
      </w:pPr>
      <w:r w:rsidRPr="00295A7B">
        <w:rPr>
          <w:sz w:val="24"/>
          <w:szCs w:val="24"/>
        </w:rPr>
        <w:t xml:space="preserve">Le secteur de la santé au Burkina Faso se trouve confronté à un problème de disponibilité des ressources. Malgré cette conjoncture difficile, le pays a réussi à maintenir un niveau de financement acceptable (environ 12% du budget de l’Etat) du secteur de la santé au cours de la période 2011-2015. </w:t>
      </w:r>
    </w:p>
    <w:p w:rsidR="00295A7B" w:rsidRPr="00295A7B" w:rsidRDefault="00295A7B" w:rsidP="00DD2863">
      <w:pPr>
        <w:pStyle w:val="Paragraphedeliste"/>
        <w:widowControl w:val="0"/>
        <w:numPr>
          <w:ilvl w:val="0"/>
          <w:numId w:val="26"/>
        </w:numPr>
        <w:autoSpaceDE w:val="0"/>
        <w:autoSpaceDN w:val="0"/>
        <w:adjustRightInd w:val="0"/>
        <w:spacing w:after="0" w:line="240" w:lineRule="auto"/>
        <w:jc w:val="both"/>
        <w:rPr>
          <w:sz w:val="24"/>
          <w:szCs w:val="24"/>
        </w:rPr>
      </w:pPr>
      <w:r w:rsidRPr="00295A7B">
        <w:rPr>
          <w:sz w:val="24"/>
          <w:szCs w:val="24"/>
        </w:rPr>
        <w:t xml:space="preserve">Les dépenses totales de santé ont connu une croissance de 25 % entre 2011 et 2014. Cinq mécanismes sont entrés en jeux pour le financement du PNDS : le budget de l’Etat, l’appui budgétaire sectoriel, le fonds ou panier commun, les projets et programmes, le financement basé sur les résultats. </w:t>
      </w:r>
    </w:p>
    <w:p w:rsidR="00295A7B" w:rsidRPr="00295A7B" w:rsidRDefault="00295A7B" w:rsidP="00DD2863">
      <w:pPr>
        <w:pStyle w:val="Paragraphedeliste"/>
        <w:widowControl w:val="0"/>
        <w:numPr>
          <w:ilvl w:val="0"/>
          <w:numId w:val="26"/>
        </w:numPr>
        <w:autoSpaceDE w:val="0"/>
        <w:autoSpaceDN w:val="0"/>
        <w:adjustRightInd w:val="0"/>
        <w:spacing w:after="0" w:line="240" w:lineRule="auto"/>
        <w:jc w:val="both"/>
        <w:rPr>
          <w:sz w:val="24"/>
          <w:szCs w:val="24"/>
        </w:rPr>
      </w:pPr>
      <w:r w:rsidRPr="00295A7B">
        <w:rPr>
          <w:sz w:val="24"/>
          <w:szCs w:val="24"/>
        </w:rPr>
        <w:t xml:space="preserve">Le budget de l’état montre de grands écarts entre les dotations et les paiements effectifs pouvant atteindre 40% avec des taux moyens de consommation faibles à l’exception du titre 2 (dépense de personnel). Ces faibles taux de consommation s’expliquent par (i) la mise à disposition tardive des allocations budgétaires et (ii) la faible capacité de certains acteurs à exécuter les procédures de gestion notamment les collectivités territoriales. </w:t>
      </w:r>
    </w:p>
    <w:p w:rsidR="00295A7B" w:rsidRPr="00295A7B" w:rsidRDefault="00295A7B" w:rsidP="00DD2863">
      <w:pPr>
        <w:pStyle w:val="Paragraphedeliste"/>
        <w:widowControl w:val="0"/>
        <w:numPr>
          <w:ilvl w:val="0"/>
          <w:numId w:val="26"/>
        </w:numPr>
        <w:autoSpaceDE w:val="0"/>
        <w:autoSpaceDN w:val="0"/>
        <w:adjustRightInd w:val="0"/>
        <w:spacing w:after="0" w:line="240" w:lineRule="auto"/>
        <w:jc w:val="both"/>
        <w:rPr>
          <w:sz w:val="24"/>
          <w:szCs w:val="24"/>
        </w:rPr>
      </w:pPr>
      <w:r w:rsidRPr="00295A7B">
        <w:rPr>
          <w:sz w:val="24"/>
          <w:szCs w:val="24"/>
        </w:rPr>
        <w:t xml:space="preserve">De 2011-2015, le nombre de PTF contributeurs au fonds commun a diminué de moitié et le pourcentage des fonds non ciblés appelés « panier commun » est passé de 94 à 28%. Ce changement a fait perdre au panier commun une de ses finalités fondamentales, celle de combler en partie les iniquités. Ce mécanisme de financement est pourtant une recommandation des signataires du COMPACT. </w:t>
      </w:r>
    </w:p>
    <w:p w:rsidR="00295A7B" w:rsidRPr="00295A7B" w:rsidRDefault="00295A7B" w:rsidP="00DD2863">
      <w:pPr>
        <w:pStyle w:val="Paragraphedeliste"/>
        <w:widowControl w:val="0"/>
        <w:numPr>
          <w:ilvl w:val="0"/>
          <w:numId w:val="26"/>
        </w:numPr>
        <w:autoSpaceDE w:val="0"/>
        <w:autoSpaceDN w:val="0"/>
        <w:adjustRightInd w:val="0"/>
        <w:spacing w:after="0" w:line="240" w:lineRule="auto"/>
        <w:jc w:val="both"/>
        <w:rPr>
          <w:sz w:val="24"/>
          <w:szCs w:val="24"/>
        </w:rPr>
      </w:pPr>
      <w:r w:rsidRPr="00295A7B">
        <w:rPr>
          <w:sz w:val="24"/>
          <w:szCs w:val="24"/>
        </w:rPr>
        <w:t xml:space="preserve">Parmi les Projets et programmes inscrits au Programme d’Investissement Prioritaire "PIP", on distingue deux types selon les sources de financement : les projets nationaux et les projets à financement extérieur. Le coût total de mise en œuvre des </w:t>
      </w:r>
      <w:bookmarkStart w:id="0" w:name="_Hlk490749469"/>
      <w:r w:rsidRPr="00295A7B">
        <w:rPr>
          <w:sz w:val="24"/>
          <w:szCs w:val="24"/>
        </w:rPr>
        <w:t>Projets et programmes</w:t>
      </w:r>
      <w:bookmarkEnd w:id="0"/>
      <w:r w:rsidRPr="00295A7B">
        <w:rPr>
          <w:sz w:val="24"/>
          <w:szCs w:val="24"/>
        </w:rPr>
        <w:t xml:space="preserve">, évalué à 561 023 948 462F CFA, est financé à hauteur de 57% par l’état et 43% de fonds extérieurs. Le taux d’allocation était faible entre 56% pour les projets nationaux et 62% pour les projets avec financement extérieur. Les difficultés d’exécution des projets sont liées entre autres à la lourdeur des procédures de passation de marchés publics, le retard dans les décaissements et à la défaillance de certains fournisseurs. </w:t>
      </w:r>
    </w:p>
    <w:p w:rsidR="00295A7B" w:rsidRPr="00295A7B" w:rsidRDefault="00295A7B" w:rsidP="00DD2863">
      <w:pPr>
        <w:pStyle w:val="Paragraphedeliste"/>
        <w:widowControl w:val="0"/>
        <w:numPr>
          <w:ilvl w:val="0"/>
          <w:numId w:val="26"/>
        </w:numPr>
        <w:autoSpaceDE w:val="0"/>
        <w:autoSpaceDN w:val="0"/>
        <w:adjustRightInd w:val="0"/>
        <w:spacing w:after="0" w:line="240" w:lineRule="auto"/>
        <w:jc w:val="both"/>
        <w:rPr>
          <w:sz w:val="24"/>
          <w:szCs w:val="24"/>
        </w:rPr>
      </w:pPr>
      <w:r w:rsidRPr="00295A7B">
        <w:rPr>
          <w:sz w:val="24"/>
          <w:szCs w:val="24"/>
        </w:rPr>
        <w:t>Selon les comptes nationaux de santé 2015</w:t>
      </w:r>
      <w:r w:rsidR="008E51DC" w:rsidRPr="008E51DC">
        <w:rPr>
          <w:vertAlign w:val="superscript"/>
        </w:rPr>
        <w:footnoteReference w:id="8"/>
      </w:r>
      <w:r w:rsidRPr="00295A7B">
        <w:rPr>
          <w:sz w:val="24"/>
          <w:szCs w:val="24"/>
        </w:rPr>
        <w:t>, la dépense de santé par habitant est de 21 141 (38 $US). Cet indicateur reste en deçà de la norme de l’OMS</w:t>
      </w:r>
      <w:r w:rsidR="008E51DC" w:rsidRPr="008E51DC">
        <w:rPr>
          <w:vertAlign w:val="superscript"/>
        </w:rPr>
        <w:footnoteReference w:id="9"/>
      </w:r>
      <w:r w:rsidRPr="00295A7B">
        <w:rPr>
          <w:sz w:val="24"/>
          <w:szCs w:val="24"/>
        </w:rPr>
        <w:t xml:space="preserve"> </w:t>
      </w:r>
      <w:r w:rsidR="00B3058F">
        <w:rPr>
          <w:sz w:val="24"/>
          <w:szCs w:val="24"/>
        </w:rPr>
        <w:t xml:space="preserve">pour la couverture sanitaire universelle </w:t>
      </w:r>
      <w:r w:rsidRPr="00295A7B">
        <w:rPr>
          <w:sz w:val="24"/>
          <w:szCs w:val="24"/>
        </w:rPr>
        <w:t>qui est de 86 $US. La répartition des dépenses de santé par orientation stratégique du PNDS montre que la plus grande partie des dépenses est consacrée à l’orientation stratégique 4 relative à la promotion de la santé et la lutte contre la maladie. Ces dépenses représentent 53,8% des dépenses courantes de santé en 2015. Elle est suivie de l’orientation stratégique 2 relative au développement des ressources humaines pour la santé avec 19,9%.</w:t>
      </w:r>
    </w:p>
    <w:p w:rsidR="00295A7B" w:rsidRPr="00295A7B" w:rsidRDefault="00295A7B" w:rsidP="00DD2863">
      <w:pPr>
        <w:pStyle w:val="Paragraphedeliste"/>
        <w:widowControl w:val="0"/>
        <w:numPr>
          <w:ilvl w:val="0"/>
          <w:numId w:val="26"/>
        </w:numPr>
        <w:autoSpaceDE w:val="0"/>
        <w:autoSpaceDN w:val="0"/>
        <w:adjustRightInd w:val="0"/>
        <w:spacing w:after="0" w:line="240" w:lineRule="auto"/>
        <w:jc w:val="both"/>
        <w:rPr>
          <w:sz w:val="24"/>
          <w:szCs w:val="24"/>
        </w:rPr>
      </w:pPr>
      <w:r w:rsidRPr="00295A7B">
        <w:rPr>
          <w:sz w:val="24"/>
          <w:szCs w:val="24"/>
        </w:rPr>
        <w:t xml:space="preserve">Le financement de la santé par les ménages est de 36,3% des dépenses courantes de santé. Ce fardeau reste élevé </w:t>
      </w:r>
      <w:r w:rsidR="00B3058F">
        <w:rPr>
          <w:sz w:val="24"/>
          <w:szCs w:val="24"/>
        </w:rPr>
        <w:t xml:space="preserve">et implique un risque important d'appauvrissement. Ceci s'explique par la faiblesse </w:t>
      </w:r>
      <w:r w:rsidRPr="00295A7B">
        <w:rPr>
          <w:sz w:val="24"/>
          <w:szCs w:val="24"/>
        </w:rPr>
        <w:t xml:space="preserve"> </w:t>
      </w:r>
      <w:r w:rsidR="00B3058F">
        <w:rPr>
          <w:sz w:val="24"/>
          <w:szCs w:val="24"/>
        </w:rPr>
        <w:t xml:space="preserve">des </w:t>
      </w:r>
      <w:r w:rsidRPr="00295A7B">
        <w:rPr>
          <w:sz w:val="24"/>
          <w:szCs w:val="24"/>
        </w:rPr>
        <w:t xml:space="preserve">mécanismes de </w:t>
      </w:r>
      <w:r w:rsidR="00B3058F">
        <w:rPr>
          <w:sz w:val="24"/>
          <w:szCs w:val="24"/>
        </w:rPr>
        <w:t>partage</w:t>
      </w:r>
      <w:r w:rsidRPr="00295A7B">
        <w:rPr>
          <w:sz w:val="24"/>
          <w:szCs w:val="24"/>
        </w:rPr>
        <w:t xml:space="preserve"> du risque maladie. La mise en place de l’Assurance maladie universelle n’est pas encore effective. L’Etat a développé un ensemble de mécanismes d’exemption pour notamment les enfants de moins de 5 ans, les femmes enceintes la prise en charge de certaines pathologies comme le </w:t>
      </w:r>
      <w:r w:rsidRPr="00295A7B">
        <w:rPr>
          <w:sz w:val="24"/>
          <w:szCs w:val="24"/>
        </w:rPr>
        <w:lastRenderedPageBreak/>
        <w:t>VIH/SIDA, la tuberculose</w:t>
      </w:r>
      <w:r w:rsidR="00B3058F">
        <w:rPr>
          <w:sz w:val="24"/>
          <w:szCs w:val="24"/>
        </w:rPr>
        <w:t xml:space="preserve"> et la malnutrition</w:t>
      </w:r>
      <w:r w:rsidRPr="00295A7B">
        <w:rPr>
          <w:sz w:val="24"/>
          <w:szCs w:val="24"/>
        </w:rPr>
        <w:t>.</w:t>
      </w:r>
    </w:p>
    <w:p w:rsidR="007463A5" w:rsidRPr="00295A7B" w:rsidRDefault="00295A7B" w:rsidP="00DD2863">
      <w:pPr>
        <w:pStyle w:val="Paragraphedeliste"/>
        <w:widowControl w:val="0"/>
        <w:numPr>
          <w:ilvl w:val="0"/>
          <w:numId w:val="26"/>
        </w:numPr>
        <w:autoSpaceDE w:val="0"/>
        <w:autoSpaceDN w:val="0"/>
        <w:adjustRightInd w:val="0"/>
        <w:spacing w:after="0" w:line="240" w:lineRule="auto"/>
        <w:jc w:val="both"/>
        <w:rPr>
          <w:rFonts w:cstheme="minorHAnsi"/>
          <w:spacing w:val="1"/>
        </w:rPr>
      </w:pPr>
      <w:r w:rsidRPr="00295A7B">
        <w:rPr>
          <w:sz w:val="24"/>
          <w:szCs w:val="24"/>
        </w:rPr>
        <w:t>Le Financement base sur les résultats (FBR), est mis en œuvre aujourd’hui dans six régions et 4 Hôpitaux régionaux, 15 districts sanitaires et le montant total du financement s’élève à 4 504 795 583   FCFA</w:t>
      </w:r>
      <w:r w:rsidR="004C7B41">
        <w:rPr>
          <w:sz w:val="24"/>
          <w:szCs w:val="24"/>
        </w:rPr>
        <w:t xml:space="preserve"> par an</w:t>
      </w:r>
      <w:r w:rsidRPr="00295A7B">
        <w:rPr>
          <w:sz w:val="24"/>
          <w:szCs w:val="24"/>
        </w:rPr>
        <w:t xml:space="preserve">. Le FBR est une approche avec beaucoup de potentialités mais qui </w:t>
      </w:r>
      <w:r w:rsidR="00B3058F">
        <w:rPr>
          <w:sz w:val="24"/>
          <w:szCs w:val="24"/>
        </w:rPr>
        <w:t xml:space="preserve">s'intègre insuffisamment dans le cadre réglementaire et les mécanismes de </w:t>
      </w:r>
      <w:r w:rsidR="004C7B41">
        <w:rPr>
          <w:sz w:val="24"/>
          <w:szCs w:val="24"/>
        </w:rPr>
        <w:t>subvention du pays</w:t>
      </w:r>
      <w:r w:rsidRPr="00295A7B">
        <w:rPr>
          <w:sz w:val="24"/>
          <w:szCs w:val="24"/>
        </w:rPr>
        <w:t xml:space="preserve">. </w:t>
      </w:r>
      <w:r w:rsidR="00B3058F">
        <w:rPr>
          <w:sz w:val="24"/>
          <w:szCs w:val="24"/>
        </w:rPr>
        <w:t>Par ailleurs, l</w:t>
      </w:r>
      <w:r w:rsidRPr="00295A7B">
        <w:rPr>
          <w:sz w:val="24"/>
          <w:szCs w:val="24"/>
        </w:rPr>
        <w:t>e passage du cap entre la planification des activités et la</w:t>
      </w:r>
      <w:r w:rsidRPr="00295A7B">
        <w:rPr>
          <w:rFonts w:cstheme="minorHAnsi"/>
          <w:spacing w:val="1"/>
          <w:sz w:val="24"/>
          <w:szCs w:val="24"/>
        </w:rPr>
        <w:t xml:space="preserve"> planification axée sur les résultats semble être l’obstacle principal</w:t>
      </w:r>
      <w:r w:rsidRPr="00295A7B">
        <w:rPr>
          <w:rFonts w:cstheme="minorHAnsi"/>
          <w:sz w:val="24"/>
          <w:szCs w:val="24"/>
        </w:rPr>
        <w:t>.</w:t>
      </w:r>
    </w:p>
    <w:p w:rsidR="000C4A3A" w:rsidRPr="000C4A3A" w:rsidRDefault="000C4A3A" w:rsidP="00D81428">
      <w:pPr>
        <w:pStyle w:val="Titre3"/>
        <w:numPr>
          <w:ilvl w:val="2"/>
          <w:numId w:val="27"/>
        </w:numPr>
        <w:rPr>
          <w:sz w:val="24"/>
          <w:szCs w:val="24"/>
        </w:rPr>
      </w:pPr>
      <w:r w:rsidRPr="000C4A3A">
        <w:rPr>
          <w:sz w:val="24"/>
          <w:szCs w:val="24"/>
        </w:rPr>
        <w:t>Autres ressources (informationnelles, technologiques…)</w:t>
      </w:r>
    </w:p>
    <w:p w:rsidR="00295A7B" w:rsidRPr="00295A7B" w:rsidRDefault="00295A7B" w:rsidP="00DD2863">
      <w:pPr>
        <w:pStyle w:val="Paragraphedeliste"/>
        <w:widowControl w:val="0"/>
        <w:numPr>
          <w:ilvl w:val="0"/>
          <w:numId w:val="26"/>
        </w:numPr>
        <w:autoSpaceDE w:val="0"/>
        <w:autoSpaceDN w:val="0"/>
        <w:adjustRightInd w:val="0"/>
        <w:spacing w:after="0" w:line="240" w:lineRule="auto"/>
        <w:ind w:right="214"/>
        <w:jc w:val="both"/>
        <w:rPr>
          <w:rFonts w:cstheme="minorHAnsi"/>
          <w:spacing w:val="1"/>
        </w:rPr>
      </w:pPr>
      <w:r w:rsidRPr="00295A7B">
        <w:rPr>
          <w:rFonts w:cstheme="minorHAnsi"/>
          <w:spacing w:val="1"/>
          <w:sz w:val="24"/>
          <w:szCs w:val="24"/>
        </w:rPr>
        <w:t xml:space="preserve">Le système d’information sanitaire du Burkina Faso a connu ces dernières années, un certain nombre d’innovations et de renforcements de performances qui lui permettent d’assurer, dans les meilleurs délais, la disponibilité et l’utilisation d’une information sanitaire de qualité dans le processus de prise de décision. Cet outil a permis de produire, dans des délais sensiblement réduits, le suivi régulier de l’évolution des indicateurs du PNDS, les annuaires statistiques, les annuaires statistiques régionaux et des hôpitaux, les tableaux de bord de la santé, les bulletins trimestriels d’information et d’épidémiologie, les comptes nationaux de 2011 à 2014. Cependant il faut noter que l’EMP nous renseigne que sur les 46 indicateurs de suivi-évaluation du PNDS, </w:t>
      </w:r>
      <w:r w:rsidRPr="00295A7B">
        <w:rPr>
          <w:rFonts w:cs="Calibri"/>
          <w:sz w:val="24"/>
          <w:szCs w:val="24"/>
        </w:rPr>
        <w:t xml:space="preserve">31 </w:t>
      </w:r>
      <w:r w:rsidRPr="00295A7B">
        <w:rPr>
          <w:rFonts w:cs="Calibri"/>
          <w:spacing w:val="48"/>
          <w:sz w:val="24"/>
          <w:szCs w:val="24"/>
        </w:rPr>
        <w:t xml:space="preserve"> </w:t>
      </w:r>
      <w:r w:rsidRPr="00295A7B">
        <w:rPr>
          <w:rFonts w:cs="Calibri"/>
          <w:sz w:val="24"/>
          <w:szCs w:val="24"/>
        </w:rPr>
        <w:t>i</w:t>
      </w:r>
      <w:r w:rsidRPr="00295A7B">
        <w:rPr>
          <w:rFonts w:cs="Calibri"/>
          <w:spacing w:val="1"/>
          <w:sz w:val="24"/>
          <w:szCs w:val="24"/>
        </w:rPr>
        <w:t>n</w:t>
      </w:r>
      <w:r w:rsidRPr="00295A7B">
        <w:rPr>
          <w:rFonts w:cs="Calibri"/>
          <w:spacing w:val="-1"/>
          <w:sz w:val="24"/>
          <w:szCs w:val="24"/>
        </w:rPr>
        <w:t>d</w:t>
      </w:r>
      <w:r w:rsidRPr="00295A7B">
        <w:rPr>
          <w:rFonts w:cs="Calibri"/>
          <w:sz w:val="24"/>
          <w:szCs w:val="24"/>
        </w:rPr>
        <w:t>i</w:t>
      </w:r>
      <w:r w:rsidRPr="00295A7B">
        <w:rPr>
          <w:rFonts w:cs="Calibri"/>
          <w:spacing w:val="-1"/>
          <w:sz w:val="24"/>
          <w:szCs w:val="24"/>
        </w:rPr>
        <w:t>c</w:t>
      </w:r>
      <w:r w:rsidRPr="00295A7B">
        <w:rPr>
          <w:rFonts w:cs="Calibri"/>
          <w:sz w:val="24"/>
          <w:szCs w:val="24"/>
        </w:rPr>
        <w:t>a</w:t>
      </w:r>
      <w:r w:rsidRPr="00295A7B">
        <w:rPr>
          <w:rFonts w:cs="Calibri"/>
          <w:spacing w:val="1"/>
          <w:sz w:val="24"/>
          <w:szCs w:val="24"/>
        </w:rPr>
        <w:t>t</w:t>
      </w:r>
      <w:r w:rsidRPr="00295A7B">
        <w:rPr>
          <w:rFonts w:cs="Calibri"/>
          <w:sz w:val="24"/>
          <w:szCs w:val="24"/>
        </w:rPr>
        <w:t>e</w:t>
      </w:r>
      <w:r w:rsidRPr="00295A7B">
        <w:rPr>
          <w:rFonts w:cs="Calibri"/>
          <w:spacing w:val="1"/>
          <w:sz w:val="24"/>
          <w:szCs w:val="24"/>
        </w:rPr>
        <w:t>u</w:t>
      </w:r>
      <w:r w:rsidRPr="00295A7B">
        <w:rPr>
          <w:rFonts w:cs="Calibri"/>
          <w:sz w:val="24"/>
          <w:szCs w:val="24"/>
        </w:rPr>
        <w:t xml:space="preserve">rs </w:t>
      </w:r>
      <w:r w:rsidRPr="00295A7B">
        <w:rPr>
          <w:rFonts w:cs="Calibri"/>
          <w:spacing w:val="50"/>
          <w:sz w:val="24"/>
          <w:szCs w:val="24"/>
        </w:rPr>
        <w:t xml:space="preserve"> </w:t>
      </w:r>
      <w:r w:rsidRPr="00295A7B">
        <w:rPr>
          <w:rFonts w:cs="Calibri"/>
          <w:spacing w:val="-1"/>
          <w:sz w:val="24"/>
          <w:szCs w:val="24"/>
        </w:rPr>
        <w:t>(</w:t>
      </w:r>
      <w:r w:rsidRPr="00295A7B">
        <w:rPr>
          <w:rFonts w:cs="Calibri"/>
          <w:sz w:val="24"/>
          <w:szCs w:val="24"/>
        </w:rPr>
        <w:t>6</w:t>
      </w:r>
      <w:r w:rsidRPr="00295A7B">
        <w:rPr>
          <w:rFonts w:cs="Calibri"/>
          <w:spacing w:val="1"/>
          <w:sz w:val="24"/>
          <w:szCs w:val="24"/>
        </w:rPr>
        <w:t>7</w:t>
      </w:r>
      <w:r w:rsidRPr="00295A7B">
        <w:rPr>
          <w:rFonts w:cs="Calibri"/>
          <w:spacing w:val="-1"/>
          <w:sz w:val="24"/>
          <w:szCs w:val="24"/>
        </w:rPr>
        <w:t>%</w:t>
      </w:r>
      <w:r w:rsidRPr="00295A7B">
        <w:rPr>
          <w:rFonts w:cs="Calibri"/>
          <w:sz w:val="24"/>
          <w:szCs w:val="24"/>
        </w:rPr>
        <w:t xml:space="preserve">) </w:t>
      </w:r>
      <w:r w:rsidRPr="00295A7B">
        <w:rPr>
          <w:rFonts w:cs="Calibri"/>
          <w:spacing w:val="49"/>
          <w:sz w:val="24"/>
          <w:szCs w:val="24"/>
        </w:rPr>
        <w:t xml:space="preserve"> </w:t>
      </w:r>
      <w:r w:rsidRPr="00295A7B">
        <w:rPr>
          <w:rFonts w:cs="Calibri"/>
          <w:sz w:val="24"/>
          <w:szCs w:val="24"/>
        </w:rPr>
        <w:t xml:space="preserve">sont </w:t>
      </w:r>
      <w:r w:rsidRPr="00295A7B">
        <w:rPr>
          <w:rFonts w:cs="Calibri"/>
          <w:spacing w:val="50"/>
          <w:sz w:val="24"/>
          <w:szCs w:val="24"/>
        </w:rPr>
        <w:t xml:space="preserve"> </w:t>
      </w:r>
      <w:r w:rsidRPr="00295A7B">
        <w:rPr>
          <w:rFonts w:cs="Calibri"/>
          <w:spacing w:val="-1"/>
          <w:sz w:val="24"/>
          <w:szCs w:val="24"/>
        </w:rPr>
        <w:t>c</w:t>
      </w:r>
      <w:r w:rsidRPr="00295A7B">
        <w:rPr>
          <w:rFonts w:cs="Calibri"/>
          <w:sz w:val="24"/>
          <w:szCs w:val="24"/>
        </w:rPr>
        <w:t>om</w:t>
      </w:r>
      <w:r w:rsidRPr="00295A7B">
        <w:rPr>
          <w:rFonts w:cs="Calibri"/>
          <w:spacing w:val="1"/>
          <w:sz w:val="24"/>
          <w:szCs w:val="24"/>
        </w:rPr>
        <w:t>p</w:t>
      </w:r>
      <w:r w:rsidRPr="00295A7B">
        <w:rPr>
          <w:rFonts w:cs="Calibri"/>
          <w:sz w:val="24"/>
          <w:szCs w:val="24"/>
        </w:rPr>
        <w:t>l</w:t>
      </w:r>
      <w:r w:rsidRPr="00295A7B">
        <w:rPr>
          <w:rFonts w:cs="Calibri"/>
          <w:spacing w:val="-2"/>
          <w:sz w:val="24"/>
          <w:szCs w:val="24"/>
        </w:rPr>
        <w:t>è</w:t>
      </w:r>
      <w:r w:rsidRPr="00295A7B">
        <w:rPr>
          <w:rFonts w:cs="Calibri"/>
          <w:spacing w:val="1"/>
          <w:sz w:val="24"/>
          <w:szCs w:val="24"/>
        </w:rPr>
        <w:t>t</w:t>
      </w:r>
      <w:r w:rsidRPr="00295A7B">
        <w:rPr>
          <w:rFonts w:cs="Calibri"/>
          <w:sz w:val="24"/>
          <w:szCs w:val="24"/>
        </w:rPr>
        <w:t>e</w:t>
      </w:r>
      <w:r w:rsidRPr="00295A7B">
        <w:rPr>
          <w:rFonts w:cs="Calibri"/>
          <w:spacing w:val="1"/>
          <w:sz w:val="24"/>
          <w:szCs w:val="24"/>
        </w:rPr>
        <w:t>m</w:t>
      </w:r>
      <w:r w:rsidRPr="00295A7B">
        <w:rPr>
          <w:rFonts w:cs="Calibri"/>
          <w:spacing w:val="-2"/>
          <w:sz w:val="24"/>
          <w:szCs w:val="24"/>
        </w:rPr>
        <w:t>e</w:t>
      </w:r>
      <w:r w:rsidRPr="00295A7B">
        <w:rPr>
          <w:rFonts w:cs="Calibri"/>
          <w:spacing w:val="1"/>
          <w:sz w:val="24"/>
          <w:szCs w:val="24"/>
        </w:rPr>
        <w:t>n</w:t>
      </w:r>
      <w:r w:rsidRPr="00295A7B">
        <w:rPr>
          <w:rFonts w:cs="Calibri"/>
          <w:sz w:val="24"/>
          <w:szCs w:val="24"/>
        </w:rPr>
        <w:t xml:space="preserve">t </w:t>
      </w:r>
      <w:r w:rsidRPr="00295A7B">
        <w:rPr>
          <w:rFonts w:cs="Calibri"/>
          <w:spacing w:val="50"/>
          <w:sz w:val="24"/>
          <w:szCs w:val="24"/>
        </w:rPr>
        <w:t xml:space="preserve"> </w:t>
      </w:r>
      <w:r w:rsidRPr="00295A7B">
        <w:rPr>
          <w:rFonts w:cs="Calibri"/>
          <w:spacing w:val="-2"/>
          <w:sz w:val="24"/>
          <w:szCs w:val="24"/>
        </w:rPr>
        <w:t>r</w:t>
      </w:r>
      <w:r w:rsidRPr="00295A7B">
        <w:rPr>
          <w:rFonts w:cs="Calibri"/>
          <w:sz w:val="24"/>
          <w:szCs w:val="24"/>
        </w:rPr>
        <w:t>e</w:t>
      </w:r>
      <w:r w:rsidRPr="00295A7B">
        <w:rPr>
          <w:rFonts w:cs="Calibri"/>
          <w:spacing w:val="1"/>
          <w:sz w:val="24"/>
          <w:szCs w:val="24"/>
        </w:rPr>
        <w:t>n</w:t>
      </w:r>
      <w:r w:rsidRPr="00295A7B">
        <w:rPr>
          <w:rFonts w:cs="Calibri"/>
          <w:sz w:val="24"/>
          <w:szCs w:val="24"/>
        </w:rPr>
        <w:t>sei</w:t>
      </w:r>
      <w:r w:rsidRPr="00295A7B">
        <w:rPr>
          <w:rFonts w:cs="Calibri"/>
          <w:spacing w:val="-2"/>
          <w:sz w:val="24"/>
          <w:szCs w:val="24"/>
        </w:rPr>
        <w:t>g</w:t>
      </w:r>
      <w:r w:rsidRPr="00295A7B">
        <w:rPr>
          <w:rFonts w:cs="Calibri"/>
          <w:spacing w:val="1"/>
          <w:sz w:val="24"/>
          <w:szCs w:val="24"/>
        </w:rPr>
        <w:t>n</w:t>
      </w:r>
      <w:r w:rsidRPr="00295A7B">
        <w:rPr>
          <w:rFonts w:cs="Calibri"/>
          <w:spacing w:val="-2"/>
          <w:sz w:val="24"/>
          <w:szCs w:val="24"/>
        </w:rPr>
        <w:t>é</w:t>
      </w:r>
      <w:r w:rsidRPr="00295A7B">
        <w:rPr>
          <w:rFonts w:cs="Calibri"/>
          <w:sz w:val="24"/>
          <w:szCs w:val="24"/>
        </w:rPr>
        <w:t xml:space="preserve">s </w:t>
      </w:r>
      <w:r w:rsidRPr="00295A7B">
        <w:rPr>
          <w:rFonts w:cs="Calibri"/>
          <w:spacing w:val="49"/>
          <w:sz w:val="24"/>
          <w:szCs w:val="24"/>
        </w:rPr>
        <w:t xml:space="preserve"> </w:t>
      </w:r>
      <w:r w:rsidRPr="00295A7B">
        <w:rPr>
          <w:rFonts w:cs="Calibri"/>
          <w:sz w:val="24"/>
          <w:szCs w:val="24"/>
        </w:rPr>
        <w:t xml:space="preserve">et </w:t>
      </w:r>
      <w:r w:rsidRPr="00295A7B">
        <w:rPr>
          <w:rFonts w:cs="Calibri"/>
          <w:spacing w:val="51"/>
          <w:sz w:val="24"/>
          <w:szCs w:val="24"/>
        </w:rPr>
        <w:t xml:space="preserve"> </w:t>
      </w:r>
      <w:r w:rsidRPr="00295A7B">
        <w:rPr>
          <w:rFonts w:cs="Calibri"/>
          <w:spacing w:val="-1"/>
          <w:sz w:val="24"/>
          <w:szCs w:val="24"/>
        </w:rPr>
        <w:t>q</w:t>
      </w:r>
      <w:r w:rsidRPr="00295A7B">
        <w:rPr>
          <w:rFonts w:cs="Calibri"/>
          <w:spacing w:val="1"/>
          <w:sz w:val="24"/>
          <w:szCs w:val="24"/>
        </w:rPr>
        <w:t>u</w:t>
      </w:r>
      <w:r w:rsidRPr="00295A7B">
        <w:rPr>
          <w:rFonts w:cs="Calibri"/>
          <w:sz w:val="24"/>
          <w:szCs w:val="24"/>
        </w:rPr>
        <w:t>i</w:t>
      </w:r>
      <w:r w:rsidRPr="00295A7B">
        <w:rPr>
          <w:rFonts w:cs="Calibri"/>
          <w:spacing w:val="-1"/>
          <w:sz w:val="24"/>
          <w:szCs w:val="24"/>
        </w:rPr>
        <w:t>n</w:t>
      </w:r>
      <w:r w:rsidRPr="00295A7B">
        <w:rPr>
          <w:rFonts w:cs="Calibri"/>
          <w:spacing w:val="1"/>
          <w:sz w:val="24"/>
          <w:szCs w:val="24"/>
        </w:rPr>
        <w:t>z</w:t>
      </w:r>
      <w:r w:rsidRPr="00295A7B">
        <w:rPr>
          <w:rFonts w:cs="Calibri"/>
          <w:sz w:val="24"/>
          <w:szCs w:val="24"/>
        </w:rPr>
        <w:t xml:space="preserve">e </w:t>
      </w:r>
      <w:r w:rsidRPr="00295A7B">
        <w:rPr>
          <w:rFonts w:cs="Calibri"/>
          <w:spacing w:val="50"/>
          <w:sz w:val="24"/>
          <w:szCs w:val="24"/>
        </w:rPr>
        <w:t xml:space="preserve"> </w:t>
      </w:r>
      <w:r w:rsidRPr="00295A7B">
        <w:rPr>
          <w:rFonts w:cs="Calibri"/>
          <w:spacing w:val="-1"/>
          <w:sz w:val="24"/>
          <w:szCs w:val="24"/>
        </w:rPr>
        <w:t>(</w:t>
      </w:r>
      <w:r w:rsidRPr="00295A7B">
        <w:rPr>
          <w:rFonts w:cs="Calibri"/>
          <w:sz w:val="24"/>
          <w:szCs w:val="24"/>
        </w:rPr>
        <w:t>1</w:t>
      </w:r>
      <w:r w:rsidRPr="00295A7B">
        <w:rPr>
          <w:rFonts w:cs="Calibri"/>
          <w:spacing w:val="-1"/>
          <w:sz w:val="24"/>
          <w:szCs w:val="24"/>
        </w:rPr>
        <w:t>5</w:t>
      </w:r>
      <w:r w:rsidRPr="00295A7B">
        <w:rPr>
          <w:rFonts w:cs="Calibri"/>
          <w:sz w:val="24"/>
          <w:szCs w:val="24"/>
        </w:rPr>
        <w:t>) i</w:t>
      </w:r>
      <w:r w:rsidRPr="00295A7B">
        <w:rPr>
          <w:rFonts w:cs="Calibri"/>
          <w:spacing w:val="1"/>
          <w:sz w:val="24"/>
          <w:szCs w:val="24"/>
        </w:rPr>
        <w:t>nd</w:t>
      </w:r>
      <w:r w:rsidRPr="00295A7B">
        <w:rPr>
          <w:rFonts w:cs="Calibri"/>
          <w:sz w:val="24"/>
          <w:szCs w:val="24"/>
        </w:rPr>
        <w:t>i</w:t>
      </w:r>
      <w:r w:rsidRPr="00295A7B">
        <w:rPr>
          <w:rFonts w:cs="Calibri"/>
          <w:spacing w:val="-1"/>
          <w:sz w:val="24"/>
          <w:szCs w:val="24"/>
        </w:rPr>
        <w:t>c</w:t>
      </w:r>
      <w:r w:rsidRPr="00295A7B">
        <w:rPr>
          <w:rFonts w:cs="Calibri"/>
          <w:sz w:val="24"/>
          <w:szCs w:val="24"/>
        </w:rPr>
        <w:t>a</w:t>
      </w:r>
      <w:r w:rsidRPr="00295A7B">
        <w:rPr>
          <w:rFonts w:cs="Calibri"/>
          <w:spacing w:val="-1"/>
          <w:sz w:val="24"/>
          <w:szCs w:val="24"/>
        </w:rPr>
        <w:t>t</w:t>
      </w:r>
      <w:r w:rsidRPr="00295A7B">
        <w:rPr>
          <w:rFonts w:cs="Calibri"/>
          <w:sz w:val="24"/>
          <w:szCs w:val="24"/>
        </w:rPr>
        <w:t>e</w:t>
      </w:r>
      <w:r w:rsidRPr="00295A7B">
        <w:rPr>
          <w:rFonts w:cs="Calibri"/>
          <w:spacing w:val="1"/>
          <w:sz w:val="24"/>
          <w:szCs w:val="24"/>
        </w:rPr>
        <w:t>u</w:t>
      </w:r>
      <w:r w:rsidRPr="00295A7B">
        <w:rPr>
          <w:rFonts w:cs="Calibri"/>
          <w:sz w:val="24"/>
          <w:szCs w:val="24"/>
        </w:rPr>
        <w:t>rs</w:t>
      </w:r>
      <w:r w:rsidRPr="00295A7B">
        <w:rPr>
          <w:rFonts w:cs="Calibri"/>
          <w:spacing w:val="1"/>
          <w:sz w:val="24"/>
          <w:szCs w:val="24"/>
        </w:rPr>
        <w:t xml:space="preserve"> </w:t>
      </w:r>
      <w:r w:rsidRPr="00295A7B">
        <w:rPr>
          <w:rFonts w:cs="Calibri"/>
          <w:spacing w:val="-1"/>
          <w:sz w:val="24"/>
          <w:szCs w:val="24"/>
        </w:rPr>
        <w:t>(</w:t>
      </w:r>
      <w:r w:rsidRPr="00295A7B">
        <w:rPr>
          <w:rFonts w:cs="Calibri"/>
          <w:spacing w:val="-2"/>
          <w:sz w:val="24"/>
          <w:szCs w:val="24"/>
        </w:rPr>
        <w:t>3</w:t>
      </w:r>
      <w:r w:rsidRPr="00295A7B">
        <w:rPr>
          <w:rFonts w:cs="Calibri"/>
          <w:sz w:val="24"/>
          <w:szCs w:val="24"/>
        </w:rPr>
        <w:t>3%</w:t>
      </w:r>
      <w:r w:rsidRPr="00295A7B">
        <w:rPr>
          <w:rFonts w:cs="Calibri"/>
          <w:spacing w:val="-1"/>
          <w:sz w:val="24"/>
          <w:szCs w:val="24"/>
        </w:rPr>
        <w:t>)</w:t>
      </w:r>
      <w:r w:rsidRPr="00295A7B">
        <w:rPr>
          <w:rFonts w:cs="Calibri"/>
          <w:sz w:val="24"/>
          <w:szCs w:val="24"/>
        </w:rPr>
        <w:t>,</w:t>
      </w:r>
      <w:r w:rsidRPr="00295A7B">
        <w:rPr>
          <w:rFonts w:cs="Calibri"/>
          <w:spacing w:val="2"/>
          <w:sz w:val="24"/>
          <w:szCs w:val="24"/>
        </w:rPr>
        <w:t xml:space="preserve"> </w:t>
      </w:r>
      <w:r w:rsidRPr="00295A7B">
        <w:rPr>
          <w:rFonts w:cs="Calibri"/>
          <w:sz w:val="24"/>
          <w:szCs w:val="24"/>
        </w:rPr>
        <w:t>so</w:t>
      </w:r>
      <w:r w:rsidRPr="00295A7B">
        <w:rPr>
          <w:rFonts w:cs="Calibri"/>
          <w:spacing w:val="1"/>
          <w:sz w:val="24"/>
          <w:szCs w:val="24"/>
        </w:rPr>
        <w:t>n</w:t>
      </w:r>
      <w:r w:rsidRPr="00295A7B">
        <w:rPr>
          <w:rFonts w:cs="Calibri"/>
          <w:sz w:val="24"/>
          <w:szCs w:val="24"/>
        </w:rPr>
        <w:t xml:space="preserve">t </w:t>
      </w:r>
      <w:r w:rsidRPr="00295A7B">
        <w:rPr>
          <w:rFonts w:cs="Calibri"/>
          <w:spacing w:val="-1"/>
          <w:sz w:val="24"/>
          <w:szCs w:val="24"/>
        </w:rPr>
        <w:t>p</w:t>
      </w:r>
      <w:r w:rsidRPr="00295A7B">
        <w:rPr>
          <w:rFonts w:cs="Calibri"/>
          <w:sz w:val="24"/>
          <w:szCs w:val="24"/>
        </w:rPr>
        <w:t>ar</w:t>
      </w:r>
      <w:r w:rsidRPr="00295A7B">
        <w:rPr>
          <w:rFonts w:cs="Calibri"/>
          <w:spacing w:val="2"/>
          <w:sz w:val="24"/>
          <w:szCs w:val="24"/>
        </w:rPr>
        <w:t>t</w:t>
      </w:r>
      <w:r w:rsidRPr="00295A7B">
        <w:rPr>
          <w:rFonts w:cs="Calibri"/>
          <w:sz w:val="24"/>
          <w:szCs w:val="24"/>
        </w:rPr>
        <w:t>iell</w:t>
      </w:r>
      <w:r w:rsidRPr="00295A7B">
        <w:rPr>
          <w:rFonts w:cs="Calibri"/>
          <w:spacing w:val="1"/>
          <w:sz w:val="24"/>
          <w:szCs w:val="24"/>
        </w:rPr>
        <w:t>e</w:t>
      </w:r>
      <w:r w:rsidRPr="00295A7B">
        <w:rPr>
          <w:rFonts w:cs="Calibri"/>
          <w:spacing w:val="-2"/>
          <w:sz w:val="24"/>
          <w:szCs w:val="24"/>
        </w:rPr>
        <w:t>m</w:t>
      </w:r>
      <w:r w:rsidRPr="00295A7B">
        <w:rPr>
          <w:rFonts w:cs="Calibri"/>
          <w:sz w:val="24"/>
          <w:szCs w:val="24"/>
        </w:rPr>
        <w:t>e</w:t>
      </w:r>
      <w:r w:rsidRPr="00295A7B">
        <w:rPr>
          <w:rFonts w:cs="Calibri"/>
          <w:spacing w:val="-1"/>
          <w:sz w:val="24"/>
          <w:szCs w:val="24"/>
        </w:rPr>
        <w:t>n</w:t>
      </w:r>
      <w:r w:rsidRPr="00295A7B">
        <w:rPr>
          <w:rFonts w:cs="Calibri"/>
          <w:sz w:val="24"/>
          <w:szCs w:val="24"/>
        </w:rPr>
        <w:t>t</w:t>
      </w:r>
      <w:r w:rsidRPr="00295A7B">
        <w:rPr>
          <w:rFonts w:cs="Calibri"/>
          <w:spacing w:val="2"/>
          <w:sz w:val="24"/>
          <w:szCs w:val="24"/>
        </w:rPr>
        <w:t xml:space="preserve"> </w:t>
      </w:r>
      <w:r w:rsidRPr="00295A7B">
        <w:rPr>
          <w:rFonts w:cs="Calibri"/>
          <w:spacing w:val="-2"/>
          <w:sz w:val="24"/>
          <w:szCs w:val="24"/>
        </w:rPr>
        <w:t>o</w:t>
      </w:r>
      <w:r w:rsidRPr="00295A7B">
        <w:rPr>
          <w:rFonts w:cs="Calibri"/>
          <w:sz w:val="24"/>
          <w:szCs w:val="24"/>
        </w:rPr>
        <w:t>u</w:t>
      </w:r>
      <w:r w:rsidRPr="00295A7B">
        <w:rPr>
          <w:rFonts w:cs="Calibri"/>
          <w:spacing w:val="-1"/>
          <w:sz w:val="24"/>
          <w:szCs w:val="24"/>
        </w:rPr>
        <w:t xml:space="preserve"> </w:t>
      </w:r>
      <w:r w:rsidRPr="00295A7B">
        <w:rPr>
          <w:rFonts w:cs="Calibri"/>
          <w:spacing w:val="1"/>
          <w:sz w:val="24"/>
          <w:szCs w:val="24"/>
        </w:rPr>
        <w:t>p</w:t>
      </w:r>
      <w:r w:rsidRPr="00295A7B">
        <w:rPr>
          <w:rFonts w:cs="Calibri"/>
          <w:sz w:val="24"/>
          <w:szCs w:val="24"/>
        </w:rPr>
        <w:t>as</w:t>
      </w:r>
      <w:r w:rsidRPr="00295A7B">
        <w:rPr>
          <w:rFonts w:cs="Calibri"/>
          <w:spacing w:val="1"/>
          <w:sz w:val="24"/>
          <w:szCs w:val="24"/>
        </w:rPr>
        <w:t xml:space="preserve"> </w:t>
      </w:r>
      <w:r w:rsidRPr="00295A7B">
        <w:rPr>
          <w:rFonts w:cs="Calibri"/>
          <w:spacing w:val="-1"/>
          <w:sz w:val="24"/>
          <w:szCs w:val="24"/>
        </w:rPr>
        <w:t>d</w:t>
      </w:r>
      <w:r w:rsidRPr="00295A7B">
        <w:rPr>
          <w:rFonts w:cs="Calibri"/>
          <w:sz w:val="24"/>
          <w:szCs w:val="24"/>
        </w:rPr>
        <w:t>u</w:t>
      </w:r>
      <w:r w:rsidRPr="00295A7B">
        <w:rPr>
          <w:rFonts w:cs="Calibri"/>
          <w:spacing w:val="-1"/>
          <w:sz w:val="24"/>
          <w:szCs w:val="24"/>
        </w:rPr>
        <w:t xml:space="preserve"> t</w:t>
      </w:r>
      <w:r w:rsidRPr="00295A7B">
        <w:rPr>
          <w:rFonts w:cs="Calibri"/>
          <w:sz w:val="24"/>
          <w:szCs w:val="24"/>
        </w:rPr>
        <w:t>o</w:t>
      </w:r>
      <w:r w:rsidRPr="00295A7B">
        <w:rPr>
          <w:rFonts w:cs="Calibri"/>
          <w:spacing w:val="1"/>
          <w:sz w:val="24"/>
          <w:szCs w:val="24"/>
        </w:rPr>
        <w:t>u</w:t>
      </w:r>
      <w:r w:rsidRPr="00295A7B">
        <w:rPr>
          <w:rFonts w:cs="Calibri"/>
          <w:sz w:val="24"/>
          <w:szCs w:val="24"/>
        </w:rPr>
        <w:t>t</w:t>
      </w:r>
      <w:r w:rsidRPr="00295A7B">
        <w:rPr>
          <w:rFonts w:cs="Calibri"/>
          <w:spacing w:val="4"/>
          <w:sz w:val="24"/>
          <w:szCs w:val="24"/>
        </w:rPr>
        <w:t xml:space="preserve"> </w:t>
      </w:r>
      <w:r w:rsidRPr="00295A7B">
        <w:rPr>
          <w:rFonts w:cs="Calibri"/>
          <w:sz w:val="24"/>
          <w:szCs w:val="24"/>
        </w:rPr>
        <w:t>r</w:t>
      </w:r>
      <w:r w:rsidRPr="00295A7B">
        <w:rPr>
          <w:rFonts w:cs="Calibri"/>
          <w:spacing w:val="1"/>
          <w:sz w:val="24"/>
          <w:szCs w:val="24"/>
        </w:rPr>
        <w:t>en</w:t>
      </w:r>
      <w:r w:rsidRPr="00295A7B">
        <w:rPr>
          <w:rFonts w:cs="Calibri"/>
          <w:spacing w:val="-3"/>
          <w:sz w:val="24"/>
          <w:szCs w:val="24"/>
        </w:rPr>
        <w:t>s</w:t>
      </w:r>
      <w:r w:rsidRPr="00295A7B">
        <w:rPr>
          <w:rFonts w:cs="Calibri"/>
          <w:sz w:val="24"/>
          <w:szCs w:val="24"/>
        </w:rPr>
        <w:t>eig</w:t>
      </w:r>
      <w:r w:rsidRPr="00295A7B">
        <w:rPr>
          <w:rFonts w:cs="Calibri"/>
          <w:spacing w:val="1"/>
          <w:sz w:val="24"/>
          <w:szCs w:val="24"/>
        </w:rPr>
        <w:t>n</w:t>
      </w:r>
      <w:r w:rsidRPr="00295A7B">
        <w:rPr>
          <w:rFonts w:cs="Calibri"/>
          <w:sz w:val="24"/>
          <w:szCs w:val="24"/>
        </w:rPr>
        <w:t>é</w:t>
      </w:r>
      <w:r w:rsidRPr="00295A7B">
        <w:rPr>
          <w:rFonts w:cs="Calibri"/>
          <w:spacing w:val="1"/>
          <w:sz w:val="24"/>
          <w:szCs w:val="24"/>
        </w:rPr>
        <w:t>s</w:t>
      </w:r>
      <w:r w:rsidRPr="00295A7B">
        <w:rPr>
          <w:rFonts w:cs="Calibri"/>
          <w:sz w:val="24"/>
          <w:szCs w:val="24"/>
        </w:rPr>
        <w:t>. Cela traduit un problème de complétude des données.</w:t>
      </w:r>
    </w:p>
    <w:p w:rsidR="00295A7B" w:rsidRPr="00853ACB" w:rsidRDefault="00295A7B" w:rsidP="00DD2863">
      <w:pPr>
        <w:pStyle w:val="Paragraphedeliste"/>
        <w:widowControl w:val="0"/>
        <w:numPr>
          <w:ilvl w:val="0"/>
          <w:numId w:val="26"/>
        </w:numPr>
        <w:autoSpaceDE w:val="0"/>
        <w:autoSpaceDN w:val="0"/>
        <w:adjustRightInd w:val="0"/>
        <w:spacing w:after="0" w:line="240" w:lineRule="auto"/>
        <w:ind w:right="214"/>
        <w:jc w:val="both"/>
        <w:rPr>
          <w:rFonts w:cstheme="minorHAnsi"/>
          <w:spacing w:val="1"/>
        </w:rPr>
      </w:pPr>
      <w:r w:rsidRPr="00853ACB">
        <w:rPr>
          <w:rFonts w:cstheme="minorHAnsi"/>
          <w:spacing w:val="1"/>
          <w:sz w:val="24"/>
          <w:szCs w:val="24"/>
        </w:rPr>
        <w:t xml:space="preserve">Il a été instauré depuis 2012 la surveillance des décès maternels, néonatals (intégrée au TLOH) et des produits de santé de la reproduction. Cependant, les  bases  de   données de plusieurs programmes dont le </w:t>
      </w:r>
      <w:proofErr w:type="spellStart"/>
      <w:r w:rsidRPr="00853ACB">
        <w:rPr>
          <w:rFonts w:cstheme="minorHAnsi"/>
          <w:spacing w:val="1"/>
          <w:sz w:val="24"/>
          <w:szCs w:val="24"/>
        </w:rPr>
        <w:t>LogRH</w:t>
      </w:r>
      <w:proofErr w:type="spellEnd"/>
      <w:r w:rsidRPr="00853ACB">
        <w:rPr>
          <w:rFonts w:cstheme="minorHAnsi"/>
          <w:spacing w:val="1"/>
          <w:sz w:val="24"/>
          <w:szCs w:val="24"/>
        </w:rPr>
        <w:t xml:space="preserve"> et  d’autres données sanitaires  restent gérées de manière fragmentaire et éparpillée. Cependant, l’absence ou le faible débit de la connexion internet dans quelques structures ne favorisent pas une utilisation optimale de l’Entrepôt de données. Aussi on note une forte mobilité du personnel au niveau périphérique et intermédiaire qui ne permet pas de maintenir les acquis et risque de compromettre le devenir d’ENDOS. La carte sanitaire est périodiquement révisée (2005, 2010, 2015) en vue d’actualiser les données de couverture sanitaire et de faire des projections.</w:t>
      </w:r>
    </w:p>
    <w:p w:rsidR="000C4A3A" w:rsidRDefault="000C4A3A" w:rsidP="00D81428">
      <w:pPr>
        <w:pStyle w:val="Titre3"/>
        <w:numPr>
          <w:ilvl w:val="2"/>
          <w:numId w:val="27"/>
        </w:numPr>
        <w:rPr>
          <w:sz w:val="24"/>
          <w:szCs w:val="24"/>
        </w:rPr>
      </w:pPr>
      <w:r w:rsidRPr="000C4A3A">
        <w:rPr>
          <w:sz w:val="24"/>
          <w:szCs w:val="24"/>
        </w:rPr>
        <w:t>Mesures sectorielles et intersectorielles  de gouvernance</w:t>
      </w:r>
    </w:p>
    <w:p w:rsidR="00EF4751" w:rsidRDefault="00EF4751" w:rsidP="00DD2863">
      <w:pPr>
        <w:pStyle w:val="Paragraphedeliste"/>
        <w:widowControl w:val="0"/>
        <w:numPr>
          <w:ilvl w:val="0"/>
          <w:numId w:val="26"/>
        </w:numPr>
        <w:autoSpaceDE w:val="0"/>
        <w:autoSpaceDN w:val="0"/>
        <w:adjustRightInd w:val="0"/>
        <w:spacing w:after="0" w:line="240" w:lineRule="auto"/>
        <w:ind w:right="214"/>
        <w:jc w:val="both"/>
        <w:rPr>
          <w:rFonts w:cstheme="minorHAnsi"/>
          <w:spacing w:val="1"/>
          <w:sz w:val="24"/>
          <w:szCs w:val="24"/>
        </w:rPr>
      </w:pPr>
      <w:r w:rsidRPr="00C77B5F">
        <w:rPr>
          <w:rFonts w:cstheme="minorHAnsi"/>
          <w:spacing w:val="1"/>
          <w:sz w:val="24"/>
          <w:szCs w:val="24"/>
        </w:rPr>
        <w:t>En dépit des changements d’équipes, le leadership du Ministère de la santé est resté suffisamment solide pour maintenir la qualité du dialogue sectoriel à un niveau élevé. Le Ministère de la santé a élaboré  des documents normatifs et des documents stratégiques pour la mise en œuvre des différents programmes de santé. Les principaux documents de référence sont : (i) La politique nationale de santé ; (ii) le plan national de développement sanitaire (PNDS 2011-2020) ; (iii) les plans stratégiques des différents programmes. Le système de planification se fonde sur la gestion axée sur les résultats.</w:t>
      </w:r>
    </w:p>
    <w:p w:rsidR="00EF4751" w:rsidRPr="00EF4751" w:rsidRDefault="00EF4751" w:rsidP="00DD2863">
      <w:pPr>
        <w:pStyle w:val="Paragraphedeliste"/>
        <w:widowControl w:val="0"/>
        <w:numPr>
          <w:ilvl w:val="0"/>
          <w:numId w:val="26"/>
        </w:numPr>
        <w:autoSpaceDE w:val="0"/>
        <w:autoSpaceDN w:val="0"/>
        <w:adjustRightInd w:val="0"/>
        <w:spacing w:after="0" w:line="240" w:lineRule="auto"/>
        <w:ind w:right="214"/>
        <w:jc w:val="both"/>
        <w:rPr>
          <w:rFonts w:cstheme="minorHAnsi"/>
          <w:spacing w:val="1"/>
          <w:sz w:val="24"/>
          <w:szCs w:val="24"/>
        </w:rPr>
      </w:pPr>
      <w:r w:rsidRPr="00EF4751">
        <w:rPr>
          <w:rFonts w:cstheme="minorHAnsi"/>
          <w:spacing w:val="1"/>
          <w:sz w:val="24"/>
          <w:szCs w:val="24"/>
        </w:rPr>
        <w:t xml:space="preserve">Les </w:t>
      </w:r>
      <w:r w:rsidRPr="00C77B5F">
        <w:rPr>
          <w:rFonts w:cstheme="minorHAnsi"/>
          <w:spacing w:val="1"/>
          <w:sz w:val="24"/>
          <w:szCs w:val="24"/>
        </w:rPr>
        <w:t>réformes</w:t>
      </w:r>
      <w:r w:rsidRPr="00EF4751">
        <w:rPr>
          <w:rFonts w:cstheme="minorHAnsi"/>
          <w:spacing w:val="1"/>
          <w:sz w:val="24"/>
          <w:szCs w:val="24"/>
        </w:rPr>
        <w:t xml:space="preserve"> et renforcements institutionnels pour améliorer la performance du système de santé ont été poursuivis. La décentralisation ou communalisation intégrale est unanimement saluée comme une bonne décision dans laquelle le transfert des compétences et des ressources devait permettre un fonctionnement optimal des formations sanitaires transférées. Cependant, la mise en œuvre s’est heurtée à des difficultés relatives à l’insuffisance des ressources financières </w:t>
      </w:r>
      <w:r w:rsidRPr="00EF4751">
        <w:rPr>
          <w:rFonts w:cstheme="minorHAnsi"/>
          <w:spacing w:val="1"/>
          <w:sz w:val="24"/>
          <w:szCs w:val="24"/>
        </w:rPr>
        <w:lastRenderedPageBreak/>
        <w:t xml:space="preserve">transférées et à l’insuffisante de la capacité gestionnaire des communes. Il s’en suit des problèmes de maitrise des procédures de passation des marchés et d’approvisionnement occasionnant des retards considérables dans la mise en œuvre des projets et programmes. </w:t>
      </w:r>
    </w:p>
    <w:p w:rsidR="00EF4751" w:rsidRPr="00EF4751" w:rsidRDefault="00EF4751" w:rsidP="00DD2863">
      <w:pPr>
        <w:pStyle w:val="Paragraphedeliste"/>
        <w:widowControl w:val="0"/>
        <w:numPr>
          <w:ilvl w:val="0"/>
          <w:numId w:val="26"/>
        </w:numPr>
        <w:autoSpaceDE w:val="0"/>
        <w:autoSpaceDN w:val="0"/>
        <w:adjustRightInd w:val="0"/>
        <w:spacing w:after="0" w:line="240" w:lineRule="auto"/>
        <w:ind w:right="214"/>
        <w:jc w:val="both"/>
        <w:rPr>
          <w:rFonts w:cstheme="minorHAnsi"/>
          <w:spacing w:val="1"/>
          <w:sz w:val="24"/>
          <w:szCs w:val="24"/>
        </w:rPr>
      </w:pPr>
      <w:r w:rsidRPr="00EF4751">
        <w:rPr>
          <w:rFonts w:cstheme="minorHAnsi"/>
          <w:spacing w:val="1"/>
          <w:sz w:val="24"/>
          <w:szCs w:val="24"/>
        </w:rPr>
        <w:t xml:space="preserve">Plusieurs </w:t>
      </w:r>
      <w:r w:rsidRPr="00C77B5F">
        <w:rPr>
          <w:rFonts w:cstheme="minorHAnsi"/>
          <w:spacing w:val="1"/>
          <w:sz w:val="24"/>
          <w:szCs w:val="24"/>
        </w:rPr>
        <w:t>réformes</w:t>
      </w:r>
      <w:r w:rsidRPr="00EF4751">
        <w:rPr>
          <w:rFonts w:cstheme="minorHAnsi"/>
          <w:spacing w:val="1"/>
          <w:sz w:val="24"/>
          <w:szCs w:val="24"/>
        </w:rPr>
        <w:t xml:space="preserve"> ont été opérées dans le secteur de la santé. Les principales sont : (i) l’élaboration et adoption du document de profil des ASBC qui définit la place et le rôle des acteurs communautaires dans le système de santé; (ii) le renforcement de la couverture sanitaire  à travers la création de nouveaux districts et la transformation progressive des CSPS des chefs-lieux de communes rurales en centres médicaux ; (iii) la réforme hospitalière qui s'est poursuivie avec l’instauration de la prise en charge des urgences sans prépaiement mais le taux d’autofinancement des hôpitaux est faible et la pharmacie hospitalière n’est pas mise en place ; (iv) la réforme pharmaceutique qui a permis d’améliorer l’accès de la population aux médicaments, toutefois, on note toujours une persistance de la vente illicite des médicaments lié à l’analphabétisme et à l’ignorance de la population. </w:t>
      </w:r>
    </w:p>
    <w:p w:rsidR="00EF4751" w:rsidRPr="00EF4751" w:rsidRDefault="00EF4751" w:rsidP="00DD2863">
      <w:pPr>
        <w:pStyle w:val="Paragraphedeliste"/>
        <w:widowControl w:val="0"/>
        <w:numPr>
          <w:ilvl w:val="0"/>
          <w:numId w:val="26"/>
        </w:numPr>
        <w:autoSpaceDE w:val="0"/>
        <w:autoSpaceDN w:val="0"/>
        <w:adjustRightInd w:val="0"/>
        <w:spacing w:after="0" w:line="240" w:lineRule="auto"/>
        <w:ind w:right="214"/>
        <w:jc w:val="both"/>
        <w:rPr>
          <w:rFonts w:cstheme="minorHAnsi"/>
          <w:spacing w:val="1"/>
          <w:sz w:val="24"/>
          <w:szCs w:val="24"/>
        </w:rPr>
      </w:pPr>
      <w:r w:rsidRPr="00EF4751">
        <w:rPr>
          <w:rFonts w:cstheme="minorHAnsi"/>
          <w:spacing w:val="1"/>
          <w:sz w:val="24"/>
          <w:szCs w:val="24"/>
        </w:rPr>
        <w:t>La réforme du sous-secteur de la « médecine traditionnelle » et de la pharmacopée nationale mise en œuvre par l’adoption de la stratégie nationale et des textes règlementant l’exercice de la profession.</w:t>
      </w:r>
    </w:p>
    <w:p w:rsidR="00EF4751" w:rsidRPr="00EF4751" w:rsidRDefault="00EF4751" w:rsidP="00DD2863">
      <w:pPr>
        <w:pStyle w:val="Paragraphedeliste"/>
        <w:widowControl w:val="0"/>
        <w:numPr>
          <w:ilvl w:val="0"/>
          <w:numId w:val="26"/>
        </w:numPr>
        <w:autoSpaceDE w:val="0"/>
        <w:autoSpaceDN w:val="0"/>
        <w:adjustRightInd w:val="0"/>
        <w:spacing w:after="0" w:line="240" w:lineRule="auto"/>
        <w:ind w:right="214"/>
        <w:jc w:val="both"/>
        <w:rPr>
          <w:rFonts w:cstheme="minorHAnsi"/>
          <w:spacing w:val="1"/>
          <w:sz w:val="24"/>
          <w:szCs w:val="24"/>
        </w:rPr>
      </w:pPr>
      <w:r w:rsidRPr="00EF4751">
        <w:rPr>
          <w:rFonts w:cstheme="minorHAnsi"/>
          <w:spacing w:val="1"/>
          <w:sz w:val="24"/>
          <w:szCs w:val="24"/>
        </w:rPr>
        <w:t>La création de l’Agence nationale de la sécurité sanitaire, de l’alimentation, de l’environnement et du travail ainsi que l’institut national de santé publique et l’institut national d’excellence en soins de santé permettra de faire une séparation des missions.</w:t>
      </w:r>
    </w:p>
    <w:p w:rsidR="00EF4751" w:rsidRPr="00EF4751" w:rsidRDefault="00EF4751" w:rsidP="00DD2863">
      <w:pPr>
        <w:pStyle w:val="Paragraphedeliste"/>
        <w:widowControl w:val="0"/>
        <w:numPr>
          <w:ilvl w:val="0"/>
          <w:numId w:val="26"/>
        </w:numPr>
        <w:autoSpaceDE w:val="0"/>
        <w:autoSpaceDN w:val="0"/>
        <w:adjustRightInd w:val="0"/>
        <w:spacing w:after="0" w:line="240" w:lineRule="auto"/>
        <w:ind w:right="214"/>
        <w:jc w:val="both"/>
        <w:rPr>
          <w:rFonts w:cstheme="minorHAnsi"/>
          <w:spacing w:val="1"/>
          <w:sz w:val="24"/>
          <w:szCs w:val="24"/>
        </w:rPr>
      </w:pPr>
      <w:r w:rsidRPr="00EF4751">
        <w:rPr>
          <w:rFonts w:cstheme="minorHAnsi"/>
          <w:spacing w:val="1"/>
          <w:sz w:val="24"/>
          <w:szCs w:val="24"/>
        </w:rPr>
        <w:t>Par ailleurs, la régulation du secteur de la santé a été améliorée grâce au renforcement des structures de contrôle à tous les niveaux du système de santé et à la collaboration avec les ordres professionnels qui veillent au respect de l’éthique et de la déontologie. L’adoption de textes a permis de règlementer l’exercice privé des professions de santé ; mieux il existe un cadre formel de concertation entre ce  sous-secteur et le Ministère de la santé. Toutefois, ce cadre n’est pas fonctionnel actuellement.</w:t>
      </w:r>
    </w:p>
    <w:p w:rsidR="00EF4751" w:rsidRDefault="00EF4751"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lang w:eastAsia="en-GB"/>
        </w:rPr>
      </w:pPr>
      <w:r w:rsidRPr="00EF4751">
        <w:rPr>
          <w:rFonts w:cstheme="minorHAnsi"/>
          <w:spacing w:val="1"/>
          <w:sz w:val="24"/>
          <w:szCs w:val="24"/>
        </w:rPr>
        <w:t>En ce qui concerne la collaboration intra sectorielle et intersectorielle, il est à noter que la plupart des cadres de concertation sont régulièrement tenus (CASEM, CSD, CTRS, Revues sectorielles, dialogue social…) ; cependant, certains cadres tels que,</w:t>
      </w:r>
      <w:r w:rsidRPr="005C07CB">
        <w:rPr>
          <w:rFonts w:cstheme="minorHAnsi"/>
          <w:sz w:val="24"/>
          <w:szCs w:val="24"/>
          <w:lang w:eastAsia="en-GB"/>
        </w:rPr>
        <w:t xml:space="preserve"> les comités de gestion des épidémies, les comités régionaux de suivi du PNDS, le Conseil de discipline etc. présentent des dysfonctionnements. Il n’existe pas d’organe de certification de la qualité des soins.</w:t>
      </w:r>
    </w:p>
    <w:p w:rsidR="000C4A3A" w:rsidRDefault="000C4A3A" w:rsidP="000C4A3A"/>
    <w:p w:rsidR="00C46B35" w:rsidRPr="000614D2" w:rsidRDefault="00EF4751" w:rsidP="00D81428">
      <w:pPr>
        <w:pStyle w:val="Titre2"/>
        <w:numPr>
          <w:ilvl w:val="1"/>
          <w:numId w:val="27"/>
        </w:numPr>
      </w:pPr>
      <w:r>
        <w:t>B</w:t>
      </w:r>
      <w:r w:rsidR="00C46B35" w:rsidRPr="000614D2">
        <w:t>ilan des politiques et stratégies antérieures (l’avancée des projets et leur impact)</w:t>
      </w:r>
    </w:p>
    <w:p w:rsidR="000614D2" w:rsidRDefault="000614D2" w:rsidP="00C46B35">
      <w:pPr>
        <w:widowControl w:val="0"/>
        <w:autoSpaceDE w:val="0"/>
        <w:autoSpaceDN w:val="0"/>
        <w:adjustRightInd w:val="0"/>
        <w:spacing w:after="0" w:line="240" w:lineRule="auto"/>
        <w:ind w:left="116"/>
        <w:rPr>
          <w:rFonts w:cstheme="minorHAnsi"/>
          <w:color w:val="000000"/>
          <w:sz w:val="24"/>
          <w:szCs w:val="24"/>
        </w:rPr>
      </w:pPr>
    </w:p>
    <w:p w:rsidR="00EF4751" w:rsidRPr="00EF4751" w:rsidRDefault="00EF4751" w:rsidP="00DD2863">
      <w:pPr>
        <w:pStyle w:val="Paragraphedeliste"/>
        <w:widowControl w:val="0"/>
        <w:numPr>
          <w:ilvl w:val="0"/>
          <w:numId w:val="26"/>
        </w:numPr>
        <w:autoSpaceDE w:val="0"/>
        <w:autoSpaceDN w:val="0"/>
        <w:adjustRightInd w:val="0"/>
        <w:spacing w:after="0" w:line="240" w:lineRule="auto"/>
        <w:ind w:right="214"/>
        <w:jc w:val="both"/>
        <w:rPr>
          <w:rFonts w:cstheme="minorHAnsi"/>
          <w:spacing w:val="1"/>
          <w:sz w:val="24"/>
          <w:szCs w:val="24"/>
        </w:rPr>
      </w:pPr>
      <w:r w:rsidRPr="00C77B5F">
        <w:rPr>
          <w:sz w:val="24"/>
          <w:szCs w:val="24"/>
        </w:rPr>
        <w:t xml:space="preserve">Le </w:t>
      </w:r>
      <w:r w:rsidRPr="00C77B5F">
        <w:rPr>
          <w:rFonts w:cstheme="minorHAnsi"/>
          <w:sz w:val="24"/>
          <w:szCs w:val="24"/>
          <w:lang w:eastAsia="en-GB"/>
        </w:rPr>
        <w:t>secteur</w:t>
      </w:r>
      <w:r w:rsidRPr="00C77B5F">
        <w:rPr>
          <w:sz w:val="24"/>
          <w:szCs w:val="24"/>
        </w:rPr>
        <w:t xml:space="preserve"> de planification santé a en charge, dans le cadre de la mise en œuvre du PNDES, la réalisation de l’objectif stratégique 2.1 : « promouvoir la santé des populations et accélérer la transition démographique ». Le ministère de la santé (MS), le ministère de la femme, de la solidarité nationale et de la famille (MFSNF) </w:t>
      </w:r>
      <w:r w:rsidRPr="00EF4751">
        <w:rPr>
          <w:rFonts w:cstheme="minorHAnsi"/>
          <w:spacing w:val="1"/>
          <w:sz w:val="24"/>
          <w:szCs w:val="24"/>
        </w:rPr>
        <w:t>ainsi que le ministère de l’agriculture et des aménagements hydrauliques (MAAH), chacun en ce qui le concerne, planifie la réalisation de cet objectif stratégique dans ses référentiels et instruments de programmation.</w:t>
      </w:r>
    </w:p>
    <w:p w:rsidR="00EF4751" w:rsidRDefault="00B3058F" w:rsidP="00DD2863">
      <w:pPr>
        <w:pStyle w:val="Paragraphedeliste"/>
        <w:widowControl w:val="0"/>
        <w:numPr>
          <w:ilvl w:val="0"/>
          <w:numId w:val="26"/>
        </w:numPr>
        <w:autoSpaceDE w:val="0"/>
        <w:autoSpaceDN w:val="0"/>
        <w:adjustRightInd w:val="0"/>
        <w:spacing w:after="0" w:line="240" w:lineRule="auto"/>
        <w:ind w:right="214"/>
        <w:jc w:val="both"/>
        <w:rPr>
          <w:sz w:val="24"/>
          <w:szCs w:val="24"/>
        </w:rPr>
      </w:pPr>
      <w:r>
        <w:rPr>
          <w:rFonts w:cstheme="minorHAnsi"/>
          <w:spacing w:val="1"/>
          <w:sz w:val="24"/>
          <w:szCs w:val="24"/>
        </w:rPr>
        <w:lastRenderedPageBreak/>
        <w:t>Au titre de l'objectif stratégique 2.1 du PNDES</w:t>
      </w:r>
      <w:proofErr w:type="gramStart"/>
      <w:r>
        <w:rPr>
          <w:rFonts w:cstheme="minorHAnsi"/>
          <w:spacing w:val="1"/>
          <w:sz w:val="24"/>
          <w:szCs w:val="24"/>
        </w:rPr>
        <w:t xml:space="preserve">, </w:t>
      </w:r>
      <w:r w:rsidR="00EF4751" w:rsidRPr="00EF4751">
        <w:rPr>
          <w:rFonts w:cstheme="minorHAnsi"/>
          <w:spacing w:val="1"/>
          <w:sz w:val="24"/>
          <w:szCs w:val="24"/>
        </w:rPr>
        <w:t>,</w:t>
      </w:r>
      <w:proofErr w:type="gramEnd"/>
      <w:r w:rsidR="00EF4751" w:rsidRPr="00EF4751">
        <w:rPr>
          <w:rFonts w:cstheme="minorHAnsi"/>
          <w:spacing w:val="1"/>
          <w:sz w:val="24"/>
          <w:szCs w:val="24"/>
        </w:rPr>
        <w:t xml:space="preserve"> trois effets sont attendus</w:t>
      </w:r>
      <w:r w:rsidR="00EF4751" w:rsidRPr="00EF4751">
        <w:rPr>
          <w:sz w:val="24"/>
          <w:szCs w:val="24"/>
        </w:rPr>
        <w:t>. Il s’agit de : (i) EA 2.1.1 : l'accès aux services de santé de qualité est garanti à tous, (ii) EA 2.1.2 : l'état nutritionnel de la population, en particulier des femmes et des enfants, est amélioré et (iii) EA 2.1.3 : le processus d'accélération de la transition démographique pour déclencher le dividende démographique est réellement mis en mouvement. Les différentes politiques mises en œuvre par les 3 départements ministériels sont évaluées en lien avec ces 3 effets.</w:t>
      </w:r>
    </w:p>
    <w:p w:rsidR="00EF4751" w:rsidRDefault="0033537D" w:rsidP="00DD2863">
      <w:pPr>
        <w:pStyle w:val="Paragraphedeliste"/>
        <w:widowControl w:val="0"/>
        <w:numPr>
          <w:ilvl w:val="0"/>
          <w:numId w:val="26"/>
        </w:numPr>
        <w:autoSpaceDE w:val="0"/>
        <w:autoSpaceDN w:val="0"/>
        <w:adjustRightInd w:val="0"/>
        <w:spacing w:after="0" w:line="240" w:lineRule="auto"/>
        <w:ind w:right="214"/>
        <w:jc w:val="both"/>
        <w:rPr>
          <w:sz w:val="24"/>
          <w:szCs w:val="24"/>
        </w:rPr>
      </w:pPr>
      <w:r>
        <w:rPr>
          <w:sz w:val="24"/>
          <w:szCs w:val="24"/>
        </w:rPr>
        <w:t>En ce qui concerne l'impact de ces politiques on note que d</w:t>
      </w:r>
      <w:r w:rsidR="00EF4751" w:rsidRPr="00EF4751">
        <w:rPr>
          <w:sz w:val="24"/>
          <w:szCs w:val="24"/>
        </w:rPr>
        <w:t>e 2011 année d’adoption de la politique nationale de santé à 2015 (année de l’enquête EMD) les principaux indicateurs d’impact du Burkina Faso ont évolué comme suit</w:t>
      </w:r>
      <w:r w:rsidR="00EF4751" w:rsidRPr="00C77B5F">
        <w:rPr>
          <w:rStyle w:val="Appelnotedebasdep"/>
          <w:sz w:val="24"/>
          <w:szCs w:val="24"/>
        </w:rPr>
        <w:footnoteReference w:id="10"/>
      </w:r>
      <w:r w:rsidR="00EF4751" w:rsidRPr="00EF4751">
        <w:rPr>
          <w:sz w:val="24"/>
          <w:szCs w:val="24"/>
        </w:rPr>
        <w:t xml:space="preserve"> : (i) le taux de mortalité des enfants de moins de 5 ans est passé de 129% à 81,6% soit une progression de 73.5% ; (ii) le taux de mortalité néonatale est passé de 28% à 23,2% soit une progression de 34,3% ; (iii) le taux de mortalité maternelle est passée de 341 à 330 pour 100 000 naissances vivantes soit une progression de 6,7% ; </w:t>
      </w:r>
      <w:r w:rsidR="00EF4751" w:rsidRPr="00EF4751">
        <w:rPr>
          <w:rFonts w:cstheme="minorHAnsi"/>
          <w:sz w:val="24"/>
          <w:szCs w:val="24"/>
        </w:rPr>
        <w:t xml:space="preserve">Cette valeur n’a atteint ni la valeur cible de 2015 du PNDS 2011-2020 (176,7) ni celle des OMD (141,5) ou celle de la SCADD (176,7) ;  </w:t>
      </w:r>
      <w:r w:rsidR="00EF4751" w:rsidRPr="00EF4751">
        <w:rPr>
          <w:sz w:val="24"/>
          <w:szCs w:val="24"/>
        </w:rPr>
        <w:t xml:space="preserve"> (iv) l’indice synthétique de fécondité est passé de 6 à 5,4 enfants par femme ; (v) le taux brut de mortalité est passé de 14.8%° en 1996  à 11,8%° en 2006</w:t>
      </w:r>
      <w:r w:rsidR="00EF4751" w:rsidRPr="00C77B5F">
        <w:rPr>
          <w:rStyle w:val="Appelnotedebasdep"/>
          <w:sz w:val="24"/>
          <w:szCs w:val="24"/>
        </w:rPr>
        <w:footnoteReference w:id="11"/>
      </w:r>
      <w:r w:rsidR="00EF4751" w:rsidRPr="00EF4751">
        <w:rPr>
          <w:sz w:val="24"/>
          <w:szCs w:val="24"/>
        </w:rPr>
        <w:t>.</w:t>
      </w:r>
    </w:p>
    <w:p w:rsidR="00EF4751" w:rsidRPr="00EF4751" w:rsidRDefault="00EF4751" w:rsidP="00DD2863">
      <w:pPr>
        <w:pStyle w:val="Paragraphedeliste"/>
        <w:widowControl w:val="0"/>
        <w:numPr>
          <w:ilvl w:val="0"/>
          <w:numId w:val="26"/>
        </w:numPr>
        <w:autoSpaceDE w:val="0"/>
        <w:autoSpaceDN w:val="0"/>
        <w:adjustRightInd w:val="0"/>
        <w:spacing w:after="0" w:line="240" w:lineRule="auto"/>
        <w:ind w:right="214"/>
        <w:jc w:val="both"/>
        <w:rPr>
          <w:sz w:val="24"/>
          <w:szCs w:val="24"/>
        </w:rPr>
      </w:pPr>
      <w:r w:rsidRPr="00EF4751">
        <w:rPr>
          <w:rFonts w:cs="Calibri"/>
          <w:sz w:val="24"/>
          <w:szCs w:val="24"/>
        </w:rPr>
        <w:t>Pour les</w:t>
      </w:r>
      <w:r w:rsidRPr="00EF4751">
        <w:rPr>
          <w:rFonts w:cs="Calibri"/>
          <w:spacing w:val="3"/>
          <w:sz w:val="24"/>
          <w:szCs w:val="24"/>
        </w:rPr>
        <w:t xml:space="preserve"> </w:t>
      </w:r>
      <w:r w:rsidRPr="00EF4751">
        <w:rPr>
          <w:rFonts w:cs="Calibri"/>
          <w:sz w:val="24"/>
          <w:szCs w:val="24"/>
        </w:rPr>
        <w:t>i</w:t>
      </w:r>
      <w:r w:rsidRPr="00EF4751">
        <w:rPr>
          <w:rFonts w:cs="Calibri"/>
          <w:spacing w:val="1"/>
          <w:sz w:val="24"/>
          <w:szCs w:val="24"/>
        </w:rPr>
        <w:t>nd</w:t>
      </w:r>
      <w:r w:rsidRPr="00EF4751">
        <w:rPr>
          <w:rFonts w:cs="Calibri"/>
          <w:sz w:val="24"/>
          <w:szCs w:val="24"/>
        </w:rPr>
        <w:t>i</w:t>
      </w:r>
      <w:r w:rsidRPr="00EF4751">
        <w:rPr>
          <w:rFonts w:cs="Calibri"/>
          <w:spacing w:val="-1"/>
          <w:sz w:val="24"/>
          <w:szCs w:val="24"/>
        </w:rPr>
        <w:t>c</w:t>
      </w:r>
      <w:r w:rsidRPr="00EF4751">
        <w:rPr>
          <w:rFonts w:cs="Calibri"/>
          <w:sz w:val="24"/>
          <w:szCs w:val="24"/>
        </w:rPr>
        <w:t>a</w:t>
      </w:r>
      <w:r w:rsidRPr="00EF4751">
        <w:rPr>
          <w:rFonts w:cs="Calibri"/>
          <w:spacing w:val="-1"/>
          <w:sz w:val="24"/>
          <w:szCs w:val="24"/>
        </w:rPr>
        <w:t>t</w:t>
      </w:r>
      <w:r w:rsidRPr="00EF4751">
        <w:rPr>
          <w:rFonts w:cs="Calibri"/>
          <w:sz w:val="24"/>
          <w:szCs w:val="24"/>
        </w:rPr>
        <w:t>e</w:t>
      </w:r>
      <w:r w:rsidRPr="00EF4751">
        <w:rPr>
          <w:rFonts w:cs="Calibri"/>
          <w:spacing w:val="1"/>
          <w:sz w:val="24"/>
          <w:szCs w:val="24"/>
        </w:rPr>
        <w:t>u</w:t>
      </w:r>
      <w:r w:rsidRPr="00EF4751">
        <w:rPr>
          <w:rFonts w:cs="Calibri"/>
          <w:sz w:val="24"/>
          <w:szCs w:val="24"/>
        </w:rPr>
        <w:t>rs</w:t>
      </w:r>
      <w:r w:rsidRPr="00EF4751">
        <w:rPr>
          <w:rFonts w:cs="Calibri"/>
          <w:spacing w:val="3"/>
          <w:sz w:val="24"/>
          <w:szCs w:val="24"/>
        </w:rPr>
        <w:t xml:space="preserve"> </w:t>
      </w:r>
      <w:r w:rsidRPr="00EF4751">
        <w:rPr>
          <w:rFonts w:cs="Calibri"/>
          <w:spacing w:val="-1"/>
          <w:sz w:val="24"/>
          <w:szCs w:val="24"/>
        </w:rPr>
        <w:t>d</w:t>
      </w:r>
      <w:r w:rsidRPr="00EF4751">
        <w:rPr>
          <w:rFonts w:cs="Calibri"/>
          <w:sz w:val="24"/>
          <w:szCs w:val="24"/>
        </w:rPr>
        <w:t>e</w:t>
      </w:r>
      <w:r w:rsidRPr="00EF4751">
        <w:rPr>
          <w:rFonts w:cs="Calibri"/>
          <w:spacing w:val="4"/>
          <w:sz w:val="24"/>
          <w:szCs w:val="24"/>
        </w:rPr>
        <w:t xml:space="preserve"> </w:t>
      </w:r>
      <w:r w:rsidRPr="00EF4751">
        <w:rPr>
          <w:rFonts w:cs="Calibri"/>
          <w:sz w:val="24"/>
          <w:szCs w:val="24"/>
        </w:rPr>
        <w:t>sa</w:t>
      </w:r>
      <w:r w:rsidRPr="00EF4751">
        <w:rPr>
          <w:rFonts w:cs="Calibri"/>
          <w:spacing w:val="-1"/>
          <w:sz w:val="24"/>
          <w:szCs w:val="24"/>
        </w:rPr>
        <w:t>n</w:t>
      </w:r>
      <w:r w:rsidRPr="00EF4751">
        <w:rPr>
          <w:rFonts w:cs="Calibri"/>
          <w:spacing w:val="1"/>
          <w:sz w:val="24"/>
          <w:szCs w:val="24"/>
        </w:rPr>
        <w:t>t</w:t>
      </w:r>
      <w:r w:rsidRPr="00EF4751">
        <w:rPr>
          <w:rFonts w:cs="Calibri"/>
          <w:sz w:val="24"/>
          <w:szCs w:val="24"/>
        </w:rPr>
        <w:t xml:space="preserve">é </w:t>
      </w:r>
      <w:r w:rsidRPr="00EF4751">
        <w:rPr>
          <w:rFonts w:cs="Calibri"/>
          <w:spacing w:val="7"/>
          <w:sz w:val="24"/>
          <w:szCs w:val="24"/>
        </w:rPr>
        <w:t xml:space="preserve"> </w:t>
      </w:r>
      <w:r w:rsidRPr="00EF4751">
        <w:rPr>
          <w:rFonts w:cs="Calibri"/>
          <w:spacing w:val="1"/>
          <w:sz w:val="24"/>
          <w:szCs w:val="24"/>
        </w:rPr>
        <w:t>d</w:t>
      </w:r>
      <w:r w:rsidRPr="00EF4751">
        <w:rPr>
          <w:rFonts w:cs="Calibri"/>
          <w:sz w:val="24"/>
          <w:szCs w:val="24"/>
        </w:rPr>
        <w:t>es</w:t>
      </w:r>
      <w:r w:rsidRPr="00EF4751">
        <w:rPr>
          <w:rFonts w:cs="Calibri"/>
          <w:spacing w:val="1"/>
          <w:sz w:val="24"/>
          <w:szCs w:val="24"/>
        </w:rPr>
        <w:t xml:space="preserve"> </w:t>
      </w:r>
      <w:r w:rsidRPr="00EF4751">
        <w:rPr>
          <w:rFonts w:cs="Calibri"/>
          <w:sz w:val="24"/>
          <w:szCs w:val="24"/>
        </w:rPr>
        <w:t>e</w:t>
      </w:r>
      <w:r w:rsidRPr="00EF4751">
        <w:rPr>
          <w:rFonts w:cs="Calibri"/>
          <w:spacing w:val="1"/>
          <w:sz w:val="24"/>
          <w:szCs w:val="24"/>
        </w:rPr>
        <w:t>nf</w:t>
      </w:r>
      <w:r w:rsidRPr="00EF4751">
        <w:rPr>
          <w:rFonts w:cs="Calibri"/>
          <w:spacing w:val="-2"/>
          <w:sz w:val="24"/>
          <w:szCs w:val="24"/>
        </w:rPr>
        <w:t>a</w:t>
      </w:r>
      <w:r w:rsidRPr="00EF4751">
        <w:rPr>
          <w:rFonts w:cs="Calibri"/>
          <w:spacing w:val="1"/>
          <w:sz w:val="24"/>
          <w:szCs w:val="24"/>
        </w:rPr>
        <w:t>nt</w:t>
      </w:r>
      <w:r w:rsidRPr="00EF4751">
        <w:rPr>
          <w:rFonts w:cs="Calibri"/>
          <w:sz w:val="24"/>
          <w:szCs w:val="24"/>
        </w:rPr>
        <w:t>s en 2015,</w:t>
      </w:r>
      <w:r w:rsidRPr="00EF4751">
        <w:rPr>
          <w:rFonts w:cs="Calibri"/>
          <w:spacing w:val="3"/>
          <w:sz w:val="24"/>
          <w:szCs w:val="24"/>
        </w:rPr>
        <w:t xml:space="preserve"> </w:t>
      </w:r>
      <w:r w:rsidRPr="00EF4751">
        <w:rPr>
          <w:rFonts w:cs="Calibri"/>
          <w:sz w:val="24"/>
          <w:szCs w:val="24"/>
        </w:rPr>
        <w:t>le</w:t>
      </w:r>
      <w:r w:rsidRPr="00EF4751">
        <w:rPr>
          <w:rFonts w:cs="Calibri"/>
          <w:spacing w:val="1"/>
          <w:sz w:val="24"/>
          <w:szCs w:val="24"/>
        </w:rPr>
        <w:t xml:space="preserve"> t</w:t>
      </w:r>
      <w:r w:rsidRPr="00EF4751">
        <w:rPr>
          <w:rFonts w:cs="Calibri"/>
          <w:sz w:val="24"/>
          <w:szCs w:val="24"/>
        </w:rPr>
        <w:t>a</w:t>
      </w:r>
      <w:r w:rsidRPr="00EF4751">
        <w:rPr>
          <w:rFonts w:cs="Calibri"/>
          <w:spacing w:val="1"/>
          <w:sz w:val="24"/>
          <w:szCs w:val="24"/>
        </w:rPr>
        <w:t>u</w:t>
      </w:r>
      <w:r w:rsidRPr="00EF4751">
        <w:rPr>
          <w:rFonts w:cs="Calibri"/>
          <w:sz w:val="24"/>
          <w:szCs w:val="24"/>
        </w:rPr>
        <w:t xml:space="preserve">x </w:t>
      </w:r>
      <w:r w:rsidRPr="00EF4751">
        <w:rPr>
          <w:rFonts w:cs="Calibri"/>
          <w:spacing w:val="-1"/>
          <w:sz w:val="24"/>
          <w:szCs w:val="24"/>
        </w:rPr>
        <w:t>d</w:t>
      </w:r>
      <w:r w:rsidRPr="00EF4751">
        <w:rPr>
          <w:rFonts w:cs="Calibri"/>
          <w:sz w:val="24"/>
          <w:szCs w:val="24"/>
        </w:rPr>
        <w:t>e m</w:t>
      </w:r>
      <w:r w:rsidRPr="00EF4751">
        <w:rPr>
          <w:rFonts w:cs="Calibri"/>
          <w:spacing w:val="1"/>
          <w:sz w:val="24"/>
          <w:szCs w:val="24"/>
        </w:rPr>
        <w:t>o</w:t>
      </w:r>
      <w:r w:rsidRPr="00EF4751">
        <w:rPr>
          <w:rFonts w:cs="Calibri"/>
          <w:sz w:val="24"/>
          <w:szCs w:val="24"/>
        </w:rPr>
        <w:t>r</w:t>
      </w:r>
      <w:r w:rsidRPr="00EF4751">
        <w:rPr>
          <w:rFonts w:cs="Calibri"/>
          <w:spacing w:val="1"/>
          <w:sz w:val="24"/>
          <w:szCs w:val="24"/>
        </w:rPr>
        <w:t>t</w:t>
      </w:r>
      <w:r w:rsidRPr="00EF4751">
        <w:rPr>
          <w:rFonts w:cs="Calibri"/>
          <w:sz w:val="24"/>
          <w:szCs w:val="24"/>
        </w:rPr>
        <w:t>al</w:t>
      </w:r>
      <w:r w:rsidRPr="00EF4751">
        <w:rPr>
          <w:rFonts w:cs="Calibri"/>
          <w:spacing w:val="-2"/>
          <w:sz w:val="24"/>
          <w:szCs w:val="24"/>
        </w:rPr>
        <w:t>i</w:t>
      </w:r>
      <w:r w:rsidRPr="00EF4751">
        <w:rPr>
          <w:rFonts w:cs="Calibri"/>
          <w:spacing w:val="1"/>
          <w:sz w:val="24"/>
          <w:szCs w:val="24"/>
        </w:rPr>
        <w:t>t</w:t>
      </w:r>
      <w:r w:rsidRPr="00EF4751">
        <w:rPr>
          <w:rFonts w:cs="Calibri"/>
          <w:sz w:val="24"/>
          <w:szCs w:val="24"/>
        </w:rPr>
        <w:t>é</w:t>
      </w:r>
      <w:r w:rsidRPr="00EF4751">
        <w:rPr>
          <w:rFonts w:cs="Calibri"/>
          <w:spacing w:val="4"/>
          <w:sz w:val="24"/>
          <w:szCs w:val="24"/>
        </w:rPr>
        <w:t xml:space="preserve"> </w:t>
      </w:r>
      <w:r w:rsidRPr="00EF4751">
        <w:rPr>
          <w:rFonts w:cs="Calibri"/>
          <w:spacing w:val="-1"/>
          <w:sz w:val="24"/>
          <w:szCs w:val="24"/>
        </w:rPr>
        <w:t>c</w:t>
      </w:r>
      <w:r w:rsidRPr="00EF4751">
        <w:rPr>
          <w:rFonts w:cs="Calibri"/>
          <w:spacing w:val="1"/>
          <w:sz w:val="24"/>
          <w:szCs w:val="24"/>
        </w:rPr>
        <w:t>h</w:t>
      </w:r>
      <w:r w:rsidRPr="00EF4751">
        <w:rPr>
          <w:rFonts w:cs="Calibri"/>
          <w:spacing w:val="-2"/>
          <w:sz w:val="24"/>
          <w:szCs w:val="24"/>
        </w:rPr>
        <w:t>e</w:t>
      </w:r>
      <w:r w:rsidRPr="00EF4751">
        <w:rPr>
          <w:rFonts w:cs="Calibri"/>
          <w:sz w:val="24"/>
          <w:szCs w:val="24"/>
        </w:rPr>
        <w:t>z</w:t>
      </w:r>
      <w:r w:rsidRPr="00EF4751">
        <w:rPr>
          <w:rFonts w:cs="Calibri"/>
          <w:spacing w:val="4"/>
          <w:sz w:val="24"/>
          <w:szCs w:val="24"/>
        </w:rPr>
        <w:t xml:space="preserve"> </w:t>
      </w:r>
      <w:r w:rsidRPr="00EF4751">
        <w:rPr>
          <w:rFonts w:cs="Calibri"/>
          <w:sz w:val="24"/>
          <w:szCs w:val="24"/>
        </w:rPr>
        <w:t>les</w:t>
      </w:r>
      <w:r w:rsidRPr="00EF4751">
        <w:rPr>
          <w:rFonts w:cs="Calibri"/>
          <w:spacing w:val="1"/>
          <w:sz w:val="24"/>
          <w:szCs w:val="24"/>
        </w:rPr>
        <w:t xml:space="preserve"> </w:t>
      </w:r>
      <w:r w:rsidRPr="00EF4751">
        <w:rPr>
          <w:rFonts w:cs="Calibri"/>
          <w:sz w:val="24"/>
          <w:szCs w:val="24"/>
        </w:rPr>
        <w:t>e</w:t>
      </w:r>
      <w:r w:rsidRPr="00EF4751">
        <w:rPr>
          <w:rFonts w:cs="Calibri"/>
          <w:spacing w:val="-1"/>
          <w:sz w:val="24"/>
          <w:szCs w:val="24"/>
        </w:rPr>
        <w:t>n</w:t>
      </w:r>
      <w:r w:rsidRPr="00EF4751">
        <w:rPr>
          <w:rFonts w:cs="Calibri"/>
          <w:spacing w:val="1"/>
          <w:sz w:val="24"/>
          <w:szCs w:val="24"/>
        </w:rPr>
        <w:t>f</w:t>
      </w:r>
      <w:r w:rsidRPr="00EF4751">
        <w:rPr>
          <w:rFonts w:cs="Calibri"/>
          <w:sz w:val="24"/>
          <w:szCs w:val="24"/>
        </w:rPr>
        <w:t>a</w:t>
      </w:r>
      <w:r w:rsidRPr="00EF4751">
        <w:rPr>
          <w:rFonts w:cs="Calibri"/>
          <w:spacing w:val="-1"/>
          <w:sz w:val="24"/>
          <w:szCs w:val="24"/>
        </w:rPr>
        <w:t>n</w:t>
      </w:r>
      <w:r w:rsidRPr="00EF4751">
        <w:rPr>
          <w:rFonts w:cs="Calibri"/>
          <w:spacing w:val="1"/>
          <w:sz w:val="24"/>
          <w:szCs w:val="24"/>
        </w:rPr>
        <w:t>t</w:t>
      </w:r>
      <w:r w:rsidRPr="00EF4751">
        <w:rPr>
          <w:rFonts w:cs="Calibri"/>
          <w:sz w:val="24"/>
          <w:szCs w:val="24"/>
        </w:rPr>
        <w:t>s</w:t>
      </w:r>
      <w:r w:rsidRPr="00EF4751">
        <w:rPr>
          <w:rFonts w:cs="Calibri"/>
          <w:spacing w:val="3"/>
          <w:sz w:val="24"/>
          <w:szCs w:val="24"/>
        </w:rPr>
        <w:t xml:space="preserve"> </w:t>
      </w:r>
      <w:r w:rsidRPr="00EF4751">
        <w:rPr>
          <w:rFonts w:cs="Calibri"/>
          <w:spacing w:val="1"/>
          <w:sz w:val="24"/>
          <w:szCs w:val="24"/>
        </w:rPr>
        <w:t>d</w:t>
      </w:r>
      <w:r w:rsidRPr="00EF4751">
        <w:rPr>
          <w:rFonts w:cs="Calibri"/>
          <w:sz w:val="24"/>
          <w:szCs w:val="24"/>
        </w:rPr>
        <w:t>e</w:t>
      </w:r>
      <w:r w:rsidRPr="00EF4751">
        <w:rPr>
          <w:rFonts w:cs="Calibri"/>
          <w:spacing w:val="4"/>
          <w:sz w:val="24"/>
          <w:szCs w:val="24"/>
        </w:rPr>
        <w:t xml:space="preserve"> </w:t>
      </w:r>
      <w:r w:rsidRPr="00EF4751">
        <w:rPr>
          <w:rFonts w:cs="Calibri"/>
          <w:spacing w:val="-2"/>
          <w:sz w:val="24"/>
          <w:szCs w:val="24"/>
        </w:rPr>
        <w:t>m</w:t>
      </w:r>
      <w:r w:rsidRPr="00EF4751">
        <w:rPr>
          <w:rFonts w:cs="Calibri"/>
          <w:sz w:val="24"/>
          <w:szCs w:val="24"/>
        </w:rPr>
        <w:t>oi</w:t>
      </w:r>
      <w:r w:rsidRPr="00EF4751">
        <w:rPr>
          <w:rFonts w:cs="Calibri"/>
          <w:spacing w:val="1"/>
          <w:sz w:val="24"/>
          <w:szCs w:val="24"/>
        </w:rPr>
        <w:t>n</w:t>
      </w:r>
      <w:r w:rsidRPr="00EF4751">
        <w:rPr>
          <w:rFonts w:cs="Calibri"/>
          <w:sz w:val="24"/>
          <w:szCs w:val="24"/>
        </w:rPr>
        <w:t xml:space="preserve">s </w:t>
      </w:r>
      <w:r w:rsidRPr="00EF4751">
        <w:rPr>
          <w:rFonts w:cs="Calibri"/>
          <w:spacing w:val="1"/>
          <w:sz w:val="24"/>
          <w:szCs w:val="24"/>
        </w:rPr>
        <w:t>d</w:t>
      </w:r>
      <w:r w:rsidRPr="00EF4751">
        <w:rPr>
          <w:rFonts w:cs="Calibri"/>
          <w:sz w:val="24"/>
          <w:szCs w:val="24"/>
        </w:rPr>
        <w:t>e</w:t>
      </w:r>
      <w:r w:rsidRPr="00EF4751">
        <w:rPr>
          <w:rFonts w:cs="Calibri"/>
          <w:spacing w:val="4"/>
          <w:sz w:val="24"/>
          <w:szCs w:val="24"/>
        </w:rPr>
        <w:t xml:space="preserve"> </w:t>
      </w:r>
      <w:r w:rsidRPr="00EF4751">
        <w:rPr>
          <w:rFonts w:cs="Calibri"/>
          <w:sz w:val="24"/>
          <w:szCs w:val="24"/>
        </w:rPr>
        <w:t>5</w:t>
      </w:r>
      <w:r w:rsidRPr="00EF4751">
        <w:rPr>
          <w:rFonts w:cs="Calibri"/>
          <w:spacing w:val="1"/>
          <w:sz w:val="24"/>
          <w:szCs w:val="24"/>
        </w:rPr>
        <w:t xml:space="preserve"> </w:t>
      </w:r>
      <w:r w:rsidRPr="00EF4751">
        <w:rPr>
          <w:rFonts w:cs="Calibri"/>
          <w:sz w:val="24"/>
          <w:szCs w:val="24"/>
        </w:rPr>
        <w:t>a</w:t>
      </w:r>
      <w:r w:rsidRPr="00EF4751">
        <w:rPr>
          <w:rFonts w:cs="Calibri"/>
          <w:spacing w:val="1"/>
          <w:sz w:val="24"/>
          <w:szCs w:val="24"/>
        </w:rPr>
        <w:t>n</w:t>
      </w:r>
      <w:r w:rsidRPr="00EF4751">
        <w:rPr>
          <w:rFonts w:cs="Calibri"/>
          <w:sz w:val="24"/>
          <w:szCs w:val="24"/>
        </w:rPr>
        <w:t>s</w:t>
      </w:r>
      <w:r w:rsidRPr="00EF4751">
        <w:rPr>
          <w:rFonts w:cs="Calibri"/>
          <w:spacing w:val="-2"/>
          <w:sz w:val="24"/>
          <w:szCs w:val="24"/>
        </w:rPr>
        <w:t xml:space="preserve"> a</w:t>
      </w:r>
      <w:r w:rsidRPr="00EF4751">
        <w:rPr>
          <w:rFonts w:cs="Calibri"/>
          <w:spacing w:val="4"/>
          <w:sz w:val="24"/>
          <w:szCs w:val="24"/>
        </w:rPr>
        <w:t xml:space="preserve"> </w:t>
      </w:r>
      <w:r w:rsidRPr="00EF4751">
        <w:rPr>
          <w:rFonts w:cs="Calibri"/>
          <w:spacing w:val="-2"/>
          <w:sz w:val="24"/>
          <w:szCs w:val="24"/>
        </w:rPr>
        <w:t>a</w:t>
      </w:r>
      <w:r w:rsidRPr="00EF4751">
        <w:rPr>
          <w:rFonts w:cs="Calibri"/>
          <w:spacing w:val="1"/>
          <w:sz w:val="24"/>
          <w:szCs w:val="24"/>
        </w:rPr>
        <w:t>t</w:t>
      </w:r>
      <w:r w:rsidRPr="00EF4751">
        <w:rPr>
          <w:rFonts w:cs="Calibri"/>
          <w:spacing w:val="-1"/>
          <w:sz w:val="24"/>
          <w:szCs w:val="24"/>
        </w:rPr>
        <w:t>t</w:t>
      </w:r>
      <w:r w:rsidRPr="00EF4751">
        <w:rPr>
          <w:rFonts w:cs="Calibri"/>
          <w:sz w:val="24"/>
          <w:szCs w:val="24"/>
        </w:rPr>
        <w:t>ei</w:t>
      </w:r>
      <w:r w:rsidRPr="00EF4751">
        <w:rPr>
          <w:rFonts w:cs="Calibri"/>
          <w:spacing w:val="-1"/>
          <w:sz w:val="24"/>
          <w:szCs w:val="24"/>
        </w:rPr>
        <w:t>n</w:t>
      </w:r>
      <w:r w:rsidRPr="00EF4751">
        <w:rPr>
          <w:rFonts w:cs="Calibri"/>
          <w:sz w:val="24"/>
          <w:szCs w:val="24"/>
        </w:rPr>
        <w:t>t</w:t>
      </w:r>
      <w:r w:rsidRPr="00EF4751">
        <w:rPr>
          <w:rFonts w:cs="Calibri"/>
          <w:spacing w:val="4"/>
          <w:sz w:val="24"/>
          <w:szCs w:val="24"/>
        </w:rPr>
        <w:t xml:space="preserve"> </w:t>
      </w:r>
      <w:r w:rsidRPr="00EF4751">
        <w:rPr>
          <w:rFonts w:cs="Calibri"/>
          <w:sz w:val="24"/>
          <w:szCs w:val="24"/>
        </w:rPr>
        <w:t>8</w:t>
      </w:r>
      <w:r w:rsidRPr="00EF4751">
        <w:rPr>
          <w:rFonts w:cs="Calibri"/>
          <w:spacing w:val="1"/>
          <w:sz w:val="24"/>
          <w:szCs w:val="24"/>
        </w:rPr>
        <w:t>1</w:t>
      </w:r>
      <w:r w:rsidRPr="00EF4751">
        <w:rPr>
          <w:rFonts w:cs="Calibri"/>
          <w:sz w:val="24"/>
          <w:szCs w:val="24"/>
        </w:rPr>
        <w:t>,6</w:t>
      </w:r>
      <w:r w:rsidRPr="00EF4751">
        <w:rPr>
          <w:rFonts w:cs="Calibri"/>
          <w:spacing w:val="1"/>
          <w:sz w:val="24"/>
          <w:szCs w:val="24"/>
        </w:rPr>
        <w:t xml:space="preserve"> </w:t>
      </w:r>
      <w:proofErr w:type="gramStart"/>
      <w:r w:rsidRPr="00EF4751">
        <w:rPr>
          <w:rFonts w:cs="Calibri"/>
          <w:spacing w:val="7"/>
          <w:sz w:val="24"/>
          <w:szCs w:val="24"/>
        </w:rPr>
        <w:t>‰</w:t>
      </w:r>
      <w:proofErr w:type="gramEnd"/>
      <w:r w:rsidRPr="00EF4751">
        <w:rPr>
          <w:rFonts w:cs="Calibri"/>
          <w:sz w:val="24"/>
          <w:szCs w:val="24"/>
        </w:rPr>
        <w:t>.</w:t>
      </w:r>
      <w:r w:rsidRPr="00EF4751">
        <w:rPr>
          <w:rFonts w:cs="Calibri"/>
          <w:spacing w:val="9"/>
          <w:sz w:val="24"/>
          <w:szCs w:val="24"/>
        </w:rPr>
        <w:t xml:space="preserve"> Quant à la</w:t>
      </w:r>
      <w:r w:rsidRPr="00EF4751">
        <w:rPr>
          <w:rFonts w:cs="Calibri"/>
          <w:sz w:val="24"/>
          <w:szCs w:val="24"/>
        </w:rPr>
        <w:t>la</w:t>
      </w:r>
      <w:r w:rsidRPr="00EF4751">
        <w:rPr>
          <w:rFonts w:cs="Calibri"/>
          <w:spacing w:val="4"/>
          <w:sz w:val="24"/>
          <w:szCs w:val="24"/>
        </w:rPr>
        <w:t xml:space="preserve"> </w:t>
      </w:r>
      <w:r w:rsidRPr="00EF4751">
        <w:rPr>
          <w:rFonts w:cs="Calibri"/>
          <w:spacing w:val="-2"/>
          <w:sz w:val="24"/>
          <w:szCs w:val="24"/>
        </w:rPr>
        <w:t>m</w:t>
      </w:r>
      <w:r w:rsidRPr="00EF4751">
        <w:rPr>
          <w:rFonts w:cs="Calibri"/>
          <w:sz w:val="24"/>
          <w:szCs w:val="24"/>
        </w:rPr>
        <w:t>or</w:t>
      </w:r>
      <w:r w:rsidRPr="00EF4751">
        <w:rPr>
          <w:rFonts w:cs="Calibri"/>
          <w:spacing w:val="1"/>
          <w:sz w:val="24"/>
          <w:szCs w:val="24"/>
        </w:rPr>
        <w:t>t</w:t>
      </w:r>
      <w:r w:rsidRPr="00EF4751">
        <w:rPr>
          <w:rFonts w:cs="Calibri"/>
          <w:sz w:val="24"/>
          <w:szCs w:val="24"/>
        </w:rPr>
        <w:t>al</w:t>
      </w:r>
      <w:r w:rsidRPr="00EF4751">
        <w:rPr>
          <w:rFonts w:cs="Calibri"/>
          <w:spacing w:val="-2"/>
          <w:sz w:val="24"/>
          <w:szCs w:val="24"/>
        </w:rPr>
        <w:t>i</w:t>
      </w:r>
      <w:r w:rsidRPr="00EF4751">
        <w:rPr>
          <w:rFonts w:cs="Calibri"/>
          <w:spacing w:val="1"/>
          <w:sz w:val="24"/>
          <w:szCs w:val="24"/>
        </w:rPr>
        <w:t>t</w:t>
      </w:r>
      <w:r w:rsidRPr="00EF4751">
        <w:rPr>
          <w:rFonts w:cs="Calibri"/>
          <w:sz w:val="24"/>
          <w:szCs w:val="24"/>
        </w:rPr>
        <w:t>é</w:t>
      </w:r>
      <w:r w:rsidRPr="00EF4751">
        <w:rPr>
          <w:rFonts w:cs="Calibri"/>
          <w:spacing w:val="2"/>
          <w:sz w:val="24"/>
          <w:szCs w:val="24"/>
        </w:rPr>
        <w:t xml:space="preserve"> </w:t>
      </w:r>
      <w:r w:rsidRPr="00EF4751">
        <w:rPr>
          <w:rFonts w:cs="Calibri"/>
          <w:spacing w:val="1"/>
          <w:sz w:val="24"/>
          <w:szCs w:val="24"/>
        </w:rPr>
        <w:t>n</w:t>
      </w:r>
      <w:r w:rsidRPr="00EF4751">
        <w:rPr>
          <w:rFonts w:cs="Calibri"/>
          <w:sz w:val="24"/>
          <w:szCs w:val="24"/>
        </w:rPr>
        <w:t>é</w:t>
      </w:r>
      <w:r w:rsidRPr="00EF4751">
        <w:rPr>
          <w:rFonts w:cs="Calibri"/>
          <w:spacing w:val="1"/>
          <w:sz w:val="24"/>
          <w:szCs w:val="24"/>
        </w:rPr>
        <w:t>o</w:t>
      </w:r>
      <w:r w:rsidRPr="00EF4751">
        <w:rPr>
          <w:rFonts w:cs="Calibri"/>
          <w:spacing w:val="-1"/>
          <w:sz w:val="24"/>
          <w:szCs w:val="24"/>
        </w:rPr>
        <w:t>-</w:t>
      </w:r>
      <w:r w:rsidRPr="00EF4751">
        <w:rPr>
          <w:rFonts w:cs="Calibri"/>
          <w:spacing w:val="1"/>
          <w:sz w:val="24"/>
          <w:szCs w:val="24"/>
        </w:rPr>
        <w:t>n</w:t>
      </w:r>
      <w:r w:rsidRPr="00EF4751">
        <w:rPr>
          <w:rFonts w:cs="Calibri"/>
          <w:sz w:val="24"/>
          <w:szCs w:val="24"/>
        </w:rPr>
        <w:t>a</w:t>
      </w:r>
      <w:r w:rsidRPr="00EF4751">
        <w:rPr>
          <w:rFonts w:cs="Calibri"/>
          <w:spacing w:val="1"/>
          <w:sz w:val="24"/>
          <w:szCs w:val="24"/>
        </w:rPr>
        <w:t>t</w:t>
      </w:r>
      <w:r w:rsidRPr="00EF4751">
        <w:rPr>
          <w:rFonts w:cs="Calibri"/>
          <w:spacing w:val="-2"/>
          <w:sz w:val="24"/>
          <w:szCs w:val="24"/>
        </w:rPr>
        <w:t>a</w:t>
      </w:r>
      <w:r w:rsidRPr="00EF4751">
        <w:rPr>
          <w:rFonts w:cs="Calibri"/>
          <w:sz w:val="24"/>
          <w:szCs w:val="24"/>
        </w:rPr>
        <w:t>l</w:t>
      </w:r>
      <w:r w:rsidRPr="00EF4751">
        <w:rPr>
          <w:rFonts w:cs="Calibri"/>
          <w:spacing w:val="1"/>
          <w:sz w:val="24"/>
          <w:szCs w:val="24"/>
        </w:rPr>
        <w:t>e</w:t>
      </w:r>
      <w:r w:rsidRPr="00EF4751">
        <w:rPr>
          <w:rFonts w:cs="Calibri"/>
          <w:sz w:val="24"/>
          <w:szCs w:val="24"/>
        </w:rPr>
        <w:t xml:space="preserve">, elle est de </w:t>
      </w:r>
      <w:r w:rsidRPr="00EF4751">
        <w:rPr>
          <w:rFonts w:cs="Calibri"/>
          <w:spacing w:val="-2"/>
          <w:sz w:val="24"/>
          <w:szCs w:val="24"/>
        </w:rPr>
        <w:t>23</w:t>
      </w:r>
      <w:r w:rsidRPr="00EF4751">
        <w:rPr>
          <w:rFonts w:cs="Calibri"/>
          <w:sz w:val="24"/>
          <w:szCs w:val="24"/>
        </w:rPr>
        <w:t>,2</w:t>
      </w:r>
      <w:r w:rsidRPr="00EF4751">
        <w:rPr>
          <w:rFonts w:cs="Calibri"/>
          <w:spacing w:val="7"/>
          <w:sz w:val="24"/>
          <w:szCs w:val="24"/>
        </w:rPr>
        <w:t>‰ tandis que celle</w:t>
      </w:r>
      <w:r w:rsidRPr="00EF4751">
        <w:rPr>
          <w:rFonts w:cs="Calibri"/>
          <w:spacing w:val="3"/>
          <w:sz w:val="24"/>
          <w:szCs w:val="24"/>
        </w:rPr>
        <w:t xml:space="preserve"> </w:t>
      </w:r>
      <w:r w:rsidRPr="00EF4751">
        <w:rPr>
          <w:rFonts w:cs="Calibri"/>
          <w:sz w:val="24"/>
          <w:szCs w:val="24"/>
        </w:rPr>
        <w:t>i</w:t>
      </w:r>
      <w:r w:rsidRPr="00EF4751">
        <w:rPr>
          <w:rFonts w:cs="Calibri"/>
          <w:spacing w:val="-1"/>
          <w:sz w:val="24"/>
          <w:szCs w:val="24"/>
        </w:rPr>
        <w:t>n</w:t>
      </w:r>
      <w:r w:rsidRPr="00EF4751">
        <w:rPr>
          <w:rFonts w:cs="Calibri"/>
          <w:spacing w:val="1"/>
          <w:sz w:val="24"/>
          <w:szCs w:val="24"/>
        </w:rPr>
        <w:t>f</w:t>
      </w:r>
      <w:r w:rsidRPr="00EF4751">
        <w:rPr>
          <w:rFonts w:cs="Calibri"/>
          <w:sz w:val="24"/>
          <w:szCs w:val="24"/>
        </w:rPr>
        <w:t>a</w:t>
      </w:r>
      <w:r w:rsidRPr="00EF4751">
        <w:rPr>
          <w:rFonts w:cs="Calibri"/>
          <w:spacing w:val="-1"/>
          <w:sz w:val="24"/>
          <w:szCs w:val="24"/>
        </w:rPr>
        <w:t>n</w:t>
      </w:r>
      <w:r w:rsidRPr="00EF4751">
        <w:rPr>
          <w:rFonts w:cs="Calibri"/>
          <w:spacing w:val="1"/>
          <w:sz w:val="24"/>
          <w:szCs w:val="24"/>
        </w:rPr>
        <w:t>t</w:t>
      </w:r>
      <w:r w:rsidRPr="00EF4751">
        <w:rPr>
          <w:rFonts w:cs="Calibri"/>
          <w:sz w:val="24"/>
          <w:szCs w:val="24"/>
        </w:rPr>
        <w:t>i</w:t>
      </w:r>
      <w:r w:rsidRPr="00EF4751">
        <w:rPr>
          <w:rFonts w:cs="Calibri"/>
          <w:spacing w:val="-2"/>
          <w:sz w:val="24"/>
          <w:szCs w:val="24"/>
        </w:rPr>
        <w:t>l</w:t>
      </w:r>
      <w:r w:rsidRPr="00EF4751">
        <w:rPr>
          <w:rFonts w:cs="Calibri"/>
          <w:sz w:val="24"/>
          <w:szCs w:val="24"/>
        </w:rPr>
        <w:t>e</w:t>
      </w:r>
      <w:r w:rsidRPr="00EF4751">
        <w:rPr>
          <w:rFonts w:cs="Calibri"/>
          <w:spacing w:val="3"/>
          <w:sz w:val="24"/>
          <w:szCs w:val="24"/>
        </w:rPr>
        <w:t xml:space="preserve"> est de </w:t>
      </w:r>
      <w:r w:rsidRPr="00EF4751">
        <w:rPr>
          <w:rFonts w:cs="Calibri"/>
          <w:spacing w:val="-2"/>
          <w:sz w:val="24"/>
          <w:szCs w:val="24"/>
        </w:rPr>
        <w:t>4</w:t>
      </w:r>
      <w:r w:rsidRPr="00EF4751">
        <w:rPr>
          <w:rFonts w:cs="Calibri"/>
          <w:sz w:val="24"/>
          <w:szCs w:val="24"/>
        </w:rPr>
        <w:t>2,</w:t>
      </w:r>
      <w:r w:rsidRPr="00EF4751">
        <w:rPr>
          <w:rFonts w:cs="Calibri"/>
          <w:spacing w:val="1"/>
          <w:sz w:val="24"/>
          <w:szCs w:val="24"/>
        </w:rPr>
        <w:t>7</w:t>
      </w:r>
      <w:r w:rsidRPr="00EF4751">
        <w:rPr>
          <w:rFonts w:cs="Calibri"/>
          <w:spacing w:val="7"/>
          <w:sz w:val="24"/>
          <w:szCs w:val="24"/>
        </w:rPr>
        <w:t>‰</w:t>
      </w:r>
      <w:r w:rsidRPr="00EF4751">
        <w:rPr>
          <w:rFonts w:cs="Calibri"/>
          <w:sz w:val="24"/>
          <w:szCs w:val="24"/>
        </w:rPr>
        <w:t>et</w:t>
      </w:r>
      <w:r w:rsidRPr="00EF4751">
        <w:rPr>
          <w:rFonts w:cs="Calibri"/>
          <w:spacing w:val="3"/>
          <w:sz w:val="24"/>
          <w:szCs w:val="24"/>
        </w:rPr>
        <w:t xml:space="preserve"> de </w:t>
      </w:r>
      <w:r w:rsidRPr="00EF4751">
        <w:rPr>
          <w:rFonts w:cs="Calibri"/>
          <w:spacing w:val="-2"/>
          <w:sz w:val="24"/>
          <w:szCs w:val="24"/>
        </w:rPr>
        <w:t>4</w:t>
      </w:r>
      <w:r w:rsidRPr="00EF4751">
        <w:rPr>
          <w:rFonts w:cs="Calibri"/>
          <w:sz w:val="24"/>
          <w:szCs w:val="24"/>
        </w:rPr>
        <w:t>0,</w:t>
      </w:r>
      <w:r w:rsidRPr="00EF4751">
        <w:rPr>
          <w:rFonts w:cs="Calibri"/>
          <w:spacing w:val="1"/>
          <w:sz w:val="24"/>
          <w:szCs w:val="24"/>
        </w:rPr>
        <w:t>7</w:t>
      </w:r>
      <w:r w:rsidRPr="00EF4751">
        <w:rPr>
          <w:rFonts w:cs="Calibri"/>
          <w:spacing w:val="7"/>
          <w:sz w:val="24"/>
          <w:szCs w:val="24"/>
        </w:rPr>
        <w:t>‰</w:t>
      </w:r>
      <w:r w:rsidRPr="00EF4751">
        <w:rPr>
          <w:rFonts w:cs="Calibri"/>
          <w:spacing w:val="-1"/>
          <w:sz w:val="24"/>
          <w:szCs w:val="24"/>
        </w:rPr>
        <w:t>p</w:t>
      </w:r>
      <w:r w:rsidRPr="00EF4751">
        <w:rPr>
          <w:rFonts w:cs="Calibri"/>
          <w:sz w:val="24"/>
          <w:szCs w:val="24"/>
        </w:rPr>
        <w:t>o</w:t>
      </w:r>
      <w:r w:rsidRPr="00EF4751">
        <w:rPr>
          <w:rFonts w:cs="Calibri"/>
          <w:spacing w:val="1"/>
          <w:sz w:val="24"/>
          <w:szCs w:val="24"/>
        </w:rPr>
        <w:t>u</w:t>
      </w:r>
      <w:r w:rsidRPr="00EF4751">
        <w:rPr>
          <w:rFonts w:cs="Calibri"/>
          <w:sz w:val="24"/>
          <w:szCs w:val="24"/>
        </w:rPr>
        <w:t>r</w:t>
      </w:r>
      <w:r w:rsidRPr="00EF4751">
        <w:rPr>
          <w:rFonts w:cs="Calibri"/>
          <w:spacing w:val="1"/>
          <w:sz w:val="24"/>
          <w:szCs w:val="24"/>
        </w:rPr>
        <w:t xml:space="preserve"> </w:t>
      </w:r>
      <w:r w:rsidRPr="00EF4751">
        <w:rPr>
          <w:rFonts w:cs="Calibri"/>
          <w:spacing w:val="-2"/>
          <w:sz w:val="24"/>
          <w:szCs w:val="24"/>
        </w:rPr>
        <w:t>l</w:t>
      </w:r>
      <w:r w:rsidRPr="00EF4751">
        <w:rPr>
          <w:rFonts w:cs="Calibri"/>
          <w:sz w:val="24"/>
          <w:szCs w:val="24"/>
        </w:rPr>
        <w:t>a</w:t>
      </w:r>
      <w:r w:rsidRPr="00EF4751">
        <w:rPr>
          <w:rFonts w:cs="Calibri"/>
          <w:spacing w:val="2"/>
          <w:sz w:val="24"/>
          <w:szCs w:val="24"/>
        </w:rPr>
        <w:t xml:space="preserve"> </w:t>
      </w:r>
      <w:r w:rsidRPr="00EF4751">
        <w:rPr>
          <w:rFonts w:cs="Calibri"/>
          <w:sz w:val="24"/>
          <w:szCs w:val="24"/>
        </w:rPr>
        <w:t>m</w:t>
      </w:r>
      <w:r w:rsidRPr="00EF4751">
        <w:rPr>
          <w:rFonts w:cs="Calibri"/>
          <w:spacing w:val="1"/>
          <w:sz w:val="24"/>
          <w:szCs w:val="24"/>
        </w:rPr>
        <w:t>o</w:t>
      </w:r>
      <w:r w:rsidRPr="00EF4751">
        <w:rPr>
          <w:rFonts w:cs="Calibri"/>
          <w:spacing w:val="-2"/>
          <w:sz w:val="24"/>
          <w:szCs w:val="24"/>
        </w:rPr>
        <w:t>r</w:t>
      </w:r>
      <w:r w:rsidRPr="00EF4751">
        <w:rPr>
          <w:rFonts w:cs="Calibri"/>
          <w:spacing w:val="-1"/>
          <w:sz w:val="24"/>
          <w:szCs w:val="24"/>
        </w:rPr>
        <w:t>t</w:t>
      </w:r>
      <w:r w:rsidRPr="00EF4751">
        <w:rPr>
          <w:rFonts w:cs="Calibri"/>
          <w:sz w:val="24"/>
          <w:szCs w:val="24"/>
        </w:rPr>
        <w:t>ali</w:t>
      </w:r>
      <w:r w:rsidRPr="00EF4751">
        <w:rPr>
          <w:rFonts w:cs="Calibri"/>
          <w:spacing w:val="1"/>
          <w:sz w:val="24"/>
          <w:szCs w:val="24"/>
        </w:rPr>
        <w:t>t</w:t>
      </w:r>
      <w:r w:rsidRPr="00EF4751">
        <w:rPr>
          <w:rFonts w:cs="Calibri"/>
          <w:sz w:val="24"/>
          <w:szCs w:val="24"/>
        </w:rPr>
        <w:t>é</w:t>
      </w:r>
      <w:r w:rsidRPr="00EF4751">
        <w:rPr>
          <w:rFonts w:cs="Calibri"/>
          <w:spacing w:val="2"/>
          <w:sz w:val="24"/>
          <w:szCs w:val="24"/>
        </w:rPr>
        <w:t xml:space="preserve"> </w:t>
      </w:r>
      <w:r w:rsidRPr="00EF4751">
        <w:rPr>
          <w:rFonts w:cs="Calibri"/>
          <w:spacing w:val="-2"/>
          <w:sz w:val="24"/>
          <w:szCs w:val="24"/>
        </w:rPr>
        <w:t>j</w:t>
      </w:r>
      <w:r w:rsidRPr="00EF4751">
        <w:rPr>
          <w:rFonts w:cs="Calibri"/>
          <w:spacing w:val="1"/>
          <w:sz w:val="24"/>
          <w:szCs w:val="24"/>
        </w:rPr>
        <w:t>u</w:t>
      </w:r>
      <w:r w:rsidRPr="00EF4751">
        <w:rPr>
          <w:rFonts w:cs="Calibri"/>
          <w:sz w:val="24"/>
          <w:szCs w:val="24"/>
        </w:rPr>
        <w:t>vé</w:t>
      </w:r>
      <w:r w:rsidRPr="00EF4751">
        <w:rPr>
          <w:rFonts w:cs="Calibri"/>
          <w:spacing w:val="1"/>
          <w:sz w:val="24"/>
          <w:szCs w:val="24"/>
        </w:rPr>
        <w:t>n</w:t>
      </w:r>
      <w:r w:rsidRPr="00EF4751">
        <w:rPr>
          <w:rFonts w:cs="Calibri"/>
          <w:sz w:val="24"/>
          <w:szCs w:val="24"/>
        </w:rPr>
        <w:t>ile.</w:t>
      </w:r>
      <w:r w:rsidRPr="00EF4751">
        <w:rPr>
          <w:rFonts w:cs="Calibri"/>
          <w:spacing w:val="2"/>
          <w:sz w:val="24"/>
          <w:szCs w:val="24"/>
        </w:rPr>
        <w:t xml:space="preserve"> </w:t>
      </w:r>
      <w:r w:rsidRPr="00EF4751">
        <w:rPr>
          <w:rFonts w:cs="Calibri"/>
          <w:sz w:val="24"/>
          <w:szCs w:val="24"/>
        </w:rPr>
        <w:t xml:space="preserve">Ces </w:t>
      </w:r>
      <w:r w:rsidRPr="00EF4751">
        <w:rPr>
          <w:rFonts w:cs="Calibri"/>
          <w:spacing w:val="-2"/>
          <w:sz w:val="24"/>
          <w:szCs w:val="24"/>
        </w:rPr>
        <w:t>r</w:t>
      </w:r>
      <w:r w:rsidRPr="00EF4751">
        <w:rPr>
          <w:rFonts w:cs="Calibri"/>
          <w:sz w:val="24"/>
          <w:szCs w:val="24"/>
        </w:rPr>
        <w:t>és</w:t>
      </w:r>
      <w:r w:rsidRPr="00EF4751">
        <w:rPr>
          <w:rFonts w:cs="Calibri"/>
          <w:spacing w:val="1"/>
          <w:sz w:val="24"/>
          <w:szCs w:val="24"/>
        </w:rPr>
        <w:t>u</w:t>
      </w:r>
      <w:r w:rsidRPr="00EF4751">
        <w:rPr>
          <w:rFonts w:cs="Calibri"/>
          <w:sz w:val="24"/>
          <w:szCs w:val="24"/>
        </w:rPr>
        <w:t>l</w:t>
      </w:r>
      <w:r w:rsidRPr="00EF4751">
        <w:rPr>
          <w:rFonts w:cs="Calibri"/>
          <w:spacing w:val="-1"/>
          <w:sz w:val="24"/>
          <w:szCs w:val="24"/>
        </w:rPr>
        <w:t>t</w:t>
      </w:r>
      <w:r w:rsidRPr="00EF4751">
        <w:rPr>
          <w:rFonts w:cs="Calibri"/>
          <w:spacing w:val="-2"/>
          <w:sz w:val="24"/>
          <w:szCs w:val="24"/>
        </w:rPr>
        <w:t>a</w:t>
      </w:r>
      <w:r w:rsidRPr="00EF4751">
        <w:rPr>
          <w:rFonts w:cs="Calibri"/>
          <w:spacing w:val="1"/>
          <w:sz w:val="24"/>
          <w:szCs w:val="24"/>
        </w:rPr>
        <w:t>t</w:t>
      </w:r>
      <w:r w:rsidRPr="00EF4751">
        <w:rPr>
          <w:rFonts w:cs="Calibri"/>
          <w:sz w:val="24"/>
          <w:szCs w:val="24"/>
        </w:rPr>
        <w:t>s</w:t>
      </w:r>
      <w:r w:rsidRPr="00EF4751">
        <w:rPr>
          <w:rFonts w:cs="Calibri"/>
          <w:spacing w:val="1"/>
          <w:sz w:val="24"/>
          <w:szCs w:val="24"/>
        </w:rPr>
        <w:t xml:space="preserve"> n</w:t>
      </w:r>
      <w:r w:rsidRPr="00EF4751">
        <w:rPr>
          <w:rFonts w:cs="Calibri"/>
          <w:sz w:val="24"/>
          <w:szCs w:val="24"/>
        </w:rPr>
        <w:t>’</w:t>
      </w:r>
      <w:r w:rsidRPr="00EF4751">
        <w:rPr>
          <w:rFonts w:cs="Calibri"/>
          <w:spacing w:val="-2"/>
          <w:sz w:val="24"/>
          <w:szCs w:val="24"/>
        </w:rPr>
        <w:t>o</w:t>
      </w:r>
      <w:r w:rsidRPr="00EF4751">
        <w:rPr>
          <w:rFonts w:cs="Calibri"/>
          <w:spacing w:val="1"/>
          <w:sz w:val="24"/>
          <w:szCs w:val="24"/>
        </w:rPr>
        <w:t>n</w:t>
      </w:r>
      <w:r w:rsidRPr="00EF4751">
        <w:rPr>
          <w:rFonts w:cs="Calibri"/>
          <w:sz w:val="24"/>
          <w:szCs w:val="24"/>
        </w:rPr>
        <w:t xml:space="preserve">t </w:t>
      </w:r>
      <w:r w:rsidRPr="00EF4751">
        <w:rPr>
          <w:rFonts w:cs="Calibri"/>
          <w:spacing w:val="1"/>
          <w:sz w:val="24"/>
          <w:szCs w:val="24"/>
        </w:rPr>
        <w:t>p</w:t>
      </w:r>
      <w:r w:rsidRPr="00EF4751">
        <w:rPr>
          <w:rFonts w:cs="Calibri"/>
          <w:sz w:val="24"/>
          <w:szCs w:val="24"/>
        </w:rPr>
        <w:t>as</w:t>
      </w:r>
      <w:r w:rsidRPr="00EF4751">
        <w:rPr>
          <w:rFonts w:cs="Calibri"/>
          <w:spacing w:val="1"/>
          <w:sz w:val="24"/>
          <w:szCs w:val="24"/>
        </w:rPr>
        <w:t xml:space="preserve"> </w:t>
      </w:r>
      <w:r w:rsidRPr="00EF4751">
        <w:rPr>
          <w:rFonts w:cs="Calibri"/>
          <w:spacing w:val="-1"/>
          <w:sz w:val="24"/>
          <w:szCs w:val="24"/>
        </w:rPr>
        <w:t>p</w:t>
      </w:r>
      <w:r w:rsidRPr="00EF4751">
        <w:rPr>
          <w:rFonts w:cs="Calibri"/>
          <w:sz w:val="24"/>
          <w:szCs w:val="24"/>
        </w:rPr>
        <w:t>er</w:t>
      </w:r>
      <w:r w:rsidRPr="00EF4751">
        <w:rPr>
          <w:rFonts w:cs="Calibri"/>
          <w:spacing w:val="1"/>
          <w:sz w:val="24"/>
          <w:szCs w:val="24"/>
        </w:rPr>
        <w:t>m</w:t>
      </w:r>
      <w:r w:rsidRPr="00EF4751">
        <w:rPr>
          <w:rFonts w:cs="Calibri"/>
          <w:sz w:val="24"/>
          <w:szCs w:val="24"/>
        </w:rPr>
        <w:t xml:space="preserve">is </w:t>
      </w:r>
      <w:r w:rsidRPr="00EF4751">
        <w:rPr>
          <w:rFonts w:cs="Calibri"/>
          <w:spacing w:val="1"/>
          <w:sz w:val="24"/>
          <w:szCs w:val="24"/>
        </w:rPr>
        <w:t>d</w:t>
      </w:r>
      <w:r w:rsidRPr="00EF4751">
        <w:rPr>
          <w:rFonts w:cs="Calibri"/>
          <w:sz w:val="24"/>
          <w:szCs w:val="24"/>
        </w:rPr>
        <w:t>’a</w:t>
      </w:r>
      <w:r w:rsidRPr="00EF4751">
        <w:rPr>
          <w:rFonts w:cs="Calibri"/>
          <w:spacing w:val="-1"/>
          <w:sz w:val="24"/>
          <w:szCs w:val="24"/>
        </w:rPr>
        <w:t>t</w:t>
      </w:r>
      <w:r w:rsidRPr="00EF4751">
        <w:rPr>
          <w:rFonts w:cs="Calibri"/>
          <w:spacing w:val="1"/>
          <w:sz w:val="24"/>
          <w:szCs w:val="24"/>
        </w:rPr>
        <w:t>t</w:t>
      </w:r>
      <w:r w:rsidRPr="00EF4751">
        <w:rPr>
          <w:rFonts w:cs="Calibri"/>
          <w:sz w:val="24"/>
          <w:szCs w:val="24"/>
        </w:rPr>
        <w:t>ei</w:t>
      </w:r>
      <w:r w:rsidRPr="00EF4751">
        <w:rPr>
          <w:rFonts w:cs="Calibri"/>
          <w:spacing w:val="-1"/>
          <w:sz w:val="24"/>
          <w:szCs w:val="24"/>
        </w:rPr>
        <w:t>n</w:t>
      </w:r>
      <w:r w:rsidRPr="00EF4751">
        <w:rPr>
          <w:rFonts w:cs="Calibri"/>
          <w:spacing w:val="1"/>
          <w:sz w:val="24"/>
          <w:szCs w:val="24"/>
        </w:rPr>
        <w:t>d</w:t>
      </w:r>
      <w:r w:rsidRPr="00EF4751">
        <w:rPr>
          <w:rFonts w:cs="Calibri"/>
          <w:sz w:val="24"/>
          <w:szCs w:val="24"/>
        </w:rPr>
        <w:t>re</w:t>
      </w:r>
      <w:r w:rsidRPr="00EF4751">
        <w:rPr>
          <w:rFonts w:cs="Calibri"/>
          <w:spacing w:val="4"/>
          <w:sz w:val="24"/>
          <w:szCs w:val="24"/>
        </w:rPr>
        <w:t xml:space="preserve"> </w:t>
      </w:r>
      <w:r w:rsidRPr="00EF4751">
        <w:rPr>
          <w:rFonts w:cs="Calibri"/>
          <w:sz w:val="24"/>
          <w:szCs w:val="24"/>
        </w:rPr>
        <w:t>les</w:t>
      </w:r>
      <w:r w:rsidRPr="00EF4751">
        <w:rPr>
          <w:rFonts w:cs="Calibri"/>
          <w:spacing w:val="6"/>
          <w:sz w:val="24"/>
          <w:szCs w:val="24"/>
        </w:rPr>
        <w:t xml:space="preserve"> </w:t>
      </w:r>
      <w:r w:rsidRPr="00EF4751">
        <w:rPr>
          <w:rFonts w:cs="Calibri"/>
          <w:spacing w:val="-1"/>
          <w:sz w:val="24"/>
          <w:szCs w:val="24"/>
        </w:rPr>
        <w:t>c</w:t>
      </w:r>
      <w:r w:rsidRPr="00EF4751">
        <w:rPr>
          <w:rFonts w:cs="Calibri"/>
          <w:sz w:val="24"/>
          <w:szCs w:val="24"/>
        </w:rPr>
        <w:t>i</w:t>
      </w:r>
      <w:r w:rsidRPr="00EF4751">
        <w:rPr>
          <w:rFonts w:cs="Calibri"/>
          <w:spacing w:val="1"/>
          <w:sz w:val="24"/>
          <w:szCs w:val="24"/>
        </w:rPr>
        <w:t>b</w:t>
      </w:r>
      <w:r w:rsidRPr="00EF4751">
        <w:rPr>
          <w:rFonts w:cs="Calibri"/>
          <w:sz w:val="24"/>
          <w:szCs w:val="24"/>
        </w:rPr>
        <w:t>les</w:t>
      </w:r>
      <w:r w:rsidRPr="00EF4751">
        <w:rPr>
          <w:rFonts w:cs="Calibri"/>
          <w:spacing w:val="4"/>
          <w:sz w:val="24"/>
          <w:szCs w:val="24"/>
        </w:rPr>
        <w:t xml:space="preserve"> en 2015 </w:t>
      </w:r>
      <w:r w:rsidRPr="00EF4751">
        <w:rPr>
          <w:rFonts w:cs="Calibri"/>
          <w:spacing w:val="-1"/>
          <w:sz w:val="24"/>
          <w:szCs w:val="24"/>
        </w:rPr>
        <w:t>d</w:t>
      </w:r>
      <w:r w:rsidRPr="00EF4751">
        <w:rPr>
          <w:rFonts w:cs="Calibri"/>
          <w:sz w:val="24"/>
          <w:szCs w:val="24"/>
        </w:rPr>
        <w:t>u</w:t>
      </w:r>
      <w:r w:rsidRPr="00EF4751">
        <w:rPr>
          <w:rFonts w:cs="Calibri"/>
          <w:spacing w:val="6"/>
          <w:sz w:val="24"/>
          <w:szCs w:val="24"/>
        </w:rPr>
        <w:t xml:space="preserve"> </w:t>
      </w:r>
      <w:r w:rsidRPr="00EF4751">
        <w:rPr>
          <w:rFonts w:cs="Calibri"/>
          <w:spacing w:val="-2"/>
          <w:sz w:val="24"/>
          <w:szCs w:val="24"/>
        </w:rPr>
        <w:t>P</w:t>
      </w:r>
      <w:r w:rsidRPr="00EF4751">
        <w:rPr>
          <w:rFonts w:cs="Calibri"/>
          <w:spacing w:val="1"/>
          <w:sz w:val="24"/>
          <w:szCs w:val="24"/>
        </w:rPr>
        <w:t>ND</w:t>
      </w:r>
      <w:r w:rsidRPr="00EF4751">
        <w:rPr>
          <w:rFonts w:cs="Calibri"/>
          <w:sz w:val="24"/>
          <w:szCs w:val="24"/>
        </w:rPr>
        <w:t>S 2011-2020,</w:t>
      </w:r>
      <w:r w:rsidRPr="00EF4751">
        <w:rPr>
          <w:rFonts w:cs="Calibri"/>
          <w:spacing w:val="5"/>
          <w:sz w:val="24"/>
          <w:szCs w:val="24"/>
        </w:rPr>
        <w:t xml:space="preserve"> </w:t>
      </w:r>
      <w:r w:rsidRPr="00EF4751">
        <w:rPr>
          <w:rFonts w:cs="Calibri"/>
          <w:spacing w:val="1"/>
          <w:sz w:val="24"/>
          <w:szCs w:val="24"/>
        </w:rPr>
        <w:t>d</w:t>
      </w:r>
      <w:r w:rsidRPr="00EF4751">
        <w:rPr>
          <w:rFonts w:cs="Calibri"/>
          <w:sz w:val="24"/>
          <w:szCs w:val="24"/>
        </w:rPr>
        <w:t>es</w:t>
      </w:r>
      <w:r w:rsidRPr="00EF4751">
        <w:rPr>
          <w:rFonts w:cs="Calibri"/>
          <w:spacing w:val="5"/>
          <w:sz w:val="24"/>
          <w:szCs w:val="24"/>
        </w:rPr>
        <w:t xml:space="preserve"> </w:t>
      </w:r>
      <w:r w:rsidRPr="00EF4751">
        <w:rPr>
          <w:rFonts w:cs="Calibri"/>
          <w:sz w:val="24"/>
          <w:szCs w:val="24"/>
        </w:rPr>
        <w:t>O</w:t>
      </w:r>
      <w:r w:rsidRPr="00EF4751">
        <w:rPr>
          <w:rFonts w:cs="Calibri"/>
          <w:spacing w:val="-2"/>
          <w:sz w:val="24"/>
          <w:szCs w:val="24"/>
        </w:rPr>
        <w:t>M</w:t>
      </w:r>
      <w:r w:rsidRPr="00EF4751">
        <w:rPr>
          <w:rFonts w:cs="Calibri"/>
          <w:sz w:val="24"/>
          <w:szCs w:val="24"/>
        </w:rPr>
        <w:t>D</w:t>
      </w:r>
      <w:r w:rsidRPr="00EF4751">
        <w:rPr>
          <w:rFonts w:cs="Calibri"/>
          <w:spacing w:val="6"/>
          <w:sz w:val="24"/>
          <w:szCs w:val="24"/>
        </w:rPr>
        <w:t xml:space="preserve"> </w:t>
      </w:r>
      <w:r w:rsidRPr="00EF4751">
        <w:rPr>
          <w:rFonts w:cs="Calibri"/>
          <w:spacing w:val="-2"/>
          <w:sz w:val="24"/>
          <w:szCs w:val="24"/>
        </w:rPr>
        <w:t>o</w:t>
      </w:r>
      <w:r w:rsidRPr="00EF4751">
        <w:rPr>
          <w:rFonts w:cs="Calibri"/>
          <w:sz w:val="24"/>
          <w:szCs w:val="24"/>
        </w:rPr>
        <w:t>u</w:t>
      </w:r>
      <w:r w:rsidRPr="00EF4751">
        <w:rPr>
          <w:rFonts w:cs="Calibri"/>
          <w:spacing w:val="5"/>
          <w:sz w:val="24"/>
          <w:szCs w:val="24"/>
        </w:rPr>
        <w:t xml:space="preserve"> </w:t>
      </w:r>
      <w:r w:rsidRPr="00EF4751">
        <w:rPr>
          <w:rFonts w:cs="Calibri"/>
          <w:spacing w:val="1"/>
          <w:sz w:val="24"/>
          <w:szCs w:val="24"/>
        </w:rPr>
        <w:t>d</w:t>
      </w:r>
      <w:r w:rsidRPr="00EF4751">
        <w:rPr>
          <w:rFonts w:cs="Calibri"/>
          <w:sz w:val="24"/>
          <w:szCs w:val="24"/>
        </w:rPr>
        <w:t>e</w:t>
      </w:r>
      <w:r w:rsidRPr="00EF4751">
        <w:rPr>
          <w:rFonts w:cs="Calibri"/>
          <w:spacing w:val="6"/>
          <w:sz w:val="24"/>
          <w:szCs w:val="24"/>
        </w:rPr>
        <w:t xml:space="preserve"> </w:t>
      </w:r>
      <w:r w:rsidRPr="00EF4751">
        <w:rPr>
          <w:rFonts w:cs="Calibri"/>
          <w:sz w:val="24"/>
          <w:szCs w:val="24"/>
        </w:rPr>
        <w:t>la SCA</w:t>
      </w:r>
      <w:r w:rsidRPr="00EF4751">
        <w:rPr>
          <w:rFonts w:cs="Calibri"/>
          <w:spacing w:val="1"/>
          <w:sz w:val="24"/>
          <w:szCs w:val="24"/>
        </w:rPr>
        <w:t>D</w:t>
      </w:r>
      <w:r w:rsidRPr="00EF4751">
        <w:rPr>
          <w:rFonts w:cs="Calibri"/>
          <w:spacing w:val="3"/>
          <w:sz w:val="24"/>
          <w:szCs w:val="24"/>
        </w:rPr>
        <w:t>D</w:t>
      </w:r>
      <w:r w:rsidRPr="00EF4751">
        <w:rPr>
          <w:rFonts w:cs="Calibri"/>
          <w:sz w:val="24"/>
          <w:szCs w:val="24"/>
        </w:rPr>
        <w:t xml:space="preserve">. </w:t>
      </w:r>
      <w:r w:rsidRPr="00EF4751">
        <w:rPr>
          <w:rFonts w:cs="Calibri"/>
          <w:spacing w:val="6"/>
          <w:sz w:val="24"/>
          <w:szCs w:val="24"/>
        </w:rPr>
        <w:t xml:space="preserve"> </w:t>
      </w:r>
      <w:r w:rsidRPr="00EF4751">
        <w:rPr>
          <w:rFonts w:cs="Calibri"/>
          <w:sz w:val="24"/>
          <w:szCs w:val="24"/>
        </w:rPr>
        <w:t>C</w:t>
      </w:r>
      <w:r w:rsidRPr="00EF4751">
        <w:rPr>
          <w:rFonts w:cs="Calibri"/>
          <w:spacing w:val="-3"/>
          <w:sz w:val="24"/>
          <w:szCs w:val="24"/>
        </w:rPr>
        <w:t>e</w:t>
      </w:r>
      <w:r w:rsidRPr="00EF4751">
        <w:rPr>
          <w:rFonts w:cs="Calibri"/>
          <w:spacing w:val="1"/>
          <w:sz w:val="24"/>
          <w:szCs w:val="24"/>
        </w:rPr>
        <w:t>p</w:t>
      </w:r>
      <w:r w:rsidRPr="00EF4751">
        <w:rPr>
          <w:rFonts w:cs="Calibri"/>
          <w:sz w:val="24"/>
          <w:szCs w:val="24"/>
        </w:rPr>
        <w:t>e</w:t>
      </w:r>
      <w:r w:rsidRPr="00EF4751">
        <w:rPr>
          <w:rFonts w:cs="Calibri"/>
          <w:spacing w:val="-1"/>
          <w:sz w:val="24"/>
          <w:szCs w:val="24"/>
        </w:rPr>
        <w:t>n</w:t>
      </w:r>
      <w:r w:rsidRPr="00EF4751">
        <w:rPr>
          <w:rFonts w:cs="Calibri"/>
          <w:spacing w:val="1"/>
          <w:sz w:val="24"/>
          <w:szCs w:val="24"/>
        </w:rPr>
        <w:t>d</w:t>
      </w:r>
      <w:r w:rsidRPr="00EF4751">
        <w:rPr>
          <w:rFonts w:cs="Calibri"/>
          <w:sz w:val="24"/>
          <w:szCs w:val="24"/>
        </w:rPr>
        <w:t>a</w:t>
      </w:r>
      <w:r w:rsidRPr="00EF4751">
        <w:rPr>
          <w:rFonts w:cs="Calibri"/>
          <w:spacing w:val="-1"/>
          <w:sz w:val="24"/>
          <w:szCs w:val="24"/>
        </w:rPr>
        <w:t>n</w:t>
      </w:r>
      <w:r w:rsidRPr="00EF4751">
        <w:rPr>
          <w:rFonts w:cs="Calibri"/>
          <w:spacing w:val="2"/>
          <w:sz w:val="24"/>
          <w:szCs w:val="24"/>
        </w:rPr>
        <w:t>t</w:t>
      </w:r>
      <w:r w:rsidRPr="00EF4751">
        <w:rPr>
          <w:rFonts w:cs="Calibri"/>
          <w:sz w:val="24"/>
          <w:szCs w:val="24"/>
        </w:rPr>
        <w:t>,</w:t>
      </w:r>
      <w:r w:rsidRPr="00EF4751">
        <w:rPr>
          <w:rFonts w:cs="Calibri"/>
          <w:spacing w:val="5"/>
          <w:sz w:val="24"/>
          <w:szCs w:val="24"/>
        </w:rPr>
        <w:t xml:space="preserve"> </w:t>
      </w:r>
      <w:r w:rsidRPr="00EF4751">
        <w:rPr>
          <w:rFonts w:cs="Calibri"/>
          <w:sz w:val="24"/>
          <w:szCs w:val="24"/>
        </w:rPr>
        <w:t>le</w:t>
      </w:r>
      <w:r w:rsidRPr="00EF4751">
        <w:rPr>
          <w:rFonts w:cs="Calibri"/>
          <w:spacing w:val="3"/>
          <w:sz w:val="24"/>
          <w:szCs w:val="24"/>
        </w:rPr>
        <w:t xml:space="preserve"> </w:t>
      </w:r>
      <w:r w:rsidRPr="00EF4751">
        <w:rPr>
          <w:rFonts w:cs="Calibri"/>
          <w:spacing w:val="-1"/>
          <w:sz w:val="24"/>
          <w:szCs w:val="24"/>
        </w:rPr>
        <w:t>t</w:t>
      </w:r>
      <w:r w:rsidRPr="00EF4751">
        <w:rPr>
          <w:rFonts w:cs="Calibri"/>
          <w:sz w:val="24"/>
          <w:szCs w:val="24"/>
        </w:rPr>
        <w:t>a</w:t>
      </w:r>
      <w:r w:rsidRPr="00EF4751">
        <w:rPr>
          <w:rFonts w:cs="Calibri"/>
          <w:spacing w:val="1"/>
          <w:sz w:val="24"/>
          <w:szCs w:val="24"/>
        </w:rPr>
        <w:t>u</w:t>
      </w:r>
      <w:r w:rsidRPr="00EF4751">
        <w:rPr>
          <w:rFonts w:cs="Calibri"/>
          <w:sz w:val="24"/>
          <w:szCs w:val="24"/>
        </w:rPr>
        <w:t>x</w:t>
      </w:r>
      <w:r w:rsidRPr="00EF4751">
        <w:rPr>
          <w:rFonts w:cs="Calibri"/>
          <w:spacing w:val="4"/>
          <w:sz w:val="24"/>
          <w:szCs w:val="24"/>
        </w:rPr>
        <w:t xml:space="preserve"> </w:t>
      </w:r>
      <w:r w:rsidRPr="00EF4751">
        <w:rPr>
          <w:rFonts w:cs="Calibri"/>
          <w:spacing w:val="1"/>
          <w:sz w:val="24"/>
          <w:szCs w:val="24"/>
        </w:rPr>
        <w:t>d</w:t>
      </w:r>
      <w:r w:rsidRPr="00EF4751">
        <w:rPr>
          <w:rFonts w:cs="Calibri"/>
          <w:sz w:val="24"/>
          <w:szCs w:val="24"/>
        </w:rPr>
        <w:t>e</w:t>
      </w:r>
      <w:r w:rsidRPr="00EF4751">
        <w:rPr>
          <w:rFonts w:cs="Calibri"/>
          <w:spacing w:val="5"/>
          <w:sz w:val="24"/>
          <w:szCs w:val="24"/>
        </w:rPr>
        <w:t xml:space="preserve"> </w:t>
      </w:r>
      <w:r w:rsidRPr="00EF4751">
        <w:rPr>
          <w:rFonts w:cs="Calibri"/>
          <w:sz w:val="24"/>
          <w:szCs w:val="24"/>
        </w:rPr>
        <w:t>r</w:t>
      </w:r>
      <w:r w:rsidRPr="00EF4751">
        <w:rPr>
          <w:rFonts w:cs="Calibri"/>
          <w:spacing w:val="1"/>
          <w:sz w:val="24"/>
          <w:szCs w:val="24"/>
        </w:rPr>
        <w:t>é</w:t>
      </w:r>
      <w:r w:rsidRPr="00EF4751">
        <w:rPr>
          <w:rFonts w:cs="Calibri"/>
          <w:sz w:val="24"/>
          <w:szCs w:val="24"/>
        </w:rPr>
        <w:t>alis</w:t>
      </w:r>
      <w:r w:rsidRPr="00EF4751">
        <w:rPr>
          <w:rFonts w:cs="Calibri"/>
          <w:spacing w:val="-2"/>
          <w:sz w:val="24"/>
          <w:szCs w:val="24"/>
        </w:rPr>
        <w:t>a</w:t>
      </w:r>
      <w:r w:rsidRPr="00EF4751">
        <w:rPr>
          <w:rFonts w:cs="Calibri"/>
          <w:spacing w:val="1"/>
          <w:sz w:val="24"/>
          <w:szCs w:val="24"/>
        </w:rPr>
        <w:t>t</w:t>
      </w:r>
      <w:r w:rsidRPr="00EF4751">
        <w:rPr>
          <w:rFonts w:cs="Calibri"/>
          <w:sz w:val="24"/>
          <w:szCs w:val="24"/>
        </w:rPr>
        <w:t>ion</w:t>
      </w:r>
      <w:r w:rsidRPr="00EF4751">
        <w:rPr>
          <w:rFonts w:cs="Calibri"/>
          <w:spacing w:val="5"/>
          <w:sz w:val="24"/>
          <w:szCs w:val="24"/>
        </w:rPr>
        <w:t xml:space="preserve"> </w:t>
      </w:r>
      <w:r w:rsidRPr="00EF4751">
        <w:rPr>
          <w:rFonts w:cs="Calibri"/>
          <w:sz w:val="24"/>
          <w:szCs w:val="24"/>
        </w:rPr>
        <w:t>se si</w:t>
      </w:r>
      <w:r w:rsidRPr="00EF4751">
        <w:rPr>
          <w:rFonts w:cs="Calibri"/>
          <w:spacing w:val="1"/>
          <w:sz w:val="24"/>
          <w:szCs w:val="24"/>
        </w:rPr>
        <w:t>tu</w:t>
      </w:r>
      <w:r w:rsidRPr="00EF4751">
        <w:rPr>
          <w:rFonts w:cs="Calibri"/>
          <w:sz w:val="24"/>
          <w:szCs w:val="24"/>
        </w:rPr>
        <w:t>e</w:t>
      </w:r>
      <w:r w:rsidRPr="00EF4751">
        <w:rPr>
          <w:rFonts w:cs="Calibri"/>
          <w:spacing w:val="16"/>
          <w:sz w:val="24"/>
          <w:szCs w:val="24"/>
        </w:rPr>
        <w:t xml:space="preserve"> </w:t>
      </w:r>
      <w:r w:rsidRPr="00EF4751">
        <w:rPr>
          <w:rFonts w:cs="Calibri"/>
          <w:spacing w:val="-2"/>
          <w:sz w:val="24"/>
          <w:szCs w:val="24"/>
        </w:rPr>
        <w:t>e</w:t>
      </w:r>
      <w:r w:rsidRPr="00EF4751">
        <w:rPr>
          <w:rFonts w:cs="Calibri"/>
          <w:spacing w:val="1"/>
          <w:sz w:val="24"/>
          <w:szCs w:val="24"/>
        </w:rPr>
        <w:t>n</w:t>
      </w:r>
      <w:r w:rsidRPr="00EF4751">
        <w:rPr>
          <w:rFonts w:cs="Calibri"/>
          <w:spacing w:val="-1"/>
          <w:sz w:val="24"/>
          <w:szCs w:val="24"/>
        </w:rPr>
        <w:t>t</w:t>
      </w:r>
      <w:r w:rsidRPr="00EF4751">
        <w:rPr>
          <w:rFonts w:cs="Calibri"/>
          <w:sz w:val="24"/>
          <w:szCs w:val="24"/>
        </w:rPr>
        <w:t>re</w:t>
      </w:r>
      <w:r w:rsidRPr="00EF4751">
        <w:rPr>
          <w:rFonts w:cs="Calibri"/>
          <w:spacing w:val="17"/>
          <w:sz w:val="24"/>
          <w:szCs w:val="24"/>
        </w:rPr>
        <w:t xml:space="preserve"> </w:t>
      </w:r>
      <w:r w:rsidRPr="00EF4751">
        <w:rPr>
          <w:rFonts w:cs="Calibri"/>
          <w:sz w:val="24"/>
          <w:szCs w:val="24"/>
        </w:rPr>
        <w:t>60</w:t>
      </w:r>
      <w:r w:rsidRPr="00EF4751">
        <w:rPr>
          <w:rFonts w:cs="Calibri"/>
          <w:spacing w:val="14"/>
          <w:sz w:val="24"/>
          <w:szCs w:val="24"/>
        </w:rPr>
        <w:t xml:space="preserve"> </w:t>
      </w:r>
      <w:r w:rsidRPr="00EF4751">
        <w:rPr>
          <w:rFonts w:cs="Calibri"/>
          <w:sz w:val="24"/>
          <w:szCs w:val="24"/>
        </w:rPr>
        <w:t>et</w:t>
      </w:r>
      <w:r w:rsidRPr="00EF4751">
        <w:rPr>
          <w:rFonts w:cs="Calibri"/>
          <w:spacing w:val="14"/>
          <w:sz w:val="24"/>
          <w:szCs w:val="24"/>
        </w:rPr>
        <w:t xml:space="preserve"> </w:t>
      </w:r>
      <w:r w:rsidRPr="00EF4751">
        <w:rPr>
          <w:rFonts w:cs="Calibri"/>
          <w:sz w:val="24"/>
          <w:szCs w:val="24"/>
        </w:rPr>
        <w:t>8</w:t>
      </w:r>
      <w:r w:rsidRPr="00EF4751">
        <w:rPr>
          <w:rFonts w:cs="Calibri"/>
          <w:spacing w:val="1"/>
          <w:sz w:val="24"/>
          <w:szCs w:val="24"/>
        </w:rPr>
        <w:t>4</w:t>
      </w:r>
      <w:r w:rsidRPr="00EF4751">
        <w:rPr>
          <w:rFonts w:cs="Calibri"/>
          <w:sz w:val="24"/>
          <w:szCs w:val="24"/>
        </w:rPr>
        <w:t>%</w:t>
      </w:r>
      <w:r w:rsidRPr="00EF4751">
        <w:rPr>
          <w:rFonts w:cs="Calibri"/>
          <w:spacing w:val="14"/>
          <w:sz w:val="24"/>
          <w:szCs w:val="24"/>
        </w:rPr>
        <w:t xml:space="preserve"> </w:t>
      </w:r>
      <w:r w:rsidRPr="00EF4751">
        <w:rPr>
          <w:rFonts w:cs="Calibri"/>
          <w:sz w:val="24"/>
          <w:szCs w:val="24"/>
        </w:rPr>
        <w:t xml:space="preserve">et </w:t>
      </w:r>
      <w:r w:rsidRPr="00EF4751">
        <w:rPr>
          <w:rFonts w:cs="Calibri"/>
          <w:spacing w:val="32"/>
          <w:sz w:val="24"/>
          <w:szCs w:val="24"/>
        </w:rPr>
        <w:t xml:space="preserve"> </w:t>
      </w:r>
      <w:r w:rsidRPr="00EF4751">
        <w:rPr>
          <w:rFonts w:cs="Calibri"/>
          <w:sz w:val="24"/>
          <w:szCs w:val="24"/>
        </w:rPr>
        <w:t>l’i</w:t>
      </w:r>
      <w:r w:rsidRPr="00EF4751">
        <w:rPr>
          <w:rFonts w:cs="Calibri"/>
          <w:spacing w:val="1"/>
          <w:sz w:val="24"/>
          <w:szCs w:val="24"/>
        </w:rPr>
        <w:t>nd</w:t>
      </w:r>
      <w:r w:rsidRPr="00EF4751">
        <w:rPr>
          <w:rFonts w:cs="Calibri"/>
          <w:sz w:val="24"/>
          <w:szCs w:val="24"/>
        </w:rPr>
        <w:t>i</w:t>
      </w:r>
      <w:r w:rsidRPr="00EF4751">
        <w:rPr>
          <w:rFonts w:cs="Calibri"/>
          <w:spacing w:val="-1"/>
          <w:sz w:val="24"/>
          <w:szCs w:val="24"/>
        </w:rPr>
        <w:t>c</w:t>
      </w:r>
      <w:r w:rsidRPr="00EF4751">
        <w:rPr>
          <w:rFonts w:cs="Calibri"/>
          <w:sz w:val="24"/>
          <w:szCs w:val="24"/>
        </w:rPr>
        <w:t>e</w:t>
      </w:r>
      <w:r w:rsidRPr="00EF4751">
        <w:rPr>
          <w:rFonts w:cs="Calibri"/>
          <w:spacing w:val="13"/>
          <w:sz w:val="24"/>
          <w:szCs w:val="24"/>
        </w:rPr>
        <w:t xml:space="preserve"> </w:t>
      </w:r>
      <w:r w:rsidRPr="00EF4751">
        <w:rPr>
          <w:rFonts w:cs="Calibri"/>
          <w:spacing w:val="1"/>
          <w:sz w:val="24"/>
          <w:szCs w:val="24"/>
        </w:rPr>
        <w:t>d</w:t>
      </w:r>
      <w:r w:rsidRPr="00EF4751">
        <w:rPr>
          <w:rFonts w:cs="Calibri"/>
          <w:sz w:val="24"/>
          <w:szCs w:val="24"/>
        </w:rPr>
        <w:t>e</w:t>
      </w:r>
      <w:r w:rsidRPr="00EF4751">
        <w:rPr>
          <w:rFonts w:cs="Calibri"/>
          <w:spacing w:val="16"/>
          <w:sz w:val="24"/>
          <w:szCs w:val="24"/>
        </w:rPr>
        <w:t xml:space="preserve"> </w:t>
      </w:r>
      <w:r w:rsidRPr="00EF4751">
        <w:rPr>
          <w:rFonts w:cs="Calibri"/>
          <w:spacing w:val="-1"/>
          <w:sz w:val="24"/>
          <w:szCs w:val="24"/>
        </w:rPr>
        <w:t>p</w:t>
      </w:r>
      <w:r w:rsidRPr="00EF4751">
        <w:rPr>
          <w:rFonts w:cs="Calibri"/>
          <w:sz w:val="24"/>
          <w:szCs w:val="24"/>
        </w:rPr>
        <w:t>r</w:t>
      </w:r>
      <w:r w:rsidRPr="00EF4751">
        <w:rPr>
          <w:rFonts w:cs="Calibri"/>
          <w:spacing w:val="1"/>
          <w:sz w:val="24"/>
          <w:szCs w:val="24"/>
        </w:rPr>
        <w:t>o</w:t>
      </w:r>
      <w:r w:rsidRPr="00EF4751">
        <w:rPr>
          <w:rFonts w:cs="Calibri"/>
          <w:sz w:val="24"/>
          <w:szCs w:val="24"/>
        </w:rPr>
        <w:t>gress</w:t>
      </w:r>
      <w:r w:rsidRPr="00EF4751">
        <w:rPr>
          <w:rFonts w:cs="Calibri"/>
          <w:spacing w:val="1"/>
          <w:sz w:val="24"/>
          <w:szCs w:val="24"/>
        </w:rPr>
        <w:t>i</w:t>
      </w:r>
      <w:r w:rsidRPr="00EF4751">
        <w:rPr>
          <w:rFonts w:cs="Calibri"/>
          <w:spacing w:val="-2"/>
          <w:sz w:val="24"/>
          <w:szCs w:val="24"/>
        </w:rPr>
        <w:t>o</w:t>
      </w:r>
      <w:r w:rsidRPr="00EF4751">
        <w:rPr>
          <w:rFonts w:cs="Calibri"/>
          <w:sz w:val="24"/>
          <w:szCs w:val="24"/>
        </w:rPr>
        <w:t>n</w:t>
      </w:r>
      <w:r w:rsidRPr="00EF4751">
        <w:rPr>
          <w:rFonts w:cs="Calibri"/>
          <w:spacing w:val="14"/>
          <w:sz w:val="24"/>
          <w:szCs w:val="24"/>
        </w:rPr>
        <w:t xml:space="preserve"> </w:t>
      </w:r>
      <w:r w:rsidRPr="00EF4751">
        <w:rPr>
          <w:rFonts w:cs="Calibri"/>
          <w:sz w:val="24"/>
          <w:szCs w:val="24"/>
        </w:rPr>
        <w:t>est</w:t>
      </w:r>
      <w:r w:rsidRPr="00EF4751">
        <w:rPr>
          <w:rFonts w:cs="Calibri"/>
          <w:spacing w:val="16"/>
          <w:sz w:val="24"/>
          <w:szCs w:val="24"/>
        </w:rPr>
        <w:t xml:space="preserve"> </w:t>
      </w:r>
      <w:r w:rsidRPr="00EF4751">
        <w:rPr>
          <w:rFonts w:cs="Calibri"/>
          <w:sz w:val="24"/>
          <w:szCs w:val="24"/>
        </w:rPr>
        <w:t>s</w:t>
      </w:r>
      <w:r w:rsidRPr="00EF4751">
        <w:rPr>
          <w:rFonts w:cs="Calibri"/>
          <w:spacing w:val="1"/>
          <w:sz w:val="24"/>
          <w:szCs w:val="24"/>
        </w:rPr>
        <w:t>u</w:t>
      </w:r>
      <w:r w:rsidRPr="00EF4751">
        <w:rPr>
          <w:rFonts w:cs="Calibri"/>
          <w:spacing w:val="-1"/>
          <w:sz w:val="24"/>
          <w:szCs w:val="24"/>
        </w:rPr>
        <w:t>p</w:t>
      </w:r>
      <w:r w:rsidRPr="00EF4751">
        <w:rPr>
          <w:rFonts w:cs="Calibri"/>
          <w:sz w:val="24"/>
          <w:szCs w:val="24"/>
        </w:rPr>
        <w:t>éri</w:t>
      </w:r>
      <w:r w:rsidRPr="00EF4751">
        <w:rPr>
          <w:rFonts w:cs="Calibri"/>
          <w:spacing w:val="-1"/>
          <w:sz w:val="24"/>
          <w:szCs w:val="24"/>
        </w:rPr>
        <w:t>e</w:t>
      </w:r>
      <w:r w:rsidRPr="00EF4751">
        <w:rPr>
          <w:rFonts w:cs="Calibri"/>
          <w:spacing w:val="1"/>
          <w:sz w:val="24"/>
          <w:szCs w:val="24"/>
        </w:rPr>
        <w:t>u</w:t>
      </w:r>
      <w:r w:rsidRPr="00EF4751">
        <w:rPr>
          <w:rFonts w:cs="Calibri"/>
          <w:sz w:val="24"/>
          <w:szCs w:val="24"/>
        </w:rPr>
        <w:t>r</w:t>
      </w:r>
      <w:r w:rsidRPr="00EF4751">
        <w:rPr>
          <w:rFonts w:cs="Calibri"/>
          <w:spacing w:val="15"/>
          <w:sz w:val="24"/>
          <w:szCs w:val="24"/>
        </w:rPr>
        <w:t xml:space="preserve"> </w:t>
      </w:r>
      <w:r w:rsidRPr="00EF4751">
        <w:rPr>
          <w:rFonts w:cs="Calibri"/>
          <w:sz w:val="24"/>
          <w:szCs w:val="24"/>
        </w:rPr>
        <w:t>à</w:t>
      </w:r>
      <w:r w:rsidRPr="00EF4751">
        <w:rPr>
          <w:rFonts w:cs="Calibri"/>
          <w:spacing w:val="15"/>
          <w:sz w:val="24"/>
          <w:szCs w:val="24"/>
        </w:rPr>
        <w:t xml:space="preserve"> </w:t>
      </w:r>
      <w:r w:rsidRPr="00EF4751">
        <w:rPr>
          <w:rFonts w:cs="Calibri"/>
          <w:spacing w:val="-2"/>
          <w:sz w:val="24"/>
          <w:szCs w:val="24"/>
        </w:rPr>
        <w:t>7</w:t>
      </w:r>
      <w:r w:rsidRPr="00EF4751">
        <w:rPr>
          <w:rFonts w:cs="Calibri"/>
          <w:sz w:val="24"/>
          <w:szCs w:val="24"/>
        </w:rPr>
        <w:t>0%</w:t>
      </w:r>
      <w:r w:rsidRPr="00EF4751">
        <w:rPr>
          <w:rFonts w:cs="Calibri"/>
          <w:spacing w:val="15"/>
          <w:sz w:val="24"/>
          <w:szCs w:val="24"/>
        </w:rPr>
        <w:t xml:space="preserve"> </w:t>
      </w:r>
      <w:r w:rsidRPr="00EF4751">
        <w:rPr>
          <w:rFonts w:cs="Calibri"/>
          <w:spacing w:val="1"/>
          <w:sz w:val="24"/>
          <w:szCs w:val="24"/>
        </w:rPr>
        <w:t>p</w:t>
      </w:r>
      <w:r w:rsidRPr="00EF4751">
        <w:rPr>
          <w:rFonts w:cs="Calibri"/>
          <w:sz w:val="24"/>
          <w:szCs w:val="24"/>
        </w:rPr>
        <w:t>o</w:t>
      </w:r>
      <w:r w:rsidRPr="00EF4751">
        <w:rPr>
          <w:rFonts w:cs="Calibri"/>
          <w:spacing w:val="-1"/>
          <w:sz w:val="24"/>
          <w:szCs w:val="24"/>
        </w:rPr>
        <w:t>u</w:t>
      </w:r>
      <w:r w:rsidRPr="00EF4751">
        <w:rPr>
          <w:rFonts w:cs="Calibri"/>
          <w:sz w:val="24"/>
          <w:szCs w:val="24"/>
        </w:rPr>
        <w:t>r</w:t>
      </w:r>
      <w:r w:rsidRPr="00EF4751">
        <w:rPr>
          <w:rFonts w:cs="Calibri"/>
          <w:spacing w:val="15"/>
          <w:sz w:val="24"/>
          <w:szCs w:val="24"/>
        </w:rPr>
        <w:t xml:space="preserve"> </w:t>
      </w:r>
      <w:r w:rsidRPr="00EF4751">
        <w:rPr>
          <w:rFonts w:cs="Calibri"/>
          <w:sz w:val="24"/>
          <w:szCs w:val="24"/>
        </w:rPr>
        <w:t>la</w:t>
      </w:r>
      <w:r w:rsidRPr="00EF4751">
        <w:rPr>
          <w:rFonts w:cs="Calibri"/>
          <w:spacing w:val="15"/>
          <w:sz w:val="24"/>
          <w:szCs w:val="24"/>
        </w:rPr>
        <w:t xml:space="preserve"> </w:t>
      </w:r>
      <w:r w:rsidRPr="00EF4751">
        <w:rPr>
          <w:rFonts w:cs="Calibri"/>
          <w:sz w:val="24"/>
          <w:szCs w:val="24"/>
        </w:rPr>
        <w:t>m</w:t>
      </w:r>
      <w:r w:rsidRPr="00EF4751">
        <w:rPr>
          <w:rFonts w:cs="Calibri"/>
          <w:spacing w:val="1"/>
          <w:sz w:val="24"/>
          <w:szCs w:val="24"/>
        </w:rPr>
        <w:t>o</w:t>
      </w:r>
      <w:r w:rsidRPr="00EF4751">
        <w:rPr>
          <w:rFonts w:cs="Calibri"/>
          <w:sz w:val="24"/>
          <w:szCs w:val="24"/>
        </w:rPr>
        <w:t>r</w:t>
      </w:r>
      <w:r w:rsidRPr="00EF4751">
        <w:rPr>
          <w:rFonts w:cs="Calibri"/>
          <w:spacing w:val="-1"/>
          <w:sz w:val="24"/>
          <w:szCs w:val="24"/>
        </w:rPr>
        <w:t>t</w:t>
      </w:r>
      <w:r w:rsidRPr="00EF4751">
        <w:rPr>
          <w:rFonts w:cs="Calibri"/>
          <w:sz w:val="24"/>
          <w:szCs w:val="24"/>
        </w:rPr>
        <w:t>ali</w:t>
      </w:r>
      <w:r w:rsidRPr="00EF4751">
        <w:rPr>
          <w:rFonts w:cs="Calibri"/>
          <w:spacing w:val="1"/>
          <w:sz w:val="24"/>
          <w:szCs w:val="24"/>
        </w:rPr>
        <w:t>t</w:t>
      </w:r>
      <w:r w:rsidRPr="00EF4751">
        <w:rPr>
          <w:rFonts w:cs="Calibri"/>
          <w:sz w:val="24"/>
          <w:szCs w:val="24"/>
        </w:rPr>
        <w:t>é</w:t>
      </w:r>
      <w:r w:rsidRPr="00EF4751">
        <w:rPr>
          <w:rFonts w:cs="Calibri"/>
          <w:spacing w:val="16"/>
          <w:sz w:val="24"/>
          <w:szCs w:val="24"/>
        </w:rPr>
        <w:t xml:space="preserve"> </w:t>
      </w:r>
      <w:r w:rsidRPr="00EF4751">
        <w:rPr>
          <w:rFonts w:cs="Calibri"/>
          <w:spacing w:val="-3"/>
          <w:sz w:val="24"/>
          <w:szCs w:val="24"/>
        </w:rPr>
        <w:t>c</w:t>
      </w:r>
      <w:r w:rsidRPr="00EF4751">
        <w:rPr>
          <w:rFonts w:cs="Calibri"/>
          <w:spacing w:val="1"/>
          <w:sz w:val="24"/>
          <w:szCs w:val="24"/>
        </w:rPr>
        <w:t>h</w:t>
      </w:r>
      <w:r w:rsidRPr="00EF4751">
        <w:rPr>
          <w:rFonts w:cs="Calibri"/>
          <w:spacing w:val="-2"/>
          <w:sz w:val="24"/>
          <w:szCs w:val="24"/>
        </w:rPr>
        <w:t>e</w:t>
      </w:r>
      <w:r w:rsidRPr="00EF4751">
        <w:rPr>
          <w:rFonts w:cs="Calibri"/>
          <w:sz w:val="24"/>
          <w:szCs w:val="24"/>
        </w:rPr>
        <w:t>z les</w:t>
      </w:r>
      <w:r w:rsidRPr="00EF4751">
        <w:rPr>
          <w:rFonts w:cs="Calibri"/>
          <w:spacing w:val="5"/>
          <w:sz w:val="24"/>
          <w:szCs w:val="24"/>
        </w:rPr>
        <w:t xml:space="preserve"> </w:t>
      </w:r>
      <w:r w:rsidRPr="00EF4751">
        <w:rPr>
          <w:rFonts w:cs="Calibri"/>
          <w:sz w:val="24"/>
          <w:szCs w:val="24"/>
        </w:rPr>
        <w:t>e</w:t>
      </w:r>
      <w:r w:rsidRPr="00EF4751">
        <w:rPr>
          <w:rFonts w:cs="Calibri"/>
          <w:spacing w:val="-1"/>
          <w:sz w:val="24"/>
          <w:szCs w:val="24"/>
        </w:rPr>
        <w:t>n</w:t>
      </w:r>
      <w:r w:rsidRPr="00EF4751">
        <w:rPr>
          <w:rFonts w:cs="Calibri"/>
          <w:spacing w:val="1"/>
          <w:sz w:val="24"/>
          <w:szCs w:val="24"/>
        </w:rPr>
        <w:t>f</w:t>
      </w:r>
      <w:r w:rsidRPr="00EF4751">
        <w:rPr>
          <w:rFonts w:cs="Calibri"/>
          <w:sz w:val="24"/>
          <w:szCs w:val="24"/>
        </w:rPr>
        <w:t>a</w:t>
      </w:r>
      <w:r w:rsidRPr="00EF4751">
        <w:rPr>
          <w:rFonts w:cs="Calibri"/>
          <w:spacing w:val="-1"/>
          <w:sz w:val="24"/>
          <w:szCs w:val="24"/>
        </w:rPr>
        <w:t>n</w:t>
      </w:r>
      <w:r w:rsidRPr="00EF4751">
        <w:rPr>
          <w:rFonts w:cs="Calibri"/>
          <w:spacing w:val="1"/>
          <w:sz w:val="24"/>
          <w:szCs w:val="24"/>
        </w:rPr>
        <w:t>t</w:t>
      </w:r>
      <w:r w:rsidRPr="00EF4751">
        <w:rPr>
          <w:rFonts w:cs="Calibri"/>
          <w:sz w:val="24"/>
          <w:szCs w:val="24"/>
        </w:rPr>
        <w:t>s</w:t>
      </w:r>
      <w:r w:rsidRPr="00EF4751">
        <w:rPr>
          <w:rFonts w:cs="Calibri"/>
          <w:spacing w:val="2"/>
          <w:sz w:val="24"/>
          <w:szCs w:val="24"/>
        </w:rPr>
        <w:t xml:space="preserve"> </w:t>
      </w:r>
      <w:r w:rsidRPr="00EF4751">
        <w:rPr>
          <w:rFonts w:cs="Calibri"/>
          <w:spacing w:val="1"/>
          <w:sz w:val="24"/>
          <w:szCs w:val="24"/>
        </w:rPr>
        <w:t>d</w:t>
      </w:r>
      <w:r w:rsidRPr="00EF4751">
        <w:rPr>
          <w:rFonts w:cs="Calibri"/>
          <w:sz w:val="24"/>
          <w:szCs w:val="24"/>
        </w:rPr>
        <w:t>e</w:t>
      </w:r>
      <w:r w:rsidRPr="00EF4751">
        <w:rPr>
          <w:rFonts w:cs="Calibri"/>
          <w:spacing w:val="5"/>
          <w:sz w:val="24"/>
          <w:szCs w:val="24"/>
        </w:rPr>
        <w:t xml:space="preserve"> </w:t>
      </w:r>
      <w:r w:rsidRPr="00EF4751">
        <w:rPr>
          <w:rFonts w:cs="Calibri"/>
          <w:spacing w:val="-2"/>
          <w:sz w:val="24"/>
          <w:szCs w:val="24"/>
        </w:rPr>
        <w:t>m</w:t>
      </w:r>
      <w:r w:rsidRPr="00EF4751">
        <w:rPr>
          <w:rFonts w:cs="Calibri"/>
          <w:sz w:val="24"/>
          <w:szCs w:val="24"/>
        </w:rPr>
        <w:t>oi</w:t>
      </w:r>
      <w:r w:rsidRPr="00EF4751">
        <w:rPr>
          <w:rFonts w:cs="Calibri"/>
          <w:spacing w:val="1"/>
          <w:sz w:val="24"/>
          <w:szCs w:val="24"/>
        </w:rPr>
        <w:t>n</w:t>
      </w:r>
      <w:r w:rsidRPr="00EF4751">
        <w:rPr>
          <w:rFonts w:cs="Calibri"/>
          <w:sz w:val="24"/>
          <w:szCs w:val="24"/>
        </w:rPr>
        <w:t>s</w:t>
      </w:r>
      <w:r w:rsidRPr="00EF4751">
        <w:rPr>
          <w:rFonts w:cs="Calibri"/>
          <w:spacing w:val="2"/>
          <w:sz w:val="24"/>
          <w:szCs w:val="24"/>
        </w:rPr>
        <w:t xml:space="preserve"> </w:t>
      </w:r>
      <w:r w:rsidRPr="00EF4751">
        <w:rPr>
          <w:rFonts w:cs="Calibri"/>
          <w:spacing w:val="1"/>
          <w:sz w:val="24"/>
          <w:szCs w:val="24"/>
        </w:rPr>
        <w:t>d</w:t>
      </w:r>
      <w:r w:rsidRPr="00EF4751">
        <w:rPr>
          <w:rFonts w:cs="Calibri"/>
          <w:sz w:val="24"/>
          <w:szCs w:val="24"/>
        </w:rPr>
        <w:t>e 5</w:t>
      </w:r>
      <w:r w:rsidRPr="00EF4751">
        <w:rPr>
          <w:rFonts w:cs="Calibri"/>
          <w:spacing w:val="5"/>
          <w:sz w:val="24"/>
          <w:szCs w:val="24"/>
        </w:rPr>
        <w:t xml:space="preserve"> </w:t>
      </w:r>
      <w:r w:rsidRPr="00EF4751">
        <w:rPr>
          <w:rFonts w:cs="Calibri"/>
          <w:sz w:val="24"/>
          <w:szCs w:val="24"/>
        </w:rPr>
        <w:t>a</w:t>
      </w:r>
      <w:r w:rsidRPr="00EF4751">
        <w:rPr>
          <w:rFonts w:cs="Calibri"/>
          <w:spacing w:val="1"/>
          <w:sz w:val="24"/>
          <w:szCs w:val="24"/>
        </w:rPr>
        <w:t>n</w:t>
      </w:r>
      <w:r w:rsidRPr="00EF4751">
        <w:rPr>
          <w:rFonts w:cs="Calibri"/>
          <w:sz w:val="24"/>
          <w:szCs w:val="24"/>
        </w:rPr>
        <w:t>s,</w:t>
      </w:r>
      <w:r w:rsidRPr="00EF4751">
        <w:rPr>
          <w:rFonts w:cs="Calibri"/>
          <w:spacing w:val="2"/>
          <w:sz w:val="24"/>
          <w:szCs w:val="24"/>
        </w:rPr>
        <w:t xml:space="preserve"> </w:t>
      </w:r>
      <w:r w:rsidRPr="00EF4751">
        <w:rPr>
          <w:rFonts w:cs="Calibri"/>
          <w:sz w:val="24"/>
          <w:szCs w:val="24"/>
        </w:rPr>
        <w:t>la</w:t>
      </w:r>
      <w:r w:rsidRPr="00EF4751">
        <w:rPr>
          <w:rFonts w:cs="Calibri"/>
          <w:spacing w:val="5"/>
          <w:sz w:val="24"/>
          <w:szCs w:val="24"/>
        </w:rPr>
        <w:t xml:space="preserve"> </w:t>
      </w:r>
      <w:r w:rsidRPr="00EF4751">
        <w:rPr>
          <w:rFonts w:cs="Calibri"/>
          <w:spacing w:val="-2"/>
          <w:sz w:val="24"/>
          <w:szCs w:val="24"/>
        </w:rPr>
        <w:t>m</w:t>
      </w:r>
      <w:r w:rsidRPr="00EF4751">
        <w:rPr>
          <w:rFonts w:cs="Calibri"/>
          <w:sz w:val="24"/>
          <w:szCs w:val="24"/>
        </w:rPr>
        <w:t>or</w:t>
      </w:r>
      <w:r w:rsidRPr="00EF4751">
        <w:rPr>
          <w:rFonts w:cs="Calibri"/>
          <w:spacing w:val="1"/>
          <w:sz w:val="24"/>
          <w:szCs w:val="24"/>
        </w:rPr>
        <w:t>t</w:t>
      </w:r>
      <w:r w:rsidRPr="00EF4751">
        <w:rPr>
          <w:rFonts w:cs="Calibri"/>
          <w:sz w:val="24"/>
          <w:szCs w:val="24"/>
        </w:rPr>
        <w:t>al</w:t>
      </w:r>
      <w:r w:rsidRPr="00EF4751">
        <w:rPr>
          <w:rFonts w:cs="Calibri"/>
          <w:spacing w:val="-2"/>
          <w:sz w:val="24"/>
          <w:szCs w:val="24"/>
        </w:rPr>
        <w:t>i</w:t>
      </w:r>
      <w:r w:rsidRPr="00EF4751">
        <w:rPr>
          <w:rFonts w:cs="Calibri"/>
          <w:spacing w:val="1"/>
          <w:sz w:val="24"/>
          <w:szCs w:val="24"/>
        </w:rPr>
        <w:t>t</w:t>
      </w:r>
      <w:r w:rsidRPr="00EF4751">
        <w:rPr>
          <w:rFonts w:cs="Calibri"/>
          <w:sz w:val="24"/>
          <w:szCs w:val="24"/>
        </w:rPr>
        <w:t>é</w:t>
      </w:r>
      <w:r w:rsidRPr="00EF4751">
        <w:rPr>
          <w:rFonts w:cs="Calibri"/>
          <w:spacing w:val="3"/>
          <w:sz w:val="24"/>
          <w:szCs w:val="24"/>
        </w:rPr>
        <w:t xml:space="preserve"> </w:t>
      </w:r>
      <w:r w:rsidRPr="00EF4751">
        <w:rPr>
          <w:rFonts w:cs="Calibri"/>
          <w:sz w:val="24"/>
          <w:szCs w:val="24"/>
        </w:rPr>
        <w:t>i</w:t>
      </w:r>
      <w:r w:rsidRPr="00EF4751">
        <w:rPr>
          <w:rFonts w:cs="Calibri"/>
          <w:spacing w:val="-1"/>
          <w:sz w:val="24"/>
          <w:szCs w:val="24"/>
        </w:rPr>
        <w:t>n</w:t>
      </w:r>
      <w:r w:rsidRPr="00EF4751">
        <w:rPr>
          <w:rFonts w:cs="Calibri"/>
          <w:spacing w:val="1"/>
          <w:sz w:val="24"/>
          <w:szCs w:val="24"/>
        </w:rPr>
        <w:t>f</w:t>
      </w:r>
      <w:r w:rsidRPr="00EF4751">
        <w:rPr>
          <w:rFonts w:cs="Calibri"/>
          <w:sz w:val="24"/>
          <w:szCs w:val="24"/>
        </w:rPr>
        <w:t>a</w:t>
      </w:r>
      <w:r w:rsidRPr="00EF4751">
        <w:rPr>
          <w:rFonts w:cs="Calibri"/>
          <w:spacing w:val="-1"/>
          <w:sz w:val="24"/>
          <w:szCs w:val="24"/>
        </w:rPr>
        <w:t>nt</w:t>
      </w:r>
      <w:r w:rsidRPr="00EF4751">
        <w:rPr>
          <w:rFonts w:cs="Calibri"/>
          <w:sz w:val="24"/>
          <w:szCs w:val="24"/>
        </w:rPr>
        <w:t>ile</w:t>
      </w:r>
      <w:r w:rsidRPr="00EF4751">
        <w:rPr>
          <w:rFonts w:cs="Calibri"/>
          <w:spacing w:val="5"/>
          <w:sz w:val="24"/>
          <w:szCs w:val="24"/>
        </w:rPr>
        <w:t xml:space="preserve"> </w:t>
      </w:r>
      <w:r w:rsidRPr="00EF4751">
        <w:rPr>
          <w:rFonts w:cs="Calibri"/>
          <w:spacing w:val="-2"/>
          <w:sz w:val="24"/>
          <w:szCs w:val="24"/>
        </w:rPr>
        <w:t>e</w:t>
      </w:r>
      <w:r w:rsidRPr="00EF4751">
        <w:rPr>
          <w:rFonts w:cs="Calibri"/>
          <w:sz w:val="24"/>
          <w:szCs w:val="24"/>
        </w:rPr>
        <w:t>t</w:t>
      </w:r>
      <w:r w:rsidRPr="00EF4751">
        <w:rPr>
          <w:rFonts w:cs="Calibri"/>
          <w:spacing w:val="5"/>
          <w:sz w:val="24"/>
          <w:szCs w:val="24"/>
        </w:rPr>
        <w:t xml:space="preserve"> </w:t>
      </w:r>
      <w:r w:rsidRPr="00EF4751">
        <w:rPr>
          <w:rFonts w:cs="Calibri"/>
          <w:sz w:val="24"/>
          <w:szCs w:val="24"/>
        </w:rPr>
        <w:t>la</w:t>
      </w:r>
      <w:r w:rsidRPr="00EF4751">
        <w:rPr>
          <w:rFonts w:cs="Calibri"/>
          <w:spacing w:val="2"/>
          <w:sz w:val="24"/>
          <w:szCs w:val="24"/>
        </w:rPr>
        <w:t xml:space="preserve"> </w:t>
      </w:r>
      <w:r w:rsidRPr="00EF4751">
        <w:rPr>
          <w:rFonts w:cs="Calibri"/>
          <w:sz w:val="24"/>
          <w:szCs w:val="24"/>
        </w:rPr>
        <w:t>m</w:t>
      </w:r>
      <w:r w:rsidRPr="00EF4751">
        <w:rPr>
          <w:rFonts w:cs="Calibri"/>
          <w:spacing w:val="1"/>
          <w:sz w:val="24"/>
          <w:szCs w:val="24"/>
        </w:rPr>
        <w:t>o</w:t>
      </w:r>
      <w:r w:rsidRPr="00EF4751">
        <w:rPr>
          <w:rFonts w:cs="Calibri"/>
          <w:spacing w:val="-2"/>
          <w:sz w:val="24"/>
          <w:szCs w:val="24"/>
        </w:rPr>
        <w:t>r</w:t>
      </w:r>
      <w:r w:rsidRPr="00EF4751">
        <w:rPr>
          <w:rFonts w:cs="Calibri"/>
          <w:spacing w:val="1"/>
          <w:sz w:val="24"/>
          <w:szCs w:val="24"/>
        </w:rPr>
        <w:t>t</w:t>
      </w:r>
      <w:r w:rsidRPr="00EF4751">
        <w:rPr>
          <w:rFonts w:cs="Calibri"/>
          <w:sz w:val="24"/>
          <w:szCs w:val="24"/>
        </w:rPr>
        <w:t>ali</w:t>
      </w:r>
      <w:r w:rsidRPr="00EF4751">
        <w:rPr>
          <w:rFonts w:cs="Calibri"/>
          <w:spacing w:val="-1"/>
          <w:sz w:val="24"/>
          <w:szCs w:val="24"/>
        </w:rPr>
        <w:t>t</w:t>
      </w:r>
      <w:r w:rsidRPr="00EF4751">
        <w:rPr>
          <w:rFonts w:cs="Calibri"/>
          <w:sz w:val="24"/>
          <w:szCs w:val="24"/>
        </w:rPr>
        <w:t>é</w:t>
      </w:r>
      <w:r w:rsidRPr="00EF4751">
        <w:rPr>
          <w:rFonts w:cs="Calibri"/>
          <w:spacing w:val="5"/>
          <w:sz w:val="24"/>
          <w:szCs w:val="24"/>
        </w:rPr>
        <w:t xml:space="preserve"> </w:t>
      </w:r>
      <w:r w:rsidRPr="00EF4751">
        <w:rPr>
          <w:rFonts w:cs="Calibri"/>
          <w:sz w:val="24"/>
          <w:szCs w:val="24"/>
        </w:rPr>
        <w:t>j</w:t>
      </w:r>
      <w:r w:rsidRPr="00EF4751">
        <w:rPr>
          <w:rFonts w:cs="Calibri"/>
          <w:spacing w:val="1"/>
          <w:sz w:val="24"/>
          <w:szCs w:val="24"/>
        </w:rPr>
        <w:t>u</w:t>
      </w:r>
      <w:r w:rsidRPr="00EF4751">
        <w:rPr>
          <w:rFonts w:cs="Calibri"/>
          <w:spacing w:val="-3"/>
          <w:sz w:val="24"/>
          <w:szCs w:val="24"/>
        </w:rPr>
        <w:t>v</w:t>
      </w:r>
      <w:r w:rsidRPr="00EF4751">
        <w:rPr>
          <w:rFonts w:cs="Calibri"/>
          <w:sz w:val="24"/>
          <w:szCs w:val="24"/>
        </w:rPr>
        <w:t>é</w:t>
      </w:r>
      <w:r w:rsidRPr="00EF4751">
        <w:rPr>
          <w:rFonts w:cs="Calibri"/>
          <w:spacing w:val="1"/>
          <w:sz w:val="24"/>
          <w:szCs w:val="24"/>
        </w:rPr>
        <w:t>n</w:t>
      </w:r>
      <w:r w:rsidRPr="00EF4751">
        <w:rPr>
          <w:rFonts w:cs="Calibri"/>
          <w:sz w:val="24"/>
          <w:szCs w:val="24"/>
        </w:rPr>
        <w:t>i</w:t>
      </w:r>
      <w:r w:rsidRPr="00EF4751">
        <w:rPr>
          <w:rFonts w:cs="Calibri"/>
          <w:spacing w:val="-2"/>
          <w:sz w:val="24"/>
          <w:szCs w:val="24"/>
        </w:rPr>
        <w:t>l</w:t>
      </w:r>
      <w:r w:rsidRPr="00EF4751">
        <w:rPr>
          <w:rFonts w:cs="Calibri"/>
          <w:sz w:val="24"/>
          <w:szCs w:val="24"/>
        </w:rPr>
        <w:t>e.</w:t>
      </w:r>
      <w:r w:rsidRPr="00EF4751">
        <w:rPr>
          <w:rFonts w:cs="Calibri"/>
          <w:spacing w:val="4"/>
          <w:sz w:val="24"/>
          <w:szCs w:val="24"/>
        </w:rPr>
        <w:t xml:space="preserve"> </w:t>
      </w:r>
      <w:r w:rsidRPr="00EF4751">
        <w:rPr>
          <w:rFonts w:cs="Calibri"/>
          <w:sz w:val="24"/>
          <w:szCs w:val="24"/>
        </w:rPr>
        <w:t>Ta</w:t>
      </w:r>
      <w:r w:rsidRPr="00EF4751">
        <w:rPr>
          <w:rFonts w:cs="Calibri"/>
          <w:spacing w:val="-1"/>
          <w:sz w:val="24"/>
          <w:szCs w:val="24"/>
        </w:rPr>
        <w:t>n</w:t>
      </w:r>
      <w:r w:rsidRPr="00EF4751">
        <w:rPr>
          <w:rFonts w:cs="Calibri"/>
          <w:spacing w:val="1"/>
          <w:sz w:val="24"/>
          <w:szCs w:val="24"/>
        </w:rPr>
        <w:t>d</w:t>
      </w:r>
      <w:r w:rsidRPr="00EF4751">
        <w:rPr>
          <w:rFonts w:cs="Calibri"/>
          <w:sz w:val="24"/>
          <w:szCs w:val="24"/>
        </w:rPr>
        <w:t>is</w:t>
      </w:r>
      <w:r w:rsidRPr="00EF4751">
        <w:rPr>
          <w:rFonts w:cs="Calibri"/>
          <w:spacing w:val="2"/>
          <w:sz w:val="24"/>
          <w:szCs w:val="24"/>
        </w:rPr>
        <w:t xml:space="preserve"> </w:t>
      </w:r>
      <w:r w:rsidRPr="00EF4751">
        <w:rPr>
          <w:rFonts w:cs="Calibri"/>
          <w:spacing w:val="1"/>
          <w:sz w:val="24"/>
          <w:szCs w:val="24"/>
        </w:rPr>
        <w:t>qu</w:t>
      </w:r>
      <w:r w:rsidRPr="00EF4751">
        <w:rPr>
          <w:rFonts w:cs="Calibri"/>
          <w:sz w:val="24"/>
          <w:szCs w:val="24"/>
        </w:rPr>
        <w:t>e</w:t>
      </w:r>
      <w:r w:rsidRPr="00EF4751">
        <w:rPr>
          <w:rFonts w:cs="Calibri"/>
          <w:spacing w:val="3"/>
          <w:sz w:val="24"/>
          <w:szCs w:val="24"/>
        </w:rPr>
        <w:t xml:space="preserve"> </w:t>
      </w:r>
      <w:r w:rsidRPr="00EF4751">
        <w:rPr>
          <w:rFonts w:cs="Calibri"/>
          <w:spacing w:val="-1"/>
          <w:sz w:val="24"/>
          <w:szCs w:val="24"/>
        </w:rPr>
        <w:t>c</w:t>
      </w:r>
      <w:r w:rsidRPr="00EF4751">
        <w:rPr>
          <w:rFonts w:cs="Calibri"/>
          <w:sz w:val="24"/>
          <w:szCs w:val="24"/>
        </w:rPr>
        <w:t>el</w:t>
      </w:r>
      <w:r w:rsidRPr="00EF4751">
        <w:rPr>
          <w:rFonts w:cs="Calibri"/>
          <w:spacing w:val="2"/>
          <w:sz w:val="24"/>
          <w:szCs w:val="24"/>
        </w:rPr>
        <w:t>u</w:t>
      </w:r>
      <w:r w:rsidRPr="00EF4751">
        <w:rPr>
          <w:rFonts w:cs="Calibri"/>
          <w:sz w:val="24"/>
          <w:szCs w:val="24"/>
        </w:rPr>
        <w:t xml:space="preserve">i </w:t>
      </w:r>
      <w:r w:rsidRPr="00EF4751">
        <w:rPr>
          <w:rFonts w:cs="Calibri"/>
          <w:spacing w:val="1"/>
          <w:sz w:val="24"/>
          <w:szCs w:val="24"/>
        </w:rPr>
        <w:t>d</w:t>
      </w:r>
      <w:r w:rsidRPr="00EF4751">
        <w:rPr>
          <w:rFonts w:cs="Calibri"/>
          <w:sz w:val="24"/>
          <w:szCs w:val="24"/>
        </w:rPr>
        <w:t>e</w:t>
      </w:r>
      <w:r w:rsidRPr="00EF4751">
        <w:rPr>
          <w:rFonts w:cs="Calibri"/>
          <w:spacing w:val="1"/>
          <w:sz w:val="24"/>
          <w:szCs w:val="24"/>
        </w:rPr>
        <w:t xml:space="preserve"> </w:t>
      </w:r>
      <w:r w:rsidRPr="00EF4751">
        <w:rPr>
          <w:rFonts w:cs="Calibri"/>
          <w:sz w:val="24"/>
          <w:szCs w:val="24"/>
        </w:rPr>
        <w:t>la</w:t>
      </w:r>
      <w:r w:rsidRPr="00EF4751">
        <w:rPr>
          <w:rFonts w:cs="Calibri"/>
          <w:spacing w:val="-1"/>
          <w:sz w:val="24"/>
          <w:szCs w:val="24"/>
        </w:rPr>
        <w:t xml:space="preserve"> </w:t>
      </w:r>
      <w:r w:rsidRPr="00EF4751">
        <w:rPr>
          <w:rFonts w:cs="Calibri"/>
          <w:sz w:val="24"/>
          <w:szCs w:val="24"/>
        </w:rPr>
        <w:t>m</w:t>
      </w:r>
      <w:r w:rsidRPr="00EF4751">
        <w:rPr>
          <w:rFonts w:cs="Calibri"/>
          <w:spacing w:val="1"/>
          <w:sz w:val="24"/>
          <w:szCs w:val="24"/>
        </w:rPr>
        <w:t>o</w:t>
      </w:r>
      <w:r w:rsidRPr="00EF4751">
        <w:rPr>
          <w:rFonts w:cs="Calibri"/>
          <w:spacing w:val="-2"/>
          <w:sz w:val="24"/>
          <w:szCs w:val="24"/>
        </w:rPr>
        <w:t>r</w:t>
      </w:r>
      <w:r w:rsidRPr="00EF4751">
        <w:rPr>
          <w:rFonts w:cs="Calibri"/>
          <w:spacing w:val="1"/>
          <w:sz w:val="24"/>
          <w:szCs w:val="24"/>
        </w:rPr>
        <w:t>t</w:t>
      </w:r>
      <w:r w:rsidRPr="00EF4751">
        <w:rPr>
          <w:rFonts w:cs="Calibri"/>
          <w:sz w:val="24"/>
          <w:szCs w:val="24"/>
        </w:rPr>
        <w:t>ali</w:t>
      </w:r>
      <w:r w:rsidRPr="00EF4751">
        <w:rPr>
          <w:rFonts w:cs="Calibri"/>
          <w:spacing w:val="-1"/>
          <w:sz w:val="24"/>
          <w:szCs w:val="24"/>
        </w:rPr>
        <w:t>t</w:t>
      </w:r>
      <w:r w:rsidRPr="00EF4751">
        <w:rPr>
          <w:rFonts w:cs="Calibri"/>
          <w:sz w:val="24"/>
          <w:szCs w:val="24"/>
        </w:rPr>
        <w:t>é</w:t>
      </w:r>
      <w:r w:rsidRPr="00EF4751">
        <w:rPr>
          <w:rFonts w:cs="Calibri"/>
          <w:spacing w:val="1"/>
          <w:sz w:val="24"/>
          <w:szCs w:val="24"/>
        </w:rPr>
        <w:t xml:space="preserve"> </w:t>
      </w:r>
      <w:r w:rsidRPr="00EF4751">
        <w:rPr>
          <w:rFonts w:cs="Calibri"/>
          <w:spacing w:val="-1"/>
          <w:sz w:val="24"/>
          <w:szCs w:val="24"/>
        </w:rPr>
        <w:t>n</w:t>
      </w:r>
      <w:r w:rsidRPr="00EF4751">
        <w:rPr>
          <w:rFonts w:cs="Calibri"/>
          <w:sz w:val="24"/>
          <w:szCs w:val="24"/>
        </w:rPr>
        <w:t>é</w:t>
      </w:r>
      <w:r w:rsidRPr="00EF4751">
        <w:rPr>
          <w:rFonts w:cs="Calibri"/>
          <w:spacing w:val="3"/>
          <w:sz w:val="24"/>
          <w:szCs w:val="24"/>
        </w:rPr>
        <w:t>o</w:t>
      </w:r>
      <w:r w:rsidRPr="00EF4751">
        <w:rPr>
          <w:rFonts w:cs="Calibri"/>
          <w:spacing w:val="-1"/>
          <w:sz w:val="24"/>
          <w:szCs w:val="24"/>
        </w:rPr>
        <w:t>-</w:t>
      </w:r>
      <w:r w:rsidRPr="00EF4751">
        <w:rPr>
          <w:rFonts w:cs="Calibri"/>
          <w:spacing w:val="1"/>
          <w:sz w:val="24"/>
          <w:szCs w:val="24"/>
        </w:rPr>
        <w:t>n</w:t>
      </w:r>
      <w:r w:rsidRPr="00EF4751">
        <w:rPr>
          <w:rFonts w:cs="Calibri"/>
          <w:sz w:val="24"/>
          <w:szCs w:val="24"/>
        </w:rPr>
        <w:t>a</w:t>
      </w:r>
      <w:r w:rsidRPr="00EF4751">
        <w:rPr>
          <w:rFonts w:cs="Calibri"/>
          <w:spacing w:val="1"/>
          <w:sz w:val="24"/>
          <w:szCs w:val="24"/>
        </w:rPr>
        <w:t>t</w:t>
      </w:r>
      <w:r w:rsidRPr="00EF4751">
        <w:rPr>
          <w:rFonts w:cs="Calibri"/>
          <w:sz w:val="24"/>
          <w:szCs w:val="24"/>
        </w:rPr>
        <w:t>a</w:t>
      </w:r>
      <w:r w:rsidRPr="00EF4751">
        <w:rPr>
          <w:rFonts w:cs="Calibri"/>
          <w:spacing w:val="-2"/>
          <w:sz w:val="24"/>
          <w:szCs w:val="24"/>
        </w:rPr>
        <w:t>l</w:t>
      </w:r>
      <w:r w:rsidRPr="00EF4751">
        <w:rPr>
          <w:rFonts w:cs="Calibri"/>
          <w:sz w:val="24"/>
          <w:szCs w:val="24"/>
        </w:rPr>
        <w:t>e</w:t>
      </w:r>
      <w:r w:rsidRPr="00EF4751">
        <w:rPr>
          <w:rFonts w:cs="Calibri"/>
          <w:spacing w:val="1"/>
          <w:sz w:val="24"/>
          <w:szCs w:val="24"/>
        </w:rPr>
        <w:t xml:space="preserve"> n</w:t>
      </w:r>
      <w:r w:rsidRPr="00EF4751">
        <w:rPr>
          <w:rFonts w:cs="Calibri"/>
          <w:sz w:val="24"/>
          <w:szCs w:val="24"/>
        </w:rPr>
        <w:t>e</w:t>
      </w:r>
      <w:r w:rsidRPr="00EF4751">
        <w:rPr>
          <w:rFonts w:cs="Calibri"/>
          <w:spacing w:val="-1"/>
          <w:sz w:val="24"/>
          <w:szCs w:val="24"/>
        </w:rPr>
        <w:t xml:space="preserve"> </w:t>
      </w:r>
      <w:r w:rsidRPr="00EF4751">
        <w:rPr>
          <w:rFonts w:cs="Calibri"/>
          <w:spacing w:val="1"/>
          <w:sz w:val="24"/>
          <w:szCs w:val="24"/>
        </w:rPr>
        <w:t>d</w:t>
      </w:r>
      <w:r w:rsidRPr="00EF4751">
        <w:rPr>
          <w:rFonts w:cs="Calibri"/>
          <w:spacing w:val="-2"/>
          <w:sz w:val="24"/>
          <w:szCs w:val="24"/>
        </w:rPr>
        <w:t>é</w:t>
      </w:r>
      <w:r w:rsidRPr="00EF4751">
        <w:rPr>
          <w:rFonts w:cs="Calibri"/>
          <w:spacing w:val="1"/>
          <w:sz w:val="24"/>
          <w:szCs w:val="24"/>
        </w:rPr>
        <w:t>p</w:t>
      </w:r>
      <w:r w:rsidRPr="00EF4751">
        <w:rPr>
          <w:rFonts w:cs="Calibri"/>
          <w:sz w:val="24"/>
          <w:szCs w:val="24"/>
        </w:rPr>
        <w:t>asse</w:t>
      </w:r>
      <w:r w:rsidRPr="00EF4751">
        <w:rPr>
          <w:rFonts w:cs="Calibri"/>
          <w:spacing w:val="-1"/>
          <w:sz w:val="24"/>
          <w:szCs w:val="24"/>
        </w:rPr>
        <w:t xml:space="preserve"> </w:t>
      </w:r>
      <w:r w:rsidRPr="00EF4751">
        <w:rPr>
          <w:rFonts w:cs="Calibri"/>
          <w:spacing w:val="1"/>
          <w:sz w:val="24"/>
          <w:szCs w:val="24"/>
        </w:rPr>
        <w:t>p</w:t>
      </w:r>
      <w:r w:rsidRPr="00EF4751">
        <w:rPr>
          <w:rFonts w:cs="Calibri"/>
          <w:sz w:val="24"/>
          <w:szCs w:val="24"/>
        </w:rPr>
        <w:t>as</w:t>
      </w:r>
      <w:r w:rsidRPr="00EF4751">
        <w:rPr>
          <w:rFonts w:cs="Calibri"/>
          <w:spacing w:val="-1"/>
          <w:sz w:val="24"/>
          <w:szCs w:val="24"/>
        </w:rPr>
        <w:t xml:space="preserve"> </w:t>
      </w:r>
      <w:r w:rsidRPr="00EF4751">
        <w:rPr>
          <w:rFonts w:cs="Calibri"/>
          <w:sz w:val="24"/>
          <w:szCs w:val="24"/>
        </w:rPr>
        <w:t>3</w:t>
      </w:r>
      <w:r w:rsidRPr="00EF4751">
        <w:rPr>
          <w:rFonts w:cs="Calibri"/>
          <w:spacing w:val="1"/>
          <w:sz w:val="24"/>
          <w:szCs w:val="24"/>
        </w:rPr>
        <w:t>4</w:t>
      </w:r>
      <w:r w:rsidRPr="00EF4751">
        <w:rPr>
          <w:rFonts w:cs="Calibri"/>
          <w:sz w:val="24"/>
          <w:szCs w:val="24"/>
        </w:rPr>
        <w:t>,3</w:t>
      </w:r>
      <w:r w:rsidRPr="00EF4751">
        <w:rPr>
          <w:rFonts w:cs="Calibri"/>
          <w:spacing w:val="-1"/>
          <w:sz w:val="24"/>
          <w:szCs w:val="24"/>
        </w:rPr>
        <w:t xml:space="preserve"> </w:t>
      </w:r>
      <w:r w:rsidRPr="00EF4751">
        <w:rPr>
          <w:rFonts w:cs="Calibri"/>
          <w:sz w:val="24"/>
          <w:szCs w:val="24"/>
        </w:rPr>
        <w:t>%</w:t>
      </w:r>
      <w:r>
        <w:rPr>
          <w:rFonts w:cs="Calibri"/>
          <w:sz w:val="24"/>
          <w:szCs w:val="24"/>
        </w:rPr>
        <w:t>.</w:t>
      </w:r>
    </w:p>
    <w:p w:rsidR="000614D2" w:rsidRDefault="00EF4751" w:rsidP="00DD2863">
      <w:pPr>
        <w:pStyle w:val="Paragraphedeliste"/>
        <w:widowControl w:val="0"/>
        <w:numPr>
          <w:ilvl w:val="0"/>
          <w:numId w:val="26"/>
        </w:numPr>
        <w:autoSpaceDE w:val="0"/>
        <w:autoSpaceDN w:val="0"/>
        <w:adjustRightInd w:val="0"/>
        <w:spacing w:after="0" w:line="240" w:lineRule="auto"/>
        <w:ind w:right="214"/>
        <w:jc w:val="both"/>
        <w:rPr>
          <w:sz w:val="24"/>
          <w:szCs w:val="24"/>
        </w:rPr>
      </w:pPr>
      <w:r w:rsidRPr="00EF4751">
        <w:rPr>
          <w:sz w:val="24"/>
          <w:szCs w:val="24"/>
        </w:rPr>
        <w:t>En ce qui concerne les indicateurs d'impact d'état nutritionnel, les résultats de l’enquête SMART 2016, montrent que chez les enfants de moins de 5 ans, la prévalence de la malnutrition aiguë est estimée à 7,6%, le retard de croissance à 27,3% et l’insuffisance pondérale à 19,2%. Ces prévalences nationales masquent de grandes disparités entre les régions notamment les retards de croissance dont les prévalences varient entre 14,5% (Centre) et 34,6% (Est). La malnutrition demeure donc un problème de santé publique au Burkina Faso. En effet, selon les résultats de l’EDS 2010 et de l’enquête nutritionnelle nationale 2016, chez les enfants âgés de moins de 5 ans, la prévalence de la malnutrition aiguë est passée de 15,5% à 7,6%, le retard de croissance de 34,6% à 27,3% et l’insuffisance pondérale de 25,7% à 19,2%.</w:t>
      </w:r>
    </w:p>
    <w:p w:rsidR="00C73B47" w:rsidRDefault="00C73B47" w:rsidP="00C73B47">
      <w:pPr>
        <w:widowControl w:val="0"/>
        <w:autoSpaceDE w:val="0"/>
        <w:autoSpaceDN w:val="0"/>
        <w:adjustRightInd w:val="0"/>
        <w:spacing w:after="0" w:line="240" w:lineRule="auto"/>
        <w:ind w:right="214"/>
        <w:jc w:val="both"/>
      </w:pPr>
    </w:p>
    <w:p w:rsidR="00C73B47" w:rsidRDefault="00C73B47" w:rsidP="00D81428">
      <w:pPr>
        <w:pStyle w:val="Titre3"/>
        <w:numPr>
          <w:ilvl w:val="2"/>
          <w:numId w:val="27"/>
        </w:numPr>
        <w:rPr>
          <w:sz w:val="24"/>
          <w:szCs w:val="24"/>
        </w:rPr>
      </w:pPr>
      <w:r>
        <w:rPr>
          <w:sz w:val="24"/>
          <w:szCs w:val="24"/>
        </w:rPr>
        <w:t>L</w:t>
      </w:r>
      <w:r w:rsidRPr="00C73B47">
        <w:rPr>
          <w:sz w:val="24"/>
          <w:szCs w:val="24"/>
        </w:rPr>
        <w:t>'accès aux services de santé de qualité est garanti à tous</w:t>
      </w:r>
    </w:p>
    <w:p w:rsidR="00C73B47" w:rsidRDefault="00C73B47" w:rsidP="00C73B47"/>
    <w:p w:rsidR="008A5E2D" w:rsidRPr="008A5E2D" w:rsidRDefault="0087134C" w:rsidP="00DD2863">
      <w:pPr>
        <w:pStyle w:val="Paragraphedeliste"/>
        <w:widowControl w:val="0"/>
        <w:numPr>
          <w:ilvl w:val="0"/>
          <w:numId w:val="26"/>
        </w:numPr>
        <w:autoSpaceDE w:val="0"/>
        <w:autoSpaceDN w:val="0"/>
        <w:adjustRightInd w:val="0"/>
        <w:spacing w:after="0" w:line="240" w:lineRule="auto"/>
        <w:ind w:right="214"/>
        <w:jc w:val="both"/>
        <w:rPr>
          <w:rFonts w:cs="Calibri"/>
          <w:sz w:val="24"/>
          <w:szCs w:val="24"/>
        </w:rPr>
      </w:pPr>
      <w:r>
        <w:rPr>
          <w:rFonts w:cstheme="minorHAnsi"/>
          <w:sz w:val="24"/>
          <w:szCs w:val="24"/>
        </w:rPr>
        <w:t>L</w:t>
      </w:r>
      <w:r w:rsidR="008A5E2D" w:rsidRPr="00327295">
        <w:rPr>
          <w:rFonts w:cstheme="minorHAnsi"/>
          <w:sz w:val="24"/>
          <w:szCs w:val="24"/>
        </w:rPr>
        <w:t>'accès aux services de santé de qualité est garanti à tous</w:t>
      </w:r>
      <w:r w:rsidR="008A5E2D">
        <w:rPr>
          <w:rFonts w:cstheme="minorHAnsi"/>
          <w:sz w:val="24"/>
          <w:szCs w:val="24"/>
        </w:rPr>
        <w:t xml:space="preserve">. Ceci comprend :   (i) l'accès aux  soins adéquats de santé de la reproduction et de la lutte contre les mutilations génitales Féminines,  (ii) </w:t>
      </w:r>
      <w:r w:rsidR="008A5E2D" w:rsidRPr="008A5E2D">
        <w:rPr>
          <w:rFonts w:cs="Calibri"/>
          <w:sz w:val="24"/>
          <w:szCs w:val="24"/>
        </w:rPr>
        <w:t>l'accès aux soins adéquats pour les maladies transmissibles et non transmissibles,</w:t>
      </w:r>
      <w:r w:rsidR="0033537D">
        <w:rPr>
          <w:rFonts w:cs="Calibri"/>
          <w:sz w:val="24"/>
          <w:szCs w:val="24"/>
        </w:rPr>
        <w:t xml:space="preserve"> (iii) </w:t>
      </w:r>
      <w:r w:rsidR="0033537D">
        <w:rPr>
          <w:rFonts w:cstheme="minorHAnsi"/>
          <w:sz w:val="24"/>
          <w:szCs w:val="24"/>
        </w:rPr>
        <w:t xml:space="preserve">l'accès aux soins des personnes vulnérables, (iii) </w:t>
      </w:r>
      <w:r w:rsidR="008A5E2D" w:rsidRPr="008A5E2D">
        <w:rPr>
          <w:rFonts w:cs="Calibri"/>
          <w:sz w:val="24"/>
          <w:szCs w:val="24"/>
        </w:rPr>
        <w:t xml:space="preserve"> (iv) l'accès physique, socioculturel et financier de la population générale aux trois échelons de </w:t>
      </w:r>
      <w:r w:rsidR="008A5E2D" w:rsidRPr="008A5E2D">
        <w:rPr>
          <w:rFonts w:cs="Calibri"/>
          <w:sz w:val="24"/>
          <w:szCs w:val="24"/>
        </w:rPr>
        <w:lastRenderedPageBreak/>
        <w:t xml:space="preserve">soins de la pyramide sanitaire. </w:t>
      </w:r>
    </w:p>
    <w:p w:rsidR="008A5E2D" w:rsidRDefault="0033537D"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Pr>
          <w:rFonts w:cs="Calibri"/>
          <w:sz w:val="24"/>
          <w:szCs w:val="24"/>
        </w:rPr>
        <w:t>Dans le domaine de la santé de la reproduction on note que l</w:t>
      </w:r>
      <w:r w:rsidR="008A5E2D" w:rsidRPr="008A5E2D">
        <w:rPr>
          <w:rFonts w:cs="Calibri"/>
          <w:sz w:val="24"/>
          <w:szCs w:val="24"/>
        </w:rPr>
        <w:t>e taux de CPN4 est passé de 22,3% à 34,14% avec un indice de progression de 66,9%. Sans atteindre la cible, l’indicateur « pourcentage des accouchements assistés » a connu une bonne progression (passant de 76% à 83,4%) avec un taux de réalisation et un indice de progression supérieurs à 80%. Le taux de césariennes</w:t>
      </w:r>
      <w:r w:rsidR="008A5E2D" w:rsidRPr="008A5E2D">
        <w:rPr>
          <w:rFonts w:cstheme="minorHAnsi"/>
          <w:sz w:val="24"/>
          <w:szCs w:val="24"/>
        </w:rPr>
        <w:t xml:space="preserve"> parmi les naissances attendues a connu une évolution positive en passant de 1,6% en 2010 à 2,4% en 2015, mais sans atteindre la cible fixée à 5%. L’indicateur concernant le taux de </w:t>
      </w:r>
      <w:r>
        <w:rPr>
          <w:rFonts w:cstheme="minorHAnsi"/>
          <w:sz w:val="24"/>
          <w:szCs w:val="24"/>
        </w:rPr>
        <w:t xml:space="preserve">prévalence </w:t>
      </w:r>
      <w:r w:rsidR="008A5E2D" w:rsidRPr="008A5E2D">
        <w:rPr>
          <w:rFonts w:cstheme="minorHAnsi"/>
          <w:sz w:val="24"/>
          <w:szCs w:val="24"/>
        </w:rPr>
        <w:t>contracep</w:t>
      </w:r>
      <w:r>
        <w:rPr>
          <w:rFonts w:cstheme="minorHAnsi"/>
          <w:sz w:val="24"/>
          <w:szCs w:val="24"/>
        </w:rPr>
        <w:t>tive</w:t>
      </w:r>
      <w:r w:rsidR="008A5E2D" w:rsidRPr="008A5E2D">
        <w:rPr>
          <w:rFonts w:cstheme="minorHAnsi"/>
          <w:sz w:val="24"/>
          <w:szCs w:val="24"/>
        </w:rPr>
        <w:t xml:space="preserve"> a une performance </w:t>
      </w:r>
      <w:r>
        <w:rPr>
          <w:rFonts w:cstheme="minorHAnsi"/>
          <w:sz w:val="24"/>
          <w:szCs w:val="24"/>
        </w:rPr>
        <w:t>moyenne</w:t>
      </w:r>
      <w:r w:rsidR="008A5E2D" w:rsidRPr="008A5E2D">
        <w:rPr>
          <w:rFonts w:cstheme="minorHAnsi"/>
          <w:sz w:val="24"/>
          <w:szCs w:val="24"/>
        </w:rPr>
        <w:t xml:space="preserve"> avec un indice de progression  à 24,3%. La couverture en soins prénatals est insuffisante au regard des ambitions visant une couverture total. Mais pour cet indicateur, on note une fluctuation du niveau de l’indicateur qui oscille entre 88% en 2010 et 82% en 2015. </w:t>
      </w:r>
    </w:p>
    <w:p w:rsidR="008A5E2D" w:rsidRPr="008A5E2D" w:rsidRDefault="008A5E2D"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8A5E2D">
        <w:rPr>
          <w:sz w:val="24"/>
          <w:szCs w:val="24"/>
        </w:rPr>
        <w:t>67,6% des femmes</w:t>
      </w:r>
      <w:r w:rsidRPr="003B29CC">
        <w:rPr>
          <w:rStyle w:val="Appelnotedebasdep"/>
          <w:sz w:val="24"/>
          <w:szCs w:val="24"/>
        </w:rPr>
        <w:footnoteReference w:id="12"/>
      </w:r>
      <w:r w:rsidRPr="008A5E2D">
        <w:rPr>
          <w:sz w:val="24"/>
          <w:szCs w:val="24"/>
        </w:rPr>
        <w:t xml:space="preserve"> ont subi une forme de mutilation génitale féminine. La pratique recule avec le niveau d’instruction, les pourcentages baissent de 74,4% pour les femmes sans instruction à 43,9% pour les femmes ayant fait des études secondaires ou supérieures. La pratique semble plus courante en milieu rural, dans la région des Cascades et chez les Senoufo. La répartition par quintile de bien-être économique du ménage donne une proportion de femmes excisées plus élevée dans les ménages riches  (73,6%) que dans les ménages moyens et Pauvres (68,5% et 67,5%).  La répartition par groupes d’âges montre que la proportion de femmes excisées augmente avec l’âge, passant de 42,4% pour la tranche 15-19 ans à 87,4% pour la tranche d’âge 44-49 ans. Il y a certainement un effet positif du programme qui se fait sentir. </w:t>
      </w:r>
    </w:p>
    <w:p w:rsidR="008A5E2D" w:rsidRPr="008A5E2D" w:rsidRDefault="008A5E2D"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8A5E2D">
        <w:rPr>
          <w:sz w:val="24"/>
          <w:szCs w:val="24"/>
          <w:lang w:eastAsia="en-GB"/>
        </w:rPr>
        <w:t xml:space="preserve">Le </w:t>
      </w:r>
      <w:r w:rsidRPr="008A5E2D">
        <w:rPr>
          <w:rFonts w:cstheme="minorHAnsi"/>
          <w:sz w:val="24"/>
          <w:szCs w:val="24"/>
        </w:rPr>
        <w:t>nombre</w:t>
      </w:r>
      <w:r w:rsidRPr="008A5E2D">
        <w:rPr>
          <w:sz w:val="24"/>
          <w:szCs w:val="24"/>
        </w:rPr>
        <w:t xml:space="preserve"> de nouveaux contacts </w:t>
      </w:r>
      <w:r>
        <w:rPr>
          <w:rStyle w:val="Appelnotedebasdep"/>
          <w:sz w:val="24"/>
          <w:szCs w:val="24"/>
        </w:rPr>
        <w:footnoteReference w:id="13"/>
      </w:r>
      <w:r w:rsidRPr="008A5E2D">
        <w:rPr>
          <w:sz w:val="24"/>
          <w:szCs w:val="24"/>
        </w:rPr>
        <w:t>par habitant et par an des enfants de moins de 5 ans</w:t>
      </w:r>
      <w:r w:rsidRPr="008A5E2D">
        <w:rPr>
          <w:sz w:val="24"/>
          <w:szCs w:val="24"/>
          <w:lang w:eastAsia="en-GB"/>
        </w:rPr>
        <w:t xml:space="preserve"> est passé de 1,42 en 2010 à 2,5 en 2016. Cependant, la prise en charge des principales maladies tueuses de l’enfant (diarrhée, pneumonie et paludisme) reste relativement faible. 39% des enfants souffrant de fièvre et 47% des enfants souffrant d’infections respiratoires aigües n’ont pas pu bénéficier de soins et conseils auprès d’un prestataire de santé pour leur traitement</w:t>
      </w:r>
      <w:r w:rsidRPr="003B29CC">
        <w:rPr>
          <w:rStyle w:val="Appelnotedebasdep"/>
          <w:sz w:val="24"/>
          <w:szCs w:val="24"/>
          <w:lang w:eastAsia="en-GB"/>
        </w:rPr>
        <w:footnoteReference w:id="14"/>
      </w:r>
      <w:r w:rsidRPr="008A5E2D">
        <w:rPr>
          <w:sz w:val="24"/>
          <w:szCs w:val="24"/>
          <w:lang w:eastAsia="en-GB"/>
        </w:rPr>
        <w:t>.  Vingt-un % d’enfants souffrant de diarrhée ne reçoivent aucun traitement et 12.3% des enfants sont pris en charge par la médecine traditionnelle</w:t>
      </w:r>
      <w:r w:rsidRPr="003B29CC">
        <w:rPr>
          <w:rStyle w:val="Appelnotedebasdep"/>
          <w:sz w:val="24"/>
          <w:szCs w:val="24"/>
          <w:lang w:eastAsia="en-GB"/>
        </w:rPr>
        <w:footnoteReference w:id="15"/>
      </w:r>
      <w:r w:rsidRPr="008A5E2D">
        <w:rPr>
          <w:sz w:val="24"/>
          <w:szCs w:val="24"/>
          <w:lang w:eastAsia="en-GB"/>
        </w:rPr>
        <w:t>.</w:t>
      </w:r>
    </w:p>
    <w:p w:rsidR="008A5E2D" w:rsidRPr="008A5E2D" w:rsidRDefault="008A5E2D"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8A5E2D">
        <w:rPr>
          <w:sz w:val="24"/>
          <w:szCs w:val="24"/>
        </w:rPr>
        <w:t xml:space="preserve">La </w:t>
      </w:r>
      <w:r w:rsidRPr="008A5E2D">
        <w:rPr>
          <w:rFonts w:cstheme="minorHAnsi"/>
          <w:sz w:val="24"/>
          <w:szCs w:val="24"/>
        </w:rPr>
        <w:t>proportion</w:t>
      </w:r>
      <w:r w:rsidRPr="008A5E2D">
        <w:rPr>
          <w:sz w:val="24"/>
          <w:szCs w:val="24"/>
        </w:rPr>
        <w:t xml:space="preserve"> d’enfants</w:t>
      </w:r>
      <w:r w:rsidRPr="003B29CC">
        <w:rPr>
          <w:rStyle w:val="Appelnotedebasdep"/>
          <w:sz w:val="24"/>
          <w:szCs w:val="24"/>
        </w:rPr>
        <w:footnoteReference w:id="16"/>
      </w:r>
      <w:r w:rsidRPr="008A5E2D">
        <w:rPr>
          <w:sz w:val="24"/>
          <w:szCs w:val="24"/>
        </w:rPr>
        <w:t xml:space="preserve"> de 12-23 mois complètement vaccinés selon le PEV présente de forte variation selon le milieu de résidence. En effet, la couverture vaccinale reste plus faible en milieu rural (83 %) par rapport au milieu urbain (89 %). En outre, les écarts par région sont très importants : ce sont les régions du </w:t>
      </w:r>
      <w:proofErr w:type="spellStart"/>
      <w:r w:rsidRPr="008A5E2D">
        <w:rPr>
          <w:sz w:val="24"/>
          <w:szCs w:val="24"/>
        </w:rPr>
        <w:t>Sud-Ouest</w:t>
      </w:r>
      <w:proofErr w:type="spellEnd"/>
      <w:r w:rsidRPr="008A5E2D">
        <w:rPr>
          <w:sz w:val="24"/>
          <w:szCs w:val="24"/>
        </w:rPr>
        <w:t xml:space="preserve"> (96 %), du Centre-Est (95 %) et du Plateau Central (95 %) qui enregistrent la meilleure couverture vaccinale. A l’opposé, c’est dans la région du Sahel que cette proportion est la plus faible (57 %). La proportion</w:t>
      </w:r>
      <w:r>
        <w:t xml:space="preserve"> </w:t>
      </w:r>
      <w:r w:rsidRPr="008A5E2D">
        <w:rPr>
          <w:sz w:val="24"/>
          <w:szCs w:val="24"/>
        </w:rPr>
        <w:t xml:space="preserve">des enfants complètement vaccinés varie selon l’âge de la mère passant ainsi de 71 % parmi les femmes de 45-49 ans à 90 % parmi celles de 20-24 ans. Le niveau de la couverture vaccinale des enfants augmente avec le statut socioéconomique des ménages, passant de 78 % chez les enfants dont le ménage est classé dans le quintile « très pauvres » à 88 % parmi ceux dont le ménage </w:t>
      </w:r>
      <w:r w:rsidRPr="008A5E2D">
        <w:rPr>
          <w:sz w:val="24"/>
          <w:szCs w:val="24"/>
        </w:rPr>
        <w:lastRenderedPageBreak/>
        <w:t>est très riche. On observe que la couverture vaccinale augmente également avec le niveau d’instruction de la mère : 82 % des enfants dont la mère n’a aucun niveau d’instruction sont complètement vaccinés contre 91 % de ceux dont la mère a un niveau primaire et 93 % parmi ceux dont la mère a un niveau secondaire et plus.</w:t>
      </w:r>
    </w:p>
    <w:p w:rsidR="008A5E2D" w:rsidRDefault="008A5E2D"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8A5E2D">
        <w:rPr>
          <w:rFonts w:cstheme="minorHAnsi"/>
          <w:sz w:val="24"/>
          <w:szCs w:val="24"/>
        </w:rPr>
        <w:t>La CPN</w:t>
      </w:r>
      <w:r w:rsidRPr="003B29CC">
        <w:rPr>
          <w:rStyle w:val="Appelnotedebasdep"/>
          <w:rFonts w:cstheme="minorHAnsi"/>
          <w:sz w:val="24"/>
          <w:szCs w:val="24"/>
        </w:rPr>
        <w:footnoteReference w:id="17"/>
      </w:r>
      <w:r w:rsidRPr="008A5E2D">
        <w:rPr>
          <w:rFonts w:cstheme="minorHAnsi"/>
          <w:sz w:val="24"/>
          <w:szCs w:val="24"/>
        </w:rPr>
        <w:t xml:space="preserve"> est la principale porte d’entrée pour la PTME/VIH. En termes d’utilisation des services, il faut noter qu’en 2015, 82,3% des femmes enceintes ont été vues au moins une fois en consultation prénatale dont 31% d’entre elles au premier trimestre. Les principaux résultats obtenus depuis 2010 sont : (i) 98% des services offrent la PTME en 2016 contre 92% en 2010 ; (ii) 84,90% des femmes enceintes vues en CPN ont été dépistées contre 56% en 2010 ; (iii) le taux de transmission résiduelle du VIH (TME) de la mère à l’enfant est de 8,20% en 2016 contre 7,80% en 2010 ; (iv) à l’exception des années 2013 et 2015, plus de 90% des femmes enceintes dépistées positives reçoivent des ARV pour réduire le risque de transmission mère – enfant.</w:t>
      </w:r>
    </w:p>
    <w:p w:rsidR="008A5E2D" w:rsidRPr="008A5E2D" w:rsidRDefault="008A5E2D"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8A5E2D">
        <w:rPr>
          <w:rFonts w:cstheme="minorHAnsi"/>
          <w:sz w:val="24"/>
          <w:szCs w:val="24"/>
        </w:rPr>
        <w:t xml:space="preserve">Les maladies endémo-épidémiques comme le paludisme, le VIH-SIDA et la tuberculose bénéficient d’un regard particulier dans le cadre de programme spécifique de lutte. Les personnes atteintes par ces pathologies bénéficient d’une prise en charge. C’est ainsi que le </w:t>
      </w:r>
      <w:r w:rsidRPr="008A5E2D">
        <w:rPr>
          <w:rFonts w:cs="Calibri"/>
          <w:spacing w:val="1"/>
          <w:sz w:val="24"/>
          <w:szCs w:val="24"/>
        </w:rPr>
        <w:t>t</w:t>
      </w:r>
      <w:r w:rsidRPr="008A5E2D">
        <w:rPr>
          <w:rFonts w:cs="Calibri"/>
          <w:sz w:val="24"/>
          <w:szCs w:val="24"/>
        </w:rPr>
        <w:t>a</w:t>
      </w:r>
      <w:r w:rsidRPr="008A5E2D">
        <w:rPr>
          <w:rFonts w:cs="Calibri"/>
          <w:spacing w:val="1"/>
          <w:sz w:val="24"/>
          <w:szCs w:val="24"/>
        </w:rPr>
        <w:t>u</w:t>
      </w:r>
      <w:r w:rsidRPr="008A5E2D">
        <w:rPr>
          <w:rFonts w:cs="Calibri"/>
          <w:sz w:val="24"/>
          <w:szCs w:val="24"/>
        </w:rPr>
        <w:t>x</w:t>
      </w:r>
      <w:r>
        <w:rPr>
          <w:rStyle w:val="Appelnotedebasdep"/>
          <w:rFonts w:cs="Calibri"/>
          <w:sz w:val="24"/>
          <w:szCs w:val="24"/>
        </w:rPr>
        <w:footnoteReference w:id="18"/>
      </w:r>
      <w:r w:rsidRPr="008A5E2D">
        <w:rPr>
          <w:rFonts w:cs="Calibri"/>
          <w:sz w:val="24"/>
          <w:szCs w:val="24"/>
        </w:rPr>
        <w:t xml:space="preserve"> </w:t>
      </w:r>
      <w:r w:rsidRPr="008A5E2D">
        <w:rPr>
          <w:rFonts w:cs="Calibri"/>
          <w:spacing w:val="1"/>
          <w:sz w:val="24"/>
          <w:szCs w:val="24"/>
        </w:rPr>
        <w:t xml:space="preserve"> d</w:t>
      </w:r>
      <w:r w:rsidRPr="008A5E2D">
        <w:rPr>
          <w:rFonts w:cs="Calibri"/>
          <w:sz w:val="24"/>
          <w:szCs w:val="24"/>
        </w:rPr>
        <w:t xml:space="preserve">e </w:t>
      </w:r>
      <w:r w:rsidRPr="008A5E2D">
        <w:rPr>
          <w:rFonts w:cs="Calibri"/>
          <w:spacing w:val="2"/>
          <w:sz w:val="24"/>
          <w:szCs w:val="24"/>
        </w:rPr>
        <w:t xml:space="preserve"> </w:t>
      </w:r>
      <w:r w:rsidRPr="008A5E2D">
        <w:rPr>
          <w:rFonts w:cs="Calibri"/>
          <w:spacing w:val="-1"/>
          <w:sz w:val="24"/>
          <w:szCs w:val="24"/>
        </w:rPr>
        <w:t>c</w:t>
      </w:r>
      <w:r w:rsidRPr="008A5E2D">
        <w:rPr>
          <w:rFonts w:cs="Calibri"/>
          <w:sz w:val="24"/>
          <w:szCs w:val="24"/>
        </w:rPr>
        <w:t>o</w:t>
      </w:r>
      <w:r w:rsidRPr="008A5E2D">
        <w:rPr>
          <w:rFonts w:cs="Calibri"/>
          <w:spacing w:val="1"/>
          <w:sz w:val="24"/>
          <w:szCs w:val="24"/>
        </w:rPr>
        <w:t>u</w:t>
      </w:r>
      <w:r w:rsidRPr="008A5E2D">
        <w:rPr>
          <w:rFonts w:cs="Calibri"/>
          <w:sz w:val="24"/>
          <w:szCs w:val="24"/>
        </w:rPr>
        <w:t>v</w:t>
      </w:r>
      <w:r w:rsidRPr="008A5E2D">
        <w:rPr>
          <w:rFonts w:cs="Calibri"/>
          <w:spacing w:val="-2"/>
          <w:sz w:val="24"/>
          <w:szCs w:val="24"/>
        </w:rPr>
        <w:t>e</w:t>
      </w:r>
      <w:r w:rsidRPr="008A5E2D">
        <w:rPr>
          <w:rFonts w:cs="Calibri"/>
          <w:sz w:val="24"/>
          <w:szCs w:val="24"/>
        </w:rPr>
        <w:t>r</w:t>
      </w:r>
      <w:r w:rsidRPr="008A5E2D">
        <w:rPr>
          <w:rFonts w:cs="Calibri"/>
          <w:spacing w:val="-1"/>
          <w:sz w:val="24"/>
          <w:szCs w:val="24"/>
        </w:rPr>
        <w:t>t</w:t>
      </w:r>
      <w:r w:rsidRPr="008A5E2D">
        <w:rPr>
          <w:rFonts w:cs="Calibri"/>
          <w:spacing w:val="1"/>
          <w:sz w:val="24"/>
          <w:szCs w:val="24"/>
        </w:rPr>
        <w:t>u</w:t>
      </w:r>
      <w:r w:rsidRPr="008A5E2D">
        <w:rPr>
          <w:rFonts w:cs="Calibri"/>
          <w:sz w:val="24"/>
          <w:szCs w:val="24"/>
        </w:rPr>
        <w:t xml:space="preserve">re  en </w:t>
      </w:r>
      <w:r w:rsidRPr="008A5E2D">
        <w:rPr>
          <w:rFonts w:cs="Calibri"/>
          <w:spacing w:val="3"/>
          <w:sz w:val="24"/>
          <w:szCs w:val="24"/>
        </w:rPr>
        <w:t xml:space="preserve"> </w:t>
      </w:r>
      <w:r w:rsidRPr="008A5E2D">
        <w:rPr>
          <w:rFonts w:cs="Calibri"/>
          <w:sz w:val="24"/>
          <w:szCs w:val="24"/>
        </w:rPr>
        <w:t xml:space="preserve">ARV </w:t>
      </w:r>
      <w:r w:rsidRPr="008A5E2D">
        <w:rPr>
          <w:rFonts w:cs="Calibri"/>
          <w:spacing w:val="2"/>
          <w:sz w:val="24"/>
          <w:szCs w:val="24"/>
        </w:rPr>
        <w:t xml:space="preserve"> </w:t>
      </w:r>
      <w:r w:rsidRPr="008A5E2D">
        <w:rPr>
          <w:rFonts w:cs="Calibri"/>
          <w:sz w:val="24"/>
          <w:szCs w:val="24"/>
        </w:rPr>
        <w:t xml:space="preserve">est </w:t>
      </w:r>
      <w:r w:rsidRPr="008A5E2D">
        <w:rPr>
          <w:rFonts w:cs="Calibri"/>
          <w:spacing w:val="3"/>
          <w:sz w:val="24"/>
          <w:szCs w:val="24"/>
        </w:rPr>
        <w:t xml:space="preserve"> </w:t>
      </w:r>
      <w:r w:rsidRPr="008A5E2D">
        <w:rPr>
          <w:rFonts w:cs="Calibri"/>
          <w:spacing w:val="1"/>
          <w:sz w:val="24"/>
          <w:szCs w:val="24"/>
        </w:rPr>
        <w:t>p</w:t>
      </w:r>
      <w:r w:rsidRPr="008A5E2D">
        <w:rPr>
          <w:rFonts w:cs="Calibri"/>
          <w:sz w:val="24"/>
          <w:szCs w:val="24"/>
        </w:rPr>
        <w:t xml:space="preserve">assé  </w:t>
      </w:r>
      <w:r w:rsidRPr="008A5E2D">
        <w:rPr>
          <w:rFonts w:cs="Calibri"/>
          <w:spacing w:val="1"/>
          <w:sz w:val="24"/>
          <w:szCs w:val="24"/>
        </w:rPr>
        <w:t>d</w:t>
      </w:r>
      <w:r w:rsidRPr="008A5E2D">
        <w:rPr>
          <w:rFonts w:cs="Calibri"/>
          <w:sz w:val="24"/>
          <w:szCs w:val="24"/>
        </w:rPr>
        <w:t xml:space="preserve">e </w:t>
      </w:r>
      <w:r w:rsidRPr="008A5E2D">
        <w:rPr>
          <w:rFonts w:cs="Calibri"/>
          <w:spacing w:val="2"/>
          <w:sz w:val="24"/>
          <w:szCs w:val="24"/>
        </w:rPr>
        <w:t xml:space="preserve"> </w:t>
      </w:r>
      <w:r w:rsidRPr="008A5E2D">
        <w:rPr>
          <w:rFonts w:cs="Calibri"/>
          <w:spacing w:val="-2"/>
          <w:sz w:val="24"/>
          <w:szCs w:val="24"/>
        </w:rPr>
        <w:t>4</w:t>
      </w:r>
      <w:r w:rsidRPr="008A5E2D">
        <w:rPr>
          <w:rFonts w:cs="Calibri"/>
          <w:sz w:val="24"/>
          <w:szCs w:val="24"/>
        </w:rPr>
        <w:t>4,</w:t>
      </w:r>
      <w:r w:rsidRPr="008A5E2D">
        <w:rPr>
          <w:rFonts w:cs="Calibri"/>
          <w:spacing w:val="1"/>
          <w:sz w:val="24"/>
          <w:szCs w:val="24"/>
        </w:rPr>
        <w:t>4</w:t>
      </w:r>
      <w:r w:rsidRPr="008A5E2D">
        <w:rPr>
          <w:rFonts w:cs="Calibri"/>
          <w:sz w:val="24"/>
          <w:szCs w:val="24"/>
        </w:rPr>
        <w:t xml:space="preserve">5% </w:t>
      </w:r>
      <w:r w:rsidRPr="008A5E2D">
        <w:rPr>
          <w:rFonts w:cs="Calibri"/>
          <w:spacing w:val="1"/>
          <w:sz w:val="24"/>
          <w:szCs w:val="24"/>
        </w:rPr>
        <w:t xml:space="preserve"> </w:t>
      </w:r>
      <w:r w:rsidRPr="008A5E2D">
        <w:rPr>
          <w:rFonts w:cs="Calibri"/>
          <w:sz w:val="24"/>
          <w:szCs w:val="24"/>
        </w:rPr>
        <w:t xml:space="preserve">en </w:t>
      </w:r>
      <w:r w:rsidRPr="008A5E2D">
        <w:rPr>
          <w:rFonts w:cs="Calibri"/>
          <w:spacing w:val="3"/>
          <w:sz w:val="24"/>
          <w:szCs w:val="24"/>
        </w:rPr>
        <w:t xml:space="preserve"> </w:t>
      </w:r>
      <w:r w:rsidRPr="008A5E2D">
        <w:rPr>
          <w:rFonts w:cs="Calibri"/>
          <w:sz w:val="24"/>
          <w:szCs w:val="24"/>
        </w:rPr>
        <w:t>2</w:t>
      </w:r>
      <w:r w:rsidRPr="008A5E2D">
        <w:rPr>
          <w:rFonts w:cs="Calibri"/>
          <w:spacing w:val="-1"/>
          <w:sz w:val="24"/>
          <w:szCs w:val="24"/>
        </w:rPr>
        <w:t>0</w:t>
      </w:r>
      <w:r w:rsidRPr="008A5E2D">
        <w:rPr>
          <w:rFonts w:cs="Calibri"/>
          <w:sz w:val="24"/>
          <w:szCs w:val="24"/>
        </w:rPr>
        <w:t xml:space="preserve">13 </w:t>
      </w:r>
      <w:r w:rsidRPr="008A5E2D">
        <w:rPr>
          <w:rFonts w:cs="Calibri"/>
          <w:spacing w:val="3"/>
          <w:sz w:val="24"/>
          <w:szCs w:val="24"/>
        </w:rPr>
        <w:t xml:space="preserve"> </w:t>
      </w:r>
      <w:r w:rsidRPr="008A5E2D">
        <w:rPr>
          <w:rFonts w:cs="Calibri"/>
          <w:sz w:val="24"/>
          <w:szCs w:val="24"/>
        </w:rPr>
        <w:t xml:space="preserve">à </w:t>
      </w:r>
      <w:r w:rsidRPr="008A5E2D">
        <w:rPr>
          <w:rFonts w:cs="Calibri"/>
          <w:spacing w:val="2"/>
          <w:sz w:val="24"/>
          <w:szCs w:val="24"/>
        </w:rPr>
        <w:t xml:space="preserve"> </w:t>
      </w:r>
      <w:r w:rsidRPr="008A5E2D">
        <w:rPr>
          <w:rFonts w:cs="Calibri"/>
          <w:sz w:val="24"/>
          <w:szCs w:val="24"/>
        </w:rPr>
        <w:t>4</w:t>
      </w:r>
      <w:r w:rsidRPr="008A5E2D">
        <w:rPr>
          <w:rFonts w:cs="Calibri"/>
          <w:spacing w:val="1"/>
          <w:sz w:val="24"/>
          <w:szCs w:val="24"/>
        </w:rPr>
        <w:t>4</w:t>
      </w:r>
      <w:r w:rsidRPr="008A5E2D">
        <w:rPr>
          <w:rFonts w:cs="Calibri"/>
          <w:spacing w:val="5"/>
          <w:sz w:val="24"/>
          <w:szCs w:val="24"/>
        </w:rPr>
        <w:t>,</w:t>
      </w:r>
      <w:r w:rsidRPr="008A5E2D">
        <w:rPr>
          <w:rFonts w:cs="Calibri"/>
          <w:spacing w:val="-2"/>
          <w:sz w:val="24"/>
          <w:szCs w:val="24"/>
        </w:rPr>
        <w:t>8</w:t>
      </w:r>
      <w:r w:rsidRPr="008A5E2D">
        <w:rPr>
          <w:rFonts w:cs="Calibri"/>
          <w:sz w:val="24"/>
          <w:szCs w:val="24"/>
        </w:rPr>
        <w:t xml:space="preserve">2% </w:t>
      </w:r>
      <w:r w:rsidRPr="008A5E2D">
        <w:rPr>
          <w:rFonts w:cs="Calibri"/>
          <w:spacing w:val="1"/>
          <w:sz w:val="24"/>
          <w:szCs w:val="24"/>
        </w:rPr>
        <w:t xml:space="preserve"> </w:t>
      </w:r>
      <w:r w:rsidRPr="008A5E2D">
        <w:rPr>
          <w:rFonts w:cs="Calibri"/>
          <w:sz w:val="24"/>
          <w:szCs w:val="24"/>
        </w:rPr>
        <w:t xml:space="preserve">en </w:t>
      </w:r>
      <w:r w:rsidRPr="008A5E2D">
        <w:rPr>
          <w:rFonts w:cs="Calibri"/>
          <w:spacing w:val="3"/>
          <w:sz w:val="24"/>
          <w:szCs w:val="24"/>
        </w:rPr>
        <w:t xml:space="preserve"> </w:t>
      </w:r>
      <w:r w:rsidRPr="008A5E2D">
        <w:rPr>
          <w:rFonts w:cs="Calibri"/>
          <w:sz w:val="24"/>
          <w:szCs w:val="24"/>
        </w:rPr>
        <w:t>2</w:t>
      </w:r>
      <w:r w:rsidRPr="008A5E2D">
        <w:rPr>
          <w:rFonts w:cs="Calibri"/>
          <w:spacing w:val="1"/>
          <w:sz w:val="24"/>
          <w:szCs w:val="24"/>
        </w:rPr>
        <w:t>0</w:t>
      </w:r>
      <w:r w:rsidRPr="008A5E2D">
        <w:rPr>
          <w:rFonts w:cs="Calibri"/>
          <w:sz w:val="24"/>
          <w:szCs w:val="24"/>
        </w:rPr>
        <w:t xml:space="preserve">14 </w:t>
      </w:r>
      <w:r w:rsidRPr="008A5E2D">
        <w:rPr>
          <w:rFonts w:cs="Calibri"/>
          <w:spacing w:val="1"/>
          <w:sz w:val="24"/>
          <w:szCs w:val="24"/>
        </w:rPr>
        <w:t xml:space="preserve"> p</w:t>
      </w:r>
      <w:r w:rsidRPr="008A5E2D">
        <w:rPr>
          <w:rFonts w:cs="Calibri"/>
          <w:sz w:val="24"/>
          <w:szCs w:val="24"/>
        </w:rPr>
        <w:t>o</w:t>
      </w:r>
      <w:r w:rsidRPr="008A5E2D">
        <w:rPr>
          <w:rFonts w:cs="Calibri"/>
          <w:spacing w:val="1"/>
          <w:sz w:val="24"/>
          <w:szCs w:val="24"/>
        </w:rPr>
        <w:t>u</w:t>
      </w:r>
      <w:r w:rsidRPr="008A5E2D">
        <w:rPr>
          <w:rFonts w:cs="Calibri"/>
          <w:sz w:val="24"/>
          <w:szCs w:val="24"/>
        </w:rPr>
        <w:t>r l'e</w:t>
      </w:r>
      <w:r w:rsidRPr="008A5E2D">
        <w:rPr>
          <w:rFonts w:cs="Calibri"/>
          <w:spacing w:val="1"/>
          <w:sz w:val="24"/>
          <w:szCs w:val="24"/>
        </w:rPr>
        <w:t>n</w:t>
      </w:r>
      <w:r w:rsidRPr="008A5E2D">
        <w:rPr>
          <w:rFonts w:cs="Calibri"/>
          <w:sz w:val="24"/>
          <w:szCs w:val="24"/>
        </w:rPr>
        <w:t>sem</w:t>
      </w:r>
      <w:r w:rsidRPr="008A5E2D">
        <w:rPr>
          <w:rFonts w:cs="Calibri"/>
          <w:spacing w:val="1"/>
          <w:sz w:val="24"/>
          <w:szCs w:val="24"/>
        </w:rPr>
        <w:t>b</w:t>
      </w:r>
      <w:r w:rsidRPr="008A5E2D">
        <w:rPr>
          <w:rFonts w:cs="Calibri"/>
          <w:spacing w:val="-2"/>
          <w:sz w:val="24"/>
          <w:szCs w:val="24"/>
        </w:rPr>
        <w:t>l</w:t>
      </w:r>
      <w:r w:rsidRPr="008A5E2D">
        <w:rPr>
          <w:rFonts w:cs="Calibri"/>
          <w:sz w:val="24"/>
          <w:szCs w:val="24"/>
        </w:rPr>
        <w:t>e</w:t>
      </w:r>
      <w:r w:rsidRPr="008A5E2D">
        <w:rPr>
          <w:rFonts w:cs="Calibri"/>
          <w:spacing w:val="1"/>
          <w:sz w:val="24"/>
          <w:szCs w:val="24"/>
        </w:rPr>
        <w:t xml:space="preserve"> d</w:t>
      </w:r>
      <w:r w:rsidRPr="008A5E2D">
        <w:rPr>
          <w:rFonts w:cs="Calibri"/>
          <w:sz w:val="24"/>
          <w:szCs w:val="24"/>
        </w:rPr>
        <w:t>es</w:t>
      </w:r>
      <w:r w:rsidRPr="008A5E2D">
        <w:rPr>
          <w:rFonts w:cs="Calibri"/>
          <w:spacing w:val="1"/>
          <w:sz w:val="24"/>
          <w:szCs w:val="24"/>
        </w:rPr>
        <w:t xml:space="preserve"> </w:t>
      </w:r>
      <w:proofErr w:type="spellStart"/>
      <w:r w:rsidRPr="008A5E2D">
        <w:rPr>
          <w:rFonts w:cs="Calibri"/>
          <w:sz w:val="24"/>
          <w:szCs w:val="24"/>
        </w:rPr>
        <w:t>Pv</w:t>
      </w:r>
      <w:r w:rsidRPr="008A5E2D">
        <w:rPr>
          <w:rFonts w:cs="Calibri"/>
          <w:spacing w:val="1"/>
          <w:sz w:val="24"/>
          <w:szCs w:val="24"/>
        </w:rPr>
        <w:t>V</w:t>
      </w:r>
      <w:r w:rsidRPr="008A5E2D">
        <w:rPr>
          <w:rFonts w:cs="Calibri"/>
          <w:sz w:val="24"/>
          <w:szCs w:val="24"/>
        </w:rPr>
        <w:t>I</w:t>
      </w:r>
      <w:r w:rsidRPr="008A5E2D">
        <w:rPr>
          <w:rFonts w:cs="Calibri"/>
          <w:spacing w:val="-1"/>
          <w:sz w:val="24"/>
          <w:szCs w:val="24"/>
        </w:rPr>
        <w:t>H</w:t>
      </w:r>
      <w:proofErr w:type="spellEnd"/>
      <w:r w:rsidRPr="008A5E2D">
        <w:rPr>
          <w:rFonts w:cs="Calibri"/>
          <w:sz w:val="24"/>
          <w:szCs w:val="24"/>
        </w:rPr>
        <w:t xml:space="preserve">. La </w:t>
      </w:r>
      <w:r w:rsidRPr="008A5E2D">
        <w:rPr>
          <w:rFonts w:cs="Calibri"/>
          <w:spacing w:val="4"/>
          <w:sz w:val="24"/>
          <w:szCs w:val="24"/>
        </w:rPr>
        <w:t xml:space="preserve"> </w:t>
      </w:r>
      <w:r w:rsidRPr="008A5E2D">
        <w:rPr>
          <w:rFonts w:cs="Calibri"/>
          <w:spacing w:val="1"/>
          <w:sz w:val="24"/>
          <w:szCs w:val="24"/>
        </w:rPr>
        <w:t>p</w:t>
      </w:r>
      <w:r w:rsidRPr="008A5E2D">
        <w:rPr>
          <w:rFonts w:cs="Calibri"/>
          <w:sz w:val="24"/>
          <w:szCs w:val="24"/>
        </w:rPr>
        <w:t>r</w:t>
      </w:r>
      <w:r w:rsidRPr="008A5E2D">
        <w:rPr>
          <w:rFonts w:cs="Calibri"/>
          <w:spacing w:val="-1"/>
          <w:sz w:val="24"/>
          <w:szCs w:val="24"/>
        </w:rPr>
        <w:t>o</w:t>
      </w:r>
      <w:r w:rsidRPr="008A5E2D">
        <w:rPr>
          <w:rFonts w:cs="Calibri"/>
          <w:spacing w:val="2"/>
          <w:sz w:val="24"/>
          <w:szCs w:val="24"/>
        </w:rPr>
        <w:t>p</w:t>
      </w:r>
      <w:r w:rsidRPr="008A5E2D">
        <w:rPr>
          <w:rFonts w:cs="Calibri"/>
          <w:sz w:val="24"/>
          <w:szCs w:val="24"/>
        </w:rPr>
        <w:t>or</w:t>
      </w:r>
      <w:r w:rsidRPr="008A5E2D">
        <w:rPr>
          <w:rFonts w:cs="Calibri"/>
          <w:spacing w:val="-1"/>
          <w:sz w:val="24"/>
          <w:szCs w:val="24"/>
        </w:rPr>
        <w:t>t</w:t>
      </w:r>
      <w:r w:rsidRPr="008A5E2D">
        <w:rPr>
          <w:rFonts w:cs="Calibri"/>
          <w:spacing w:val="-2"/>
          <w:sz w:val="24"/>
          <w:szCs w:val="24"/>
        </w:rPr>
        <w:t>i</w:t>
      </w:r>
      <w:r w:rsidRPr="008A5E2D">
        <w:rPr>
          <w:rFonts w:cs="Calibri"/>
          <w:sz w:val="24"/>
          <w:szCs w:val="24"/>
        </w:rPr>
        <w:t xml:space="preserve">on </w:t>
      </w:r>
      <w:r w:rsidRPr="008A5E2D">
        <w:rPr>
          <w:rFonts w:cs="Calibri"/>
          <w:spacing w:val="5"/>
          <w:sz w:val="24"/>
          <w:szCs w:val="24"/>
        </w:rPr>
        <w:t xml:space="preserve"> </w:t>
      </w:r>
      <w:r w:rsidRPr="008A5E2D">
        <w:rPr>
          <w:rFonts w:cs="Calibri"/>
          <w:spacing w:val="1"/>
          <w:sz w:val="24"/>
          <w:szCs w:val="24"/>
        </w:rPr>
        <w:t>d</w:t>
      </w:r>
      <w:r w:rsidRPr="008A5E2D">
        <w:rPr>
          <w:rFonts w:cs="Calibri"/>
          <w:sz w:val="24"/>
          <w:szCs w:val="24"/>
        </w:rPr>
        <w:t xml:space="preserve">es </w:t>
      </w:r>
      <w:r w:rsidRPr="008A5E2D">
        <w:rPr>
          <w:rFonts w:cs="Calibri"/>
          <w:spacing w:val="4"/>
          <w:sz w:val="24"/>
          <w:szCs w:val="24"/>
        </w:rPr>
        <w:t xml:space="preserve"> </w:t>
      </w:r>
      <w:r w:rsidRPr="008A5E2D">
        <w:rPr>
          <w:rFonts w:cs="Calibri"/>
          <w:spacing w:val="1"/>
          <w:sz w:val="24"/>
          <w:szCs w:val="24"/>
        </w:rPr>
        <w:t>p</w:t>
      </w:r>
      <w:r w:rsidRPr="008A5E2D">
        <w:rPr>
          <w:rFonts w:cs="Calibri"/>
          <w:sz w:val="24"/>
          <w:szCs w:val="24"/>
        </w:rPr>
        <w:t>ers</w:t>
      </w:r>
      <w:r w:rsidRPr="008A5E2D">
        <w:rPr>
          <w:rFonts w:cs="Calibri"/>
          <w:spacing w:val="-1"/>
          <w:sz w:val="24"/>
          <w:szCs w:val="24"/>
        </w:rPr>
        <w:t>o</w:t>
      </w:r>
      <w:r w:rsidRPr="008A5E2D">
        <w:rPr>
          <w:rFonts w:cs="Calibri"/>
          <w:spacing w:val="1"/>
          <w:sz w:val="24"/>
          <w:szCs w:val="24"/>
        </w:rPr>
        <w:t>nn</w:t>
      </w:r>
      <w:r w:rsidRPr="008A5E2D">
        <w:rPr>
          <w:rFonts w:cs="Calibri"/>
          <w:sz w:val="24"/>
          <w:szCs w:val="24"/>
        </w:rPr>
        <w:t>es sér</w:t>
      </w:r>
      <w:r w:rsidRPr="008A5E2D">
        <w:rPr>
          <w:rFonts w:cs="Calibri"/>
          <w:spacing w:val="1"/>
          <w:sz w:val="24"/>
          <w:szCs w:val="24"/>
        </w:rPr>
        <w:t>op</w:t>
      </w:r>
      <w:r w:rsidRPr="008A5E2D">
        <w:rPr>
          <w:rFonts w:cs="Calibri"/>
          <w:sz w:val="24"/>
          <w:szCs w:val="24"/>
        </w:rPr>
        <w:t>os</w:t>
      </w:r>
      <w:r w:rsidRPr="008A5E2D">
        <w:rPr>
          <w:rFonts w:cs="Calibri"/>
          <w:spacing w:val="-3"/>
          <w:sz w:val="24"/>
          <w:szCs w:val="24"/>
        </w:rPr>
        <w:t>i</w:t>
      </w:r>
      <w:r w:rsidRPr="008A5E2D">
        <w:rPr>
          <w:rFonts w:cs="Calibri"/>
          <w:spacing w:val="1"/>
          <w:sz w:val="24"/>
          <w:szCs w:val="24"/>
        </w:rPr>
        <w:t>t</w:t>
      </w:r>
      <w:r w:rsidRPr="008A5E2D">
        <w:rPr>
          <w:rFonts w:cs="Calibri"/>
          <w:sz w:val="24"/>
          <w:szCs w:val="24"/>
        </w:rPr>
        <w:t>ives</w:t>
      </w:r>
      <w:r w:rsidRPr="008A5E2D">
        <w:rPr>
          <w:rFonts w:cs="Calibri"/>
          <w:spacing w:val="22"/>
          <w:sz w:val="24"/>
          <w:szCs w:val="24"/>
        </w:rPr>
        <w:t xml:space="preserve"> </w:t>
      </w:r>
      <w:r w:rsidRPr="008A5E2D">
        <w:rPr>
          <w:rFonts w:cs="Calibri"/>
          <w:sz w:val="24"/>
          <w:szCs w:val="24"/>
        </w:rPr>
        <w:t>j</w:t>
      </w:r>
      <w:r w:rsidRPr="008A5E2D">
        <w:rPr>
          <w:rFonts w:cs="Calibri"/>
          <w:spacing w:val="1"/>
          <w:sz w:val="24"/>
          <w:szCs w:val="24"/>
        </w:rPr>
        <w:t>u</w:t>
      </w:r>
      <w:r w:rsidRPr="008A5E2D">
        <w:rPr>
          <w:rFonts w:cs="Calibri"/>
          <w:sz w:val="24"/>
          <w:szCs w:val="24"/>
        </w:rPr>
        <w:t>s</w:t>
      </w:r>
      <w:r w:rsidRPr="008A5E2D">
        <w:rPr>
          <w:rFonts w:cs="Calibri"/>
          <w:spacing w:val="1"/>
          <w:sz w:val="24"/>
          <w:szCs w:val="24"/>
        </w:rPr>
        <w:t>t</w:t>
      </w:r>
      <w:r w:rsidRPr="008A5E2D">
        <w:rPr>
          <w:rFonts w:cs="Calibri"/>
          <w:spacing w:val="-2"/>
          <w:sz w:val="24"/>
          <w:szCs w:val="24"/>
        </w:rPr>
        <w:t>i</w:t>
      </w:r>
      <w:r w:rsidRPr="008A5E2D">
        <w:rPr>
          <w:rFonts w:cs="Calibri"/>
          <w:spacing w:val="1"/>
          <w:sz w:val="24"/>
          <w:szCs w:val="24"/>
        </w:rPr>
        <w:t>f</w:t>
      </w:r>
      <w:r w:rsidRPr="008A5E2D">
        <w:rPr>
          <w:rFonts w:cs="Calibri"/>
          <w:sz w:val="24"/>
          <w:szCs w:val="24"/>
        </w:rPr>
        <w:t>i</w:t>
      </w:r>
      <w:r w:rsidRPr="008A5E2D">
        <w:rPr>
          <w:rFonts w:cs="Calibri"/>
          <w:spacing w:val="-2"/>
          <w:sz w:val="24"/>
          <w:szCs w:val="24"/>
        </w:rPr>
        <w:t>a</w:t>
      </w:r>
      <w:r w:rsidRPr="008A5E2D">
        <w:rPr>
          <w:rFonts w:cs="Calibri"/>
          <w:spacing w:val="1"/>
          <w:sz w:val="24"/>
          <w:szCs w:val="24"/>
        </w:rPr>
        <w:t>b</w:t>
      </w:r>
      <w:r w:rsidRPr="008A5E2D">
        <w:rPr>
          <w:rFonts w:cs="Calibri"/>
          <w:sz w:val="24"/>
          <w:szCs w:val="24"/>
        </w:rPr>
        <w:t>les</w:t>
      </w:r>
      <w:r w:rsidRPr="008A5E2D">
        <w:rPr>
          <w:rFonts w:cs="Calibri"/>
          <w:spacing w:val="20"/>
          <w:sz w:val="24"/>
          <w:szCs w:val="24"/>
        </w:rPr>
        <w:t xml:space="preserve"> </w:t>
      </w:r>
      <w:r w:rsidRPr="008A5E2D">
        <w:rPr>
          <w:rFonts w:cs="Calibri"/>
          <w:spacing w:val="1"/>
          <w:sz w:val="24"/>
          <w:szCs w:val="24"/>
        </w:rPr>
        <w:t>d</w:t>
      </w:r>
      <w:r w:rsidRPr="008A5E2D">
        <w:rPr>
          <w:rFonts w:cs="Calibri"/>
          <w:sz w:val="24"/>
          <w:szCs w:val="24"/>
        </w:rPr>
        <w:t>u</w:t>
      </w:r>
      <w:r w:rsidRPr="008A5E2D">
        <w:rPr>
          <w:rFonts w:cs="Calibri"/>
          <w:spacing w:val="23"/>
          <w:sz w:val="24"/>
          <w:szCs w:val="24"/>
        </w:rPr>
        <w:t xml:space="preserve"> </w:t>
      </w:r>
      <w:r w:rsidRPr="008A5E2D">
        <w:rPr>
          <w:rFonts w:cs="Calibri"/>
          <w:spacing w:val="1"/>
          <w:sz w:val="24"/>
          <w:szCs w:val="24"/>
        </w:rPr>
        <w:t>t</w:t>
      </w:r>
      <w:r w:rsidRPr="008A5E2D">
        <w:rPr>
          <w:rFonts w:cs="Calibri"/>
          <w:sz w:val="24"/>
          <w:szCs w:val="24"/>
        </w:rPr>
        <w:t>ra</w:t>
      </w:r>
      <w:r w:rsidRPr="008A5E2D">
        <w:rPr>
          <w:rFonts w:cs="Calibri"/>
          <w:spacing w:val="-2"/>
          <w:sz w:val="24"/>
          <w:szCs w:val="24"/>
        </w:rPr>
        <w:t>i</w:t>
      </w:r>
      <w:r w:rsidRPr="008A5E2D">
        <w:rPr>
          <w:rFonts w:cs="Calibri"/>
          <w:spacing w:val="1"/>
          <w:sz w:val="24"/>
          <w:szCs w:val="24"/>
        </w:rPr>
        <w:t>t</w:t>
      </w:r>
      <w:r w:rsidRPr="008A5E2D">
        <w:rPr>
          <w:rFonts w:cs="Calibri"/>
          <w:sz w:val="24"/>
          <w:szCs w:val="24"/>
        </w:rPr>
        <w:t>e</w:t>
      </w:r>
      <w:r w:rsidRPr="008A5E2D">
        <w:rPr>
          <w:rFonts w:cs="Calibri"/>
          <w:spacing w:val="1"/>
          <w:sz w:val="24"/>
          <w:szCs w:val="24"/>
        </w:rPr>
        <w:t>m</w:t>
      </w:r>
      <w:r w:rsidRPr="008A5E2D">
        <w:rPr>
          <w:rFonts w:cs="Calibri"/>
          <w:spacing w:val="-2"/>
          <w:sz w:val="24"/>
          <w:szCs w:val="24"/>
        </w:rPr>
        <w:t>e</w:t>
      </w:r>
      <w:r w:rsidRPr="008A5E2D">
        <w:rPr>
          <w:rFonts w:cs="Calibri"/>
          <w:spacing w:val="1"/>
          <w:sz w:val="24"/>
          <w:szCs w:val="24"/>
        </w:rPr>
        <w:t>n</w:t>
      </w:r>
      <w:r w:rsidRPr="008A5E2D">
        <w:rPr>
          <w:rFonts w:cs="Calibri"/>
          <w:sz w:val="24"/>
          <w:szCs w:val="24"/>
        </w:rPr>
        <w:t>t</w:t>
      </w:r>
      <w:r w:rsidRPr="008A5E2D">
        <w:rPr>
          <w:rFonts w:cs="Calibri"/>
          <w:spacing w:val="23"/>
          <w:sz w:val="24"/>
          <w:szCs w:val="24"/>
        </w:rPr>
        <w:t xml:space="preserve"> </w:t>
      </w:r>
      <w:r w:rsidRPr="008A5E2D">
        <w:rPr>
          <w:rFonts w:cs="Calibri"/>
          <w:sz w:val="24"/>
          <w:szCs w:val="24"/>
        </w:rPr>
        <w:t>ARV</w:t>
      </w:r>
      <w:r w:rsidRPr="008A5E2D">
        <w:rPr>
          <w:rFonts w:cs="Calibri"/>
          <w:spacing w:val="23"/>
          <w:sz w:val="24"/>
          <w:szCs w:val="24"/>
        </w:rPr>
        <w:t xml:space="preserve"> </w:t>
      </w:r>
      <w:r w:rsidRPr="008A5E2D">
        <w:rPr>
          <w:rFonts w:cs="Calibri"/>
          <w:spacing w:val="-2"/>
          <w:sz w:val="24"/>
          <w:szCs w:val="24"/>
        </w:rPr>
        <w:t>e</w:t>
      </w:r>
      <w:r w:rsidRPr="008A5E2D">
        <w:rPr>
          <w:rFonts w:cs="Calibri"/>
          <w:sz w:val="24"/>
          <w:szCs w:val="24"/>
        </w:rPr>
        <w:t>t</w:t>
      </w:r>
      <w:r w:rsidRPr="008A5E2D">
        <w:rPr>
          <w:rFonts w:cs="Calibri"/>
          <w:spacing w:val="23"/>
          <w:sz w:val="24"/>
          <w:szCs w:val="24"/>
        </w:rPr>
        <w:t xml:space="preserve"> </w:t>
      </w:r>
      <w:r w:rsidRPr="008A5E2D">
        <w:rPr>
          <w:rFonts w:cs="Calibri"/>
          <w:spacing w:val="-1"/>
          <w:sz w:val="24"/>
          <w:szCs w:val="24"/>
        </w:rPr>
        <w:t>q</w:t>
      </w:r>
      <w:r w:rsidRPr="008A5E2D">
        <w:rPr>
          <w:rFonts w:cs="Calibri"/>
          <w:spacing w:val="1"/>
          <w:sz w:val="24"/>
          <w:szCs w:val="24"/>
        </w:rPr>
        <w:t>u</w:t>
      </w:r>
      <w:r w:rsidRPr="008A5E2D">
        <w:rPr>
          <w:rFonts w:cs="Calibri"/>
          <w:sz w:val="24"/>
          <w:szCs w:val="24"/>
        </w:rPr>
        <w:t>i</w:t>
      </w:r>
      <w:r w:rsidRPr="008A5E2D">
        <w:rPr>
          <w:rFonts w:cs="Calibri"/>
          <w:spacing w:val="22"/>
          <w:sz w:val="24"/>
          <w:szCs w:val="24"/>
        </w:rPr>
        <w:t xml:space="preserve"> </w:t>
      </w:r>
      <w:r w:rsidRPr="008A5E2D">
        <w:rPr>
          <w:rFonts w:cs="Calibri"/>
          <w:sz w:val="24"/>
          <w:szCs w:val="24"/>
        </w:rPr>
        <w:t>so</w:t>
      </w:r>
      <w:r w:rsidRPr="008A5E2D">
        <w:rPr>
          <w:rFonts w:cs="Calibri"/>
          <w:spacing w:val="1"/>
          <w:sz w:val="24"/>
          <w:szCs w:val="24"/>
        </w:rPr>
        <w:t>n</w:t>
      </w:r>
      <w:r w:rsidRPr="008A5E2D">
        <w:rPr>
          <w:rFonts w:cs="Calibri"/>
          <w:sz w:val="24"/>
          <w:szCs w:val="24"/>
        </w:rPr>
        <w:t>t</w:t>
      </w:r>
      <w:r w:rsidRPr="008A5E2D">
        <w:rPr>
          <w:rFonts w:cs="Calibri"/>
          <w:spacing w:val="23"/>
          <w:sz w:val="24"/>
          <w:szCs w:val="24"/>
        </w:rPr>
        <w:t xml:space="preserve"> </w:t>
      </w:r>
      <w:r w:rsidRPr="008A5E2D">
        <w:rPr>
          <w:rFonts w:cs="Calibri"/>
          <w:sz w:val="24"/>
          <w:szCs w:val="24"/>
        </w:rPr>
        <w:t>s</w:t>
      </w:r>
      <w:r w:rsidRPr="008A5E2D">
        <w:rPr>
          <w:rFonts w:cs="Calibri"/>
          <w:spacing w:val="-2"/>
          <w:sz w:val="24"/>
          <w:szCs w:val="24"/>
        </w:rPr>
        <w:t>o</w:t>
      </w:r>
      <w:r w:rsidRPr="008A5E2D">
        <w:rPr>
          <w:rFonts w:cs="Calibri"/>
          <w:spacing w:val="1"/>
          <w:sz w:val="24"/>
          <w:szCs w:val="24"/>
        </w:rPr>
        <w:t>u</w:t>
      </w:r>
      <w:r w:rsidRPr="008A5E2D">
        <w:rPr>
          <w:rFonts w:cs="Calibri"/>
          <w:sz w:val="24"/>
          <w:szCs w:val="24"/>
        </w:rPr>
        <w:t>s</w:t>
      </w:r>
      <w:r w:rsidRPr="008A5E2D">
        <w:rPr>
          <w:rFonts w:cs="Calibri"/>
          <w:spacing w:val="22"/>
          <w:sz w:val="24"/>
          <w:szCs w:val="24"/>
        </w:rPr>
        <w:t xml:space="preserve"> </w:t>
      </w:r>
      <w:r w:rsidRPr="008A5E2D">
        <w:rPr>
          <w:rFonts w:cs="Calibri"/>
          <w:sz w:val="24"/>
          <w:szCs w:val="24"/>
        </w:rPr>
        <w:t>ARV</w:t>
      </w:r>
      <w:r w:rsidRPr="008A5E2D">
        <w:rPr>
          <w:rFonts w:cs="Calibri"/>
          <w:spacing w:val="23"/>
          <w:sz w:val="24"/>
          <w:szCs w:val="24"/>
        </w:rPr>
        <w:t xml:space="preserve"> </w:t>
      </w:r>
      <w:r w:rsidRPr="008A5E2D">
        <w:rPr>
          <w:rFonts w:cs="Calibri"/>
          <w:sz w:val="24"/>
          <w:szCs w:val="24"/>
        </w:rPr>
        <w:t>est</w:t>
      </w:r>
      <w:r w:rsidRPr="008A5E2D">
        <w:rPr>
          <w:rFonts w:cs="Calibri"/>
          <w:spacing w:val="30"/>
          <w:sz w:val="24"/>
          <w:szCs w:val="24"/>
        </w:rPr>
        <w:t xml:space="preserve"> </w:t>
      </w:r>
      <w:r w:rsidRPr="008A5E2D">
        <w:rPr>
          <w:rFonts w:cs="Calibri"/>
          <w:spacing w:val="1"/>
          <w:sz w:val="24"/>
          <w:szCs w:val="24"/>
        </w:rPr>
        <w:t>p</w:t>
      </w:r>
      <w:r w:rsidRPr="008A5E2D">
        <w:rPr>
          <w:rFonts w:cs="Calibri"/>
          <w:spacing w:val="-2"/>
          <w:sz w:val="24"/>
          <w:szCs w:val="24"/>
        </w:rPr>
        <w:t>a</w:t>
      </w:r>
      <w:r w:rsidRPr="008A5E2D">
        <w:rPr>
          <w:rFonts w:cs="Calibri"/>
          <w:sz w:val="24"/>
          <w:szCs w:val="24"/>
        </w:rPr>
        <w:t>ssée</w:t>
      </w:r>
      <w:r w:rsidRPr="008A5E2D">
        <w:rPr>
          <w:rFonts w:cs="Calibri"/>
          <w:spacing w:val="23"/>
          <w:sz w:val="24"/>
          <w:szCs w:val="24"/>
        </w:rPr>
        <w:t xml:space="preserve"> </w:t>
      </w:r>
      <w:r w:rsidRPr="008A5E2D">
        <w:rPr>
          <w:rFonts w:cs="Calibri"/>
          <w:spacing w:val="1"/>
          <w:sz w:val="24"/>
          <w:szCs w:val="24"/>
        </w:rPr>
        <w:t>d</w:t>
      </w:r>
      <w:r w:rsidRPr="008A5E2D">
        <w:rPr>
          <w:rFonts w:cs="Calibri"/>
          <w:sz w:val="24"/>
          <w:szCs w:val="24"/>
        </w:rPr>
        <w:t>e</w:t>
      </w:r>
      <w:r w:rsidRPr="008A5E2D">
        <w:rPr>
          <w:rFonts w:cs="Calibri"/>
          <w:spacing w:val="23"/>
          <w:sz w:val="24"/>
          <w:szCs w:val="24"/>
        </w:rPr>
        <w:t xml:space="preserve"> </w:t>
      </w:r>
      <w:r w:rsidRPr="008A5E2D">
        <w:rPr>
          <w:rFonts w:cs="Calibri"/>
          <w:sz w:val="24"/>
          <w:szCs w:val="24"/>
        </w:rPr>
        <w:t>8</w:t>
      </w:r>
      <w:r w:rsidRPr="008A5E2D">
        <w:rPr>
          <w:rFonts w:cs="Calibri"/>
          <w:spacing w:val="1"/>
          <w:sz w:val="24"/>
          <w:szCs w:val="24"/>
        </w:rPr>
        <w:t>7</w:t>
      </w:r>
      <w:r w:rsidRPr="008A5E2D">
        <w:rPr>
          <w:rFonts w:cs="Calibri"/>
          <w:spacing w:val="-2"/>
          <w:sz w:val="24"/>
          <w:szCs w:val="24"/>
        </w:rPr>
        <w:t>,</w:t>
      </w:r>
      <w:r w:rsidRPr="008A5E2D">
        <w:rPr>
          <w:rFonts w:cs="Calibri"/>
          <w:sz w:val="24"/>
          <w:szCs w:val="24"/>
        </w:rPr>
        <w:t>1</w:t>
      </w:r>
      <w:r w:rsidRPr="008A5E2D">
        <w:rPr>
          <w:rFonts w:cs="Calibri"/>
          <w:spacing w:val="1"/>
          <w:sz w:val="24"/>
          <w:szCs w:val="24"/>
        </w:rPr>
        <w:t>4</w:t>
      </w:r>
      <w:r w:rsidRPr="008A5E2D">
        <w:rPr>
          <w:rFonts w:cs="Calibri"/>
          <w:sz w:val="24"/>
          <w:szCs w:val="24"/>
        </w:rPr>
        <w:t>%</w:t>
      </w:r>
      <w:r w:rsidRPr="008A5E2D">
        <w:rPr>
          <w:rFonts w:cs="Calibri"/>
          <w:spacing w:val="23"/>
          <w:sz w:val="24"/>
          <w:szCs w:val="24"/>
        </w:rPr>
        <w:t xml:space="preserve"> </w:t>
      </w:r>
      <w:r w:rsidRPr="008A5E2D">
        <w:rPr>
          <w:rFonts w:cs="Calibri"/>
          <w:sz w:val="24"/>
          <w:szCs w:val="24"/>
        </w:rPr>
        <w:t>en 2</w:t>
      </w:r>
      <w:r w:rsidRPr="008A5E2D">
        <w:rPr>
          <w:rFonts w:cs="Calibri"/>
          <w:spacing w:val="1"/>
          <w:sz w:val="24"/>
          <w:szCs w:val="24"/>
        </w:rPr>
        <w:t>0</w:t>
      </w:r>
      <w:r w:rsidRPr="008A5E2D">
        <w:rPr>
          <w:rFonts w:cs="Calibri"/>
          <w:sz w:val="24"/>
          <w:szCs w:val="24"/>
        </w:rPr>
        <w:t>13 à</w:t>
      </w:r>
      <w:r w:rsidRPr="008A5E2D">
        <w:rPr>
          <w:rFonts w:cs="Calibri"/>
          <w:spacing w:val="1"/>
          <w:sz w:val="24"/>
          <w:szCs w:val="24"/>
        </w:rPr>
        <w:t xml:space="preserve"> </w:t>
      </w:r>
      <w:r w:rsidRPr="008A5E2D">
        <w:rPr>
          <w:rFonts w:cs="Calibri"/>
          <w:spacing w:val="-2"/>
          <w:sz w:val="24"/>
          <w:szCs w:val="24"/>
        </w:rPr>
        <w:t>9</w:t>
      </w:r>
      <w:r w:rsidRPr="008A5E2D">
        <w:rPr>
          <w:rFonts w:cs="Calibri"/>
          <w:sz w:val="24"/>
          <w:szCs w:val="24"/>
        </w:rPr>
        <w:t>8</w:t>
      </w:r>
      <w:r w:rsidRPr="008A5E2D">
        <w:rPr>
          <w:rFonts w:cs="Calibri"/>
          <w:spacing w:val="1"/>
          <w:sz w:val="24"/>
          <w:szCs w:val="24"/>
        </w:rPr>
        <w:t xml:space="preserve"> </w:t>
      </w:r>
      <w:r w:rsidRPr="008A5E2D">
        <w:rPr>
          <w:rFonts w:cs="Calibri"/>
          <w:sz w:val="24"/>
          <w:szCs w:val="24"/>
        </w:rPr>
        <w:t xml:space="preserve">% </w:t>
      </w:r>
      <w:r w:rsidRPr="008A5E2D">
        <w:rPr>
          <w:rFonts w:cs="Calibri"/>
          <w:spacing w:val="-2"/>
          <w:sz w:val="24"/>
          <w:szCs w:val="24"/>
        </w:rPr>
        <w:t>e</w:t>
      </w:r>
      <w:r w:rsidRPr="008A5E2D">
        <w:rPr>
          <w:rFonts w:cs="Calibri"/>
          <w:sz w:val="24"/>
          <w:szCs w:val="24"/>
        </w:rPr>
        <w:t>n</w:t>
      </w:r>
      <w:r w:rsidRPr="008A5E2D">
        <w:rPr>
          <w:rFonts w:cs="Calibri"/>
          <w:spacing w:val="2"/>
          <w:sz w:val="24"/>
          <w:szCs w:val="24"/>
        </w:rPr>
        <w:t xml:space="preserve"> </w:t>
      </w:r>
      <w:r w:rsidRPr="008A5E2D">
        <w:rPr>
          <w:rFonts w:cs="Calibri"/>
          <w:spacing w:val="-2"/>
          <w:sz w:val="24"/>
          <w:szCs w:val="24"/>
        </w:rPr>
        <w:t>2</w:t>
      </w:r>
      <w:r w:rsidRPr="008A5E2D">
        <w:rPr>
          <w:rFonts w:cs="Calibri"/>
          <w:sz w:val="24"/>
          <w:szCs w:val="24"/>
        </w:rPr>
        <w:t>0</w:t>
      </w:r>
      <w:r w:rsidRPr="008A5E2D">
        <w:rPr>
          <w:rFonts w:cs="Calibri"/>
          <w:spacing w:val="1"/>
          <w:sz w:val="24"/>
          <w:szCs w:val="24"/>
        </w:rPr>
        <w:t>1</w:t>
      </w:r>
      <w:r w:rsidRPr="008A5E2D">
        <w:rPr>
          <w:rFonts w:cs="Calibri"/>
          <w:sz w:val="24"/>
          <w:szCs w:val="24"/>
        </w:rPr>
        <w:t>5</w:t>
      </w:r>
      <w:r w:rsidRPr="008A5E2D">
        <w:rPr>
          <w:rFonts w:cs="Calibri"/>
          <w:spacing w:val="-1"/>
          <w:sz w:val="24"/>
          <w:szCs w:val="24"/>
        </w:rPr>
        <w:t xml:space="preserve"> </w:t>
      </w:r>
      <w:r w:rsidRPr="008A5E2D">
        <w:rPr>
          <w:rFonts w:cs="Calibri"/>
          <w:spacing w:val="1"/>
          <w:sz w:val="24"/>
          <w:szCs w:val="24"/>
        </w:rPr>
        <w:t>(</w:t>
      </w:r>
      <w:r w:rsidRPr="008A5E2D">
        <w:rPr>
          <w:rFonts w:cs="Calibri"/>
          <w:spacing w:val="-1"/>
          <w:sz w:val="24"/>
          <w:szCs w:val="24"/>
        </w:rPr>
        <w:t>c</w:t>
      </w:r>
      <w:r w:rsidRPr="008A5E2D">
        <w:rPr>
          <w:rFonts w:cs="Calibri"/>
          <w:sz w:val="24"/>
          <w:szCs w:val="24"/>
        </w:rPr>
        <w:t>i</w:t>
      </w:r>
      <w:r w:rsidRPr="008A5E2D">
        <w:rPr>
          <w:rFonts w:cs="Calibri"/>
          <w:spacing w:val="-1"/>
          <w:sz w:val="24"/>
          <w:szCs w:val="24"/>
        </w:rPr>
        <w:t>b</w:t>
      </w:r>
      <w:r w:rsidRPr="008A5E2D">
        <w:rPr>
          <w:rFonts w:cs="Calibri"/>
          <w:sz w:val="24"/>
          <w:szCs w:val="24"/>
        </w:rPr>
        <w:t>le</w:t>
      </w:r>
      <w:r w:rsidRPr="008A5E2D">
        <w:rPr>
          <w:rFonts w:cs="Calibri"/>
          <w:spacing w:val="1"/>
          <w:sz w:val="24"/>
          <w:szCs w:val="24"/>
        </w:rPr>
        <w:t xml:space="preserve"> d</w:t>
      </w:r>
      <w:r w:rsidRPr="008A5E2D">
        <w:rPr>
          <w:rFonts w:cs="Calibri"/>
          <w:sz w:val="24"/>
          <w:szCs w:val="24"/>
        </w:rPr>
        <w:t>e</w:t>
      </w:r>
      <w:r w:rsidRPr="008A5E2D">
        <w:rPr>
          <w:rFonts w:cs="Calibri"/>
          <w:spacing w:val="-1"/>
          <w:sz w:val="24"/>
          <w:szCs w:val="24"/>
        </w:rPr>
        <w:t xml:space="preserve"> </w:t>
      </w:r>
      <w:r w:rsidRPr="008A5E2D">
        <w:rPr>
          <w:rFonts w:cs="Calibri"/>
          <w:sz w:val="24"/>
          <w:szCs w:val="24"/>
        </w:rPr>
        <w:t>9</w:t>
      </w:r>
      <w:r w:rsidRPr="008A5E2D">
        <w:rPr>
          <w:rFonts w:cs="Calibri"/>
          <w:spacing w:val="1"/>
          <w:sz w:val="24"/>
          <w:szCs w:val="24"/>
        </w:rPr>
        <w:t>2</w:t>
      </w:r>
      <w:r w:rsidRPr="008A5E2D">
        <w:rPr>
          <w:rFonts w:cs="Calibri"/>
          <w:spacing w:val="-2"/>
          <w:sz w:val="24"/>
          <w:szCs w:val="24"/>
        </w:rPr>
        <w:t>,</w:t>
      </w:r>
      <w:r w:rsidRPr="008A5E2D">
        <w:rPr>
          <w:rFonts w:cs="Calibri"/>
          <w:spacing w:val="2"/>
          <w:sz w:val="24"/>
          <w:szCs w:val="24"/>
        </w:rPr>
        <w:t>5</w:t>
      </w:r>
      <w:r w:rsidRPr="008A5E2D">
        <w:rPr>
          <w:rFonts w:cs="Calibri"/>
          <w:spacing w:val="-1"/>
          <w:sz w:val="24"/>
          <w:szCs w:val="24"/>
        </w:rPr>
        <w:t>%)</w:t>
      </w:r>
      <w:r w:rsidRPr="008A5E2D">
        <w:rPr>
          <w:rFonts w:cs="Calibri"/>
          <w:sz w:val="24"/>
          <w:szCs w:val="24"/>
        </w:rPr>
        <w:t>. Le taux</w:t>
      </w:r>
      <w:r>
        <w:rPr>
          <w:rStyle w:val="Appelnotedebasdep"/>
          <w:rFonts w:cs="Calibri"/>
          <w:sz w:val="24"/>
          <w:szCs w:val="24"/>
        </w:rPr>
        <w:footnoteReference w:id="19"/>
      </w:r>
      <w:r w:rsidRPr="008A5E2D">
        <w:rPr>
          <w:rFonts w:cs="Calibri"/>
          <w:sz w:val="24"/>
          <w:szCs w:val="24"/>
        </w:rPr>
        <w:t xml:space="preserve"> de notification des cas de tuberculose (tout cas y compris rechute) est passé de 31,1 en 2012 à 29,8 pour 100 000 en 2016.</w:t>
      </w:r>
    </w:p>
    <w:p w:rsidR="008A5E2D" w:rsidRDefault="008A5E2D"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8A5E2D">
        <w:rPr>
          <w:rFonts w:cstheme="minorHAnsi"/>
          <w:sz w:val="24"/>
          <w:szCs w:val="24"/>
        </w:rPr>
        <w:t>Les maladies tropicales négligées (MTN) sont des maladies transmissibles qui sévissent dans les pays pauvres. Au Burkina Faso, elles représentent 2,73% des consultations au niveau des formations sanitaires de base, et 1,79%</w:t>
      </w:r>
      <w:r w:rsidRPr="0033795D">
        <w:rPr>
          <w:vertAlign w:val="superscript"/>
        </w:rPr>
        <w:footnoteReference w:id="20"/>
      </w:r>
      <w:r w:rsidRPr="008A5E2D">
        <w:rPr>
          <w:rFonts w:cstheme="minorHAnsi"/>
          <w:sz w:val="24"/>
          <w:szCs w:val="24"/>
        </w:rPr>
        <w:t xml:space="preserve"> des  hospitalisations dans les CMA et Centres hospitaliers. La létalité est estimée à 1,87%. Les actions majeures découlent des plans stratégiques élaborés à cet effet et s’articulent autour des traitements de masse (TDM) des populations dans les zones concernées. L’évolution des résultats de la mise en œuvre des TDM de certaines MTN se présentent comme suit de 2012 à 2015 : filariose lymphatique 81,26% - 80,34% ; schistosomiase 101,88% - 95,80% ;  trachome 101,60% - 94,33%. Pour l’onchocercose, la couverture thérapeutique (TIDC) a évolué  entre 2012 à 2014 de 80,74% à 79,69% pour la région des Cascades et de 84,84% à 82,58% pour la région du Sud Ouest.</w:t>
      </w:r>
    </w:p>
    <w:p w:rsidR="008A5E2D" w:rsidRPr="002E4342" w:rsidRDefault="008A5E2D"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8A5E2D">
        <w:rPr>
          <w:rFonts w:cstheme="minorHAnsi"/>
          <w:color w:val="000000" w:themeColor="text1"/>
          <w:sz w:val="24"/>
          <w:szCs w:val="24"/>
        </w:rPr>
        <w:t xml:space="preserve">Tout </w:t>
      </w:r>
      <w:r w:rsidRPr="008A5E2D">
        <w:rPr>
          <w:rFonts w:cstheme="minorHAnsi"/>
          <w:sz w:val="24"/>
          <w:szCs w:val="24"/>
        </w:rPr>
        <w:t>comme</w:t>
      </w:r>
      <w:r w:rsidRPr="008A5E2D">
        <w:rPr>
          <w:rFonts w:cstheme="minorHAnsi"/>
          <w:color w:val="000000" w:themeColor="text1"/>
          <w:sz w:val="24"/>
          <w:szCs w:val="24"/>
        </w:rPr>
        <w:t xml:space="preserve"> les autres pays en développement, le Burkina Faso est en transition épidémiologique avec une importance de plus en plus accrue des maladies non transmissibles</w:t>
      </w:r>
      <w:r w:rsidR="00570FF7">
        <w:rPr>
          <w:rFonts w:cstheme="minorHAnsi"/>
          <w:color w:val="000000" w:themeColor="text1"/>
          <w:sz w:val="24"/>
          <w:szCs w:val="24"/>
        </w:rPr>
        <w:t xml:space="preserve"> dans la morbidité et la mortalité au Burkina Faso</w:t>
      </w:r>
      <w:r w:rsidRPr="008A5E2D">
        <w:rPr>
          <w:rFonts w:cstheme="minorHAnsi"/>
          <w:color w:val="000000" w:themeColor="text1"/>
          <w:sz w:val="24"/>
          <w:szCs w:val="24"/>
        </w:rPr>
        <w:t>. L’enquête S……… (STEPS)</w:t>
      </w:r>
      <w:r>
        <w:rPr>
          <w:rStyle w:val="Appelnotedebasdep"/>
          <w:rFonts w:cstheme="minorHAnsi"/>
          <w:color w:val="000000" w:themeColor="text1"/>
          <w:sz w:val="24"/>
          <w:szCs w:val="24"/>
        </w:rPr>
        <w:footnoteReference w:id="21"/>
      </w:r>
      <w:r w:rsidRPr="008A5E2D">
        <w:rPr>
          <w:rFonts w:cstheme="minorHAnsi"/>
          <w:color w:val="000000" w:themeColor="text1"/>
          <w:sz w:val="24"/>
          <w:szCs w:val="24"/>
        </w:rPr>
        <w:t xml:space="preserve"> a dressé un profil sur les facteurs de risques des maladies non transmissibles (MNT). Elle donne ainsi les prévalences respectives sur la consommation de tabac (19,8%), la consommation d’alcool (27,3%), la consommation insuffisante de </w:t>
      </w:r>
      <w:r w:rsidRPr="008A5E2D">
        <w:rPr>
          <w:rFonts w:cstheme="minorHAnsi"/>
          <w:sz w:val="24"/>
          <w:szCs w:val="24"/>
        </w:rPr>
        <w:t>fruits</w:t>
      </w:r>
      <w:r w:rsidRPr="008A5E2D">
        <w:rPr>
          <w:rFonts w:cstheme="minorHAnsi"/>
          <w:color w:val="000000" w:themeColor="text1"/>
          <w:sz w:val="24"/>
          <w:szCs w:val="24"/>
        </w:rPr>
        <w:t xml:space="preserve"> et légumes (95%), le niveau d’activité physique moyen (15,1%), les prévalences de l’obésité (4,5%) et du surpoids (13,4%), les prévalences de l’HTA (17,6%), du diabète (4,9%) et de l’hypercholestérolémie totale (3,5%). L’estimation des facteurs de risques combinés (de 3 à 5 facteurs de risques) dans la population générale est de 12,9%.</w:t>
      </w:r>
    </w:p>
    <w:p w:rsidR="002E4342" w:rsidRPr="008A5E2D" w:rsidRDefault="002E4342" w:rsidP="002E4342">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8A5E2D">
        <w:rPr>
          <w:sz w:val="24"/>
          <w:szCs w:val="24"/>
        </w:rPr>
        <w:lastRenderedPageBreak/>
        <w:t>La probabilité de consultation</w:t>
      </w:r>
      <w:r w:rsidRPr="003B29CC">
        <w:rPr>
          <w:rStyle w:val="Appelnotedebasdep"/>
          <w:sz w:val="24"/>
          <w:szCs w:val="24"/>
        </w:rPr>
        <w:footnoteReference w:id="22"/>
      </w:r>
      <w:r w:rsidRPr="008A5E2D">
        <w:rPr>
          <w:sz w:val="24"/>
          <w:szCs w:val="24"/>
        </w:rPr>
        <w:t xml:space="preserve"> des services/personnels de santé moderne en cas de problème de santé varie selon le niveau de vie des individus. Les individus les moins pauvres consultent plus les services modernes de santé comparés aux plus pauvres. En effet, les deux tiers des individus du 5ème quintile (65,6%) consultent un service/personnel de santé moderne en cas de besoin. Par contre, moins de la moitié des personnes du 1er quintile (43,7%) le fait. Au niveau national, la proportion des individus qui consultent un service de santé moderne en cas de problème de santé est de 57,0%. La majorité des </w:t>
      </w:r>
      <w:r w:rsidRPr="008A5E2D">
        <w:rPr>
          <w:rFonts w:cstheme="minorHAnsi"/>
          <w:sz w:val="24"/>
          <w:szCs w:val="24"/>
        </w:rPr>
        <w:t>individus les plus pauvres (1er quintile) ne consulte pas un service ou personnel de santé.</w:t>
      </w:r>
      <w:r w:rsidRPr="008A5E2D">
        <w:rPr>
          <w:rFonts w:ascii="Arial" w:hAnsi="Arial" w:cs="Arial"/>
          <w:sz w:val="24"/>
          <w:szCs w:val="24"/>
        </w:rPr>
        <w:t xml:space="preserve"> </w:t>
      </w:r>
    </w:p>
    <w:p w:rsidR="002E4342" w:rsidRDefault="002E4342" w:rsidP="002E4342">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8A5E2D">
        <w:rPr>
          <w:rFonts w:cstheme="minorHAnsi"/>
          <w:sz w:val="24"/>
          <w:szCs w:val="24"/>
        </w:rPr>
        <w:t>La principale</w:t>
      </w:r>
      <w:r>
        <w:rPr>
          <w:rStyle w:val="Appelnotedebasdep"/>
          <w:rFonts w:cstheme="minorHAnsi"/>
          <w:sz w:val="24"/>
          <w:szCs w:val="24"/>
        </w:rPr>
        <w:footnoteReference w:id="23"/>
      </w:r>
      <w:r w:rsidRPr="008A5E2D">
        <w:rPr>
          <w:rFonts w:cstheme="minorHAnsi"/>
          <w:sz w:val="24"/>
          <w:szCs w:val="24"/>
        </w:rPr>
        <w:t xml:space="preserve"> </w:t>
      </w:r>
      <w:r w:rsidRPr="008A5E2D">
        <w:rPr>
          <w:sz w:val="24"/>
          <w:szCs w:val="24"/>
        </w:rPr>
        <w:t>raison</w:t>
      </w:r>
      <w:r w:rsidRPr="008A5E2D">
        <w:rPr>
          <w:rFonts w:cstheme="minorHAnsi"/>
          <w:sz w:val="24"/>
          <w:szCs w:val="24"/>
        </w:rPr>
        <w:t xml:space="preserve"> avancée de non utilisation de service médical est l’automédication quel que soit le statut de pauvreté (70,3% chez les non pauvres et 68,3% chez les pauvres). La seconde raison évoquée est la non nécessité de recourir à un service de santé. </w:t>
      </w:r>
    </w:p>
    <w:p w:rsidR="00C73B47" w:rsidRDefault="0087134C" w:rsidP="004147B3">
      <w:pPr>
        <w:pStyle w:val="Titre3"/>
        <w:numPr>
          <w:ilvl w:val="2"/>
          <w:numId w:val="27"/>
        </w:numPr>
        <w:rPr>
          <w:sz w:val="24"/>
          <w:szCs w:val="24"/>
        </w:rPr>
      </w:pPr>
      <w:r>
        <w:rPr>
          <w:sz w:val="24"/>
          <w:szCs w:val="24"/>
        </w:rPr>
        <w:t>L</w:t>
      </w:r>
      <w:r w:rsidRPr="0087134C">
        <w:rPr>
          <w:sz w:val="24"/>
          <w:szCs w:val="24"/>
        </w:rPr>
        <w:t>'état nutritionnel de la population, en particulier des femmes et des enfants, est amélioré</w:t>
      </w:r>
    </w:p>
    <w:p w:rsidR="0087134C" w:rsidRDefault="0087134C" w:rsidP="0087134C"/>
    <w:p w:rsidR="00B939D7" w:rsidRDefault="00B939D7"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Pr>
          <w:rFonts w:cstheme="minorHAnsi"/>
          <w:sz w:val="24"/>
          <w:szCs w:val="24"/>
        </w:rPr>
        <w:t>L'état nutritionnel de la population dépend de : (i) l'apport calorique de la population soit sa sécurité alimentaire, (ii) l'accès aux micronutriments (iii) les pratiques d'allaitement, d'alimentation et d'hygiène, (iv) l'accès à l'eau potable, (v) l'efficacité de la prise en charge de la malnutrition et des maladies de l'enfant.</w:t>
      </w:r>
    </w:p>
    <w:p w:rsidR="00B939D7" w:rsidRDefault="00B939D7"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B939D7">
        <w:rPr>
          <w:rFonts w:cstheme="minorHAnsi"/>
          <w:sz w:val="24"/>
          <w:szCs w:val="24"/>
        </w:rPr>
        <w:t>L’analyse du bilan céréalier</w:t>
      </w:r>
      <w:r w:rsidR="008E51DC" w:rsidRPr="008E51DC">
        <w:rPr>
          <w:vertAlign w:val="superscript"/>
        </w:rPr>
        <w:footnoteReference w:id="24"/>
      </w:r>
      <w:r w:rsidRPr="00B939D7">
        <w:rPr>
          <w:rFonts w:cstheme="minorHAnsi"/>
          <w:sz w:val="24"/>
          <w:szCs w:val="24"/>
        </w:rPr>
        <w:t xml:space="preserve"> montre que la production céréalière a augmenté de 14,8% entre 2005 et 2015 en passant de 3 649 533 tonnes pour la campagne 2005/2006 à 4 189 665 tonnes en 2015/2016. Toutefois, cette évolution s’est faite en dents de scie se traduisant par un taux d’accroissement moyen annuel de 1,39%. L’analyse de la production céréalière sur la période montre que le sorgho est la principale spéculation céréalière, suivie du maïs, du mil, du riz et enfin du fonio. Néanmoins, la production de spéculations comme le maïs et le riz ont connu de fortes augmentations. En effet, la production de maïs est passée de 866 663 tonnes en 2006 à 1 469 612 tonnes en 2015 et celle de riz de 113 724 tonnes à 325 138 tonnes avec des taux d’accroissement annuel moyen respectifs de 6,28% et 13,27%. Cependant, cet accroissement de la production reste insuffisant pour satisfaire les besoins de consommation de plus en plus croissants d’une population qui est passée de 14 017 262 habitants en 2006 à 19,63 millions d’habitants en 2017</w:t>
      </w:r>
      <w:r>
        <w:rPr>
          <w:rStyle w:val="Appelnotedebasdep"/>
          <w:rFonts w:cstheme="minorHAnsi"/>
          <w:sz w:val="24"/>
          <w:szCs w:val="24"/>
        </w:rPr>
        <w:footnoteReference w:id="25"/>
      </w:r>
      <w:r w:rsidRPr="00B939D7">
        <w:rPr>
          <w:rFonts w:cstheme="minorHAnsi"/>
          <w:sz w:val="24"/>
          <w:szCs w:val="24"/>
        </w:rPr>
        <w:t>. En effet, durant la période 2006–2015, le taux moyen de couverture des besoins céréaliers est de 111% (en dessous du seuil excédentaire de 120%). Il passe de 96% en 2007 à 124% en 2012 pour s’établir à 99% en 2015. Ce taux évolue donc en dents de scie sur la période, ce qui dénote le caractère instable de la production agricole surtout céréalière qui est fortement tributaire des aléas climatiques.</w:t>
      </w:r>
    </w:p>
    <w:p w:rsidR="00B939D7" w:rsidRDefault="00B939D7"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B939D7">
        <w:rPr>
          <w:rFonts w:cstheme="minorHAnsi"/>
          <w:sz w:val="24"/>
          <w:szCs w:val="24"/>
        </w:rPr>
        <w:t xml:space="preserve">Le régime alimentaire burkinabé est essentiellement composé de céréales qui participent pour 67 à 70% à l'apport calorique total, de fruits et légumes, pour 1%, les racines et tubercules pour 1-2%, les oléagineux et autres légumineuses pour le reste. La consommation des produits animaux d’élevage est estimée en </w:t>
      </w:r>
      <w:r w:rsidRPr="00B939D7">
        <w:rPr>
          <w:rFonts w:cstheme="minorHAnsi"/>
          <w:sz w:val="24"/>
          <w:szCs w:val="24"/>
        </w:rPr>
        <w:lastRenderedPageBreak/>
        <w:t>moyenne/habitant/an approximativement à 9 kg de viande, 20 kg de lait et 8,4 œufs. La consommation normale des produits animaux contribue au bien être de l’organisme par apport de l’énergie, de protéine et surtout de micronutriments indispensables à son bon fonctionnement.</w:t>
      </w:r>
    </w:p>
    <w:p w:rsidR="00B939D7" w:rsidRDefault="00B939D7"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Pr>
          <w:rFonts w:cstheme="minorHAnsi"/>
          <w:sz w:val="24"/>
          <w:szCs w:val="24"/>
        </w:rPr>
        <w:t>La sous-</w:t>
      </w:r>
      <w:r w:rsidRPr="00B939D7">
        <w:rPr>
          <w:rFonts w:cstheme="minorHAnsi"/>
          <w:sz w:val="24"/>
          <w:szCs w:val="24"/>
        </w:rPr>
        <w:t xml:space="preserve">nutrition (retard de croissance, émaciation et carences en micronutriments) constitue une priorité nationale de santé publique et un défi en matière de développement. </w:t>
      </w:r>
      <w:r w:rsidR="00527481">
        <w:rPr>
          <w:rFonts w:cstheme="minorHAnsi"/>
          <w:sz w:val="24"/>
          <w:szCs w:val="24"/>
        </w:rPr>
        <w:t xml:space="preserve">En effet selon le rapport du global </w:t>
      </w:r>
      <w:proofErr w:type="spellStart"/>
      <w:r w:rsidR="00527481">
        <w:rPr>
          <w:rFonts w:cstheme="minorHAnsi"/>
          <w:sz w:val="24"/>
          <w:szCs w:val="24"/>
        </w:rPr>
        <w:t>burden</w:t>
      </w:r>
      <w:proofErr w:type="spellEnd"/>
      <w:r w:rsidR="00527481">
        <w:rPr>
          <w:rFonts w:cstheme="minorHAnsi"/>
          <w:sz w:val="24"/>
          <w:szCs w:val="24"/>
        </w:rPr>
        <w:t xml:space="preserve"> of </w:t>
      </w:r>
      <w:proofErr w:type="spellStart"/>
      <w:r w:rsidR="00527481">
        <w:rPr>
          <w:rFonts w:cstheme="minorHAnsi"/>
          <w:sz w:val="24"/>
          <w:szCs w:val="24"/>
        </w:rPr>
        <w:t>disease</w:t>
      </w:r>
      <w:proofErr w:type="spellEnd"/>
      <w:r w:rsidR="00527481">
        <w:rPr>
          <w:rFonts w:cstheme="minorHAnsi"/>
          <w:sz w:val="24"/>
          <w:szCs w:val="24"/>
        </w:rPr>
        <w:t xml:space="preserve"> de 2015, la malnutrition</w:t>
      </w:r>
      <w:r w:rsidR="00570FF7">
        <w:rPr>
          <w:rFonts w:cstheme="minorHAnsi"/>
          <w:sz w:val="24"/>
          <w:szCs w:val="24"/>
        </w:rPr>
        <w:t xml:space="preserve"> infantile et maternelle</w:t>
      </w:r>
      <w:r w:rsidR="00527481">
        <w:rPr>
          <w:rFonts w:cstheme="minorHAnsi"/>
          <w:sz w:val="24"/>
          <w:szCs w:val="24"/>
        </w:rPr>
        <w:t xml:space="preserve"> représente </w:t>
      </w:r>
      <w:r w:rsidR="00570FF7">
        <w:rPr>
          <w:rFonts w:cstheme="minorHAnsi"/>
          <w:sz w:val="24"/>
          <w:szCs w:val="24"/>
        </w:rPr>
        <w:t xml:space="preserve">largement </w:t>
      </w:r>
      <w:r w:rsidR="00527481">
        <w:rPr>
          <w:rFonts w:cstheme="minorHAnsi"/>
          <w:sz w:val="24"/>
          <w:szCs w:val="24"/>
        </w:rPr>
        <w:t xml:space="preserve">le premier facteur de morbidité et de mortalité au Burkina </w:t>
      </w:r>
      <w:proofErr w:type="spellStart"/>
      <w:r w:rsidR="00527481">
        <w:rPr>
          <w:rFonts w:cstheme="minorHAnsi"/>
          <w:sz w:val="24"/>
          <w:szCs w:val="24"/>
        </w:rPr>
        <w:t>faso</w:t>
      </w:r>
      <w:proofErr w:type="spellEnd"/>
      <w:r w:rsidR="00527481">
        <w:rPr>
          <w:rStyle w:val="Appelnotedebasdep"/>
          <w:rFonts w:cstheme="minorHAnsi"/>
          <w:sz w:val="24"/>
          <w:szCs w:val="24"/>
        </w:rPr>
        <w:footnoteReference w:id="26"/>
      </w:r>
      <w:r w:rsidR="00527481">
        <w:rPr>
          <w:rFonts w:cstheme="minorHAnsi"/>
          <w:sz w:val="24"/>
          <w:szCs w:val="24"/>
        </w:rPr>
        <w:t xml:space="preserve">. </w:t>
      </w:r>
      <w:r w:rsidRPr="00B939D7">
        <w:rPr>
          <w:rFonts w:cstheme="minorHAnsi"/>
          <w:sz w:val="24"/>
          <w:szCs w:val="24"/>
        </w:rPr>
        <w:t xml:space="preserve">La prévalence du retard de croissance reste encore très élevée, bien qu'ayant remarquablement régressé de 32% en 2009 à 27,3% en 2016. Malgré cette évolution au plan national, ces prévalences cachent des disparités au niveau régional. En effet, les régions, de l’Est, du Sahel, des Cascades et  du Centre ont des prévalences qui sont comprises entre 30 et 40% </w:t>
      </w:r>
      <w:r w:rsidRPr="00B939D7">
        <w:rPr>
          <w:rFonts w:cstheme="minorHAnsi"/>
          <w:sz w:val="24"/>
          <w:szCs w:val="24"/>
          <w:highlight w:val="yellow"/>
        </w:rPr>
        <w:t>……..OMS</w:t>
      </w:r>
      <w:r w:rsidRPr="00B939D7">
        <w:rPr>
          <w:rFonts w:cstheme="minorHAnsi"/>
          <w:sz w:val="24"/>
          <w:szCs w:val="24"/>
        </w:rPr>
        <w:t xml:space="preserve">. L’émaciation qui se caractérise par la malnutrition aigüe globale a une prévalence qui est passée de 11,3% à 7,6% de 2009 en 2016. Sur la même période, la prévalence de la forme sévère est passée de 3,1% en 2009 à 1,4% en 2016. </w:t>
      </w:r>
    </w:p>
    <w:p w:rsidR="00B939D7" w:rsidRPr="00CB16EC" w:rsidRDefault="00CB16EC"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CB16EC">
        <w:rPr>
          <w:rFonts w:cstheme="minorHAnsi"/>
          <w:noProof/>
          <w:color w:val="000000"/>
          <w:sz w:val="24"/>
          <w:szCs w:val="24"/>
        </w:rPr>
        <w:t>A ces différentes formes de malnutrition, s’ajoutent les carences en micronutriments. La carence en vitamine A, a une prévalence relative de 129 pour 1000 et une prévalence ajustée</w:t>
      </w:r>
      <w:r w:rsidR="008E51DC" w:rsidRPr="008E51DC">
        <w:rPr>
          <w:rFonts w:cstheme="minorHAnsi"/>
          <w:noProof/>
          <w:color w:val="000000"/>
          <w:sz w:val="24"/>
          <w:szCs w:val="24"/>
          <w:vertAlign w:val="superscript"/>
        </w:rPr>
        <w:footnoteReference w:id="27"/>
      </w:r>
      <w:r w:rsidRPr="00CB16EC">
        <w:rPr>
          <w:rFonts w:cstheme="minorHAnsi"/>
          <w:noProof/>
          <w:color w:val="000000"/>
          <w:sz w:val="24"/>
          <w:szCs w:val="24"/>
        </w:rPr>
        <w:t xml:space="preserve"> de la carence clinique traduite par la cécité nocturne estimée à 7%, donc bien supérieure à la norme de l’OMS (&lt; 5%). Pour ce qui est de la carence en fer, l’anémie toutes formes confondue touche</w:t>
      </w:r>
      <w:r w:rsidRPr="00CB16EC">
        <w:rPr>
          <w:rFonts w:cstheme="minorHAnsi"/>
          <w:noProof/>
          <w:color w:val="000000"/>
          <w:sz w:val="24"/>
          <w:szCs w:val="24"/>
        </w:rPr>
        <w:footnoteReference w:id="28"/>
      </w:r>
      <w:r w:rsidRPr="00CB16EC">
        <w:rPr>
          <w:rFonts w:cstheme="minorHAnsi"/>
          <w:noProof/>
          <w:color w:val="000000"/>
          <w:sz w:val="24"/>
          <w:szCs w:val="24"/>
        </w:rPr>
        <w:t xml:space="preserve"> 72,5% des femmes enceintes, 83,4% des enfants de 6-59 mois et 67,7% des enfants d’âge scolaire. En ce qui concerne la carence en iode, en l’absence d’étude de prévalence sur le goitre, L’ENIAB 2014, a montré que seulement 23% des ménages consomment du sel adéquatement iodé au Burkina Faso.  Ces résultats ont également montré qu’il existe des différences de couverture en sel adéquatement iodé dans les régions : une bonne couverture dans l'Ouest du pays et une faible couverture à l'Est du pays en fonction de la provenance du sel importé</w:t>
      </w:r>
      <w:r w:rsidR="00B939D7" w:rsidRPr="00CB16EC">
        <w:rPr>
          <w:rFonts w:cstheme="minorHAnsi"/>
          <w:sz w:val="24"/>
          <w:szCs w:val="24"/>
        </w:rPr>
        <w:t>.</w:t>
      </w:r>
    </w:p>
    <w:p w:rsidR="00B939D7" w:rsidRDefault="00B939D7"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B939D7">
        <w:rPr>
          <w:rFonts w:cstheme="minorHAnsi"/>
          <w:sz w:val="24"/>
          <w:szCs w:val="24"/>
        </w:rPr>
        <w:t>Les facteurs déterminants de la malnutrition et des carences en micronutriments sont essentiellement liés aux mauvaises pratiques d’allaitement et d’alimentation de complément,  à la précarité des soins apportés aux enfants, à la persistance des maladies parasitaires et infectieuses, au faible accès des services de santé et des services sociaux, à l’insuffisance d’accès à l’eau potable, à l’insalubrité des aliments et aux mauvaises pratiques en matière d’hygiène et à certains pesanteurs socioculturelles. Ces déterminants seraient eux-mêmes influencés par l’insécurité alimentaire des ménages dans certaines régions, le faible niveau d’éducation des mères, la pauvreté et la situation précaire de la femme. Ainsi, ces déterminants révèlent que la malnutrition est un problème transversal dont le dénouement requiert des actions multiformes et multisectorielles.</w:t>
      </w:r>
    </w:p>
    <w:p w:rsidR="00B939D7" w:rsidRDefault="00B939D7"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B939D7">
        <w:rPr>
          <w:rFonts w:cstheme="minorHAnsi"/>
          <w:sz w:val="24"/>
          <w:szCs w:val="24"/>
        </w:rPr>
        <w:t>Selon l’EMC</w:t>
      </w:r>
      <w:r>
        <w:rPr>
          <w:rStyle w:val="Appelnotedebasdep"/>
          <w:rFonts w:cstheme="minorHAnsi"/>
          <w:sz w:val="24"/>
          <w:szCs w:val="24"/>
        </w:rPr>
        <w:footnoteReference w:id="29"/>
      </w:r>
      <w:r w:rsidRPr="00B939D7">
        <w:rPr>
          <w:rFonts w:cstheme="minorHAnsi"/>
          <w:sz w:val="24"/>
          <w:szCs w:val="24"/>
        </w:rPr>
        <w:t xml:space="preserve"> 2014, 40,1% de la population (soit 7,17 millions d’habitants) vivant en dessous du seuil de pauvreté, constitue la frange la plus vulnérable à l’insécurité alimentaire et nutritionnelle. De plus, la récurrence des aléas climatiques (inondations et/ou sécheresse) conjuguée à la fluctuation des prix des produits alimentaires </w:t>
      </w:r>
      <w:r w:rsidRPr="00B939D7">
        <w:rPr>
          <w:rFonts w:cstheme="minorHAnsi"/>
          <w:sz w:val="24"/>
          <w:szCs w:val="24"/>
        </w:rPr>
        <w:lastRenderedPageBreak/>
        <w:t>accentuent cette vulnérabilité. Aussi, les résultats de l’analyse globale de la vulnérabilité, de la sécurité alimentaire et de la nutrition  de 2014, montrent que 20% des ménages sont en insécurité alimentaire soit plus de 3,5 millions de personnes.</w:t>
      </w:r>
    </w:p>
    <w:p w:rsidR="00B939D7" w:rsidRPr="00CB16EC" w:rsidRDefault="00CB16EC"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CB16EC">
        <w:rPr>
          <w:rFonts w:cstheme="minorHAnsi"/>
          <w:sz w:val="24"/>
          <w:szCs w:val="24"/>
        </w:rPr>
        <w:t xml:space="preserve">Dans les treize régions sanitaires, la prise en charge des cas de malnutrition aigüe parmi les enfants de 0-59 mois est assurée. Elle vise à réduire les risques de morbidité et de mortalité chez les enfants. Sur </w:t>
      </w:r>
      <w:r w:rsidRPr="00CB16EC">
        <w:rPr>
          <w:color w:val="000000"/>
          <w:sz w:val="24"/>
          <w:szCs w:val="24"/>
        </w:rPr>
        <w:t>186473 cas de malnutrition aigüe sévère attendus en 2016,</w:t>
      </w:r>
      <w:r w:rsidRPr="00CB16EC">
        <w:rPr>
          <w:rFonts w:cstheme="minorHAnsi"/>
          <w:sz w:val="24"/>
          <w:szCs w:val="24"/>
        </w:rPr>
        <w:t xml:space="preserve"> 119 252 cas ont bénéficié d’une prise en charge par les structures de soins avec un taux de guérison de 93%. Cette situation serait liée à une faiblesse dans la détection des cas de malnutrition (dépistage), à une insuffisance de ressources adéquates pour la prise en charge (Matériels anthropométriques, ban</w:t>
      </w:r>
      <w:r>
        <w:rPr>
          <w:rFonts w:cstheme="minorHAnsi"/>
          <w:sz w:val="24"/>
          <w:szCs w:val="24"/>
        </w:rPr>
        <w:t>delette de</w:t>
      </w:r>
      <w:r w:rsidRPr="00CB16EC">
        <w:rPr>
          <w:rFonts w:cstheme="minorHAnsi"/>
          <w:sz w:val="24"/>
          <w:szCs w:val="24"/>
        </w:rPr>
        <w:t xml:space="preserve"> Shakir, intrants et médicaments de prise en charge)</w:t>
      </w:r>
    </w:p>
    <w:p w:rsidR="00CB16EC" w:rsidRPr="00CB16EC" w:rsidRDefault="00CB16EC"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CB16EC">
        <w:rPr>
          <w:rFonts w:cstheme="minorHAnsi"/>
          <w:noProof/>
          <w:color w:val="000000"/>
          <w:sz w:val="24"/>
          <w:szCs w:val="24"/>
        </w:rPr>
        <w:t>Pour les cas des maladies chroniques liées à la nutrition, les résultats de l’enquête STEPS 2013, ont révélé que 13,4 % de la population présentait un surpoids et 4,5% une obèsité. Cette situation est plus préoccupante dans les régions du Centre et des Hauts bassins qui abritent les grandes villes (Ouagadougou et Bobo Dioulasso) dont les prévalences de surpoids sont respectivement de 30,6% et 22,7%. Par ailleurs, on note que 17,6% de la population âgées de 25-64 ans, présentait une hypertension artérielle et 4,9% souffrait de diabète.</w:t>
      </w:r>
    </w:p>
    <w:p w:rsidR="00B939D7" w:rsidRPr="00565DA9" w:rsidRDefault="00B939D7" w:rsidP="00B939D7">
      <w:pPr>
        <w:pStyle w:val="Style1"/>
        <w:spacing w:after="300" w:line="240" w:lineRule="auto"/>
        <w:rPr>
          <w:rFonts w:cstheme="minorHAnsi"/>
          <w:sz w:val="24"/>
          <w:szCs w:val="24"/>
          <w:highlight w:val="yellow"/>
        </w:rPr>
      </w:pPr>
    </w:p>
    <w:p w:rsidR="00B939D7" w:rsidRPr="00B939D7" w:rsidRDefault="00B939D7" w:rsidP="004147B3">
      <w:pPr>
        <w:pStyle w:val="Titre3"/>
        <w:numPr>
          <w:ilvl w:val="2"/>
          <w:numId w:val="27"/>
        </w:numPr>
        <w:rPr>
          <w:sz w:val="24"/>
          <w:szCs w:val="24"/>
        </w:rPr>
      </w:pPr>
      <w:r w:rsidRPr="00B939D7">
        <w:rPr>
          <w:sz w:val="24"/>
          <w:szCs w:val="24"/>
        </w:rPr>
        <w:t>Le processus d'accélération de la transition démographique pour déclencher le dividende démographique est réellement mis en mouvement</w:t>
      </w:r>
    </w:p>
    <w:p w:rsidR="00B939D7" w:rsidRPr="00043639" w:rsidRDefault="00B939D7" w:rsidP="00B939D7">
      <w:pPr>
        <w:jc w:val="both"/>
        <w:rPr>
          <w:rFonts w:cstheme="minorHAnsi"/>
          <w:sz w:val="24"/>
          <w:szCs w:val="24"/>
        </w:rPr>
      </w:pPr>
    </w:p>
    <w:p w:rsidR="00B939D7" w:rsidRDefault="00B939D7"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Pr>
          <w:rFonts w:cstheme="minorHAnsi"/>
          <w:sz w:val="24"/>
          <w:szCs w:val="24"/>
        </w:rPr>
        <w:t>L'accélération de la transition démographique et le déclenchement d'un dividende démographique sont tributaires de (i) l'accès géographique, culturel et financier aux services de planification familiale, (ii) les pratiques de mariage précoce et de grossesse précoce, (iii) la production d'une force de travail compétente et entreprenante</w:t>
      </w:r>
      <w:r w:rsidR="005D47E7">
        <w:rPr>
          <w:rFonts w:cstheme="minorHAnsi"/>
          <w:sz w:val="24"/>
          <w:szCs w:val="24"/>
        </w:rPr>
        <w:t xml:space="preserve"> avec la prise en compte de l'aspect genre</w:t>
      </w:r>
      <w:r>
        <w:rPr>
          <w:rFonts w:cstheme="minorHAnsi"/>
          <w:sz w:val="24"/>
          <w:szCs w:val="24"/>
        </w:rPr>
        <w:t>.</w:t>
      </w:r>
    </w:p>
    <w:p w:rsidR="00B939D7" w:rsidRDefault="00B939D7"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043639">
        <w:rPr>
          <w:rFonts w:cstheme="minorHAnsi"/>
          <w:sz w:val="24"/>
          <w:szCs w:val="24"/>
        </w:rPr>
        <w:t>Dans le domaine de la planification familiale</w:t>
      </w:r>
      <w:r w:rsidR="008E51DC" w:rsidRPr="008E51DC">
        <w:rPr>
          <w:vertAlign w:val="superscript"/>
        </w:rPr>
        <w:footnoteReference w:id="30"/>
      </w:r>
      <w:r w:rsidRPr="00043639">
        <w:rPr>
          <w:rFonts w:cstheme="minorHAnsi"/>
          <w:sz w:val="24"/>
          <w:szCs w:val="24"/>
        </w:rPr>
        <w:t>, les efforts ont porté sur le plan de la relance 2013-201</w:t>
      </w:r>
      <w:r>
        <w:rPr>
          <w:rFonts w:cstheme="minorHAnsi"/>
          <w:sz w:val="24"/>
          <w:szCs w:val="24"/>
        </w:rPr>
        <w:t>5</w:t>
      </w:r>
      <w:r w:rsidRPr="00043639">
        <w:rPr>
          <w:rFonts w:cstheme="minorHAnsi"/>
          <w:sz w:val="24"/>
          <w:szCs w:val="24"/>
        </w:rPr>
        <w:t>, la distribution à base communautaire des produits contraceptifs et le renforcement du dispositif national de sécurisation des produits de santé de la reproduction. La proportion des formations sanitaires offrant au moins trois méthodes contraceptives est passée de 89% en 2014 à 98,5% en 2015. Cependant, le taux d’utilisation des méthodes contraceptives a baissé passant de 34,3% en 2014 à 31,1% en 2015. Est-ce un recul réel ou un effet du changement du mode de calcul ? La proportion de couple-années de protection a connu une progression passant de 12,4% en 2011 à 22,3 % en 2015. Selon l’EMDS 2015, le taux de prévalence contraceptive moderne (</w:t>
      </w:r>
      <w:proofErr w:type="spellStart"/>
      <w:r w:rsidRPr="00043639">
        <w:rPr>
          <w:rFonts w:cstheme="minorHAnsi"/>
          <w:sz w:val="24"/>
          <w:szCs w:val="24"/>
        </w:rPr>
        <w:t>TPCm</w:t>
      </w:r>
      <w:proofErr w:type="spellEnd"/>
      <w:r w:rsidRPr="00043639">
        <w:rPr>
          <w:rFonts w:cstheme="minorHAnsi"/>
          <w:sz w:val="24"/>
          <w:szCs w:val="24"/>
        </w:rPr>
        <w:t>) est de 22,5% et l’indice synthétique de fécondité (ISF) est de 5,4 enfants par femme. Ce fort taux n’est pas sans conséquence sur l’autonomisation de la femme. En effet, le taux de dépendance économique est de 140% en 2009.</w:t>
      </w:r>
    </w:p>
    <w:p w:rsidR="00B939D7" w:rsidRDefault="00B939D7"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043639">
        <w:rPr>
          <w:rFonts w:cstheme="minorHAnsi"/>
          <w:sz w:val="24"/>
          <w:szCs w:val="24"/>
        </w:rPr>
        <w:t xml:space="preserve">Selon les résultats de l’Enquête Démographique et de Santé (EDS) de 2010, les femmes entrent en union à un âge précoce. Parmi les femmes âgées de 25-49 ans, une sur dix (10 %) était déjà en union en atteignant l’âge de 15 ans. Plus de la moitié (53%) étaient déjà en union en atteignant 18 ans. L’âge médian d’entrée en première </w:t>
      </w:r>
      <w:r w:rsidRPr="00043639">
        <w:rPr>
          <w:rFonts w:cstheme="minorHAnsi"/>
          <w:sz w:val="24"/>
          <w:szCs w:val="24"/>
        </w:rPr>
        <w:lastRenderedPageBreak/>
        <w:t xml:space="preserve">union des femmes de 25-49 ans est estimé à 17,8 ans. La pratique </w:t>
      </w:r>
      <w:r w:rsidRPr="00B939D7">
        <w:rPr>
          <w:bCs/>
        </w:rPr>
        <w:t>est plus répandue en milieu rural (63%) qu’en milieu urbain (22%)</w:t>
      </w:r>
      <w:r w:rsidRPr="00B939D7">
        <w:rPr>
          <w:rFonts w:cstheme="minorHAnsi"/>
          <w:sz w:val="24"/>
          <w:szCs w:val="24"/>
        </w:rPr>
        <w:t>.</w:t>
      </w:r>
      <w:r w:rsidRPr="00043639">
        <w:rPr>
          <w:rFonts w:cstheme="minorHAnsi"/>
          <w:sz w:val="24"/>
          <w:szCs w:val="24"/>
        </w:rPr>
        <w:t xml:space="preserve"> La région du Sahel vient en tête avec un âge médian de (16,1 ans), suivie respectivement des régions de l’Est (17,2 ans) et de la Boucle du </w:t>
      </w:r>
      <w:proofErr w:type="spellStart"/>
      <w:r w:rsidRPr="00043639">
        <w:rPr>
          <w:rFonts w:cstheme="minorHAnsi"/>
          <w:sz w:val="24"/>
          <w:szCs w:val="24"/>
        </w:rPr>
        <w:t>Mouhoun</w:t>
      </w:r>
      <w:proofErr w:type="spellEnd"/>
      <w:r w:rsidRPr="00043639">
        <w:rPr>
          <w:rFonts w:cstheme="minorHAnsi"/>
          <w:sz w:val="24"/>
          <w:szCs w:val="24"/>
        </w:rPr>
        <w:t xml:space="preserve"> (17,6 ans).</w:t>
      </w:r>
    </w:p>
    <w:p w:rsidR="00B939D7" w:rsidRDefault="00B939D7"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043639">
        <w:rPr>
          <w:rFonts w:cstheme="minorHAnsi"/>
          <w:sz w:val="24"/>
          <w:szCs w:val="24"/>
        </w:rPr>
        <w:t>Le phénomène des grossesses non désirée prend de l’ampleur surtout en milieu scolaire. Selon l’annuaire statistique du MASSN de 2015, on a dénombré 2800 cas de grossesses non désirées. Selon un rapport de l’OMS publié en 2012, les  accouchements suite aux grossesses non désirées des adolescentes âgées de 15 à 19 ans représentent 11% des naissances vivantes dans le monde.</w:t>
      </w:r>
    </w:p>
    <w:p w:rsidR="0087134C" w:rsidRDefault="00B939D7"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B939D7">
        <w:rPr>
          <w:rFonts w:cstheme="minorHAnsi"/>
          <w:sz w:val="24"/>
          <w:szCs w:val="24"/>
        </w:rPr>
        <w:t>La population active est composée d’hommes dans une proportion de 52,2%, contre 7,8% de femmes. La répartition des actifs au chômage par milieu de résidence confirme le fait que le chômage non seulement sévit dans le milieu urbain, mais aussi prédomine chez les masculins (9,6% contre 8,8% chez les féminins). Selon le RGPH de 2006, le taux de dépendance économique est de 174,4. Ainsi 100 personnes actives occupées ont à leur charge 174,4 personnes. Le taux de dépendance économique cache de profondes disparités selon le milieu de résidence: il est de 165,54% en milieu rural donc en dessous de la moyenne nationale de 174,41% parce que ce milieu a un taux d’activité plus important (80,22%). En milieu urbain, le taux de dépendance est plus élevé (210,88%), la ville comporte plus de chômeurs et d’inactifs. Au niveau région, il est de 143,3% pour le Centre-Sud et 251,5% pour le Sahel.</w:t>
      </w: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986FA2">
      <w:pPr>
        <w:widowControl w:val="0"/>
        <w:autoSpaceDE w:val="0"/>
        <w:autoSpaceDN w:val="0"/>
        <w:adjustRightInd w:val="0"/>
        <w:spacing w:after="0" w:line="240" w:lineRule="auto"/>
        <w:ind w:right="214"/>
        <w:jc w:val="both"/>
        <w:rPr>
          <w:rFonts w:cstheme="minorHAnsi"/>
          <w:sz w:val="24"/>
          <w:szCs w:val="24"/>
        </w:rPr>
      </w:pPr>
    </w:p>
    <w:p w:rsidR="00986FA2" w:rsidRDefault="00986FA2" w:rsidP="00700890">
      <w:pPr>
        <w:pStyle w:val="Titre2"/>
        <w:numPr>
          <w:ilvl w:val="1"/>
          <w:numId w:val="32"/>
        </w:numPr>
        <w:sectPr w:rsidR="00986FA2" w:rsidSect="004166E6">
          <w:footerReference w:type="default" r:id="rId10"/>
          <w:pgSz w:w="11906" w:h="16838"/>
          <w:pgMar w:top="1417" w:right="1417" w:bottom="1417" w:left="1417" w:header="708" w:footer="708" w:gutter="0"/>
          <w:cols w:space="708"/>
          <w:titlePg/>
          <w:docGrid w:linePitch="360"/>
        </w:sectPr>
      </w:pPr>
    </w:p>
    <w:p w:rsidR="00C46B35" w:rsidRPr="000614D2" w:rsidRDefault="000614D2" w:rsidP="004147B3">
      <w:pPr>
        <w:pStyle w:val="Titre2"/>
        <w:numPr>
          <w:ilvl w:val="1"/>
          <w:numId w:val="27"/>
        </w:numPr>
      </w:pPr>
      <w:r>
        <w:lastRenderedPageBreak/>
        <w:t>F</w:t>
      </w:r>
      <w:r w:rsidR="00986FA2">
        <w:t xml:space="preserve">orces, </w:t>
      </w:r>
      <w:r>
        <w:t>F</w:t>
      </w:r>
      <w:r w:rsidR="00C46B35" w:rsidRPr="000614D2">
        <w:t>aiblesses</w:t>
      </w:r>
      <w:r w:rsidR="00986FA2">
        <w:t>, Opportunités et Menaces</w:t>
      </w:r>
    </w:p>
    <w:p w:rsidR="000614D2" w:rsidRDefault="000614D2" w:rsidP="00C46B35">
      <w:pPr>
        <w:widowControl w:val="0"/>
        <w:autoSpaceDE w:val="0"/>
        <w:autoSpaceDN w:val="0"/>
        <w:adjustRightInd w:val="0"/>
        <w:spacing w:after="0" w:line="240" w:lineRule="auto"/>
        <w:ind w:left="116"/>
        <w:rPr>
          <w:rFonts w:cstheme="minorHAnsi"/>
          <w:color w:val="000000"/>
          <w:sz w:val="24"/>
          <w:szCs w:val="24"/>
        </w:rPr>
      </w:pPr>
    </w:p>
    <w:tbl>
      <w:tblPr>
        <w:tblStyle w:val="Grilledutableau"/>
        <w:tblW w:w="14430" w:type="dxa"/>
        <w:tblInd w:w="-572" w:type="dxa"/>
        <w:tblLook w:val="04A0"/>
      </w:tblPr>
      <w:tblGrid>
        <w:gridCol w:w="1733"/>
        <w:gridCol w:w="4050"/>
        <w:gridCol w:w="3969"/>
        <w:gridCol w:w="2410"/>
        <w:gridCol w:w="2268"/>
      </w:tblGrid>
      <w:tr w:rsidR="00986FA2" w:rsidRPr="00043639" w:rsidTr="00003A3C">
        <w:tc>
          <w:tcPr>
            <w:tcW w:w="1733" w:type="dxa"/>
          </w:tcPr>
          <w:p w:rsidR="00986FA2" w:rsidRPr="00574B22" w:rsidRDefault="00986FA2" w:rsidP="00003A3C">
            <w:pPr>
              <w:rPr>
                <w:rFonts w:cstheme="minorHAnsi"/>
                <w:sz w:val="20"/>
                <w:szCs w:val="20"/>
                <w:lang w:val="fr-BE"/>
              </w:rPr>
            </w:pPr>
            <w:r w:rsidRPr="00574B22">
              <w:rPr>
                <w:rFonts w:cstheme="minorHAnsi"/>
                <w:sz w:val="20"/>
                <w:szCs w:val="20"/>
                <w:lang w:val="fr-BE"/>
              </w:rPr>
              <w:t>Rubriques</w:t>
            </w:r>
          </w:p>
        </w:tc>
        <w:tc>
          <w:tcPr>
            <w:tcW w:w="4050" w:type="dxa"/>
          </w:tcPr>
          <w:p w:rsidR="00986FA2" w:rsidRPr="00574B22" w:rsidRDefault="00986FA2" w:rsidP="00003A3C">
            <w:pPr>
              <w:rPr>
                <w:rFonts w:cstheme="minorHAnsi"/>
                <w:sz w:val="20"/>
                <w:szCs w:val="20"/>
                <w:lang w:val="fr-BE"/>
              </w:rPr>
            </w:pPr>
            <w:r w:rsidRPr="00574B22">
              <w:rPr>
                <w:rFonts w:cstheme="minorHAnsi"/>
                <w:sz w:val="20"/>
                <w:szCs w:val="20"/>
                <w:lang w:val="fr-BE"/>
              </w:rPr>
              <w:t>Forces</w:t>
            </w:r>
          </w:p>
        </w:tc>
        <w:tc>
          <w:tcPr>
            <w:tcW w:w="3969" w:type="dxa"/>
          </w:tcPr>
          <w:p w:rsidR="00986FA2" w:rsidRPr="00574B22" w:rsidRDefault="00986FA2" w:rsidP="00003A3C">
            <w:pPr>
              <w:rPr>
                <w:rFonts w:cstheme="minorHAnsi"/>
                <w:sz w:val="20"/>
                <w:szCs w:val="20"/>
                <w:lang w:val="fr-BE"/>
              </w:rPr>
            </w:pPr>
            <w:r w:rsidRPr="00574B22">
              <w:rPr>
                <w:rFonts w:cstheme="minorHAnsi"/>
                <w:sz w:val="20"/>
                <w:szCs w:val="20"/>
                <w:lang w:val="fr-BE"/>
              </w:rPr>
              <w:t>Faiblesses</w:t>
            </w:r>
          </w:p>
        </w:tc>
        <w:tc>
          <w:tcPr>
            <w:tcW w:w="2410" w:type="dxa"/>
          </w:tcPr>
          <w:p w:rsidR="00986FA2" w:rsidRPr="00574B22" w:rsidRDefault="00986FA2" w:rsidP="00003A3C">
            <w:pPr>
              <w:rPr>
                <w:rFonts w:cstheme="minorHAnsi"/>
                <w:sz w:val="20"/>
                <w:szCs w:val="20"/>
                <w:lang w:val="fr-BE"/>
              </w:rPr>
            </w:pPr>
            <w:r w:rsidRPr="00574B22">
              <w:rPr>
                <w:rFonts w:cstheme="minorHAnsi"/>
                <w:sz w:val="20"/>
                <w:szCs w:val="20"/>
                <w:lang w:val="fr-BE"/>
              </w:rPr>
              <w:t>Opportunités</w:t>
            </w:r>
          </w:p>
        </w:tc>
        <w:tc>
          <w:tcPr>
            <w:tcW w:w="2268" w:type="dxa"/>
          </w:tcPr>
          <w:p w:rsidR="00986FA2" w:rsidRPr="00574B22" w:rsidRDefault="00986FA2" w:rsidP="00003A3C">
            <w:pPr>
              <w:rPr>
                <w:rFonts w:cstheme="minorHAnsi"/>
                <w:sz w:val="20"/>
                <w:szCs w:val="20"/>
                <w:lang w:val="fr-BE"/>
              </w:rPr>
            </w:pPr>
            <w:r w:rsidRPr="00574B22">
              <w:rPr>
                <w:rFonts w:cstheme="minorHAnsi"/>
                <w:sz w:val="20"/>
                <w:szCs w:val="20"/>
                <w:lang w:val="fr-BE"/>
              </w:rPr>
              <w:t>Menaces</w:t>
            </w:r>
          </w:p>
        </w:tc>
      </w:tr>
      <w:tr w:rsidR="00986FA2" w:rsidRPr="00043639" w:rsidTr="00003A3C">
        <w:tc>
          <w:tcPr>
            <w:tcW w:w="1733" w:type="dxa"/>
          </w:tcPr>
          <w:p w:rsidR="00986FA2" w:rsidRPr="00574B22" w:rsidRDefault="00986FA2" w:rsidP="00003A3C">
            <w:pPr>
              <w:rPr>
                <w:rFonts w:cstheme="minorHAnsi"/>
                <w:sz w:val="20"/>
                <w:szCs w:val="20"/>
                <w:lang w:val="fr-BE"/>
              </w:rPr>
            </w:pPr>
            <w:r w:rsidRPr="00574B22">
              <w:rPr>
                <w:rFonts w:cstheme="minorHAnsi"/>
                <w:sz w:val="20"/>
                <w:szCs w:val="20"/>
                <w:lang w:val="fr-BE"/>
              </w:rPr>
              <w:t>Périmètre du secteur et cadre institutionnel et organisationnel</w:t>
            </w:r>
          </w:p>
        </w:tc>
        <w:tc>
          <w:tcPr>
            <w:tcW w:w="4050" w:type="dxa"/>
          </w:tcPr>
          <w:p w:rsidR="00986FA2" w:rsidRPr="00574B22" w:rsidRDefault="00986FA2" w:rsidP="00003A3C">
            <w:pPr>
              <w:rPr>
                <w:rFonts w:cstheme="minorHAnsi"/>
                <w:sz w:val="20"/>
                <w:szCs w:val="20"/>
                <w:lang w:val="fr-BE"/>
              </w:rPr>
            </w:pPr>
            <w:r w:rsidRPr="00574B22">
              <w:rPr>
                <w:rFonts w:cstheme="minorHAnsi"/>
                <w:sz w:val="20"/>
                <w:szCs w:val="20"/>
                <w:lang w:val="fr-BE"/>
              </w:rPr>
              <w:t>.Organisation solide et éprouvé du système de santé</w:t>
            </w:r>
          </w:p>
          <w:p w:rsidR="00986FA2" w:rsidRPr="00574B22" w:rsidRDefault="00986FA2" w:rsidP="00003A3C">
            <w:pPr>
              <w:rPr>
                <w:rFonts w:cstheme="minorHAnsi"/>
                <w:sz w:val="20"/>
                <w:szCs w:val="20"/>
                <w:lang w:val="fr-BE"/>
              </w:rPr>
            </w:pPr>
            <w:r w:rsidRPr="00574B22">
              <w:rPr>
                <w:rFonts w:cstheme="minorHAnsi"/>
                <w:sz w:val="20"/>
                <w:szCs w:val="20"/>
                <w:lang w:val="fr-BE"/>
              </w:rPr>
              <w:t>(Organisation pyramidale)</w:t>
            </w:r>
          </w:p>
          <w:p w:rsidR="00986FA2" w:rsidRPr="00574B22" w:rsidRDefault="00986FA2" w:rsidP="00003A3C">
            <w:pPr>
              <w:rPr>
                <w:rFonts w:cstheme="minorHAnsi"/>
                <w:sz w:val="20"/>
                <w:szCs w:val="20"/>
                <w:lang w:val="fr-BE"/>
              </w:rPr>
            </w:pPr>
          </w:p>
          <w:p w:rsidR="00986FA2" w:rsidRPr="00574B22" w:rsidRDefault="00986FA2" w:rsidP="00003A3C">
            <w:pPr>
              <w:rPr>
                <w:rFonts w:cstheme="minorHAnsi"/>
                <w:sz w:val="20"/>
                <w:szCs w:val="20"/>
                <w:lang w:val="fr-BE"/>
              </w:rPr>
            </w:pPr>
            <w:r w:rsidRPr="00574B22">
              <w:rPr>
                <w:rFonts w:cstheme="minorHAnsi"/>
                <w:sz w:val="20"/>
                <w:szCs w:val="20"/>
                <w:lang w:val="fr-BE"/>
              </w:rPr>
              <w:t>.Appui des partenaires</w:t>
            </w:r>
          </w:p>
        </w:tc>
        <w:tc>
          <w:tcPr>
            <w:tcW w:w="3969" w:type="dxa"/>
          </w:tcPr>
          <w:p w:rsidR="00986FA2" w:rsidRPr="00574B22" w:rsidRDefault="00986FA2" w:rsidP="00003A3C">
            <w:pPr>
              <w:rPr>
                <w:rFonts w:cstheme="minorHAnsi"/>
                <w:sz w:val="20"/>
                <w:szCs w:val="20"/>
                <w:lang w:val="fr-BE"/>
              </w:rPr>
            </w:pPr>
            <w:r w:rsidRPr="00574B22">
              <w:rPr>
                <w:rFonts w:cstheme="minorHAnsi"/>
                <w:sz w:val="20"/>
                <w:szCs w:val="20"/>
                <w:lang w:val="fr-BE"/>
              </w:rPr>
              <w:t>.Non prise en compte de tous les intervenants pouvant impacter les déterminants de la santé</w:t>
            </w:r>
          </w:p>
          <w:p w:rsidR="00986FA2" w:rsidRPr="00574B22" w:rsidRDefault="00986FA2" w:rsidP="00003A3C">
            <w:pPr>
              <w:rPr>
                <w:rFonts w:cstheme="minorHAnsi"/>
                <w:sz w:val="20"/>
                <w:szCs w:val="20"/>
                <w:lang w:val="fr-BE"/>
              </w:rPr>
            </w:pPr>
            <w:r w:rsidRPr="00574B22">
              <w:rPr>
                <w:rFonts w:cstheme="minorHAnsi"/>
                <w:sz w:val="20"/>
                <w:szCs w:val="20"/>
                <w:lang w:val="fr-BE"/>
              </w:rPr>
              <w:t xml:space="preserve">.Insuffisance de textes appropriés régissant la circulation de l’information </w:t>
            </w:r>
          </w:p>
          <w:p w:rsidR="00986FA2" w:rsidRPr="00574B22" w:rsidRDefault="00986FA2" w:rsidP="00003A3C">
            <w:pPr>
              <w:rPr>
                <w:rFonts w:cstheme="minorHAnsi"/>
                <w:sz w:val="20"/>
                <w:szCs w:val="20"/>
                <w:lang w:eastAsia="en-GB"/>
              </w:rPr>
            </w:pPr>
            <w:r>
              <w:rPr>
                <w:rFonts w:cstheme="minorHAnsi"/>
                <w:sz w:val="20"/>
                <w:szCs w:val="20"/>
                <w:lang w:val="fr-BE"/>
              </w:rPr>
              <w:t>.</w:t>
            </w:r>
            <w:r w:rsidRPr="00574B22">
              <w:rPr>
                <w:rFonts w:cstheme="minorHAnsi"/>
                <w:sz w:val="20"/>
                <w:szCs w:val="20"/>
                <w:lang w:val="fr-BE"/>
              </w:rPr>
              <w:t xml:space="preserve">Faible </w:t>
            </w:r>
            <w:r w:rsidRPr="00574B22">
              <w:rPr>
                <w:rFonts w:cstheme="minorHAnsi"/>
                <w:sz w:val="20"/>
                <w:szCs w:val="20"/>
                <w:lang w:eastAsia="en-GB"/>
              </w:rPr>
              <w:t>synergie d’action</w:t>
            </w:r>
          </w:p>
          <w:p w:rsidR="00986FA2" w:rsidRDefault="00986FA2" w:rsidP="00003A3C">
            <w:pPr>
              <w:rPr>
                <w:rFonts w:cstheme="minorHAnsi"/>
                <w:sz w:val="20"/>
                <w:szCs w:val="20"/>
                <w:lang w:eastAsia="en-GB"/>
              </w:rPr>
            </w:pPr>
            <w:r w:rsidRPr="00574B22">
              <w:rPr>
                <w:rFonts w:cstheme="minorHAnsi"/>
                <w:sz w:val="20"/>
                <w:szCs w:val="20"/>
                <w:lang w:eastAsia="en-GB"/>
              </w:rPr>
              <w:t xml:space="preserve">.Chevauchement des attributions </w:t>
            </w:r>
          </w:p>
          <w:p w:rsidR="00986FA2" w:rsidRPr="00574B22" w:rsidRDefault="00986FA2" w:rsidP="00003A3C">
            <w:pPr>
              <w:rPr>
                <w:rFonts w:cstheme="minorHAnsi"/>
                <w:sz w:val="20"/>
                <w:szCs w:val="20"/>
                <w:lang w:val="fr-BE"/>
              </w:rPr>
            </w:pPr>
            <w:r w:rsidRPr="00574B22">
              <w:rPr>
                <w:rFonts w:cstheme="minorHAnsi"/>
                <w:sz w:val="20"/>
                <w:szCs w:val="20"/>
                <w:lang w:eastAsia="en-GB"/>
              </w:rPr>
              <w:t>.le manque de séparation des rôles et fonctions d’un système de santé</w:t>
            </w:r>
          </w:p>
        </w:tc>
        <w:tc>
          <w:tcPr>
            <w:tcW w:w="2410" w:type="dxa"/>
          </w:tcPr>
          <w:p w:rsidR="00986FA2" w:rsidRPr="00574B22" w:rsidRDefault="00986FA2" w:rsidP="00003A3C">
            <w:pPr>
              <w:rPr>
                <w:rFonts w:cstheme="minorHAnsi"/>
                <w:sz w:val="20"/>
                <w:szCs w:val="20"/>
                <w:lang w:val="fr-BE"/>
              </w:rPr>
            </w:pPr>
            <w:r w:rsidRPr="00574B22">
              <w:rPr>
                <w:rFonts w:cstheme="minorHAnsi"/>
                <w:sz w:val="20"/>
                <w:szCs w:val="20"/>
                <w:lang w:val="fr-BE"/>
              </w:rPr>
              <w:t>Volonté d’action et de synergie des acteurs</w:t>
            </w:r>
          </w:p>
        </w:tc>
        <w:tc>
          <w:tcPr>
            <w:tcW w:w="2268" w:type="dxa"/>
          </w:tcPr>
          <w:p w:rsidR="00986FA2" w:rsidRPr="00574B22" w:rsidRDefault="00986FA2" w:rsidP="00003A3C">
            <w:pPr>
              <w:rPr>
                <w:rFonts w:cstheme="minorHAnsi"/>
                <w:sz w:val="20"/>
                <w:szCs w:val="20"/>
                <w:lang w:val="fr-BE"/>
              </w:rPr>
            </w:pPr>
            <w:r w:rsidRPr="00574B22">
              <w:rPr>
                <w:rFonts w:cstheme="minorHAnsi"/>
                <w:sz w:val="20"/>
                <w:szCs w:val="20"/>
                <w:lang w:val="fr-BE"/>
              </w:rPr>
              <w:t>Non adhésion des acteurs n’assurant pas le leadership</w:t>
            </w:r>
          </w:p>
        </w:tc>
      </w:tr>
      <w:tr w:rsidR="00986FA2" w:rsidRPr="00043639" w:rsidTr="00003A3C">
        <w:tc>
          <w:tcPr>
            <w:tcW w:w="1733" w:type="dxa"/>
          </w:tcPr>
          <w:p w:rsidR="00986FA2" w:rsidRPr="00574B22" w:rsidRDefault="00986FA2" w:rsidP="00003A3C">
            <w:pPr>
              <w:rPr>
                <w:rFonts w:cstheme="minorHAnsi"/>
                <w:sz w:val="20"/>
                <w:szCs w:val="20"/>
                <w:lang w:val="fr-BE"/>
              </w:rPr>
            </w:pPr>
            <w:r w:rsidRPr="00574B22">
              <w:rPr>
                <w:rFonts w:cstheme="minorHAnsi"/>
                <w:sz w:val="20"/>
                <w:szCs w:val="20"/>
                <w:lang w:val="fr-BE"/>
              </w:rPr>
              <w:t>Ressources humaines</w:t>
            </w:r>
          </w:p>
        </w:tc>
        <w:tc>
          <w:tcPr>
            <w:tcW w:w="4050" w:type="dxa"/>
          </w:tcPr>
          <w:p w:rsidR="00986FA2" w:rsidRPr="00574B22" w:rsidRDefault="00986FA2" w:rsidP="00003A3C">
            <w:pPr>
              <w:rPr>
                <w:rFonts w:cstheme="minorHAnsi"/>
                <w:sz w:val="20"/>
                <w:szCs w:val="20"/>
                <w:lang w:val="fr-BE"/>
              </w:rPr>
            </w:pPr>
            <w:r>
              <w:rPr>
                <w:rFonts w:cstheme="minorHAnsi"/>
                <w:sz w:val="20"/>
                <w:szCs w:val="20"/>
                <w:lang w:val="fr-BE"/>
              </w:rPr>
              <w:t>Important e</w:t>
            </w:r>
            <w:r w:rsidRPr="00574B22">
              <w:rPr>
                <w:rFonts w:cstheme="minorHAnsi"/>
                <w:sz w:val="20"/>
                <w:szCs w:val="20"/>
                <w:lang w:val="fr-BE"/>
              </w:rPr>
              <w:t>ffort de recrutement</w:t>
            </w:r>
            <w:r>
              <w:rPr>
                <w:rFonts w:cstheme="minorHAnsi"/>
                <w:sz w:val="20"/>
                <w:szCs w:val="20"/>
                <w:lang w:val="fr-BE"/>
              </w:rPr>
              <w:t xml:space="preserve"> </w:t>
            </w:r>
          </w:p>
          <w:p w:rsidR="00986FA2" w:rsidRPr="00574B22" w:rsidRDefault="00986FA2" w:rsidP="00003A3C">
            <w:pPr>
              <w:rPr>
                <w:rFonts w:cstheme="minorHAnsi"/>
                <w:sz w:val="20"/>
                <w:szCs w:val="20"/>
                <w:lang w:val="fr-BE"/>
              </w:rPr>
            </w:pPr>
            <w:r w:rsidRPr="00574B22">
              <w:rPr>
                <w:rFonts w:cstheme="minorHAnsi"/>
                <w:sz w:val="20"/>
                <w:szCs w:val="20"/>
                <w:lang w:val="fr-BE"/>
              </w:rPr>
              <w:t xml:space="preserve">Implication de l’OOAS avec la définition des curricula </w:t>
            </w:r>
          </w:p>
        </w:tc>
        <w:tc>
          <w:tcPr>
            <w:tcW w:w="3969" w:type="dxa"/>
          </w:tcPr>
          <w:p w:rsidR="00986FA2" w:rsidRPr="00574B22" w:rsidRDefault="00986FA2" w:rsidP="00003A3C">
            <w:pPr>
              <w:rPr>
                <w:rFonts w:cstheme="minorHAnsi"/>
                <w:sz w:val="20"/>
                <w:szCs w:val="20"/>
                <w:lang w:val="fr-BE"/>
              </w:rPr>
            </w:pPr>
            <w:r w:rsidRPr="00574B22">
              <w:rPr>
                <w:rFonts w:cstheme="minorHAnsi"/>
                <w:sz w:val="20"/>
                <w:szCs w:val="20"/>
                <w:lang w:val="fr-BE"/>
              </w:rPr>
              <w:t>.Inégale répartition</w:t>
            </w:r>
            <w:r>
              <w:rPr>
                <w:rFonts w:cstheme="minorHAnsi"/>
                <w:sz w:val="20"/>
                <w:szCs w:val="20"/>
                <w:lang w:val="fr-BE"/>
              </w:rPr>
              <w:t xml:space="preserve"> du personnel de santé</w:t>
            </w:r>
          </w:p>
          <w:p w:rsidR="00986FA2" w:rsidRPr="00574B22" w:rsidRDefault="00986FA2" w:rsidP="00003A3C">
            <w:pPr>
              <w:rPr>
                <w:rFonts w:cstheme="minorHAnsi"/>
                <w:sz w:val="20"/>
                <w:szCs w:val="20"/>
                <w:lang w:val="fr-BE"/>
              </w:rPr>
            </w:pPr>
            <w:r w:rsidRPr="00574B22">
              <w:rPr>
                <w:rFonts w:cstheme="minorHAnsi"/>
                <w:sz w:val="20"/>
                <w:szCs w:val="20"/>
                <w:lang w:val="fr-BE"/>
              </w:rPr>
              <w:t>.Insuffisance de la formation initiale</w:t>
            </w:r>
          </w:p>
        </w:tc>
        <w:tc>
          <w:tcPr>
            <w:tcW w:w="2410" w:type="dxa"/>
          </w:tcPr>
          <w:p w:rsidR="00986FA2" w:rsidRPr="00574B22" w:rsidRDefault="00986FA2" w:rsidP="00003A3C">
            <w:pPr>
              <w:rPr>
                <w:rFonts w:cstheme="minorHAnsi"/>
                <w:sz w:val="20"/>
                <w:szCs w:val="20"/>
                <w:lang w:val="fr-BE"/>
              </w:rPr>
            </w:pPr>
            <w:r w:rsidRPr="00574B22">
              <w:rPr>
                <w:rFonts w:cstheme="minorHAnsi"/>
                <w:sz w:val="20"/>
                <w:szCs w:val="20"/>
                <w:lang w:val="fr-BE"/>
              </w:rPr>
              <w:t>Reforme hospitalière</w:t>
            </w:r>
          </w:p>
          <w:p w:rsidR="00986FA2" w:rsidRPr="00574B22" w:rsidRDefault="00986FA2" w:rsidP="00003A3C">
            <w:pPr>
              <w:rPr>
                <w:rFonts w:cstheme="minorHAnsi"/>
                <w:sz w:val="20"/>
                <w:szCs w:val="20"/>
                <w:lang w:val="fr-BE"/>
              </w:rPr>
            </w:pPr>
            <w:r w:rsidRPr="00574B22">
              <w:rPr>
                <w:rFonts w:cstheme="minorHAnsi"/>
                <w:sz w:val="20"/>
                <w:szCs w:val="20"/>
                <w:lang w:val="fr-BE"/>
              </w:rPr>
              <w:t>Mise en œuvre AMU</w:t>
            </w:r>
          </w:p>
        </w:tc>
        <w:tc>
          <w:tcPr>
            <w:tcW w:w="2268" w:type="dxa"/>
          </w:tcPr>
          <w:p w:rsidR="00986FA2" w:rsidRPr="00574B22" w:rsidRDefault="00986FA2" w:rsidP="00003A3C">
            <w:pPr>
              <w:rPr>
                <w:rFonts w:cstheme="minorHAnsi"/>
                <w:sz w:val="20"/>
                <w:szCs w:val="20"/>
                <w:lang w:val="fr-BE"/>
              </w:rPr>
            </w:pPr>
            <w:r w:rsidRPr="00574B22">
              <w:rPr>
                <w:rFonts w:cstheme="minorHAnsi"/>
                <w:sz w:val="20"/>
                <w:szCs w:val="20"/>
                <w:lang w:val="fr-BE"/>
              </w:rPr>
              <w:t>Pression des politiques</w:t>
            </w:r>
          </w:p>
        </w:tc>
      </w:tr>
      <w:tr w:rsidR="00986FA2" w:rsidRPr="00043639" w:rsidTr="00003A3C">
        <w:tc>
          <w:tcPr>
            <w:tcW w:w="1733" w:type="dxa"/>
            <w:vMerge w:val="restart"/>
          </w:tcPr>
          <w:p w:rsidR="00986FA2" w:rsidRPr="00574B22" w:rsidRDefault="00986FA2" w:rsidP="00003A3C">
            <w:pPr>
              <w:rPr>
                <w:rFonts w:cstheme="minorHAnsi"/>
                <w:sz w:val="20"/>
                <w:szCs w:val="20"/>
                <w:lang w:val="fr-BE"/>
              </w:rPr>
            </w:pPr>
            <w:r w:rsidRPr="00574B22">
              <w:rPr>
                <w:rFonts w:cstheme="minorHAnsi"/>
                <w:sz w:val="20"/>
                <w:szCs w:val="20"/>
                <w:lang w:val="fr-BE"/>
              </w:rPr>
              <w:t>Médicaments, réactifs de laboratoire et produits sanguins labiles</w:t>
            </w:r>
          </w:p>
        </w:tc>
        <w:tc>
          <w:tcPr>
            <w:tcW w:w="4050" w:type="dxa"/>
          </w:tcPr>
          <w:p w:rsidR="00986FA2" w:rsidRPr="00574B22" w:rsidRDefault="00986FA2" w:rsidP="00003A3C">
            <w:pPr>
              <w:rPr>
                <w:rFonts w:cstheme="minorHAnsi"/>
                <w:sz w:val="20"/>
                <w:szCs w:val="20"/>
                <w:lang w:val="fr-BE"/>
              </w:rPr>
            </w:pPr>
            <w:r w:rsidRPr="00574B22">
              <w:rPr>
                <w:rFonts w:cstheme="minorHAnsi"/>
                <w:sz w:val="20"/>
                <w:szCs w:val="20"/>
                <w:lang w:val="fr-BE"/>
              </w:rPr>
              <w:t>Mise en place d’un mécanisme multisectoriel de lutte contre les faux médicaments</w:t>
            </w:r>
          </w:p>
        </w:tc>
        <w:tc>
          <w:tcPr>
            <w:tcW w:w="3969" w:type="dxa"/>
          </w:tcPr>
          <w:p w:rsidR="00986FA2" w:rsidRPr="00574B22" w:rsidRDefault="00986FA2" w:rsidP="00003A3C">
            <w:pPr>
              <w:rPr>
                <w:rFonts w:cstheme="minorHAnsi"/>
                <w:sz w:val="20"/>
                <w:szCs w:val="20"/>
              </w:rPr>
            </w:pPr>
            <w:r w:rsidRPr="00574B22">
              <w:rPr>
                <w:rFonts w:cstheme="minorHAnsi"/>
                <w:spacing w:val="-1"/>
                <w:sz w:val="20"/>
                <w:szCs w:val="20"/>
              </w:rPr>
              <w:t>.Insuffisance de la c</w:t>
            </w:r>
            <w:r w:rsidRPr="00574B22">
              <w:rPr>
                <w:rFonts w:cstheme="minorHAnsi"/>
                <w:sz w:val="20"/>
                <w:szCs w:val="20"/>
              </w:rPr>
              <w:t>o</w:t>
            </w:r>
            <w:r w:rsidRPr="00574B22">
              <w:rPr>
                <w:rFonts w:cstheme="minorHAnsi"/>
                <w:spacing w:val="1"/>
                <w:sz w:val="20"/>
                <w:szCs w:val="20"/>
              </w:rPr>
              <w:t>nt</w:t>
            </w:r>
            <w:r w:rsidRPr="00574B22">
              <w:rPr>
                <w:rFonts w:cstheme="minorHAnsi"/>
                <w:sz w:val="20"/>
                <w:szCs w:val="20"/>
              </w:rPr>
              <w:t>r</w:t>
            </w:r>
            <w:r w:rsidRPr="00574B22">
              <w:rPr>
                <w:rFonts w:cstheme="minorHAnsi"/>
                <w:spacing w:val="-2"/>
                <w:sz w:val="20"/>
                <w:szCs w:val="20"/>
              </w:rPr>
              <w:t>i</w:t>
            </w:r>
            <w:r w:rsidRPr="00574B22">
              <w:rPr>
                <w:rFonts w:cstheme="minorHAnsi"/>
                <w:spacing w:val="1"/>
                <w:sz w:val="20"/>
                <w:szCs w:val="20"/>
              </w:rPr>
              <w:t>b</w:t>
            </w:r>
            <w:r w:rsidRPr="00574B22">
              <w:rPr>
                <w:rFonts w:cstheme="minorHAnsi"/>
                <w:spacing w:val="-1"/>
                <w:sz w:val="20"/>
                <w:szCs w:val="20"/>
              </w:rPr>
              <w:t>u</w:t>
            </w:r>
            <w:r w:rsidRPr="00574B22">
              <w:rPr>
                <w:rFonts w:cstheme="minorHAnsi"/>
                <w:spacing w:val="1"/>
                <w:sz w:val="20"/>
                <w:szCs w:val="20"/>
              </w:rPr>
              <w:t>t</w:t>
            </w:r>
            <w:r w:rsidRPr="00574B22">
              <w:rPr>
                <w:rFonts w:cstheme="minorHAnsi"/>
                <w:sz w:val="20"/>
                <w:szCs w:val="20"/>
              </w:rPr>
              <w:t>ion</w:t>
            </w:r>
            <w:r w:rsidRPr="00574B22">
              <w:rPr>
                <w:rFonts w:cstheme="minorHAnsi"/>
                <w:spacing w:val="4"/>
                <w:sz w:val="20"/>
                <w:szCs w:val="20"/>
              </w:rPr>
              <w:t xml:space="preserve"> </w:t>
            </w:r>
            <w:r w:rsidRPr="00574B22">
              <w:rPr>
                <w:rFonts w:cstheme="minorHAnsi"/>
                <w:spacing w:val="1"/>
                <w:sz w:val="20"/>
                <w:szCs w:val="20"/>
              </w:rPr>
              <w:t>d</w:t>
            </w:r>
            <w:r w:rsidRPr="00574B22">
              <w:rPr>
                <w:rFonts w:cstheme="minorHAnsi"/>
                <w:sz w:val="20"/>
                <w:szCs w:val="20"/>
              </w:rPr>
              <w:t>e</w:t>
            </w:r>
            <w:r w:rsidRPr="00574B22">
              <w:rPr>
                <w:rFonts w:cstheme="minorHAnsi"/>
                <w:spacing w:val="2"/>
                <w:sz w:val="20"/>
                <w:szCs w:val="20"/>
              </w:rPr>
              <w:t xml:space="preserve"> </w:t>
            </w:r>
            <w:r w:rsidRPr="00574B22">
              <w:rPr>
                <w:rFonts w:cstheme="minorHAnsi"/>
                <w:sz w:val="20"/>
                <w:szCs w:val="20"/>
              </w:rPr>
              <w:t>l'E</w:t>
            </w:r>
            <w:r w:rsidRPr="00574B22">
              <w:rPr>
                <w:rFonts w:cstheme="minorHAnsi"/>
                <w:spacing w:val="1"/>
                <w:sz w:val="20"/>
                <w:szCs w:val="20"/>
              </w:rPr>
              <w:t>t</w:t>
            </w:r>
            <w:r w:rsidRPr="00574B22">
              <w:rPr>
                <w:rFonts w:cstheme="minorHAnsi"/>
                <w:spacing w:val="-2"/>
                <w:sz w:val="20"/>
                <w:szCs w:val="20"/>
              </w:rPr>
              <w:t>a</w:t>
            </w:r>
            <w:r w:rsidRPr="00574B22">
              <w:rPr>
                <w:rFonts w:cstheme="minorHAnsi"/>
                <w:sz w:val="20"/>
                <w:szCs w:val="20"/>
              </w:rPr>
              <w:t>t</w:t>
            </w:r>
            <w:r w:rsidRPr="00574B22">
              <w:rPr>
                <w:rFonts w:cstheme="minorHAnsi"/>
                <w:spacing w:val="5"/>
                <w:sz w:val="20"/>
                <w:szCs w:val="20"/>
              </w:rPr>
              <w:t xml:space="preserve"> </w:t>
            </w:r>
            <w:r w:rsidRPr="00574B22">
              <w:rPr>
                <w:rFonts w:cstheme="minorHAnsi"/>
                <w:spacing w:val="-1"/>
                <w:sz w:val="20"/>
                <w:szCs w:val="20"/>
              </w:rPr>
              <w:t>p</w:t>
            </w:r>
            <w:r w:rsidRPr="00574B22">
              <w:rPr>
                <w:rFonts w:cstheme="minorHAnsi"/>
                <w:sz w:val="20"/>
                <w:szCs w:val="20"/>
              </w:rPr>
              <w:t>o</w:t>
            </w:r>
            <w:r w:rsidRPr="00574B22">
              <w:rPr>
                <w:rFonts w:cstheme="minorHAnsi"/>
                <w:spacing w:val="1"/>
                <w:sz w:val="20"/>
                <w:szCs w:val="20"/>
              </w:rPr>
              <w:t>u</w:t>
            </w:r>
            <w:r w:rsidRPr="00574B22">
              <w:rPr>
                <w:rFonts w:cstheme="minorHAnsi"/>
                <w:sz w:val="20"/>
                <w:szCs w:val="20"/>
              </w:rPr>
              <w:t>r</w:t>
            </w:r>
            <w:r w:rsidRPr="00574B22">
              <w:rPr>
                <w:rFonts w:cstheme="minorHAnsi"/>
                <w:spacing w:val="5"/>
                <w:sz w:val="20"/>
                <w:szCs w:val="20"/>
              </w:rPr>
              <w:t xml:space="preserve"> </w:t>
            </w:r>
            <w:r w:rsidRPr="00574B22">
              <w:rPr>
                <w:rFonts w:cstheme="minorHAnsi"/>
                <w:sz w:val="20"/>
                <w:szCs w:val="20"/>
              </w:rPr>
              <w:t>l'ac</w:t>
            </w:r>
            <w:r w:rsidRPr="00574B22">
              <w:rPr>
                <w:rFonts w:cstheme="minorHAnsi"/>
                <w:spacing w:val="1"/>
                <w:sz w:val="20"/>
                <w:szCs w:val="20"/>
              </w:rPr>
              <w:t>h</w:t>
            </w:r>
            <w:r w:rsidRPr="00574B22">
              <w:rPr>
                <w:rFonts w:cstheme="minorHAnsi"/>
                <w:spacing w:val="-2"/>
                <w:sz w:val="20"/>
                <w:szCs w:val="20"/>
              </w:rPr>
              <w:t>a</w:t>
            </w:r>
            <w:r w:rsidRPr="00574B22">
              <w:rPr>
                <w:rFonts w:cstheme="minorHAnsi"/>
                <w:sz w:val="20"/>
                <w:szCs w:val="20"/>
              </w:rPr>
              <w:t>t des intrants</w:t>
            </w:r>
          </w:p>
          <w:p w:rsidR="00986FA2" w:rsidRPr="00574B22" w:rsidRDefault="00986FA2" w:rsidP="00003A3C">
            <w:pPr>
              <w:rPr>
                <w:rFonts w:cstheme="minorHAnsi"/>
                <w:sz w:val="20"/>
                <w:szCs w:val="20"/>
                <w:lang w:val="fr-BE"/>
              </w:rPr>
            </w:pPr>
            <w:r w:rsidRPr="00574B22">
              <w:rPr>
                <w:rFonts w:cstheme="minorHAnsi"/>
                <w:sz w:val="20"/>
                <w:szCs w:val="20"/>
              </w:rPr>
              <w:t>.Instabilité institutionnelle CAMEG</w:t>
            </w:r>
          </w:p>
        </w:tc>
        <w:tc>
          <w:tcPr>
            <w:tcW w:w="2410" w:type="dxa"/>
          </w:tcPr>
          <w:p w:rsidR="00986FA2" w:rsidRPr="00574B22" w:rsidRDefault="00986FA2" w:rsidP="00003A3C">
            <w:pPr>
              <w:rPr>
                <w:rFonts w:cstheme="minorHAnsi"/>
                <w:sz w:val="20"/>
                <w:szCs w:val="20"/>
                <w:lang w:val="fr-BE"/>
              </w:rPr>
            </w:pPr>
            <w:r w:rsidRPr="00574B22">
              <w:rPr>
                <w:rFonts w:cstheme="minorHAnsi"/>
                <w:sz w:val="20"/>
                <w:szCs w:val="20"/>
                <w:lang w:val="fr-BE"/>
              </w:rPr>
              <w:t>Processus sous-régional d’harmonisation des textes et des fonctions règlementaires</w:t>
            </w:r>
          </w:p>
        </w:tc>
        <w:tc>
          <w:tcPr>
            <w:tcW w:w="2268" w:type="dxa"/>
          </w:tcPr>
          <w:p w:rsidR="00986FA2" w:rsidRPr="00574B22" w:rsidRDefault="00986FA2" w:rsidP="00003A3C">
            <w:pPr>
              <w:rPr>
                <w:rFonts w:cstheme="minorHAnsi"/>
                <w:sz w:val="20"/>
                <w:szCs w:val="20"/>
                <w:lang w:val="fr-BE"/>
              </w:rPr>
            </w:pPr>
            <w:r w:rsidRPr="00574B22">
              <w:rPr>
                <w:rFonts w:cstheme="minorHAnsi"/>
                <w:sz w:val="20"/>
                <w:szCs w:val="20"/>
                <w:lang w:val="fr-BE"/>
              </w:rPr>
              <w:t>Persistance de marché illicite et de contrefaçon</w:t>
            </w:r>
          </w:p>
        </w:tc>
      </w:tr>
      <w:tr w:rsidR="00986FA2" w:rsidRPr="00043639" w:rsidTr="00003A3C">
        <w:tc>
          <w:tcPr>
            <w:tcW w:w="1733" w:type="dxa"/>
            <w:vMerge/>
          </w:tcPr>
          <w:p w:rsidR="00986FA2" w:rsidRPr="00574B22" w:rsidRDefault="00986FA2" w:rsidP="00003A3C">
            <w:pPr>
              <w:rPr>
                <w:rFonts w:cstheme="minorHAnsi"/>
                <w:sz w:val="20"/>
                <w:szCs w:val="20"/>
                <w:lang w:val="fr-BE"/>
              </w:rPr>
            </w:pPr>
          </w:p>
        </w:tc>
        <w:tc>
          <w:tcPr>
            <w:tcW w:w="4050" w:type="dxa"/>
          </w:tcPr>
          <w:p w:rsidR="00986FA2" w:rsidRPr="00574B22" w:rsidRDefault="00986FA2" w:rsidP="00003A3C">
            <w:pPr>
              <w:rPr>
                <w:rFonts w:cstheme="minorHAnsi"/>
                <w:sz w:val="20"/>
                <w:szCs w:val="20"/>
                <w:lang w:val="fr-BE"/>
              </w:rPr>
            </w:pPr>
            <w:r w:rsidRPr="00574B22">
              <w:rPr>
                <w:rFonts w:cstheme="minorHAnsi"/>
                <w:sz w:val="20"/>
                <w:szCs w:val="20"/>
                <w:lang w:val="fr-BE"/>
              </w:rPr>
              <w:t>Réalisation d’infrastructures</w:t>
            </w:r>
          </w:p>
          <w:p w:rsidR="00986FA2" w:rsidRPr="00574B22" w:rsidRDefault="00986FA2" w:rsidP="00003A3C">
            <w:pPr>
              <w:rPr>
                <w:rFonts w:cstheme="minorHAnsi"/>
                <w:sz w:val="20"/>
                <w:szCs w:val="20"/>
                <w:lang w:val="fr-BE"/>
              </w:rPr>
            </w:pPr>
            <w:r w:rsidRPr="00574B22">
              <w:rPr>
                <w:rFonts w:cstheme="minorHAnsi"/>
                <w:sz w:val="20"/>
                <w:szCs w:val="20"/>
                <w:lang w:val="fr-BE"/>
              </w:rPr>
              <w:t>Existence des compétences en gestion logistique</w:t>
            </w:r>
          </w:p>
          <w:p w:rsidR="00986FA2" w:rsidRPr="00574B22" w:rsidRDefault="00986FA2" w:rsidP="00003A3C">
            <w:pPr>
              <w:rPr>
                <w:rFonts w:cstheme="minorHAnsi"/>
                <w:sz w:val="20"/>
                <w:szCs w:val="20"/>
                <w:lang w:val="fr-BE"/>
              </w:rPr>
            </w:pPr>
          </w:p>
          <w:p w:rsidR="00986FA2" w:rsidRPr="00574B22" w:rsidRDefault="00986FA2" w:rsidP="00003A3C">
            <w:pPr>
              <w:rPr>
                <w:rFonts w:cstheme="minorHAnsi"/>
                <w:sz w:val="20"/>
                <w:szCs w:val="20"/>
                <w:lang w:val="fr-BE"/>
              </w:rPr>
            </w:pPr>
          </w:p>
          <w:p w:rsidR="00986FA2" w:rsidRPr="00574B22" w:rsidRDefault="00986FA2" w:rsidP="00003A3C">
            <w:pPr>
              <w:rPr>
                <w:rFonts w:cstheme="minorHAnsi"/>
                <w:sz w:val="20"/>
                <w:szCs w:val="20"/>
                <w:lang w:val="fr-BE"/>
              </w:rPr>
            </w:pPr>
          </w:p>
          <w:p w:rsidR="00986FA2" w:rsidRPr="00574B22" w:rsidRDefault="00986FA2" w:rsidP="00003A3C">
            <w:pPr>
              <w:pStyle w:val="Paragraphedeliste"/>
              <w:widowControl w:val="0"/>
              <w:autoSpaceDE w:val="0"/>
              <w:autoSpaceDN w:val="0"/>
              <w:adjustRightInd w:val="0"/>
              <w:spacing w:before="35"/>
              <w:ind w:left="0"/>
              <w:jc w:val="both"/>
              <w:rPr>
                <w:rFonts w:cstheme="minorHAnsi"/>
                <w:color w:val="000000"/>
                <w:sz w:val="20"/>
                <w:szCs w:val="20"/>
              </w:rPr>
            </w:pPr>
            <w:r w:rsidRPr="00574B22">
              <w:rPr>
                <w:rFonts w:cstheme="minorHAnsi"/>
                <w:sz w:val="20"/>
                <w:szCs w:val="20"/>
              </w:rPr>
              <w:t xml:space="preserve">Existence de budget spécifique pour les médicaments des soins </w:t>
            </w:r>
          </w:p>
          <w:p w:rsidR="00986FA2" w:rsidRPr="00574B22" w:rsidRDefault="00986FA2" w:rsidP="00003A3C">
            <w:pPr>
              <w:rPr>
                <w:rFonts w:cstheme="minorHAnsi"/>
                <w:sz w:val="20"/>
                <w:szCs w:val="20"/>
              </w:rPr>
            </w:pPr>
          </w:p>
        </w:tc>
        <w:tc>
          <w:tcPr>
            <w:tcW w:w="3969" w:type="dxa"/>
          </w:tcPr>
          <w:p w:rsidR="00986FA2" w:rsidRPr="00574B22" w:rsidRDefault="00986FA2" w:rsidP="00003A3C">
            <w:pPr>
              <w:rPr>
                <w:rFonts w:cstheme="minorHAnsi"/>
                <w:sz w:val="20"/>
                <w:szCs w:val="20"/>
                <w:lang w:val="fr-BE"/>
              </w:rPr>
            </w:pPr>
            <w:r w:rsidRPr="00574B22">
              <w:rPr>
                <w:rFonts w:cstheme="minorHAnsi"/>
                <w:sz w:val="20"/>
                <w:szCs w:val="20"/>
                <w:lang w:val="fr-BE"/>
              </w:rPr>
              <w:t>Insuffisante contribution de l’Etat à l’achat des médicaments</w:t>
            </w:r>
          </w:p>
          <w:p w:rsidR="00986FA2" w:rsidRPr="00574B22" w:rsidRDefault="00986FA2" w:rsidP="00003A3C">
            <w:pPr>
              <w:rPr>
                <w:rFonts w:cstheme="minorHAnsi"/>
                <w:sz w:val="20"/>
                <w:szCs w:val="20"/>
                <w:lang w:val="fr-BE"/>
              </w:rPr>
            </w:pPr>
          </w:p>
          <w:p w:rsidR="00986FA2" w:rsidRPr="00574B22" w:rsidRDefault="00986FA2" w:rsidP="00003A3C">
            <w:pPr>
              <w:rPr>
                <w:rFonts w:cstheme="minorHAnsi"/>
                <w:sz w:val="20"/>
                <w:szCs w:val="20"/>
                <w:lang w:val="fr-BE"/>
              </w:rPr>
            </w:pPr>
          </w:p>
          <w:p w:rsidR="00986FA2" w:rsidRPr="00574B22" w:rsidRDefault="00986FA2" w:rsidP="00003A3C">
            <w:pPr>
              <w:rPr>
                <w:rFonts w:cstheme="minorHAnsi"/>
                <w:sz w:val="20"/>
                <w:szCs w:val="20"/>
                <w:lang w:val="fr-BE"/>
              </w:rPr>
            </w:pPr>
          </w:p>
          <w:p w:rsidR="00986FA2" w:rsidRPr="00574B22" w:rsidRDefault="00986FA2" w:rsidP="00003A3C">
            <w:pPr>
              <w:rPr>
                <w:rFonts w:cstheme="minorHAnsi"/>
                <w:sz w:val="20"/>
                <w:szCs w:val="20"/>
                <w:lang w:val="fr-BE"/>
              </w:rPr>
            </w:pPr>
          </w:p>
          <w:p w:rsidR="00986FA2" w:rsidRPr="00574B22" w:rsidRDefault="00986FA2" w:rsidP="00003A3C">
            <w:pPr>
              <w:rPr>
                <w:rFonts w:cstheme="minorHAnsi"/>
                <w:sz w:val="20"/>
                <w:szCs w:val="20"/>
                <w:lang w:val="fr-BE"/>
              </w:rPr>
            </w:pPr>
            <w:r w:rsidRPr="00574B22">
              <w:rPr>
                <w:rFonts w:cstheme="minorHAnsi"/>
                <w:sz w:val="20"/>
                <w:szCs w:val="20"/>
              </w:rPr>
              <w:t>Faible qualité des prestations  de soins</w:t>
            </w:r>
          </w:p>
          <w:p w:rsidR="00986FA2" w:rsidRPr="00574B22" w:rsidRDefault="00986FA2" w:rsidP="00003A3C">
            <w:pPr>
              <w:rPr>
                <w:rFonts w:cstheme="minorHAnsi"/>
                <w:sz w:val="20"/>
                <w:szCs w:val="20"/>
                <w:lang w:val="fr-BE"/>
              </w:rPr>
            </w:pPr>
          </w:p>
        </w:tc>
        <w:tc>
          <w:tcPr>
            <w:tcW w:w="2410" w:type="dxa"/>
          </w:tcPr>
          <w:p w:rsidR="00986FA2" w:rsidRPr="00574B22" w:rsidRDefault="00986FA2" w:rsidP="00003A3C">
            <w:pPr>
              <w:rPr>
                <w:rFonts w:cstheme="minorHAnsi"/>
                <w:sz w:val="20"/>
                <w:szCs w:val="20"/>
                <w:lang w:val="fr-BE"/>
              </w:rPr>
            </w:pPr>
            <w:r w:rsidRPr="00574B22">
              <w:rPr>
                <w:rFonts w:cstheme="minorHAnsi"/>
                <w:sz w:val="20"/>
                <w:szCs w:val="20"/>
                <w:lang w:val="fr-BE"/>
              </w:rPr>
              <w:t>Perception claire des autorités et de la population de l’importance de l’approvisionnement en médicament</w:t>
            </w:r>
          </w:p>
          <w:p w:rsidR="00986FA2" w:rsidRPr="00574B22" w:rsidRDefault="00986FA2" w:rsidP="00003A3C">
            <w:pPr>
              <w:rPr>
                <w:rFonts w:cstheme="minorHAnsi"/>
                <w:sz w:val="20"/>
                <w:szCs w:val="20"/>
                <w:lang w:val="fr-BE"/>
              </w:rPr>
            </w:pPr>
          </w:p>
          <w:p w:rsidR="00986FA2" w:rsidRPr="00574B22" w:rsidRDefault="00986FA2" w:rsidP="00003A3C">
            <w:pPr>
              <w:rPr>
                <w:rFonts w:cstheme="minorHAnsi"/>
                <w:sz w:val="20"/>
                <w:szCs w:val="20"/>
                <w:lang w:val="fr-BE"/>
              </w:rPr>
            </w:pPr>
          </w:p>
          <w:p w:rsidR="00986FA2" w:rsidRPr="00574B22" w:rsidRDefault="00986FA2" w:rsidP="00003A3C">
            <w:pPr>
              <w:rPr>
                <w:rFonts w:cstheme="minorHAnsi"/>
                <w:sz w:val="20"/>
                <w:szCs w:val="20"/>
                <w:lang w:val="fr-BE"/>
              </w:rPr>
            </w:pPr>
            <w:r w:rsidRPr="00574B22">
              <w:rPr>
                <w:rFonts w:cstheme="minorHAnsi"/>
                <w:sz w:val="20"/>
                <w:szCs w:val="20"/>
              </w:rPr>
              <w:t>Volonté politique dans la mise en œuvre des stratégies adéquates pour répondre à la demande des soins (programme d’assurance qualité, subvention des soins)</w:t>
            </w:r>
          </w:p>
        </w:tc>
        <w:tc>
          <w:tcPr>
            <w:tcW w:w="2268" w:type="dxa"/>
          </w:tcPr>
          <w:p w:rsidR="00986FA2" w:rsidRPr="00574B22" w:rsidRDefault="00986FA2" w:rsidP="00003A3C">
            <w:pPr>
              <w:rPr>
                <w:rFonts w:cstheme="minorHAnsi"/>
                <w:sz w:val="20"/>
                <w:szCs w:val="20"/>
                <w:lang w:val="fr-BE"/>
              </w:rPr>
            </w:pPr>
            <w:r w:rsidRPr="00574B22">
              <w:rPr>
                <w:rFonts w:cstheme="minorHAnsi"/>
                <w:sz w:val="20"/>
                <w:szCs w:val="20"/>
                <w:lang w:val="fr-BE"/>
              </w:rPr>
              <w:t>Faible conscience de la population sur le danger des faux médicaments</w:t>
            </w:r>
          </w:p>
          <w:p w:rsidR="00986FA2" w:rsidRPr="00574B22" w:rsidRDefault="00986FA2" w:rsidP="00003A3C">
            <w:pPr>
              <w:rPr>
                <w:rFonts w:cstheme="minorHAnsi"/>
                <w:sz w:val="20"/>
                <w:szCs w:val="20"/>
                <w:lang w:val="fr-BE"/>
              </w:rPr>
            </w:pPr>
          </w:p>
          <w:p w:rsidR="00986FA2" w:rsidRPr="00574B22" w:rsidRDefault="00986FA2" w:rsidP="00003A3C">
            <w:pPr>
              <w:rPr>
                <w:rFonts w:cstheme="minorHAnsi"/>
                <w:sz w:val="20"/>
                <w:szCs w:val="20"/>
                <w:lang w:val="fr-BE"/>
              </w:rPr>
            </w:pPr>
          </w:p>
          <w:p w:rsidR="00986FA2" w:rsidRPr="00574B22" w:rsidRDefault="00986FA2" w:rsidP="00003A3C">
            <w:pPr>
              <w:rPr>
                <w:rFonts w:cstheme="minorHAnsi"/>
                <w:sz w:val="20"/>
                <w:szCs w:val="20"/>
                <w:lang w:val="fr-BE"/>
              </w:rPr>
            </w:pPr>
          </w:p>
          <w:p w:rsidR="00986FA2" w:rsidRPr="00574B22" w:rsidRDefault="00986FA2" w:rsidP="00003A3C">
            <w:pPr>
              <w:rPr>
                <w:rFonts w:cstheme="minorHAnsi"/>
                <w:sz w:val="20"/>
                <w:szCs w:val="20"/>
                <w:lang w:val="fr-BE"/>
              </w:rPr>
            </w:pPr>
          </w:p>
          <w:p w:rsidR="00986FA2" w:rsidRPr="00574B22" w:rsidRDefault="00986FA2" w:rsidP="00003A3C">
            <w:pPr>
              <w:rPr>
                <w:rFonts w:cstheme="minorHAnsi"/>
                <w:sz w:val="20"/>
                <w:szCs w:val="20"/>
                <w:lang w:val="fr-BE"/>
              </w:rPr>
            </w:pPr>
            <w:r w:rsidRPr="00574B22">
              <w:rPr>
                <w:rFonts w:cstheme="minorHAnsi"/>
                <w:sz w:val="20"/>
                <w:szCs w:val="20"/>
              </w:rPr>
              <w:t xml:space="preserve">Apparition de nouvelles maladies (Ebola, Dengue, </w:t>
            </w:r>
            <w:proofErr w:type="spellStart"/>
            <w:r w:rsidRPr="00574B22">
              <w:rPr>
                <w:rFonts w:cstheme="minorHAnsi"/>
                <w:sz w:val="20"/>
                <w:szCs w:val="20"/>
              </w:rPr>
              <w:t>Zika</w:t>
            </w:r>
            <w:proofErr w:type="spellEnd"/>
            <w:r w:rsidRPr="00574B22">
              <w:rPr>
                <w:rFonts w:cstheme="minorHAnsi"/>
                <w:sz w:val="20"/>
                <w:szCs w:val="20"/>
              </w:rPr>
              <w:t>,…)</w:t>
            </w:r>
          </w:p>
        </w:tc>
      </w:tr>
      <w:tr w:rsidR="00986FA2" w:rsidRPr="00043639" w:rsidTr="00003A3C">
        <w:tc>
          <w:tcPr>
            <w:tcW w:w="1733" w:type="dxa"/>
          </w:tcPr>
          <w:p w:rsidR="00986FA2" w:rsidRPr="00574B22" w:rsidRDefault="00986FA2" w:rsidP="00003A3C">
            <w:pPr>
              <w:rPr>
                <w:rFonts w:cstheme="minorHAnsi"/>
                <w:sz w:val="20"/>
                <w:szCs w:val="20"/>
                <w:lang w:val="fr-BE"/>
              </w:rPr>
            </w:pPr>
            <w:r w:rsidRPr="00574B22">
              <w:rPr>
                <w:rFonts w:cstheme="minorHAnsi"/>
                <w:sz w:val="20"/>
                <w:szCs w:val="20"/>
                <w:lang w:val="fr-BE"/>
              </w:rPr>
              <w:t xml:space="preserve">Ressources </w:t>
            </w:r>
            <w:r w:rsidRPr="00574B22">
              <w:rPr>
                <w:rFonts w:cstheme="minorHAnsi"/>
                <w:sz w:val="20"/>
                <w:szCs w:val="20"/>
                <w:lang w:val="fr-BE"/>
              </w:rPr>
              <w:lastRenderedPageBreak/>
              <w:t>matérielles</w:t>
            </w:r>
          </w:p>
        </w:tc>
        <w:tc>
          <w:tcPr>
            <w:tcW w:w="4050" w:type="dxa"/>
          </w:tcPr>
          <w:p w:rsidR="00986FA2" w:rsidRPr="00574B22" w:rsidRDefault="00986FA2" w:rsidP="00003A3C">
            <w:pPr>
              <w:rPr>
                <w:rFonts w:cstheme="minorHAnsi"/>
                <w:sz w:val="20"/>
                <w:szCs w:val="20"/>
                <w:lang w:val="fr-BE"/>
              </w:rPr>
            </w:pPr>
            <w:r w:rsidRPr="00574B22">
              <w:rPr>
                <w:rFonts w:cstheme="minorHAnsi"/>
                <w:sz w:val="20"/>
                <w:szCs w:val="20"/>
                <w:lang w:val="fr-BE"/>
              </w:rPr>
              <w:lastRenderedPageBreak/>
              <w:t xml:space="preserve">Amélioration du rayon moyen d’action </w:t>
            </w:r>
            <w:r w:rsidRPr="00574B22">
              <w:rPr>
                <w:rFonts w:cstheme="minorHAnsi"/>
                <w:sz w:val="20"/>
                <w:szCs w:val="20"/>
                <w:lang w:val="fr-BE"/>
              </w:rPr>
              <w:lastRenderedPageBreak/>
              <w:t>théorique</w:t>
            </w:r>
          </w:p>
        </w:tc>
        <w:tc>
          <w:tcPr>
            <w:tcW w:w="3969" w:type="dxa"/>
          </w:tcPr>
          <w:p w:rsidR="00986FA2" w:rsidRPr="00574B22" w:rsidRDefault="00986FA2" w:rsidP="00003A3C">
            <w:pPr>
              <w:rPr>
                <w:rFonts w:cstheme="minorHAnsi"/>
                <w:sz w:val="20"/>
                <w:szCs w:val="20"/>
              </w:rPr>
            </w:pPr>
            <w:r>
              <w:rPr>
                <w:rFonts w:cstheme="minorHAnsi"/>
                <w:spacing w:val="1"/>
                <w:sz w:val="20"/>
                <w:szCs w:val="20"/>
              </w:rPr>
              <w:lastRenderedPageBreak/>
              <w:t>.</w:t>
            </w:r>
            <w:r w:rsidRPr="00574B22">
              <w:rPr>
                <w:rFonts w:cstheme="minorHAnsi"/>
                <w:spacing w:val="1"/>
                <w:sz w:val="20"/>
                <w:szCs w:val="20"/>
              </w:rPr>
              <w:t>D</w:t>
            </w:r>
            <w:r w:rsidRPr="00574B22">
              <w:rPr>
                <w:rFonts w:cstheme="minorHAnsi"/>
                <w:sz w:val="20"/>
                <w:szCs w:val="20"/>
              </w:rPr>
              <w:t>i</w:t>
            </w:r>
            <w:r w:rsidRPr="00574B22">
              <w:rPr>
                <w:rFonts w:cstheme="minorHAnsi"/>
                <w:spacing w:val="-3"/>
                <w:sz w:val="20"/>
                <w:szCs w:val="20"/>
              </w:rPr>
              <w:t>s</w:t>
            </w:r>
            <w:r w:rsidRPr="00574B22">
              <w:rPr>
                <w:rFonts w:cstheme="minorHAnsi"/>
                <w:spacing w:val="1"/>
                <w:sz w:val="20"/>
                <w:szCs w:val="20"/>
              </w:rPr>
              <w:t>p</w:t>
            </w:r>
            <w:r w:rsidRPr="00574B22">
              <w:rPr>
                <w:rFonts w:cstheme="minorHAnsi"/>
                <w:sz w:val="20"/>
                <w:szCs w:val="20"/>
              </w:rPr>
              <w:t>ari</w:t>
            </w:r>
            <w:r w:rsidRPr="00574B22">
              <w:rPr>
                <w:rFonts w:cstheme="minorHAnsi"/>
                <w:spacing w:val="-1"/>
                <w:sz w:val="20"/>
                <w:szCs w:val="20"/>
              </w:rPr>
              <w:t>t</w:t>
            </w:r>
            <w:r w:rsidRPr="00574B22">
              <w:rPr>
                <w:rFonts w:cstheme="minorHAnsi"/>
                <w:sz w:val="20"/>
                <w:szCs w:val="20"/>
              </w:rPr>
              <w:t xml:space="preserve">és d’accessibilité géographique entre </w:t>
            </w:r>
            <w:r w:rsidRPr="00574B22">
              <w:rPr>
                <w:rFonts w:cstheme="minorHAnsi"/>
                <w:sz w:val="20"/>
                <w:szCs w:val="20"/>
              </w:rPr>
              <w:lastRenderedPageBreak/>
              <w:t>régions</w:t>
            </w:r>
          </w:p>
          <w:p w:rsidR="00986FA2" w:rsidRPr="00574B22" w:rsidRDefault="00986FA2" w:rsidP="00003A3C">
            <w:pPr>
              <w:rPr>
                <w:rFonts w:cstheme="minorHAnsi"/>
                <w:sz w:val="20"/>
                <w:szCs w:val="20"/>
                <w:lang w:val="fr-BE"/>
              </w:rPr>
            </w:pPr>
            <w:r>
              <w:rPr>
                <w:rFonts w:cstheme="minorHAnsi"/>
                <w:sz w:val="20"/>
                <w:szCs w:val="20"/>
              </w:rPr>
              <w:t>.</w:t>
            </w:r>
            <w:r w:rsidRPr="00574B22">
              <w:rPr>
                <w:rFonts w:cstheme="minorHAnsi"/>
                <w:sz w:val="20"/>
                <w:szCs w:val="20"/>
              </w:rPr>
              <w:t>Faible capacité pour la maintenance des équipements</w:t>
            </w:r>
          </w:p>
        </w:tc>
        <w:tc>
          <w:tcPr>
            <w:tcW w:w="2410" w:type="dxa"/>
          </w:tcPr>
          <w:p w:rsidR="00986FA2" w:rsidRPr="00574B22" w:rsidRDefault="00986FA2" w:rsidP="00003A3C">
            <w:pPr>
              <w:rPr>
                <w:rFonts w:cstheme="minorHAnsi"/>
                <w:sz w:val="20"/>
                <w:szCs w:val="20"/>
                <w:lang w:val="fr-BE"/>
              </w:rPr>
            </w:pPr>
            <w:r w:rsidRPr="00574B22">
              <w:rPr>
                <w:rFonts w:cstheme="minorHAnsi"/>
                <w:sz w:val="20"/>
                <w:szCs w:val="20"/>
                <w:lang w:val="fr-BE"/>
              </w:rPr>
              <w:lastRenderedPageBreak/>
              <w:t>PPP</w:t>
            </w:r>
          </w:p>
        </w:tc>
        <w:tc>
          <w:tcPr>
            <w:tcW w:w="2268" w:type="dxa"/>
          </w:tcPr>
          <w:p w:rsidR="00986FA2" w:rsidRPr="00574B22" w:rsidRDefault="00986FA2" w:rsidP="00003A3C">
            <w:pPr>
              <w:rPr>
                <w:rFonts w:cstheme="minorHAnsi"/>
                <w:sz w:val="20"/>
                <w:szCs w:val="20"/>
                <w:lang w:val="fr-BE"/>
              </w:rPr>
            </w:pPr>
          </w:p>
        </w:tc>
      </w:tr>
      <w:tr w:rsidR="00986FA2" w:rsidRPr="00043639" w:rsidTr="00003A3C">
        <w:tc>
          <w:tcPr>
            <w:tcW w:w="1733" w:type="dxa"/>
          </w:tcPr>
          <w:p w:rsidR="00986FA2" w:rsidRPr="00574B22" w:rsidRDefault="00986FA2" w:rsidP="00003A3C">
            <w:pPr>
              <w:rPr>
                <w:rFonts w:cstheme="minorHAnsi"/>
                <w:sz w:val="20"/>
                <w:szCs w:val="20"/>
                <w:lang w:val="fr-BE"/>
              </w:rPr>
            </w:pPr>
            <w:r w:rsidRPr="00574B22">
              <w:rPr>
                <w:rFonts w:cstheme="minorHAnsi"/>
                <w:sz w:val="20"/>
                <w:szCs w:val="20"/>
                <w:lang w:val="fr-BE"/>
              </w:rPr>
              <w:lastRenderedPageBreak/>
              <w:t>Ressources financière</w:t>
            </w:r>
          </w:p>
        </w:tc>
        <w:tc>
          <w:tcPr>
            <w:tcW w:w="4050" w:type="dxa"/>
          </w:tcPr>
          <w:p w:rsidR="00986FA2" w:rsidRPr="00574B22" w:rsidRDefault="00986FA2" w:rsidP="00003A3C">
            <w:pPr>
              <w:rPr>
                <w:rFonts w:cstheme="minorHAnsi"/>
                <w:sz w:val="20"/>
                <w:szCs w:val="20"/>
                <w:lang w:val="fr-BE"/>
              </w:rPr>
            </w:pPr>
            <w:r w:rsidRPr="00574B22">
              <w:rPr>
                <w:rFonts w:cstheme="minorHAnsi"/>
                <w:sz w:val="20"/>
                <w:szCs w:val="20"/>
                <w:lang w:val="fr-BE"/>
              </w:rPr>
              <w:t>.Accroissement annuel du budget d’Etat</w:t>
            </w:r>
          </w:p>
          <w:p w:rsidR="00986FA2" w:rsidRPr="00574B22" w:rsidRDefault="00986FA2" w:rsidP="00003A3C">
            <w:pPr>
              <w:rPr>
                <w:rFonts w:cstheme="minorHAnsi"/>
                <w:sz w:val="20"/>
                <w:szCs w:val="20"/>
                <w:lang w:val="fr-BE"/>
              </w:rPr>
            </w:pPr>
            <w:r w:rsidRPr="00574B22">
              <w:rPr>
                <w:rFonts w:cstheme="minorHAnsi"/>
                <w:sz w:val="20"/>
                <w:szCs w:val="20"/>
                <w:lang w:val="fr-BE"/>
              </w:rPr>
              <w:t>.Existence du compact</w:t>
            </w:r>
          </w:p>
        </w:tc>
        <w:tc>
          <w:tcPr>
            <w:tcW w:w="3969" w:type="dxa"/>
          </w:tcPr>
          <w:p w:rsidR="00986FA2" w:rsidRPr="00574B22" w:rsidRDefault="00986FA2" w:rsidP="00003A3C">
            <w:pPr>
              <w:rPr>
                <w:rFonts w:cstheme="minorHAnsi"/>
                <w:sz w:val="20"/>
                <w:szCs w:val="20"/>
                <w:lang w:val="fr-BE"/>
              </w:rPr>
            </w:pPr>
            <w:r w:rsidRPr="00574B22">
              <w:rPr>
                <w:rFonts w:cstheme="minorHAnsi"/>
                <w:sz w:val="20"/>
                <w:szCs w:val="20"/>
                <w:lang w:val="fr-BE"/>
              </w:rPr>
              <w:t>.Faible taux d’absorption</w:t>
            </w:r>
          </w:p>
          <w:p w:rsidR="00986FA2" w:rsidRPr="00574B22" w:rsidRDefault="00986FA2" w:rsidP="00003A3C">
            <w:pPr>
              <w:rPr>
                <w:rFonts w:cstheme="minorHAnsi"/>
                <w:sz w:val="20"/>
                <w:szCs w:val="20"/>
                <w:lang w:val="fr-BE"/>
              </w:rPr>
            </w:pPr>
            <w:r w:rsidRPr="00574B22">
              <w:rPr>
                <w:rFonts w:cstheme="minorHAnsi"/>
                <w:sz w:val="20"/>
                <w:szCs w:val="20"/>
                <w:lang w:val="fr-BE"/>
              </w:rPr>
              <w:t>.Augmentation des fonds ciblés au détriment du panier commun</w:t>
            </w:r>
          </w:p>
          <w:p w:rsidR="00986FA2" w:rsidRPr="00574B22" w:rsidRDefault="00986FA2" w:rsidP="00003A3C">
            <w:pPr>
              <w:rPr>
                <w:rFonts w:cstheme="minorHAnsi"/>
                <w:sz w:val="20"/>
                <w:szCs w:val="20"/>
                <w:lang w:val="fr-BE"/>
              </w:rPr>
            </w:pPr>
            <w:r w:rsidRPr="00574B22">
              <w:rPr>
                <w:rFonts w:cstheme="minorHAnsi"/>
                <w:sz w:val="20"/>
                <w:szCs w:val="20"/>
                <w:lang w:val="fr-BE"/>
              </w:rPr>
              <w:t xml:space="preserve">.Insuffisance </w:t>
            </w:r>
            <w:proofErr w:type="spellStart"/>
            <w:r w:rsidRPr="00574B22">
              <w:rPr>
                <w:rFonts w:cstheme="minorHAnsi"/>
                <w:sz w:val="20"/>
                <w:szCs w:val="20"/>
                <w:lang w:val="fr-BE"/>
              </w:rPr>
              <w:t>redevabilité</w:t>
            </w:r>
            <w:proofErr w:type="spellEnd"/>
            <w:r w:rsidRPr="00574B22">
              <w:rPr>
                <w:rFonts w:cstheme="minorHAnsi"/>
                <w:sz w:val="20"/>
                <w:szCs w:val="20"/>
                <w:lang w:val="fr-BE"/>
              </w:rPr>
              <w:t xml:space="preserve"> d</w:t>
            </w:r>
            <w:r>
              <w:rPr>
                <w:rFonts w:cstheme="minorHAnsi"/>
                <w:sz w:val="20"/>
                <w:szCs w:val="20"/>
                <w:lang w:val="fr-BE"/>
              </w:rPr>
              <w:t>es gestionnaires .Importance du paiement direct</w:t>
            </w:r>
            <w:r w:rsidRPr="00574B22">
              <w:rPr>
                <w:rFonts w:cstheme="minorHAnsi"/>
                <w:sz w:val="20"/>
                <w:szCs w:val="20"/>
                <w:lang w:val="fr-BE"/>
              </w:rPr>
              <w:t xml:space="preserve"> des ménages dans les dépenses de santé</w:t>
            </w:r>
          </w:p>
        </w:tc>
        <w:tc>
          <w:tcPr>
            <w:tcW w:w="2410" w:type="dxa"/>
          </w:tcPr>
          <w:p w:rsidR="00986FA2" w:rsidRPr="00574B22" w:rsidRDefault="00986FA2" w:rsidP="00003A3C">
            <w:pPr>
              <w:rPr>
                <w:rFonts w:cstheme="minorHAnsi"/>
                <w:sz w:val="20"/>
                <w:szCs w:val="20"/>
                <w:lang w:val="fr-BE"/>
              </w:rPr>
            </w:pPr>
            <w:r w:rsidRPr="00574B22">
              <w:rPr>
                <w:rFonts w:cstheme="minorHAnsi"/>
                <w:sz w:val="20"/>
                <w:szCs w:val="20"/>
                <w:lang w:val="fr-BE"/>
              </w:rPr>
              <w:t>Perspectives de l’Assurance maladie universelle</w:t>
            </w:r>
          </w:p>
        </w:tc>
        <w:tc>
          <w:tcPr>
            <w:tcW w:w="2268" w:type="dxa"/>
          </w:tcPr>
          <w:p w:rsidR="00986FA2" w:rsidRPr="00574B22" w:rsidRDefault="00986FA2" w:rsidP="00003A3C">
            <w:pPr>
              <w:rPr>
                <w:rFonts w:cstheme="minorHAnsi"/>
                <w:sz w:val="20"/>
                <w:szCs w:val="20"/>
                <w:lang w:val="fr-BE"/>
              </w:rPr>
            </w:pPr>
            <w:r w:rsidRPr="00574B22">
              <w:rPr>
                <w:rFonts w:cstheme="minorHAnsi"/>
                <w:sz w:val="20"/>
                <w:szCs w:val="20"/>
                <w:lang w:val="fr-BE"/>
              </w:rPr>
              <w:t>Insécurité dans la sous-région</w:t>
            </w:r>
          </w:p>
        </w:tc>
      </w:tr>
      <w:tr w:rsidR="00986FA2" w:rsidRPr="00043639" w:rsidTr="00003A3C">
        <w:trPr>
          <w:trHeight w:val="2308"/>
        </w:trPr>
        <w:tc>
          <w:tcPr>
            <w:tcW w:w="1733" w:type="dxa"/>
          </w:tcPr>
          <w:p w:rsidR="00986FA2" w:rsidRPr="00574B22" w:rsidRDefault="00986FA2" w:rsidP="00003A3C">
            <w:pPr>
              <w:rPr>
                <w:rFonts w:cstheme="minorHAnsi"/>
                <w:sz w:val="20"/>
                <w:szCs w:val="20"/>
                <w:lang w:val="fr-BE"/>
              </w:rPr>
            </w:pPr>
            <w:r w:rsidRPr="00574B22">
              <w:rPr>
                <w:rFonts w:cstheme="minorHAnsi"/>
                <w:sz w:val="20"/>
                <w:szCs w:val="20"/>
                <w:lang w:val="fr-BE"/>
              </w:rPr>
              <w:t>Organisation des soins</w:t>
            </w:r>
          </w:p>
        </w:tc>
        <w:tc>
          <w:tcPr>
            <w:tcW w:w="4050" w:type="dxa"/>
          </w:tcPr>
          <w:p w:rsidR="00986FA2" w:rsidRPr="00574B22" w:rsidRDefault="00986FA2" w:rsidP="00003A3C">
            <w:pPr>
              <w:pStyle w:val="Paragraphedeliste"/>
              <w:widowControl w:val="0"/>
              <w:autoSpaceDE w:val="0"/>
              <w:autoSpaceDN w:val="0"/>
              <w:adjustRightInd w:val="0"/>
              <w:spacing w:before="35"/>
              <w:ind w:left="0"/>
              <w:jc w:val="both"/>
              <w:rPr>
                <w:rFonts w:cstheme="minorHAnsi"/>
                <w:color w:val="000000"/>
                <w:sz w:val="20"/>
                <w:szCs w:val="20"/>
              </w:rPr>
            </w:pPr>
            <w:r>
              <w:rPr>
                <w:rFonts w:cstheme="minorHAnsi"/>
                <w:sz w:val="20"/>
                <w:szCs w:val="20"/>
              </w:rPr>
              <w:t>.</w:t>
            </w:r>
            <w:r w:rsidRPr="00574B22">
              <w:rPr>
                <w:rFonts w:cstheme="minorHAnsi"/>
                <w:sz w:val="20"/>
                <w:szCs w:val="20"/>
              </w:rPr>
              <w:t>développement du sous-secteur sanitaire privé à l’offre de soins d’urgence ;</w:t>
            </w:r>
          </w:p>
          <w:p w:rsidR="00986FA2" w:rsidRPr="00574B22" w:rsidRDefault="00986FA2" w:rsidP="00003A3C">
            <w:pPr>
              <w:pStyle w:val="Paragraphedeliste"/>
              <w:widowControl w:val="0"/>
              <w:autoSpaceDE w:val="0"/>
              <w:autoSpaceDN w:val="0"/>
              <w:adjustRightInd w:val="0"/>
              <w:spacing w:before="35"/>
              <w:ind w:left="0"/>
              <w:jc w:val="both"/>
              <w:rPr>
                <w:rFonts w:cstheme="minorHAnsi"/>
                <w:color w:val="000000"/>
                <w:sz w:val="20"/>
                <w:szCs w:val="20"/>
              </w:rPr>
            </w:pPr>
            <w:r>
              <w:rPr>
                <w:rFonts w:cstheme="minorHAnsi"/>
                <w:sz w:val="20"/>
                <w:szCs w:val="20"/>
              </w:rPr>
              <w:t>.</w:t>
            </w:r>
            <w:r w:rsidRPr="00574B22">
              <w:rPr>
                <w:rFonts w:cstheme="minorHAnsi"/>
                <w:sz w:val="20"/>
                <w:szCs w:val="20"/>
              </w:rPr>
              <w:t>Existence de dispositif de veille en matière de prévention et de gestion des épidémies</w:t>
            </w:r>
          </w:p>
          <w:p w:rsidR="00986FA2" w:rsidRDefault="00986FA2" w:rsidP="00003A3C">
            <w:pPr>
              <w:pStyle w:val="Paragraphedeliste"/>
              <w:widowControl w:val="0"/>
              <w:autoSpaceDE w:val="0"/>
              <w:autoSpaceDN w:val="0"/>
              <w:adjustRightInd w:val="0"/>
              <w:spacing w:before="35"/>
              <w:ind w:left="0"/>
              <w:jc w:val="both"/>
              <w:rPr>
                <w:rFonts w:cstheme="minorHAnsi"/>
                <w:sz w:val="20"/>
                <w:szCs w:val="20"/>
              </w:rPr>
            </w:pPr>
            <w:r>
              <w:rPr>
                <w:rFonts w:cstheme="minorHAnsi"/>
                <w:sz w:val="20"/>
                <w:szCs w:val="20"/>
              </w:rPr>
              <w:t>.</w:t>
            </w:r>
            <w:r w:rsidRPr="00574B22">
              <w:rPr>
                <w:rFonts w:cstheme="minorHAnsi"/>
                <w:sz w:val="20"/>
                <w:szCs w:val="20"/>
              </w:rPr>
              <w:t>Mise en œuvre des plans stratégiques de riposte et de lutte contre les maladies.</w:t>
            </w:r>
          </w:p>
          <w:p w:rsidR="00986FA2" w:rsidRDefault="00986FA2" w:rsidP="00003A3C">
            <w:pPr>
              <w:pStyle w:val="Paragraphedeliste"/>
              <w:widowControl w:val="0"/>
              <w:autoSpaceDE w:val="0"/>
              <w:autoSpaceDN w:val="0"/>
              <w:adjustRightInd w:val="0"/>
              <w:spacing w:before="35"/>
              <w:ind w:left="0"/>
              <w:jc w:val="both"/>
              <w:rPr>
                <w:rFonts w:cstheme="minorHAnsi"/>
                <w:sz w:val="20"/>
                <w:szCs w:val="20"/>
              </w:rPr>
            </w:pPr>
            <w:r>
              <w:rPr>
                <w:rFonts w:cstheme="minorHAnsi"/>
                <w:sz w:val="20"/>
                <w:szCs w:val="20"/>
              </w:rPr>
              <w:t>.</w:t>
            </w:r>
            <w:r w:rsidRPr="00574B22">
              <w:rPr>
                <w:rFonts w:cstheme="minorHAnsi"/>
                <w:sz w:val="20"/>
                <w:szCs w:val="20"/>
              </w:rPr>
              <w:t>La mise en œuvre des mesures de gratuité des soins pour les enfants de moins de 5 ans et les femmes enceintes ;</w:t>
            </w:r>
          </w:p>
          <w:p w:rsidR="00986FA2" w:rsidRPr="00C70C52" w:rsidRDefault="00986FA2" w:rsidP="00003A3C">
            <w:pPr>
              <w:pStyle w:val="Paragraphedeliste"/>
              <w:widowControl w:val="0"/>
              <w:autoSpaceDE w:val="0"/>
              <w:autoSpaceDN w:val="0"/>
              <w:adjustRightInd w:val="0"/>
              <w:spacing w:before="35"/>
              <w:ind w:left="0"/>
              <w:jc w:val="both"/>
              <w:rPr>
                <w:rFonts w:cstheme="minorHAnsi"/>
                <w:sz w:val="20"/>
                <w:szCs w:val="20"/>
              </w:rPr>
            </w:pPr>
            <w:r>
              <w:rPr>
                <w:rFonts w:cstheme="minorHAnsi"/>
                <w:sz w:val="20"/>
                <w:szCs w:val="20"/>
              </w:rPr>
              <w:t>.</w:t>
            </w:r>
            <w:r w:rsidRPr="006429AC">
              <w:rPr>
                <w:rFonts w:cstheme="minorHAnsi"/>
                <w:sz w:val="20"/>
                <w:szCs w:val="20"/>
              </w:rPr>
              <w:t>Amélioration de la couverture vaccinale des cibles du PEV</w:t>
            </w:r>
          </w:p>
        </w:tc>
        <w:tc>
          <w:tcPr>
            <w:tcW w:w="3969" w:type="dxa"/>
          </w:tcPr>
          <w:p w:rsidR="00986FA2" w:rsidRPr="00574B22" w:rsidRDefault="00986FA2" w:rsidP="00003A3C">
            <w:pPr>
              <w:pStyle w:val="Paragraphedeliste"/>
              <w:widowControl w:val="0"/>
              <w:autoSpaceDE w:val="0"/>
              <w:autoSpaceDN w:val="0"/>
              <w:adjustRightInd w:val="0"/>
              <w:spacing w:before="35"/>
              <w:ind w:left="0"/>
              <w:jc w:val="both"/>
              <w:rPr>
                <w:rFonts w:cstheme="minorHAnsi"/>
                <w:color w:val="000000"/>
                <w:sz w:val="20"/>
                <w:szCs w:val="20"/>
              </w:rPr>
            </w:pPr>
            <w:r>
              <w:rPr>
                <w:rFonts w:cstheme="minorHAnsi"/>
                <w:sz w:val="20"/>
                <w:szCs w:val="20"/>
              </w:rPr>
              <w:t>.</w:t>
            </w:r>
            <w:r w:rsidRPr="00574B22">
              <w:rPr>
                <w:rFonts w:cstheme="minorHAnsi"/>
                <w:sz w:val="20"/>
                <w:szCs w:val="20"/>
              </w:rPr>
              <w:t>Mauvaise organisation des pools d’urgence ;</w:t>
            </w:r>
          </w:p>
          <w:p w:rsidR="00986FA2" w:rsidRPr="00574B22" w:rsidRDefault="00986FA2" w:rsidP="00003A3C">
            <w:pPr>
              <w:pStyle w:val="Paragraphedeliste"/>
              <w:widowControl w:val="0"/>
              <w:autoSpaceDE w:val="0"/>
              <w:autoSpaceDN w:val="0"/>
              <w:adjustRightInd w:val="0"/>
              <w:spacing w:before="35"/>
              <w:ind w:left="0"/>
              <w:jc w:val="both"/>
              <w:rPr>
                <w:rFonts w:cstheme="minorHAnsi"/>
                <w:color w:val="000000"/>
                <w:sz w:val="20"/>
                <w:szCs w:val="20"/>
              </w:rPr>
            </w:pPr>
            <w:r>
              <w:rPr>
                <w:rFonts w:cstheme="minorHAnsi"/>
                <w:sz w:val="20"/>
                <w:szCs w:val="20"/>
              </w:rPr>
              <w:t>.</w:t>
            </w:r>
            <w:r w:rsidRPr="00574B22">
              <w:rPr>
                <w:rFonts w:cstheme="minorHAnsi"/>
                <w:sz w:val="20"/>
                <w:szCs w:val="20"/>
              </w:rPr>
              <w:t xml:space="preserve">faible qualité de la coordination de l’offre de soins entre les structures publiques, privées et  traditionnelles </w:t>
            </w:r>
          </w:p>
          <w:p w:rsidR="00986FA2" w:rsidRDefault="00986FA2" w:rsidP="00003A3C">
            <w:pPr>
              <w:pStyle w:val="Paragraphedeliste"/>
              <w:widowControl w:val="0"/>
              <w:autoSpaceDE w:val="0"/>
              <w:autoSpaceDN w:val="0"/>
              <w:adjustRightInd w:val="0"/>
              <w:spacing w:before="35"/>
              <w:ind w:left="0"/>
              <w:jc w:val="both"/>
              <w:rPr>
                <w:rFonts w:cstheme="minorHAnsi"/>
                <w:sz w:val="20"/>
                <w:szCs w:val="20"/>
              </w:rPr>
            </w:pPr>
            <w:r>
              <w:rPr>
                <w:rFonts w:cstheme="minorHAnsi"/>
                <w:sz w:val="20"/>
                <w:szCs w:val="20"/>
              </w:rPr>
              <w:t>.</w:t>
            </w:r>
            <w:r w:rsidRPr="00574B22">
              <w:rPr>
                <w:rFonts w:cstheme="minorHAnsi"/>
                <w:sz w:val="20"/>
                <w:szCs w:val="20"/>
              </w:rPr>
              <w:t>Insuffisance dans la mise en œuvre du paquet minimum d’activité  dans la majorité des FS ;</w:t>
            </w:r>
          </w:p>
          <w:p w:rsidR="00986FA2" w:rsidRDefault="00986FA2" w:rsidP="00003A3C">
            <w:pPr>
              <w:pStyle w:val="Paragraphedeliste"/>
              <w:widowControl w:val="0"/>
              <w:autoSpaceDE w:val="0"/>
              <w:autoSpaceDN w:val="0"/>
              <w:adjustRightInd w:val="0"/>
              <w:spacing w:before="35"/>
              <w:ind w:left="0"/>
              <w:jc w:val="both"/>
              <w:rPr>
                <w:rFonts w:cstheme="minorHAnsi"/>
                <w:sz w:val="20"/>
                <w:szCs w:val="20"/>
              </w:rPr>
            </w:pPr>
            <w:r>
              <w:rPr>
                <w:rFonts w:cstheme="minorHAnsi"/>
                <w:sz w:val="20"/>
                <w:szCs w:val="20"/>
              </w:rPr>
              <w:t>.</w:t>
            </w:r>
            <w:r w:rsidRPr="006429AC">
              <w:rPr>
                <w:rFonts w:cstheme="minorHAnsi"/>
                <w:sz w:val="20"/>
                <w:szCs w:val="20"/>
              </w:rPr>
              <w:t>Insuffisance dans la mise en œuvre des plans de lutte contre les maladies transmissibles et non transmissibles</w:t>
            </w:r>
          </w:p>
          <w:p w:rsidR="00986FA2" w:rsidRPr="00C70C52" w:rsidRDefault="00986FA2" w:rsidP="00003A3C">
            <w:pPr>
              <w:pStyle w:val="Paragraphedeliste"/>
              <w:widowControl w:val="0"/>
              <w:autoSpaceDE w:val="0"/>
              <w:autoSpaceDN w:val="0"/>
              <w:adjustRightInd w:val="0"/>
              <w:spacing w:before="35"/>
              <w:ind w:left="0"/>
              <w:jc w:val="both"/>
              <w:rPr>
                <w:rFonts w:cstheme="minorHAnsi"/>
                <w:sz w:val="20"/>
                <w:szCs w:val="20"/>
              </w:rPr>
            </w:pPr>
            <w:r>
              <w:rPr>
                <w:rFonts w:cstheme="minorHAnsi"/>
                <w:sz w:val="20"/>
                <w:szCs w:val="20"/>
              </w:rPr>
              <w:t>.</w:t>
            </w:r>
            <w:r w:rsidRPr="006429AC">
              <w:rPr>
                <w:rFonts w:cstheme="minorHAnsi"/>
                <w:sz w:val="20"/>
                <w:szCs w:val="20"/>
              </w:rPr>
              <w:t>Faible utilisation des services à base communautaire </w:t>
            </w:r>
          </w:p>
        </w:tc>
        <w:tc>
          <w:tcPr>
            <w:tcW w:w="2410" w:type="dxa"/>
          </w:tcPr>
          <w:p w:rsidR="00986FA2" w:rsidRPr="00574B22" w:rsidRDefault="00986FA2" w:rsidP="00003A3C">
            <w:pPr>
              <w:pStyle w:val="Paragraphedeliste"/>
              <w:widowControl w:val="0"/>
              <w:autoSpaceDE w:val="0"/>
              <w:autoSpaceDN w:val="0"/>
              <w:adjustRightInd w:val="0"/>
              <w:spacing w:before="35"/>
              <w:ind w:left="0"/>
              <w:jc w:val="both"/>
              <w:rPr>
                <w:rFonts w:cstheme="minorHAnsi"/>
                <w:color w:val="000000"/>
                <w:sz w:val="20"/>
                <w:szCs w:val="20"/>
              </w:rPr>
            </w:pPr>
            <w:r>
              <w:rPr>
                <w:rFonts w:cstheme="minorHAnsi"/>
                <w:sz w:val="20"/>
                <w:szCs w:val="20"/>
              </w:rPr>
              <w:t>.</w:t>
            </w:r>
            <w:r w:rsidRPr="00574B22">
              <w:rPr>
                <w:rFonts w:cstheme="minorHAnsi"/>
                <w:sz w:val="20"/>
                <w:szCs w:val="20"/>
              </w:rPr>
              <w:t>Mise en place d’un centre régional de surveillance et de contrôle des épidémies dans l’espace sous régional (CEDEAO)</w:t>
            </w:r>
          </w:p>
          <w:p w:rsidR="00986FA2" w:rsidRPr="00C70C52" w:rsidRDefault="00986FA2" w:rsidP="00003A3C">
            <w:pPr>
              <w:pStyle w:val="Paragraphedeliste"/>
              <w:widowControl w:val="0"/>
              <w:autoSpaceDE w:val="0"/>
              <w:autoSpaceDN w:val="0"/>
              <w:adjustRightInd w:val="0"/>
              <w:spacing w:before="35"/>
              <w:ind w:left="0"/>
              <w:jc w:val="both"/>
              <w:rPr>
                <w:rFonts w:cstheme="minorHAnsi"/>
                <w:sz w:val="20"/>
                <w:szCs w:val="20"/>
              </w:rPr>
            </w:pPr>
            <w:r>
              <w:rPr>
                <w:rFonts w:cstheme="minorHAnsi"/>
                <w:sz w:val="20"/>
                <w:szCs w:val="20"/>
              </w:rPr>
              <w:t>.</w:t>
            </w:r>
            <w:r w:rsidRPr="00574B22">
              <w:rPr>
                <w:rFonts w:cstheme="minorHAnsi"/>
                <w:sz w:val="20"/>
                <w:szCs w:val="20"/>
              </w:rPr>
              <w:t>Volonté politique d’améliorer la prise en charge des urgences;</w:t>
            </w:r>
          </w:p>
        </w:tc>
        <w:tc>
          <w:tcPr>
            <w:tcW w:w="2268" w:type="dxa"/>
          </w:tcPr>
          <w:p w:rsidR="00986FA2" w:rsidRPr="00574B22" w:rsidRDefault="00986FA2" w:rsidP="00003A3C">
            <w:pPr>
              <w:pStyle w:val="Paragraphedeliste"/>
              <w:widowControl w:val="0"/>
              <w:autoSpaceDE w:val="0"/>
              <w:autoSpaceDN w:val="0"/>
              <w:adjustRightInd w:val="0"/>
              <w:spacing w:before="35"/>
              <w:ind w:left="0"/>
              <w:jc w:val="both"/>
              <w:rPr>
                <w:rFonts w:cstheme="minorHAnsi"/>
                <w:color w:val="000000"/>
                <w:sz w:val="20"/>
                <w:szCs w:val="20"/>
              </w:rPr>
            </w:pPr>
            <w:r>
              <w:rPr>
                <w:rFonts w:cstheme="minorHAnsi"/>
                <w:sz w:val="20"/>
                <w:szCs w:val="20"/>
                <w:lang w:bidi="fr-FR"/>
              </w:rPr>
              <w:t>.</w:t>
            </w:r>
            <w:r w:rsidRPr="00574B22">
              <w:rPr>
                <w:rFonts w:cstheme="minorHAnsi"/>
                <w:sz w:val="20"/>
                <w:szCs w:val="20"/>
                <w:lang w:bidi="fr-FR"/>
              </w:rPr>
              <w:t>Catastrophes naturelles (épidémies sécheresse, inondations…) ;</w:t>
            </w:r>
          </w:p>
          <w:p w:rsidR="00986FA2" w:rsidRPr="00574B22" w:rsidRDefault="00986FA2" w:rsidP="00003A3C">
            <w:pPr>
              <w:pStyle w:val="Paragraphedeliste"/>
              <w:widowControl w:val="0"/>
              <w:autoSpaceDE w:val="0"/>
              <w:autoSpaceDN w:val="0"/>
              <w:adjustRightInd w:val="0"/>
              <w:spacing w:before="35"/>
              <w:ind w:left="0"/>
              <w:jc w:val="both"/>
              <w:rPr>
                <w:rFonts w:cstheme="minorHAnsi"/>
                <w:color w:val="000000"/>
                <w:sz w:val="20"/>
                <w:szCs w:val="20"/>
              </w:rPr>
            </w:pPr>
            <w:r>
              <w:rPr>
                <w:rFonts w:cstheme="minorHAnsi"/>
                <w:sz w:val="20"/>
                <w:szCs w:val="20"/>
                <w:lang w:bidi="fr-FR"/>
              </w:rPr>
              <w:t>.</w:t>
            </w:r>
            <w:r w:rsidRPr="00574B22">
              <w:rPr>
                <w:rFonts w:cstheme="minorHAnsi"/>
                <w:sz w:val="20"/>
                <w:szCs w:val="20"/>
                <w:lang w:bidi="fr-FR"/>
              </w:rPr>
              <w:t xml:space="preserve">instabilités sociopolitiques nationale et /ou  régionale ; </w:t>
            </w:r>
          </w:p>
          <w:p w:rsidR="00986FA2" w:rsidRPr="00C70C52" w:rsidRDefault="00986FA2" w:rsidP="00003A3C">
            <w:pPr>
              <w:pStyle w:val="Paragraphedeliste"/>
              <w:widowControl w:val="0"/>
              <w:autoSpaceDE w:val="0"/>
              <w:autoSpaceDN w:val="0"/>
              <w:adjustRightInd w:val="0"/>
              <w:spacing w:before="35"/>
              <w:ind w:left="0"/>
              <w:jc w:val="both"/>
              <w:rPr>
                <w:rFonts w:cstheme="minorHAnsi"/>
                <w:sz w:val="20"/>
                <w:szCs w:val="20"/>
                <w:lang w:bidi="fr-FR"/>
              </w:rPr>
            </w:pPr>
            <w:r>
              <w:rPr>
                <w:rFonts w:cstheme="minorHAnsi"/>
                <w:sz w:val="20"/>
                <w:szCs w:val="20"/>
                <w:lang w:bidi="fr-FR"/>
              </w:rPr>
              <w:t>.</w:t>
            </w:r>
            <w:r w:rsidRPr="00574B22">
              <w:rPr>
                <w:rFonts w:cstheme="minorHAnsi"/>
                <w:sz w:val="20"/>
                <w:szCs w:val="20"/>
                <w:lang w:bidi="fr-FR"/>
              </w:rPr>
              <w:t>instabilité institutionnelle;</w:t>
            </w:r>
          </w:p>
        </w:tc>
      </w:tr>
      <w:tr w:rsidR="00986FA2" w:rsidRPr="00043639" w:rsidTr="00003A3C">
        <w:tc>
          <w:tcPr>
            <w:tcW w:w="1733" w:type="dxa"/>
          </w:tcPr>
          <w:p w:rsidR="00986FA2" w:rsidRPr="00043639" w:rsidRDefault="00986FA2" w:rsidP="00003A3C">
            <w:pPr>
              <w:rPr>
                <w:rFonts w:cstheme="minorHAnsi"/>
                <w:sz w:val="24"/>
                <w:szCs w:val="24"/>
                <w:lang w:val="fr-BE"/>
              </w:rPr>
            </w:pPr>
            <w:r>
              <w:rPr>
                <w:rFonts w:cstheme="minorHAnsi"/>
                <w:sz w:val="24"/>
                <w:szCs w:val="24"/>
                <w:lang w:val="fr-BE"/>
              </w:rPr>
              <w:t>Nutrition</w:t>
            </w:r>
          </w:p>
        </w:tc>
        <w:tc>
          <w:tcPr>
            <w:tcW w:w="4050" w:type="dxa"/>
          </w:tcPr>
          <w:p w:rsidR="00986FA2" w:rsidRDefault="00986FA2" w:rsidP="00003A3C">
            <w:pPr>
              <w:spacing w:after="120"/>
              <w:rPr>
                <w:sz w:val="20"/>
                <w:szCs w:val="20"/>
                <w:lang w:val="fr-BE"/>
              </w:rPr>
            </w:pPr>
            <w:r>
              <w:rPr>
                <w:rFonts w:cstheme="minorHAnsi"/>
                <w:color w:val="000000"/>
                <w:sz w:val="20"/>
                <w:szCs w:val="20"/>
                <w:lang w:val="fr-BE"/>
              </w:rPr>
              <w:t>.</w:t>
            </w:r>
            <w:r w:rsidRPr="00574B22">
              <w:rPr>
                <w:rFonts w:cstheme="minorHAnsi"/>
                <w:color w:val="000000"/>
                <w:sz w:val="20"/>
                <w:szCs w:val="20"/>
              </w:rPr>
              <w:t>existence du Conseil National de Sécurité Alimentaire CNSA et tenue régulière de ses instances ;</w:t>
            </w:r>
          </w:p>
          <w:p w:rsidR="00986FA2" w:rsidRPr="00574B22" w:rsidRDefault="00986FA2" w:rsidP="00003A3C">
            <w:pPr>
              <w:spacing w:after="120"/>
              <w:rPr>
                <w:sz w:val="20"/>
                <w:szCs w:val="20"/>
                <w:lang w:val="fr-BE"/>
              </w:rPr>
            </w:pPr>
            <w:r>
              <w:rPr>
                <w:sz w:val="20"/>
                <w:szCs w:val="20"/>
                <w:lang w:val="fr-BE"/>
              </w:rPr>
              <w:t>.</w:t>
            </w:r>
            <w:r w:rsidRPr="00574B22">
              <w:rPr>
                <w:rFonts w:cstheme="minorHAnsi"/>
                <w:color w:val="000000"/>
                <w:sz w:val="20"/>
                <w:szCs w:val="20"/>
              </w:rPr>
              <w:t>existence du stock national de sécurité alimentaire (SNS) ;</w:t>
            </w:r>
          </w:p>
          <w:p w:rsidR="00986FA2" w:rsidRPr="00574B22" w:rsidRDefault="00986FA2" w:rsidP="00003A3C">
            <w:pPr>
              <w:rPr>
                <w:sz w:val="20"/>
                <w:szCs w:val="20"/>
                <w:lang w:val="fr-BE"/>
              </w:rPr>
            </w:pPr>
            <w:r>
              <w:rPr>
                <w:sz w:val="20"/>
                <w:szCs w:val="20"/>
                <w:lang w:val="fr-BE"/>
              </w:rPr>
              <w:t>.</w:t>
            </w:r>
            <w:r w:rsidRPr="00574B22">
              <w:rPr>
                <w:rFonts w:cstheme="minorHAnsi"/>
                <w:color w:val="000000"/>
                <w:sz w:val="20"/>
                <w:szCs w:val="20"/>
              </w:rPr>
              <w:t>élaboration annuelle d’un plan de réponse et de soutien aux populations vulnérables (PRSPV) ;</w:t>
            </w:r>
          </w:p>
          <w:p w:rsidR="00986FA2" w:rsidRPr="00387A01" w:rsidRDefault="00986FA2" w:rsidP="00003A3C">
            <w:pPr>
              <w:pStyle w:val="Default"/>
              <w:rPr>
                <w:rFonts w:asciiTheme="minorHAnsi" w:eastAsiaTheme="minorHAnsi" w:hAnsiTheme="minorHAnsi" w:cstheme="minorHAnsi"/>
                <w:sz w:val="20"/>
                <w:szCs w:val="20"/>
              </w:rPr>
            </w:pPr>
            <w:r>
              <w:rPr>
                <w:rFonts w:asciiTheme="minorHAnsi" w:eastAsiaTheme="minorHAnsi" w:hAnsiTheme="minorHAnsi" w:cstheme="minorBidi"/>
                <w:color w:val="auto"/>
                <w:sz w:val="20"/>
                <w:szCs w:val="20"/>
                <w:lang w:val="fr-BE"/>
              </w:rPr>
              <w:t>.</w:t>
            </w:r>
            <w:r w:rsidRPr="00387A01">
              <w:rPr>
                <w:rFonts w:asciiTheme="minorHAnsi" w:eastAsiaTheme="minorHAnsi" w:hAnsiTheme="minorHAnsi" w:cstheme="minorHAnsi"/>
                <w:sz w:val="20"/>
                <w:szCs w:val="20"/>
              </w:rPr>
              <w:t xml:space="preserve">existence d’un système adéquat de détection et de prise en charge de la malnutrition (intégration de la prise en charge dans le paquet minimum d’activités, activités communautaires avec les ONG/Associations, </w:t>
            </w:r>
            <w:r w:rsidRPr="00387A01">
              <w:rPr>
                <w:rFonts w:asciiTheme="minorHAnsi" w:eastAsiaTheme="minorHAnsi" w:hAnsiTheme="minorHAnsi" w:cstheme="minorHAnsi"/>
                <w:sz w:val="20"/>
                <w:szCs w:val="20"/>
              </w:rPr>
              <w:lastRenderedPageBreak/>
              <w:t>ASBC, etc.) ;</w:t>
            </w:r>
          </w:p>
          <w:p w:rsidR="00986FA2" w:rsidRPr="00387A01" w:rsidRDefault="00986FA2" w:rsidP="00003A3C">
            <w:pPr>
              <w:pStyle w:val="Default"/>
              <w:rPr>
                <w:rFonts w:asciiTheme="minorHAnsi" w:eastAsiaTheme="minorHAnsi" w:hAnsiTheme="minorHAnsi" w:cstheme="minorHAnsi"/>
                <w:sz w:val="20"/>
                <w:szCs w:val="20"/>
              </w:rPr>
            </w:pPr>
            <w:r w:rsidRPr="00387A01">
              <w:rPr>
                <w:rFonts w:asciiTheme="minorHAnsi" w:eastAsiaTheme="minorHAnsi" w:hAnsiTheme="minorHAnsi" w:cstheme="minorHAnsi"/>
                <w:sz w:val="20"/>
                <w:szCs w:val="20"/>
              </w:rPr>
              <w:t xml:space="preserve"> .</w:t>
            </w:r>
            <w:r w:rsidRPr="00387A01">
              <w:rPr>
                <w:rFonts w:asciiTheme="minorHAnsi" w:hAnsiTheme="minorHAnsi" w:cstheme="minorHAnsi"/>
                <w:sz w:val="20"/>
                <w:szCs w:val="20"/>
              </w:rPr>
              <w:t>existence d’un Système d’information sur la malnutrition (enquête SMART, collecte de données en routine);</w:t>
            </w:r>
          </w:p>
          <w:p w:rsidR="00986FA2" w:rsidRPr="00F86AE9" w:rsidRDefault="00986FA2" w:rsidP="00003A3C">
            <w:pPr>
              <w:pStyle w:val="Default"/>
              <w:jc w:val="both"/>
              <w:rPr>
                <w:rFonts w:asciiTheme="minorHAnsi" w:eastAsiaTheme="minorHAnsi" w:hAnsiTheme="minorHAnsi" w:cstheme="minorHAnsi"/>
                <w:sz w:val="20"/>
                <w:szCs w:val="20"/>
              </w:rPr>
            </w:pPr>
            <w:r w:rsidRPr="00387A01">
              <w:rPr>
                <w:rFonts w:asciiTheme="minorHAnsi" w:eastAsiaTheme="minorHAnsi" w:hAnsiTheme="minorHAnsi" w:cstheme="minorHAnsi"/>
                <w:color w:val="auto"/>
                <w:sz w:val="20"/>
                <w:szCs w:val="20"/>
                <w:lang w:val="fr-BE"/>
              </w:rPr>
              <w:t>.</w:t>
            </w:r>
            <w:r w:rsidRPr="00387A01">
              <w:rPr>
                <w:rFonts w:asciiTheme="minorHAnsi" w:eastAsiaTheme="minorHAnsi" w:hAnsiTheme="minorHAnsi" w:cstheme="minorHAnsi"/>
                <w:sz w:val="20"/>
                <w:szCs w:val="20"/>
              </w:rPr>
              <w:t>existence de documents d’opérationnalisation de certaines interventions de nutrition (Plans ANJE et PCIMA, protocole de prise en charge, stratégie de lutte contre</w:t>
            </w:r>
            <w:r w:rsidRPr="00F86AE9">
              <w:rPr>
                <w:rFonts w:asciiTheme="minorHAnsi" w:eastAsiaTheme="minorHAnsi" w:hAnsiTheme="minorHAnsi" w:cstheme="minorHAnsi"/>
                <w:sz w:val="20"/>
                <w:szCs w:val="20"/>
              </w:rPr>
              <w:t xml:space="preserve"> les micronutriments, etc.); </w:t>
            </w:r>
          </w:p>
          <w:p w:rsidR="00986FA2" w:rsidRDefault="00986FA2" w:rsidP="00003A3C">
            <w:pPr>
              <w:rPr>
                <w:rFonts w:cstheme="minorHAnsi"/>
                <w:sz w:val="24"/>
                <w:szCs w:val="24"/>
                <w:lang w:val="fr-BE"/>
              </w:rPr>
            </w:pPr>
            <w:r>
              <w:rPr>
                <w:sz w:val="20"/>
                <w:szCs w:val="20"/>
                <w:lang w:val="fr-BE"/>
              </w:rPr>
              <w:t>.</w:t>
            </w:r>
            <w:r w:rsidRPr="00F86AE9">
              <w:rPr>
                <w:rFonts w:cstheme="minorHAnsi"/>
                <w:color w:val="000000"/>
                <w:sz w:val="20"/>
                <w:szCs w:val="20"/>
              </w:rPr>
              <w:t>existence du Fonds d’Appui à la Sécurité Alimentaire (FASA)</w:t>
            </w:r>
          </w:p>
        </w:tc>
        <w:tc>
          <w:tcPr>
            <w:tcW w:w="3969" w:type="dxa"/>
          </w:tcPr>
          <w:p w:rsidR="00986FA2" w:rsidRPr="00574B22" w:rsidRDefault="00986FA2" w:rsidP="00003A3C">
            <w:pPr>
              <w:rPr>
                <w:rFonts w:cstheme="minorHAnsi"/>
                <w:color w:val="000000"/>
                <w:sz w:val="20"/>
                <w:szCs w:val="20"/>
              </w:rPr>
            </w:pPr>
            <w:r>
              <w:rPr>
                <w:rFonts w:cstheme="minorHAnsi"/>
                <w:color w:val="000000"/>
                <w:sz w:val="20"/>
                <w:szCs w:val="20"/>
                <w:lang w:val="fr-BE"/>
              </w:rPr>
              <w:lastRenderedPageBreak/>
              <w:t>.</w:t>
            </w:r>
            <w:r w:rsidRPr="00574B22">
              <w:rPr>
                <w:rFonts w:cstheme="minorHAnsi"/>
                <w:color w:val="000000"/>
                <w:sz w:val="20"/>
                <w:szCs w:val="20"/>
              </w:rPr>
              <w:t>faible participation des acteurs nationaux (Etat &amp; Privés) au financement ;</w:t>
            </w:r>
          </w:p>
          <w:p w:rsidR="00986FA2" w:rsidRPr="00574B22" w:rsidRDefault="00986FA2" w:rsidP="00003A3C">
            <w:pPr>
              <w:rPr>
                <w:sz w:val="20"/>
                <w:szCs w:val="20"/>
                <w:lang w:val="fr-BE"/>
              </w:rPr>
            </w:pPr>
            <w:r>
              <w:rPr>
                <w:rFonts w:cstheme="minorHAnsi"/>
                <w:color w:val="000000"/>
                <w:sz w:val="20"/>
                <w:szCs w:val="20"/>
              </w:rPr>
              <w:t>.</w:t>
            </w:r>
            <w:r w:rsidRPr="00574B22">
              <w:rPr>
                <w:rFonts w:cstheme="minorHAnsi"/>
                <w:color w:val="000000"/>
                <w:sz w:val="20"/>
                <w:szCs w:val="20"/>
              </w:rPr>
              <w:t>difficultés d’identification et de ciblage des  ménages vulnérables ;</w:t>
            </w:r>
          </w:p>
          <w:p w:rsidR="00986FA2" w:rsidRPr="00574B22" w:rsidRDefault="00986FA2" w:rsidP="00003A3C">
            <w:pPr>
              <w:rPr>
                <w:sz w:val="20"/>
                <w:szCs w:val="20"/>
                <w:lang w:val="fr-BE"/>
              </w:rPr>
            </w:pPr>
            <w:r>
              <w:rPr>
                <w:sz w:val="20"/>
                <w:szCs w:val="20"/>
                <w:lang w:val="fr-BE"/>
              </w:rPr>
              <w:t>.</w:t>
            </w:r>
            <w:r w:rsidRPr="00574B22">
              <w:rPr>
                <w:rFonts w:cstheme="minorHAnsi"/>
                <w:color w:val="000000"/>
                <w:sz w:val="20"/>
                <w:szCs w:val="20"/>
              </w:rPr>
              <w:t>faible opérationnalisation des cadres locaux (régionale, provinciale et départementale) ;</w:t>
            </w:r>
          </w:p>
          <w:p w:rsidR="00986FA2" w:rsidRPr="00F86AE9" w:rsidRDefault="00986FA2" w:rsidP="00003A3C">
            <w:pPr>
              <w:pStyle w:val="Default"/>
              <w:rPr>
                <w:rFonts w:asciiTheme="minorHAnsi" w:eastAsiaTheme="minorHAnsi" w:hAnsiTheme="minorHAnsi" w:cstheme="minorHAnsi"/>
                <w:sz w:val="20"/>
                <w:szCs w:val="20"/>
              </w:rPr>
            </w:pPr>
            <w:r>
              <w:rPr>
                <w:rFonts w:asciiTheme="minorHAnsi" w:eastAsiaTheme="minorHAnsi" w:hAnsiTheme="minorHAnsi" w:cstheme="minorBidi"/>
                <w:color w:val="auto"/>
                <w:sz w:val="20"/>
                <w:szCs w:val="20"/>
                <w:lang w:val="fr-BE"/>
              </w:rPr>
              <w:t>.</w:t>
            </w:r>
            <w:r w:rsidRPr="00F86AE9">
              <w:rPr>
                <w:rFonts w:asciiTheme="minorHAnsi" w:eastAsiaTheme="minorHAnsi" w:hAnsiTheme="minorHAnsi" w:cstheme="minorHAnsi"/>
                <w:sz w:val="20"/>
                <w:szCs w:val="20"/>
              </w:rPr>
              <w:t xml:space="preserve">Prise en compte insuffisante des questions de nutrition dans certains programmes et politiques de développement ; </w:t>
            </w:r>
          </w:p>
          <w:p w:rsidR="00986FA2" w:rsidRPr="00F86AE9" w:rsidRDefault="00986FA2" w:rsidP="00003A3C">
            <w:pPr>
              <w:pStyle w:val="Default"/>
              <w:rPr>
                <w:rFonts w:asciiTheme="minorHAnsi" w:eastAsiaTheme="minorHAnsi" w:hAnsiTheme="minorHAnsi" w:cstheme="minorHAnsi"/>
                <w:sz w:val="20"/>
                <w:szCs w:val="20"/>
              </w:rPr>
            </w:pPr>
            <w:r>
              <w:rPr>
                <w:rFonts w:asciiTheme="minorHAnsi" w:eastAsiaTheme="minorHAnsi" w:hAnsiTheme="minorHAnsi" w:cstheme="minorHAnsi"/>
                <w:sz w:val="20"/>
                <w:szCs w:val="20"/>
              </w:rPr>
              <w:t>.</w:t>
            </w:r>
            <w:r w:rsidRPr="00F86AE9">
              <w:rPr>
                <w:rFonts w:asciiTheme="minorHAnsi" w:eastAsiaTheme="minorHAnsi" w:hAnsiTheme="minorHAnsi" w:cstheme="minorHAnsi"/>
                <w:sz w:val="20"/>
                <w:szCs w:val="20"/>
              </w:rPr>
              <w:t>Prise en compte insuffisante de la nutrition dans les plans et programmes de développement régionaux et communaux ;</w:t>
            </w:r>
          </w:p>
          <w:p w:rsidR="00986FA2" w:rsidRDefault="00986FA2" w:rsidP="00003A3C">
            <w:pPr>
              <w:rPr>
                <w:rFonts w:cstheme="minorHAnsi"/>
                <w:sz w:val="24"/>
                <w:szCs w:val="24"/>
                <w:lang w:val="fr-BE"/>
              </w:rPr>
            </w:pPr>
            <w:r>
              <w:rPr>
                <w:rFonts w:cstheme="minorHAnsi"/>
                <w:sz w:val="20"/>
                <w:szCs w:val="20"/>
              </w:rPr>
              <w:t>.</w:t>
            </w:r>
            <w:r w:rsidRPr="00F86AE9">
              <w:rPr>
                <w:rFonts w:cstheme="minorHAnsi"/>
                <w:sz w:val="20"/>
                <w:szCs w:val="20"/>
              </w:rPr>
              <w:t xml:space="preserve">faible couverture (géographiques et cibles) des interventions spécifiques préventives et </w:t>
            </w:r>
            <w:r w:rsidRPr="00F86AE9">
              <w:rPr>
                <w:rFonts w:cstheme="minorHAnsi"/>
                <w:sz w:val="20"/>
                <w:szCs w:val="20"/>
              </w:rPr>
              <w:lastRenderedPageBreak/>
              <w:t>des interventions sensibles de nutrition</w:t>
            </w:r>
          </w:p>
        </w:tc>
        <w:tc>
          <w:tcPr>
            <w:tcW w:w="2410" w:type="dxa"/>
          </w:tcPr>
          <w:p w:rsidR="00986FA2" w:rsidRPr="00574B22" w:rsidRDefault="00986FA2" w:rsidP="00003A3C">
            <w:pPr>
              <w:jc w:val="both"/>
              <w:rPr>
                <w:sz w:val="20"/>
                <w:szCs w:val="20"/>
                <w:lang w:val="fr-BE"/>
              </w:rPr>
            </w:pPr>
            <w:r w:rsidRPr="00574B22">
              <w:rPr>
                <w:rFonts w:cstheme="minorHAnsi"/>
                <w:color w:val="000000"/>
                <w:sz w:val="20"/>
                <w:szCs w:val="20"/>
                <w:lang w:val="fr-BE"/>
              </w:rPr>
              <w:lastRenderedPageBreak/>
              <w:t>.</w:t>
            </w:r>
            <w:r w:rsidRPr="00574B22">
              <w:rPr>
                <w:rFonts w:cstheme="minorHAnsi"/>
                <w:color w:val="000000"/>
                <w:sz w:val="20"/>
                <w:szCs w:val="20"/>
              </w:rPr>
              <w:t>adhésion du Burkina aux instruments internationaux et régionaux favorables à la sécurité alimentaire et nutritionnelle (Mouvement SUN, REACH, AGIR, Cadre USAID, cadre UE, ANRS) ;</w:t>
            </w:r>
          </w:p>
          <w:p w:rsidR="00986FA2" w:rsidRPr="00574B22" w:rsidRDefault="00986FA2" w:rsidP="00003A3C">
            <w:pPr>
              <w:ind w:left="360"/>
              <w:jc w:val="both"/>
              <w:rPr>
                <w:sz w:val="20"/>
                <w:szCs w:val="20"/>
                <w:lang w:val="fr-BE"/>
              </w:rPr>
            </w:pPr>
          </w:p>
          <w:p w:rsidR="00986FA2" w:rsidRDefault="00986FA2" w:rsidP="00003A3C">
            <w:pPr>
              <w:rPr>
                <w:rFonts w:cstheme="minorHAnsi"/>
                <w:sz w:val="20"/>
                <w:szCs w:val="20"/>
              </w:rPr>
            </w:pPr>
            <w:r w:rsidRPr="00574B22">
              <w:rPr>
                <w:rFonts w:cstheme="minorHAnsi"/>
                <w:sz w:val="20"/>
                <w:szCs w:val="20"/>
                <w:lang w:val="fr-BE"/>
              </w:rPr>
              <w:t>.</w:t>
            </w:r>
            <w:r w:rsidRPr="00574B22">
              <w:rPr>
                <w:rFonts w:cstheme="minorHAnsi"/>
                <w:sz w:val="20"/>
                <w:szCs w:val="20"/>
              </w:rPr>
              <w:t xml:space="preserve">Inscription de la lutte contre la malnutrition dans les objectifs de développements durables </w:t>
            </w:r>
            <w:r w:rsidRPr="00574B22">
              <w:rPr>
                <w:rFonts w:cstheme="minorHAnsi"/>
                <w:sz w:val="20"/>
                <w:szCs w:val="20"/>
              </w:rPr>
              <w:lastRenderedPageBreak/>
              <w:t>(ODD2)</w:t>
            </w:r>
          </w:p>
          <w:p w:rsidR="00986FA2" w:rsidRPr="00574B22" w:rsidRDefault="00986FA2" w:rsidP="00003A3C">
            <w:pPr>
              <w:rPr>
                <w:rFonts w:cstheme="minorHAnsi"/>
                <w:sz w:val="20"/>
                <w:szCs w:val="20"/>
                <w:lang w:val="fr-BE"/>
              </w:rPr>
            </w:pPr>
            <w:r>
              <w:rPr>
                <w:rFonts w:cstheme="minorHAnsi"/>
                <w:sz w:val="20"/>
                <w:szCs w:val="20"/>
              </w:rPr>
              <w:t>.</w:t>
            </w:r>
            <w:r w:rsidRPr="006429AC">
              <w:rPr>
                <w:rFonts w:cstheme="minorHAnsi"/>
                <w:sz w:val="20"/>
                <w:szCs w:val="20"/>
              </w:rPr>
              <w:t>La déclaration de la décennie de la nutrition par les systèmes des nations unies</w:t>
            </w:r>
          </w:p>
        </w:tc>
        <w:tc>
          <w:tcPr>
            <w:tcW w:w="2268" w:type="dxa"/>
          </w:tcPr>
          <w:p w:rsidR="00986FA2" w:rsidRPr="00574B22" w:rsidRDefault="00986FA2" w:rsidP="00003A3C">
            <w:pPr>
              <w:spacing w:line="276" w:lineRule="auto"/>
              <w:jc w:val="both"/>
              <w:rPr>
                <w:rFonts w:cstheme="minorHAnsi"/>
                <w:color w:val="000000"/>
                <w:sz w:val="20"/>
                <w:szCs w:val="20"/>
              </w:rPr>
            </w:pPr>
            <w:r>
              <w:rPr>
                <w:rFonts w:cstheme="minorHAnsi"/>
                <w:color w:val="000000"/>
                <w:sz w:val="20"/>
                <w:szCs w:val="20"/>
              </w:rPr>
              <w:lastRenderedPageBreak/>
              <w:t>.</w:t>
            </w:r>
            <w:r w:rsidRPr="00574B22">
              <w:rPr>
                <w:rFonts w:cstheme="minorHAnsi"/>
                <w:color w:val="000000"/>
                <w:sz w:val="20"/>
                <w:szCs w:val="20"/>
              </w:rPr>
              <w:t>forte dépendance du financement extérieur ;</w:t>
            </w:r>
          </w:p>
          <w:p w:rsidR="00986FA2" w:rsidRPr="00574B22" w:rsidRDefault="00986FA2" w:rsidP="00003A3C">
            <w:pPr>
              <w:rPr>
                <w:rFonts w:cstheme="minorHAnsi"/>
                <w:sz w:val="20"/>
                <w:szCs w:val="20"/>
                <w:lang w:val="fr-BE"/>
              </w:rPr>
            </w:pPr>
            <w:r>
              <w:rPr>
                <w:rFonts w:cstheme="minorHAnsi"/>
                <w:color w:val="000000"/>
                <w:sz w:val="20"/>
                <w:szCs w:val="20"/>
              </w:rPr>
              <w:t>.</w:t>
            </w:r>
            <w:r w:rsidRPr="00574B22">
              <w:rPr>
                <w:rFonts w:cstheme="minorHAnsi"/>
                <w:color w:val="000000"/>
                <w:sz w:val="20"/>
                <w:szCs w:val="20"/>
              </w:rPr>
              <w:t>catastrophes naturelles et anthropiques </w:t>
            </w:r>
          </w:p>
        </w:tc>
      </w:tr>
      <w:tr w:rsidR="00986FA2" w:rsidRPr="00043639" w:rsidTr="00003A3C">
        <w:tc>
          <w:tcPr>
            <w:tcW w:w="1733" w:type="dxa"/>
          </w:tcPr>
          <w:p w:rsidR="00986FA2" w:rsidRPr="00043639" w:rsidRDefault="00986FA2" w:rsidP="00003A3C">
            <w:pPr>
              <w:rPr>
                <w:rFonts w:cstheme="minorHAnsi"/>
                <w:sz w:val="24"/>
                <w:szCs w:val="24"/>
                <w:lang w:val="fr-BE"/>
              </w:rPr>
            </w:pPr>
            <w:r>
              <w:rPr>
                <w:rFonts w:cstheme="minorHAnsi"/>
                <w:sz w:val="24"/>
                <w:szCs w:val="24"/>
                <w:lang w:val="fr-BE"/>
              </w:rPr>
              <w:lastRenderedPageBreak/>
              <w:t>Mariage précoce des enfants</w:t>
            </w:r>
          </w:p>
        </w:tc>
        <w:tc>
          <w:tcPr>
            <w:tcW w:w="4050" w:type="dxa"/>
          </w:tcPr>
          <w:p w:rsidR="00986FA2" w:rsidRPr="00F11C66" w:rsidRDefault="00986FA2" w:rsidP="00003A3C">
            <w:pPr>
              <w:pStyle w:val="Default"/>
              <w:spacing w:line="276" w:lineRule="auto"/>
              <w:jc w:val="both"/>
              <w:rPr>
                <w:rFonts w:asciiTheme="minorHAnsi" w:hAnsiTheme="minorHAnsi" w:cstheme="minorHAnsi"/>
                <w:sz w:val="20"/>
                <w:szCs w:val="20"/>
                <w:lang w:val="fr-BE"/>
              </w:rPr>
            </w:pPr>
            <w:r w:rsidRPr="00F11C66">
              <w:rPr>
                <w:rFonts w:asciiTheme="minorHAnsi" w:hAnsiTheme="minorHAnsi" w:cstheme="minorHAnsi"/>
                <w:sz w:val="20"/>
                <w:szCs w:val="20"/>
                <w:lang w:val="fr-BE"/>
              </w:rPr>
              <w:t>.</w:t>
            </w:r>
            <w:r>
              <w:rPr>
                <w:rFonts w:asciiTheme="minorHAnsi" w:hAnsiTheme="minorHAnsi" w:cstheme="minorHAnsi"/>
                <w:sz w:val="20"/>
                <w:szCs w:val="20"/>
                <w:lang w:val="fr-BE"/>
              </w:rPr>
              <w:t>Existence d’un c</w:t>
            </w:r>
            <w:r w:rsidRPr="00F11C66">
              <w:rPr>
                <w:rFonts w:asciiTheme="minorHAnsi" w:hAnsiTheme="minorHAnsi" w:cstheme="minorHAnsi"/>
                <w:sz w:val="20"/>
                <w:szCs w:val="20"/>
                <w:lang w:val="fr-BE"/>
              </w:rPr>
              <w:t>adre juridique et réglementaire</w:t>
            </w:r>
          </w:p>
          <w:p w:rsidR="00986FA2" w:rsidRPr="00F11C66" w:rsidRDefault="00986FA2" w:rsidP="00003A3C">
            <w:pPr>
              <w:pStyle w:val="Default"/>
              <w:spacing w:line="276" w:lineRule="auto"/>
              <w:jc w:val="both"/>
              <w:rPr>
                <w:rFonts w:asciiTheme="minorHAnsi" w:hAnsiTheme="minorHAnsi" w:cstheme="minorHAnsi"/>
                <w:sz w:val="20"/>
                <w:szCs w:val="20"/>
                <w:lang w:val="fr-BE"/>
              </w:rPr>
            </w:pPr>
            <w:r w:rsidRPr="00F11C66">
              <w:rPr>
                <w:rFonts w:asciiTheme="minorHAnsi" w:hAnsiTheme="minorHAnsi" w:cstheme="minorHAnsi"/>
                <w:sz w:val="20"/>
                <w:szCs w:val="20"/>
                <w:lang w:val="fr-BE"/>
              </w:rPr>
              <w:t xml:space="preserve">Stratégie Nationale de Prévention et d’Elimination du Mariage d’Enfants (SNPEME) 2016-2025 .Plateforme multisectorielle de prévention et d’élimination du mariage d’enfants au BF en septembre 2015. </w:t>
            </w:r>
          </w:p>
          <w:p w:rsidR="00986FA2" w:rsidRPr="00F11C66" w:rsidRDefault="00986FA2" w:rsidP="00003A3C">
            <w:pPr>
              <w:pStyle w:val="Default"/>
              <w:spacing w:line="276" w:lineRule="auto"/>
              <w:jc w:val="both"/>
              <w:rPr>
                <w:rFonts w:ascii="Arial" w:hAnsi="Arial" w:cs="Arial"/>
                <w:sz w:val="20"/>
                <w:szCs w:val="20"/>
                <w:lang w:val="fr-BE"/>
              </w:rPr>
            </w:pPr>
            <w:r w:rsidRPr="00F11C66">
              <w:rPr>
                <w:rFonts w:asciiTheme="minorHAnsi" w:hAnsiTheme="minorHAnsi" w:cstheme="minorHAnsi"/>
                <w:sz w:val="20"/>
                <w:szCs w:val="20"/>
                <w:lang w:val="fr-BE"/>
              </w:rPr>
              <w:t xml:space="preserve">.l’élaboration et la mise en œuvre du projet « </w:t>
            </w:r>
            <w:proofErr w:type="spellStart"/>
            <w:r w:rsidRPr="00F11C66">
              <w:rPr>
                <w:rFonts w:asciiTheme="minorHAnsi" w:hAnsiTheme="minorHAnsi" w:cstheme="minorHAnsi"/>
                <w:sz w:val="20"/>
                <w:szCs w:val="20"/>
                <w:lang w:val="fr-BE"/>
              </w:rPr>
              <w:t>Sukaabe</w:t>
            </w:r>
            <w:proofErr w:type="spellEnd"/>
            <w:r w:rsidRPr="00F11C66">
              <w:rPr>
                <w:rFonts w:asciiTheme="minorHAnsi" w:hAnsiTheme="minorHAnsi" w:cstheme="minorHAnsi"/>
                <w:sz w:val="20"/>
                <w:szCs w:val="20"/>
                <w:lang w:val="fr-BE"/>
              </w:rPr>
              <w:t xml:space="preserve"> </w:t>
            </w:r>
            <w:proofErr w:type="spellStart"/>
            <w:r w:rsidRPr="00F11C66">
              <w:rPr>
                <w:rFonts w:asciiTheme="minorHAnsi" w:hAnsiTheme="minorHAnsi" w:cstheme="minorHAnsi"/>
                <w:sz w:val="20"/>
                <w:szCs w:val="20"/>
                <w:lang w:val="fr-BE"/>
              </w:rPr>
              <w:t>Rewle</w:t>
            </w:r>
            <w:proofErr w:type="spellEnd"/>
            <w:r w:rsidRPr="00F11C66">
              <w:rPr>
                <w:rFonts w:asciiTheme="minorHAnsi" w:hAnsiTheme="minorHAnsi" w:cstheme="minorHAnsi"/>
                <w:sz w:val="20"/>
                <w:szCs w:val="20"/>
                <w:lang w:val="fr-BE"/>
              </w:rPr>
              <w:t xml:space="preserve"> » ou lutte contre le mariage d’enfants de 2016-2019</w:t>
            </w:r>
            <w:r w:rsidRPr="004C6C51">
              <w:rPr>
                <w:rFonts w:ascii="Arial" w:hAnsi="Arial" w:cs="Arial"/>
                <w:sz w:val="20"/>
                <w:szCs w:val="20"/>
                <w:lang w:val="fr-BE"/>
              </w:rPr>
              <w:t xml:space="preserve"> </w:t>
            </w:r>
          </w:p>
        </w:tc>
        <w:tc>
          <w:tcPr>
            <w:tcW w:w="3969" w:type="dxa"/>
          </w:tcPr>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 xml:space="preserve">Retard dans la mise en œuvre du projet « </w:t>
            </w:r>
            <w:proofErr w:type="spellStart"/>
            <w:r w:rsidRPr="00B57FDE">
              <w:rPr>
                <w:rFonts w:asciiTheme="minorHAnsi" w:hAnsiTheme="minorHAnsi" w:cstheme="minorHAnsi"/>
                <w:sz w:val="20"/>
                <w:szCs w:val="20"/>
                <w:lang w:val="fr-BE"/>
              </w:rPr>
              <w:t>Sukaabe</w:t>
            </w:r>
            <w:proofErr w:type="spellEnd"/>
            <w:r w:rsidRPr="00B57FDE">
              <w:rPr>
                <w:rFonts w:asciiTheme="minorHAnsi" w:hAnsiTheme="minorHAnsi" w:cstheme="minorHAnsi"/>
                <w:sz w:val="20"/>
                <w:szCs w:val="20"/>
                <w:lang w:val="fr-BE"/>
              </w:rPr>
              <w:t xml:space="preserve"> </w:t>
            </w:r>
            <w:proofErr w:type="spellStart"/>
            <w:r w:rsidRPr="00B57FDE">
              <w:rPr>
                <w:rFonts w:asciiTheme="minorHAnsi" w:hAnsiTheme="minorHAnsi" w:cstheme="minorHAnsi"/>
                <w:sz w:val="20"/>
                <w:szCs w:val="20"/>
                <w:lang w:val="fr-BE"/>
              </w:rPr>
              <w:t>Rewle</w:t>
            </w:r>
            <w:proofErr w:type="spellEnd"/>
            <w:r w:rsidRPr="00B57FDE">
              <w:rPr>
                <w:rFonts w:asciiTheme="minorHAnsi" w:hAnsiTheme="minorHAnsi" w:cstheme="minorHAnsi"/>
                <w:sz w:val="20"/>
                <w:szCs w:val="20"/>
                <w:lang w:val="fr-BE"/>
              </w:rPr>
              <w:t xml:space="preserve"> »</w:t>
            </w:r>
          </w:p>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faible coordination des interventions sur le terrain ;</w:t>
            </w:r>
          </w:p>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 xml:space="preserve">faible accompagnement de l’Etat et des PTF dans la mise en œuvre la SNPEME; </w:t>
            </w:r>
          </w:p>
          <w:p w:rsidR="00986FA2" w:rsidRDefault="00986FA2" w:rsidP="00003A3C">
            <w:pPr>
              <w:rPr>
                <w:rFonts w:cstheme="minorHAnsi"/>
                <w:sz w:val="24"/>
                <w:szCs w:val="24"/>
                <w:lang w:val="fr-BE"/>
              </w:rPr>
            </w:pPr>
            <w:r>
              <w:rPr>
                <w:rFonts w:cstheme="minorHAnsi"/>
                <w:sz w:val="20"/>
                <w:szCs w:val="20"/>
                <w:lang w:val="fr-BE"/>
              </w:rPr>
              <w:t>.</w:t>
            </w:r>
            <w:r w:rsidRPr="00B57FDE">
              <w:rPr>
                <w:rFonts w:cstheme="minorHAnsi"/>
                <w:sz w:val="20"/>
                <w:szCs w:val="20"/>
                <w:lang w:val="fr-BE"/>
              </w:rPr>
              <w:t>le déphasage entre le CPF et les textes ratifiés par le BF sur certains aspects liés au mariage: le CPF fixe l’âge pour le mariage des filles à 17 ans tandis qu’au niveau international, il est de 18 ans au moins.</w:t>
            </w:r>
          </w:p>
        </w:tc>
        <w:tc>
          <w:tcPr>
            <w:tcW w:w="2410" w:type="dxa"/>
          </w:tcPr>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 xml:space="preserve">l’intérêt manifesté par les institutions internationales dont l’UA pour le Burkina Faso dans le cadre de la promotion de l’abandon du mariage d’enfants </w:t>
            </w:r>
          </w:p>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 xml:space="preserve">existence d’une plateforme multisectorielle de prévention et d’élimination du mariage d’enfants au BF en septembre 2015. </w:t>
            </w:r>
          </w:p>
          <w:p w:rsidR="00986FA2" w:rsidRPr="00574B22" w:rsidRDefault="00986FA2" w:rsidP="00003A3C">
            <w:pPr>
              <w:rPr>
                <w:rFonts w:cstheme="minorHAnsi"/>
                <w:sz w:val="24"/>
                <w:szCs w:val="24"/>
                <w:lang w:val="fr-BE"/>
              </w:rPr>
            </w:pPr>
            <w:r>
              <w:rPr>
                <w:rFonts w:cstheme="minorHAnsi"/>
                <w:sz w:val="20"/>
                <w:szCs w:val="20"/>
                <w:lang w:val="fr-BE"/>
              </w:rPr>
              <w:t>.</w:t>
            </w:r>
            <w:r w:rsidRPr="00574B22">
              <w:rPr>
                <w:rFonts w:cstheme="minorHAnsi"/>
                <w:sz w:val="20"/>
                <w:szCs w:val="20"/>
                <w:lang w:val="fr-BE"/>
              </w:rPr>
              <w:t>Relecture du CPF</w:t>
            </w:r>
          </w:p>
        </w:tc>
        <w:tc>
          <w:tcPr>
            <w:tcW w:w="2268" w:type="dxa"/>
          </w:tcPr>
          <w:p w:rsidR="00986FA2" w:rsidRDefault="00986FA2" w:rsidP="00003A3C">
            <w:pPr>
              <w:rPr>
                <w:rFonts w:cstheme="minorHAnsi"/>
                <w:sz w:val="24"/>
                <w:szCs w:val="24"/>
                <w:lang w:val="fr-BE"/>
              </w:rPr>
            </w:pPr>
          </w:p>
        </w:tc>
      </w:tr>
      <w:tr w:rsidR="00986FA2" w:rsidRPr="00043639" w:rsidTr="00003A3C">
        <w:tc>
          <w:tcPr>
            <w:tcW w:w="1733" w:type="dxa"/>
          </w:tcPr>
          <w:p w:rsidR="00986FA2" w:rsidRDefault="00986FA2" w:rsidP="00003A3C">
            <w:pPr>
              <w:rPr>
                <w:rFonts w:cstheme="minorHAnsi"/>
                <w:sz w:val="24"/>
                <w:szCs w:val="24"/>
                <w:lang w:val="fr-BE"/>
              </w:rPr>
            </w:pPr>
            <w:r>
              <w:rPr>
                <w:rFonts w:cstheme="minorHAnsi"/>
                <w:sz w:val="24"/>
                <w:szCs w:val="24"/>
                <w:lang w:val="fr-BE"/>
              </w:rPr>
              <w:t>Planification familiale</w:t>
            </w:r>
          </w:p>
        </w:tc>
        <w:tc>
          <w:tcPr>
            <w:tcW w:w="4050" w:type="dxa"/>
          </w:tcPr>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Surveillance hebdomadaire des stocks de produits de SR/PF</w:t>
            </w:r>
          </w:p>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Réalisation régulière de l’enquête annuelle sur la disponibilité des produits de SR</w:t>
            </w:r>
          </w:p>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 xml:space="preserve">Augmentation du pourcentage des PPS n’ayant pas connu de rupture de stock d’un produit contraceptif moderne (25,1% en 2012, 79,9% en 2013, 82,5% en 2014 et 64,1% en </w:t>
            </w:r>
            <w:r w:rsidRPr="00B57FDE">
              <w:rPr>
                <w:rFonts w:asciiTheme="minorHAnsi" w:hAnsiTheme="minorHAnsi" w:cstheme="minorHAnsi"/>
                <w:sz w:val="20"/>
                <w:szCs w:val="20"/>
                <w:lang w:val="fr-BE"/>
              </w:rPr>
              <w:lastRenderedPageBreak/>
              <w:t>2015)</w:t>
            </w:r>
          </w:p>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PF en stratégies avancées et mobiles</w:t>
            </w:r>
          </w:p>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Organisation de la SNPF</w:t>
            </w:r>
          </w:p>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Expérimentation et la vulgarisation de l’</w:t>
            </w:r>
            <w:proofErr w:type="spellStart"/>
            <w:r w:rsidRPr="00B57FDE">
              <w:rPr>
                <w:rFonts w:asciiTheme="minorHAnsi" w:hAnsiTheme="minorHAnsi" w:cstheme="minorHAnsi"/>
                <w:sz w:val="20"/>
                <w:szCs w:val="20"/>
                <w:lang w:val="fr-BE"/>
              </w:rPr>
              <w:t>uniject</w:t>
            </w:r>
            <w:proofErr w:type="spellEnd"/>
          </w:p>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Accélération de la PF/PP</w:t>
            </w:r>
          </w:p>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 xml:space="preserve">Distribution à base communautaire </w:t>
            </w:r>
          </w:p>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Mobilisation des parties prenantes dans la mise en œuvre du plan de relance</w:t>
            </w:r>
          </w:p>
          <w:p w:rsidR="00986FA2" w:rsidRDefault="00986FA2" w:rsidP="00003A3C">
            <w:pPr>
              <w:rPr>
                <w:rFonts w:cstheme="minorHAnsi"/>
                <w:sz w:val="24"/>
                <w:szCs w:val="24"/>
                <w:lang w:val="fr-BE"/>
              </w:rPr>
            </w:pPr>
          </w:p>
        </w:tc>
        <w:tc>
          <w:tcPr>
            <w:tcW w:w="3969" w:type="dxa"/>
          </w:tcPr>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lastRenderedPageBreak/>
              <w:t>.</w:t>
            </w:r>
            <w:r w:rsidRPr="00B57FDE">
              <w:rPr>
                <w:rFonts w:asciiTheme="minorHAnsi" w:hAnsiTheme="minorHAnsi" w:cstheme="minorHAnsi"/>
                <w:sz w:val="20"/>
                <w:szCs w:val="20"/>
                <w:lang w:val="fr-BE"/>
              </w:rPr>
              <w:t>Faible implication des hommes</w:t>
            </w:r>
          </w:p>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Analphabétisme des femmes</w:t>
            </w:r>
          </w:p>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Faible utilisation du logiciel Channel</w:t>
            </w:r>
          </w:p>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Insuffisance de la gestion des stocks</w:t>
            </w:r>
          </w:p>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Non prise en compte des consommables des méthodes de longues durées dans l’expression des besoins</w:t>
            </w:r>
          </w:p>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 xml:space="preserve">Insuffisance de financements des produits </w:t>
            </w:r>
            <w:r w:rsidRPr="00B57FDE">
              <w:rPr>
                <w:rFonts w:asciiTheme="minorHAnsi" w:hAnsiTheme="minorHAnsi" w:cstheme="minorHAnsi"/>
                <w:sz w:val="20"/>
                <w:szCs w:val="20"/>
                <w:lang w:val="fr-BE"/>
              </w:rPr>
              <w:lastRenderedPageBreak/>
              <w:t>contraceptifs par le budget de l’Etat</w:t>
            </w:r>
          </w:p>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Insuffisance de compétences des prestataires pour l’offre des services de PF de qualité</w:t>
            </w:r>
          </w:p>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Faible accès des adolescents et jeunes aux services de PF</w:t>
            </w:r>
          </w:p>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Non disponibilité des services de /PF 24Heures/24</w:t>
            </w:r>
          </w:p>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Insuffisance de délégation des tâches pour les méthodes de longues durées</w:t>
            </w:r>
          </w:p>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Faible accessibilité géographique des formations sanitaires</w:t>
            </w:r>
          </w:p>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Insuffisance de la prise en compte des données du secteur privé et celles générées par les acteurs communautaires</w:t>
            </w:r>
          </w:p>
          <w:p w:rsidR="00986FA2" w:rsidRPr="00B57FDE"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Faible maitrise de la définition des indicateurs (nouvelles utilisatrices)</w:t>
            </w:r>
          </w:p>
          <w:p w:rsidR="00986FA2" w:rsidRPr="00860748" w:rsidRDefault="00986FA2" w:rsidP="00003A3C">
            <w:pPr>
              <w:pStyle w:val="Default"/>
              <w:spacing w:line="276" w:lineRule="auto"/>
              <w:jc w:val="both"/>
              <w:rPr>
                <w:rFonts w:asciiTheme="minorHAnsi" w:hAnsiTheme="minorHAnsi" w:cstheme="minorHAnsi"/>
                <w:sz w:val="20"/>
                <w:szCs w:val="20"/>
                <w:lang w:val="fr-BE"/>
              </w:rPr>
            </w:pPr>
            <w:r>
              <w:rPr>
                <w:rFonts w:asciiTheme="minorHAnsi" w:hAnsiTheme="minorHAnsi" w:cstheme="minorHAnsi"/>
                <w:sz w:val="20"/>
                <w:szCs w:val="20"/>
                <w:lang w:val="fr-BE"/>
              </w:rPr>
              <w:t>.</w:t>
            </w:r>
            <w:r w:rsidRPr="00B57FDE">
              <w:rPr>
                <w:rFonts w:asciiTheme="minorHAnsi" w:hAnsiTheme="minorHAnsi" w:cstheme="minorHAnsi"/>
                <w:sz w:val="20"/>
                <w:szCs w:val="20"/>
                <w:lang w:val="fr-BE"/>
              </w:rPr>
              <w:t>Insuffisance de remplissage des outils de collecte des données</w:t>
            </w:r>
          </w:p>
        </w:tc>
        <w:tc>
          <w:tcPr>
            <w:tcW w:w="2410" w:type="dxa"/>
          </w:tcPr>
          <w:p w:rsidR="00986FA2" w:rsidRPr="00B57FDE" w:rsidRDefault="00986FA2" w:rsidP="00003A3C">
            <w:pPr>
              <w:pStyle w:val="Default"/>
              <w:spacing w:line="276" w:lineRule="auto"/>
              <w:jc w:val="both"/>
              <w:rPr>
                <w:rFonts w:asciiTheme="minorHAnsi" w:hAnsiTheme="minorHAnsi" w:cstheme="minorHAnsi"/>
                <w:sz w:val="20"/>
                <w:szCs w:val="20"/>
              </w:rPr>
            </w:pPr>
            <w:r>
              <w:rPr>
                <w:rFonts w:asciiTheme="minorHAnsi" w:hAnsiTheme="minorHAnsi" w:cstheme="minorHAnsi"/>
                <w:sz w:val="20"/>
                <w:szCs w:val="20"/>
              </w:rPr>
              <w:lastRenderedPageBreak/>
              <w:t>.</w:t>
            </w:r>
            <w:r w:rsidRPr="00B57FDE">
              <w:rPr>
                <w:rFonts w:asciiTheme="minorHAnsi" w:hAnsiTheme="minorHAnsi" w:cstheme="minorHAnsi"/>
                <w:sz w:val="20"/>
                <w:szCs w:val="20"/>
              </w:rPr>
              <w:t>Augmentation de la demande des populations</w:t>
            </w:r>
          </w:p>
          <w:p w:rsidR="00986FA2" w:rsidRPr="00B57FDE" w:rsidRDefault="00986FA2" w:rsidP="00003A3C">
            <w:pPr>
              <w:pStyle w:val="Default"/>
              <w:spacing w:line="276" w:lineRule="auto"/>
              <w:jc w:val="both"/>
              <w:rPr>
                <w:rFonts w:asciiTheme="minorHAnsi" w:hAnsiTheme="minorHAnsi" w:cstheme="minorHAnsi"/>
                <w:sz w:val="20"/>
                <w:szCs w:val="20"/>
              </w:rPr>
            </w:pPr>
            <w:r>
              <w:rPr>
                <w:rFonts w:asciiTheme="minorHAnsi" w:hAnsiTheme="minorHAnsi" w:cstheme="minorHAnsi"/>
                <w:sz w:val="20"/>
                <w:szCs w:val="20"/>
              </w:rPr>
              <w:t>.</w:t>
            </w:r>
            <w:r w:rsidRPr="00B57FDE">
              <w:rPr>
                <w:rFonts w:asciiTheme="minorHAnsi" w:hAnsiTheme="minorHAnsi" w:cstheme="minorHAnsi"/>
                <w:sz w:val="20"/>
                <w:szCs w:val="20"/>
              </w:rPr>
              <w:t>Mobilisation pour la gratuité de la PF</w:t>
            </w:r>
          </w:p>
          <w:p w:rsidR="00986FA2" w:rsidRPr="00B57FDE" w:rsidRDefault="00986FA2" w:rsidP="00003A3C">
            <w:pPr>
              <w:pStyle w:val="Default"/>
              <w:spacing w:line="276" w:lineRule="auto"/>
              <w:jc w:val="both"/>
              <w:rPr>
                <w:rFonts w:asciiTheme="minorHAnsi" w:hAnsiTheme="minorHAnsi" w:cstheme="minorHAnsi"/>
                <w:sz w:val="20"/>
                <w:szCs w:val="20"/>
              </w:rPr>
            </w:pPr>
            <w:r>
              <w:rPr>
                <w:rFonts w:asciiTheme="minorHAnsi" w:hAnsiTheme="minorHAnsi" w:cstheme="minorHAnsi"/>
                <w:sz w:val="20"/>
                <w:szCs w:val="20"/>
              </w:rPr>
              <w:t>.</w:t>
            </w:r>
            <w:r w:rsidRPr="00B57FDE">
              <w:rPr>
                <w:rFonts w:asciiTheme="minorHAnsi" w:hAnsiTheme="minorHAnsi" w:cstheme="minorHAnsi"/>
                <w:sz w:val="20"/>
                <w:szCs w:val="20"/>
              </w:rPr>
              <w:t>Elaboration du plan national d’accélération de la PF pour la période 2017-2020</w:t>
            </w:r>
          </w:p>
          <w:p w:rsidR="00986FA2" w:rsidRPr="00B57FDE" w:rsidRDefault="00986FA2" w:rsidP="00003A3C">
            <w:pPr>
              <w:pStyle w:val="Default"/>
              <w:spacing w:line="276" w:lineRule="auto"/>
              <w:jc w:val="both"/>
              <w:rPr>
                <w:rFonts w:asciiTheme="minorHAnsi" w:hAnsiTheme="minorHAnsi" w:cstheme="minorHAnsi"/>
                <w:sz w:val="20"/>
                <w:szCs w:val="20"/>
              </w:rPr>
            </w:pPr>
            <w:r>
              <w:rPr>
                <w:rFonts w:asciiTheme="minorHAnsi" w:hAnsiTheme="minorHAnsi" w:cstheme="minorHAnsi"/>
                <w:sz w:val="20"/>
                <w:szCs w:val="20"/>
              </w:rPr>
              <w:lastRenderedPageBreak/>
              <w:t>.</w:t>
            </w:r>
            <w:r w:rsidRPr="00B57FDE">
              <w:rPr>
                <w:rFonts w:asciiTheme="minorHAnsi" w:hAnsiTheme="minorHAnsi" w:cstheme="minorHAnsi"/>
                <w:sz w:val="20"/>
                <w:szCs w:val="20"/>
              </w:rPr>
              <w:t>L’engagement des jeunes et adolescents</w:t>
            </w:r>
          </w:p>
          <w:p w:rsidR="00986FA2" w:rsidRPr="00B57FDE" w:rsidRDefault="00986FA2" w:rsidP="00003A3C">
            <w:pPr>
              <w:pStyle w:val="Default"/>
              <w:spacing w:line="276" w:lineRule="auto"/>
              <w:jc w:val="both"/>
              <w:rPr>
                <w:rFonts w:asciiTheme="minorHAnsi" w:hAnsiTheme="minorHAnsi" w:cstheme="minorHAnsi"/>
                <w:sz w:val="20"/>
                <w:szCs w:val="20"/>
              </w:rPr>
            </w:pPr>
            <w:r>
              <w:rPr>
                <w:rFonts w:asciiTheme="minorHAnsi" w:hAnsiTheme="minorHAnsi" w:cstheme="minorHAnsi"/>
                <w:sz w:val="20"/>
                <w:szCs w:val="20"/>
              </w:rPr>
              <w:t>.</w:t>
            </w:r>
            <w:r w:rsidRPr="00B57FDE">
              <w:rPr>
                <w:rFonts w:asciiTheme="minorHAnsi" w:hAnsiTheme="minorHAnsi" w:cstheme="minorHAnsi"/>
                <w:sz w:val="20"/>
                <w:szCs w:val="20"/>
              </w:rPr>
              <w:t xml:space="preserve">L’existence des centres jeunes </w:t>
            </w:r>
          </w:p>
          <w:p w:rsidR="00986FA2" w:rsidRPr="00B57FDE" w:rsidRDefault="00986FA2" w:rsidP="00003A3C">
            <w:pPr>
              <w:pStyle w:val="Default"/>
              <w:spacing w:line="276" w:lineRule="auto"/>
              <w:jc w:val="both"/>
              <w:rPr>
                <w:rFonts w:asciiTheme="minorHAnsi" w:hAnsiTheme="minorHAnsi" w:cstheme="minorHAnsi"/>
                <w:sz w:val="20"/>
                <w:szCs w:val="20"/>
              </w:rPr>
            </w:pPr>
            <w:r>
              <w:rPr>
                <w:rFonts w:asciiTheme="minorHAnsi" w:hAnsiTheme="minorHAnsi" w:cstheme="minorHAnsi"/>
                <w:sz w:val="20"/>
                <w:szCs w:val="20"/>
              </w:rPr>
              <w:t>.</w:t>
            </w:r>
            <w:r w:rsidRPr="00B57FDE">
              <w:rPr>
                <w:rFonts w:asciiTheme="minorHAnsi" w:hAnsiTheme="minorHAnsi" w:cstheme="minorHAnsi"/>
                <w:sz w:val="20"/>
                <w:szCs w:val="20"/>
              </w:rPr>
              <w:t>L’engagement des leaders communautaires</w:t>
            </w:r>
          </w:p>
          <w:p w:rsidR="00986FA2" w:rsidRPr="00B57FDE" w:rsidRDefault="00986FA2" w:rsidP="00003A3C">
            <w:pPr>
              <w:pStyle w:val="Default"/>
              <w:spacing w:line="276" w:lineRule="auto"/>
              <w:jc w:val="both"/>
              <w:rPr>
                <w:rFonts w:asciiTheme="minorHAnsi" w:hAnsiTheme="minorHAnsi" w:cstheme="minorHAnsi"/>
                <w:sz w:val="20"/>
                <w:szCs w:val="20"/>
              </w:rPr>
            </w:pPr>
            <w:r>
              <w:rPr>
                <w:rFonts w:asciiTheme="minorHAnsi" w:hAnsiTheme="minorHAnsi" w:cstheme="minorHAnsi"/>
                <w:sz w:val="20"/>
                <w:szCs w:val="20"/>
              </w:rPr>
              <w:t>.</w:t>
            </w:r>
            <w:r w:rsidRPr="00B57FDE">
              <w:rPr>
                <w:rFonts w:asciiTheme="minorHAnsi" w:hAnsiTheme="minorHAnsi" w:cstheme="minorHAnsi"/>
                <w:sz w:val="20"/>
                <w:szCs w:val="20"/>
              </w:rPr>
              <w:t>La promotion de la SR en milieu scolaire</w:t>
            </w:r>
          </w:p>
          <w:p w:rsidR="00986FA2" w:rsidRPr="00B57FDE" w:rsidRDefault="00986FA2" w:rsidP="00003A3C">
            <w:pPr>
              <w:pStyle w:val="Default"/>
              <w:spacing w:line="276" w:lineRule="auto"/>
              <w:jc w:val="both"/>
              <w:rPr>
                <w:rFonts w:asciiTheme="minorHAnsi" w:hAnsiTheme="minorHAnsi" w:cstheme="minorHAnsi"/>
                <w:sz w:val="20"/>
                <w:szCs w:val="20"/>
              </w:rPr>
            </w:pPr>
            <w:r>
              <w:rPr>
                <w:rFonts w:asciiTheme="minorHAnsi" w:hAnsiTheme="minorHAnsi" w:cstheme="minorHAnsi"/>
                <w:sz w:val="20"/>
                <w:szCs w:val="20"/>
              </w:rPr>
              <w:t>.</w:t>
            </w:r>
            <w:r w:rsidRPr="00B57FDE">
              <w:rPr>
                <w:rFonts w:asciiTheme="minorHAnsi" w:hAnsiTheme="minorHAnsi" w:cstheme="minorHAnsi"/>
                <w:sz w:val="20"/>
                <w:szCs w:val="20"/>
              </w:rPr>
              <w:t>L’implémentation des nouvelles stratégies (</w:t>
            </w:r>
            <w:proofErr w:type="spellStart"/>
            <w:r w:rsidRPr="00B57FDE">
              <w:rPr>
                <w:rFonts w:asciiTheme="minorHAnsi" w:hAnsiTheme="minorHAnsi" w:cstheme="minorHAnsi"/>
                <w:sz w:val="20"/>
                <w:szCs w:val="20"/>
              </w:rPr>
              <w:t>pugsid</w:t>
            </w:r>
            <w:proofErr w:type="spellEnd"/>
            <w:r w:rsidRPr="00B57FDE">
              <w:rPr>
                <w:rFonts w:asciiTheme="minorHAnsi" w:hAnsiTheme="minorHAnsi" w:cstheme="minorHAnsi"/>
                <w:sz w:val="20"/>
                <w:szCs w:val="20"/>
              </w:rPr>
              <w:t xml:space="preserve"> </w:t>
            </w:r>
            <w:proofErr w:type="spellStart"/>
            <w:r w:rsidRPr="00B57FDE">
              <w:rPr>
                <w:rFonts w:asciiTheme="minorHAnsi" w:hAnsiTheme="minorHAnsi" w:cstheme="minorHAnsi"/>
                <w:sz w:val="20"/>
                <w:szCs w:val="20"/>
              </w:rPr>
              <w:t>songo</w:t>
            </w:r>
            <w:proofErr w:type="spellEnd"/>
            <w:r w:rsidRPr="00B57FDE">
              <w:rPr>
                <w:rFonts w:asciiTheme="minorHAnsi" w:hAnsiTheme="minorHAnsi" w:cstheme="minorHAnsi"/>
                <w:sz w:val="20"/>
                <w:szCs w:val="20"/>
              </w:rPr>
              <w:t>, école des maris,…)</w:t>
            </w:r>
          </w:p>
          <w:p w:rsidR="00986FA2" w:rsidRPr="00B57FDE" w:rsidRDefault="00986FA2" w:rsidP="00003A3C">
            <w:pPr>
              <w:pStyle w:val="Default"/>
              <w:spacing w:line="276" w:lineRule="auto"/>
              <w:jc w:val="both"/>
              <w:rPr>
                <w:rFonts w:asciiTheme="minorHAnsi" w:hAnsiTheme="minorHAnsi" w:cstheme="minorHAnsi"/>
                <w:sz w:val="20"/>
                <w:szCs w:val="20"/>
              </w:rPr>
            </w:pPr>
            <w:r>
              <w:rPr>
                <w:rFonts w:asciiTheme="minorHAnsi" w:hAnsiTheme="minorHAnsi" w:cstheme="minorHAnsi"/>
                <w:sz w:val="20"/>
                <w:szCs w:val="20"/>
              </w:rPr>
              <w:t>.</w:t>
            </w:r>
            <w:r w:rsidRPr="00B57FDE">
              <w:rPr>
                <w:rFonts w:asciiTheme="minorHAnsi" w:hAnsiTheme="minorHAnsi" w:cstheme="minorHAnsi"/>
                <w:sz w:val="20"/>
                <w:szCs w:val="20"/>
              </w:rPr>
              <w:t>L’accès aux méthodes de planification et à l’information en matière de procréation est un droit reconnu par de nombreux textes internationaux et nationaux (Loi SR, CPF, loi sur les VBG).</w:t>
            </w:r>
          </w:p>
          <w:p w:rsidR="00986FA2" w:rsidRPr="00043639" w:rsidRDefault="00986FA2" w:rsidP="00003A3C">
            <w:pPr>
              <w:rPr>
                <w:rFonts w:cstheme="minorHAnsi"/>
                <w:sz w:val="24"/>
                <w:szCs w:val="24"/>
                <w:lang w:val="fr-BE"/>
              </w:rPr>
            </w:pPr>
            <w:r>
              <w:rPr>
                <w:rFonts w:cstheme="minorHAnsi"/>
                <w:sz w:val="20"/>
                <w:szCs w:val="20"/>
              </w:rPr>
              <w:t>.</w:t>
            </w:r>
            <w:r w:rsidRPr="00B57FDE">
              <w:rPr>
                <w:rFonts w:cstheme="minorHAnsi"/>
                <w:sz w:val="20"/>
                <w:szCs w:val="20"/>
              </w:rPr>
              <w:t>Autonomisation</w:t>
            </w:r>
          </w:p>
        </w:tc>
        <w:tc>
          <w:tcPr>
            <w:tcW w:w="2268" w:type="dxa"/>
          </w:tcPr>
          <w:p w:rsidR="00986FA2" w:rsidRPr="00574B22" w:rsidRDefault="00986FA2" w:rsidP="00003A3C">
            <w:pPr>
              <w:spacing w:line="276" w:lineRule="auto"/>
              <w:rPr>
                <w:rFonts w:cstheme="minorHAnsi"/>
                <w:sz w:val="20"/>
                <w:szCs w:val="20"/>
                <w:lang w:val="fr-BE"/>
              </w:rPr>
            </w:pPr>
            <w:r>
              <w:rPr>
                <w:rFonts w:cstheme="minorHAnsi"/>
                <w:sz w:val="20"/>
                <w:szCs w:val="20"/>
                <w:lang w:val="fr-BE"/>
              </w:rPr>
              <w:lastRenderedPageBreak/>
              <w:t>.</w:t>
            </w:r>
            <w:r w:rsidRPr="00574B22">
              <w:rPr>
                <w:rFonts w:cstheme="minorHAnsi"/>
                <w:sz w:val="20"/>
                <w:szCs w:val="20"/>
                <w:lang w:val="fr-BE"/>
              </w:rPr>
              <w:t xml:space="preserve">L’arrêt ou la réduction drastique des financements </w:t>
            </w:r>
          </w:p>
          <w:p w:rsidR="00986FA2" w:rsidRPr="00574B22" w:rsidRDefault="00986FA2" w:rsidP="00003A3C">
            <w:pPr>
              <w:autoSpaceDE w:val="0"/>
              <w:autoSpaceDN w:val="0"/>
              <w:adjustRightInd w:val="0"/>
              <w:spacing w:after="276" w:line="276" w:lineRule="auto"/>
              <w:rPr>
                <w:rFonts w:cstheme="minorHAnsi"/>
                <w:color w:val="000000"/>
                <w:sz w:val="20"/>
                <w:szCs w:val="20"/>
              </w:rPr>
            </w:pPr>
            <w:r>
              <w:rPr>
                <w:rFonts w:cstheme="minorHAnsi"/>
                <w:bCs/>
                <w:color w:val="000000"/>
                <w:sz w:val="20"/>
                <w:szCs w:val="20"/>
              </w:rPr>
              <w:t>.</w:t>
            </w:r>
            <w:r w:rsidRPr="00574B22">
              <w:rPr>
                <w:rFonts w:cstheme="minorHAnsi"/>
                <w:bCs/>
                <w:color w:val="000000"/>
                <w:sz w:val="20"/>
                <w:szCs w:val="20"/>
              </w:rPr>
              <w:t xml:space="preserve">Méconnaissance des droits en matière de SR/PF </w:t>
            </w:r>
          </w:p>
          <w:p w:rsidR="00986FA2" w:rsidRPr="00574B22" w:rsidRDefault="00986FA2" w:rsidP="00003A3C">
            <w:pPr>
              <w:autoSpaceDE w:val="0"/>
              <w:autoSpaceDN w:val="0"/>
              <w:adjustRightInd w:val="0"/>
              <w:spacing w:after="276" w:line="276" w:lineRule="auto"/>
              <w:rPr>
                <w:rFonts w:cstheme="minorHAnsi"/>
                <w:color w:val="000000"/>
                <w:sz w:val="20"/>
                <w:szCs w:val="20"/>
              </w:rPr>
            </w:pPr>
            <w:r>
              <w:rPr>
                <w:rFonts w:cstheme="minorHAnsi"/>
                <w:bCs/>
                <w:color w:val="000000"/>
                <w:sz w:val="20"/>
                <w:szCs w:val="20"/>
              </w:rPr>
              <w:t>.</w:t>
            </w:r>
            <w:r w:rsidRPr="00574B22">
              <w:rPr>
                <w:rFonts w:cstheme="minorHAnsi"/>
                <w:bCs/>
                <w:color w:val="000000"/>
                <w:sz w:val="20"/>
                <w:szCs w:val="20"/>
              </w:rPr>
              <w:t xml:space="preserve">Attitudes des porteurs </w:t>
            </w:r>
            <w:r w:rsidRPr="00574B22">
              <w:rPr>
                <w:rFonts w:cstheme="minorHAnsi"/>
                <w:bCs/>
                <w:color w:val="000000"/>
                <w:sz w:val="20"/>
                <w:szCs w:val="20"/>
              </w:rPr>
              <w:lastRenderedPageBreak/>
              <w:t>d’obligation</w:t>
            </w:r>
          </w:p>
          <w:p w:rsidR="00986FA2" w:rsidRPr="00574B22" w:rsidRDefault="00986FA2" w:rsidP="00003A3C">
            <w:pPr>
              <w:autoSpaceDE w:val="0"/>
              <w:autoSpaceDN w:val="0"/>
              <w:adjustRightInd w:val="0"/>
              <w:spacing w:line="276" w:lineRule="auto"/>
              <w:rPr>
                <w:rFonts w:cstheme="minorHAnsi"/>
                <w:bCs/>
                <w:color w:val="000000"/>
                <w:sz w:val="20"/>
                <w:szCs w:val="20"/>
              </w:rPr>
            </w:pPr>
            <w:r>
              <w:rPr>
                <w:rFonts w:cstheme="minorHAnsi"/>
                <w:bCs/>
                <w:color w:val="000000"/>
                <w:sz w:val="20"/>
                <w:szCs w:val="20"/>
              </w:rPr>
              <w:t>.</w:t>
            </w:r>
            <w:r w:rsidRPr="00574B22">
              <w:rPr>
                <w:rFonts w:cstheme="minorHAnsi"/>
                <w:bCs/>
                <w:color w:val="000000"/>
                <w:sz w:val="20"/>
                <w:szCs w:val="20"/>
              </w:rPr>
              <w:t>Faible pouvoir d’achat des femmes</w:t>
            </w:r>
          </w:p>
          <w:p w:rsidR="00986FA2" w:rsidRDefault="00986FA2" w:rsidP="00003A3C">
            <w:pPr>
              <w:rPr>
                <w:rFonts w:cstheme="minorHAnsi"/>
                <w:bCs/>
                <w:color w:val="000000"/>
                <w:sz w:val="20"/>
                <w:szCs w:val="20"/>
              </w:rPr>
            </w:pPr>
            <w:r>
              <w:rPr>
                <w:rFonts w:cstheme="minorHAnsi"/>
                <w:bCs/>
                <w:color w:val="000000"/>
                <w:sz w:val="20"/>
                <w:szCs w:val="20"/>
              </w:rPr>
              <w:t>.</w:t>
            </w:r>
            <w:r w:rsidRPr="00B57FDE">
              <w:rPr>
                <w:rFonts w:cstheme="minorHAnsi"/>
                <w:bCs/>
                <w:color w:val="000000"/>
                <w:sz w:val="20"/>
                <w:szCs w:val="20"/>
              </w:rPr>
              <w:t>Persistance des pesanteurs socioculturelles</w:t>
            </w:r>
          </w:p>
          <w:p w:rsidR="00986FA2" w:rsidRDefault="00986FA2" w:rsidP="00003A3C">
            <w:pPr>
              <w:rPr>
                <w:rFonts w:cstheme="minorHAnsi"/>
                <w:sz w:val="24"/>
                <w:szCs w:val="24"/>
                <w:lang w:val="fr-BE"/>
              </w:rPr>
            </w:pPr>
            <w:r>
              <w:rPr>
                <w:rFonts w:cstheme="minorHAnsi"/>
                <w:bCs/>
                <w:color w:val="000000"/>
                <w:sz w:val="20"/>
                <w:szCs w:val="20"/>
              </w:rPr>
              <w:t>.Multiplication des sites d’orpaillage</w:t>
            </w:r>
          </w:p>
        </w:tc>
      </w:tr>
    </w:tbl>
    <w:p w:rsidR="000614D2" w:rsidRDefault="000614D2" w:rsidP="00C46B35">
      <w:pPr>
        <w:widowControl w:val="0"/>
        <w:autoSpaceDE w:val="0"/>
        <w:autoSpaceDN w:val="0"/>
        <w:adjustRightInd w:val="0"/>
        <w:spacing w:after="0" w:line="240" w:lineRule="auto"/>
        <w:ind w:left="116"/>
        <w:rPr>
          <w:rFonts w:cstheme="minorHAnsi"/>
          <w:color w:val="000000"/>
          <w:sz w:val="24"/>
          <w:szCs w:val="24"/>
        </w:rPr>
      </w:pPr>
    </w:p>
    <w:p w:rsidR="00986FA2" w:rsidRDefault="00986FA2" w:rsidP="00C46B35">
      <w:pPr>
        <w:widowControl w:val="0"/>
        <w:autoSpaceDE w:val="0"/>
        <w:autoSpaceDN w:val="0"/>
        <w:adjustRightInd w:val="0"/>
        <w:spacing w:after="0" w:line="240" w:lineRule="auto"/>
        <w:ind w:left="116"/>
        <w:rPr>
          <w:rFonts w:cstheme="minorHAnsi"/>
          <w:color w:val="000000"/>
          <w:sz w:val="24"/>
          <w:szCs w:val="24"/>
        </w:rPr>
      </w:pPr>
    </w:p>
    <w:p w:rsidR="00986FA2" w:rsidRDefault="00986FA2" w:rsidP="00C46B35">
      <w:pPr>
        <w:widowControl w:val="0"/>
        <w:autoSpaceDE w:val="0"/>
        <w:autoSpaceDN w:val="0"/>
        <w:adjustRightInd w:val="0"/>
        <w:spacing w:after="0" w:line="240" w:lineRule="auto"/>
        <w:ind w:left="116"/>
        <w:rPr>
          <w:rFonts w:cstheme="minorHAnsi"/>
          <w:color w:val="000000"/>
          <w:sz w:val="24"/>
          <w:szCs w:val="24"/>
        </w:rPr>
      </w:pPr>
    </w:p>
    <w:p w:rsidR="00986FA2" w:rsidRDefault="00986FA2" w:rsidP="00C46B35">
      <w:pPr>
        <w:widowControl w:val="0"/>
        <w:autoSpaceDE w:val="0"/>
        <w:autoSpaceDN w:val="0"/>
        <w:adjustRightInd w:val="0"/>
        <w:spacing w:after="0" w:line="240" w:lineRule="auto"/>
        <w:ind w:left="116"/>
        <w:rPr>
          <w:rFonts w:cstheme="minorHAnsi"/>
          <w:color w:val="000000"/>
          <w:sz w:val="24"/>
          <w:szCs w:val="24"/>
        </w:rPr>
      </w:pPr>
    </w:p>
    <w:p w:rsidR="00986FA2" w:rsidRDefault="00986FA2" w:rsidP="00C46B35">
      <w:pPr>
        <w:widowControl w:val="0"/>
        <w:autoSpaceDE w:val="0"/>
        <w:autoSpaceDN w:val="0"/>
        <w:adjustRightInd w:val="0"/>
        <w:spacing w:after="0" w:line="240" w:lineRule="auto"/>
        <w:ind w:left="116"/>
        <w:rPr>
          <w:rFonts w:cstheme="minorHAnsi"/>
          <w:color w:val="000000"/>
          <w:sz w:val="24"/>
          <w:szCs w:val="24"/>
        </w:rPr>
      </w:pPr>
    </w:p>
    <w:p w:rsidR="00986FA2" w:rsidRDefault="00986FA2" w:rsidP="00C46B35">
      <w:pPr>
        <w:widowControl w:val="0"/>
        <w:autoSpaceDE w:val="0"/>
        <w:autoSpaceDN w:val="0"/>
        <w:adjustRightInd w:val="0"/>
        <w:spacing w:after="0" w:line="240" w:lineRule="auto"/>
        <w:ind w:left="116"/>
        <w:rPr>
          <w:rFonts w:cstheme="minorHAnsi"/>
          <w:color w:val="000000"/>
          <w:sz w:val="24"/>
          <w:szCs w:val="24"/>
        </w:rPr>
      </w:pPr>
    </w:p>
    <w:p w:rsidR="00986FA2" w:rsidRDefault="00986FA2" w:rsidP="00C46B35">
      <w:pPr>
        <w:widowControl w:val="0"/>
        <w:autoSpaceDE w:val="0"/>
        <w:autoSpaceDN w:val="0"/>
        <w:adjustRightInd w:val="0"/>
        <w:spacing w:after="0" w:line="240" w:lineRule="auto"/>
        <w:ind w:left="116"/>
        <w:rPr>
          <w:rFonts w:cstheme="minorHAnsi"/>
          <w:color w:val="000000"/>
          <w:sz w:val="24"/>
          <w:szCs w:val="24"/>
        </w:rPr>
      </w:pPr>
    </w:p>
    <w:p w:rsidR="00986FA2" w:rsidRDefault="00986FA2" w:rsidP="00C46B35">
      <w:pPr>
        <w:widowControl w:val="0"/>
        <w:autoSpaceDE w:val="0"/>
        <w:autoSpaceDN w:val="0"/>
        <w:adjustRightInd w:val="0"/>
        <w:spacing w:after="0" w:line="240" w:lineRule="auto"/>
        <w:ind w:left="116"/>
        <w:rPr>
          <w:rFonts w:cstheme="minorHAnsi"/>
          <w:color w:val="000000"/>
          <w:sz w:val="24"/>
          <w:szCs w:val="24"/>
        </w:rPr>
      </w:pPr>
    </w:p>
    <w:p w:rsidR="00986FA2" w:rsidRPr="00C46B35" w:rsidRDefault="00986FA2" w:rsidP="00C46B35">
      <w:pPr>
        <w:widowControl w:val="0"/>
        <w:autoSpaceDE w:val="0"/>
        <w:autoSpaceDN w:val="0"/>
        <w:adjustRightInd w:val="0"/>
        <w:spacing w:after="0" w:line="240" w:lineRule="auto"/>
        <w:ind w:left="116"/>
        <w:rPr>
          <w:rFonts w:cstheme="minorHAnsi"/>
          <w:color w:val="000000"/>
          <w:sz w:val="24"/>
          <w:szCs w:val="24"/>
        </w:rPr>
      </w:pPr>
    </w:p>
    <w:p w:rsidR="000614D2" w:rsidRDefault="000614D2" w:rsidP="00C46B35">
      <w:pPr>
        <w:widowControl w:val="0"/>
        <w:autoSpaceDE w:val="0"/>
        <w:autoSpaceDN w:val="0"/>
        <w:adjustRightInd w:val="0"/>
        <w:spacing w:after="0" w:line="240" w:lineRule="auto"/>
        <w:ind w:left="116"/>
        <w:rPr>
          <w:rFonts w:cstheme="minorHAnsi"/>
          <w:color w:val="000000"/>
          <w:sz w:val="24"/>
          <w:szCs w:val="24"/>
        </w:rPr>
      </w:pPr>
    </w:p>
    <w:p w:rsidR="00986FA2" w:rsidRDefault="00986FA2" w:rsidP="00C46B35">
      <w:pPr>
        <w:widowControl w:val="0"/>
        <w:autoSpaceDE w:val="0"/>
        <w:autoSpaceDN w:val="0"/>
        <w:adjustRightInd w:val="0"/>
        <w:spacing w:after="0" w:line="240" w:lineRule="auto"/>
        <w:ind w:left="116"/>
        <w:rPr>
          <w:rFonts w:cstheme="minorHAnsi"/>
          <w:color w:val="000000"/>
          <w:sz w:val="24"/>
          <w:szCs w:val="24"/>
        </w:rPr>
        <w:sectPr w:rsidR="00986FA2" w:rsidSect="00986FA2">
          <w:pgSz w:w="16838" w:h="11906" w:orient="landscape"/>
          <w:pgMar w:top="1418" w:right="1418" w:bottom="1418" w:left="1418" w:header="709" w:footer="709" w:gutter="0"/>
          <w:cols w:space="708"/>
          <w:titlePg/>
          <w:docGrid w:linePitch="360"/>
        </w:sectPr>
      </w:pPr>
    </w:p>
    <w:p w:rsidR="00C46B35" w:rsidRDefault="000614D2" w:rsidP="004147B3">
      <w:pPr>
        <w:pStyle w:val="Titre2"/>
        <w:numPr>
          <w:ilvl w:val="1"/>
          <w:numId w:val="27"/>
        </w:numPr>
      </w:pPr>
      <w:r>
        <w:lastRenderedPageBreak/>
        <w:t>G</w:t>
      </w:r>
      <w:r w:rsidR="00C46B35" w:rsidRPr="000614D2">
        <w:t>rands défis à relever</w:t>
      </w:r>
    </w:p>
    <w:p w:rsidR="005D47E7" w:rsidRDefault="005D47E7" w:rsidP="00DD2863">
      <w:pPr>
        <w:pStyle w:val="Paragraphedeliste"/>
        <w:numPr>
          <w:ilvl w:val="0"/>
          <w:numId w:val="26"/>
        </w:numPr>
        <w:jc w:val="both"/>
        <w:rPr>
          <w:rFonts w:cstheme="minorHAnsi"/>
          <w:sz w:val="24"/>
          <w:szCs w:val="24"/>
        </w:rPr>
      </w:pPr>
      <w:r>
        <w:rPr>
          <w:rFonts w:cstheme="minorHAnsi"/>
          <w:sz w:val="24"/>
          <w:szCs w:val="24"/>
        </w:rPr>
        <w:t>De l'analys</w:t>
      </w:r>
      <w:r w:rsidR="00005637">
        <w:rPr>
          <w:rFonts w:cstheme="minorHAnsi"/>
          <w:sz w:val="24"/>
          <w:szCs w:val="24"/>
        </w:rPr>
        <w:t xml:space="preserve">e qui précède il ressort que </w:t>
      </w:r>
      <w:r w:rsidR="00F11AB9">
        <w:rPr>
          <w:rFonts w:cstheme="minorHAnsi"/>
          <w:sz w:val="24"/>
          <w:szCs w:val="24"/>
        </w:rPr>
        <w:t xml:space="preserve">pour atteindre les impacts visés </w:t>
      </w:r>
      <w:r w:rsidR="00005637">
        <w:rPr>
          <w:rFonts w:cstheme="minorHAnsi"/>
          <w:sz w:val="24"/>
          <w:szCs w:val="24"/>
        </w:rPr>
        <w:t xml:space="preserve">de meilleurs résultats doivent être obtenus pour (i) la prévention et la prise en charge </w:t>
      </w:r>
      <w:r w:rsidR="00700890">
        <w:rPr>
          <w:rFonts w:cstheme="minorHAnsi"/>
          <w:sz w:val="24"/>
          <w:szCs w:val="24"/>
        </w:rPr>
        <w:t>du paludisme</w:t>
      </w:r>
      <w:r w:rsidR="00005637">
        <w:rPr>
          <w:rFonts w:cstheme="minorHAnsi"/>
          <w:sz w:val="24"/>
          <w:szCs w:val="24"/>
        </w:rPr>
        <w:t>, des infections respiratoires, des maladies diarrhéiques, de la septicémie néonatale, de la méningite et de la tuberculose mais également des maladies cardiovasculaires</w:t>
      </w:r>
      <w:r w:rsidR="00F11AB9">
        <w:rPr>
          <w:rFonts w:cstheme="minorHAnsi"/>
          <w:sz w:val="24"/>
          <w:szCs w:val="24"/>
        </w:rPr>
        <w:t xml:space="preserve"> et des hémoglobinopathies</w:t>
      </w:r>
      <w:r w:rsidR="00005637">
        <w:rPr>
          <w:rFonts w:cstheme="minorHAnsi"/>
          <w:sz w:val="24"/>
          <w:szCs w:val="24"/>
        </w:rPr>
        <w:t>, (ii) la prévention et la prise en charge de la malnutrition infantile et maternelle, (iii) la prévention et la réparation des mutilations féminines et la couverture du besoin en planification familiale.</w:t>
      </w:r>
      <w:r w:rsidR="00F11AB9">
        <w:rPr>
          <w:rFonts w:cstheme="minorHAnsi"/>
          <w:sz w:val="24"/>
          <w:szCs w:val="24"/>
        </w:rPr>
        <w:t xml:space="preserve"> </w:t>
      </w:r>
    </w:p>
    <w:p w:rsidR="00986FA2" w:rsidRPr="00F11AB9" w:rsidRDefault="00F11AB9" w:rsidP="00F11AB9">
      <w:pPr>
        <w:pStyle w:val="Paragraphedeliste"/>
        <w:numPr>
          <w:ilvl w:val="0"/>
          <w:numId w:val="26"/>
        </w:numPr>
        <w:jc w:val="both"/>
        <w:rPr>
          <w:rFonts w:cstheme="minorHAnsi"/>
          <w:sz w:val="24"/>
          <w:szCs w:val="24"/>
        </w:rPr>
      </w:pPr>
      <w:r w:rsidRPr="00F11AB9">
        <w:rPr>
          <w:rFonts w:cstheme="minorHAnsi"/>
          <w:sz w:val="24"/>
          <w:szCs w:val="24"/>
        </w:rPr>
        <w:t xml:space="preserve">Pour assurer un accès aux soins en fonction des besoins et pour protéger les ménages contre l'appauvrissement par le recours aux soins, </w:t>
      </w:r>
      <w:r w:rsidR="00A444B0" w:rsidRPr="00F11AB9">
        <w:rPr>
          <w:rFonts w:cstheme="minorHAnsi"/>
          <w:sz w:val="24"/>
          <w:szCs w:val="24"/>
        </w:rPr>
        <w:t xml:space="preserve"> il ressort les défis principaux défis suivant</w:t>
      </w:r>
      <w:r>
        <w:rPr>
          <w:rFonts w:cstheme="minorHAnsi"/>
          <w:sz w:val="24"/>
          <w:szCs w:val="24"/>
        </w:rPr>
        <w:t>s pour l'offre de services de santé et de protection sociale</w:t>
      </w:r>
      <w:r w:rsidR="00A444B0" w:rsidRPr="00F11AB9">
        <w:rPr>
          <w:rFonts w:cstheme="minorHAnsi"/>
          <w:sz w:val="24"/>
          <w:szCs w:val="24"/>
        </w:rPr>
        <w:t> : (i) une meilleure répartition des ressources humaines en santé ; (ii) l’amélioration du financement de la santé (dont le budget d’Etat, le panier commun et l’AMU y compris les mécanismes de gratuité</w:t>
      </w:r>
      <w:r>
        <w:rPr>
          <w:rFonts w:cstheme="minorHAnsi"/>
          <w:sz w:val="24"/>
          <w:szCs w:val="24"/>
        </w:rPr>
        <w:t>, d'identification des personnes vulnérables</w:t>
      </w:r>
      <w:r w:rsidR="00A444B0" w:rsidRPr="00F11AB9">
        <w:rPr>
          <w:rFonts w:cstheme="minorHAnsi"/>
          <w:sz w:val="24"/>
          <w:szCs w:val="24"/>
        </w:rPr>
        <w:t xml:space="preserve"> et le FBR) ; (iii) l’amélioration de la disponibilité des intrants dont les médicaments et les produits sanguins ; (iv)  l’amélioration de la gouvernance et la lutte contre la fraude ; (v) le renforcement des mécanismes de coordination et de mise en œuvre du PNDS ; (vi) l’amélioration de la santé maternelle et infantile ; (vii) l’élimination de la transmission mère-enfant du VIH ; (viii) l’amélioration de la prise en charge des maladies transmissibles et non transmissibles ; (ix) la mise en œuvre de l’assurance qualité des services et des prestations ; (x) la mise en œuvre de la reforme hospitalière dont la fonction publique hospitalière; (xi) l’amélioration du statut nutritionnel des enfants et des autres groupes à risque ; (xii) l’accélération de la transition démographique par la mise en œuvre du plan d’accélération de la planification familiale.</w:t>
      </w:r>
    </w:p>
    <w:p w:rsidR="00C46B35" w:rsidRDefault="00C46B35"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A444B0" w:rsidRDefault="00A444B0" w:rsidP="00C46B35">
      <w:pPr>
        <w:widowControl w:val="0"/>
        <w:autoSpaceDE w:val="0"/>
        <w:autoSpaceDN w:val="0"/>
        <w:adjustRightInd w:val="0"/>
        <w:spacing w:before="3" w:after="0" w:line="160" w:lineRule="exact"/>
        <w:rPr>
          <w:rFonts w:cstheme="minorHAnsi"/>
          <w:color w:val="000000"/>
          <w:sz w:val="24"/>
          <w:szCs w:val="24"/>
        </w:rPr>
      </w:pPr>
    </w:p>
    <w:p w:rsidR="00C46B35" w:rsidRPr="004147B3" w:rsidRDefault="00C46B35" w:rsidP="004147B3">
      <w:pPr>
        <w:pStyle w:val="Titre1"/>
        <w:numPr>
          <w:ilvl w:val="0"/>
          <w:numId w:val="27"/>
        </w:numPr>
        <w:rPr>
          <w:spacing w:val="-3"/>
          <w:u w:val="thick"/>
        </w:rPr>
      </w:pPr>
      <w:r w:rsidRPr="00C46B35">
        <w:rPr>
          <w:spacing w:val="-3"/>
          <w:u w:val="thick"/>
        </w:rPr>
        <w:lastRenderedPageBreak/>
        <w:t>P</w:t>
      </w:r>
      <w:r w:rsidRPr="004147B3">
        <w:rPr>
          <w:spacing w:val="-3"/>
          <w:u w:val="thick"/>
        </w:rPr>
        <w:t>artie II : Eléments de la politique</w:t>
      </w:r>
    </w:p>
    <w:p w:rsidR="002F2C48" w:rsidRPr="002F2C48" w:rsidRDefault="002F2C48" w:rsidP="002F2C48"/>
    <w:p w:rsidR="00C46B35" w:rsidRPr="004147B3" w:rsidRDefault="000614D2" w:rsidP="004147B3">
      <w:pPr>
        <w:pStyle w:val="Titre2"/>
        <w:numPr>
          <w:ilvl w:val="1"/>
          <w:numId w:val="27"/>
        </w:numPr>
        <w:rPr>
          <w:spacing w:val="1"/>
        </w:rPr>
      </w:pPr>
      <w:r>
        <w:rPr>
          <w:spacing w:val="1"/>
        </w:rPr>
        <w:t>L</w:t>
      </w:r>
      <w:r w:rsidR="00C46B35" w:rsidRPr="004147B3">
        <w:rPr>
          <w:spacing w:val="1"/>
        </w:rPr>
        <w:t>es fon</w:t>
      </w:r>
      <w:r w:rsidR="00C46B35" w:rsidRPr="00C46B35">
        <w:rPr>
          <w:spacing w:val="1"/>
        </w:rPr>
        <w:t>d</w:t>
      </w:r>
      <w:r w:rsidR="00C46B35" w:rsidRPr="004147B3">
        <w:rPr>
          <w:spacing w:val="1"/>
        </w:rPr>
        <w:t>eme</w:t>
      </w:r>
      <w:r w:rsidR="00C46B35" w:rsidRPr="00C46B35">
        <w:rPr>
          <w:spacing w:val="1"/>
        </w:rPr>
        <w:t>n</w:t>
      </w:r>
      <w:r w:rsidR="00C46B35" w:rsidRPr="004147B3">
        <w:rPr>
          <w:spacing w:val="1"/>
        </w:rPr>
        <w:t>ts</w:t>
      </w:r>
    </w:p>
    <w:p w:rsidR="002F2C48" w:rsidRPr="00A444B0" w:rsidRDefault="002F2C48"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BF2557">
        <w:rPr>
          <w:rFonts w:cs="Calibri"/>
          <w:color w:val="000000"/>
          <w:spacing w:val="1"/>
          <w:position w:val="1"/>
          <w:sz w:val="24"/>
          <w:szCs w:val="24"/>
        </w:rPr>
        <w:t xml:space="preserve">La politique du secteur santé de l’Etat trouve ses fondements sur des documents et </w:t>
      </w:r>
      <w:r w:rsidRPr="00A444B0">
        <w:rPr>
          <w:rFonts w:cstheme="minorHAnsi"/>
          <w:sz w:val="24"/>
          <w:szCs w:val="24"/>
        </w:rPr>
        <w:t>référentiels nationaux, régionaux et internationaux.</w:t>
      </w:r>
    </w:p>
    <w:p w:rsidR="00A37EA2" w:rsidRDefault="002F2C48"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A444B0">
        <w:rPr>
          <w:rFonts w:cstheme="minorHAnsi"/>
          <w:sz w:val="24"/>
          <w:szCs w:val="24"/>
        </w:rPr>
        <w:t xml:space="preserve">Au niveau international : (i) En septembre 2015, lors de la 70ième Assemblée Générale des Nations Unies, l’Agenda 2030 articulé autour de 17 objectifs de développement durable (ODD) a été adopté comme un nouveau programme de développement durable. La politique tire ses fondements de ces ODD notamment l'ODD 3 qui s’intitule : « permettre à tous de vivre en bonne santé et promouvoir le bien-être de tous à tout âge ». (ii) L’Agenda 2063, adopté en janvier 2015 par les chefs d’Etat et de gouvernement de l’Union Africaine, est un cadre stratégique pour la transformation socio-économique positive du continent africain sur les 50 prochaines années. Bâti autour de 7 aspirations, L’Aspiration 1 prône une Afrique prospère fondée sur une croissance inclusive et un développement durable. La politique sectorielle santé tire son fondement de cette aspiration qui met notamment le cap vers les résultats suivants : des citoyens en bonne santé, bien nourris et ayant une longue espérance de vie ; des villes, des communautés périurbaines et rurales dynamiques et équipées d'infrastructures de communication, d'assainissement, d'éducation et de santé modernes. </w:t>
      </w:r>
    </w:p>
    <w:p w:rsidR="002F2C48" w:rsidRPr="00A444B0" w:rsidRDefault="002F2C48"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A444B0">
        <w:rPr>
          <w:rFonts w:cstheme="minorHAnsi"/>
          <w:sz w:val="24"/>
          <w:szCs w:val="24"/>
        </w:rPr>
        <w:t>En outre, il existe des accords et conventions ratifiés par le Burkina dans le domaine de la santé, de la nutrition et de la démographie qui constituent des fondements de la politique sectorielle santé. La politique trouve également ses fondements dans les engagements du gouvernement vis-à-vis de la communauté internationale matérialisé à travers son adhésion à des instruments juridiques avec effet de santé tels que (i)La Déclaration universelle des droits de l’homme, (ii) Le Pacte International relatif aux droits économiques, sociaux et culturels, (iii), La Déclaration de Paris et de Rome sur l’efficacité de l’aide publique au développement, (iv) La convention relative aux droits de l’enfant, (v)La convention relative à la lutte contre les formes de discrimination à l’égard des femmes, (vi) La Plate-forme de Beijing.</w:t>
      </w:r>
    </w:p>
    <w:p w:rsidR="002F2C48" w:rsidRPr="00A444B0" w:rsidRDefault="002F2C48"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A444B0">
        <w:rPr>
          <w:rFonts w:cstheme="minorHAnsi"/>
          <w:sz w:val="24"/>
          <w:szCs w:val="24"/>
        </w:rPr>
        <w:t>Au niveau régional : Les fondements de cette politique sectorielle s’appuient sur des instruments juridiques régionaux et sous-régionaux qui renforcent le cadrage international. Ce sont entre autres La Déclaration des chefs d’état de l’OUA sur la santé, base du développement et sur le SIDA », L’agenda 2063 de l’Union africaine, La Déclaration de Ouagadougou sur les soins de santé primaires, et les systèmes de santé en Afrique, La Déclaration du forum mondial de Bamako sur la recherche pour la santé, le développement et l’équité.</w:t>
      </w:r>
    </w:p>
    <w:p w:rsidR="00C46B35" w:rsidRPr="00A444B0" w:rsidRDefault="002F2C48" w:rsidP="00DD2863">
      <w:pPr>
        <w:pStyle w:val="Paragraphedeliste"/>
        <w:widowControl w:val="0"/>
        <w:numPr>
          <w:ilvl w:val="0"/>
          <w:numId w:val="26"/>
        </w:numPr>
        <w:autoSpaceDE w:val="0"/>
        <w:autoSpaceDN w:val="0"/>
        <w:adjustRightInd w:val="0"/>
        <w:spacing w:after="0" w:line="240" w:lineRule="auto"/>
        <w:ind w:right="214"/>
        <w:jc w:val="both"/>
        <w:rPr>
          <w:rFonts w:cstheme="minorHAnsi"/>
          <w:sz w:val="24"/>
          <w:szCs w:val="24"/>
        </w:rPr>
      </w:pPr>
      <w:r w:rsidRPr="00A444B0">
        <w:rPr>
          <w:rFonts w:cstheme="minorHAnsi"/>
          <w:sz w:val="24"/>
          <w:szCs w:val="24"/>
        </w:rPr>
        <w:t xml:space="preserve">Au niveau national : L’article Article 18 de la Constitution stipule ; « L'éducation, l'instruction, la formation, le travail, la sécurité sociale, le logement, le sport, les loisirs, la santé, la protection de la Maternité et de l'Enfance, l'assistance aux personnes âgées ou handicapées et aux cas sociaux, la création artistique et scientifique, constituent des droits sociaux et culturels reconnus par la présente Constitution qui vise à les promouvoir ». La politique sectorielle santé tire ses fondements de cet article ainsi que l’article 26 qui précise : « Le droit à la santé est reconnu. L'Etat œuvre à le promouvoir ». La politique est en cohérence avec l’Etude Nationale Prospective (ENP) Burkina 2025 qui a pour vision « le Burkina Faso, une </w:t>
      </w:r>
      <w:r w:rsidRPr="00A444B0">
        <w:rPr>
          <w:rFonts w:cstheme="minorHAnsi"/>
          <w:sz w:val="24"/>
          <w:szCs w:val="24"/>
        </w:rPr>
        <w:lastRenderedPageBreak/>
        <w:t>nation solidaire, de progrès et de justice qui consolide son respect sur la scène internationale »</w:t>
      </w:r>
      <w:r w:rsidR="003427A1" w:rsidRPr="00A444B0">
        <w:rPr>
          <w:rFonts w:cstheme="minorHAnsi"/>
          <w:sz w:val="24"/>
          <w:szCs w:val="24"/>
        </w:rPr>
        <w:t>. La politique tire sa source</w:t>
      </w:r>
      <w:r w:rsidRPr="00A444B0">
        <w:rPr>
          <w:rFonts w:cstheme="minorHAnsi"/>
          <w:sz w:val="24"/>
          <w:szCs w:val="24"/>
        </w:rPr>
        <w:t xml:space="preserve"> de l’objectif stratégique 1 de l’axe 2 du PNDES : « promouvoir la santé des populations et accélérer la transition démographique». Elle contribue notamment à l’atteinte des effets EA 2.1.1 : l'accès aux services de santé de qualité est garanti à tous, EA 2.1.2 : l'état nutritionnel de la population, en particulier des femmes et des enfants, est amélioré et EA 2.1.3 : le processus d'accélération de la transition démographique pour déclencher le dividende démographique est réellement mis en mouvement.</w:t>
      </w:r>
    </w:p>
    <w:p w:rsidR="00C46B35" w:rsidRPr="000614D2" w:rsidRDefault="000614D2" w:rsidP="004147B3">
      <w:pPr>
        <w:pStyle w:val="Titre2"/>
        <w:numPr>
          <w:ilvl w:val="1"/>
          <w:numId w:val="27"/>
        </w:numPr>
        <w:rPr>
          <w:spacing w:val="1"/>
        </w:rPr>
      </w:pPr>
      <w:r>
        <w:rPr>
          <w:spacing w:val="1"/>
        </w:rPr>
        <w:t>L</w:t>
      </w:r>
      <w:r w:rsidR="00C46B35" w:rsidRPr="000614D2">
        <w:rPr>
          <w:spacing w:val="1"/>
        </w:rPr>
        <w:t>a vis</w:t>
      </w:r>
      <w:r w:rsidR="00C46B35" w:rsidRPr="00C46B35">
        <w:rPr>
          <w:spacing w:val="1"/>
        </w:rPr>
        <w:t>i</w:t>
      </w:r>
      <w:r w:rsidR="00C46B35" w:rsidRPr="000614D2">
        <w:rPr>
          <w:spacing w:val="1"/>
        </w:rPr>
        <w:t>on</w:t>
      </w:r>
    </w:p>
    <w:p w:rsidR="003427A1" w:rsidRDefault="003427A1" w:rsidP="00DD2863">
      <w:pPr>
        <w:pStyle w:val="Paragraphedeliste"/>
        <w:numPr>
          <w:ilvl w:val="0"/>
          <w:numId w:val="26"/>
        </w:numPr>
        <w:jc w:val="both"/>
      </w:pPr>
      <w:r w:rsidRPr="003427A1">
        <w:rPr>
          <w:rFonts w:cs="Calibri"/>
          <w:color w:val="000000"/>
          <w:spacing w:val="1"/>
          <w:position w:val="1"/>
          <w:sz w:val="24"/>
          <w:szCs w:val="24"/>
        </w:rPr>
        <w:t>La vision du secteur santé est comme suit : « le meilleur état de santé possible pour l’ensemble de la population à travers un système de santé national performant et résilient qui offre des soins de santé accessible à tous »  Elle découle de la vision énoncée dans l’Etude nationale prospective Burkina 2025 : « une nation solidaire, de progrès et de justice qui consolide son respect sur la scène internationale ».et celle du PNDES à l'horizon 2020, se formule comme suit : "le Burkina Faso, une nation démocratique, unie et solidaire, transformant la structure de son économie pour réaliser une croissance forte et inclusive, au moyen de modes de consommation et de production durables". Cette vision ambitionne un meilleur état de santé possible pour l’ensemble de la population. Pour y parvenir, il faut développer un système de santé national performant et résilient qui s’occupe prioritaire de prévenir la maladie. Après cela, des efforts doivent être faits pour que l’offre des services soit accessible à toute la population.</w:t>
      </w:r>
    </w:p>
    <w:p w:rsidR="00C46B35" w:rsidRPr="000614D2" w:rsidRDefault="000614D2" w:rsidP="004147B3">
      <w:pPr>
        <w:pStyle w:val="Titre2"/>
        <w:numPr>
          <w:ilvl w:val="1"/>
          <w:numId w:val="27"/>
        </w:numPr>
        <w:rPr>
          <w:spacing w:val="1"/>
        </w:rPr>
      </w:pPr>
      <w:r>
        <w:rPr>
          <w:spacing w:val="1"/>
        </w:rPr>
        <w:t>L</w:t>
      </w:r>
      <w:r w:rsidR="00C46B35" w:rsidRPr="000614D2">
        <w:rPr>
          <w:spacing w:val="1"/>
        </w:rPr>
        <w:t xml:space="preserve">es </w:t>
      </w:r>
      <w:r w:rsidR="00C46B35" w:rsidRPr="00C46B35">
        <w:rPr>
          <w:spacing w:val="1"/>
        </w:rPr>
        <w:t>p</w:t>
      </w:r>
      <w:r w:rsidR="00C46B35" w:rsidRPr="000614D2">
        <w:rPr>
          <w:spacing w:val="1"/>
        </w:rPr>
        <w:t>ri</w:t>
      </w:r>
      <w:r w:rsidR="00C46B35" w:rsidRPr="00C46B35">
        <w:rPr>
          <w:spacing w:val="1"/>
        </w:rPr>
        <w:t>n</w:t>
      </w:r>
      <w:r w:rsidR="00C46B35" w:rsidRPr="000614D2">
        <w:rPr>
          <w:spacing w:val="1"/>
        </w:rPr>
        <w:t>ci</w:t>
      </w:r>
      <w:r w:rsidR="00C46B35" w:rsidRPr="00C46B35">
        <w:rPr>
          <w:spacing w:val="1"/>
        </w:rPr>
        <w:t>p</w:t>
      </w:r>
      <w:r w:rsidR="00C46B35" w:rsidRPr="000614D2">
        <w:rPr>
          <w:spacing w:val="1"/>
        </w:rPr>
        <w:t xml:space="preserve">es </w:t>
      </w:r>
      <w:r w:rsidR="00C46B35" w:rsidRPr="00C46B35">
        <w:rPr>
          <w:spacing w:val="1"/>
        </w:rPr>
        <w:t>d</w:t>
      </w:r>
      <w:r w:rsidR="00C46B35" w:rsidRPr="000614D2">
        <w:rPr>
          <w:spacing w:val="1"/>
        </w:rPr>
        <w:t>irecte</w:t>
      </w:r>
      <w:r w:rsidR="00C46B35" w:rsidRPr="00C46B35">
        <w:rPr>
          <w:spacing w:val="1"/>
        </w:rPr>
        <w:t>u</w:t>
      </w:r>
      <w:r w:rsidR="00C46B35" w:rsidRPr="000614D2">
        <w:rPr>
          <w:spacing w:val="1"/>
        </w:rPr>
        <w:t>rs</w:t>
      </w:r>
    </w:p>
    <w:p w:rsidR="003427A1" w:rsidRDefault="003427A1" w:rsidP="00C46B35">
      <w:pPr>
        <w:widowControl w:val="0"/>
        <w:autoSpaceDE w:val="0"/>
        <w:autoSpaceDN w:val="0"/>
        <w:adjustRightInd w:val="0"/>
        <w:spacing w:after="0" w:line="240" w:lineRule="auto"/>
        <w:ind w:left="116"/>
        <w:rPr>
          <w:rFonts w:cstheme="minorHAnsi"/>
          <w:b/>
          <w:bCs/>
          <w:color w:val="000000"/>
          <w:sz w:val="24"/>
          <w:szCs w:val="24"/>
        </w:rPr>
      </w:pPr>
    </w:p>
    <w:p w:rsidR="003427A1" w:rsidRDefault="003427A1" w:rsidP="00DD2863">
      <w:pPr>
        <w:pStyle w:val="Paragraphedeliste"/>
        <w:widowControl w:val="0"/>
        <w:numPr>
          <w:ilvl w:val="0"/>
          <w:numId w:val="26"/>
        </w:numPr>
        <w:autoSpaceDE w:val="0"/>
        <w:autoSpaceDN w:val="0"/>
        <w:adjustRightInd w:val="0"/>
        <w:spacing w:before="8" w:after="0" w:line="260" w:lineRule="exact"/>
        <w:jc w:val="both"/>
        <w:rPr>
          <w:rFonts w:cs="Calibri"/>
          <w:color w:val="000000"/>
          <w:spacing w:val="1"/>
          <w:position w:val="1"/>
          <w:sz w:val="24"/>
          <w:szCs w:val="24"/>
        </w:rPr>
      </w:pPr>
      <w:r w:rsidRPr="00BF2557">
        <w:rPr>
          <w:rFonts w:cs="Calibri"/>
          <w:color w:val="000000"/>
          <w:spacing w:val="1"/>
          <w:position w:val="1"/>
          <w:sz w:val="24"/>
          <w:szCs w:val="24"/>
        </w:rPr>
        <w:t xml:space="preserve">Les valeurs qui sous-tendent la présente politique nationale de santé sont : </w:t>
      </w:r>
      <w:r w:rsidR="00700890">
        <w:rPr>
          <w:rFonts w:cs="Calibri"/>
          <w:color w:val="000000"/>
          <w:spacing w:val="1"/>
          <w:position w:val="1"/>
          <w:sz w:val="24"/>
          <w:szCs w:val="24"/>
        </w:rPr>
        <w:t xml:space="preserve">l’universalité, </w:t>
      </w:r>
      <w:r w:rsidRPr="00BF2557">
        <w:rPr>
          <w:rFonts w:cs="Calibri"/>
          <w:color w:val="000000"/>
          <w:spacing w:val="1"/>
          <w:position w:val="1"/>
          <w:sz w:val="24"/>
          <w:szCs w:val="24"/>
        </w:rPr>
        <w:t xml:space="preserve">l’équité, le genre, la justice sociale, la solidarité, la </w:t>
      </w:r>
      <w:proofErr w:type="spellStart"/>
      <w:r w:rsidRPr="00BF2557">
        <w:rPr>
          <w:rFonts w:cs="Calibri"/>
          <w:color w:val="000000"/>
          <w:spacing w:val="1"/>
          <w:position w:val="1"/>
          <w:sz w:val="24"/>
          <w:szCs w:val="24"/>
        </w:rPr>
        <w:t>redevabilité</w:t>
      </w:r>
      <w:proofErr w:type="spellEnd"/>
      <w:r w:rsidRPr="00BF2557">
        <w:rPr>
          <w:rFonts w:cs="Calibri"/>
          <w:color w:val="000000"/>
          <w:spacing w:val="1"/>
          <w:position w:val="1"/>
          <w:sz w:val="24"/>
          <w:szCs w:val="24"/>
        </w:rPr>
        <w:t xml:space="preserve">, l’éthique, la probité, </w:t>
      </w:r>
      <w:r w:rsidR="006435DC">
        <w:rPr>
          <w:rFonts w:cs="Calibri"/>
          <w:color w:val="000000"/>
          <w:spacing w:val="1"/>
          <w:position w:val="1"/>
          <w:sz w:val="24"/>
          <w:szCs w:val="24"/>
        </w:rPr>
        <w:t xml:space="preserve">la protection financière, </w:t>
      </w:r>
      <w:r w:rsidRPr="00BF2557">
        <w:rPr>
          <w:rFonts w:cs="Calibri"/>
          <w:color w:val="000000"/>
          <w:spacing w:val="1"/>
          <w:position w:val="1"/>
          <w:sz w:val="24"/>
          <w:szCs w:val="24"/>
        </w:rPr>
        <w:t>le respect de l’identité culturelle des communautés et des droits des patients ainsi que la bonne gouvernance</w:t>
      </w:r>
      <w:r w:rsidR="00DA3A8F">
        <w:rPr>
          <w:rFonts w:cs="Calibri"/>
          <w:color w:val="000000"/>
          <w:spacing w:val="1"/>
          <w:position w:val="1"/>
          <w:sz w:val="24"/>
          <w:szCs w:val="24"/>
        </w:rPr>
        <w:t>.</w:t>
      </w:r>
    </w:p>
    <w:p w:rsidR="00700890" w:rsidRDefault="00700890" w:rsidP="00DD2863">
      <w:pPr>
        <w:pStyle w:val="Paragraphedeliste"/>
        <w:widowControl w:val="0"/>
        <w:numPr>
          <w:ilvl w:val="0"/>
          <w:numId w:val="26"/>
        </w:numPr>
        <w:autoSpaceDE w:val="0"/>
        <w:autoSpaceDN w:val="0"/>
        <w:adjustRightInd w:val="0"/>
        <w:spacing w:before="8" w:after="0" w:line="260" w:lineRule="exact"/>
        <w:jc w:val="both"/>
        <w:rPr>
          <w:rFonts w:cs="Calibri"/>
          <w:color w:val="000000"/>
          <w:spacing w:val="1"/>
          <w:position w:val="1"/>
          <w:sz w:val="24"/>
          <w:szCs w:val="24"/>
        </w:rPr>
      </w:pPr>
      <w:r>
        <w:rPr>
          <w:rFonts w:cstheme="minorHAnsi"/>
          <w:sz w:val="24"/>
          <w:szCs w:val="24"/>
        </w:rPr>
        <w:t>La mise en œuvre de la politique doit va permettre d’évoluer positivement vers la couverture sanitaire universelle "CSU", en éliminant progressivement les barrières, géographiques, socioculturelles et financières. Les groupes vulnérables seront l’objet d’une attention particulière.</w:t>
      </w:r>
    </w:p>
    <w:p w:rsidR="003427A1" w:rsidRPr="00BF2557" w:rsidRDefault="003427A1" w:rsidP="00DD2863">
      <w:pPr>
        <w:pStyle w:val="Paragraphedeliste"/>
        <w:widowControl w:val="0"/>
        <w:numPr>
          <w:ilvl w:val="0"/>
          <w:numId w:val="26"/>
        </w:numPr>
        <w:autoSpaceDE w:val="0"/>
        <w:autoSpaceDN w:val="0"/>
        <w:adjustRightInd w:val="0"/>
        <w:spacing w:before="8" w:after="0" w:line="260" w:lineRule="exact"/>
        <w:jc w:val="both"/>
        <w:rPr>
          <w:rFonts w:cs="Calibri"/>
          <w:color w:val="000000"/>
          <w:spacing w:val="1"/>
          <w:position w:val="1"/>
          <w:sz w:val="24"/>
          <w:szCs w:val="24"/>
        </w:rPr>
      </w:pPr>
      <w:r w:rsidRPr="00BF2557">
        <w:rPr>
          <w:rFonts w:cs="Calibri"/>
          <w:color w:val="000000"/>
          <w:spacing w:val="1"/>
          <w:position w:val="1"/>
          <w:sz w:val="24"/>
          <w:szCs w:val="24"/>
        </w:rPr>
        <w:t xml:space="preserve">L’équité et le genre : la mise </w:t>
      </w:r>
      <w:r w:rsidR="00B6456F">
        <w:rPr>
          <w:rFonts w:cs="Calibri"/>
          <w:color w:val="000000"/>
          <w:spacing w:val="1"/>
          <w:position w:val="1"/>
          <w:sz w:val="24"/>
          <w:szCs w:val="24"/>
        </w:rPr>
        <w:t xml:space="preserve">en œuvre </w:t>
      </w:r>
      <w:r w:rsidRPr="00BF2557">
        <w:rPr>
          <w:rFonts w:cs="Calibri"/>
          <w:color w:val="000000"/>
          <w:spacing w:val="1"/>
          <w:position w:val="1"/>
          <w:sz w:val="24"/>
          <w:szCs w:val="24"/>
        </w:rPr>
        <w:t xml:space="preserve">de la politique </w:t>
      </w:r>
      <w:r w:rsidR="00B6456F">
        <w:rPr>
          <w:rFonts w:cs="Calibri"/>
          <w:color w:val="000000"/>
          <w:spacing w:val="1"/>
          <w:position w:val="1"/>
          <w:sz w:val="24"/>
          <w:szCs w:val="24"/>
        </w:rPr>
        <w:t xml:space="preserve">permet de </w:t>
      </w:r>
      <w:r w:rsidRPr="00BF2557">
        <w:rPr>
          <w:rFonts w:cs="Calibri"/>
          <w:color w:val="000000"/>
          <w:spacing w:val="1"/>
          <w:position w:val="1"/>
          <w:sz w:val="24"/>
          <w:szCs w:val="24"/>
        </w:rPr>
        <w:t>mettre en exergue le principe de l’équité. Cela se tradui</w:t>
      </w:r>
      <w:r w:rsidR="00B6456F">
        <w:rPr>
          <w:rFonts w:cs="Calibri"/>
          <w:color w:val="000000"/>
          <w:spacing w:val="1"/>
          <w:position w:val="1"/>
          <w:sz w:val="24"/>
          <w:szCs w:val="24"/>
        </w:rPr>
        <w:t>t</w:t>
      </w:r>
      <w:r w:rsidRPr="00BF2557">
        <w:rPr>
          <w:rFonts w:cs="Calibri"/>
          <w:color w:val="000000"/>
          <w:spacing w:val="1"/>
          <w:position w:val="1"/>
          <w:sz w:val="24"/>
          <w:szCs w:val="24"/>
        </w:rPr>
        <w:t xml:space="preserve"> par la réduction des inégalités sociales et régionales</w:t>
      </w:r>
      <w:r w:rsidR="00B6456F">
        <w:rPr>
          <w:rFonts w:cs="Calibri"/>
          <w:color w:val="000000"/>
          <w:spacing w:val="1"/>
          <w:position w:val="1"/>
          <w:sz w:val="24"/>
          <w:szCs w:val="24"/>
        </w:rPr>
        <w:t>. Les principes de l’équité</w:t>
      </w:r>
      <w:r w:rsidRPr="00BF2557">
        <w:rPr>
          <w:rFonts w:cs="Calibri"/>
          <w:color w:val="000000"/>
          <w:spacing w:val="1"/>
          <w:position w:val="1"/>
          <w:sz w:val="24"/>
          <w:szCs w:val="24"/>
        </w:rPr>
        <w:t xml:space="preserve"> seront le fil conducteur déterminant, pour assurer l'équité notamment dans l’offre des services de santé en tenant compte des spécificités régionales et la demande des services de santé. L'équité favorisera également, une utilisation rationnelle des ressources et l’accès de toutes </w:t>
      </w:r>
      <w:r w:rsidR="00B6456F">
        <w:rPr>
          <w:rFonts w:cs="Calibri"/>
          <w:color w:val="000000"/>
          <w:spacing w:val="1"/>
          <w:position w:val="1"/>
          <w:sz w:val="24"/>
          <w:szCs w:val="24"/>
        </w:rPr>
        <w:t xml:space="preserve">les </w:t>
      </w:r>
      <w:r w:rsidRPr="00BF2557">
        <w:rPr>
          <w:rFonts w:cs="Calibri"/>
          <w:color w:val="000000"/>
          <w:spacing w:val="1"/>
          <w:position w:val="1"/>
          <w:sz w:val="24"/>
          <w:szCs w:val="24"/>
        </w:rPr>
        <w:t xml:space="preserve">couches sociales aux services de santé. Aussi, la prise en compte du genre </w:t>
      </w:r>
      <w:r w:rsidR="00B6456F">
        <w:rPr>
          <w:rFonts w:cs="Calibri"/>
          <w:color w:val="000000"/>
          <w:spacing w:val="1"/>
          <w:position w:val="1"/>
          <w:sz w:val="24"/>
          <w:szCs w:val="24"/>
        </w:rPr>
        <w:t xml:space="preserve">permettra </w:t>
      </w:r>
      <w:r w:rsidRPr="00BF2557">
        <w:rPr>
          <w:rFonts w:cs="Calibri"/>
          <w:color w:val="000000"/>
          <w:spacing w:val="1"/>
          <w:position w:val="1"/>
          <w:sz w:val="24"/>
          <w:szCs w:val="24"/>
        </w:rPr>
        <w:t xml:space="preserve">notamment </w:t>
      </w:r>
      <w:r w:rsidR="00B6456F">
        <w:rPr>
          <w:rFonts w:cs="Calibri"/>
          <w:color w:val="000000"/>
          <w:spacing w:val="1"/>
          <w:position w:val="1"/>
          <w:sz w:val="24"/>
          <w:szCs w:val="24"/>
        </w:rPr>
        <w:t>de tenir compte d</w:t>
      </w:r>
      <w:r w:rsidRPr="00BF2557">
        <w:rPr>
          <w:rFonts w:cs="Calibri"/>
          <w:color w:val="000000"/>
          <w:spacing w:val="1"/>
          <w:position w:val="1"/>
          <w:sz w:val="24"/>
          <w:szCs w:val="24"/>
        </w:rPr>
        <w:t xml:space="preserve">es besoins spécifiques des </w:t>
      </w:r>
      <w:r w:rsidR="00B6456F">
        <w:rPr>
          <w:rFonts w:cs="Calibri"/>
          <w:color w:val="000000"/>
          <w:spacing w:val="1"/>
          <w:position w:val="1"/>
          <w:sz w:val="24"/>
          <w:szCs w:val="24"/>
        </w:rPr>
        <w:t>femmes</w:t>
      </w:r>
      <w:r w:rsidRPr="00BF2557">
        <w:rPr>
          <w:rFonts w:cs="Calibri"/>
          <w:color w:val="000000"/>
          <w:spacing w:val="1"/>
          <w:position w:val="1"/>
          <w:sz w:val="24"/>
          <w:szCs w:val="24"/>
        </w:rPr>
        <w:t xml:space="preserve"> et des </w:t>
      </w:r>
      <w:r w:rsidR="00B6456F">
        <w:rPr>
          <w:rFonts w:cs="Calibri"/>
          <w:color w:val="000000"/>
          <w:spacing w:val="1"/>
          <w:position w:val="1"/>
          <w:sz w:val="24"/>
          <w:szCs w:val="24"/>
        </w:rPr>
        <w:t>hommes</w:t>
      </w:r>
      <w:r w:rsidRPr="00BF2557">
        <w:rPr>
          <w:rFonts w:cs="Calibri"/>
          <w:color w:val="000000"/>
          <w:spacing w:val="1"/>
          <w:position w:val="1"/>
          <w:sz w:val="24"/>
          <w:szCs w:val="24"/>
        </w:rPr>
        <w:t xml:space="preserve"> dans la mise en œuvre de la politique.</w:t>
      </w:r>
    </w:p>
    <w:p w:rsidR="003427A1" w:rsidRPr="00BF2557" w:rsidRDefault="003427A1" w:rsidP="003427A1">
      <w:pPr>
        <w:pStyle w:val="Paragraphedeliste"/>
        <w:widowControl w:val="0"/>
        <w:autoSpaceDE w:val="0"/>
        <w:autoSpaceDN w:val="0"/>
        <w:adjustRightInd w:val="0"/>
        <w:spacing w:before="8" w:after="0" w:line="260" w:lineRule="exact"/>
        <w:jc w:val="both"/>
        <w:rPr>
          <w:rFonts w:cs="Calibri"/>
          <w:color w:val="000000"/>
          <w:spacing w:val="1"/>
          <w:position w:val="1"/>
          <w:sz w:val="24"/>
          <w:szCs w:val="24"/>
        </w:rPr>
      </w:pPr>
    </w:p>
    <w:p w:rsidR="003427A1" w:rsidRDefault="003427A1" w:rsidP="00DD2863">
      <w:pPr>
        <w:pStyle w:val="Paragraphedeliste"/>
        <w:widowControl w:val="0"/>
        <w:numPr>
          <w:ilvl w:val="0"/>
          <w:numId w:val="26"/>
        </w:numPr>
        <w:autoSpaceDE w:val="0"/>
        <w:autoSpaceDN w:val="0"/>
        <w:adjustRightInd w:val="0"/>
        <w:spacing w:before="8" w:after="0" w:line="260" w:lineRule="exact"/>
        <w:jc w:val="both"/>
        <w:rPr>
          <w:rFonts w:asciiTheme="minorHAnsi" w:hAnsiTheme="minorHAnsi" w:cs="Arial"/>
          <w:sz w:val="24"/>
          <w:szCs w:val="24"/>
          <w:lang w:eastAsia="en-GB"/>
        </w:rPr>
      </w:pPr>
      <w:r w:rsidRPr="00BF2557">
        <w:rPr>
          <w:rFonts w:cs="Calibri"/>
          <w:color w:val="000000"/>
          <w:spacing w:val="1"/>
          <w:position w:val="1"/>
          <w:sz w:val="24"/>
          <w:szCs w:val="24"/>
        </w:rPr>
        <w:t xml:space="preserve">La </w:t>
      </w:r>
      <w:proofErr w:type="spellStart"/>
      <w:r w:rsidRPr="00BF2557">
        <w:rPr>
          <w:rFonts w:cs="Calibri"/>
          <w:color w:val="000000"/>
          <w:spacing w:val="1"/>
          <w:position w:val="1"/>
          <w:sz w:val="24"/>
          <w:szCs w:val="24"/>
        </w:rPr>
        <w:t>redevabilité</w:t>
      </w:r>
      <w:proofErr w:type="spellEnd"/>
      <w:r w:rsidRPr="00BF2557">
        <w:rPr>
          <w:rFonts w:cs="Calibri"/>
          <w:color w:val="000000"/>
          <w:spacing w:val="1"/>
          <w:position w:val="1"/>
          <w:sz w:val="24"/>
          <w:szCs w:val="24"/>
        </w:rPr>
        <w:t xml:space="preserve"> : elle se matérialise par la transparence et la reddition des comptes qui seront les éléments fondamentaux dans la mise</w:t>
      </w:r>
      <w:r w:rsidR="00003A3C">
        <w:rPr>
          <w:rFonts w:cs="Calibri"/>
          <w:color w:val="000000"/>
          <w:spacing w:val="1"/>
          <w:position w:val="1"/>
          <w:sz w:val="24"/>
          <w:szCs w:val="24"/>
        </w:rPr>
        <w:t xml:space="preserve"> en œuvre de la politique. La </w:t>
      </w:r>
      <w:proofErr w:type="spellStart"/>
      <w:r w:rsidR="00003A3C">
        <w:rPr>
          <w:rFonts w:cs="Calibri"/>
          <w:color w:val="000000"/>
          <w:spacing w:val="1"/>
          <w:position w:val="1"/>
          <w:sz w:val="24"/>
          <w:szCs w:val="24"/>
        </w:rPr>
        <w:t>redevabilité</w:t>
      </w:r>
      <w:proofErr w:type="spellEnd"/>
      <w:r w:rsidR="00003A3C">
        <w:rPr>
          <w:rFonts w:cs="Calibri"/>
          <w:color w:val="000000"/>
          <w:spacing w:val="1"/>
          <w:position w:val="1"/>
          <w:sz w:val="24"/>
          <w:szCs w:val="24"/>
        </w:rPr>
        <w:t xml:space="preserve"> permet</w:t>
      </w:r>
      <w:r w:rsidRPr="00BF2557">
        <w:rPr>
          <w:rFonts w:cs="Calibri"/>
          <w:color w:val="000000"/>
          <w:spacing w:val="1"/>
          <w:position w:val="1"/>
          <w:sz w:val="24"/>
          <w:szCs w:val="24"/>
        </w:rPr>
        <w:t xml:space="preserve"> d'instaurer un cl</w:t>
      </w:r>
      <w:r w:rsidR="00003A3C">
        <w:rPr>
          <w:rFonts w:cs="Calibri"/>
          <w:color w:val="000000"/>
          <w:spacing w:val="1"/>
          <w:position w:val="1"/>
          <w:sz w:val="24"/>
          <w:szCs w:val="24"/>
        </w:rPr>
        <w:t>imat de confiance et garantit</w:t>
      </w:r>
      <w:r w:rsidRPr="00BF2557">
        <w:rPr>
          <w:rFonts w:cs="Calibri"/>
          <w:color w:val="000000"/>
          <w:spacing w:val="1"/>
          <w:position w:val="1"/>
          <w:sz w:val="24"/>
          <w:szCs w:val="24"/>
        </w:rPr>
        <w:t xml:space="preserve"> la pleine participation des acteurs à la réalisation des objectifs définis de la politique</w:t>
      </w:r>
      <w:r w:rsidRPr="00293D02">
        <w:rPr>
          <w:rFonts w:asciiTheme="minorHAnsi" w:hAnsiTheme="minorHAnsi" w:cs="Arial"/>
          <w:sz w:val="24"/>
          <w:szCs w:val="24"/>
          <w:lang w:eastAsia="en-GB"/>
        </w:rPr>
        <w:t>.</w:t>
      </w:r>
    </w:p>
    <w:p w:rsidR="00DA3A8F" w:rsidRPr="00293D02" w:rsidRDefault="00DA3A8F" w:rsidP="00DD2863">
      <w:pPr>
        <w:pStyle w:val="Paragraphedeliste"/>
        <w:widowControl w:val="0"/>
        <w:numPr>
          <w:ilvl w:val="0"/>
          <w:numId w:val="26"/>
        </w:numPr>
        <w:autoSpaceDE w:val="0"/>
        <w:autoSpaceDN w:val="0"/>
        <w:adjustRightInd w:val="0"/>
        <w:spacing w:before="8" w:after="0" w:line="260" w:lineRule="exact"/>
        <w:jc w:val="both"/>
        <w:rPr>
          <w:rFonts w:asciiTheme="minorHAnsi" w:hAnsiTheme="minorHAnsi" w:cs="Arial"/>
          <w:sz w:val="24"/>
          <w:szCs w:val="24"/>
          <w:lang w:eastAsia="en-GB"/>
        </w:rPr>
      </w:pPr>
      <w:r>
        <w:rPr>
          <w:rFonts w:asciiTheme="minorHAnsi" w:hAnsiTheme="minorHAnsi" w:cs="Arial"/>
          <w:sz w:val="24"/>
          <w:szCs w:val="24"/>
          <w:lang w:eastAsia="en-GB"/>
        </w:rPr>
        <w:lastRenderedPageBreak/>
        <w:t>La protection financière</w:t>
      </w:r>
      <w:r w:rsidR="005C62D4">
        <w:rPr>
          <w:rFonts w:asciiTheme="minorHAnsi" w:hAnsiTheme="minorHAnsi" w:cs="Arial"/>
          <w:sz w:val="24"/>
          <w:szCs w:val="24"/>
          <w:lang w:eastAsia="en-GB"/>
        </w:rPr>
        <w:t xml:space="preserve"> </w:t>
      </w:r>
      <w:r w:rsidR="005C62D4">
        <w:rPr>
          <w:rFonts w:cs="Calibri"/>
          <w:color w:val="000000"/>
          <w:spacing w:val="1"/>
          <w:position w:val="1"/>
          <w:sz w:val="24"/>
          <w:szCs w:val="24"/>
        </w:rPr>
        <w:t>doit permettre d'éviter un appauvrissement par le recours aux soins. E</w:t>
      </w:r>
      <w:proofErr w:type="spellStart"/>
      <w:r>
        <w:rPr>
          <w:rFonts w:asciiTheme="minorHAnsi" w:hAnsiTheme="minorHAnsi" w:cs="Arial"/>
          <w:sz w:val="24"/>
          <w:szCs w:val="24"/>
          <w:lang w:eastAsia="en-GB"/>
        </w:rPr>
        <w:t>lle</w:t>
      </w:r>
      <w:proofErr w:type="spellEnd"/>
      <w:r>
        <w:rPr>
          <w:rFonts w:asciiTheme="minorHAnsi" w:hAnsiTheme="minorHAnsi" w:cs="Arial"/>
          <w:sz w:val="24"/>
          <w:szCs w:val="24"/>
          <w:lang w:eastAsia="en-GB"/>
        </w:rPr>
        <w:t xml:space="preserve"> se concrétise par des mécanismes</w:t>
      </w:r>
      <w:r w:rsidR="005C62D4">
        <w:rPr>
          <w:rFonts w:asciiTheme="minorHAnsi" w:hAnsiTheme="minorHAnsi" w:cs="Arial"/>
          <w:sz w:val="24"/>
          <w:szCs w:val="24"/>
          <w:lang w:eastAsia="en-GB"/>
        </w:rPr>
        <w:t xml:space="preserve"> pérennes et</w:t>
      </w:r>
      <w:r>
        <w:rPr>
          <w:rFonts w:asciiTheme="minorHAnsi" w:hAnsiTheme="minorHAnsi" w:cs="Arial"/>
          <w:sz w:val="24"/>
          <w:szCs w:val="24"/>
          <w:lang w:eastAsia="en-GB"/>
        </w:rPr>
        <w:t xml:space="preserve"> progressifs de mobilisation d</w:t>
      </w:r>
      <w:r w:rsidR="005C62D4">
        <w:rPr>
          <w:rFonts w:asciiTheme="minorHAnsi" w:hAnsiTheme="minorHAnsi" w:cs="Arial"/>
          <w:sz w:val="24"/>
          <w:szCs w:val="24"/>
          <w:lang w:eastAsia="en-GB"/>
        </w:rPr>
        <w:t>'espace fiscale</w:t>
      </w:r>
      <w:r>
        <w:rPr>
          <w:rFonts w:asciiTheme="minorHAnsi" w:hAnsiTheme="minorHAnsi" w:cs="Arial"/>
          <w:sz w:val="24"/>
          <w:szCs w:val="24"/>
          <w:lang w:eastAsia="en-GB"/>
        </w:rPr>
        <w:t xml:space="preserve">, par une fongibilité </w:t>
      </w:r>
      <w:r w:rsidR="005C62D4">
        <w:rPr>
          <w:rFonts w:asciiTheme="minorHAnsi" w:hAnsiTheme="minorHAnsi" w:cs="Arial"/>
          <w:sz w:val="24"/>
          <w:szCs w:val="24"/>
          <w:lang w:eastAsia="en-GB"/>
        </w:rPr>
        <w:t>totale des</w:t>
      </w:r>
      <w:r>
        <w:rPr>
          <w:rFonts w:asciiTheme="minorHAnsi" w:hAnsiTheme="minorHAnsi" w:cs="Arial"/>
          <w:sz w:val="24"/>
          <w:szCs w:val="24"/>
          <w:lang w:eastAsia="en-GB"/>
        </w:rPr>
        <w:t xml:space="preserve"> co</w:t>
      </w:r>
      <w:r w:rsidR="005C62D4">
        <w:rPr>
          <w:rFonts w:asciiTheme="minorHAnsi" w:hAnsiTheme="minorHAnsi" w:cs="Arial"/>
          <w:sz w:val="24"/>
          <w:szCs w:val="24"/>
          <w:lang w:eastAsia="en-GB"/>
        </w:rPr>
        <w:t>ntributions de partage de risque maladie, par des allocations basées sur des résultats et par une délimitation prudente du paquet de bénéfices.</w:t>
      </w:r>
    </w:p>
    <w:p w:rsidR="00C46B35" w:rsidRPr="000614D2" w:rsidRDefault="000614D2" w:rsidP="004147B3">
      <w:pPr>
        <w:pStyle w:val="Titre2"/>
        <w:numPr>
          <w:ilvl w:val="1"/>
          <w:numId w:val="27"/>
        </w:numPr>
        <w:rPr>
          <w:spacing w:val="1"/>
        </w:rPr>
      </w:pPr>
      <w:r>
        <w:rPr>
          <w:spacing w:val="1"/>
        </w:rPr>
        <w:t>L</w:t>
      </w:r>
      <w:r w:rsidR="00C46B35" w:rsidRPr="000614D2">
        <w:rPr>
          <w:spacing w:val="1"/>
        </w:rPr>
        <w:t>es orie</w:t>
      </w:r>
      <w:r w:rsidR="00C46B35" w:rsidRPr="00C46B35">
        <w:rPr>
          <w:spacing w:val="1"/>
        </w:rPr>
        <w:t>n</w:t>
      </w:r>
      <w:r w:rsidR="00C46B35" w:rsidRPr="000614D2">
        <w:rPr>
          <w:spacing w:val="1"/>
        </w:rPr>
        <w:t>tatio</w:t>
      </w:r>
      <w:r w:rsidR="00C46B35" w:rsidRPr="00C46B35">
        <w:rPr>
          <w:spacing w:val="1"/>
        </w:rPr>
        <w:t>n</w:t>
      </w:r>
      <w:r w:rsidR="00C46B35" w:rsidRPr="000614D2">
        <w:rPr>
          <w:spacing w:val="1"/>
        </w:rPr>
        <w:t>s stratégi</w:t>
      </w:r>
      <w:r w:rsidR="00C46B35" w:rsidRPr="00C46B35">
        <w:rPr>
          <w:spacing w:val="1"/>
        </w:rPr>
        <w:t>qu</w:t>
      </w:r>
      <w:r w:rsidR="00C46B35" w:rsidRPr="000614D2">
        <w:rPr>
          <w:spacing w:val="1"/>
        </w:rPr>
        <w:t>es</w:t>
      </w:r>
    </w:p>
    <w:p w:rsidR="00657E6A" w:rsidRPr="00657E6A" w:rsidRDefault="00657E6A" w:rsidP="00DD2863">
      <w:pPr>
        <w:pStyle w:val="Paragraphedeliste"/>
        <w:numPr>
          <w:ilvl w:val="0"/>
          <w:numId w:val="26"/>
        </w:numPr>
        <w:jc w:val="both"/>
      </w:pPr>
      <w:r w:rsidRPr="00657E6A">
        <w:rPr>
          <w:rFonts w:cs="Calibri"/>
          <w:color w:val="000000"/>
          <w:spacing w:val="1"/>
          <w:position w:val="1"/>
          <w:sz w:val="24"/>
          <w:szCs w:val="24"/>
        </w:rPr>
        <w:t>Pour relever les défis découlant de l’analyse diagnostique de situation, des axes stratégiques, des objectifs et des effets attendus sont clairement définis. Le relèvement de ces défis contribue</w:t>
      </w:r>
      <w:r>
        <w:rPr>
          <w:rFonts w:cs="Calibri"/>
          <w:color w:val="000000"/>
          <w:spacing w:val="1"/>
          <w:position w:val="1"/>
          <w:sz w:val="24"/>
          <w:szCs w:val="24"/>
        </w:rPr>
        <w:t>,</w:t>
      </w:r>
      <w:r w:rsidRPr="00657E6A">
        <w:rPr>
          <w:rFonts w:cs="Calibri"/>
          <w:color w:val="000000"/>
          <w:spacing w:val="1"/>
          <w:position w:val="1"/>
          <w:sz w:val="24"/>
          <w:szCs w:val="24"/>
        </w:rPr>
        <w:t xml:space="preserve"> sans doute</w:t>
      </w:r>
      <w:r>
        <w:rPr>
          <w:rFonts w:cs="Calibri"/>
          <w:color w:val="000000"/>
          <w:spacing w:val="1"/>
          <w:position w:val="1"/>
          <w:sz w:val="24"/>
          <w:szCs w:val="24"/>
        </w:rPr>
        <w:t>,</w:t>
      </w:r>
      <w:r w:rsidRPr="00657E6A">
        <w:rPr>
          <w:rFonts w:cs="Calibri"/>
          <w:color w:val="000000"/>
          <w:spacing w:val="1"/>
          <w:position w:val="1"/>
          <w:sz w:val="24"/>
          <w:szCs w:val="24"/>
        </w:rPr>
        <w:t xml:space="preserve"> entre autres à l’atteinte de la  promotion de la santé des populations et de l’accélération de la transition démographique, objectif stratégique du PNDES. </w:t>
      </w:r>
    </w:p>
    <w:p w:rsidR="00C46B35" w:rsidRPr="004147B3" w:rsidRDefault="000614D2" w:rsidP="004147B3">
      <w:pPr>
        <w:pStyle w:val="Titre3"/>
        <w:numPr>
          <w:ilvl w:val="2"/>
          <w:numId w:val="27"/>
        </w:numPr>
        <w:rPr>
          <w:sz w:val="24"/>
          <w:szCs w:val="24"/>
        </w:rPr>
      </w:pPr>
      <w:r w:rsidRPr="004147B3">
        <w:rPr>
          <w:sz w:val="24"/>
          <w:szCs w:val="24"/>
        </w:rPr>
        <w:t>L</w:t>
      </w:r>
      <w:r w:rsidR="00C46B35" w:rsidRPr="004147B3">
        <w:rPr>
          <w:sz w:val="24"/>
          <w:szCs w:val="24"/>
        </w:rPr>
        <w:t>’objectif global et les impacts attendus</w:t>
      </w:r>
    </w:p>
    <w:p w:rsidR="00657E6A" w:rsidRDefault="00657E6A" w:rsidP="00C46B35">
      <w:pPr>
        <w:widowControl w:val="0"/>
        <w:autoSpaceDE w:val="0"/>
        <w:autoSpaceDN w:val="0"/>
        <w:adjustRightInd w:val="0"/>
        <w:spacing w:after="0" w:line="289" w:lineRule="exact"/>
        <w:ind w:left="476"/>
        <w:rPr>
          <w:rFonts w:cstheme="minorHAnsi"/>
          <w:color w:val="000000"/>
          <w:position w:val="1"/>
          <w:sz w:val="24"/>
          <w:szCs w:val="24"/>
        </w:rPr>
      </w:pPr>
    </w:p>
    <w:p w:rsidR="00657E6A" w:rsidRDefault="00657E6A" w:rsidP="00DD2863">
      <w:pPr>
        <w:pStyle w:val="Paragraphedeliste"/>
        <w:widowControl w:val="0"/>
        <w:numPr>
          <w:ilvl w:val="0"/>
          <w:numId w:val="26"/>
        </w:numPr>
        <w:autoSpaceDE w:val="0"/>
        <w:autoSpaceDN w:val="0"/>
        <w:adjustRightInd w:val="0"/>
        <w:spacing w:before="8" w:after="0" w:line="260" w:lineRule="exact"/>
        <w:jc w:val="both"/>
        <w:rPr>
          <w:rFonts w:cs="Calibri"/>
          <w:color w:val="000000"/>
          <w:spacing w:val="1"/>
          <w:position w:val="1"/>
          <w:sz w:val="24"/>
          <w:szCs w:val="24"/>
        </w:rPr>
      </w:pPr>
      <w:r w:rsidRPr="00C539DF">
        <w:rPr>
          <w:rFonts w:cs="Calibri"/>
          <w:color w:val="000000"/>
          <w:spacing w:val="1"/>
          <w:position w:val="1"/>
          <w:sz w:val="24"/>
          <w:szCs w:val="24"/>
        </w:rPr>
        <w:t>L’Objectif général  est d’améliorer de l’état de santé des populations</w:t>
      </w:r>
    </w:p>
    <w:p w:rsidR="00657E6A" w:rsidRPr="00657E6A" w:rsidRDefault="00657E6A" w:rsidP="00DD2863">
      <w:pPr>
        <w:pStyle w:val="Paragraphedeliste"/>
        <w:widowControl w:val="0"/>
        <w:numPr>
          <w:ilvl w:val="0"/>
          <w:numId w:val="26"/>
        </w:numPr>
        <w:autoSpaceDE w:val="0"/>
        <w:autoSpaceDN w:val="0"/>
        <w:adjustRightInd w:val="0"/>
        <w:spacing w:before="8" w:after="0" w:line="260" w:lineRule="exact"/>
        <w:jc w:val="both"/>
        <w:rPr>
          <w:rFonts w:cs="Calibri"/>
          <w:color w:val="000000"/>
          <w:spacing w:val="1"/>
          <w:position w:val="1"/>
          <w:sz w:val="24"/>
          <w:szCs w:val="24"/>
        </w:rPr>
      </w:pPr>
      <w:r w:rsidRPr="00657E6A">
        <w:rPr>
          <w:rFonts w:cs="Calibri"/>
          <w:color w:val="000000"/>
          <w:spacing w:val="1"/>
          <w:position w:val="1"/>
          <w:sz w:val="24"/>
          <w:szCs w:val="24"/>
        </w:rPr>
        <w:t>Les impacts attendus sont : (i) Réduction des morbidités et des mortalités, (ii) Augmentation de l’espérance de vie à la naissance, (iii) Amélioration du bien-être de la population.</w:t>
      </w:r>
    </w:p>
    <w:p w:rsidR="00C46B35" w:rsidRDefault="00CB0563" w:rsidP="004147B3">
      <w:pPr>
        <w:pStyle w:val="Titre3"/>
        <w:numPr>
          <w:ilvl w:val="2"/>
          <w:numId w:val="27"/>
        </w:numPr>
        <w:rPr>
          <w:sz w:val="24"/>
          <w:szCs w:val="24"/>
        </w:rPr>
      </w:pPr>
      <w:r w:rsidRPr="004147B3">
        <w:rPr>
          <w:sz w:val="24"/>
          <w:szCs w:val="24"/>
        </w:rPr>
        <w:t xml:space="preserve">Axes stratégiques, </w:t>
      </w:r>
      <w:r w:rsidRPr="00657E6A">
        <w:rPr>
          <w:sz w:val="24"/>
          <w:szCs w:val="24"/>
        </w:rPr>
        <w:t>obj</w:t>
      </w:r>
      <w:r w:rsidRPr="004147B3">
        <w:rPr>
          <w:sz w:val="24"/>
          <w:szCs w:val="24"/>
        </w:rPr>
        <w:t>ec</w:t>
      </w:r>
      <w:r w:rsidRPr="00657E6A">
        <w:rPr>
          <w:sz w:val="24"/>
          <w:szCs w:val="24"/>
        </w:rPr>
        <w:t>t</w:t>
      </w:r>
      <w:r w:rsidRPr="004147B3">
        <w:rPr>
          <w:sz w:val="24"/>
          <w:szCs w:val="24"/>
        </w:rPr>
        <w:t>i</w:t>
      </w:r>
      <w:r w:rsidRPr="00657E6A">
        <w:rPr>
          <w:sz w:val="24"/>
          <w:szCs w:val="24"/>
        </w:rPr>
        <w:t>fs str</w:t>
      </w:r>
      <w:r w:rsidRPr="004147B3">
        <w:rPr>
          <w:sz w:val="24"/>
          <w:szCs w:val="24"/>
        </w:rPr>
        <w:t>a</w:t>
      </w:r>
      <w:r w:rsidRPr="00657E6A">
        <w:rPr>
          <w:sz w:val="24"/>
          <w:szCs w:val="24"/>
        </w:rPr>
        <w:t>t</w:t>
      </w:r>
      <w:r w:rsidRPr="004147B3">
        <w:rPr>
          <w:sz w:val="24"/>
          <w:szCs w:val="24"/>
        </w:rPr>
        <w:t>ég</w:t>
      </w:r>
      <w:r w:rsidRPr="00657E6A">
        <w:rPr>
          <w:sz w:val="24"/>
          <w:szCs w:val="24"/>
        </w:rPr>
        <w:t>iques</w:t>
      </w:r>
      <w:r w:rsidRPr="004147B3">
        <w:rPr>
          <w:sz w:val="24"/>
          <w:szCs w:val="24"/>
        </w:rPr>
        <w:t xml:space="preserve"> e</w:t>
      </w:r>
      <w:r w:rsidRPr="00657E6A">
        <w:rPr>
          <w:sz w:val="24"/>
          <w:szCs w:val="24"/>
        </w:rPr>
        <w:t>t e</w:t>
      </w:r>
      <w:r w:rsidRPr="004147B3">
        <w:rPr>
          <w:sz w:val="24"/>
          <w:szCs w:val="24"/>
        </w:rPr>
        <w:t>ffe</w:t>
      </w:r>
      <w:r w:rsidRPr="00657E6A">
        <w:rPr>
          <w:sz w:val="24"/>
          <w:szCs w:val="24"/>
        </w:rPr>
        <w:t>ts attendus</w:t>
      </w:r>
    </w:p>
    <w:p w:rsidR="000614D2" w:rsidRPr="000614D2" w:rsidRDefault="000614D2" w:rsidP="000614D2"/>
    <w:p w:rsidR="00FE1129" w:rsidRPr="009D2701" w:rsidRDefault="009D2701" w:rsidP="004147B3">
      <w:pPr>
        <w:pStyle w:val="Titre4"/>
        <w:numPr>
          <w:ilvl w:val="3"/>
          <w:numId w:val="27"/>
        </w:numPr>
        <w:rPr>
          <w:sz w:val="24"/>
          <w:szCs w:val="24"/>
        </w:rPr>
      </w:pPr>
      <w:r>
        <w:rPr>
          <w:sz w:val="24"/>
          <w:szCs w:val="24"/>
        </w:rPr>
        <w:t>AXE 1 Accès aux services de santé</w:t>
      </w:r>
    </w:p>
    <w:p w:rsidR="009D2701" w:rsidRDefault="009D2701" w:rsidP="009D2701"/>
    <w:p w:rsidR="004914F1" w:rsidRDefault="002323D4">
      <w:pPr>
        <w:pStyle w:val="Titre5"/>
        <w:rPr>
          <w:sz w:val="24"/>
          <w:szCs w:val="24"/>
        </w:rPr>
      </w:pPr>
      <w:r w:rsidRPr="006014F9">
        <w:rPr>
          <w:sz w:val="24"/>
          <w:szCs w:val="24"/>
        </w:rPr>
        <w:t>Object</w:t>
      </w:r>
      <w:r w:rsidR="00B02291">
        <w:rPr>
          <w:sz w:val="24"/>
          <w:szCs w:val="24"/>
        </w:rPr>
        <w:t>if stratégique OS 1</w:t>
      </w:r>
      <w:r w:rsidR="008B6428" w:rsidRPr="006014F9">
        <w:rPr>
          <w:sz w:val="24"/>
          <w:szCs w:val="24"/>
        </w:rPr>
        <w:t xml:space="preserve"> : </w:t>
      </w:r>
      <w:r w:rsidR="00B02291">
        <w:rPr>
          <w:sz w:val="24"/>
          <w:szCs w:val="24"/>
        </w:rPr>
        <w:t>A</w:t>
      </w:r>
      <w:r w:rsidR="004E0465">
        <w:rPr>
          <w:sz w:val="24"/>
          <w:szCs w:val="24"/>
        </w:rPr>
        <w:t>ssurer</w:t>
      </w:r>
      <w:r w:rsidR="00B02291">
        <w:rPr>
          <w:sz w:val="24"/>
          <w:szCs w:val="24"/>
        </w:rPr>
        <w:t xml:space="preserve"> l’accès </w:t>
      </w:r>
      <w:r w:rsidR="004E0465">
        <w:rPr>
          <w:sz w:val="24"/>
          <w:szCs w:val="24"/>
        </w:rPr>
        <w:t xml:space="preserve">universel </w:t>
      </w:r>
      <w:r w:rsidR="00B02291">
        <w:rPr>
          <w:sz w:val="24"/>
          <w:szCs w:val="24"/>
        </w:rPr>
        <w:t>aux services de santé de bonne qualité</w:t>
      </w:r>
      <w:r w:rsidR="00695756" w:rsidRPr="006014F9">
        <w:rPr>
          <w:sz w:val="24"/>
          <w:szCs w:val="24"/>
        </w:rPr>
        <w:t xml:space="preserve"> </w:t>
      </w:r>
    </w:p>
    <w:p w:rsidR="00657E6A" w:rsidRDefault="00657E6A" w:rsidP="00C46B35">
      <w:pPr>
        <w:widowControl w:val="0"/>
        <w:autoSpaceDE w:val="0"/>
        <w:autoSpaceDN w:val="0"/>
        <w:adjustRightInd w:val="0"/>
        <w:spacing w:before="8" w:after="0" w:line="260" w:lineRule="exact"/>
        <w:rPr>
          <w:rFonts w:cstheme="minorHAnsi"/>
          <w:color w:val="000000"/>
          <w:sz w:val="24"/>
          <w:szCs w:val="24"/>
        </w:rPr>
      </w:pPr>
    </w:p>
    <w:p w:rsidR="002323D4" w:rsidRPr="00D2269A" w:rsidRDefault="00B02291" w:rsidP="002323D4">
      <w:pPr>
        <w:pStyle w:val="Paragraphedeliste"/>
        <w:widowControl w:val="0"/>
        <w:numPr>
          <w:ilvl w:val="0"/>
          <w:numId w:val="6"/>
        </w:numPr>
        <w:autoSpaceDE w:val="0"/>
        <w:autoSpaceDN w:val="0"/>
        <w:adjustRightInd w:val="0"/>
        <w:spacing w:before="8" w:after="0" w:line="260" w:lineRule="exact"/>
        <w:rPr>
          <w:rFonts w:cstheme="minorHAnsi"/>
          <w:b/>
          <w:color w:val="000000"/>
          <w:sz w:val="24"/>
          <w:szCs w:val="24"/>
        </w:rPr>
      </w:pPr>
      <w:r>
        <w:rPr>
          <w:rFonts w:cstheme="minorHAnsi"/>
          <w:b/>
          <w:color w:val="000000"/>
          <w:sz w:val="24"/>
          <w:szCs w:val="24"/>
        </w:rPr>
        <w:t xml:space="preserve">Effet </w:t>
      </w:r>
      <w:r w:rsidR="00DD031B">
        <w:rPr>
          <w:rFonts w:cstheme="minorHAnsi"/>
          <w:b/>
          <w:color w:val="000000"/>
          <w:sz w:val="24"/>
          <w:szCs w:val="24"/>
        </w:rPr>
        <w:t>attendu 1</w:t>
      </w:r>
      <w:r w:rsidR="002323D4" w:rsidRPr="00D2269A">
        <w:rPr>
          <w:rFonts w:cstheme="minorHAnsi"/>
          <w:b/>
          <w:color w:val="000000"/>
          <w:sz w:val="24"/>
          <w:szCs w:val="24"/>
        </w:rPr>
        <w:t xml:space="preserve">: </w:t>
      </w:r>
      <w:r w:rsidR="006435DC">
        <w:rPr>
          <w:rFonts w:cstheme="minorHAnsi"/>
          <w:b/>
          <w:color w:val="000000"/>
          <w:sz w:val="24"/>
          <w:szCs w:val="24"/>
        </w:rPr>
        <w:t xml:space="preserve">Effet </w:t>
      </w:r>
      <w:r w:rsidR="006435DC" w:rsidRPr="00D2269A">
        <w:rPr>
          <w:rFonts w:cstheme="minorHAnsi"/>
          <w:b/>
          <w:color w:val="000000"/>
          <w:sz w:val="24"/>
          <w:szCs w:val="24"/>
        </w:rPr>
        <w:t xml:space="preserve">: </w:t>
      </w:r>
      <w:r w:rsidR="006435DC" w:rsidRPr="00D2269A">
        <w:rPr>
          <w:rFonts w:cs="Calibri"/>
          <w:b/>
          <w:color w:val="000000"/>
          <w:spacing w:val="1"/>
          <w:position w:val="1"/>
          <w:sz w:val="24"/>
          <w:szCs w:val="24"/>
        </w:rPr>
        <w:t>l'accès aux services de santé de qualité est garanti à tous</w:t>
      </w:r>
      <w:r w:rsidR="006435DC">
        <w:rPr>
          <w:rFonts w:cs="Calibri"/>
          <w:b/>
          <w:color w:val="000000"/>
          <w:spacing w:val="1"/>
          <w:position w:val="1"/>
          <w:sz w:val="24"/>
          <w:szCs w:val="24"/>
        </w:rPr>
        <w:t>, il est attendu également un meilleur état de santé des femmes et des enfants, le contrôle/élimination des maladies transmissibles et non transmissibles</w:t>
      </w:r>
    </w:p>
    <w:p w:rsidR="00EC2BD7" w:rsidRPr="00EC2BD7" w:rsidRDefault="00B02291" w:rsidP="00EC2BD7">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EC2BD7">
        <w:rPr>
          <w:rFonts w:cstheme="minorHAnsi"/>
          <w:sz w:val="24"/>
          <w:szCs w:val="24"/>
        </w:rPr>
        <w:t>Cet effet</w:t>
      </w:r>
      <w:r w:rsidR="00D2269A" w:rsidRPr="00EC2BD7">
        <w:rPr>
          <w:rFonts w:cstheme="minorHAnsi"/>
          <w:sz w:val="24"/>
          <w:szCs w:val="24"/>
        </w:rPr>
        <w:t xml:space="preserve"> comprend :   </w:t>
      </w:r>
      <w:r w:rsidR="00EC2BD7" w:rsidRPr="00EC2BD7">
        <w:rPr>
          <w:rFonts w:cstheme="minorHAnsi"/>
          <w:sz w:val="24"/>
          <w:szCs w:val="24"/>
        </w:rPr>
        <w:t>(i) l'accès aux  soins adéquats de santé en faveur de la femme, dans le cadre de la réduction de la mortalité maternelle, de la santé de la reproduction, et de la lutte contre les mutilations génitales Féminines,  (ii) l'accès aux  soins adéquats de santé en faveur aux soins des enfants, (iii) l'accès aux soins adéquats pour les maladies transmissibles, (iv)  l'accès aux soins adéquats pour les maladies</w:t>
      </w:r>
      <w:r w:rsidR="00EC2BD7" w:rsidRPr="00EC2BD7" w:rsidDel="00D933FA">
        <w:rPr>
          <w:rFonts w:cstheme="minorHAnsi"/>
          <w:sz w:val="24"/>
          <w:szCs w:val="24"/>
        </w:rPr>
        <w:t xml:space="preserve"> </w:t>
      </w:r>
      <w:r w:rsidR="00EC2BD7" w:rsidRPr="00EC2BD7">
        <w:rPr>
          <w:rFonts w:cstheme="minorHAnsi"/>
          <w:sz w:val="24"/>
          <w:szCs w:val="24"/>
        </w:rPr>
        <w:t xml:space="preserve"> non transmissibles, </w:t>
      </w:r>
      <w:r w:rsidR="00DD031B">
        <w:rPr>
          <w:rFonts w:cstheme="minorHAnsi"/>
          <w:sz w:val="24"/>
          <w:szCs w:val="24"/>
        </w:rPr>
        <w:t>(iv</w:t>
      </w:r>
      <w:r w:rsidR="00DD031B" w:rsidRPr="00EC2BD7">
        <w:rPr>
          <w:rFonts w:cstheme="minorHAnsi"/>
          <w:sz w:val="24"/>
          <w:szCs w:val="24"/>
        </w:rPr>
        <w:t xml:space="preserve">) l'accès aux soins des personnes vulnérables, </w:t>
      </w:r>
      <w:r w:rsidR="00EC2BD7" w:rsidRPr="00EC2BD7">
        <w:rPr>
          <w:rFonts w:cstheme="minorHAnsi"/>
          <w:sz w:val="24"/>
          <w:szCs w:val="24"/>
        </w:rPr>
        <w:t>(v) l'accès physique, socioculturel et financier de la population générale aux trois échelons de soins de la pyramide sanitaire.</w:t>
      </w:r>
    </w:p>
    <w:p w:rsidR="00EC2BD7" w:rsidRPr="00EC2BD7" w:rsidRDefault="00EC2BD7" w:rsidP="00EC2BD7">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Pr>
          <w:rFonts w:cs="Calibri"/>
          <w:color w:val="000000"/>
          <w:spacing w:val="1"/>
          <w:position w:val="1"/>
          <w:sz w:val="24"/>
          <w:szCs w:val="24"/>
        </w:rPr>
        <w:t>L</w:t>
      </w:r>
      <w:r w:rsidRPr="00EC2BD7">
        <w:rPr>
          <w:rFonts w:cs="Calibri"/>
          <w:color w:val="000000"/>
          <w:spacing w:val="1"/>
          <w:position w:val="1"/>
          <w:sz w:val="24"/>
          <w:szCs w:val="24"/>
        </w:rPr>
        <w:t xml:space="preserve">’offre de services de santé </w:t>
      </w:r>
      <w:r>
        <w:rPr>
          <w:rFonts w:cs="Calibri"/>
          <w:color w:val="000000"/>
          <w:spacing w:val="1"/>
          <w:position w:val="1"/>
          <w:sz w:val="24"/>
          <w:szCs w:val="24"/>
        </w:rPr>
        <w:t xml:space="preserve">sera renforcée </w:t>
      </w:r>
      <w:r w:rsidRPr="00EC2BD7">
        <w:rPr>
          <w:rFonts w:cs="Calibri"/>
          <w:color w:val="000000"/>
          <w:spacing w:val="1"/>
          <w:position w:val="1"/>
          <w:sz w:val="24"/>
          <w:szCs w:val="24"/>
        </w:rPr>
        <w:t>en faveur de la femme (mères, jeunes filles et personnes âgées), il sera indispensable de mettre en œuvre des interventions à résultats rapides</w:t>
      </w:r>
      <w:r>
        <w:rPr>
          <w:rFonts w:cs="Calibri"/>
          <w:color w:val="000000"/>
          <w:spacing w:val="1"/>
          <w:position w:val="1"/>
          <w:sz w:val="24"/>
          <w:szCs w:val="24"/>
        </w:rPr>
        <w:t xml:space="preserve"> </w:t>
      </w:r>
      <w:r w:rsidRPr="00EC2BD7">
        <w:rPr>
          <w:rFonts w:cs="Calibri"/>
          <w:color w:val="000000"/>
          <w:spacing w:val="1"/>
          <w:position w:val="1"/>
          <w:sz w:val="24"/>
          <w:szCs w:val="24"/>
        </w:rPr>
        <w:t>(IRR) ayant un haut impact sur l’atteinte des ODD liés à la santé ainsi que des stratégies visant la promotion des comportements à moindre risque. Les services prioritaires à renforcer, sont entre autres, l</w:t>
      </w:r>
      <w:r w:rsidR="00DD031B">
        <w:rPr>
          <w:rFonts w:cs="Calibri"/>
          <w:color w:val="000000"/>
          <w:spacing w:val="1"/>
          <w:position w:val="1"/>
          <w:sz w:val="24"/>
          <w:szCs w:val="24"/>
        </w:rPr>
        <w:t xml:space="preserve">es services </w:t>
      </w:r>
      <w:proofErr w:type="spellStart"/>
      <w:r w:rsidR="00DD031B">
        <w:rPr>
          <w:rFonts w:cs="Calibri"/>
          <w:color w:val="000000"/>
          <w:spacing w:val="1"/>
          <w:position w:val="1"/>
          <w:sz w:val="24"/>
          <w:szCs w:val="24"/>
        </w:rPr>
        <w:t>de</w:t>
      </w:r>
      <w:r w:rsidRPr="00EC2BD7">
        <w:rPr>
          <w:rFonts w:cs="Calibri"/>
          <w:color w:val="000000"/>
          <w:spacing w:val="1"/>
          <w:position w:val="1"/>
          <w:sz w:val="24"/>
          <w:szCs w:val="24"/>
        </w:rPr>
        <w:t>santé</w:t>
      </w:r>
      <w:proofErr w:type="spellEnd"/>
      <w:r w:rsidRPr="00EC2BD7">
        <w:rPr>
          <w:rFonts w:cs="Calibri"/>
          <w:color w:val="000000"/>
          <w:spacing w:val="1"/>
          <w:position w:val="1"/>
          <w:sz w:val="24"/>
          <w:szCs w:val="24"/>
        </w:rPr>
        <w:t xml:space="preserve"> maternelle, la planification familiale, la </w:t>
      </w:r>
      <w:r w:rsidR="00DD031B">
        <w:rPr>
          <w:rFonts w:cs="Calibri"/>
          <w:color w:val="000000"/>
          <w:spacing w:val="1"/>
          <w:position w:val="1"/>
          <w:sz w:val="24"/>
          <w:szCs w:val="24"/>
        </w:rPr>
        <w:t>prévention et la prise en charge de la mal</w:t>
      </w:r>
      <w:r w:rsidRPr="00EC2BD7">
        <w:rPr>
          <w:rFonts w:cs="Calibri"/>
          <w:color w:val="000000"/>
          <w:spacing w:val="1"/>
          <w:position w:val="1"/>
          <w:sz w:val="24"/>
          <w:szCs w:val="24"/>
        </w:rPr>
        <w:t xml:space="preserve">nutrition, la prise en charge des </w:t>
      </w:r>
      <w:proofErr w:type="spellStart"/>
      <w:r w:rsidRPr="00EC2BD7">
        <w:rPr>
          <w:rFonts w:cs="Calibri"/>
          <w:color w:val="000000"/>
          <w:spacing w:val="1"/>
          <w:position w:val="1"/>
          <w:sz w:val="24"/>
          <w:szCs w:val="24"/>
        </w:rPr>
        <w:t>PvVIH</w:t>
      </w:r>
      <w:proofErr w:type="spellEnd"/>
      <w:r w:rsidRPr="00EC2BD7">
        <w:rPr>
          <w:rFonts w:cs="Calibri"/>
          <w:color w:val="000000"/>
          <w:spacing w:val="1"/>
          <w:position w:val="1"/>
          <w:sz w:val="24"/>
          <w:szCs w:val="24"/>
        </w:rPr>
        <w:t xml:space="preserve"> dans son volet PTME. Ainsi, des actions stratégiques intégrées seront privilégiées. En plus, il est nécessaire de recourir à des modèles efficaces de prestations de services qui utilisent préférentiellement des systèmes d’orientation et de recours efficaces et l’intégration des services.</w:t>
      </w:r>
    </w:p>
    <w:p w:rsidR="00EC2BD7" w:rsidRPr="00EC2BD7" w:rsidRDefault="00EC2BD7" w:rsidP="00EC2BD7">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EC2BD7">
        <w:rPr>
          <w:rFonts w:cs="Calibri"/>
          <w:color w:val="000000"/>
          <w:spacing w:val="1"/>
          <w:position w:val="1"/>
          <w:sz w:val="24"/>
          <w:szCs w:val="24"/>
        </w:rPr>
        <w:t xml:space="preserve">Par ailleurs, les accouchements seront sécurisés à travers la maternité à moindre risque (AA, CPNR, </w:t>
      </w:r>
      <w:proofErr w:type="spellStart"/>
      <w:r w:rsidRPr="00EC2BD7">
        <w:rPr>
          <w:rFonts w:cs="Calibri"/>
          <w:color w:val="000000"/>
          <w:spacing w:val="1"/>
          <w:position w:val="1"/>
          <w:sz w:val="24"/>
          <w:szCs w:val="24"/>
        </w:rPr>
        <w:t>CPoN</w:t>
      </w:r>
      <w:proofErr w:type="spellEnd"/>
      <w:r w:rsidRPr="00EC2BD7">
        <w:rPr>
          <w:rFonts w:cs="Calibri"/>
          <w:color w:val="000000"/>
          <w:spacing w:val="1"/>
          <w:position w:val="1"/>
          <w:sz w:val="24"/>
          <w:szCs w:val="24"/>
        </w:rPr>
        <w:t xml:space="preserve">, SONUB, SONUC, SENN) ; la prévention des cancers féminins (lésions </w:t>
      </w:r>
      <w:r w:rsidRPr="00EC2BD7">
        <w:rPr>
          <w:rFonts w:cs="Calibri"/>
          <w:color w:val="000000"/>
          <w:spacing w:val="1"/>
          <w:position w:val="1"/>
          <w:sz w:val="24"/>
          <w:szCs w:val="24"/>
        </w:rPr>
        <w:lastRenderedPageBreak/>
        <w:t xml:space="preserve">précancéreuses, col de l'utérus…) sera assurée. </w:t>
      </w:r>
    </w:p>
    <w:p w:rsidR="00EC2BD7" w:rsidRPr="00EC2BD7" w:rsidRDefault="00EC2BD7" w:rsidP="00EC2BD7">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EC2BD7">
        <w:rPr>
          <w:rFonts w:cs="Calibri"/>
          <w:color w:val="000000"/>
          <w:spacing w:val="1"/>
          <w:position w:val="1"/>
          <w:sz w:val="24"/>
          <w:szCs w:val="24"/>
        </w:rPr>
        <w:t xml:space="preserve">De même, les violences faites aux femmes (MGF) ainsi que toutes les pratiques néfastes (mariage d'enfant, excisions…) seront évitées. </w:t>
      </w:r>
    </w:p>
    <w:p w:rsidR="00EC2BD7" w:rsidRPr="00EC2BD7" w:rsidRDefault="00EC2BD7" w:rsidP="00EC2BD7">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EC2BD7">
        <w:rPr>
          <w:rFonts w:cs="Calibri"/>
          <w:color w:val="000000"/>
          <w:spacing w:val="1"/>
          <w:position w:val="1"/>
          <w:sz w:val="24"/>
          <w:szCs w:val="24"/>
        </w:rPr>
        <w:t>Les maladies de l'enfant devront être correctement prises en charge ou évitées (à travers entre autres l’approche PCIME-REC, l’option B+ pour la PTME…). La réduction des mortalités néonatale et infanto-juvénile doit être ramenée à un niveau suffisamment bas conformément aux cibles ODD à travers des stratégies efficaces et efficient</w:t>
      </w:r>
      <w:r>
        <w:rPr>
          <w:rFonts w:cs="Calibri"/>
          <w:color w:val="000000"/>
          <w:spacing w:val="1"/>
          <w:position w:val="1"/>
          <w:sz w:val="24"/>
          <w:szCs w:val="24"/>
        </w:rPr>
        <w:t>e</w:t>
      </w:r>
      <w:r w:rsidRPr="00EC2BD7">
        <w:rPr>
          <w:rFonts w:cs="Calibri"/>
          <w:color w:val="000000"/>
          <w:spacing w:val="1"/>
          <w:position w:val="1"/>
          <w:sz w:val="24"/>
          <w:szCs w:val="24"/>
        </w:rPr>
        <w:t xml:space="preserve">s. </w:t>
      </w:r>
    </w:p>
    <w:p w:rsidR="00EC2BD7" w:rsidRPr="00EC2BD7" w:rsidRDefault="00EC2BD7" w:rsidP="00EC2BD7">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EC2BD7">
        <w:rPr>
          <w:rFonts w:cs="Calibri"/>
          <w:color w:val="000000"/>
          <w:spacing w:val="1"/>
          <w:position w:val="1"/>
          <w:sz w:val="24"/>
          <w:szCs w:val="24"/>
        </w:rPr>
        <w:t>L’amélioration de la performance des programmes de lutte contre les maladies transmissibles passe par la prise en compte dans les interventions de santé publique des maladies transmissibles résurgentes ou émergentes comme la dengue, la fièvre lassa, les grippes d’intérêt pour la santé internationale. Le renforcement des capacités des programmes existants est également un aspect clé des futures interventions, notamment pour la lutte contre le VIH et le SIDA, l’élimination de la transmission mère-enfant. Les stratégies de lutte contre le VIH, le Sida et les IST, la tuberculose, le paludisme, les maladies diarrhéiques, les IRA</w:t>
      </w:r>
      <w:r w:rsidR="00DD031B">
        <w:rPr>
          <w:rFonts w:cs="Calibri"/>
          <w:color w:val="000000"/>
          <w:spacing w:val="1"/>
          <w:position w:val="1"/>
          <w:sz w:val="24"/>
          <w:szCs w:val="24"/>
        </w:rPr>
        <w:t>, la méningite</w:t>
      </w:r>
      <w:r w:rsidRPr="00EC2BD7">
        <w:rPr>
          <w:rFonts w:cs="Calibri"/>
          <w:color w:val="000000"/>
          <w:spacing w:val="1"/>
          <w:position w:val="1"/>
          <w:sz w:val="24"/>
          <w:szCs w:val="24"/>
        </w:rPr>
        <w:t xml:space="preserve"> et la malnutrition doivent être renforcées en particulier dans les domaines de la prévention, de la prise en charge, de la coordination et du leadership ainsi que de l’information stratégique.</w:t>
      </w:r>
    </w:p>
    <w:p w:rsidR="00EC2BD7" w:rsidRPr="00EC2BD7" w:rsidRDefault="00EC2BD7" w:rsidP="00EC2BD7">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EC2BD7">
        <w:rPr>
          <w:rFonts w:cs="Calibri"/>
          <w:color w:val="000000"/>
          <w:spacing w:val="1"/>
          <w:position w:val="1"/>
          <w:sz w:val="24"/>
          <w:szCs w:val="24"/>
        </w:rPr>
        <w:t>Le dépistage des maladies transmissibles (VIH, les hépatites, …) fera l’objet d’une vulgarisation et d’une promotion. Dans cette lancée, l’objectif de l’élimination de la transmission mère enfant du VIH (moins de 2%) sera poursuivi</w:t>
      </w:r>
      <w:r>
        <w:rPr>
          <w:rFonts w:cs="Calibri"/>
          <w:color w:val="000000"/>
          <w:spacing w:val="1"/>
          <w:position w:val="1"/>
          <w:sz w:val="24"/>
          <w:szCs w:val="24"/>
        </w:rPr>
        <w:t xml:space="preserve"> ainsi que les dernières recommandations dans le cadre de la prise en charge du VIH, notamment le traitement systématique des cas</w:t>
      </w:r>
      <w:r w:rsidRPr="00EC2BD7">
        <w:rPr>
          <w:rFonts w:cs="Calibri"/>
          <w:color w:val="000000"/>
          <w:spacing w:val="1"/>
          <w:position w:val="1"/>
          <w:sz w:val="24"/>
          <w:szCs w:val="24"/>
        </w:rPr>
        <w:t xml:space="preserve">. </w:t>
      </w:r>
    </w:p>
    <w:p w:rsidR="00EC2BD7" w:rsidRPr="00EC2BD7" w:rsidRDefault="00EC2BD7" w:rsidP="00EC2BD7">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EC2BD7">
        <w:rPr>
          <w:rFonts w:cs="Calibri"/>
          <w:color w:val="000000"/>
          <w:spacing w:val="1"/>
          <w:position w:val="1"/>
          <w:sz w:val="24"/>
          <w:szCs w:val="24"/>
        </w:rPr>
        <w:t>La conduite de campagnes de traitements préventifs (FL, TPI, CPS,...) accroîtra la protection des populations contre la survenue de certaines maladies transmissibles ou non. Spécifiquement, une forte incitation des populations à dormir sous moustiquaires imprégnées et des actions d’assainissement des milieux de vie garantiront une baisse sensible de la létalité liée au paludisme. Tous les efforts convergeront vers l’octroi annuel d’une moustiquaire à chaque femme enceinte et chaque enfant de moins de 5 ans.</w:t>
      </w:r>
    </w:p>
    <w:p w:rsidR="00EC2BD7" w:rsidRPr="00EC2BD7" w:rsidRDefault="00EC2BD7" w:rsidP="00EC2BD7">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EC2BD7">
        <w:rPr>
          <w:rFonts w:cs="Calibri"/>
          <w:color w:val="000000"/>
          <w:spacing w:val="1"/>
          <w:position w:val="1"/>
          <w:sz w:val="24"/>
          <w:szCs w:val="24"/>
        </w:rPr>
        <w:t>L’immunisation universelle sera renforcée à travers l’amélioration de la logistique</w:t>
      </w:r>
      <w:r w:rsidR="00DD031B">
        <w:rPr>
          <w:rFonts w:cs="Calibri"/>
          <w:color w:val="000000"/>
          <w:spacing w:val="1"/>
          <w:position w:val="1"/>
          <w:sz w:val="24"/>
          <w:szCs w:val="24"/>
        </w:rPr>
        <w:t xml:space="preserve"> des vaccins et</w:t>
      </w:r>
      <w:r w:rsidRPr="00EC2BD7">
        <w:rPr>
          <w:rFonts w:cs="Calibri"/>
          <w:color w:val="000000"/>
          <w:spacing w:val="1"/>
          <w:position w:val="1"/>
          <w:sz w:val="24"/>
          <w:szCs w:val="24"/>
        </w:rPr>
        <w:t xml:space="preserve"> </w:t>
      </w:r>
      <w:r w:rsidR="00DD031B">
        <w:rPr>
          <w:rFonts w:cs="Calibri"/>
          <w:color w:val="000000"/>
          <w:spacing w:val="1"/>
          <w:position w:val="1"/>
          <w:sz w:val="24"/>
          <w:szCs w:val="24"/>
        </w:rPr>
        <w:t>de la disponibilité des nouveaux vaccins</w:t>
      </w:r>
      <w:r w:rsidRPr="00EC2BD7">
        <w:rPr>
          <w:rFonts w:cs="Calibri"/>
          <w:color w:val="000000"/>
          <w:spacing w:val="1"/>
          <w:position w:val="1"/>
          <w:sz w:val="24"/>
          <w:szCs w:val="24"/>
        </w:rPr>
        <w:t xml:space="preserve"> ; les compétences des acteurs seront renforcées. Un accent sera mis sur la qualité de la vaccination et des couvertures vaccinales ainsi que l’introduction de nouveaux vaccins. L’intensification de la surveillance épidémiologique et la mise en œuvre du Règlement sanitaire international doivent être le socle sur lequel s’appuient toutes ces interventions.</w:t>
      </w:r>
    </w:p>
    <w:p w:rsidR="00EC2BD7" w:rsidRPr="00EC2BD7" w:rsidRDefault="00EC2BD7" w:rsidP="00EC2BD7">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EC2BD7">
        <w:rPr>
          <w:rFonts w:cs="Calibri"/>
          <w:color w:val="000000"/>
          <w:spacing w:val="1"/>
          <w:position w:val="1"/>
          <w:sz w:val="24"/>
          <w:szCs w:val="24"/>
        </w:rPr>
        <w:t>Les vaccinations de routines concernant les maladies cibles du PEV (Polio, tétanos, méningite, rougeole, …) seront menées en vue d’une meilleure couverture vaccinale. En sus, le concours des partenaires techniques et financiers sera toujours requis pour conduire des campagnes de vaccination à l’échelle nationale aux fins de parvenir à l’éradication</w:t>
      </w:r>
    </w:p>
    <w:p w:rsidR="00EC2BD7" w:rsidRPr="00EC2BD7" w:rsidRDefault="00EC2BD7" w:rsidP="00EC2BD7">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EC2BD7">
        <w:rPr>
          <w:rFonts w:cs="Calibri"/>
          <w:color w:val="000000"/>
          <w:spacing w:val="1"/>
          <w:position w:val="1"/>
          <w:sz w:val="24"/>
          <w:szCs w:val="24"/>
        </w:rPr>
        <w:t>Les programmes de lutte contre les maladies non transmissibles doivent bénéficier de moyens conséquents au regard du contexte de transition épidémiologique. Cela concerne les cancers, les maladies cardiovasculaires, le diabète, la drépanocytose et les autres maladies génétiques courants dans notre contexte. L’accent doit être mis d’abord dans la prévention puis dans le renforcement de la prise en charge et des soins de réadaptation sans omettre les aspects de coordination avec des approches multisectorielles ainsi que de l’information stratégique. Les interventions en faveur de la lutte contre les hépatites notamment la vulgarisation et la prévention feront l’objet d’une intensification dans le cadre de la lutte contre le cancer du foie. Au profit de la femme, le dépistage des cancers féminins (cancer du sein, lésions précancéreuses, …) fera l’objet de mesures de gratuité et de propagande.</w:t>
      </w:r>
    </w:p>
    <w:p w:rsidR="00EC2BD7" w:rsidRPr="00EC2BD7" w:rsidRDefault="00EC2BD7" w:rsidP="00EC2BD7">
      <w:pPr>
        <w:pStyle w:val="Paragraphedeliste"/>
        <w:widowControl w:val="0"/>
        <w:numPr>
          <w:ilvl w:val="0"/>
          <w:numId w:val="26"/>
        </w:numPr>
        <w:autoSpaceDE w:val="0"/>
        <w:autoSpaceDN w:val="0"/>
        <w:adjustRightInd w:val="0"/>
        <w:spacing w:before="8" w:line="281" w:lineRule="exact"/>
        <w:jc w:val="both"/>
        <w:rPr>
          <w:rFonts w:cs="Calibri"/>
          <w:color w:val="000000"/>
          <w:spacing w:val="1"/>
          <w:position w:val="1"/>
          <w:sz w:val="24"/>
          <w:szCs w:val="24"/>
        </w:rPr>
      </w:pPr>
      <w:r w:rsidRPr="00EC2BD7">
        <w:rPr>
          <w:rFonts w:cs="Calibri"/>
          <w:color w:val="000000"/>
          <w:spacing w:val="1"/>
          <w:position w:val="1"/>
          <w:sz w:val="24"/>
          <w:szCs w:val="24"/>
        </w:rPr>
        <w:t xml:space="preserve">L’activité physique, gage de santé sera promue en vue d’endiguer les maladies non </w:t>
      </w:r>
      <w:r w:rsidRPr="00EC2BD7">
        <w:rPr>
          <w:rFonts w:cs="Calibri"/>
          <w:color w:val="000000"/>
          <w:spacing w:val="1"/>
          <w:position w:val="1"/>
          <w:sz w:val="24"/>
          <w:szCs w:val="24"/>
        </w:rPr>
        <w:lastRenderedPageBreak/>
        <w:t xml:space="preserve">transmissibles telles que l’obésité, le diabète et l’hypertension artérielle. Les responsables administratifs susciteront, à tous les niveaux, l’engouement pour le sport de masse dans les services publics. </w:t>
      </w:r>
    </w:p>
    <w:p w:rsidR="00EC2BD7" w:rsidRPr="00EC2BD7" w:rsidRDefault="00EC2BD7" w:rsidP="00EC2BD7">
      <w:pPr>
        <w:pStyle w:val="Paragraphedeliste"/>
        <w:widowControl w:val="0"/>
        <w:numPr>
          <w:ilvl w:val="0"/>
          <w:numId w:val="26"/>
        </w:numPr>
        <w:autoSpaceDE w:val="0"/>
        <w:autoSpaceDN w:val="0"/>
        <w:adjustRightInd w:val="0"/>
        <w:spacing w:before="8" w:line="281" w:lineRule="exact"/>
        <w:jc w:val="both"/>
        <w:rPr>
          <w:rFonts w:cs="Calibri"/>
          <w:color w:val="000000"/>
          <w:spacing w:val="1"/>
          <w:position w:val="1"/>
          <w:sz w:val="24"/>
          <w:szCs w:val="24"/>
        </w:rPr>
      </w:pPr>
      <w:r w:rsidRPr="00EC2BD7">
        <w:rPr>
          <w:rFonts w:cs="Calibri"/>
          <w:color w:val="000000"/>
          <w:spacing w:val="1"/>
          <w:position w:val="1"/>
          <w:sz w:val="24"/>
          <w:szCs w:val="24"/>
        </w:rPr>
        <w:t>Les maladies tropicales négligées ont suscité cette dernière décennie un regain d’intérêt qu’il faut entretenir pour éliminer voire éradiquer celles qui peuvent l’être. Les traitements de masse et le renforcement des capacités pour la prise en charge doivent être soutenus.</w:t>
      </w:r>
    </w:p>
    <w:p w:rsidR="00EC2BD7" w:rsidRPr="00EC2BD7" w:rsidRDefault="00EC2BD7" w:rsidP="00EC2BD7">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EC2BD7">
        <w:rPr>
          <w:rFonts w:cs="Calibri"/>
          <w:color w:val="000000"/>
          <w:spacing w:val="1"/>
          <w:position w:val="1"/>
          <w:sz w:val="24"/>
          <w:szCs w:val="24"/>
        </w:rPr>
        <w:t>En matière de développement de l’offre de services de santé au niveau communautaire, il s’agira de réorganiser les interventions de santé communautaires pour répondre aux défis de la santé de l’individu, de la famille et de  la  collectivité. A cet effet, la stratégie d’interventions intégrées à base communautaire en matière de santé sera révisée et mise en œuvre.</w:t>
      </w:r>
    </w:p>
    <w:p w:rsidR="00EC2BD7" w:rsidRPr="00EC2BD7" w:rsidRDefault="00EC2BD7" w:rsidP="00EC2BD7">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EC2BD7">
        <w:rPr>
          <w:rFonts w:cs="Calibri"/>
          <w:color w:val="000000"/>
          <w:spacing w:val="1"/>
          <w:position w:val="1"/>
          <w:sz w:val="24"/>
          <w:szCs w:val="24"/>
        </w:rPr>
        <w:t>Au plan communautaire, les compétences, l’appui et la motivation de 17000 agents de santé communautaire  devront être renforcés pour la mise en œuvre effective de leur paquet d’activités. Il s’agira de leur doter de moyen de communication et d’information (boîtes à image, etc.) en nombre et qualité satisfaisantes. Les interventions au niveau communautaire seront coordonnées grâce à la supervision mensuelle et au rapportage des données sur les services à base communautaire. Les communautés elles-mêmes seront outillées pour prendre en charge efficacement leurs problèmes de santé. A cet effet, l’adhésion des femmes et enfants aux programmes de santé maternelle et infantile et l’implication des hommes feront l’objet de sensibilisation à travers des approches innovantes telles que l’ « école des maris », le « </w:t>
      </w:r>
      <w:proofErr w:type="spellStart"/>
      <w:r w:rsidRPr="00EC2BD7">
        <w:rPr>
          <w:rFonts w:cs="Calibri"/>
          <w:color w:val="000000"/>
          <w:spacing w:val="1"/>
          <w:position w:val="1"/>
          <w:sz w:val="24"/>
          <w:szCs w:val="24"/>
        </w:rPr>
        <w:t>stepping</w:t>
      </w:r>
      <w:proofErr w:type="spellEnd"/>
      <w:r w:rsidRPr="00EC2BD7">
        <w:rPr>
          <w:rFonts w:cs="Calibri"/>
          <w:color w:val="000000"/>
          <w:spacing w:val="1"/>
          <w:position w:val="1"/>
          <w:sz w:val="24"/>
          <w:szCs w:val="24"/>
        </w:rPr>
        <w:t xml:space="preserve"> stone » etc.</w:t>
      </w:r>
    </w:p>
    <w:p w:rsidR="00EC2BD7" w:rsidRPr="00EC2BD7" w:rsidRDefault="00EC2BD7" w:rsidP="00EC2BD7">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EC2BD7">
        <w:rPr>
          <w:rFonts w:cs="Calibri"/>
          <w:color w:val="000000"/>
          <w:spacing w:val="1"/>
          <w:position w:val="1"/>
          <w:sz w:val="24"/>
          <w:szCs w:val="24"/>
        </w:rPr>
        <w:t>Une feuille de route pour la sécurité sanitaire sera finalisée et mise en œuvre. Elle intégrera l’approche « une seule santé ». Une vigilance absolue en matière de gestion des évènements de santé publique sera de mise. La préparation, la détection et la riposte aux évènements de santé publique seront une préoccupation pour les sous-secteurs concernés. En vue d’une synergie, la coordination intra sectorielle et la collaboration intersectorielle devront être renforcées. Les autorités sanitaires et administratives veilleront à l’application du Règlement sanitaire international (RSI), à la fonctionnalité des comités de gestion des épidémies et à la mise en œuvre des plans blancs.</w:t>
      </w:r>
    </w:p>
    <w:p w:rsidR="00EC2BD7" w:rsidRPr="00EC2BD7" w:rsidRDefault="00EC2BD7" w:rsidP="00EC2BD7">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EC2BD7">
        <w:rPr>
          <w:rFonts w:cs="Calibri"/>
          <w:color w:val="000000"/>
          <w:spacing w:val="1"/>
          <w:position w:val="1"/>
          <w:sz w:val="24"/>
          <w:szCs w:val="24"/>
        </w:rPr>
        <w:t>Les milieux professionnels sont couverts en service de santé pour assurer la santé et la sécurité des travailleurs. En outre, les visites périodiques devront toucher l’ensemble des travailleurs du public et du privé.</w:t>
      </w:r>
    </w:p>
    <w:p w:rsidR="00EC2BD7" w:rsidRPr="00EC2BD7" w:rsidRDefault="00EC2BD7" w:rsidP="00EC2BD7">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EC2BD7">
        <w:rPr>
          <w:rFonts w:cs="Calibri"/>
          <w:color w:val="000000"/>
          <w:spacing w:val="1"/>
          <w:position w:val="1"/>
          <w:sz w:val="24"/>
          <w:szCs w:val="24"/>
        </w:rPr>
        <w:t>Avec le concours des fonds nationaux de solidarité et diverses autres subventions, les services sociaux et les établissements de santé assurent la prise en charge gratuite des indigents du niveau périphérique au niveau tertiaire.</w:t>
      </w:r>
    </w:p>
    <w:p w:rsidR="00EC2BD7" w:rsidRPr="00EC2BD7" w:rsidRDefault="00EC2BD7" w:rsidP="00EC2BD7">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EC2BD7">
        <w:rPr>
          <w:rFonts w:cs="Calibri"/>
          <w:color w:val="000000"/>
          <w:spacing w:val="1"/>
          <w:position w:val="1"/>
          <w:sz w:val="24"/>
          <w:szCs w:val="24"/>
        </w:rPr>
        <w:t>La poursuite de la délivrance gratuité des soins au profit de la femme enceinte et de l’enfant de moins de 5 ans va se faire avec la correction des insuffisances constatées au long du processus dans les établissements de santé du public et du privé conventionné, à l’effet de réduire les décès maternels et néonatals. La stratégie sera intégrée l’AMU quand elle sera opérationnalisée. Au fil des ans et de l’accroissement du financement y afférent, la gamme des prestations offertes sera étendue au maximum.</w:t>
      </w:r>
    </w:p>
    <w:p w:rsidR="00CF34B7" w:rsidRPr="00EC2BD7" w:rsidRDefault="00EC2BD7" w:rsidP="00EC2BD7">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EC2BD7">
        <w:rPr>
          <w:rFonts w:cs="Calibri"/>
          <w:color w:val="000000"/>
          <w:spacing w:val="1"/>
          <w:position w:val="1"/>
          <w:sz w:val="24"/>
          <w:szCs w:val="24"/>
        </w:rPr>
        <w:t>En accompagnement du secteur qui en a la primauté, le secteur de planification santé travaillera à l’effectivité de l’assurance maladie universelle (AMU) en opérationnalisation les aspects du mécanisme de l’AMU dont il a la charge. Il s’agira notamment d’assurer la disponibilité des soins de santé de qualité pour tous et de faciliter les mécanismes de conventionnement avec les organismes gestionnaires de l’AMU</w:t>
      </w:r>
    </w:p>
    <w:p w:rsidR="004914F1" w:rsidRDefault="00AF0C0F">
      <w:pPr>
        <w:pStyle w:val="Paragraphedeliste"/>
        <w:widowControl w:val="0"/>
        <w:numPr>
          <w:ilvl w:val="0"/>
          <w:numId w:val="26"/>
        </w:numPr>
        <w:autoSpaceDE w:val="0"/>
        <w:autoSpaceDN w:val="0"/>
        <w:adjustRightInd w:val="0"/>
        <w:spacing w:before="8" w:after="0" w:line="260" w:lineRule="exact"/>
        <w:jc w:val="both"/>
        <w:rPr>
          <w:sz w:val="24"/>
          <w:szCs w:val="24"/>
        </w:rPr>
      </w:pPr>
      <w:r w:rsidRPr="00AF0C0F">
        <w:rPr>
          <w:sz w:val="24"/>
          <w:szCs w:val="24"/>
          <w:lang w:val="fr-BE"/>
        </w:rPr>
        <w:t>Un plan de gestion des urgences, épidémies et catastrophes, type plan ORSEC sera développé,  une équipe de coordination intersectoriel</w:t>
      </w:r>
      <w:r>
        <w:rPr>
          <w:sz w:val="24"/>
          <w:szCs w:val="24"/>
          <w:lang w:val="fr-BE"/>
        </w:rPr>
        <w:t>le</w:t>
      </w:r>
      <w:r w:rsidRPr="00AF0C0F">
        <w:rPr>
          <w:sz w:val="24"/>
          <w:szCs w:val="24"/>
          <w:lang w:val="fr-BE"/>
        </w:rPr>
        <w:t xml:space="preserve"> pour la gestion des épidémies, urgences et catastrophe sera mis en place et des  ressources financières seront </w:t>
      </w:r>
      <w:r w:rsidRPr="00AF0C0F">
        <w:rPr>
          <w:sz w:val="24"/>
          <w:szCs w:val="24"/>
          <w:lang w:val="fr-BE"/>
        </w:rPr>
        <w:lastRenderedPageBreak/>
        <w:t>repositionnées aussi bien au niveau national que régional en vue de mettre en place les premières réponses urgentes</w:t>
      </w:r>
      <w:r w:rsidR="0071454F" w:rsidRPr="00AF0C0F">
        <w:rPr>
          <w:sz w:val="24"/>
          <w:szCs w:val="24"/>
        </w:rPr>
        <w:t>.</w:t>
      </w:r>
    </w:p>
    <w:p w:rsidR="00DB64CD" w:rsidRPr="00DB64CD" w:rsidRDefault="0071454F" w:rsidP="0071454F">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Pr>
          <w:rFonts w:cs="Calibri"/>
          <w:color w:val="000000"/>
          <w:spacing w:val="1"/>
          <w:position w:val="1"/>
          <w:sz w:val="24"/>
          <w:szCs w:val="24"/>
        </w:rPr>
        <w:t>L’amélioration de l’hygiène individuelle et collective sera un gage de la lutte contre les infections transmissibles. Le secteur appuiera toutes initiatives dans le cadre de la gestion des déchets solides et liquides auprès des autorités administratives et ou communales. De même la lutte contre le péril fécal sera renforcé par la mise à échelle des initiatives de type "Assainissement Total Piloté par la Communauté</w:t>
      </w:r>
      <w:r w:rsidR="00BD3B3F">
        <w:rPr>
          <w:rFonts w:cs="Calibri"/>
          <w:color w:val="000000"/>
          <w:spacing w:val="1"/>
          <w:position w:val="1"/>
          <w:sz w:val="24"/>
          <w:szCs w:val="24"/>
        </w:rPr>
        <w:t xml:space="preserve"> -</w:t>
      </w:r>
      <w:r>
        <w:rPr>
          <w:rFonts w:cs="Calibri"/>
          <w:color w:val="000000"/>
          <w:spacing w:val="1"/>
          <w:position w:val="1"/>
          <w:sz w:val="24"/>
          <w:szCs w:val="24"/>
        </w:rPr>
        <w:t xml:space="preserve"> ATPC</w:t>
      </w:r>
      <w:r>
        <w:rPr>
          <w:rStyle w:val="Appelnotedebasdep"/>
          <w:rFonts w:cs="Calibri"/>
          <w:color w:val="000000"/>
          <w:spacing w:val="1"/>
          <w:position w:val="1"/>
          <w:sz w:val="24"/>
          <w:szCs w:val="24"/>
        </w:rPr>
        <w:footnoteReference w:id="31"/>
      </w:r>
      <w:r>
        <w:rPr>
          <w:rFonts w:cs="Calibri"/>
          <w:color w:val="000000"/>
          <w:spacing w:val="1"/>
          <w:position w:val="1"/>
          <w:sz w:val="24"/>
          <w:szCs w:val="24"/>
        </w:rPr>
        <w:t>".</w:t>
      </w:r>
    </w:p>
    <w:p w:rsidR="00DB64CD" w:rsidRPr="00DB64CD" w:rsidRDefault="00DB64CD" w:rsidP="0071454F">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DB64CD">
        <w:rPr>
          <w:sz w:val="24"/>
          <w:szCs w:val="24"/>
          <w:lang w:val="fr-BE"/>
        </w:rPr>
        <w:t>Le maintien de la qualité des soins doit être assuré par le renforcement des capacités de gestion financière et des intrants dans les formations sanitaires avec des outils de gestion appropriés, par un programme de sécurité des patients  dans les hôpitaux, les centres médicaux et les  CSPS, par le renforcement de l’assurance qualité dans les formations sanitaires à travers la formation, la certification,  par la participation du sous-secteur sanitaire privé par la collaboration des services déconcentrés avec les  collectivités territoriales et par la mise en place du  panier commun pour financer les activités opérationnelles des districts sanitaires</w:t>
      </w:r>
      <w:r>
        <w:rPr>
          <w:sz w:val="24"/>
          <w:szCs w:val="24"/>
          <w:lang w:val="fr-BE"/>
        </w:rPr>
        <w:t>.</w:t>
      </w:r>
    </w:p>
    <w:p w:rsidR="0071454F" w:rsidRPr="00DB64CD" w:rsidRDefault="00DB64CD" w:rsidP="0071454F">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DB64CD">
        <w:rPr>
          <w:sz w:val="24"/>
          <w:szCs w:val="24"/>
          <w:lang w:val="fr-BE"/>
        </w:rPr>
        <w:t>L’accès équitable aux services de santé notamment pour les groupes de population défavorisés fera l'objet d'un suivi à travers la veille communautaire, des enquêtes et une analyse discriminante des données statistiques. Les stratégies de santé communautaire y contribuent et feront l'objet d'un suivi quant à leur niveau de mise en œuvre, goulots d'étranglement et efficacité.</w:t>
      </w:r>
      <w:r w:rsidR="0071454F" w:rsidRPr="00DB64CD">
        <w:rPr>
          <w:rFonts w:cs="Calibri"/>
          <w:color w:val="000000"/>
          <w:spacing w:val="1"/>
          <w:position w:val="1"/>
          <w:sz w:val="24"/>
          <w:szCs w:val="24"/>
        </w:rPr>
        <w:t xml:space="preserve"> </w:t>
      </w:r>
    </w:p>
    <w:p w:rsidR="00CF34B7" w:rsidRDefault="00CF34B7" w:rsidP="00CF34B7">
      <w:pPr>
        <w:widowControl w:val="0"/>
        <w:autoSpaceDE w:val="0"/>
        <w:autoSpaceDN w:val="0"/>
        <w:adjustRightInd w:val="0"/>
        <w:spacing w:before="8" w:after="0" w:line="260" w:lineRule="exact"/>
        <w:jc w:val="both"/>
        <w:rPr>
          <w:rFonts w:cstheme="minorHAnsi"/>
          <w:color w:val="000000"/>
          <w:sz w:val="24"/>
          <w:szCs w:val="24"/>
        </w:rPr>
      </w:pPr>
    </w:p>
    <w:p w:rsidR="009D2701" w:rsidRDefault="009D2701" w:rsidP="004147B3">
      <w:pPr>
        <w:pStyle w:val="Titre4"/>
        <w:numPr>
          <w:ilvl w:val="3"/>
          <w:numId w:val="27"/>
        </w:numPr>
        <w:rPr>
          <w:sz w:val="24"/>
          <w:szCs w:val="24"/>
        </w:rPr>
      </w:pPr>
      <w:r w:rsidRPr="009D2701">
        <w:rPr>
          <w:sz w:val="24"/>
          <w:szCs w:val="24"/>
        </w:rPr>
        <w:t>AXE 2</w:t>
      </w:r>
      <w:r>
        <w:rPr>
          <w:sz w:val="24"/>
          <w:szCs w:val="24"/>
        </w:rPr>
        <w:t xml:space="preserve"> Nutrition</w:t>
      </w:r>
    </w:p>
    <w:p w:rsidR="004E0465" w:rsidRDefault="004E0465" w:rsidP="004E0465"/>
    <w:p w:rsidR="004914F1" w:rsidRDefault="004E0465">
      <w:pPr>
        <w:pStyle w:val="Titre5"/>
        <w:rPr>
          <w:sz w:val="24"/>
          <w:szCs w:val="24"/>
        </w:rPr>
      </w:pPr>
      <w:r w:rsidRPr="004E0465">
        <w:rPr>
          <w:sz w:val="24"/>
          <w:szCs w:val="24"/>
        </w:rPr>
        <w:t>Objectif stratégique OS 2</w:t>
      </w:r>
      <w:r>
        <w:rPr>
          <w:sz w:val="24"/>
          <w:szCs w:val="24"/>
        </w:rPr>
        <w:t xml:space="preserve"> : </w:t>
      </w:r>
      <w:r w:rsidRPr="005D69D7">
        <w:t>Améliorer l’état nutritionnel des populations, en particulier les femmes, les enfants et les groupes vulnérables</w:t>
      </w:r>
    </w:p>
    <w:p w:rsidR="009D2701" w:rsidRDefault="009D2701" w:rsidP="00CF34B7">
      <w:pPr>
        <w:widowControl w:val="0"/>
        <w:autoSpaceDE w:val="0"/>
        <w:autoSpaceDN w:val="0"/>
        <w:adjustRightInd w:val="0"/>
        <w:spacing w:before="8" w:after="0" w:line="260" w:lineRule="exact"/>
        <w:jc w:val="both"/>
        <w:rPr>
          <w:rFonts w:cstheme="minorHAnsi"/>
          <w:color w:val="000000"/>
          <w:sz w:val="24"/>
          <w:szCs w:val="24"/>
        </w:rPr>
      </w:pPr>
    </w:p>
    <w:p w:rsidR="00CF34B7" w:rsidRPr="00CF34B7" w:rsidRDefault="00CF34B7" w:rsidP="00CF34B7">
      <w:pPr>
        <w:pStyle w:val="Paragraphedeliste"/>
        <w:widowControl w:val="0"/>
        <w:numPr>
          <w:ilvl w:val="0"/>
          <w:numId w:val="6"/>
        </w:numPr>
        <w:autoSpaceDE w:val="0"/>
        <w:autoSpaceDN w:val="0"/>
        <w:adjustRightInd w:val="0"/>
        <w:spacing w:before="8" w:after="0" w:line="260" w:lineRule="exact"/>
        <w:rPr>
          <w:rFonts w:cstheme="minorHAnsi"/>
          <w:b/>
          <w:color w:val="000000"/>
          <w:sz w:val="24"/>
          <w:szCs w:val="24"/>
        </w:rPr>
      </w:pPr>
      <w:r>
        <w:rPr>
          <w:rFonts w:cstheme="minorHAnsi"/>
          <w:b/>
          <w:color w:val="000000"/>
          <w:sz w:val="24"/>
          <w:szCs w:val="24"/>
        </w:rPr>
        <w:t xml:space="preserve">Effet attendu </w:t>
      </w:r>
      <w:r w:rsidR="006435DC">
        <w:rPr>
          <w:rFonts w:cstheme="minorHAnsi"/>
          <w:b/>
          <w:color w:val="000000"/>
          <w:sz w:val="24"/>
          <w:szCs w:val="24"/>
        </w:rPr>
        <w:t xml:space="preserve">2 </w:t>
      </w:r>
      <w:r>
        <w:rPr>
          <w:rFonts w:cstheme="minorHAnsi"/>
          <w:b/>
          <w:color w:val="000000"/>
          <w:sz w:val="24"/>
          <w:szCs w:val="24"/>
        </w:rPr>
        <w:t xml:space="preserve">PNDES : </w:t>
      </w:r>
      <w:r w:rsidR="006435DC" w:rsidRPr="00CF34B7">
        <w:rPr>
          <w:rFonts w:cstheme="minorHAnsi"/>
          <w:b/>
          <w:color w:val="000000"/>
          <w:sz w:val="24"/>
          <w:szCs w:val="24"/>
        </w:rPr>
        <w:t>l'état nutritionnel de la population, en particulier des femmes et des enfants, est amélioré</w:t>
      </w:r>
      <w:r w:rsidR="006435DC">
        <w:rPr>
          <w:rFonts w:cstheme="minorHAnsi"/>
          <w:b/>
          <w:color w:val="000000"/>
          <w:sz w:val="24"/>
          <w:szCs w:val="24"/>
        </w:rPr>
        <w:t> ; il est attendu notamment l’amélioration des pratiques d’alimentation du nourrisson et des jeunes enfants, le renforcement des interventions de sécurités alimentaires sensibles à la nutrition, le renforcement des interventions d’eau, d’hygiène et assainissement sensible à la nutrition</w:t>
      </w:r>
    </w:p>
    <w:p w:rsidR="00CF34B7" w:rsidRPr="00CF34B7" w:rsidRDefault="00CF34B7" w:rsidP="00CF34B7">
      <w:pPr>
        <w:widowControl w:val="0"/>
        <w:autoSpaceDE w:val="0"/>
        <w:autoSpaceDN w:val="0"/>
        <w:adjustRightInd w:val="0"/>
        <w:spacing w:before="8" w:after="0" w:line="260" w:lineRule="exact"/>
        <w:jc w:val="both"/>
        <w:rPr>
          <w:rFonts w:cstheme="minorHAnsi"/>
          <w:color w:val="000000"/>
          <w:sz w:val="24"/>
          <w:szCs w:val="24"/>
        </w:rPr>
      </w:pPr>
    </w:p>
    <w:p w:rsidR="00CF34B7" w:rsidRPr="008A2462" w:rsidRDefault="008A2462" w:rsidP="00DD2863">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Pr>
          <w:rFonts w:cstheme="minorHAnsi"/>
          <w:sz w:val="24"/>
          <w:szCs w:val="24"/>
        </w:rPr>
        <w:t>L'état nutritionnel de la population dépend de : (i) l'apport calorique de la population soit sa sécurité alimentaire, (ii) l'accès aux micronutriments (iii) les pratiques d'allaitement, d'alimentation et d'hygiène, (iv) l'accès à l'eau potable, (v) l'efficacité de la prise en charge de la malnutrition et des maladies de l'enfant.</w:t>
      </w:r>
    </w:p>
    <w:p w:rsidR="008A2462" w:rsidRPr="008A2462" w:rsidRDefault="008A2462" w:rsidP="00DD2863">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D735C8">
        <w:rPr>
          <w:rFonts w:cs="Calibri"/>
          <w:color w:val="000000"/>
          <w:spacing w:val="1"/>
          <w:position w:val="1"/>
          <w:sz w:val="24"/>
          <w:szCs w:val="24"/>
        </w:rPr>
        <w:t>L’amélioration de la disponibilité alimentaire vise à couvrir les besoins alimentaire de façon durable. Cela passe entre autres par la maîtrise des ressources en eau, l’intensification durable des productions agro-</w:t>
      </w:r>
      <w:proofErr w:type="spellStart"/>
      <w:r w:rsidRPr="00D735C8">
        <w:rPr>
          <w:rFonts w:cs="Calibri"/>
          <w:color w:val="000000"/>
          <w:spacing w:val="1"/>
          <w:position w:val="1"/>
          <w:sz w:val="24"/>
          <w:szCs w:val="24"/>
        </w:rPr>
        <w:t>sylvo</w:t>
      </w:r>
      <w:proofErr w:type="spellEnd"/>
      <w:r w:rsidRPr="00D735C8">
        <w:rPr>
          <w:rFonts w:cs="Calibri"/>
          <w:color w:val="000000"/>
          <w:spacing w:val="1"/>
          <w:position w:val="1"/>
          <w:sz w:val="24"/>
          <w:szCs w:val="24"/>
        </w:rPr>
        <w:t>-pastorales et halieutiques, et le renforcement des capacités techniques et organisationnelles des acteurs. Quant à l’accessibilité aux produits alimentaires, elle passe entre autres par l’accroissement des infrastructures de transport, de stockage, de transformation, de commercialisation et le fonctionnement des marchés des produits agro-alimentaires pour permettre un accès géographique permanent et à un coût abordable aux denrées alimentaires.</w:t>
      </w:r>
    </w:p>
    <w:p w:rsidR="007828E6" w:rsidRPr="007828E6" w:rsidRDefault="008A2462" w:rsidP="00DD2863">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D735C8">
        <w:rPr>
          <w:rFonts w:cs="Calibri"/>
          <w:color w:val="000000"/>
          <w:spacing w:val="1"/>
          <w:position w:val="1"/>
          <w:sz w:val="24"/>
          <w:szCs w:val="24"/>
        </w:rPr>
        <w:t xml:space="preserve">Les </w:t>
      </w:r>
      <w:r>
        <w:rPr>
          <w:rFonts w:cs="Calibri"/>
          <w:color w:val="000000"/>
          <w:spacing w:val="1"/>
          <w:position w:val="1"/>
          <w:sz w:val="24"/>
          <w:szCs w:val="24"/>
        </w:rPr>
        <w:t>pratiques adéquates en matière de nutrition</w:t>
      </w:r>
      <w:r w:rsidRPr="00D735C8">
        <w:rPr>
          <w:rFonts w:cs="Calibri"/>
          <w:color w:val="000000"/>
          <w:spacing w:val="1"/>
          <w:position w:val="1"/>
          <w:sz w:val="24"/>
          <w:szCs w:val="24"/>
        </w:rPr>
        <w:t xml:space="preserve"> portent sur la baisse de la proportion des enfants souffrant de malnutrition aigüe globale et aussi les enfants ayant un retard de croissance parmi les enfants de moins de 5 ans. Cette baisse va consister à réduire la prévalence de la malnutrition  aigüe de 7,60% en 2016 à 6,49% en 2020 et de 27,3% en </w:t>
      </w:r>
      <w:r w:rsidRPr="00D735C8">
        <w:rPr>
          <w:rFonts w:cs="Calibri"/>
          <w:color w:val="000000"/>
          <w:spacing w:val="1"/>
          <w:position w:val="1"/>
          <w:sz w:val="24"/>
          <w:szCs w:val="24"/>
        </w:rPr>
        <w:lastRenderedPageBreak/>
        <w:t xml:space="preserve">2016 à 15% en 2020 pour le retard de croissance. </w:t>
      </w:r>
      <w:r w:rsidR="006435DC">
        <w:rPr>
          <w:rFonts w:cs="Calibri"/>
          <w:color w:val="000000"/>
          <w:spacing w:val="1"/>
          <w:position w:val="1"/>
          <w:sz w:val="24"/>
          <w:szCs w:val="24"/>
        </w:rPr>
        <w:t>Ces pratiques porteront notamment sur la promotion de l’allaitement exclusif et les autres pratiques d’alimentations saines.</w:t>
      </w:r>
      <w:r w:rsidRPr="00D735C8">
        <w:rPr>
          <w:rFonts w:cs="Calibri"/>
          <w:color w:val="000000"/>
          <w:spacing w:val="1"/>
          <w:position w:val="1"/>
          <w:sz w:val="24"/>
          <w:szCs w:val="24"/>
        </w:rPr>
        <w:t xml:space="preserve"> </w:t>
      </w:r>
    </w:p>
    <w:p w:rsidR="00D95826" w:rsidRPr="00CB16EC" w:rsidRDefault="008A2462" w:rsidP="00DD2863">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D735C8">
        <w:rPr>
          <w:rFonts w:cs="Calibri"/>
          <w:color w:val="000000"/>
          <w:spacing w:val="1"/>
          <w:position w:val="1"/>
          <w:sz w:val="24"/>
          <w:szCs w:val="24"/>
        </w:rPr>
        <w:t>Les actions essentielles porteront sur la promotion de la production de produits végétaux à haute valeur nutritive, la promotion du petit élevage au profit des ménages, particulièrement en faveur des femmes, la valorisation des produits alimentaires locaux, le développement des activités d’IEC/CCC sur les bonnes pratiques d’alimentation, d’hygiène et d’assainissement, le renforcement de la qualité et la couverture des interventions communautaires de promotion des pratiques optimales d’ANJE, la promotion  de la consommation de produits forestiers non ligneux (PFNL), la Promotion de la production vivrière améliorée (cultures maraîchères l'arboriculture vivrière petit élevage), la promotion de la transformation et de la fortification des aliments de grandes consommation et des farines infantiles en vitamines et minéraux. En outre, les efforts doivent permettre d’intégrer la nutrition dans les plans régionaux/communaux de développement afin d’atteindre les résultats escomptés. Enfin, la question de nutrition étant multisectorielle, la mise en place d’un cadre commun de résultats en matière de nutrition va contribuer à apprécier les efforts des différentes parties prenantes.</w:t>
      </w:r>
    </w:p>
    <w:p w:rsidR="00CB16EC" w:rsidRPr="00CB16EC" w:rsidRDefault="00CB16EC" w:rsidP="00DD2863">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CB16EC">
        <w:rPr>
          <w:rFonts w:cs="Calibri"/>
          <w:color w:val="000000"/>
          <w:spacing w:val="1"/>
          <w:position w:val="1"/>
          <w:sz w:val="24"/>
          <w:szCs w:val="24"/>
        </w:rPr>
        <w:t xml:space="preserve">L’efficacité de la prise en charge nutritionnelle doit se reposer sur le renforcement des capacités </w:t>
      </w:r>
      <w:r>
        <w:rPr>
          <w:rFonts w:cs="Calibri"/>
          <w:color w:val="000000"/>
          <w:spacing w:val="1"/>
          <w:position w:val="1"/>
          <w:sz w:val="24"/>
          <w:szCs w:val="24"/>
        </w:rPr>
        <w:t xml:space="preserve">d’intervention </w:t>
      </w:r>
      <w:r w:rsidRPr="00CB16EC">
        <w:rPr>
          <w:rFonts w:cs="Calibri"/>
          <w:color w:val="000000"/>
          <w:spacing w:val="1"/>
          <w:position w:val="1"/>
          <w:sz w:val="24"/>
          <w:szCs w:val="24"/>
        </w:rPr>
        <w:t xml:space="preserve">des structures </w:t>
      </w:r>
      <w:r>
        <w:rPr>
          <w:rFonts w:cs="Calibri"/>
          <w:color w:val="000000"/>
          <w:spacing w:val="1"/>
          <w:position w:val="1"/>
          <w:sz w:val="24"/>
          <w:szCs w:val="24"/>
        </w:rPr>
        <w:t xml:space="preserve">de </w:t>
      </w:r>
      <w:r w:rsidRPr="00CB16EC">
        <w:rPr>
          <w:rFonts w:cs="Calibri"/>
          <w:color w:val="000000"/>
          <w:spacing w:val="1"/>
          <w:position w:val="1"/>
          <w:sz w:val="24"/>
          <w:szCs w:val="24"/>
        </w:rPr>
        <w:t>prise en charge à tous les niveaux du système de santé ainsi que la disponibi</w:t>
      </w:r>
      <w:r>
        <w:rPr>
          <w:rFonts w:cs="Calibri"/>
          <w:color w:val="000000"/>
          <w:spacing w:val="1"/>
          <w:position w:val="1"/>
          <w:sz w:val="24"/>
          <w:szCs w:val="24"/>
        </w:rPr>
        <w:t>lité des intrants nutritionnels</w:t>
      </w:r>
      <w:r w:rsidRPr="00CB16EC">
        <w:rPr>
          <w:rFonts w:cs="Calibri"/>
          <w:color w:val="000000"/>
          <w:spacing w:val="1"/>
          <w:position w:val="1"/>
          <w:sz w:val="24"/>
          <w:szCs w:val="24"/>
        </w:rPr>
        <w:t xml:space="preserve"> (ATPE, Lait thérapeutique et médicaments) à travers l’augmentation progressive de la ligne budgétaire de l’état en faveur de la nutrition.</w:t>
      </w:r>
    </w:p>
    <w:p w:rsidR="00CB16EC" w:rsidRPr="00CB16EC" w:rsidRDefault="00CB16EC" w:rsidP="00DD2863">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98404D">
        <w:rPr>
          <w:rFonts w:cs="Calibri"/>
          <w:color w:val="000000"/>
          <w:spacing w:val="1"/>
          <w:position w:val="1"/>
          <w:sz w:val="24"/>
          <w:szCs w:val="24"/>
        </w:rPr>
        <w:t xml:space="preserve">La Lutte contre l’obésité et la surcharge pondérale sera </w:t>
      </w:r>
      <w:r w:rsidR="00C032FA">
        <w:rPr>
          <w:rFonts w:cs="Calibri"/>
          <w:color w:val="000000"/>
          <w:spacing w:val="1"/>
          <w:position w:val="1"/>
          <w:sz w:val="24"/>
          <w:szCs w:val="24"/>
        </w:rPr>
        <w:t>conduite autour d</w:t>
      </w:r>
      <w:r w:rsidRPr="0098404D">
        <w:rPr>
          <w:rFonts w:cs="Calibri"/>
          <w:color w:val="000000"/>
          <w:spacing w:val="1"/>
          <w:position w:val="1"/>
          <w:sz w:val="24"/>
          <w:szCs w:val="24"/>
        </w:rPr>
        <w:t xml:space="preserve">es actions </w:t>
      </w:r>
      <w:r w:rsidR="00C032FA">
        <w:rPr>
          <w:rFonts w:cs="Calibri"/>
          <w:color w:val="000000"/>
          <w:spacing w:val="1"/>
          <w:position w:val="1"/>
          <w:sz w:val="24"/>
          <w:szCs w:val="24"/>
        </w:rPr>
        <w:t>de</w:t>
      </w:r>
      <w:r w:rsidRPr="0098404D">
        <w:rPr>
          <w:rFonts w:cs="Calibri"/>
          <w:color w:val="000000"/>
          <w:spacing w:val="1"/>
          <w:position w:val="1"/>
          <w:sz w:val="24"/>
          <w:szCs w:val="24"/>
        </w:rPr>
        <w:t xml:space="preserve"> renforcement des capacités de</w:t>
      </w:r>
      <w:r w:rsidR="00C032FA">
        <w:rPr>
          <w:rFonts w:cs="Calibri"/>
          <w:color w:val="000000"/>
          <w:spacing w:val="1"/>
          <w:position w:val="1"/>
          <w:sz w:val="24"/>
          <w:szCs w:val="24"/>
        </w:rPr>
        <w:t>s</w:t>
      </w:r>
      <w:r w:rsidRPr="0098404D">
        <w:rPr>
          <w:rFonts w:cs="Calibri"/>
          <w:color w:val="000000"/>
          <w:spacing w:val="1"/>
          <w:position w:val="1"/>
          <w:sz w:val="24"/>
          <w:szCs w:val="24"/>
        </w:rPr>
        <w:t xml:space="preserve"> structures de prises en charge des maladies chroniques liées à la nutrition</w:t>
      </w:r>
      <w:r w:rsidR="00C032FA">
        <w:rPr>
          <w:rFonts w:cs="Calibri"/>
          <w:color w:val="000000"/>
          <w:spacing w:val="1"/>
          <w:position w:val="1"/>
          <w:sz w:val="24"/>
          <w:szCs w:val="24"/>
        </w:rPr>
        <w:t>. Un accent particulier sera mis sur</w:t>
      </w:r>
      <w:r w:rsidRPr="0098404D">
        <w:rPr>
          <w:rFonts w:cs="Calibri"/>
          <w:color w:val="000000"/>
          <w:spacing w:val="1"/>
          <w:position w:val="1"/>
          <w:sz w:val="24"/>
          <w:szCs w:val="24"/>
        </w:rPr>
        <w:t xml:space="preserve"> l’adoption </w:t>
      </w:r>
      <w:r w:rsidR="00C032FA">
        <w:rPr>
          <w:rFonts w:cs="Calibri"/>
          <w:color w:val="000000"/>
          <w:spacing w:val="1"/>
          <w:position w:val="1"/>
          <w:sz w:val="24"/>
          <w:szCs w:val="24"/>
        </w:rPr>
        <w:t>d’une bonne hygiène de vie telle que l’alimentation équilibrée et la pratique de l’activité physique régulière</w:t>
      </w:r>
      <w:r w:rsidRPr="0098404D">
        <w:rPr>
          <w:rFonts w:cs="Calibri"/>
          <w:color w:val="000000"/>
          <w:spacing w:val="1"/>
          <w:position w:val="1"/>
          <w:sz w:val="24"/>
          <w:szCs w:val="24"/>
        </w:rPr>
        <w:t>.</w:t>
      </w:r>
    </w:p>
    <w:p w:rsidR="00D95826" w:rsidRPr="009D2701" w:rsidRDefault="007828E6" w:rsidP="00DD2863">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Pr>
          <w:rFonts w:cs="Calibri"/>
          <w:color w:val="000000"/>
          <w:spacing w:val="1"/>
          <w:position w:val="1"/>
          <w:sz w:val="24"/>
          <w:szCs w:val="24"/>
        </w:rPr>
        <w:t>Pour améliorer la sécurité sanitaire des aliments, l</w:t>
      </w:r>
      <w:r w:rsidRPr="00D735C8">
        <w:rPr>
          <w:rFonts w:cs="Calibri"/>
          <w:color w:val="000000"/>
          <w:spacing w:val="1"/>
          <w:position w:val="1"/>
          <w:sz w:val="24"/>
          <w:szCs w:val="24"/>
        </w:rPr>
        <w:t>es actions porteront sur le renforcement des capacités des services d’inspection et de contrôle de la sécurité sanitaire des aliments, le renforcement du mécanisme d’application des normes de qualité des produits alimentaires, le renforcement de la règlementation et de son application en matière d’innocuité des produits alimentaires et de protection des consommateurs, l’amélioration de l’accessibilité des acteurs de la transformation aux services de contrôle de qualité des aliments.</w:t>
      </w:r>
    </w:p>
    <w:p w:rsidR="009D2701" w:rsidRDefault="009D2701" w:rsidP="004147B3">
      <w:pPr>
        <w:pStyle w:val="Titre4"/>
        <w:numPr>
          <w:ilvl w:val="3"/>
          <w:numId w:val="27"/>
        </w:numPr>
        <w:rPr>
          <w:sz w:val="24"/>
          <w:szCs w:val="24"/>
        </w:rPr>
      </w:pPr>
      <w:r w:rsidRPr="009D2701">
        <w:rPr>
          <w:sz w:val="24"/>
          <w:szCs w:val="24"/>
        </w:rPr>
        <w:t xml:space="preserve">AXE 3 </w:t>
      </w:r>
      <w:r>
        <w:rPr>
          <w:sz w:val="24"/>
          <w:szCs w:val="24"/>
        </w:rPr>
        <w:t>Transition démographique</w:t>
      </w:r>
    </w:p>
    <w:p w:rsidR="00B52C0C" w:rsidRPr="00B52C0C" w:rsidRDefault="00B52C0C" w:rsidP="004147B3">
      <w:pPr>
        <w:pStyle w:val="Titre5"/>
        <w:rPr>
          <w:sz w:val="24"/>
          <w:szCs w:val="24"/>
        </w:rPr>
      </w:pPr>
      <w:r w:rsidRPr="00B52C0C">
        <w:rPr>
          <w:sz w:val="24"/>
          <w:szCs w:val="24"/>
        </w:rPr>
        <w:t>Objectif stratégique OS 3</w:t>
      </w:r>
      <w:r>
        <w:rPr>
          <w:sz w:val="24"/>
          <w:szCs w:val="24"/>
        </w:rPr>
        <w:t xml:space="preserve"> : </w:t>
      </w:r>
      <w:r w:rsidRPr="00B52C0C">
        <w:rPr>
          <w:sz w:val="24"/>
          <w:szCs w:val="24"/>
        </w:rPr>
        <w:t>Développer des stratégies innovantes pour une meilleure adhésion à PF</w:t>
      </w:r>
    </w:p>
    <w:p w:rsidR="00CF34B7" w:rsidRPr="00CF34B7" w:rsidRDefault="00CF34B7" w:rsidP="00CF34B7">
      <w:pPr>
        <w:widowControl w:val="0"/>
        <w:autoSpaceDE w:val="0"/>
        <w:autoSpaceDN w:val="0"/>
        <w:adjustRightInd w:val="0"/>
        <w:spacing w:before="8" w:after="0" w:line="260" w:lineRule="exact"/>
        <w:jc w:val="both"/>
        <w:rPr>
          <w:rFonts w:cstheme="minorHAnsi"/>
          <w:color w:val="000000"/>
          <w:sz w:val="24"/>
          <w:szCs w:val="24"/>
        </w:rPr>
      </w:pPr>
    </w:p>
    <w:p w:rsidR="00695756" w:rsidRDefault="00057D7F" w:rsidP="00A56243">
      <w:pPr>
        <w:pStyle w:val="Paragraphedeliste"/>
        <w:widowControl w:val="0"/>
        <w:numPr>
          <w:ilvl w:val="0"/>
          <w:numId w:val="6"/>
        </w:numPr>
        <w:autoSpaceDE w:val="0"/>
        <w:autoSpaceDN w:val="0"/>
        <w:adjustRightInd w:val="0"/>
        <w:spacing w:before="8" w:after="0" w:line="260" w:lineRule="exact"/>
        <w:rPr>
          <w:rFonts w:cstheme="minorHAnsi"/>
          <w:b/>
          <w:color w:val="000000"/>
          <w:sz w:val="24"/>
          <w:szCs w:val="24"/>
        </w:rPr>
      </w:pPr>
      <w:r>
        <w:rPr>
          <w:rFonts w:cstheme="minorHAnsi"/>
          <w:b/>
          <w:color w:val="000000"/>
          <w:sz w:val="24"/>
          <w:szCs w:val="24"/>
        </w:rPr>
        <w:t xml:space="preserve">Effet : </w:t>
      </w:r>
      <w:r w:rsidRPr="00A56243">
        <w:rPr>
          <w:rFonts w:cstheme="minorHAnsi"/>
          <w:b/>
          <w:color w:val="000000"/>
          <w:sz w:val="24"/>
          <w:szCs w:val="24"/>
        </w:rPr>
        <w:t xml:space="preserve">le processus d'accélération de la transition </w:t>
      </w:r>
      <w:r>
        <w:rPr>
          <w:rFonts w:cstheme="minorHAnsi"/>
          <w:b/>
          <w:color w:val="000000"/>
          <w:sz w:val="24"/>
          <w:szCs w:val="24"/>
        </w:rPr>
        <w:t xml:space="preserve">démographique pour déclencher </w:t>
      </w:r>
      <w:proofErr w:type="gramStart"/>
      <w:r>
        <w:rPr>
          <w:rFonts w:cstheme="minorHAnsi"/>
          <w:b/>
          <w:color w:val="000000"/>
          <w:sz w:val="24"/>
          <w:szCs w:val="24"/>
        </w:rPr>
        <w:t>la</w:t>
      </w:r>
      <w:proofErr w:type="gramEnd"/>
      <w:r w:rsidRPr="00A56243">
        <w:rPr>
          <w:rFonts w:cstheme="minorHAnsi"/>
          <w:b/>
          <w:color w:val="000000"/>
          <w:sz w:val="24"/>
          <w:szCs w:val="24"/>
        </w:rPr>
        <w:t xml:space="preserve"> dividende démographique est réellement mis en mouvement</w:t>
      </w:r>
      <w:r>
        <w:rPr>
          <w:rFonts w:cstheme="minorHAnsi"/>
          <w:b/>
          <w:color w:val="000000"/>
          <w:sz w:val="24"/>
          <w:szCs w:val="24"/>
        </w:rPr>
        <w:t>, il est attendu notamment  la réduction de l’indice synthétique de fécondité, l’amélioration du statut de la femme</w:t>
      </w:r>
    </w:p>
    <w:p w:rsidR="00A56243" w:rsidRDefault="00A56243" w:rsidP="00A56243">
      <w:pPr>
        <w:widowControl w:val="0"/>
        <w:autoSpaceDE w:val="0"/>
        <w:autoSpaceDN w:val="0"/>
        <w:adjustRightInd w:val="0"/>
        <w:spacing w:before="8" w:after="0" w:line="260" w:lineRule="exact"/>
        <w:rPr>
          <w:rFonts w:cstheme="minorHAnsi"/>
          <w:b/>
          <w:color w:val="000000"/>
          <w:sz w:val="24"/>
          <w:szCs w:val="24"/>
        </w:rPr>
      </w:pPr>
    </w:p>
    <w:p w:rsidR="00A56243" w:rsidRDefault="00A56243" w:rsidP="00EF25A7">
      <w:pPr>
        <w:pStyle w:val="Paragraphedeliste"/>
        <w:widowControl w:val="0"/>
        <w:numPr>
          <w:ilvl w:val="0"/>
          <w:numId w:val="26"/>
        </w:numPr>
        <w:autoSpaceDE w:val="0"/>
        <w:autoSpaceDN w:val="0"/>
        <w:adjustRightInd w:val="0"/>
        <w:spacing w:before="8" w:after="0" w:line="260" w:lineRule="exact"/>
        <w:jc w:val="both"/>
        <w:rPr>
          <w:rFonts w:cs="Calibri"/>
          <w:color w:val="000000"/>
          <w:spacing w:val="1"/>
          <w:position w:val="1"/>
          <w:sz w:val="24"/>
          <w:szCs w:val="24"/>
        </w:rPr>
      </w:pPr>
      <w:r w:rsidRPr="00A56243">
        <w:rPr>
          <w:rFonts w:cs="Calibri"/>
          <w:color w:val="000000"/>
          <w:spacing w:val="1"/>
          <w:position w:val="1"/>
          <w:sz w:val="24"/>
          <w:szCs w:val="24"/>
        </w:rPr>
        <w:t>L'accélération de la transition démographique et le déclenchement d'un dividende démographique sont tributaires de (i)</w:t>
      </w:r>
      <w:r>
        <w:rPr>
          <w:rFonts w:cs="Calibri"/>
          <w:color w:val="000000"/>
          <w:spacing w:val="1"/>
          <w:position w:val="1"/>
          <w:sz w:val="24"/>
          <w:szCs w:val="24"/>
        </w:rPr>
        <w:t xml:space="preserve"> l'accès géographique, culturel</w:t>
      </w:r>
      <w:r w:rsidRPr="00A56243">
        <w:rPr>
          <w:rFonts w:cs="Calibri"/>
          <w:color w:val="000000"/>
          <w:spacing w:val="1"/>
          <w:position w:val="1"/>
          <w:sz w:val="24"/>
          <w:szCs w:val="24"/>
        </w:rPr>
        <w:t xml:space="preserve"> et financier aux services de planification familiale, (ii) </w:t>
      </w:r>
      <w:r w:rsidR="00902842">
        <w:rPr>
          <w:rFonts w:cs="Calibri"/>
          <w:color w:val="000000"/>
          <w:spacing w:val="1"/>
          <w:position w:val="1"/>
          <w:sz w:val="24"/>
          <w:szCs w:val="24"/>
        </w:rPr>
        <w:t>l</w:t>
      </w:r>
      <w:r w:rsidR="00B52C0C">
        <w:rPr>
          <w:rFonts w:cs="Calibri"/>
          <w:color w:val="000000"/>
          <w:spacing w:val="1"/>
          <w:position w:val="1"/>
          <w:sz w:val="24"/>
          <w:szCs w:val="24"/>
        </w:rPr>
        <w:t>a lutte contre le mariage précoce et les</w:t>
      </w:r>
      <w:r w:rsidRPr="00A56243">
        <w:rPr>
          <w:rFonts w:cs="Calibri"/>
          <w:color w:val="000000"/>
          <w:spacing w:val="1"/>
          <w:position w:val="1"/>
          <w:sz w:val="24"/>
          <w:szCs w:val="24"/>
        </w:rPr>
        <w:t xml:space="preserve"> grossesse</w:t>
      </w:r>
      <w:r w:rsidR="00B52C0C">
        <w:rPr>
          <w:rFonts w:cs="Calibri"/>
          <w:color w:val="000000"/>
          <w:spacing w:val="1"/>
          <w:position w:val="1"/>
          <w:sz w:val="24"/>
          <w:szCs w:val="24"/>
        </w:rPr>
        <w:t>s</w:t>
      </w:r>
      <w:r w:rsidRPr="00A56243">
        <w:rPr>
          <w:rFonts w:cs="Calibri"/>
          <w:color w:val="000000"/>
          <w:spacing w:val="1"/>
          <w:position w:val="1"/>
          <w:sz w:val="24"/>
          <w:szCs w:val="24"/>
        </w:rPr>
        <w:t xml:space="preserve"> précoce</w:t>
      </w:r>
      <w:r w:rsidR="00B52C0C">
        <w:rPr>
          <w:rFonts w:cs="Calibri"/>
          <w:color w:val="000000"/>
          <w:spacing w:val="1"/>
          <w:position w:val="1"/>
          <w:sz w:val="24"/>
          <w:szCs w:val="24"/>
        </w:rPr>
        <w:t>s</w:t>
      </w:r>
      <w:proofErr w:type="gramStart"/>
      <w:r w:rsidRPr="00A56243">
        <w:rPr>
          <w:rFonts w:cs="Calibri"/>
          <w:color w:val="000000"/>
          <w:spacing w:val="1"/>
          <w:position w:val="1"/>
          <w:sz w:val="24"/>
          <w:szCs w:val="24"/>
        </w:rPr>
        <w:t>, ,</w:t>
      </w:r>
      <w:proofErr w:type="gramEnd"/>
      <w:r w:rsidRPr="00A56243">
        <w:rPr>
          <w:rFonts w:cs="Calibri"/>
          <w:color w:val="000000"/>
          <w:spacing w:val="1"/>
          <w:position w:val="1"/>
          <w:sz w:val="24"/>
          <w:szCs w:val="24"/>
        </w:rPr>
        <w:t xml:space="preserve"> (i</w:t>
      </w:r>
      <w:r w:rsidR="00D95826">
        <w:rPr>
          <w:rFonts w:cs="Calibri"/>
          <w:color w:val="000000"/>
          <w:spacing w:val="1"/>
          <w:position w:val="1"/>
          <w:sz w:val="24"/>
          <w:szCs w:val="24"/>
        </w:rPr>
        <w:t>ii</w:t>
      </w:r>
      <w:r w:rsidRPr="00A56243">
        <w:rPr>
          <w:rFonts w:cs="Calibri"/>
          <w:color w:val="000000"/>
          <w:spacing w:val="1"/>
          <w:position w:val="1"/>
          <w:sz w:val="24"/>
          <w:szCs w:val="24"/>
        </w:rPr>
        <w:t xml:space="preserve"> la production d'une force de travail compétente et entreprenante</w:t>
      </w:r>
      <w:r w:rsidR="00D95826">
        <w:rPr>
          <w:rFonts w:cs="Calibri"/>
          <w:color w:val="000000"/>
          <w:spacing w:val="1"/>
          <w:position w:val="1"/>
          <w:sz w:val="24"/>
          <w:szCs w:val="24"/>
        </w:rPr>
        <w:t xml:space="preserve"> prenant en compte l'aspect genre</w:t>
      </w:r>
      <w:r w:rsidRPr="00A56243">
        <w:rPr>
          <w:rFonts w:cs="Calibri"/>
          <w:color w:val="000000"/>
          <w:spacing w:val="1"/>
          <w:position w:val="1"/>
          <w:sz w:val="24"/>
          <w:szCs w:val="24"/>
        </w:rPr>
        <w:t>.</w:t>
      </w:r>
    </w:p>
    <w:p w:rsidR="00A56243" w:rsidRDefault="00A56243" w:rsidP="00EF25A7">
      <w:pPr>
        <w:pStyle w:val="Paragraphedeliste"/>
        <w:widowControl w:val="0"/>
        <w:numPr>
          <w:ilvl w:val="0"/>
          <w:numId w:val="26"/>
        </w:numPr>
        <w:autoSpaceDE w:val="0"/>
        <w:autoSpaceDN w:val="0"/>
        <w:adjustRightInd w:val="0"/>
        <w:spacing w:before="8" w:after="0" w:line="260" w:lineRule="exact"/>
        <w:jc w:val="both"/>
        <w:rPr>
          <w:rFonts w:cs="Calibri"/>
          <w:color w:val="000000"/>
          <w:spacing w:val="1"/>
          <w:position w:val="1"/>
          <w:sz w:val="24"/>
          <w:szCs w:val="24"/>
        </w:rPr>
      </w:pPr>
      <w:r w:rsidRPr="001878FE">
        <w:rPr>
          <w:rFonts w:cs="Calibri"/>
          <w:color w:val="000000"/>
          <w:spacing w:val="1"/>
          <w:position w:val="1"/>
          <w:sz w:val="24"/>
          <w:szCs w:val="24"/>
        </w:rPr>
        <w:t>Il s’agit d’accroître le taux de la prévalence contraceptive moderne chez les femmes en union de 22,5% en 2015 à 32% en 2020. Les interventions devront concerner la création de la demande, l’offre et l’accès aux services, la sécurisation des produits, l’environnement institutionnel, le financement, la coordination et le suivi/Evaluation</w:t>
      </w:r>
      <w:r>
        <w:rPr>
          <w:rFonts w:cs="Calibri"/>
          <w:color w:val="000000"/>
          <w:spacing w:val="1"/>
          <w:position w:val="1"/>
          <w:sz w:val="24"/>
          <w:szCs w:val="24"/>
        </w:rPr>
        <w:t>.</w:t>
      </w:r>
    </w:p>
    <w:p w:rsidR="00A56243" w:rsidRDefault="00A56243" w:rsidP="00DD2863">
      <w:pPr>
        <w:pStyle w:val="Paragraphedeliste"/>
        <w:widowControl w:val="0"/>
        <w:numPr>
          <w:ilvl w:val="0"/>
          <w:numId w:val="26"/>
        </w:numPr>
        <w:autoSpaceDE w:val="0"/>
        <w:autoSpaceDN w:val="0"/>
        <w:adjustRightInd w:val="0"/>
        <w:spacing w:before="8" w:after="0" w:line="260" w:lineRule="exact"/>
        <w:jc w:val="both"/>
        <w:rPr>
          <w:rFonts w:cs="Calibri"/>
          <w:color w:val="000000"/>
          <w:spacing w:val="1"/>
          <w:position w:val="1"/>
          <w:sz w:val="24"/>
          <w:szCs w:val="24"/>
        </w:rPr>
      </w:pPr>
      <w:r>
        <w:rPr>
          <w:rFonts w:cs="Calibri"/>
          <w:color w:val="000000"/>
          <w:spacing w:val="1"/>
          <w:position w:val="1"/>
          <w:sz w:val="24"/>
          <w:szCs w:val="24"/>
        </w:rPr>
        <w:lastRenderedPageBreak/>
        <w:t xml:space="preserve">Pour satisfaire les besoins non-couverts en matière de PF, la délégation des </w:t>
      </w:r>
      <w:r w:rsidR="00902842">
        <w:rPr>
          <w:rFonts w:cs="Calibri"/>
          <w:color w:val="000000"/>
          <w:spacing w:val="1"/>
          <w:position w:val="1"/>
          <w:sz w:val="24"/>
          <w:szCs w:val="24"/>
        </w:rPr>
        <w:t>tâches</w:t>
      </w:r>
      <w:r w:rsidR="00B52C0C">
        <w:rPr>
          <w:rFonts w:cs="Calibri"/>
          <w:color w:val="000000"/>
          <w:spacing w:val="1"/>
          <w:position w:val="1"/>
          <w:sz w:val="24"/>
          <w:szCs w:val="24"/>
        </w:rPr>
        <w:t xml:space="preserve"> à tous les niveaux</w:t>
      </w:r>
      <w:r>
        <w:rPr>
          <w:rFonts w:cs="Calibri"/>
          <w:color w:val="000000"/>
          <w:spacing w:val="1"/>
          <w:position w:val="1"/>
          <w:sz w:val="24"/>
          <w:szCs w:val="24"/>
        </w:rPr>
        <w:t>,</w:t>
      </w:r>
      <w:r w:rsidRPr="001878FE">
        <w:rPr>
          <w:rFonts w:cs="Calibri"/>
          <w:color w:val="000000"/>
          <w:spacing w:val="1"/>
          <w:position w:val="1"/>
          <w:sz w:val="24"/>
          <w:szCs w:val="24"/>
        </w:rPr>
        <w:t xml:space="preserve"> la distribution à base commun</w:t>
      </w:r>
      <w:r>
        <w:rPr>
          <w:rFonts w:cs="Calibri"/>
          <w:color w:val="000000"/>
          <w:spacing w:val="1"/>
          <w:position w:val="1"/>
          <w:sz w:val="24"/>
          <w:szCs w:val="24"/>
        </w:rPr>
        <w:t>autaire, la vulgarisation de l’</w:t>
      </w:r>
      <w:proofErr w:type="spellStart"/>
      <w:r>
        <w:rPr>
          <w:rFonts w:cs="Calibri"/>
          <w:color w:val="000000"/>
          <w:spacing w:val="1"/>
          <w:position w:val="1"/>
          <w:sz w:val="24"/>
          <w:szCs w:val="24"/>
        </w:rPr>
        <w:t>Uniject</w:t>
      </w:r>
      <w:proofErr w:type="spellEnd"/>
      <w:r>
        <w:rPr>
          <w:rFonts w:cs="Calibri"/>
          <w:color w:val="000000"/>
          <w:spacing w:val="1"/>
          <w:position w:val="1"/>
          <w:sz w:val="24"/>
          <w:szCs w:val="24"/>
        </w:rPr>
        <w:t>, l</w:t>
      </w:r>
      <w:r w:rsidRPr="001878FE">
        <w:rPr>
          <w:rFonts w:cs="Calibri"/>
          <w:color w:val="000000"/>
          <w:spacing w:val="1"/>
          <w:position w:val="1"/>
          <w:sz w:val="24"/>
          <w:szCs w:val="24"/>
        </w:rPr>
        <w:t>a gratuité de la PF et la sécurisation des produits de la SR seront le gage du succès de cette ambition</w:t>
      </w:r>
    </w:p>
    <w:p w:rsidR="00A56243" w:rsidRDefault="00A56243" w:rsidP="00DD2863">
      <w:pPr>
        <w:pStyle w:val="Paragraphedeliste"/>
        <w:widowControl w:val="0"/>
        <w:numPr>
          <w:ilvl w:val="0"/>
          <w:numId w:val="26"/>
        </w:numPr>
        <w:autoSpaceDE w:val="0"/>
        <w:autoSpaceDN w:val="0"/>
        <w:adjustRightInd w:val="0"/>
        <w:spacing w:before="8" w:after="0" w:line="260" w:lineRule="exact"/>
        <w:jc w:val="both"/>
        <w:rPr>
          <w:rFonts w:cs="Calibri"/>
          <w:color w:val="000000"/>
          <w:spacing w:val="1"/>
          <w:position w:val="1"/>
          <w:sz w:val="24"/>
          <w:szCs w:val="24"/>
        </w:rPr>
      </w:pPr>
      <w:r w:rsidRPr="001878FE">
        <w:rPr>
          <w:rFonts w:cs="Calibri"/>
          <w:color w:val="000000"/>
          <w:spacing w:val="1"/>
          <w:position w:val="1"/>
          <w:sz w:val="24"/>
          <w:szCs w:val="24"/>
        </w:rPr>
        <w:t>332 000 nouvelles utilisatrices sont à recruter d’ici 2020 notamment par l’intensification des actions en destination des jeunes et adolescents et</w:t>
      </w:r>
      <w:r>
        <w:rPr>
          <w:rFonts w:cs="Calibri"/>
          <w:color w:val="000000"/>
          <w:spacing w:val="1"/>
          <w:position w:val="1"/>
          <w:sz w:val="24"/>
          <w:szCs w:val="24"/>
        </w:rPr>
        <w:t xml:space="preserve"> la mise en œuvre la PF du post-</w:t>
      </w:r>
      <w:r w:rsidRPr="001878FE">
        <w:rPr>
          <w:rFonts w:cs="Calibri"/>
          <w:color w:val="000000"/>
          <w:spacing w:val="1"/>
          <w:position w:val="1"/>
          <w:sz w:val="24"/>
          <w:szCs w:val="24"/>
        </w:rPr>
        <w:t>partum.</w:t>
      </w:r>
    </w:p>
    <w:p w:rsidR="00A56243" w:rsidRDefault="00A56243" w:rsidP="00DD2863">
      <w:pPr>
        <w:pStyle w:val="Paragraphedeliste"/>
        <w:widowControl w:val="0"/>
        <w:numPr>
          <w:ilvl w:val="0"/>
          <w:numId w:val="26"/>
        </w:numPr>
        <w:autoSpaceDE w:val="0"/>
        <w:autoSpaceDN w:val="0"/>
        <w:adjustRightInd w:val="0"/>
        <w:spacing w:before="8" w:after="0" w:line="260" w:lineRule="exact"/>
        <w:jc w:val="both"/>
        <w:rPr>
          <w:rFonts w:cs="Calibri"/>
          <w:color w:val="000000"/>
          <w:spacing w:val="1"/>
          <w:position w:val="1"/>
          <w:sz w:val="24"/>
          <w:szCs w:val="24"/>
        </w:rPr>
      </w:pPr>
      <w:r w:rsidRPr="001878FE">
        <w:rPr>
          <w:rFonts w:cs="Calibri"/>
          <w:color w:val="000000"/>
          <w:spacing w:val="1"/>
          <w:position w:val="1"/>
          <w:sz w:val="24"/>
          <w:szCs w:val="24"/>
        </w:rPr>
        <w:t xml:space="preserve">Dans la lutte contre </w:t>
      </w:r>
      <w:r>
        <w:rPr>
          <w:rFonts w:cs="Calibri"/>
          <w:color w:val="000000"/>
          <w:spacing w:val="1"/>
          <w:position w:val="1"/>
          <w:sz w:val="24"/>
          <w:szCs w:val="24"/>
        </w:rPr>
        <w:t>le mariage précoce des enfants</w:t>
      </w:r>
      <w:r w:rsidRPr="001878FE">
        <w:rPr>
          <w:rFonts w:cs="Calibri"/>
          <w:color w:val="000000"/>
          <w:spacing w:val="1"/>
          <w:position w:val="1"/>
          <w:sz w:val="24"/>
          <w:szCs w:val="24"/>
        </w:rPr>
        <w:t xml:space="preserve">, l’accent sera mis à travers une plateforme multisectorielle, sur la révision et le respect des dispositions législatives et règlementaires. La méconnaissance des droits et les pesanteurs socioculturelles seront combattues par une sensibilisation soutenue et un plaidoyer auprès des leaders communautaires. Plus généralement, </w:t>
      </w:r>
      <w:r>
        <w:rPr>
          <w:rFonts w:cs="Calibri"/>
          <w:color w:val="000000"/>
          <w:spacing w:val="1"/>
          <w:position w:val="1"/>
          <w:sz w:val="24"/>
          <w:szCs w:val="24"/>
        </w:rPr>
        <w:t xml:space="preserve">les </w:t>
      </w:r>
      <w:r w:rsidRPr="001878FE">
        <w:rPr>
          <w:rFonts w:cs="Calibri"/>
          <w:color w:val="000000"/>
          <w:spacing w:val="1"/>
          <w:position w:val="1"/>
          <w:sz w:val="24"/>
          <w:szCs w:val="24"/>
        </w:rPr>
        <w:t xml:space="preserve">violences basées sur le genre </w:t>
      </w:r>
      <w:r>
        <w:rPr>
          <w:rFonts w:cs="Calibri"/>
          <w:color w:val="000000"/>
          <w:spacing w:val="1"/>
          <w:position w:val="1"/>
          <w:sz w:val="24"/>
          <w:szCs w:val="24"/>
        </w:rPr>
        <w:t xml:space="preserve">seront </w:t>
      </w:r>
      <w:r w:rsidRPr="001878FE">
        <w:rPr>
          <w:rFonts w:cs="Calibri"/>
          <w:color w:val="000000"/>
          <w:spacing w:val="1"/>
          <w:position w:val="1"/>
          <w:sz w:val="24"/>
          <w:szCs w:val="24"/>
        </w:rPr>
        <w:t>combattues.</w:t>
      </w:r>
    </w:p>
    <w:p w:rsidR="00E970C0" w:rsidRDefault="00E970C0" w:rsidP="00DD2863">
      <w:pPr>
        <w:pStyle w:val="Paragraphedeliste"/>
        <w:widowControl w:val="0"/>
        <w:numPr>
          <w:ilvl w:val="0"/>
          <w:numId w:val="26"/>
        </w:numPr>
        <w:autoSpaceDE w:val="0"/>
        <w:autoSpaceDN w:val="0"/>
        <w:adjustRightInd w:val="0"/>
        <w:spacing w:before="8" w:after="0" w:line="260" w:lineRule="exact"/>
        <w:jc w:val="both"/>
        <w:rPr>
          <w:rFonts w:cs="Calibri"/>
          <w:color w:val="000000"/>
          <w:spacing w:val="1"/>
          <w:position w:val="1"/>
          <w:sz w:val="24"/>
          <w:szCs w:val="24"/>
        </w:rPr>
      </w:pPr>
      <w:r w:rsidRPr="001878FE">
        <w:rPr>
          <w:rFonts w:cs="Calibri"/>
          <w:color w:val="000000"/>
          <w:spacing w:val="1"/>
          <w:position w:val="1"/>
          <w:sz w:val="24"/>
          <w:szCs w:val="24"/>
        </w:rPr>
        <w:t>Dans les Centres jeune, les lycées et collèges et les centre de formation professionnelle, une éducation sexuelle complète sera donnée aux jeunes et adolescents afin qu’ils adoptent des comportements favorables pour une bonne santé sexuelle et reproductive</w:t>
      </w:r>
    </w:p>
    <w:p w:rsidR="00E970C0" w:rsidRDefault="00E970C0" w:rsidP="00DD2863">
      <w:pPr>
        <w:pStyle w:val="Paragraphedeliste"/>
        <w:widowControl w:val="0"/>
        <w:numPr>
          <w:ilvl w:val="0"/>
          <w:numId w:val="26"/>
        </w:numPr>
        <w:autoSpaceDE w:val="0"/>
        <w:autoSpaceDN w:val="0"/>
        <w:adjustRightInd w:val="0"/>
        <w:spacing w:before="8" w:after="0" w:line="260" w:lineRule="exact"/>
        <w:jc w:val="both"/>
        <w:rPr>
          <w:rFonts w:cs="Calibri"/>
          <w:color w:val="000000"/>
          <w:spacing w:val="1"/>
          <w:position w:val="1"/>
          <w:sz w:val="24"/>
          <w:szCs w:val="24"/>
        </w:rPr>
      </w:pPr>
      <w:r w:rsidRPr="001878FE">
        <w:rPr>
          <w:rFonts w:cs="Calibri"/>
          <w:color w:val="000000"/>
          <w:spacing w:val="1"/>
          <w:position w:val="1"/>
          <w:sz w:val="24"/>
          <w:szCs w:val="24"/>
        </w:rPr>
        <w:t>Par des actions de sensibilisation, les parents seront engagés à donner une éducation sexuelle appropriée à domicile. Le contrôle sera de rigueur sur les sites d’orpaillage (et partout où besoin est) pour éviter que les enfants ne soient employés et exposés.</w:t>
      </w:r>
    </w:p>
    <w:p w:rsidR="00E970C0" w:rsidRPr="00565DA9" w:rsidRDefault="00E970C0" w:rsidP="00DD2863">
      <w:pPr>
        <w:pStyle w:val="Style1"/>
        <w:numPr>
          <w:ilvl w:val="0"/>
          <w:numId w:val="26"/>
        </w:numPr>
        <w:spacing w:after="300" w:line="240" w:lineRule="auto"/>
        <w:rPr>
          <w:rFonts w:cstheme="minorHAnsi"/>
          <w:sz w:val="24"/>
          <w:szCs w:val="24"/>
          <w:highlight w:val="yellow"/>
        </w:rPr>
      </w:pPr>
      <w:r w:rsidRPr="00565DA9">
        <w:rPr>
          <w:rFonts w:cstheme="minorHAnsi"/>
          <w:sz w:val="24"/>
          <w:szCs w:val="24"/>
          <w:highlight w:val="yellow"/>
        </w:rPr>
        <w:t>La force de travail au Burkina Faso….</w:t>
      </w:r>
    </w:p>
    <w:p w:rsidR="00E970C0" w:rsidRPr="00A56243" w:rsidRDefault="00E970C0" w:rsidP="00E970C0">
      <w:pPr>
        <w:pStyle w:val="Paragraphedeliste"/>
        <w:widowControl w:val="0"/>
        <w:autoSpaceDE w:val="0"/>
        <w:autoSpaceDN w:val="0"/>
        <w:adjustRightInd w:val="0"/>
        <w:spacing w:before="8" w:after="0" w:line="260" w:lineRule="exact"/>
        <w:jc w:val="both"/>
        <w:rPr>
          <w:rFonts w:cs="Calibri"/>
          <w:color w:val="000000"/>
          <w:spacing w:val="1"/>
          <w:position w:val="1"/>
          <w:sz w:val="24"/>
          <w:szCs w:val="24"/>
        </w:rPr>
      </w:pPr>
    </w:p>
    <w:p w:rsidR="00D95826" w:rsidRPr="00C46B35" w:rsidRDefault="00D95826" w:rsidP="004147B3">
      <w:pPr>
        <w:pStyle w:val="Titre1"/>
        <w:numPr>
          <w:ilvl w:val="0"/>
          <w:numId w:val="27"/>
        </w:numPr>
      </w:pPr>
      <w:r w:rsidRPr="00C46B35">
        <w:rPr>
          <w:spacing w:val="-3"/>
          <w:u w:val="thick"/>
        </w:rPr>
        <w:t>P</w:t>
      </w:r>
      <w:r w:rsidRPr="00C46B35">
        <w:rPr>
          <w:u w:val="thick"/>
        </w:rPr>
        <w:t>a</w:t>
      </w:r>
      <w:r w:rsidRPr="00C46B35">
        <w:rPr>
          <w:spacing w:val="1"/>
          <w:u w:val="thick"/>
        </w:rPr>
        <w:t>r</w:t>
      </w:r>
      <w:r w:rsidRPr="00C46B35">
        <w:rPr>
          <w:u w:val="thick"/>
        </w:rPr>
        <w:t>tie</w:t>
      </w:r>
      <w:r w:rsidRPr="00C46B35">
        <w:rPr>
          <w:spacing w:val="-1"/>
          <w:u w:val="thick"/>
        </w:rPr>
        <w:t xml:space="preserve"> </w:t>
      </w:r>
      <w:r w:rsidRPr="00C46B35">
        <w:rPr>
          <w:u w:val="thick"/>
        </w:rPr>
        <w:t xml:space="preserve">III </w:t>
      </w:r>
      <w:r>
        <w:t>: D</w:t>
      </w:r>
      <w:r w:rsidRPr="00C46B35">
        <w:t>is</w:t>
      </w:r>
      <w:r w:rsidRPr="00C46B35">
        <w:rPr>
          <w:spacing w:val="1"/>
        </w:rPr>
        <w:t>p</w:t>
      </w:r>
      <w:r w:rsidRPr="00C46B35">
        <w:t>ositio</w:t>
      </w:r>
      <w:r w:rsidRPr="00C46B35">
        <w:rPr>
          <w:spacing w:val="1"/>
        </w:rPr>
        <w:t>n</w:t>
      </w:r>
      <w:r w:rsidRPr="00C46B35">
        <w:t>s</w:t>
      </w:r>
      <w:r w:rsidRPr="00C46B35">
        <w:rPr>
          <w:spacing w:val="-2"/>
        </w:rPr>
        <w:t xml:space="preserve"> </w:t>
      </w:r>
      <w:r w:rsidRPr="00C46B35">
        <w:rPr>
          <w:spacing w:val="1"/>
        </w:rPr>
        <w:t>d</w:t>
      </w:r>
      <w:r w:rsidRPr="00C46B35">
        <w:t>e</w:t>
      </w:r>
      <w:r w:rsidRPr="00C46B35">
        <w:rPr>
          <w:spacing w:val="-1"/>
        </w:rPr>
        <w:t xml:space="preserve"> </w:t>
      </w:r>
      <w:r w:rsidRPr="00C46B35">
        <w:rPr>
          <w:spacing w:val="-3"/>
        </w:rPr>
        <w:t>m</w:t>
      </w:r>
      <w:r w:rsidRPr="00C46B35">
        <w:t>ise</w:t>
      </w:r>
      <w:r w:rsidRPr="00C46B35">
        <w:rPr>
          <w:spacing w:val="2"/>
        </w:rPr>
        <w:t xml:space="preserve"> </w:t>
      </w:r>
      <w:r w:rsidRPr="00C46B35">
        <w:rPr>
          <w:spacing w:val="-1"/>
        </w:rPr>
        <w:t>e</w:t>
      </w:r>
      <w:r w:rsidRPr="00C46B35">
        <w:t>n</w:t>
      </w:r>
      <w:r w:rsidRPr="00C46B35">
        <w:rPr>
          <w:spacing w:val="1"/>
        </w:rPr>
        <w:t xml:space="preserve"> </w:t>
      </w:r>
      <w:r w:rsidRPr="00C46B35">
        <w:t>œuvre</w:t>
      </w:r>
      <w:r w:rsidRPr="00C46B35">
        <w:rPr>
          <w:spacing w:val="-1"/>
        </w:rPr>
        <w:t xml:space="preserve"> </w:t>
      </w:r>
      <w:r w:rsidRPr="00C46B35">
        <w:rPr>
          <w:spacing w:val="1"/>
        </w:rPr>
        <w:t>e</w:t>
      </w:r>
      <w:r w:rsidRPr="00C46B35">
        <w:t>t de</w:t>
      </w:r>
      <w:r w:rsidRPr="00C46B35">
        <w:rPr>
          <w:spacing w:val="1"/>
        </w:rPr>
        <w:t xml:space="preserve"> </w:t>
      </w:r>
      <w:r w:rsidRPr="00C46B35">
        <w:t>s</w:t>
      </w:r>
      <w:r w:rsidRPr="00C46B35">
        <w:rPr>
          <w:spacing w:val="1"/>
        </w:rPr>
        <w:t>u</w:t>
      </w:r>
      <w:r w:rsidRPr="00C46B35">
        <w:t>ivi</w:t>
      </w:r>
      <w:r>
        <w:rPr>
          <w:spacing w:val="1"/>
        </w:rPr>
        <w:t>-</w:t>
      </w:r>
      <w:r w:rsidRPr="00C46B35">
        <w:rPr>
          <w:spacing w:val="-1"/>
        </w:rPr>
        <w:t>é</w:t>
      </w:r>
      <w:r w:rsidRPr="00C46B35">
        <w:t>val</w:t>
      </w:r>
      <w:r w:rsidRPr="00C46B35">
        <w:rPr>
          <w:spacing w:val="1"/>
        </w:rPr>
        <w:t>u</w:t>
      </w:r>
      <w:r w:rsidRPr="00C46B35">
        <w:t>a</w:t>
      </w:r>
      <w:r w:rsidRPr="00C46B35">
        <w:rPr>
          <w:spacing w:val="-1"/>
        </w:rPr>
        <w:t>t</w:t>
      </w:r>
      <w:r w:rsidRPr="00C46B35">
        <w:t>ion</w:t>
      </w:r>
    </w:p>
    <w:p w:rsidR="00A56243" w:rsidRDefault="00A56243" w:rsidP="00A56243">
      <w:pPr>
        <w:widowControl w:val="0"/>
        <w:autoSpaceDE w:val="0"/>
        <w:autoSpaceDN w:val="0"/>
        <w:adjustRightInd w:val="0"/>
        <w:spacing w:before="8" w:after="0" w:line="260" w:lineRule="exact"/>
        <w:rPr>
          <w:rFonts w:cstheme="minorHAnsi"/>
          <w:b/>
          <w:color w:val="000000"/>
          <w:sz w:val="24"/>
          <w:szCs w:val="24"/>
        </w:rPr>
      </w:pPr>
    </w:p>
    <w:p w:rsidR="00FB7E76" w:rsidRDefault="00FB7E76" w:rsidP="00FB7E76">
      <w:pPr>
        <w:pStyle w:val="Titre2"/>
        <w:numPr>
          <w:ilvl w:val="0"/>
          <w:numId w:val="26"/>
        </w:numPr>
        <w:jc w:val="both"/>
        <w:rPr>
          <w:rFonts w:ascii="Calibri" w:hAnsi="Calibri" w:cs="Calibri"/>
          <w:b w:val="0"/>
          <w:color w:val="000000"/>
          <w:sz w:val="24"/>
          <w:szCs w:val="24"/>
        </w:rPr>
      </w:pPr>
      <w:r w:rsidRPr="007002E3">
        <w:rPr>
          <w:rFonts w:ascii="Calibri" w:hAnsi="Calibri" w:cs="Calibri"/>
          <w:b w:val="0"/>
          <w:color w:val="000000"/>
          <w:sz w:val="24"/>
          <w:szCs w:val="24"/>
        </w:rPr>
        <w:t>La politique sectorielle de la santé  sera mise en œuvre par les Ministères impliqués (Ministère de la Santé, le Ministère de la femme  et la solidarité nationale et de la famille et le Ministère en charge de l’Agriculture et des aménagements hydrauliques) à travers les documents de référence qui guident l’action des trois départements ministériels dans l’accomplissement de leurs missions respectives. La  mise en œuvre de la politique tiendra compte des menaces et des contraintes identifiées par les parties prenantes. Les mécanismes de suivi et d’évaluation prenant en compte les principaux indicateurs seront exploités afin de mesurer chaque fois l’atteinte des résultats.</w:t>
      </w:r>
    </w:p>
    <w:p w:rsidR="00FB7E76" w:rsidRDefault="00FB7E76" w:rsidP="00A56243">
      <w:pPr>
        <w:widowControl w:val="0"/>
        <w:autoSpaceDE w:val="0"/>
        <w:autoSpaceDN w:val="0"/>
        <w:adjustRightInd w:val="0"/>
        <w:spacing w:before="8" w:after="0" w:line="260" w:lineRule="exact"/>
        <w:rPr>
          <w:rFonts w:cstheme="minorHAnsi"/>
          <w:b/>
          <w:color w:val="000000"/>
          <w:sz w:val="24"/>
          <w:szCs w:val="24"/>
        </w:rPr>
      </w:pPr>
    </w:p>
    <w:p w:rsidR="009D2701" w:rsidRDefault="006435DC" w:rsidP="006435DC">
      <w:pPr>
        <w:pStyle w:val="Titre2"/>
      </w:pPr>
      <w:r>
        <w:t>5.1.</w:t>
      </w:r>
      <w:r>
        <w:tab/>
      </w:r>
      <w:r w:rsidR="00D95826">
        <w:t xml:space="preserve">La promotion de la bonne gouvernance </w:t>
      </w:r>
      <w:r w:rsidR="009D2701">
        <w:t>e</w:t>
      </w:r>
    </w:p>
    <w:p w:rsidR="009D2701" w:rsidRDefault="009D2701" w:rsidP="00A56243">
      <w:pPr>
        <w:widowControl w:val="0"/>
        <w:autoSpaceDE w:val="0"/>
        <w:autoSpaceDN w:val="0"/>
        <w:adjustRightInd w:val="0"/>
        <w:spacing w:before="8" w:after="0" w:line="260" w:lineRule="exact"/>
        <w:rPr>
          <w:rFonts w:cstheme="minorHAnsi"/>
          <w:b/>
          <w:color w:val="000000"/>
          <w:sz w:val="24"/>
          <w:szCs w:val="24"/>
        </w:rPr>
      </w:pPr>
    </w:p>
    <w:p w:rsidR="00B52C0C" w:rsidRDefault="00B52C0C" w:rsidP="00B52C0C">
      <w:pPr>
        <w:widowControl w:val="0"/>
        <w:autoSpaceDE w:val="0"/>
        <w:autoSpaceDN w:val="0"/>
        <w:adjustRightInd w:val="0"/>
        <w:spacing w:before="8" w:after="0" w:line="260" w:lineRule="exact"/>
        <w:rPr>
          <w:rFonts w:asciiTheme="majorHAnsi" w:eastAsiaTheme="majorEastAsia" w:hAnsiTheme="majorHAnsi" w:cstheme="majorBidi"/>
          <w:b/>
          <w:bCs/>
          <w:i/>
          <w:iCs/>
          <w:color w:val="5B9BD5" w:themeColor="accent1"/>
          <w:sz w:val="24"/>
          <w:szCs w:val="24"/>
        </w:rPr>
      </w:pPr>
    </w:p>
    <w:p w:rsidR="00B52C0C" w:rsidRPr="006435DC" w:rsidRDefault="00B52C0C" w:rsidP="006435DC">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6435DC">
        <w:rPr>
          <w:rFonts w:cstheme="minorHAnsi"/>
          <w:color w:val="000000"/>
          <w:sz w:val="24"/>
          <w:szCs w:val="24"/>
        </w:rPr>
        <w:t>Il s’agit de : (i) rendre fonctionnel les organes délibératifs, (ii) changer de paradigme dans le secteur de la santé en faveur d’une meilleure intégration des différentes approches, (iii) améliorer la collaboration intersectorielle et multisectorielle</w:t>
      </w:r>
    </w:p>
    <w:p w:rsidR="00B52C0C" w:rsidRPr="006435DC" w:rsidRDefault="00B52C0C" w:rsidP="006435DC">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6435DC">
        <w:rPr>
          <w:rFonts w:cstheme="minorHAnsi"/>
          <w:color w:val="000000"/>
          <w:sz w:val="24"/>
          <w:szCs w:val="24"/>
        </w:rPr>
        <w:t>Dans le cadre d’une bonne exécution des politiques, plans, programmes et projets les organes délibérants doivent fonctionner de façon idoine. Au plan sectoriel la tenue et la participation effective des différents ministères ainsi que des autres acteurs aux réunions du CSD, GT et EF est un gage de succès.</w:t>
      </w:r>
      <w:r w:rsidRPr="006435DC">
        <w:rPr>
          <w:rFonts w:cs="Calibri"/>
          <w:color w:val="000000"/>
          <w:spacing w:val="1"/>
          <w:position w:val="1"/>
          <w:sz w:val="24"/>
          <w:szCs w:val="24"/>
        </w:rPr>
        <w:t xml:space="preserve"> </w:t>
      </w:r>
    </w:p>
    <w:p w:rsidR="00FB7E76" w:rsidRPr="004147B3" w:rsidRDefault="00FB7E76" w:rsidP="006435DC">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highlight w:val="yellow"/>
        </w:rPr>
      </w:pPr>
      <w:r w:rsidRPr="004147B3">
        <w:rPr>
          <w:rFonts w:cs="Calibri"/>
          <w:color w:val="000000"/>
          <w:spacing w:val="1"/>
          <w:position w:val="1"/>
          <w:sz w:val="24"/>
          <w:szCs w:val="24"/>
          <w:highlight w:val="yellow"/>
        </w:rPr>
        <w:t>L'organisation du Ministère de la santé ……</w:t>
      </w:r>
    </w:p>
    <w:p w:rsidR="00B52C0C" w:rsidRPr="007002E3" w:rsidRDefault="00B52C0C" w:rsidP="006435DC">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330C76">
        <w:rPr>
          <w:rFonts w:cs="Calibri"/>
          <w:color w:val="000000"/>
          <w:spacing w:val="1"/>
          <w:position w:val="1"/>
          <w:sz w:val="24"/>
          <w:szCs w:val="24"/>
        </w:rPr>
        <w:t>poursuivre les réformes insti</w:t>
      </w:r>
      <w:r>
        <w:rPr>
          <w:rFonts w:cs="Calibri"/>
          <w:color w:val="000000"/>
          <w:spacing w:val="1"/>
          <w:position w:val="1"/>
          <w:sz w:val="24"/>
          <w:szCs w:val="24"/>
        </w:rPr>
        <w:t xml:space="preserve">tutionnel et règlementaire et </w:t>
      </w:r>
      <w:r w:rsidRPr="00330C76">
        <w:rPr>
          <w:rFonts w:cs="Calibri"/>
          <w:color w:val="000000"/>
          <w:spacing w:val="1"/>
          <w:position w:val="1"/>
          <w:sz w:val="24"/>
          <w:szCs w:val="24"/>
        </w:rPr>
        <w:t xml:space="preserve">améliorer le modèle de district sanitaire dans le contexte de la décentralisation. Les effets attendus de cet </w:t>
      </w:r>
      <w:r w:rsidRPr="00330C76">
        <w:rPr>
          <w:rFonts w:cs="Calibri"/>
          <w:color w:val="000000"/>
          <w:spacing w:val="1"/>
          <w:position w:val="1"/>
          <w:sz w:val="24"/>
          <w:szCs w:val="24"/>
        </w:rPr>
        <w:lastRenderedPageBreak/>
        <w:t>objectif sont d’offrir des services de santé efficaces et efficients; de protéger la population contre les risques sanitaires, alimentaires et d’améliorer la gestion du système de santé décentralisé. Pour ce faire, il s’agira d’améliorer la régulation du secteur pharmaceutique ; de valoriser la médecine et pharmacopée traditionnelles ; d’assurer la sécurité et la santé au travail ; d’assurer l’assurance qualité des soins ; de mettre en place une fonction publique hospitalière ; d’adapter le modèle de district sanitaire au contexte de la décentralisation.</w:t>
      </w:r>
    </w:p>
    <w:p w:rsidR="00B52C0C" w:rsidRPr="001C3C4A" w:rsidRDefault="00B52C0C" w:rsidP="006435DC">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330C76">
        <w:rPr>
          <w:rFonts w:cs="Calibri"/>
          <w:color w:val="000000"/>
          <w:spacing w:val="1"/>
          <w:position w:val="1"/>
          <w:sz w:val="24"/>
          <w:szCs w:val="24"/>
        </w:rPr>
        <w:t>Il s’agit d’obtenir un changement de paradigme pour la planification de la santé au profit d’une approche prévention de la maladie, promotion et protection de la santé. L’effet attendu, est de favoriser un meilleur état de santé des populations (baisse de la charge de morbidité et la mortalité). Pour ce faire, la planification des actions en matière de santé devra mieux cibler la prévention de la maladie, la promotion et la protection de la santé.</w:t>
      </w:r>
    </w:p>
    <w:p w:rsidR="001C3C4A" w:rsidRPr="007002E3" w:rsidRDefault="001C3C4A" w:rsidP="006435DC">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Pr>
          <w:rFonts w:cs="Calibri"/>
          <w:color w:val="000000"/>
          <w:spacing w:val="1"/>
          <w:position w:val="1"/>
          <w:sz w:val="24"/>
          <w:szCs w:val="24"/>
        </w:rPr>
        <w:t>Le district sanitaire s'</w:t>
      </w:r>
      <w:r w:rsidR="004914F1">
        <w:rPr>
          <w:rFonts w:cs="Calibri"/>
          <w:color w:val="000000"/>
          <w:spacing w:val="1"/>
          <w:position w:val="1"/>
          <w:sz w:val="24"/>
          <w:szCs w:val="24"/>
        </w:rPr>
        <w:t>intégrera</w:t>
      </w:r>
      <w:r>
        <w:rPr>
          <w:rFonts w:cs="Calibri"/>
          <w:color w:val="000000"/>
          <w:spacing w:val="1"/>
          <w:position w:val="1"/>
          <w:sz w:val="24"/>
          <w:szCs w:val="24"/>
        </w:rPr>
        <w:t xml:space="preserve"> au contexte de la décentralisation </w:t>
      </w:r>
      <w:r w:rsidR="00FB7E76">
        <w:rPr>
          <w:rFonts w:cs="Calibri"/>
          <w:color w:val="000000"/>
          <w:spacing w:val="1"/>
          <w:position w:val="1"/>
          <w:sz w:val="24"/>
          <w:szCs w:val="24"/>
        </w:rPr>
        <w:t>par la création d'une structure intercommunale de soutien aux services de santé de premier niveau.</w:t>
      </w:r>
      <w:r>
        <w:rPr>
          <w:rFonts w:cs="Calibri"/>
          <w:color w:val="000000"/>
          <w:spacing w:val="1"/>
          <w:position w:val="1"/>
          <w:sz w:val="24"/>
          <w:szCs w:val="24"/>
        </w:rPr>
        <w:t xml:space="preserve"> </w:t>
      </w:r>
    </w:p>
    <w:p w:rsidR="00B52C0C" w:rsidRPr="00330C76" w:rsidRDefault="00B52C0C" w:rsidP="006435DC">
      <w:pPr>
        <w:pStyle w:val="Paragraphedeliste"/>
        <w:widowControl w:val="0"/>
        <w:numPr>
          <w:ilvl w:val="0"/>
          <w:numId w:val="26"/>
        </w:numPr>
        <w:autoSpaceDE w:val="0"/>
        <w:autoSpaceDN w:val="0"/>
        <w:adjustRightInd w:val="0"/>
        <w:spacing w:before="8" w:after="0" w:line="260" w:lineRule="exact"/>
        <w:jc w:val="both"/>
        <w:rPr>
          <w:rFonts w:cs="Calibri"/>
          <w:color w:val="000000"/>
          <w:spacing w:val="1"/>
          <w:position w:val="1"/>
          <w:sz w:val="24"/>
          <w:szCs w:val="24"/>
        </w:rPr>
      </w:pPr>
      <w:r w:rsidRPr="00330C76">
        <w:rPr>
          <w:rFonts w:cs="Calibri"/>
          <w:color w:val="000000"/>
          <w:spacing w:val="1"/>
          <w:position w:val="1"/>
          <w:sz w:val="24"/>
          <w:szCs w:val="24"/>
        </w:rPr>
        <w:t>renforcer la multi-</w:t>
      </w:r>
      <w:proofErr w:type="spellStart"/>
      <w:r w:rsidRPr="00330C76">
        <w:rPr>
          <w:rFonts w:cs="Calibri"/>
          <w:color w:val="000000"/>
          <w:spacing w:val="1"/>
          <w:position w:val="1"/>
          <w:sz w:val="24"/>
          <w:szCs w:val="24"/>
        </w:rPr>
        <w:t>sectorialité</w:t>
      </w:r>
      <w:proofErr w:type="spellEnd"/>
      <w:r w:rsidRPr="00330C76">
        <w:rPr>
          <w:rFonts w:cs="Calibri"/>
          <w:color w:val="000000"/>
          <w:spacing w:val="1"/>
          <w:position w:val="1"/>
          <w:sz w:val="24"/>
          <w:szCs w:val="24"/>
        </w:rPr>
        <w:t xml:space="preserve"> (inter et intra) par la collaboration avec les autres ministères ayant une action sur les déterminants de santé. Les effets attendus sont : le pilotage et le soutien du secteur de la santé sont renforcés ; une meilleure contribution des autres secteurs à la résolution des problèmes de santé. Cela passera par la fonctionnalité effective du cadre sectoriel de dialogue ainsi que l’existence de cadre </w:t>
      </w:r>
      <w:proofErr w:type="spellStart"/>
      <w:r w:rsidRPr="00330C76">
        <w:rPr>
          <w:rFonts w:cs="Calibri"/>
          <w:color w:val="000000"/>
          <w:spacing w:val="1"/>
          <w:position w:val="1"/>
          <w:sz w:val="24"/>
          <w:szCs w:val="24"/>
        </w:rPr>
        <w:t>multi-sectoriel</w:t>
      </w:r>
      <w:proofErr w:type="spellEnd"/>
      <w:r w:rsidRPr="00330C76">
        <w:rPr>
          <w:rFonts w:cs="Calibri"/>
          <w:color w:val="000000"/>
          <w:spacing w:val="1"/>
          <w:position w:val="1"/>
          <w:sz w:val="24"/>
          <w:szCs w:val="24"/>
        </w:rPr>
        <w:t xml:space="preserve"> fonctionnel d’échange et de collaboration avec les autres ministères ayant une action sur les déterminants de santé.</w:t>
      </w:r>
    </w:p>
    <w:p w:rsidR="00A56243" w:rsidRDefault="00A56243" w:rsidP="00A56243">
      <w:pPr>
        <w:widowControl w:val="0"/>
        <w:autoSpaceDE w:val="0"/>
        <w:autoSpaceDN w:val="0"/>
        <w:adjustRightInd w:val="0"/>
        <w:spacing w:before="8" w:after="0" w:line="260" w:lineRule="exact"/>
        <w:rPr>
          <w:rFonts w:cstheme="minorHAnsi"/>
          <w:b/>
          <w:color w:val="000000"/>
          <w:sz w:val="24"/>
          <w:szCs w:val="24"/>
        </w:rPr>
      </w:pPr>
    </w:p>
    <w:p w:rsidR="00B52C0C" w:rsidRPr="009D2701" w:rsidRDefault="00057D7F" w:rsidP="00057D7F">
      <w:pPr>
        <w:pStyle w:val="Titre2"/>
      </w:pPr>
      <w:r>
        <w:t>5.2.</w:t>
      </w:r>
      <w:r>
        <w:tab/>
      </w:r>
      <w:r w:rsidR="004147B3">
        <w:t>L’amélioration</w:t>
      </w:r>
      <w:r w:rsidR="00D95826">
        <w:t xml:space="preserve"> de</w:t>
      </w:r>
      <w:r w:rsidR="00012703">
        <w:t xml:space="preserve"> la disponibilité et la gestion efficiente des ressources</w:t>
      </w:r>
      <w:r w:rsidR="00D95826">
        <w:t xml:space="preserve"> sanitaires</w:t>
      </w:r>
    </w:p>
    <w:p w:rsidR="00D2269A" w:rsidRPr="00D2269A" w:rsidRDefault="00D2269A" w:rsidP="00C46B35">
      <w:pPr>
        <w:widowControl w:val="0"/>
        <w:autoSpaceDE w:val="0"/>
        <w:autoSpaceDN w:val="0"/>
        <w:adjustRightInd w:val="0"/>
        <w:spacing w:before="8" w:after="0" w:line="260" w:lineRule="exact"/>
        <w:rPr>
          <w:rFonts w:asciiTheme="majorHAnsi" w:eastAsiaTheme="majorEastAsia" w:hAnsiTheme="majorHAnsi" w:cstheme="majorBidi"/>
          <w:b/>
          <w:bCs/>
          <w:i/>
          <w:iCs/>
          <w:color w:val="5B9BD5" w:themeColor="accent1"/>
          <w:sz w:val="24"/>
          <w:szCs w:val="24"/>
        </w:rPr>
      </w:pPr>
    </w:p>
    <w:p w:rsidR="00DB64CD" w:rsidRPr="00057D7F" w:rsidRDefault="00740576" w:rsidP="00057D7F">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057D7F">
        <w:rPr>
          <w:rFonts w:cstheme="minorHAnsi"/>
          <w:color w:val="000000"/>
          <w:sz w:val="24"/>
          <w:szCs w:val="24"/>
        </w:rPr>
        <w:t xml:space="preserve">Il s’agit de : (i) renforcer </w:t>
      </w:r>
      <w:r w:rsidR="001C3C4A" w:rsidRPr="00057D7F">
        <w:rPr>
          <w:rFonts w:cstheme="minorHAnsi"/>
          <w:color w:val="000000"/>
          <w:sz w:val="24"/>
          <w:szCs w:val="24"/>
        </w:rPr>
        <w:t>la qualité et la répartition régionale d</w:t>
      </w:r>
      <w:r w:rsidRPr="00057D7F">
        <w:rPr>
          <w:rFonts w:cstheme="minorHAnsi"/>
          <w:color w:val="000000"/>
          <w:sz w:val="24"/>
          <w:szCs w:val="24"/>
        </w:rPr>
        <w:t>es ressources humaines</w:t>
      </w:r>
      <w:r w:rsidR="004147B3">
        <w:rPr>
          <w:rFonts w:cstheme="minorHAnsi"/>
          <w:color w:val="000000"/>
          <w:sz w:val="24"/>
          <w:szCs w:val="24"/>
        </w:rPr>
        <w:t xml:space="preserve">, </w:t>
      </w:r>
      <w:r w:rsidR="007118CF" w:rsidRPr="00057D7F">
        <w:rPr>
          <w:rFonts w:cstheme="minorHAnsi"/>
          <w:color w:val="000000"/>
          <w:sz w:val="24"/>
          <w:szCs w:val="24"/>
        </w:rPr>
        <w:t xml:space="preserve">(ii) </w:t>
      </w:r>
      <w:r w:rsidRPr="00057D7F">
        <w:rPr>
          <w:rFonts w:cstheme="minorHAnsi"/>
          <w:color w:val="000000"/>
          <w:sz w:val="24"/>
          <w:szCs w:val="24"/>
        </w:rPr>
        <w:t>renforcer les plateaux tec</w:t>
      </w:r>
      <w:r w:rsidR="007118CF" w:rsidRPr="00057D7F">
        <w:rPr>
          <w:rFonts w:cstheme="minorHAnsi"/>
          <w:color w:val="000000"/>
          <w:sz w:val="24"/>
          <w:szCs w:val="24"/>
        </w:rPr>
        <w:t>hniques à tous les niveaux</w:t>
      </w:r>
      <w:r w:rsidR="001C3C4A" w:rsidRPr="00057D7F">
        <w:rPr>
          <w:rFonts w:cstheme="minorHAnsi"/>
          <w:color w:val="000000"/>
          <w:sz w:val="24"/>
          <w:szCs w:val="24"/>
        </w:rPr>
        <w:t xml:space="preserve"> et leur maintenance (iii) d'améliorer la disponibilité et la qualité des médicaments, réactifs et consommables médicaux</w:t>
      </w:r>
      <w:r w:rsidR="00E74AE4" w:rsidRPr="00057D7F">
        <w:rPr>
          <w:rFonts w:cstheme="minorHAnsi"/>
          <w:color w:val="000000"/>
          <w:sz w:val="24"/>
          <w:szCs w:val="24"/>
        </w:rPr>
        <w:t>.</w:t>
      </w:r>
      <w:r w:rsidR="00FB7E76" w:rsidRPr="00057D7F">
        <w:rPr>
          <w:rFonts w:cstheme="minorHAnsi"/>
          <w:color w:val="000000"/>
          <w:sz w:val="24"/>
          <w:szCs w:val="24"/>
        </w:rPr>
        <w:t xml:space="preserve"> (iv) améliorer les technologies d'information et de communication </w:t>
      </w:r>
    </w:p>
    <w:p w:rsidR="00DB64CD" w:rsidRPr="00DB64CD" w:rsidRDefault="00DB64CD" w:rsidP="00057D7F">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DB64CD">
        <w:rPr>
          <w:sz w:val="24"/>
          <w:szCs w:val="24"/>
          <w:lang w:val="fr-BE"/>
        </w:rPr>
        <w:t>La production des Ressources Humaines  (en qualité et quantité) et la répartition du personnel seront mieux coordonnées en vue d'atteindre les nouvelles normes en personnel.</w:t>
      </w:r>
    </w:p>
    <w:p w:rsidR="00DB64CD" w:rsidRPr="00DB64CD" w:rsidRDefault="00DB64CD" w:rsidP="00057D7F">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DB64CD">
        <w:rPr>
          <w:sz w:val="24"/>
          <w:szCs w:val="24"/>
          <w:lang w:val="fr-BE"/>
        </w:rPr>
        <w:t>La DRH dispose maintenant d’une meilleure information sur la disponibilité effective du personnel dans les régions. Cette base de données doit être élargie aux données sur l’historique d’affectations et de formation des agents afin d’en tenir compte dans la gestion de leur carrière</w:t>
      </w:r>
    </w:p>
    <w:p w:rsidR="00DB64CD" w:rsidRPr="00DB64CD" w:rsidRDefault="00DB64CD" w:rsidP="00057D7F">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DB64CD">
        <w:rPr>
          <w:sz w:val="24"/>
          <w:szCs w:val="24"/>
          <w:lang w:val="fr-BE"/>
        </w:rPr>
        <w:t>La retenue du personnel nécessite une adaptation des conditions du logement à chaque niveau, des indemnités d’astreinte (discrimination positive en faveur des zones difficiles) et une mise à niveau du plateau technique des CHR, CMA, CM et CSPS. Avant tout, la rétention et la fidélisation du personnel exige un traitement équitable de tout dossier d’affectation.</w:t>
      </w:r>
    </w:p>
    <w:p w:rsidR="00E74AE4" w:rsidRPr="00E74AE4" w:rsidRDefault="00E74AE4" w:rsidP="00057D7F">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E74AE4">
        <w:rPr>
          <w:rFonts w:cs="Calibri"/>
          <w:color w:val="000000"/>
          <w:spacing w:val="1"/>
          <w:position w:val="1"/>
          <w:sz w:val="24"/>
          <w:szCs w:val="24"/>
        </w:rPr>
        <w:t>Con</w:t>
      </w:r>
      <w:r>
        <w:rPr>
          <w:rFonts w:cs="Calibri"/>
          <w:color w:val="000000"/>
          <w:spacing w:val="1"/>
          <w:position w:val="1"/>
          <w:sz w:val="24"/>
          <w:szCs w:val="24"/>
        </w:rPr>
        <w:t>cernant le volet infrastructure et équipement</w:t>
      </w:r>
      <w:r w:rsidRPr="00E74AE4">
        <w:rPr>
          <w:rFonts w:cs="Calibri"/>
          <w:color w:val="000000"/>
          <w:spacing w:val="1"/>
          <w:position w:val="1"/>
          <w:sz w:val="24"/>
          <w:szCs w:val="24"/>
        </w:rPr>
        <w:t>, Il s’agit d’améliorer le rayon moyen d’action théorique et d’offrir des soins spécialisés de qualité aux populations.  Cela passera d’une part par la réalisation d’infrastructures sanitaires de premier niveau au profit des populations (construction de nouveaux CSPS/CM, et transformation des CSPS des chefs-lieux des communes rurales en CM</w:t>
      </w:r>
      <w:r>
        <w:rPr>
          <w:rFonts w:cs="Calibri"/>
          <w:color w:val="000000"/>
          <w:spacing w:val="1"/>
          <w:position w:val="1"/>
          <w:sz w:val="24"/>
          <w:szCs w:val="24"/>
        </w:rPr>
        <w:t>/CMA</w:t>
      </w:r>
      <w:r w:rsidRPr="00E74AE4">
        <w:rPr>
          <w:rFonts w:cs="Calibri"/>
          <w:color w:val="000000"/>
          <w:spacing w:val="1"/>
          <w:position w:val="1"/>
          <w:sz w:val="24"/>
          <w:szCs w:val="24"/>
        </w:rPr>
        <w:t>).  D’autre part, par la réalisation d’infrastructures sanitai</w:t>
      </w:r>
      <w:r>
        <w:rPr>
          <w:rFonts w:cs="Calibri"/>
          <w:color w:val="000000"/>
          <w:spacing w:val="1"/>
          <w:position w:val="1"/>
          <w:sz w:val="24"/>
          <w:szCs w:val="24"/>
        </w:rPr>
        <w:t>res des</w:t>
      </w:r>
      <w:r w:rsidRPr="00E74AE4">
        <w:rPr>
          <w:rFonts w:cs="Calibri"/>
          <w:color w:val="000000"/>
          <w:spacing w:val="1"/>
          <w:position w:val="1"/>
          <w:sz w:val="24"/>
          <w:szCs w:val="24"/>
        </w:rPr>
        <w:t xml:space="preserve"> deuxième et troisième niveau</w:t>
      </w:r>
      <w:r>
        <w:rPr>
          <w:rFonts w:cs="Calibri"/>
          <w:color w:val="000000"/>
          <w:spacing w:val="1"/>
          <w:position w:val="1"/>
          <w:sz w:val="24"/>
          <w:szCs w:val="24"/>
        </w:rPr>
        <w:t>x</w:t>
      </w:r>
      <w:r w:rsidRPr="00E74AE4">
        <w:rPr>
          <w:rFonts w:cs="Calibri"/>
          <w:color w:val="000000"/>
          <w:spacing w:val="1"/>
          <w:position w:val="1"/>
          <w:sz w:val="24"/>
          <w:szCs w:val="24"/>
        </w:rPr>
        <w:t xml:space="preserve"> par la construction  et équipement des centres spécialisés de soins et la transformation des CHR en CHU. Par ailleurs, les infrastructures existantes y compris les laboratoires seront normalisées/réhabilitées et dotées de plateaux techniques adéquats ainsi que de la logistique appropriée. Une place de choix sera accordée au développement de</w:t>
      </w:r>
      <w:r>
        <w:rPr>
          <w:rFonts w:cs="Calibri"/>
          <w:color w:val="000000"/>
          <w:spacing w:val="1"/>
          <w:position w:val="1"/>
          <w:sz w:val="24"/>
          <w:szCs w:val="24"/>
        </w:rPr>
        <w:t>s</w:t>
      </w:r>
      <w:r w:rsidRPr="00E74AE4">
        <w:rPr>
          <w:rFonts w:cs="Calibri"/>
          <w:color w:val="000000"/>
          <w:spacing w:val="1"/>
          <w:position w:val="1"/>
          <w:sz w:val="24"/>
          <w:szCs w:val="24"/>
        </w:rPr>
        <w:t xml:space="preserve">  technologies de l’information et de communication et autres technologies sanitaires </w:t>
      </w:r>
      <w:r w:rsidRPr="00E74AE4">
        <w:rPr>
          <w:rFonts w:cs="Calibri"/>
          <w:color w:val="000000"/>
          <w:spacing w:val="1"/>
          <w:position w:val="1"/>
          <w:sz w:val="24"/>
          <w:szCs w:val="24"/>
        </w:rPr>
        <w:lastRenderedPageBreak/>
        <w:t xml:space="preserve">comme la télésanté. En outre, une politique de maintenance </w:t>
      </w:r>
      <w:r>
        <w:rPr>
          <w:rFonts w:cs="Calibri"/>
          <w:color w:val="000000"/>
          <w:spacing w:val="1"/>
          <w:position w:val="1"/>
          <w:sz w:val="24"/>
          <w:szCs w:val="24"/>
        </w:rPr>
        <w:t xml:space="preserve">des bâtiments et </w:t>
      </w:r>
      <w:r w:rsidRPr="00E74AE4">
        <w:rPr>
          <w:rFonts w:cs="Calibri"/>
          <w:color w:val="000000"/>
          <w:spacing w:val="1"/>
          <w:position w:val="1"/>
          <w:sz w:val="24"/>
          <w:szCs w:val="24"/>
        </w:rPr>
        <w:t>équipement</w:t>
      </w:r>
      <w:r>
        <w:rPr>
          <w:rFonts w:cs="Calibri"/>
          <w:color w:val="000000"/>
          <w:spacing w:val="1"/>
          <w:position w:val="1"/>
          <w:sz w:val="24"/>
          <w:szCs w:val="24"/>
        </w:rPr>
        <w:t>s biomédicaux</w:t>
      </w:r>
      <w:r w:rsidRPr="00E74AE4">
        <w:rPr>
          <w:rFonts w:cs="Calibri"/>
          <w:color w:val="000000"/>
          <w:spacing w:val="1"/>
          <w:position w:val="1"/>
          <w:sz w:val="24"/>
          <w:szCs w:val="24"/>
        </w:rPr>
        <w:t xml:space="preserve"> sera élaborée et mise en œuvre.</w:t>
      </w:r>
    </w:p>
    <w:p w:rsidR="00BD3B3F" w:rsidRPr="00DB64CD" w:rsidRDefault="00E74AE4" w:rsidP="00057D7F">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C349D0">
        <w:rPr>
          <w:rFonts w:cs="Calibri"/>
          <w:color w:val="000000"/>
          <w:spacing w:val="1"/>
          <w:position w:val="1"/>
          <w:sz w:val="24"/>
          <w:szCs w:val="24"/>
        </w:rPr>
        <w:t>Concernant les produits de santé, il s’agira d’amélior</w:t>
      </w:r>
      <w:r>
        <w:rPr>
          <w:rFonts w:cs="Calibri"/>
          <w:color w:val="000000"/>
          <w:spacing w:val="1"/>
          <w:position w:val="1"/>
          <w:sz w:val="24"/>
          <w:szCs w:val="24"/>
        </w:rPr>
        <w:t xml:space="preserve">er l’accès des populations à des produits de santé de qualité (médicaments, réactifs de laboratoire, produits sanguins labiles, etc.). Cela </w:t>
      </w:r>
      <w:r w:rsidRPr="00C349D0">
        <w:rPr>
          <w:rFonts w:cs="Calibri"/>
          <w:color w:val="000000"/>
          <w:spacing w:val="1"/>
          <w:position w:val="1"/>
          <w:sz w:val="24"/>
          <w:szCs w:val="24"/>
        </w:rPr>
        <w:t xml:space="preserve">nécessite de  renforcer le cadre institutionnel et juridique  du secteur pharmaceutique ; </w:t>
      </w:r>
      <w:r>
        <w:rPr>
          <w:rFonts w:cs="Calibri"/>
          <w:color w:val="000000"/>
          <w:spacing w:val="1"/>
          <w:position w:val="1"/>
          <w:sz w:val="24"/>
          <w:szCs w:val="24"/>
        </w:rPr>
        <w:t>de développer la production locale en médicaments y compris ceux de la médecine et pharmacopée traditionnelle ; de renforcer le dispositif de contrôle qualité des produits de santé ; d’éradiquer les contrefaçons et les marchés illicites de médicaments ; d‘opérationnaliser les pharmacie</w:t>
      </w:r>
      <w:r w:rsidR="00677AB5">
        <w:rPr>
          <w:rFonts w:cs="Calibri"/>
          <w:color w:val="000000"/>
          <w:spacing w:val="1"/>
          <w:position w:val="1"/>
          <w:sz w:val="24"/>
          <w:szCs w:val="24"/>
        </w:rPr>
        <w:t>s</w:t>
      </w:r>
      <w:r>
        <w:rPr>
          <w:rFonts w:cs="Calibri"/>
          <w:color w:val="000000"/>
          <w:spacing w:val="1"/>
          <w:position w:val="1"/>
          <w:sz w:val="24"/>
          <w:szCs w:val="24"/>
        </w:rPr>
        <w:t xml:space="preserve"> hospitalière</w:t>
      </w:r>
      <w:r w:rsidR="00677AB5">
        <w:rPr>
          <w:rFonts w:cs="Calibri"/>
          <w:color w:val="000000"/>
          <w:spacing w:val="1"/>
          <w:position w:val="1"/>
          <w:sz w:val="24"/>
          <w:szCs w:val="24"/>
        </w:rPr>
        <w:t>s.</w:t>
      </w:r>
      <w:r>
        <w:rPr>
          <w:rFonts w:cs="Calibri"/>
          <w:color w:val="000000"/>
          <w:spacing w:val="1"/>
          <w:position w:val="1"/>
          <w:sz w:val="24"/>
          <w:szCs w:val="24"/>
        </w:rPr>
        <w:t xml:space="preserve"> En outre, tout en développant la recherche dans le domaine pharmaceutique, il conviendra de mettre l’accent sur la promotion de l’</w:t>
      </w:r>
      <w:r w:rsidRPr="0092628A">
        <w:rPr>
          <w:rFonts w:cs="Calibri"/>
          <w:color w:val="000000"/>
          <w:spacing w:val="1"/>
          <w:position w:val="1"/>
          <w:sz w:val="24"/>
          <w:szCs w:val="24"/>
        </w:rPr>
        <w:t>usage rationnel</w:t>
      </w:r>
      <w:r>
        <w:rPr>
          <w:rFonts w:cs="Calibri"/>
          <w:color w:val="000000"/>
          <w:spacing w:val="1"/>
          <w:position w:val="1"/>
          <w:sz w:val="24"/>
          <w:szCs w:val="24"/>
        </w:rPr>
        <w:t xml:space="preserve"> des médicaments, la  pharmacovigilance et la surveillance des résistances aux médicaments comme les antibiotiques, les antiviraux et les antiparasitaires</w:t>
      </w:r>
      <w:r w:rsidR="00DB64CD">
        <w:rPr>
          <w:rFonts w:cs="Calibri"/>
          <w:color w:val="000000"/>
          <w:spacing w:val="1"/>
          <w:position w:val="1"/>
          <w:sz w:val="24"/>
          <w:szCs w:val="24"/>
        </w:rPr>
        <w:t>.</w:t>
      </w:r>
    </w:p>
    <w:p w:rsidR="00DB64CD" w:rsidRPr="00FB7E76" w:rsidRDefault="00DB64CD" w:rsidP="00057D7F">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DB64CD">
        <w:rPr>
          <w:sz w:val="24"/>
          <w:szCs w:val="24"/>
          <w:lang w:val="fr-BE"/>
        </w:rPr>
        <w:t>Une agence de réglementation pharmaceutique  mettant en œuvre l’ensemble des fonctions réglementaires sera créée, mettant en œuvre l’ensemble des fonctions règlementaires. Cette agence doit garantir des médicaments de qualité, sûrs, efficaces et accessibles, s’inscrit dans la perspective AMA. Ceci Implique une restructuration du secteur.</w:t>
      </w:r>
    </w:p>
    <w:p w:rsidR="00DB64CD" w:rsidRPr="00DB64CD" w:rsidRDefault="00DB64CD" w:rsidP="00057D7F">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DB64CD">
        <w:rPr>
          <w:sz w:val="24"/>
          <w:szCs w:val="24"/>
          <w:lang w:val="fr-BE"/>
        </w:rPr>
        <w:t>La mise à niveau de la gestion  logistique (capacité de stockage, infrastructures, système d’information, comptes bancaire pharmacie ….) des DRD  et des pharmacies hospitalières  devront permettre, leur solvabilité, leur conformité à la  règlementation  pharmaceutique et un Système d'information de gestion logistique harmonisé et intégré.</w:t>
      </w:r>
    </w:p>
    <w:p w:rsidR="00DB64CD" w:rsidRPr="00DB64CD" w:rsidRDefault="00DB64CD" w:rsidP="00057D7F">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DB64CD">
        <w:rPr>
          <w:sz w:val="24"/>
          <w:szCs w:val="24"/>
          <w:lang w:val="fr-BE"/>
        </w:rPr>
        <w:t>Une plateforme d’achat en ligne avec un système de preuve de solvabilité ou  dépôt bancaire pour l’approvisionnement en médicaments pré qualifiés et homologués sera progressivement mise en place. Dans cette plateforme l'administrateur sera la DSAP, les fournisseurs seront les grossistes publics et privés, les clients seront les DRD et le distributeur sera la CAMEG)</w:t>
      </w:r>
    </w:p>
    <w:p w:rsidR="00DB64CD" w:rsidRPr="00DB64CD" w:rsidRDefault="00DB64CD" w:rsidP="00057D7F">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DB64CD">
        <w:rPr>
          <w:sz w:val="24"/>
          <w:szCs w:val="24"/>
          <w:lang w:val="fr-BE"/>
        </w:rPr>
        <w:t>Un plan d'approvisionnement national fournira la quantification des besoins annuels de l'ensemble des médicaments essentiels génériques et le système d’information logistique sera opérationnalisé</w:t>
      </w:r>
      <w:r>
        <w:rPr>
          <w:lang w:val="fr-BE"/>
        </w:rPr>
        <w:t>.</w:t>
      </w:r>
    </w:p>
    <w:p w:rsidR="00DB64CD" w:rsidRPr="00FB7E76" w:rsidRDefault="00DB64CD" w:rsidP="00057D7F">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Pr>
          <w:rFonts w:cs="Calibri"/>
          <w:color w:val="000000"/>
          <w:spacing w:val="1"/>
          <w:position w:val="1"/>
          <w:sz w:val="24"/>
          <w:szCs w:val="24"/>
        </w:rPr>
        <w:t>L</w:t>
      </w:r>
      <w:r w:rsidRPr="00C349D0">
        <w:rPr>
          <w:rFonts w:cs="Calibri"/>
          <w:color w:val="000000"/>
          <w:spacing w:val="1"/>
          <w:position w:val="1"/>
          <w:sz w:val="24"/>
          <w:szCs w:val="24"/>
        </w:rPr>
        <w:t xml:space="preserve">es capacités du Centre national de transfusion sanguine et de ses démembrements </w:t>
      </w:r>
      <w:r>
        <w:rPr>
          <w:rFonts w:cs="Calibri"/>
          <w:color w:val="000000"/>
          <w:spacing w:val="1"/>
          <w:position w:val="1"/>
          <w:sz w:val="24"/>
          <w:szCs w:val="24"/>
        </w:rPr>
        <w:t xml:space="preserve">seront renforcés </w:t>
      </w:r>
      <w:r w:rsidRPr="00C349D0">
        <w:rPr>
          <w:rFonts w:cs="Calibri"/>
          <w:color w:val="000000"/>
          <w:spacing w:val="1"/>
          <w:position w:val="1"/>
          <w:sz w:val="24"/>
          <w:szCs w:val="24"/>
        </w:rPr>
        <w:t>afin d’améliorer l’approvisionnement et de la</w:t>
      </w:r>
      <w:r>
        <w:rPr>
          <w:rFonts w:cs="Calibri"/>
          <w:color w:val="000000"/>
          <w:spacing w:val="1"/>
          <w:position w:val="1"/>
          <w:sz w:val="24"/>
          <w:szCs w:val="24"/>
        </w:rPr>
        <w:t xml:space="preserve"> satisfaction des besoins en produits sanguins. La stratégie de recrutement et de fidélisation des donneurs bénévoles sera renforcée notamment par une meilleure reconnaissance de leur statut.</w:t>
      </w:r>
    </w:p>
    <w:p w:rsidR="00FB7E76" w:rsidRPr="00DB64CD" w:rsidRDefault="00FB7E76" w:rsidP="00057D7F">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Pr>
          <w:sz w:val="24"/>
          <w:szCs w:val="24"/>
          <w:lang w:val="fr-BE"/>
        </w:rPr>
        <w:t xml:space="preserve">Pour la </w:t>
      </w:r>
      <w:r w:rsidR="00057D7F">
        <w:rPr>
          <w:sz w:val="24"/>
          <w:szCs w:val="24"/>
          <w:lang w:val="fr-BE"/>
        </w:rPr>
        <w:t>disponibilité</w:t>
      </w:r>
      <w:r>
        <w:rPr>
          <w:sz w:val="24"/>
          <w:szCs w:val="24"/>
          <w:lang w:val="fr-BE"/>
        </w:rPr>
        <w:t xml:space="preserve"> des vaccins…….</w:t>
      </w:r>
    </w:p>
    <w:p w:rsidR="004914F1" w:rsidRDefault="004914F1">
      <w:pPr>
        <w:pStyle w:val="Paragraphedeliste"/>
        <w:widowControl w:val="0"/>
        <w:autoSpaceDE w:val="0"/>
        <w:autoSpaceDN w:val="0"/>
        <w:adjustRightInd w:val="0"/>
        <w:spacing w:before="8" w:after="0" w:line="260" w:lineRule="exact"/>
        <w:ind w:left="435"/>
        <w:jc w:val="both"/>
        <w:rPr>
          <w:rFonts w:cstheme="minorHAnsi"/>
          <w:color w:val="000000"/>
          <w:sz w:val="24"/>
          <w:szCs w:val="24"/>
        </w:rPr>
      </w:pPr>
    </w:p>
    <w:p w:rsidR="004147B3" w:rsidRPr="004147B3" w:rsidRDefault="00BD3B3F" w:rsidP="004147B3">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BD3B3F">
        <w:rPr>
          <w:sz w:val="24"/>
          <w:szCs w:val="24"/>
        </w:rPr>
        <w:t xml:space="preserve">L’opportunité de la e-santé doit être exploitée pour mettre à profit les </w:t>
      </w:r>
      <w:r>
        <w:rPr>
          <w:sz w:val="24"/>
          <w:szCs w:val="24"/>
        </w:rPr>
        <w:t>technologies de l’information et de la communication "</w:t>
      </w:r>
      <w:r w:rsidRPr="00BD3B3F">
        <w:rPr>
          <w:sz w:val="24"/>
          <w:szCs w:val="24"/>
        </w:rPr>
        <w:t>TIC</w:t>
      </w:r>
      <w:r>
        <w:rPr>
          <w:sz w:val="24"/>
          <w:szCs w:val="24"/>
        </w:rPr>
        <w:t>"</w:t>
      </w:r>
      <w:r w:rsidRPr="00BD3B3F">
        <w:rPr>
          <w:sz w:val="24"/>
          <w:szCs w:val="24"/>
        </w:rPr>
        <w:t xml:space="preserve"> pour le développement de bases de données de santé, pour la gestion de l’information sanitaire avec la mise en place du dossier patient électronique en milieu hospitalier, pour la gestion quotidienne des services et des projets/ programmes et pour l’amélioration des soins et la promotion de la santé.</w:t>
      </w:r>
      <w:r w:rsidR="00A5175C">
        <w:rPr>
          <w:sz w:val="24"/>
          <w:szCs w:val="24"/>
        </w:rPr>
        <w:t xml:space="preserve"> Des expériences comme le </w:t>
      </w:r>
      <w:proofErr w:type="spellStart"/>
      <w:r w:rsidR="00A5175C">
        <w:rPr>
          <w:sz w:val="24"/>
          <w:szCs w:val="24"/>
        </w:rPr>
        <w:t>mhealth</w:t>
      </w:r>
      <w:proofErr w:type="spellEnd"/>
      <w:r w:rsidR="00A5175C">
        <w:rPr>
          <w:rStyle w:val="Appelnotedebasdep"/>
          <w:sz w:val="24"/>
          <w:szCs w:val="24"/>
        </w:rPr>
        <w:footnoteReference w:id="32"/>
      </w:r>
      <w:r w:rsidR="00A5175C">
        <w:rPr>
          <w:sz w:val="24"/>
          <w:szCs w:val="24"/>
        </w:rPr>
        <w:t xml:space="preserve"> doivent être documentées et servir de tremplin pour de nouvelles initiatives.</w:t>
      </w:r>
    </w:p>
    <w:p w:rsidR="004147B3" w:rsidRPr="004147B3" w:rsidRDefault="004147B3" w:rsidP="004147B3">
      <w:pPr>
        <w:pStyle w:val="Paragraphedeliste"/>
        <w:rPr>
          <w:rFonts w:cs="Calibri"/>
          <w:color w:val="000000"/>
          <w:spacing w:val="1"/>
          <w:position w:val="1"/>
          <w:sz w:val="24"/>
          <w:szCs w:val="24"/>
        </w:rPr>
      </w:pPr>
    </w:p>
    <w:p w:rsidR="004147B3" w:rsidRPr="004147B3" w:rsidRDefault="007002E3" w:rsidP="004147B3">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4147B3">
        <w:rPr>
          <w:rFonts w:cs="Calibri"/>
          <w:color w:val="000000"/>
          <w:spacing w:val="1"/>
          <w:position w:val="1"/>
          <w:sz w:val="24"/>
          <w:szCs w:val="24"/>
        </w:rPr>
        <w:t xml:space="preserve">La mise en œuvre de la politique sectorielle-santé reposera  sur un dispositif institutionnel performant qui assure le suivi de l’exécution de la politique. A ce titre, la stabilité et le renforcement des capacités des différentes structures responsables de la coordination et de la mise en œuvre sont des conditions  pour l’opérationnalisation des missions qui leur sont assignées. </w:t>
      </w:r>
    </w:p>
    <w:p w:rsidR="003F6048" w:rsidRPr="004147B3" w:rsidRDefault="007002E3" w:rsidP="004147B3">
      <w:pPr>
        <w:pStyle w:val="Paragraphedeliste"/>
        <w:widowControl w:val="0"/>
        <w:numPr>
          <w:ilvl w:val="0"/>
          <w:numId w:val="26"/>
        </w:numPr>
        <w:autoSpaceDE w:val="0"/>
        <w:autoSpaceDN w:val="0"/>
        <w:adjustRightInd w:val="0"/>
        <w:spacing w:before="8" w:after="0" w:line="260" w:lineRule="exact"/>
        <w:jc w:val="both"/>
        <w:rPr>
          <w:rFonts w:cstheme="minorHAnsi"/>
          <w:color w:val="000000"/>
          <w:sz w:val="24"/>
          <w:szCs w:val="24"/>
        </w:rPr>
      </w:pPr>
      <w:r w:rsidRPr="004147B3">
        <w:rPr>
          <w:rFonts w:cs="Calibri"/>
          <w:color w:val="000000"/>
          <w:spacing w:val="1"/>
          <w:position w:val="1"/>
          <w:sz w:val="24"/>
          <w:szCs w:val="24"/>
        </w:rPr>
        <w:t xml:space="preserve">Les  documents  de référence des trois départements ministériels guideront la mise en </w:t>
      </w:r>
      <w:r w:rsidRPr="004147B3">
        <w:rPr>
          <w:rFonts w:cs="Calibri"/>
          <w:color w:val="000000"/>
          <w:spacing w:val="1"/>
          <w:position w:val="1"/>
          <w:sz w:val="24"/>
          <w:szCs w:val="24"/>
        </w:rPr>
        <w:lastRenderedPageBreak/>
        <w:t xml:space="preserve">œuvre de la politique. Il sera élaboré des </w:t>
      </w:r>
      <w:r w:rsidR="008415B7" w:rsidRPr="004147B3">
        <w:rPr>
          <w:rFonts w:cs="Calibri"/>
          <w:color w:val="000000"/>
          <w:spacing w:val="1"/>
          <w:position w:val="1"/>
          <w:sz w:val="24"/>
          <w:szCs w:val="24"/>
        </w:rPr>
        <w:t xml:space="preserve">programmes budgétaires </w:t>
      </w:r>
      <w:r w:rsidRPr="004147B3">
        <w:rPr>
          <w:rFonts w:cs="Calibri"/>
          <w:color w:val="000000"/>
          <w:spacing w:val="1"/>
          <w:position w:val="1"/>
          <w:sz w:val="24"/>
          <w:szCs w:val="24"/>
        </w:rPr>
        <w:t xml:space="preserve">  triennaux glissants qui indiqueront  les actions prioritaires en mettre en œuvre pour les trois  années à venir,  en cohérence   avec les   plans d’action annuels  qui seront élaboré</w:t>
      </w:r>
      <w:r w:rsidR="008415B7" w:rsidRPr="004147B3">
        <w:rPr>
          <w:rFonts w:cs="Calibri"/>
          <w:color w:val="000000"/>
          <w:spacing w:val="1"/>
          <w:position w:val="1"/>
          <w:sz w:val="24"/>
          <w:szCs w:val="24"/>
        </w:rPr>
        <w:t>s</w:t>
      </w:r>
      <w:r w:rsidRPr="004147B3">
        <w:rPr>
          <w:rFonts w:cs="Calibri"/>
          <w:color w:val="000000"/>
          <w:spacing w:val="1"/>
          <w:position w:val="1"/>
          <w:sz w:val="24"/>
          <w:szCs w:val="24"/>
        </w:rPr>
        <w:t xml:space="preserve"> à tous les niveaux du système de santé.</w:t>
      </w:r>
    </w:p>
    <w:p w:rsidR="007002E3" w:rsidRPr="00BD3B3F" w:rsidRDefault="003F6048" w:rsidP="004147B3">
      <w:pPr>
        <w:pStyle w:val="Paragraphedeliste"/>
        <w:widowControl w:val="0"/>
        <w:numPr>
          <w:ilvl w:val="0"/>
          <w:numId w:val="26"/>
        </w:numPr>
        <w:autoSpaceDE w:val="0"/>
        <w:autoSpaceDN w:val="0"/>
        <w:adjustRightInd w:val="0"/>
        <w:spacing w:before="8" w:after="0" w:line="260" w:lineRule="exact"/>
        <w:jc w:val="both"/>
        <w:rPr>
          <w:rFonts w:cs="Calibri"/>
          <w:color w:val="000000"/>
          <w:spacing w:val="1"/>
          <w:position w:val="1"/>
          <w:sz w:val="24"/>
          <w:szCs w:val="24"/>
        </w:rPr>
      </w:pPr>
      <w:r w:rsidRPr="00BD3B3F">
        <w:rPr>
          <w:rFonts w:cs="Calibri"/>
          <w:color w:val="000000"/>
          <w:spacing w:val="1"/>
          <w:position w:val="1"/>
          <w:sz w:val="24"/>
          <w:szCs w:val="24"/>
        </w:rPr>
        <w:t>Au niveau national, le Cadre sectoriel de dialogue (CSD) dont la  présidence est assurée par le  Ministre de la santé, implique le Ministère de la femme, de la solidarité nationale et de la famille (MFSNF) et le Ministère de l'agriculture et des aménagements hydrauliques (MAAH) assurent respectivement la 1ère et la 2ème vice-présidence. Le CSD est l’instance supérieure chargé d’apprécier la mise en œuvre de la politique sectorielle à l'aide des outils de suivi et d'évaluation élaborés à cet effet.  En plus des rencontres régulières semestrielles, le Cadre sectoriel de dialogue peut organiser des missions et des études pour confirmer si nécessaire, sur le terrain, les résultats ou les problèmes rapportés.</w:t>
      </w:r>
    </w:p>
    <w:p w:rsidR="003F6048" w:rsidRPr="00BD3B3F" w:rsidRDefault="003F6048" w:rsidP="004147B3">
      <w:pPr>
        <w:pStyle w:val="Paragraphedeliste"/>
        <w:widowControl w:val="0"/>
        <w:numPr>
          <w:ilvl w:val="0"/>
          <w:numId w:val="26"/>
        </w:numPr>
        <w:autoSpaceDE w:val="0"/>
        <w:autoSpaceDN w:val="0"/>
        <w:adjustRightInd w:val="0"/>
        <w:spacing w:before="8" w:after="0" w:line="260" w:lineRule="exact"/>
        <w:jc w:val="both"/>
        <w:rPr>
          <w:rFonts w:cs="Calibri"/>
          <w:color w:val="000000"/>
          <w:spacing w:val="1"/>
          <w:position w:val="1"/>
          <w:sz w:val="24"/>
          <w:szCs w:val="24"/>
        </w:rPr>
      </w:pPr>
      <w:r w:rsidRPr="00BD3B3F">
        <w:rPr>
          <w:rFonts w:cs="Calibri"/>
          <w:color w:val="000000"/>
          <w:spacing w:val="1"/>
          <w:position w:val="1"/>
          <w:sz w:val="24"/>
          <w:szCs w:val="24"/>
        </w:rPr>
        <w:t>Au niveau central, les trois (03) groupes thématiques assurent le suivi de la mise en œuvre de la politique sectorielle selon leurs attributions en adéquations avec les programmes-budgétaires, à savoir :(i) Accès aux services de santé (055), (ii) Prestations des services de santé (056), (iii) Pilotage et soutien au système de santé (057). </w:t>
      </w:r>
      <w:r w:rsidR="008415B7">
        <w:rPr>
          <w:rFonts w:cs="Calibri"/>
          <w:color w:val="000000"/>
          <w:spacing w:val="1"/>
          <w:position w:val="1"/>
          <w:sz w:val="24"/>
          <w:szCs w:val="24"/>
        </w:rPr>
        <w:t xml:space="preserve">Ces groupes thématiques seront soutenus par des équipes fonctionnelles qui agissent comme fournisseurs de solutions. </w:t>
      </w:r>
    </w:p>
    <w:p w:rsidR="003F6048" w:rsidRPr="00BD3B3F" w:rsidRDefault="003F6048" w:rsidP="004147B3">
      <w:pPr>
        <w:pStyle w:val="Paragraphedeliste"/>
        <w:widowControl w:val="0"/>
        <w:numPr>
          <w:ilvl w:val="0"/>
          <w:numId w:val="26"/>
        </w:numPr>
        <w:autoSpaceDE w:val="0"/>
        <w:autoSpaceDN w:val="0"/>
        <w:adjustRightInd w:val="0"/>
        <w:spacing w:before="8" w:after="0" w:line="260" w:lineRule="exact"/>
        <w:jc w:val="both"/>
        <w:rPr>
          <w:rFonts w:cs="Calibri"/>
          <w:color w:val="000000"/>
          <w:spacing w:val="1"/>
          <w:position w:val="1"/>
          <w:sz w:val="24"/>
          <w:szCs w:val="24"/>
        </w:rPr>
      </w:pPr>
      <w:r w:rsidRPr="00BD3B3F">
        <w:rPr>
          <w:rFonts w:cs="Calibri"/>
          <w:color w:val="000000"/>
          <w:spacing w:val="1"/>
          <w:position w:val="1"/>
          <w:sz w:val="24"/>
          <w:szCs w:val="24"/>
        </w:rPr>
        <w:t>Au niveau régional, les cadres régionaux de dialogue et les conseils de santé de district, chargés d’assurer la mise en œuvre et le suivi du PNDS phase II, sont également commis au suivi de la politique sectorielle-santé.</w:t>
      </w:r>
    </w:p>
    <w:p w:rsidR="004914F1" w:rsidRDefault="003F6048" w:rsidP="004147B3">
      <w:pPr>
        <w:pStyle w:val="Paragraphedeliste"/>
        <w:widowControl w:val="0"/>
        <w:numPr>
          <w:ilvl w:val="0"/>
          <w:numId w:val="26"/>
        </w:numPr>
        <w:autoSpaceDE w:val="0"/>
        <w:autoSpaceDN w:val="0"/>
        <w:adjustRightInd w:val="0"/>
        <w:spacing w:before="8" w:after="0" w:line="260" w:lineRule="exact"/>
        <w:jc w:val="both"/>
      </w:pPr>
      <w:r w:rsidRPr="003F6048">
        <w:rPr>
          <w:rFonts w:cs="Calibri"/>
          <w:sz w:val="24"/>
          <w:szCs w:val="24"/>
        </w:rPr>
        <w:t xml:space="preserve">Un </w:t>
      </w:r>
      <w:r w:rsidR="008E51DC" w:rsidRPr="008E51DC">
        <w:rPr>
          <w:rFonts w:cs="Calibri"/>
          <w:color w:val="000000"/>
          <w:spacing w:val="1"/>
          <w:position w:val="1"/>
          <w:sz w:val="24"/>
          <w:szCs w:val="24"/>
        </w:rPr>
        <w:t>mécanisme</w:t>
      </w:r>
      <w:r w:rsidRPr="003F6048">
        <w:rPr>
          <w:rFonts w:cs="Calibri"/>
          <w:sz w:val="24"/>
          <w:szCs w:val="24"/>
        </w:rPr>
        <w:t xml:space="preserve">  de suivi et d’évaluation sera mis en place et impliquera les  trois Ministères impliqués dans le secteur de planification santé, les collectivités territoriales, les organisations de la société civile, les partenaires techniques et financiers, les privés et les autres acteurs de développement.  Des enquêtes spécifiques et des  évaluations périodiques seront conduites afin d’apprécier le niveau d’atteinte des objectifs de </w:t>
      </w:r>
      <w:r w:rsidRPr="003F6048">
        <w:rPr>
          <w:rFonts w:cs="Calibri"/>
          <w:color w:val="000000"/>
          <w:sz w:val="24"/>
          <w:szCs w:val="24"/>
        </w:rPr>
        <w:t>la politique sectorielle-santé</w:t>
      </w:r>
      <w:r w:rsidRPr="003F6048">
        <w:rPr>
          <w:rFonts w:cs="Calibri"/>
          <w:sz w:val="24"/>
          <w:szCs w:val="24"/>
        </w:rPr>
        <w:t>.</w:t>
      </w:r>
    </w:p>
    <w:p w:rsidR="004914F1" w:rsidRDefault="003F6048" w:rsidP="004147B3">
      <w:pPr>
        <w:pStyle w:val="Paragraphedeliste"/>
        <w:widowControl w:val="0"/>
        <w:numPr>
          <w:ilvl w:val="0"/>
          <w:numId w:val="26"/>
        </w:numPr>
        <w:autoSpaceDE w:val="0"/>
        <w:autoSpaceDN w:val="0"/>
        <w:adjustRightInd w:val="0"/>
        <w:spacing w:before="8" w:after="0" w:line="260" w:lineRule="exact"/>
        <w:jc w:val="both"/>
      </w:pPr>
      <w:r w:rsidRPr="008A2C5B">
        <w:rPr>
          <w:rFonts w:cs="Calibri"/>
          <w:sz w:val="24"/>
          <w:szCs w:val="24"/>
        </w:rPr>
        <w:t xml:space="preserve">Les </w:t>
      </w:r>
      <w:r w:rsidR="008E51DC" w:rsidRPr="008E51DC">
        <w:rPr>
          <w:rFonts w:cs="Calibri"/>
          <w:color w:val="000000"/>
          <w:spacing w:val="1"/>
          <w:position w:val="1"/>
          <w:sz w:val="24"/>
          <w:szCs w:val="24"/>
        </w:rPr>
        <w:t>indicateurs</w:t>
      </w:r>
      <w:r w:rsidRPr="008A2C5B">
        <w:rPr>
          <w:rFonts w:cs="Calibri"/>
          <w:sz w:val="24"/>
          <w:szCs w:val="24"/>
        </w:rPr>
        <w:t xml:space="preserve"> de suivi permettront d’apprécier la performance du </w:t>
      </w:r>
      <w:r>
        <w:rPr>
          <w:rFonts w:cs="Calibri"/>
          <w:sz w:val="24"/>
          <w:szCs w:val="24"/>
        </w:rPr>
        <w:t xml:space="preserve">secteur planification santé, à travers la réalisation des effets attendus, des sous effets, des produits et des intrants.  L’appréciation de cette chaine des résultats permet aussi de </w:t>
      </w:r>
      <w:r w:rsidRPr="008A2C5B">
        <w:rPr>
          <w:rFonts w:cs="Calibri"/>
          <w:sz w:val="24"/>
          <w:szCs w:val="24"/>
        </w:rPr>
        <w:t xml:space="preserve"> juge</w:t>
      </w:r>
      <w:r>
        <w:rPr>
          <w:rFonts w:cs="Calibri"/>
          <w:sz w:val="24"/>
          <w:szCs w:val="24"/>
        </w:rPr>
        <w:t xml:space="preserve">r </w:t>
      </w:r>
      <w:r w:rsidRPr="008A2C5B">
        <w:rPr>
          <w:rFonts w:cs="Calibri"/>
          <w:sz w:val="24"/>
          <w:szCs w:val="24"/>
        </w:rPr>
        <w:t xml:space="preserve"> l’atteinte des cibles projetées annuellement jusqu’en 2021. Ainsi</w:t>
      </w:r>
      <w:r>
        <w:rPr>
          <w:rFonts w:cs="Calibri"/>
          <w:sz w:val="24"/>
          <w:szCs w:val="24"/>
        </w:rPr>
        <w:t>,</w:t>
      </w:r>
      <w:r w:rsidRPr="008A2C5B">
        <w:rPr>
          <w:rFonts w:cs="Calibri"/>
          <w:sz w:val="24"/>
          <w:szCs w:val="24"/>
        </w:rPr>
        <w:t xml:space="preserve"> la non</w:t>
      </w:r>
      <w:r>
        <w:rPr>
          <w:rFonts w:cs="Calibri"/>
          <w:sz w:val="24"/>
          <w:szCs w:val="24"/>
        </w:rPr>
        <w:t>-</w:t>
      </w:r>
      <w:r w:rsidRPr="008A2C5B">
        <w:rPr>
          <w:rFonts w:cs="Calibri"/>
          <w:sz w:val="24"/>
          <w:szCs w:val="24"/>
        </w:rPr>
        <w:t xml:space="preserve"> évolution </w:t>
      </w:r>
      <w:r>
        <w:rPr>
          <w:rFonts w:cs="Calibri"/>
          <w:sz w:val="24"/>
          <w:szCs w:val="24"/>
        </w:rPr>
        <w:t xml:space="preserve"> </w:t>
      </w:r>
      <w:r w:rsidRPr="008A2C5B">
        <w:rPr>
          <w:rFonts w:cs="Calibri"/>
          <w:sz w:val="24"/>
          <w:szCs w:val="24"/>
        </w:rPr>
        <w:t>d</w:t>
      </w:r>
      <w:r>
        <w:rPr>
          <w:rFonts w:cs="Calibri"/>
          <w:sz w:val="24"/>
          <w:szCs w:val="24"/>
        </w:rPr>
        <w:t xml:space="preserve">e certains </w:t>
      </w:r>
      <w:r w:rsidRPr="008A2C5B">
        <w:rPr>
          <w:rFonts w:cs="Calibri"/>
          <w:sz w:val="24"/>
          <w:szCs w:val="24"/>
        </w:rPr>
        <w:t xml:space="preserve"> indicateur</w:t>
      </w:r>
      <w:r>
        <w:rPr>
          <w:rFonts w:cs="Calibri"/>
          <w:sz w:val="24"/>
          <w:szCs w:val="24"/>
        </w:rPr>
        <w:t>s</w:t>
      </w:r>
      <w:r w:rsidRPr="008A2C5B">
        <w:rPr>
          <w:rFonts w:cs="Calibri"/>
          <w:sz w:val="24"/>
          <w:szCs w:val="24"/>
        </w:rPr>
        <w:t xml:space="preserve"> permettra de revoir la chaîne des résultats pour détecter </w:t>
      </w:r>
      <w:r>
        <w:rPr>
          <w:rFonts w:cs="Calibri"/>
          <w:sz w:val="24"/>
          <w:szCs w:val="24"/>
        </w:rPr>
        <w:t xml:space="preserve">les difficultés </w:t>
      </w:r>
      <w:r w:rsidRPr="008A2C5B">
        <w:rPr>
          <w:rFonts w:cs="Calibri"/>
          <w:sz w:val="24"/>
          <w:szCs w:val="24"/>
        </w:rPr>
        <w:t xml:space="preserve"> et éventuellement situer les responsabilités.</w:t>
      </w:r>
    </w:p>
    <w:p w:rsidR="004914F1" w:rsidRDefault="003F6048" w:rsidP="004147B3">
      <w:pPr>
        <w:pStyle w:val="Paragraphedeliste"/>
        <w:widowControl w:val="0"/>
        <w:numPr>
          <w:ilvl w:val="0"/>
          <w:numId w:val="26"/>
        </w:numPr>
        <w:autoSpaceDE w:val="0"/>
        <w:autoSpaceDN w:val="0"/>
        <w:adjustRightInd w:val="0"/>
        <w:spacing w:before="8" w:after="0" w:line="260" w:lineRule="exact"/>
        <w:jc w:val="both"/>
      </w:pPr>
      <w:r w:rsidRPr="008A2C5B">
        <w:rPr>
          <w:rFonts w:cs="Calibri"/>
          <w:sz w:val="24"/>
          <w:szCs w:val="24"/>
        </w:rPr>
        <w:t xml:space="preserve">Le </w:t>
      </w:r>
      <w:r w:rsidR="008E51DC" w:rsidRPr="008E51DC">
        <w:rPr>
          <w:rFonts w:cs="Calibri"/>
          <w:color w:val="000000"/>
          <w:spacing w:val="1"/>
          <w:position w:val="1"/>
          <w:sz w:val="24"/>
          <w:szCs w:val="24"/>
        </w:rPr>
        <w:t>rapport</w:t>
      </w:r>
      <w:r w:rsidRPr="008A2C5B">
        <w:rPr>
          <w:rFonts w:cs="Calibri"/>
          <w:sz w:val="24"/>
          <w:szCs w:val="24"/>
        </w:rPr>
        <w:t xml:space="preserve"> de progrès élaboré trimestriellement par les DS, les DRS et les structures rattachées sera l’outil par excellence du suivi de la politique sectorielle. Le canevas du rapport devra prendre donc en compte ce volet assez explicitement. Les projets et programmes ainsi que les directions centrales intervenant pertinemment dans les activités </w:t>
      </w:r>
      <w:r>
        <w:rPr>
          <w:rFonts w:cs="Calibri"/>
          <w:sz w:val="24"/>
          <w:szCs w:val="24"/>
        </w:rPr>
        <w:t>de la politique sectorielle-santé</w:t>
      </w:r>
      <w:r w:rsidRPr="008A2C5B">
        <w:rPr>
          <w:rFonts w:cs="Calibri"/>
          <w:sz w:val="24"/>
          <w:szCs w:val="24"/>
        </w:rPr>
        <w:t>, devront également s’astreindre à cette obligation trimestrielle de rapportage</w:t>
      </w:r>
    </w:p>
    <w:p w:rsidR="004914F1" w:rsidRDefault="003F6048" w:rsidP="004147B3">
      <w:pPr>
        <w:pStyle w:val="Paragraphedeliste"/>
        <w:widowControl w:val="0"/>
        <w:numPr>
          <w:ilvl w:val="0"/>
          <w:numId w:val="26"/>
        </w:numPr>
        <w:autoSpaceDE w:val="0"/>
        <w:autoSpaceDN w:val="0"/>
        <w:adjustRightInd w:val="0"/>
        <w:spacing w:before="8" w:after="0" w:line="260" w:lineRule="exact"/>
        <w:jc w:val="both"/>
      </w:pPr>
      <w:r>
        <w:rPr>
          <w:rFonts w:cs="Calibri"/>
          <w:sz w:val="24"/>
          <w:szCs w:val="24"/>
        </w:rPr>
        <w:t xml:space="preserve">Pour permettre une bonne capitalisation, on mettra en place un dispositif  de collecte, d’organisation et d’analyse de l’information relative à la mise en œuvre de la politique. Pour ce faire, il faut systématiser  le </w:t>
      </w:r>
      <w:r w:rsidRPr="008A2C5B">
        <w:rPr>
          <w:rFonts w:cs="Calibri"/>
          <w:sz w:val="24"/>
          <w:szCs w:val="24"/>
        </w:rPr>
        <w:t xml:space="preserve"> rapportage</w:t>
      </w:r>
      <w:r>
        <w:rPr>
          <w:rFonts w:cs="Calibri"/>
          <w:sz w:val="24"/>
          <w:szCs w:val="24"/>
        </w:rPr>
        <w:t>,  générer des connaissances nouvelles en vue d’améliorer la mise en œuvre   et partager  les leçons apprises.</w:t>
      </w:r>
    </w:p>
    <w:p w:rsidR="003F6048" w:rsidRPr="00C46B35" w:rsidRDefault="003F6048" w:rsidP="00C46B35">
      <w:pPr>
        <w:widowControl w:val="0"/>
        <w:autoSpaceDE w:val="0"/>
        <w:autoSpaceDN w:val="0"/>
        <w:adjustRightInd w:val="0"/>
        <w:spacing w:before="2" w:after="0" w:line="160" w:lineRule="exact"/>
        <w:rPr>
          <w:rFonts w:cstheme="minorHAnsi"/>
          <w:color w:val="000000"/>
          <w:sz w:val="24"/>
          <w:szCs w:val="24"/>
        </w:rPr>
      </w:pPr>
    </w:p>
    <w:p w:rsidR="00C46B35" w:rsidRDefault="009D2701" w:rsidP="003F6048">
      <w:pPr>
        <w:pStyle w:val="Titre2"/>
      </w:pPr>
      <w:r>
        <w:rPr>
          <w:spacing w:val="1"/>
        </w:rPr>
        <w:t>5.3.</w:t>
      </w:r>
      <w:r>
        <w:rPr>
          <w:spacing w:val="1"/>
        </w:rPr>
        <w:tab/>
      </w:r>
      <w:r w:rsidRPr="009D2701">
        <w:rPr>
          <w:spacing w:val="1"/>
        </w:rPr>
        <w:t>M</w:t>
      </w:r>
      <w:r w:rsidR="00C46B35" w:rsidRPr="009D2701">
        <w:rPr>
          <w:spacing w:val="1"/>
        </w:rPr>
        <w:t>é</w:t>
      </w:r>
      <w:r w:rsidR="00C46B35" w:rsidRPr="009D2701">
        <w:rPr>
          <w:spacing w:val="-1"/>
        </w:rPr>
        <w:t>c</w:t>
      </w:r>
      <w:r w:rsidR="00C46B35" w:rsidRPr="009D2701">
        <w:t>a</w:t>
      </w:r>
      <w:r w:rsidR="00C46B35" w:rsidRPr="009D2701">
        <w:rPr>
          <w:spacing w:val="1"/>
        </w:rPr>
        <w:t>n</w:t>
      </w:r>
      <w:r w:rsidR="00C46B35" w:rsidRPr="009D2701">
        <w:t>isme</w:t>
      </w:r>
      <w:r w:rsidR="00C46B35" w:rsidRPr="009D2701">
        <w:rPr>
          <w:spacing w:val="-1"/>
        </w:rPr>
        <w:t xml:space="preserve"> </w:t>
      </w:r>
      <w:r w:rsidR="00C46B35" w:rsidRPr="009D2701">
        <w:rPr>
          <w:spacing w:val="1"/>
        </w:rPr>
        <w:t>d</w:t>
      </w:r>
      <w:r w:rsidR="00C46B35" w:rsidRPr="009D2701">
        <w:t>e</w:t>
      </w:r>
      <w:r w:rsidR="00C46B35" w:rsidRPr="009D2701">
        <w:rPr>
          <w:spacing w:val="-1"/>
        </w:rPr>
        <w:t xml:space="preserve"> </w:t>
      </w:r>
      <w:r w:rsidR="00C46B35" w:rsidRPr="009D2701">
        <w:rPr>
          <w:spacing w:val="1"/>
        </w:rPr>
        <w:t>f</w:t>
      </w:r>
      <w:r w:rsidR="00C46B35" w:rsidRPr="009D2701">
        <w:t>i</w:t>
      </w:r>
      <w:r w:rsidR="00C46B35" w:rsidRPr="009D2701">
        <w:rPr>
          <w:spacing w:val="1"/>
        </w:rPr>
        <w:t>n</w:t>
      </w:r>
      <w:r w:rsidR="00C46B35" w:rsidRPr="009D2701">
        <w:t>a</w:t>
      </w:r>
      <w:r w:rsidR="00C46B35" w:rsidRPr="009D2701">
        <w:rPr>
          <w:spacing w:val="1"/>
        </w:rPr>
        <w:t>n</w:t>
      </w:r>
      <w:r w:rsidR="00C46B35" w:rsidRPr="009D2701">
        <w:rPr>
          <w:spacing w:val="-1"/>
        </w:rPr>
        <w:t>c</w:t>
      </w:r>
      <w:r w:rsidR="00C46B35" w:rsidRPr="009D2701">
        <w:rPr>
          <w:spacing w:val="1"/>
        </w:rPr>
        <w:t>e</w:t>
      </w:r>
      <w:r w:rsidR="00C46B35" w:rsidRPr="009D2701">
        <w:rPr>
          <w:spacing w:val="-3"/>
        </w:rPr>
        <w:t>m</w:t>
      </w:r>
      <w:r w:rsidR="00C46B35" w:rsidRPr="009D2701">
        <w:rPr>
          <w:spacing w:val="-1"/>
        </w:rPr>
        <w:t>e</w:t>
      </w:r>
      <w:r w:rsidR="00C46B35" w:rsidRPr="009D2701">
        <w:rPr>
          <w:spacing w:val="1"/>
        </w:rPr>
        <w:t>n</w:t>
      </w:r>
      <w:r w:rsidR="00C46B35" w:rsidRPr="009D2701">
        <w:t>t</w:t>
      </w:r>
    </w:p>
    <w:p w:rsidR="00E26078" w:rsidRPr="009D2701" w:rsidRDefault="00E26078" w:rsidP="00057D7F">
      <w:pPr>
        <w:pStyle w:val="Titre4"/>
        <w:rPr>
          <w:sz w:val="24"/>
          <w:szCs w:val="24"/>
        </w:rPr>
      </w:pPr>
      <w:r>
        <w:rPr>
          <w:sz w:val="24"/>
          <w:szCs w:val="24"/>
        </w:rPr>
        <w:t xml:space="preserve">L'amélioration de l'équité, de la </w:t>
      </w:r>
      <w:proofErr w:type="spellStart"/>
      <w:r>
        <w:rPr>
          <w:sz w:val="24"/>
          <w:szCs w:val="24"/>
        </w:rPr>
        <w:t>redevabilité</w:t>
      </w:r>
      <w:proofErr w:type="spellEnd"/>
      <w:r>
        <w:rPr>
          <w:sz w:val="24"/>
          <w:szCs w:val="24"/>
        </w:rPr>
        <w:t xml:space="preserve"> et l'efficacité du financement de la politique sectorielle </w:t>
      </w:r>
    </w:p>
    <w:p w:rsidR="00E26078" w:rsidRDefault="00E26078" w:rsidP="00E26078">
      <w:pPr>
        <w:widowControl w:val="0"/>
        <w:autoSpaceDE w:val="0"/>
        <w:autoSpaceDN w:val="0"/>
        <w:adjustRightInd w:val="0"/>
        <w:spacing w:before="8" w:after="0" w:line="260" w:lineRule="exact"/>
        <w:jc w:val="both"/>
        <w:rPr>
          <w:rFonts w:cstheme="minorHAnsi"/>
          <w:color w:val="000000"/>
          <w:sz w:val="24"/>
          <w:szCs w:val="24"/>
        </w:rPr>
      </w:pPr>
    </w:p>
    <w:p w:rsidR="00E26078" w:rsidRDefault="00E26078" w:rsidP="004147B3">
      <w:pPr>
        <w:pStyle w:val="Paragraphedeliste"/>
        <w:numPr>
          <w:ilvl w:val="0"/>
          <w:numId w:val="26"/>
        </w:numPr>
        <w:autoSpaceDE w:val="0"/>
        <w:autoSpaceDN w:val="0"/>
        <w:adjustRightInd w:val="0"/>
        <w:spacing w:after="120"/>
        <w:jc w:val="both"/>
        <w:rPr>
          <w:rFonts w:eastAsiaTheme="minorHAnsi" w:cstheme="minorHAnsi"/>
          <w:sz w:val="24"/>
        </w:rPr>
      </w:pPr>
      <w:r w:rsidRPr="009418EF">
        <w:rPr>
          <w:rFonts w:cs="Calibri"/>
          <w:sz w:val="24"/>
          <w:szCs w:val="24"/>
        </w:rPr>
        <w:t>Les ressources financières qui seront mobilisées pour la mise en œuvre de la</w:t>
      </w:r>
      <w:r w:rsidRPr="009418EF">
        <w:rPr>
          <w:rFonts w:eastAsiaTheme="minorHAnsi" w:cstheme="minorHAnsi"/>
          <w:sz w:val="24"/>
        </w:rPr>
        <w:t xml:space="preserve"> politique sectorielle de la santé proviendront  de l’Etat, des Partenaires techniques et financiers, </w:t>
      </w:r>
      <w:r w:rsidRPr="009418EF">
        <w:rPr>
          <w:rFonts w:eastAsiaTheme="minorHAnsi" w:cstheme="minorHAnsi"/>
          <w:sz w:val="24"/>
        </w:rPr>
        <w:lastRenderedPageBreak/>
        <w:t xml:space="preserve">du secteur privé, des collectivités territoriales et des organisations de la société civile (ONG/AD). La mobilisation de ces ressources financières tiendra compte des opportunités de financement qu’offrent les différents acteurs. </w:t>
      </w:r>
    </w:p>
    <w:p w:rsidR="00E26078" w:rsidRPr="00EF25A7" w:rsidRDefault="00E26078" w:rsidP="004147B3">
      <w:pPr>
        <w:pStyle w:val="Paragraphedeliste"/>
        <w:numPr>
          <w:ilvl w:val="0"/>
          <w:numId w:val="26"/>
        </w:numPr>
        <w:autoSpaceDE w:val="0"/>
        <w:autoSpaceDN w:val="0"/>
        <w:adjustRightInd w:val="0"/>
        <w:spacing w:after="120"/>
        <w:jc w:val="both"/>
        <w:rPr>
          <w:rFonts w:eastAsiaTheme="minorHAnsi" w:cstheme="minorHAnsi"/>
          <w:sz w:val="24"/>
        </w:rPr>
      </w:pPr>
      <w:r w:rsidRPr="009418EF">
        <w:rPr>
          <w:rFonts w:cs="Calibri"/>
          <w:sz w:val="24"/>
          <w:szCs w:val="24"/>
        </w:rPr>
        <w:t>Le financement de l’Etat se fera à travers le budget national qui consacrera une allocation</w:t>
      </w:r>
      <w:r w:rsidRPr="009418EF">
        <w:rPr>
          <w:rFonts w:asciiTheme="minorHAnsi" w:eastAsiaTheme="minorHAnsi" w:hAnsiTheme="minorHAnsi" w:cstheme="minorHAnsi"/>
          <w:sz w:val="24"/>
        </w:rPr>
        <w:t xml:space="preserve"> conséquente au secteur. Les efforts devront être faits à ce niveau pour que  le </w:t>
      </w:r>
      <w:r w:rsidRPr="00EF25A7">
        <w:rPr>
          <w:rFonts w:asciiTheme="minorHAnsi" w:eastAsiaTheme="minorHAnsi" w:hAnsiTheme="minorHAnsi" w:cstheme="minorHAnsi"/>
          <w:sz w:val="24"/>
        </w:rPr>
        <w:t>budget alloué au secteur atteigne au minimum les 15% du budget de l’Etat conformément aux engagements des pays de la sous-région. L’Etat s’engagera également à accélérer la mise en place de l’Assurance Maladie Universelle.</w:t>
      </w:r>
    </w:p>
    <w:p w:rsidR="00E26078" w:rsidRPr="00EF25A7" w:rsidRDefault="00E26078" w:rsidP="004147B3">
      <w:pPr>
        <w:pStyle w:val="Paragraphedeliste"/>
        <w:numPr>
          <w:ilvl w:val="0"/>
          <w:numId w:val="26"/>
        </w:numPr>
        <w:autoSpaceDE w:val="0"/>
        <w:autoSpaceDN w:val="0"/>
        <w:adjustRightInd w:val="0"/>
        <w:spacing w:after="120"/>
        <w:jc w:val="both"/>
        <w:rPr>
          <w:rFonts w:eastAsiaTheme="minorHAnsi" w:cstheme="minorHAnsi"/>
          <w:sz w:val="24"/>
        </w:rPr>
      </w:pPr>
      <w:r w:rsidRPr="00EF25A7">
        <w:rPr>
          <w:rFonts w:cs="Calibri"/>
          <w:sz w:val="24"/>
          <w:szCs w:val="24"/>
        </w:rPr>
        <w:t xml:space="preserve">La mobilisation d'espace fiscale complémentaire </w:t>
      </w:r>
      <w:r w:rsidR="004147B3" w:rsidRPr="00EF25A7">
        <w:rPr>
          <w:rFonts w:cs="Calibri"/>
          <w:sz w:val="24"/>
          <w:szCs w:val="24"/>
        </w:rPr>
        <w:t>privilégiera</w:t>
      </w:r>
      <w:r w:rsidRPr="00EF25A7">
        <w:rPr>
          <w:rFonts w:cs="Calibri"/>
          <w:sz w:val="24"/>
          <w:szCs w:val="24"/>
        </w:rPr>
        <w:t xml:space="preserve"> des mécanismes progressifs, </w:t>
      </w:r>
      <w:r w:rsidR="004147B3" w:rsidRPr="00EF25A7">
        <w:rPr>
          <w:rFonts w:cs="Calibri"/>
          <w:sz w:val="24"/>
          <w:szCs w:val="24"/>
        </w:rPr>
        <w:t>en faveur notamment d</w:t>
      </w:r>
      <w:r w:rsidRPr="00EF25A7">
        <w:rPr>
          <w:rFonts w:cs="Calibri"/>
          <w:sz w:val="24"/>
          <w:szCs w:val="24"/>
        </w:rPr>
        <w:t xml:space="preserve">es quintiles les plus pauvres.  </w:t>
      </w:r>
    </w:p>
    <w:p w:rsidR="00E26078" w:rsidRPr="00EF25A7" w:rsidRDefault="00E26078" w:rsidP="004147B3">
      <w:pPr>
        <w:pStyle w:val="Paragraphedeliste"/>
        <w:numPr>
          <w:ilvl w:val="0"/>
          <w:numId w:val="26"/>
        </w:numPr>
        <w:autoSpaceDE w:val="0"/>
        <w:autoSpaceDN w:val="0"/>
        <w:adjustRightInd w:val="0"/>
        <w:spacing w:after="120"/>
        <w:jc w:val="both"/>
        <w:rPr>
          <w:rFonts w:eastAsiaTheme="minorHAnsi" w:cstheme="minorHAnsi"/>
          <w:sz w:val="24"/>
        </w:rPr>
      </w:pPr>
      <w:r w:rsidRPr="00EF25A7">
        <w:rPr>
          <w:rFonts w:asciiTheme="minorHAnsi" w:eastAsiaTheme="minorHAnsi" w:hAnsiTheme="minorHAnsi" w:cstheme="minorHAnsi"/>
          <w:sz w:val="24"/>
        </w:rPr>
        <w:t>Les interventions des partenaires techniques et financiers se feront conformément aux orientations définies  dans la politique ainsi que dans le COMPACT. A ce titre, en plus des partenaires traditionnels du secteur, la recherche des nouveaux types de  partenariat domaine de la santé notamment, les fonds verts  sera explorée.</w:t>
      </w:r>
    </w:p>
    <w:p w:rsidR="00E26078" w:rsidRPr="00EF25A7" w:rsidRDefault="00E26078" w:rsidP="004147B3">
      <w:pPr>
        <w:pStyle w:val="Paragraphedeliste"/>
        <w:numPr>
          <w:ilvl w:val="0"/>
          <w:numId w:val="26"/>
        </w:numPr>
        <w:autoSpaceDE w:val="0"/>
        <w:autoSpaceDN w:val="0"/>
        <w:adjustRightInd w:val="0"/>
        <w:spacing w:after="120"/>
        <w:jc w:val="both"/>
        <w:rPr>
          <w:rFonts w:eastAsiaTheme="minorHAnsi" w:cstheme="minorHAnsi"/>
          <w:sz w:val="24"/>
        </w:rPr>
      </w:pPr>
      <w:r w:rsidRPr="00EF25A7">
        <w:rPr>
          <w:rFonts w:asciiTheme="minorHAnsi" w:eastAsiaTheme="minorHAnsi" w:hAnsiTheme="minorHAnsi" w:cstheme="minorHAnsi"/>
          <w:sz w:val="24"/>
        </w:rPr>
        <w:t>Le secteur privé national ou international interviendra  à travers le partenariat public-privé  notamment l’appui à la réalisation de certaines infrastructures. Le financement privé de la politique peut être également appréhendé au niveau des structures privées de santé (formations, soins de santé, laboratoires…) qui développeront  des services de santé au profit des populations.</w:t>
      </w:r>
    </w:p>
    <w:p w:rsidR="00E26078" w:rsidRPr="00EF25A7" w:rsidRDefault="00E26078" w:rsidP="004147B3">
      <w:pPr>
        <w:pStyle w:val="Paragraphedeliste"/>
        <w:numPr>
          <w:ilvl w:val="0"/>
          <w:numId w:val="26"/>
        </w:numPr>
        <w:autoSpaceDE w:val="0"/>
        <w:autoSpaceDN w:val="0"/>
        <w:adjustRightInd w:val="0"/>
        <w:spacing w:after="120"/>
        <w:jc w:val="both"/>
        <w:rPr>
          <w:rFonts w:eastAsiaTheme="minorHAnsi" w:cstheme="minorHAnsi"/>
          <w:sz w:val="24"/>
        </w:rPr>
      </w:pPr>
      <w:r w:rsidRPr="00EF25A7">
        <w:rPr>
          <w:rFonts w:asciiTheme="minorHAnsi" w:eastAsiaTheme="minorHAnsi" w:hAnsiTheme="minorHAnsi" w:cstheme="minorHAnsi"/>
          <w:sz w:val="24"/>
        </w:rPr>
        <w:t>Les collectivités territoriales participeront au financement de la politique grâce aux ressources mobilisées dans le cadre de la coopération décentralisée, aux transferts des migrants et à leurs ressources propres. Cela se fera conformément aux compétences transférées.</w:t>
      </w:r>
    </w:p>
    <w:p w:rsidR="00E26078" w:rsidRPr="00EF25A7" w:rsidRDefault="00E26078" w:rsidP="004147B3">
      <w:pPr>
        <w:pStyle w:val="Paragraphedeliste"/>
        <w:numPr>
          <w:ilvl w:val="0"/>
          <w:numId w:val="26"/>
        </w:numPr>
        <w:autoSpaceDE w:val="0"/>
        <w:autoSpaceDN w:val="0"/>
        <w:adjustRightInd w:val="0"/>
        <w:spacing w:after="120"/>
        <w:jc w:val="both"/>
        <w:rPr>
          <w:rFonts w:eastAsiaTheme="minorHAnsi" w:cstheme="minorHAnsi"/>
          <w:sz w:val="24"/>
        </w:rPr>
      </w:pPr>
      <w:r w:rsidRPr="00EF25A7">
        <w:rPr>
          <w:rFonts w:asciiTheme="minorHAnsi" w:eastAsiaTheme="minorHAnsi" w:hAnsiTheme="minorHAnsi" w:cstheme="minorHAnsi"/>
          <w:sz w:val="24"/>
        </w:rPr>
        <w:t>Les Organisations Non Gouvernementales et Associations de Développement (ONG/AD) participeront au financement de la politique à travers les ressources qu’elles mobilisent auprès d’autres partenaires dans le cadre de la mise en œuvre des initiatives de développement dans le secteur de la santé.</w:t>
      </w:r>
    </w:p>
    <w:p w:rsidR="00E26078" w:rsidRPr="000F32C1" w:rsidRDefault="00E26078" w:rsidP="004147B3">
      <w:pPr>
        <w:pStyle w:val="Paragraphedeliste"/>
        <w:numPr>
          <w:ilvl w:val="0"/>
          <w:numId w:val="26"/>
        </w:numPr>
        <w:autoSpaceDE w:val="0"/>
        <w:autoSpaceDN w:val="0"/>
        <w:adjustRightInd w:val="0"/>
        <w:spacing w:after="120"/>
        <w:jc w:val="both"/>
        <w:rPr>
          <w:rFonts w:eastAsiaTheme="minorHAnsi" w:cstheme="minorHAnsi"/>
          <w:sz w:val="24"/>
        </w:rPr>
      </w:pPr>
      <w:r w:rsidRPr="00EF25A7">
        <w:rPr>
          <w:rFonts w:asciiTheme="minorHAnsi" w:eastAsiaTheme="minorHAnsi" w:hAnsiTheme="minorHAnsi" w:cstheme="minorHAnsi"/>
          <w:sz w:val="24"/>
        </w:rPr>
        <w:t>L'assurance maladie universelle mettra en commun des contributions de l'Etat, des PTF, des employeurs, des employés, des membres de coopératives et de mutuelles communautaires dans une fongibilité totale. Le paquet de bénéficies sera le même pour l'ensemble de la population. L'armée fera exception par à cette mise en commun par la</w:t>
      </w:r>
      <w:r>
        <w:rPr>
          <w:rFonts w:asciiTheme="minorHAnsi" w:eastAsiaTheme="minorHAnsi" w:hAnsiTheme="minorHAnsi" w:cstheme="minorHAnsi"/>
          <w:sz w:val="24"/>
        </w:rPr>
        <w:t xml:space="preserve"> création de la caisse d'assurance </w:t>
      </w:r>
      <w:proofErr w:type="spellStart"/>
      <w:r>
        <w:rPr>
          <w:rFonts w:asciiTheme="minorHAnsi" w:eastAsiaTheme="minorHAnsi" w:hAnsiTheme="minorHAnsi" w:cstheme="minorHAnsi"/>
          <w:sz w:val="24"/>
        </w:rPr>
        <w:t>maldie</w:t>
      </w:r>
      <w:proofErr w:type="spellEnd"/>
      <w:r>
        <w:rPr>
          <w:rFonts w:asciiTheme="minorHAnsi" w:eastAsiaTheme="minorHAnsi" w:hAnsiTheme="minorHAnsi" w:cstheme="minorHAnsi"/>
          <w:sz w:val="24"/>
        </w:rPr>
        <w:t xml:space="preserve"> de l'armée. </w:t>
      </w:r>
    </w:p>
    <w:p w:rsidR="00E26078" w:rsidRPr="000F32C1" w:rsidRDefault="00E26078" w:rsidP="004147B3">
      <w:pPr>
        <w:pStyle w:val="Paragraphedeliste"/>
        <w:numPr>
          <w:ilvl w:val="0"/>
          <w:numId w:val="26"/>
        </w:numPr>
        <w:autoSpaceDE w:val="0"/>
        <w:autoSpaceDN w:val="0"/>
        <w:adjustRightInd w:val="0"/>
        <w:spacing w:after="120"/>
        <w:jc w:val="both"/>
        <w:rPr>
          <w:rFonts w:eastAsiaTheme="minorHAnsi" w:cstheme="minorHAnsi"/>
          <w:sz w:val="24"/>
        </w:rPr>
      </w:pPr>
      <w:r w:rsidRPr="000B046C">
        <w:rPr>
          <w:rFonts w:asciiTheme="minorHAnsi" w:eastAsiaTheme="minorHAnsi" w:hAnsiTheme="minorHAnsi" w:cstheme="minorHAnsi"/>
          <w:sz w:val="24"/>
        </w:rPr>
        <w:t>Des contributions de l'Etat et des PTF pour les prestations non couvertes par l'assurance maladie universelle</w:t>
      </w:r>
      <w:r w:rsidRPr="008415B7">
        <w:rPr>
          <w:rFonts w:asciiTheme="minorHAnsi" w:eastAsiaTheme="minorHAnsi" w:hAnsiTheme="minorHAnsi" w:cstheme="minorHAnsi"/>
          <w:sz w:val="24"/>
        </w:rPr>
        <w:t xml:space="preserve">, pour les investissements et pour les activités de soutien seront mises en commun dans un panier commun virtuel. </w:t>
      </w:r>
      <w:r w:rsidRPr="00E26078">
        <w:rPr>
          <w:rFonts w:asciiTheme="minorHAnsi" w:eastAsiaTheme="minorHAnsi" w:hAnsiTheme="minorHAnsi" w:cstheme="minorHAnsi"/>
          <w:sz w:val="24"/>
        </w:rPr>
        <w:t xml:space="preserve">Ce panier commun virtuel </w:t>
      </w:r>
      <w:r w:rsidRPr="000F32C1">
        <w:rPr>
          <w:rFonts w:asciiTheme="minorHAnsi" w:eastAsiaTheme="minorHAnsi" w:hAnsiTheme="minorHAnsi" w:cstheme="minorHAnsi"/>
          <w:sz w:val="24"/>
        </w:rPr>
        <w:t xml:space="preserve">montrera comment les ressources seront reparties géographiquement pour les différentes prestations, investissements, activités de soutien et activités de renforcement institutionnel et de production de référentiels. Le suivi de la mise en œuvre de ce panier commun sera assuré par une dispositif informatique de suivi </w:t>
      </w:r>
      <w:proofErr w:type="gramStart"/>
      <w:r w:rsidRPr="000F32C1">
        <w:rPr>
          <w:rFonts w:asciiTheme="minorHAnsi" w:eastAsiaTheme="minorHAnsi" w:hAnsiTheme="minorHAnsi" w:cstheme="minorHAnsi"/>
          <w:sz w:val="24"/>
        </w:rPr>
        <w:t>intégrée</w:t>
      </w:r>
      <w:proofErr w:type="gramEnd"/>
      <w:r w:rsidRPr="000F32C1">
        <w:rPr>
          <w:rFonts w:asciiTheme="minorHAnsi" w:eastAsiaTheme="minorHAnsi" w:hAnsiTheme="minorHAnsi" w:cstheme="minorHAnsi"/>
          <w:sz w:val="24"/>
        </w:rPr>
        <w:t xml:space="preserve"> du financement du secteur. La mise en commun des contributions pour le renforcement institutionnel et la production de référentiels sectoriels se fera sur base de mesures sectorielles annuelles </w:t>
      </w:r>
      <w:r w:rsidRPr="000F32C1">
        <w:rPr>
          <w:rFonts w:asciiTheme="minorHAnsi" w:eastAsiaTheme="minorHAnsi" w:hAnsiTheme="minorHAnsi" w:cstheme="minorHAnsi"/>
          <w:sz w:val="24"/>
        </w:rPr>
        <w:lastRenderedPageBreak/>
        <w:t>clairement définies qui découlent des actions prioritaires.</w:t>
      </w:r>
      <w:r>
        <w:rPr>
          <w:rFonts w:asciiTheme="minorHAnsi" w:eastAsiaTheme="minorHAnsi" w:hAnsiTheme="minorHAnsi" w:cstheme="minorHAnsi"/>
          <w:sz w:val="24"/>
        </w:rPr>
        <w:t xml:space="preserve"> Enfin la centrale d'approvisionnement en médicaments essentiels, les banques de sang et la chaine de </w:t>
      </w:r>
      <w:r w:rsidR="004147B3">
        <w:rPr>
          <w:rFonts w:asciiTheme="minorHAnsi" w:eastAsiaTheme="minorHAnsi" w:hAnsiTheme="minorHAnsi" w:cstheme="minorHAnsi"/>
          <w:sz w:val="24"/>
        </w:rPr>
        <w:t>dépôts</w:t>
      </w:r>
      <w:r>
        <w:rPr>
          <w:rFonts w:asciiTheme="minorHAnsi" w:eastAsiaTheme="minorHAnsi" w:hAnsiTheme="minorHAnsi" w:cstheme="minorHAnsi"/>
          <w:sz w:val="24"/>
        </w:rPr>
        <w:t xml:space="preserve"> de vaccins resteront des mécanismes de mise en commun de produits de santé gratuits et subventionnés.</w:t>
      </w:r>
    </w:p>
    <w:p w:rsidR="00E26078" w:rsidRPr="008D0BB4" w:rsidRDefault="00E26078" w:rsidP="004147B3">
      <w:pPr>
        <w:pStyle w:val="Paragraphedeliste"/>
        <w:numPr>
          <w:ilvl w:val="0"/>
          <w:numId w:val="26"/>
        </w:numPr>
        <w:autoSpaceDE w:val="0"/>
        <w:autoSpaceDN w:val="0"/>
        <w:adjustRightInd w:val="0"/>
        <w:spacing w:after="120"/>
        <w:jc w:val="both"/>
        <w:rPr>
          <w:rFonts w:eastAsiaTheme="minorHAnsi" w:cstheme="minorHAnsi"/>
          <w:sz w:val="24"/>
        </w:rPr>
      </w:pPr>
      <w:r>
        <w:rPr>
          <w:rFonts w:asciiTheme="minorHAnsi" w:eastAsiaTheme="minorHAnsi" w:hAnsiTheme="minorHAnsi" w:cstheme="minorHAnsi"/>
          <w:sz w:val="24"/>
        </w:rPr>
        <w:t>L'achat de services et l'allocation se fera sur base d'un suivi permanent des bénéfices obtenus de la population, de la transparence des outils de gestion, des abus et fraudes éventuels, des retards de mise à disposition, de discrimination d'accès, d'</w:t>
      </w:r>
      <w:proofErr w:type="spellStart"/>
      <w:r>
        <w:rPr>
          <w:rFonts w:asciiTheme="minorHAnsi" w:eastAsiaTheme="minorHAnsi" w:hAnsiTheme="minorHAnsi" w:cstheme="minorHAnsi"/>
          <w:sz w:val="24"/>
        </w:rPr>
        <w:t>équilivre</w:t>
      </w:r>
      <w:proofErr w:type="spellEnd"/>
      <w:r>
        <w:rPr>
          <w:rFonts w:asciiTheme="minorHAnsi" w:eastAsiaTheme="minorHAnsi" w:hAnsiTheme="minorHAnsi" w:cstheme="minorHAnsi"/>
          <w:sz w:val="24"/>
        </w:rPr>
        <w:t xml:space="preserve"> financier des formation</w:t>
      </w:r>
      <w:r w:rsidR="004147B3">
        <w:rPr>
          <w:rFonts w:asciiTheme="minorHAnsi" w:eastAsiaTheme="minorHAnsi" w:hAnsiTheme="minorHAnsi" w:cstheme="minorHAnsi"/>
          <w:sz w:val="24"/>
        </w:rPr>
        <w:t>s</w:t>
      </w:r>
      <w:r>
        <w:rPr>
          <w:rFonts w:asciiTheme="minorHAnsi" w:eastAsiaTheme="minorHAnsi" w:hAnsiTheme="minorHAnsi" w:cstheme="minorHAnsi"/>
          <w:sz w:val="24"/>
        </w:rPr>
        <w:t xml:space="preserve"> sanitaires etc. Sur base de ce suivi, l'allocation sera annuellement adapté</w:t>
      </w:r>
      <w:r w:rsidR="004147B3">
        <w:rPr>
          <w:rFonts w:asciiTheme="minorHAnsi" w:eastAsiaTheme="minorHAnsi" w:hAnsiTheme="minorHAnsi" w:cstheme="minorHAnsi"/>
          <w:sz w:val="24"/>
        </w:rPr>
        <w:t>e</w:t>
      </w:r>
      <w:r>
        <w:rPr>
          <w:rFonts w:asciiTheme="minorHAnsi" w:eastAsiaTheme="minorHAnsi" w:hAnsiTheme="minorHAnsi" w:cstheme="minorHAnsi"/>
          <w:sz w:val="24"/>
        </w:rPr>
        <w:t xml:space="preserve"> et des mesures de formation, de contrôle et de sanction seront prises.</w:t>
      </w:r>
    </w:p>
    <w:p w:rsidR="00C46B35" w:rsidRDefault="009D2701" w:rsidP="004147B3">
      <w:pPr>
        <w:pStyle w:val="Titre1"/>
        <w:numPr>
          <w:ilvl w:val="0"/>
          <w:numId w:val="27"/>
        </w:numPr>
      </w:pPr>
      <w:r>
        <w:t>L</w:t>
      </w:r>
      <w:r w:rsidR="00C46B35" w:rsidRPr="00C46B35">
        <w:t>’ana</w:t>
      </w:r>
      <w:r w:rsidR="00C46B35" w:rsidRPr="00C46B35">
        <w:rPr>
          <w:spacing w:val="1"/>
        </w:rPr>
        <w:t>l</w:t>
      </w:r>
      <w:r w:rsidR="00C46B35" w:rsidRPr="00C46B35">
        <w:t xml:space="preserve">yse </w:t>
      </w:r>
      <w:r w:rsidR="00C46B35" w:rsidRPr="00C46B35">
        <w:rPr>
          <w:spacing w:val="-2"/>
        </w:rPr>
        <w:t>e</w:t>
      </w:r>
      <w:r w:rsidR="00C46B35" w:rsidRPr="00C46B35">
        <w:t>t la g</w:t>
      </w:r>
      <w:r w:rsidR="00C46B35" w:rsidRPr="00C46B35">
        <w:rPr>
          <w:spacing w:val="-1"/>
        </w:rPr>
        <w:t>e</w:t>
      </w:r>
      <w:r w:rsidR="00C46B35" w:rsidRPr="00C46B35">
        <w:t>sti</w:t>
      </w:r>
      <w:r w:rsidR="00C46B35" w:rsidRPr="00C46B35">
        <w:rPr>
          <w:spacing w:val="2"/>
        </w:rPr>
        <w:t>o</w:t>
      </w:r>
      <w:r w:rsidR="00C46B35" w:rsidRPr="00C46B35">
        <w:t>n</w:t>
      </w:r>
      <w:r w:rsidR="00C46B35" w:rsidRPr="00C46B35">
        <w:rPr>
          <w:spacing w:val="1"/>
        </w:rPr>
        <w:t xml:space="preserve"> d</w:t>
      </w:r>
      <w:r w:rsidR="00C46B35" w:rsidRPr="00C46B35">
        <w:rPr>
          <w:spacing w:val="-1"/>
        </w:rPr>
        <w:t>e</w:t>
      </w:r>
      <w:r w:rsidR="00C46B35" w:rsidRPr="00C46B35">
        <w:t>s ris</w:t>
      </w:r>
      <w:r w:rsidR="00C46B35" w:rsidRPr="00C46B35">
        <w:rPr>
          <w:spacing w:val="1"/>
        </w:rPr>
        <w:t>qu</w:t>
      </w:r>
      <w:r w:rsidR="00C46B35" w:rsidRPr="00C46B35">
        <w:rPr>
          <w:spacing w:val="-1"/>
        </w:rPr>
        <w:t>e</w:t>
      </w:r>
      <w:r w:rsidR="00C46B35" w:rsidRPr="00C46B35">
        <w:t>s.</w:t>
      </w:r>
    </w:p>
    <w:p w:rsidR="003F6048" w:rsidRDefault="003F6048" w:rsidP="003F6048"/>
    <w:p w:rsidR="00A579D1" w:rsidRPr="00A579D1" w:rsidRDefault="00A579D1" w:rsidP="004147B3">
      <w:pPr>
        <w:pStyle w:val="Paragraphedeliste"/>
        <w:widowControl w:val="0"/>
        <w:numPr>
          <w:ilvl w:val="0"/>
          <w:numId w:val="26"/>
        </w:numPr>
        <w:autoSpaceDE w:val="0"/>
        <w:autoSpaceDN w:val="0"/>
        <w:adjustRightInd w:val="0"/>
        <w:spacing w:before="8" w:after="0" w:line="260" w:lineRule="exact"/>
        <w:jc w:val="both"/>
        <w:rPr>
          <w:rFonts w:cs="Calibri"/>
          <w:color w:val="000000"/>
          <w:spacing w:val="1"/>
          <w:position w:val="1"/>
          <w:sz w:val="24"/>
          <w:szCs w:val="24"/>
        </w:rPr>
      </w:pPr>
      <w:r w:rsidRPr="00A579D1">
        <w:rPr>
          <w:rFonts w:cs="Calibri"/>
          <w:color w:val="000000"/>
          <w:spacing w:val="1"/>
          <w:position w:val="1"/>
          <w:sz w:val="24"/>
          <w:szCs w:val="24"/>
        </w:rPr>
        <w:t>Seront considérés comme risques les  évènements susceptibles d’influencer négativement l’atteinte des résultats de  la politique   du secteur de planification santé. Il s’agit ici de la non adhésion des acteurs, de l’environnement économique défavorable, de l’expansion du faux et de la fraude, et de l’insécurité.</w:t>
      </w:r>
    </w:p>
    <w:p w:rsidR="00A579D1" w:rsidRPr="00A579D1" w:rsidRDefault="00C56708" w:rsidP="004147B3">
      <w:pPr>
        <w:pStyle w:val="Paragraphedeliste"/>
        <w:widowControl w:val="0"/>
        <w:numPr>
          <w:ilvl w:val="0"/>
          <w:numId w:val="26"/>
        </w:numPr>
        <w:autoSpaceDE w:val="0"/>
        <w:autoSpaceDN w:val="0"/>
        <w:adjustRightInd w:val="0"/>
        <w:spacing w:before="8" w:after="0" w:line="260" w:lineRule="exact"/>
        <w:jc w:val="both"/>
        <w:rPr>
          <w:rFonts w:cs="Calibri"/>
          <w:color w:val="000000"/>
          <w:spacing w:val="1"/>
          <w:position w:val="1"/>
          <w:sz w:val="24"/>
          <w:szCs w:val="24"/>
        </w:rPr>
      </w:pPr>
      <w:r>
        <w:rPr>
          <w:rFonts w:cs="Calibri"/>
          <w:color w:val="000000"/>
          <w:spacing w:val="1"/>
          <w:position w:val="1"/>
          <w:sz w:val="24"/>
          <w:szCs w:val="24"/>
        </w:rPr>
        <w:t>La non-</w:t>
      </w:r>
      <w:r w:rsidR="00A579D1" w:rsidRPr="00A579D1">
        <w:rPr>
          <w:rFonts w:cs="Calibri"/>
          <w:color w:val="000000"/>
          <w:spacing w:val="1"/>
          <w:position w:val="1"/>
          <w:sz w:val="24"/>
          <w:szCs w:val="24"/>
        </w:rPr>
        <w:t>adhésion des acteurs : La réalisation des objectifs déclinés dans la politique nécessite  la participation d’autres acteurs à la mise en œuvre de la politique du secteur de la santé, notamment, les autres structures et institutions, le secteur privé et les partenaires. Leur non adhésion à la mise en œuvre  de la politique peut compromettre l’atteinte des effets escomptés. Pour atténuer ce risque, des actions de communication, de sensibilisation et d’appropriation seront menées autour de la politique afin de faciliter leur adhésion.</w:t>
      </w:r>
    </w:p>
    <w:p w:rsidR="00A579D1" w:rsidRPr="00A579D1" w:rsidRDefault="00A579D1" w:rsidP="004147B3">
      <w:pPr>
        <w:pStyle w:val="Paragraphedeliste"/>
        <w:widowControl w:val="0"/>
        <w:numPr>
          <w:ilvl w:val="0"/>
          <w:numId w:val="26"/>
        </w:numPr>
        <w:autoSpaceDE w:val="0"/>
        <w:autoSpaceDN w:val="0"/>
        <w:adjustRightInd w:val="0"/>
        <w:spacing w:before="8" w:after="0" w:line="260" w:lineRule="exact"/>
        <w:jc w:val="both"/>
        <w:rPr>
          <w:rFonts w:cs="Calibri"/>
          <w:color w:val="000000"/>
          <w:spacing w:val="1"/>
          <w:position w:val="1"/>
          <w:sz w:val="24"/>
          <w:szCs w:val="24"/>
        </w:rPr>
      </w:pPr>
      <w:r w:rsidRPr="00A579D1">
        <w:rPr>
          <w:rFonts w:cs="Calibri"/>
          <w:color w:val="000000"/>
          <w:spacing w:val="1"/>
          <w:position w:val="1"/>
          <w:sz w:val="24"/>
          <w:szCs w:val="24"/>
        </w:rPr>
        <w:t>L’environnement économique défavorable : La mobilisation des ressources conséquentes pour la mise en œuvre de la présente politique dépend de la santé des économies nationale et internationale. Un environnement économique défavorable  constituera un risque pour l’atteinte des résultats escomptés de la politique. Pour minimiser ce risque, une gestion efficiente des ressources sera appliquée et un nouveau type de partenariat sera développé.</w:t>
      </w:r>
    </w:p>
    <w:p w:rsidR="00A579D1" w:rsidRPr="00A579D1" w:rsidRDefault="00A579D1" w:rsidP="004147B3">
      <w:pPr>
        <w:pStyle w:val="Paragraphedeliste"/>
        <w:widowControl w:val="0"/>
        <w:numPr>
          <w:ilvl w:val="0"/>
          <w:numId w:val="26"/>
        </w:numPr>
        <w:autoSpaceDE w:val="0"/>
        <w:autoSpaceDN w:val="0"/>
        <w:adjustRightInd w:val="0"/>
        <w:spacing w:before="8" w:after="0" w:line="260" w:lineRule="exact"/>
        <w:jc w:val="both"/>
        <w:rPr>
          <w:rFonts w:cs="Calibri"/>
          <w:color w:val="000000"/>
          <w:spacing w:val="1"/>
          <w:position w:val="1"/>
          <w:sz w:val="24"/>
          <w:szCs w:val="24"/>
        </w:rPr>
      </w:pPr>
      <w:r w:rsidRPr="00A579D1">
        <w:rPr>
          <w:rFonts w:cs="Calibri"/>
          <w:color w:val="000000"/>
          <w:spacing w:val="1"/>
          <w:position w:val="1"/>
          <w:sz w:val="24"/>
          <w:szCs w:val="24"/>
        </w:rPr>
        <w:t xml:space="preserve">L’expansion du faux et de la fraude : Le secteur de la santé peut être confronté à l’expansion du faux et de la fraude pouvant compromettre  la qualité des services de  santé offerts. Pour atténuer  ce risque, les actions de contrôle seront entreprises en collaboration avec les structures en charge du commerce et les structures douanières et sécuritaires pour s’assurer de la qualité des produits et équipements importés. </w:t>
      </w:r>
    </w:p>
    <w:p w:rsidR="003F6048" w:rsidRPr="00A579D1" w:rsidRDefault="00A579D1" w:rsidP="004147B3">
      <w:pPr>
        <w:pStyle w:val="Paragraphedeliste"/>
        <w:widowControl w:val="0"/>
        <w:numPr>
          <w:ilvl w:val="0"/>
          <w:numId w:val="26"/>
        </w:numPr>
        <w:autoSpaceDE w:val="0"/>
        <w:autoSpaceDN w:val="0"/>
        <w:adjustRightInd w:val="0"/>
        <w:spacing w:before="8" w:after="0" w:line="260" w:lineRule="exact"/>
        <w:jc w:val="both"/>
        <w:rPr>
          <w:rFonts w:cs="Calibri"/>
          <w:color w:val="000000"/>
          <w:spacing w:val="1"/>
          <w:position w:val="1"/>
          <w:sz w:val="24"/>
          <w:szCs w:val="24"/>
        </w:rPr>
      </w:pPr>
      <w:r w:rsidRPr="00A579D1">
        <w:rPr>
          <w:rFonts w:cs="Calibri"/>
          <w:color w:val="000000"/>
          <w:spacing w:val="1"/>
          <w:position w:val="1"/>
          <w:sz w:val="24"/>
          <w:szCs w:val="24"/>
        </w:rPr>
        <w:t>L’insécurité : L’insécurité dans certaines zones peut empêcher l’offre de service de santé de qualité aux populations concernées. Pour y remédier, des actions de sensibilisation seront organisées auprès des populations, en collaboration avec les services compétents pour une participation active de la population à la mise en œuvre de la politique.</w:t>
      </w:r>
    </w:p>
    <w:p w:rsidR="003F6048" w:rsidRDefault="003F6048" w:rsidP="003F6048"/>
    <w:p w:rsidR="00EF25A7" w:rsidRDefault="00EF25A7" w:rsidP="003F6048"/>
    <w:p w:rsidR="00EF25A7" w:rsidRDefault="00EF25A7" w:rsidP="003F6048"/>
    <w:p w:rsidR="00EF25A7" w:rsidRDefault="00EF25A7" w:rsidP="003F6048"/>
    <w:p w:rsidR="00C46B35" w:rsidRPr="009D2701" w:rsidRDefault="009D2701" w:rsidP="004147B3">
      <w:pPr>
        <w:pStyle w:val="Titre1"/>
        <w:numPr>
          <w:ilvl w:val="0"/>
          <w:numId w:val="27"/>
        </w:numPr>
      </w:pPr>
      <w:r w:rsidRPr="009D2701">
        <w:lastRenderedPageBreak/>
        <w:t>ANNEXES</w:t>
      </w:r>
    </w:p>
    <w:p w:rsidR="00C46B35" w:rsidRPr="00C46B35" w:rsidRDefault="00C46B35" w:rsidP="00C46B35">
      <w:pPr>
        <w:widowControl w:val="0"/>
        <w:autoSpaceDE w:val="0"/>
        <w:autoSpaceDN w:val="0"/>
        <w:adjustRightInd w:val="0"/>
        <w:spacing w:before="7" w:after="0" w:line="150" w:lineRule="exact"/>
        <w:rPr>
          <w:rFonts w:cstheme="minorHAnsi"/>
          <w:color w:val="000000"/>
          <w:sz w:val="24"/>
          <w:szCs w:val="24"/>
        </w:rPr>
      </w:pPr>
    </w:p>
    <w:p w:rsidR="00C46B35" w:rsidRPr="00C46B35" w:rsidRDefault="00C46B35" w:rsidP="00C46B35">
      <w:pPr>
        <w:widowControl w:val="0"/>
        <w:autoSpaceDE w:val="0"/>
        <w:autoSpaceDN w:val="0"/>
        <w:adjustRightInd w:val="0"/>
        <w:spacing w:after="0" w:line="240" w:lineRule="auto"/>
        <w:ind w:left="116"/>
        <w:rPr>
          <w:rFonts w:cstheme="minorHAnsi"/>
          <w:color w:val="000000"/>
          <w:sz w:val="24"/>
          <w:szCs w:val="24"/>
        </w:rPr>
      </w:pPr>
      <w:r w:rsidRPr="00C46B35">
        <w:rPr>
          <w:rFonts w:cstheme="minorHAnsi"/>
          <w:color w:val="000000"/>
          <w:spacing w:val="1"/>
          <w:sz w:val="24"/>
          <w:szCs w:val="24"/>
        </w:rPr>
        <w:t>-</w:t>
      </w:r>
      <w:r w:rsidRPr="00C46B35">
        <w:rPr>
          <w:rFonts w:cstheme="minorHAnsi"/>
          <w:color w:val="000000"/>
          <w:sz w:val="24"/>
          <w:szCs w:val="24"/>
        </w:rPr>
        <w:t>C</w:t>
      </w:r>
      <w:r w:rsidRPr="00C46B35">
        <w:rPr>
          <w:rFonts w:cstheme="minorHAnsi"/>
          <w:color w:val="000000"/>
          <w:spacing w:val="-1"/>
          <w:sz w:val="24"/>
          <w:szCs w:val="24"/>
        </w:rPr>
        <w:t>a</w:t>
      </w:r>
      <w:r w:rsidRPr="00C46B35">
        <w:rPr>
          <w:rFonts w:cstheme="minorHAnsi"/>
          <w:color w:val="000000"/>
          <w:sz w:val="24"/>
          <w:szCs w:val="24"/>
        </w:rPr>
        <w:t>d</w:t>
      </w:r>
      <w:r w:rsidRPr="00C46B35">
        <w:rPr>
          <w:rFonts w:cstheme="minorHAnsi"/>
          <w:color w:val="000000"/>
          <w:spacing w:val="-1"/>
          <w:sz w:val="24"/>
          <w:szCs w:val="24"/>
        </w:rPr>
        <w:t>r</w:t>
      </w:r>
      <w:r w:rsidRPr="00C46B35">
        <w:rPr>
          <w:rFonts w:cstheme="minorHAnsi"/>
          <w:color w:val="000000"/>
          <w:sz w:val="24"/>
          <w:szCs w:val="24"/>
        </w:rPr>
        <w:t>e</w:t>
      </w:r>
      <w:r w:rsidRPr="00C46B35">
        <w:rPr>
          <w:rFonts w:cstheme="minorHAnsi"/>
          <w:color w:val="000000"/>
          <w:spacing w:val="-1"/>
          <w:sz w:val="24"/>
          <w:szCs w:val="24"/>
        </w:rPr>
        <w:t xml:space="preserve"> </w:t>
      </w:r>
      <w:r w:rsidRPr="00C46B35">
        <w:rPr>
          <w:rFonts w:cstheme="minorHAnsi"/>
          <w:color w:val="000000"/>
          <w:sz w:val="24"/>
          <w:szCs w:val="24"/>
        </w:rPr>
        <w:t>l</w:t>
      </w:r>
      <w:r w:rsidRPr="00C46B35">
        <w:rPr>
          <w:rFonts w:cstheme="minorHAnsi"/>
          <w:color w:val="000000"/>
          <w:spacing w:val="3"/>
          <w:sz w:val="24"/>
          <w:szCs w:val="24"/>
        </w:rPr>
        <w:t>o</w:t>
      </w:r>
      <w:r w:rsidRPr="00C46B35">
        <w:rPr>
          <w:rFonts w:cstheme="minorHAnsi"/>
          <w:color w:val="000000"/>
          <w:spacing w:val="-2"/>
          <w:sz w:val="24"/>
          <w:szCs w:val="24"/>
        </w:rPr>
        <w:t>g</w:t>
      </w:r>
      <w:r w:rsidRPr="00C46B35">
        <w:rPr>
          <w:rFonts w:cstheme="minorHAnsi"/>
          <w:color w:val="000000"/>
          <w:sz w:val="24"/>
          <w:szCs w:val="24"/>
        </w:rPr>
        <w:t xml:space="preserve">ique </w:t>
      </w:r>
      <w:r w:rsidRPr="00C46B35">
        <w:rPr>
          <w:rFonts w:cstheme="minorHAnsi"/>
          <w:color w:val="000000"/>
          <w:spacing w:val="1"/>
          <w:sz w:val="24"/>
          <w:szCs w:val="24"/>
        </w:rPr>
        <w:t>(</w:t>
      </w:r>
      <w:r w:rsidRPr="00C46B35">
        <w:rPr>
          <w:rFonts w:cstheme="minorHAnsi"/>
          <w:color w:val="000000"/>
          <w:spacing w:val="-2"/>
          <w:sz w:val="24"/>
          <w:szCs w:val="24"/>
        </w:rPr>
        <w:t>g</w:t>
      </w:r>
      <w:r w:rsidRPr="00C46B35">
        <w:rPr>
          <w:rFonts w:cstheme="minorHAnsi"/>
          <w:color w:val="000000"/>
          <w:sz w:val="24"/>
          <w:szCs w:val="24"/>
        </w:rPr>
        <w:t xml:space="preserve">lobal </w:t>
      </w:r>
      <w:r w:rsidRPr="00C46B35">
        <w:rPr>
          <w:rFonts w:cstheme="minorHAnsi"/>
          <w:color w:val="000000"/>
          <w:spacing w:val="-1"/>
          <w:sz w:val="24"/>
          <w:szCs w:val="24"/>
        </w:rPr>
        <w:t>e</w:t>
      </w:r>
      <w:r w:rsidRPr="00C46B35">
        <w:rPr>
          <w:rFonts w:cstheme="minorHAnsi"/>
          <w:color w:val="000000"/>
          <w:sz w:val="24"/>
          <w:szCs w:val="24"/>
        </w:rPr>
        <w:t>t</w:t>
      </w:r>
      <w:r w:rsidRPr="00C46B35">
        <w:rPr>
          <w:rFonts w:cstheme="minorHAnsi"/>
          <w:color w:val="000000"/>
          <w:spacing w:val="3"/>
          <w:sz w:val="24"/>
          <w:szCs w:val="24"/>
        </w:rPr>
        <w:t xml:space="preserve"> </w:t>
      </w:r>
      <w:r w:rsidRPr="00C46B35">
        <w:rPr>
          <w:rFonts w:cstheme="minorHAnsi"/>
          <w:color w:val="000000"/>
          <w:sz w:val="24"/>
          <w:szCs w:val="24"/>
        </w:rPr>
        <w:t>r</w:t>
      </w:r>
      <w:r w:rsidRPr="00C46B35">
        <w:rPr>
          <w:rFonts w:cstheme="minorHAnsi"/>
          <w:color w:val="000000"/>
          <w:spacing w:val="-2"/>
          <w:sz w:val="24"/>
          <w:szCs w:val="24"/>
        </w:rPr>
        <w:t>é</w:t>
      </w:r>
      <w:r w:rsidRPr="00C46B35">
        <w:rPr>
          <w:rFonts w:cstheme="minorHAnsi"/>
          <w:color w:val="000000"/>
          <w:sz w:val="24"/>
          <w:szCs w:val="24"/>
        </w:rPr>
        <w:t>fér</w:t>
      </w:r>
      <w:r w:rsidRPr="00C46B35">
        <w:rPr>
          <w:rFonts w:cstheme="minorHAnsi"/>
          <w:color w:val="000000"/>
          <w:spacing w:val="-2"/>
          <w:sz w:val="24"/>
          <w:szCs w:val="24"/>
        </w:rPr>
        <w:t>e</w:t>
      </w:r>
      <w:r w:rsidRPr="00C46B35">
        <w:rPr>
          <w:rFonts w:cstheme="minorHAnsi"/>
          <w:color w:val="000000"/>
          <w:sz w:val="24"/>
          <w:szCs w:val="24"/>
        </w:rPr>
        <w:t>nt</w:t>
      </w:r>
      <w:r w:rsidRPr="00C46B35">
        <w:rPr>
          <w:rFonts w:cstheme="minorHAnsi"/>
          <w:color w:val="000000"/>
          <w:spacing w:val="1"/>
          <w:sz w:val="24"/>
          <w:szCs w:val="24"/>
        </w:rPr>
        <w:t>i</w:t>
      </w:r>
      <w:r w:rsidRPr="00C46B35">
        <w:rPr>
          <w:rFonts w:cstheme="minorHAnsi"/>
          <w:color w:val="000000"/>
          <w:spacing w:val="-1"/>
          <w:sz w:val="24"/>
          <w:szCs w:val="24"/>
        </w:rPr>
        <w:t>e</w:t>
      </w:r>
      <w:r w:rsidRPr="00C46B35">
        <w:rPr>
          <w:rFonts w:cstheme="minorHAnsi"/>
          <w:color w:val="000000"/>
          <w:sz w:val="24"/>
          <w:szCs w:val="24"/>
        </w:rPr>
        <w:t>l national)</w:t>
      </w:r>
    </w:p>
    <w:p w:rsidR="00C46B35" w:rsidRPr="00C46B35" w:rsidRDefault="00C46B35" w:rsidP="00C46B35">
      <w:pPr>
        <w:widowControl w:val="0"/>
        <w:autoSpaceDE w:val="0"/>
        <w:autoSpaceDN w:val="0"/>
        <w:adjustRightInd w:val="0"/>
        <w:spacing w:after="0" w:line="281" w:lineRule="exact"/>
        <w:ind w:left="116"/>
        <w:rPr>
          <w:rFonts w:cstheme="minorHAnsi"/>
          <w:color w:val="000000"/>
          <w:sz w:val="24"/>
          <w:szCs w:val="24"/>
        </w:rPr>
      </w:pPr>
      <w:r w:rsidRPr="00C46B35">
        <w:rPr>
          <w:rFonts w:cstheme="minorHAnsi"/>
          <w:color w:val="000000"/>
          <w:spacing w:val="1"/>
          <w:position w:val="1"/>
          <w:sz w:val="24"/>
          <w:szCs w:val="24"/>
        </w:rPr>
        <w:t>-</w:t>
      </w:r>
      <w:r w:rsidRPr="00C46B35">
        <w:rPr>
          <w:rFonts w:cstheme="minorHAnsi"/>
          <w:color w:val="000000"/>
          <w:position w:val="1"/>
          <w:sz w:val="24"/>
          <w:szCs w:val="24"/>
        </w:rPr>
        <w:t>C</w:t>
      </w:r>
      <w:r w:rsidRPr="00C46B35">
        <w:rPr>
          <w:rFonts w:cstheme="minorHAnsi"/>
          <w:color w:val="000000"/>
          <w:spacing w:val="-1"/>
          <w:position w:val="1"/>
          <w:sz w:val="24"/>
          <w:szCs w:val="24"/>
        </w:rPr>
        <w:t>a</w:t>
      </w:r>
      <w:r w:rsidRPr="00C46B35">
        <w:rPr>
          <w:rFonts w:cstheme="minorHAnsi"/>
          <w:color w:val="000000"/>
          <w:position w:val="1"/>
          <w:sz w:val="24"/>
          <w:szCs w:val="24"/>
        </w:rPr>
        <w:t>d</w:t>
      </w:r>
      <w:r w:rsidRPr="00C46B35">
        <w:rPr>
          <w:rFonts w:cstheme="minorHAnsi"/>
          <w:color w:val="000000"/>
          <w:spacing w:val="-1"/>
          <w:position w:val="1"/>
          <w:sz w:val="24"/>
          <w:szCs w:val="24"/>
        </w:rPr>
        <w:t>r</w:t>
      </w:r>
      <w:r w:rsidRPr="00C46B35">
        <w:rPr>
          <w:rFonts w:cstheme="minorHAnsi"/>
          <w:color w:val="000000"/>
          <w:position w:val="1"/>
          <w:sz w:val="24"/>
          <w:szCs w:val="24"/>
        </w:rPr>
        <w:t>e</w:t>
      </w:r>
      <w:r w:rsidRPr="00C46B35">
        <w:rPr>
          <w:rFonts w:cstheme="minorHAnsi"/>
          <w:color w:val="000000"/>
          <w:spacing w:val="-1"/>
          <w:position w:val="1"/>
          <w:sz w:val="24"/>
          <w:szCs w:val="24"/>
        </w:rPr>
        <w:t xml:space="preserve"> </w:t>
      </w:r>
      <w:r w:rsidRPr="00C46B35">
        <w:rPr>
          <w:rFonts w:cstheme="minorHAnsi"/>
          <w:color w:val="000000"/>
          <w:position w:val="1"/>
          <w:sz w:val="24"/>
          <w:szCs w:val="24"/>
        </w:rPr>
        <w:t>de</w:t>
      </w:r>
      <w:r w:rsidRPr="00C46B35">
        <w:rPr>
          <w:rFonts w:cstheme="minorHAnsi"/>
          <w:color w:val="000000"/>
          <w:spacing w:val="-1"/>
          <w:position w:val="1"/>
          <w:sz w:val="24"/>
          <w:szCs w:val="24"/>
        </w:rPr>
        <w:t xml:space="preserve"> </w:t>
      </w:r>
      <w:r w:rsidRPr="00C46B35">
        <w:rPr>
          <w:rFonts w:cstheme="minorHAnsi"/>
          <w:color w:val="000000"/>
          <w:position w:val="1"/>
          <w:sz w:val="24"/>
          <w:szCs w:val="24"/>
        </w:rPr>
        <w:t>mes</w:t>
      </w:r>
      <w:r w:rsidRPr="00C46B35">
        <w:rPr>
          <w:rFonts w:cstheme="minorHAnsi"/>
          <w:color w:val="000000"/>
          <w:spacing w:val="2"/>
          <w:position w:val="1"/>
          <w:sz w:val="24"/>
          <w:szCs w:val="24"/>
        </w:rPr>
        <w:t>u</w:t>
      </w:r>
      <w:r w:rsidRPr="00C46B35">
        <w:rPr>
          <w:rFonts w:cstheme="minorHAnsi"/>
          <w:color w:val="000000"/>
          <w:position w:val="1"/>
          <w:sz w:val="24"/>
          <w:szCs w:val="24"/>
        </w:rPr>
        <w:t>re</w:t>
      </w:r>
      <w:r w:rsidRPr="00C46B35">
        <w:rPr>
          <w:rFonts w:cstheme="minorHAnsi"/>
          <w:color w:val="000000"/>
          <w:spacing w:val="-2"/>
          <w:position w:val="1"/>
          <w:sz w:val="24"/>
          <w:szCs w:val="24"/>
        </w:rPr>
        <w:t xml:space="preserve"> </w:t>
      </w:r>
      <w:r w:rsidRPr="00C46B35">
        <w:rPr>
          <w:rFonts w:cstheme="minorHAnsi"/>
          <w:color w:val="000000"/>
          <w:position w:val="1"/>
          <w:sz w:val="24"/>
          <w:szCs w:val="24"/>
        </w:rPr>
        <w:t>de</w:t>
      </w:r>
      <w:r w:rsidRPr="00C46B35">
        <w:rPr>
          <w:rFonts w:cstheme="minorHAnsi"/>
          <w:color w:val="000000"/>
          <w:spacing w:val="-1"/>
          <w:position w:val="1"/>
          <w:sz w:val="24"/>
          <w:szCs w:val="24"/>
        </w:rPr>
        <w:t xml:space="preserve"> </w:t>
      </w:r>
      <w:r w:rsidRPr="00C46B35">
        <w:rPr>
          <w:rFonts w:cstheme="minorHAnsi"/>
          <w:color w:val="000000"/>
          <w:spacing w:val="2"/>
          <w:position w:val="1"/>
          <w:sz w:val="24"/>
          <w:szCs w:val="24"/>
        </w:rPr>
        <w:t>p</w:t>
      </w:r>
      <w:r w:rsidRPr="00C46B35">
        <w:rPr>
          <w:rFonts w:cstheme="minorHAnsi"/>
          <w:color w:val="000000"/>
          <w:spacing w:val="-1"/>
          <w:position w:val="1"/>
          <w:sz w:val="24"/>
          <w:szCs w:val="24"/>
        </w:rPr>
        <w:t>e</w:t>
      </w:r>
      <w:r w:rsidRPr="00C46B35">
        <w:rPr>
          <w:rFonts w:cstheme="minorHAnsi"/>
          <w:color w:val="000000"/>
          <w:position w:val="1"/>
          <w:sz w:val="24"/>
          <w:szCs w:val="24"/>
        </w:rPr>
        <w:t>r</w:t>
      </w:r>
      <w:r w:rsidRPr="00C46B35">
        <w:rPr>
          <w:rFonts w:cstheme="minorHAnsi"/>
          <w:color w:val="000000"/>
          <w:spacing w:val="1"/>
          <w:position w:val="1"/>
          <w:sz w:val="24"/>
          <w:szCs w:val="24"/>
        </w:rPr>
        <w:t>f</w:t>
      </w:r>
      <w:r w:rsidRPr="00C46B35">
        <w:rPr>
          <w:rFonts w:cstheme="minorHAnsi"/>
          <w:color w:val="000000"/>
          <w:position w:val="1"/>
          <w:sz w:val="24"/>
          <w:szCs w:val="24"/>
        </w:rPr>
        <w:t>o</w:t>
      </w:r>
      <w:r w:rsidRPr="00C46B35">
        <w:rPr>
          <w:rFonts w:cstheme="minorHAnsi"/>
          <w:color w:val="000000"/>
          <w:spacing w:val="-1"/>
          <w:position w:val="1"/>
          <w:sz w:val="24"/>
          <w:szCs w:val="24"/>
        </w:rPr>
        <w:t>r</w:t>
      </w:r>
      <w:r w:rsidRPr="00C46B35">
        <w:rPr>
          <w:rFonts w:cstheme="minorHAnsi"/>
          <w:color w:val="000000"/>
          <w:position w:val="1"/>
          <w:sz w:val="24"/>
          <w:szCs w:val="24"/>
        </w:rPr>
        <w:t>man</w:t>
      </w:r>
      <w:r w:rsidRPr="00C46B35">
        <w:rPr>
          <w:rFonts w:cstheme="minorHAnsi"/>
          <w:color w:val="000000"/>
          <w:spacing w:val="-1"/>
          <w:position w:val="1"/>
          <w:sz w:val="24"/>
          <w:szCs w:val="24"/>
        </w:rPr>
        <w:t>c</w:t>
      </w:r>
      <w:r w:rsidRPr="00C46B35">
        <w:rPr>
          <w:rFonts w:cstheme="minorHAnsi"/>
          <w:color w:val="000000"/>
          <w:position w:val="1"/>
          <w:sz w:val="24"/>
          <w:szCs w:val="24"/>
        </w:rPr>
        <w:t>e</w:t>
      </w:r>
    </w:p>
    <w:p w:rsidR="00C46B35" w:rsidRPr="00C46B35" w:rsidRDefault="00C46B35" w:rsidP="00C46B35">
      <w:pPr>
        <w:widowControl w:val="0"/>
        <w:autoSpaceDE w:val="0"/>
        <w:autoSpaceDN w:val="0"/>
        <w:adjustRightInd w:val="0"/>
        <w:spacing w:after="0" w:line="281" w:lineRule="exact"/>
        <w:ind w:left="116"/>
        <w:rPr>
          <w:rFonts w:cstheme="minorHAnsi"/>
          <w:color w:val="000000"/>
          <w:sz w:val="24"/>
          <w:szCs w:val="24"/>
        </w:rPr>
      </w:pPr>
      <w:r w:rsidRPr="00C46B35">
        <w:rPr>
          <w:rFonts w:cstheme="minorHAnsi"/>
          <w:color w:val="000000"/>
          <w:spacing w:val="1"/>
          <w:position w:val="1"/>
          <w:sz w:val="24"/>
          <w:szCs w:val="24"/>
        </w:rPr>
        <w:t>-</w:t>
      </w:r>
      <w:r w:rsidRPr="00C46B35">
        <w:rPr>
          <w:rFonts w:cstheme="minorHAnsi"/>
          <w:color w:val="000000"/>
          <w:position w:val="1"/>
          <w:sz w:val="24"/>
          <w:szCs w:val="24"/>
        </w:rPr>
        <w:t>Mat</w:t>
      </w:r>
      <w:r w:rsidRPr="00C46B35">
        <w:rPr>
          <w:rFonts w:cstheme="minorHAnsi"/>
          <w:color w:val="000000"/>
          <w:spacing w:val="-1"/>
          <w:position w:val="1"/>
          <w:sz w:val="24"/>
          <w:szCs w:val="24"/>
        </w:rPr>
        <w:t>r</w:t>
      </w:r>
      <w:r w:rsidRPr="00C46B35">
        <w:rPr>
          <w:rFonts w:cstheme="minorHAnsi"/>
          <w:color w:val="000000"/>
          <w:position w:val="1"/>
          <w:sz w:val="24"/>
          <w:szCs w:val="24"/>
        </w:rPr>
        <w:t>ice</w:t>
      </w:r>
      <w:r w:rsidRPr="00C46B35">
        <w:rPr>
          <w:rFonts w:cstheme="minorHAnsi"/>
          <w:color w:val="000000"/>
          <w:spacing w:val="-1"/>
          <w:position w:val="1"/>
          <w:sz w:val="24"/>
          <w:szCs w:val="24"/>
        </w:rPr>
        <w:t xml:space="preserve"> </w:t>
      </w:r>
      <w:r w:rsidRPr="00C46B35">
        <w:rPr>
          <w:rFonts w:cstheme="minorHAnsi"/>
          <w:color w:val="000000"/>
          <w:position w:val="1"/>
          <w:sz w:val="24"/>
          <w:szCs w:val="24"/>
        </w:rPr>
        <w:t>d</w:t>
      </w:r>
      <w:r w:rsidRPr="00C46B35">
        <w:rPr>
          <w:rFonts w:cstheme="minorHAnsi"/>
          <w:color w:val="000000"/>
          <w:spacing w:val="-1"/>
          <w:position w:val="1"/>
          <w:sz w:val="24"/>
          <w:szCs w:val="24"/>
        </w:rPr>
        <w:t>e</w:t>
      </w:r>
      <w:r w:rsidRPr="00C46B35">
        <w:rPr>
          <w:rFonts w:cstheme="minorHAnsi"/>
          <w:color w:val="000000"/>
          <w:position w:val="1"/>
          <w:sz w:val="24"/>
          <w:szCs w:val="24"/>
        </w:rPr>
        <w:t>s</w:t>
      </w:r>
      <w:r w:rsidRPr="00C46B35">
        <w:rPr>
          <w:rFonts w:cstheme="minorHAnsi"/>
          <w:color w:val="000000"/>
          <w:spacing w:val="2"/>
          <w:position w:val="1"/>
          <w:sz w:val="24"/>
          <w:szCs w:val="24"/>
        </w:rPr>
        <w:t xml:space="preserve"> </w:t>
      </w:r>
      <w:r w:rsidRPr="00C46B35">
        <w:rPr>
          <w:rFonts w:cstheme="minorHAnsi"/>
          <w:color w:val="000000"/>
          <w:position w:val="1"/>
          <w:sz w:val="24"/>
          <w:szCs w:val="24"/>
        </w:rPr>
        <w:t>r</w:t>
      </w:r>
      <w:r w:rsidRPr="00C46B35">
        <w:rPr>
          <w:rFonts w:cstheme="minorHAnsi"/>
          <w:color w:val="000000"/>
          <w:spacing w:val="-2"/>
          <w:position w:val="1"/>
          <w:sz w:val="24"/>
          <w:szCs w:val="24"/>
        </w:rPr>
        <w:t>e</w:t>
      </w:r>
      <w:r w:rsidRPr="00C46B35">
        <w:rPr>
          <w:rFonts w:cstheme="minorHAnsi"/>
          <w:color w:val="000000"/>
          <w:position w:val="1"/>
          <w:sz w:val="24"/>
          <w:szCs w:val="24"/>
        </w:rPr>
        <w:t>f</w:t>
      </w:r>
      <w:r w:rsidRPr="00C46B35">
        <w:rPr>
          <w:rFonts w:cstheme="minorHAnsi"/>
          <w:color w:val="000000"/>
          <w:spacing w:val="1"/>
          <w:position w:val="1"/>
          <w:sz w:val="24"/>
          <w:szCs w:val="24"/>
        </w:rPr>
        <w:t>o</w:t>
      </w:r>
      <w:r w:rsidRPr="00C46B35">
        <w:rPr>
          <w:rFonts w:cstheme="minorHAnsi"/>
          <w:color w:val="000000"/>
          <w:position w:val="1"/>
          <w:sz w:val="24"/>
          <w:szCs w:val="24"/>
        </w:rPr>
        <w:t>rm</w:t>
      </w:r>
      <w:r w:rsidRPr="00C46B35">
        <w:rPr>
          <w:rFonts w:cstheme="minorHAnsi"/>
          <w:color w:val="000000"/>
          <w:spacing w:val="-1"/>
          <w:position w:val="1"/>
          <w:sz w:val="24"/>
          <w:szCs w:val="24"/>
        </w:rPr>
        <w:t>e</w:t>
      </w:r>
      <w:r w:rsidRPr="00C46B35">
        <w:rPr>
          <w:rFonts w:cstheme="minorHAnsi"/>
          <w:color w:val="000000"/>
          <w:position w:val="1"/>
          <w:sz w:val="24"/>
          <w:szCs w:val="24"/>
        </w:rPr>
        <w:t>s s</w:t>
      </w:r>
      <w:r w:rsidRPr="00C46B35">
        <w:rPr>
          <w:rFonts w:cstheme="minorHAnsi"/>
          <w:color w:val="000000"/>
          <w:spacing w:val="1"/>
          <w:position w:val="1"/>
          <w:sz w:val="24"/>
          <w:szCs w:val="24"/>
        </w:rPr>
        <w:t>t</w:t>
      </w:r>
      <w:r w:rsidRPr="00C46B35">
        <w:rPr>
          <w:rFonts w:cstheme="minorHAnsi"/>
          <w:color w:val="000000"/>
          <w:position w:val="1"/>
          <w:sz w:val="24"/>
          <w:szCs w:val="24"/>
        </w:rPr>
        <w:t>raté</w:t>
      </w:r>
      <w:r w:rsidRPr="00C46B35">
        <w:rPr>
          <w:rFonts w:cstheme="minorHAnsi"/>
          <w:color w:val="000000"/>
          <w:spacing w:val="-3"/>
          <w:position w:val="1"/>
          <w:sz w:val="24"/>
          <w:szCs w:val="24"/>
        </w:rPr>
        <w:t>g</w:t>
      </w:r>
      <w:r w:rsidRPr="00C46B35">
        <w:rPr>
          <w:rFonts w:cstheme="minorHAnsi"/>
          <w:color w:val="000000"/>
          <w:position w:val="1"/>
          <w:sz w:val="24"/>
          <w:szCs w:val="24"/>
        </w:rPr>
        <w:t>iques</w:t>
      </w:r>
      <w:r w:rsidRPr="00C46B35">
        <w:rPr>
          <w:rFonts w:cstheme="minorHAnsi"/>
          <w:color w:val="000000"/>
          <w:spacing w:val="2"/>
          <w:position w:val="1"/>
          <w:sz w:val="24"/>
          <w:szCs w:val="24"/>
        </w:rPr>
        <w:t xml:space="preserve"> </w:t>
      </w:r>
      <w:r w:rsidRPr="00C46B35">
        <w:rPr>
          <w:rFonts w:cstheme="minorHAnsi"/>
          <w:color w:val="000000"/>
          <w:spacing w:val="-1"/>
          <w:position w:val="1"/>
          <w:sz w:val="24"/>
          <w:szCs w:val="24"/>
        </w:rPr>
        <w:t>e</w:t>
      </w:r>
      <w:r w:rsidRPr="00C46B35">
        <w:rPr>
          <w:rFonts w:cstheme="minorHAnsi"/>
          <w:color w:val="000000"/>
          <w:position w:val="1"/>
          <w:sz w:val="24"/>
          <w:szCs w:val="24"/>
        </w:rPr>
        <w:t>t des investiss</w:t>
      </w:r>
      <w:r w:rsidRPr="00C46B35">
        <w:rPr>
          <w:rFonts w:cstheme="minorHAnsi"/>
          <w:color w:val="000000"/>
          <w:spacing w:val="1"/>
          <w:position w:val="1"/>
          <w:sz w:val="24"/>
          <w:szCs w:val="24"/>
        </w:rPr>
        <w:t>e</w:t>
      </w:r>
      <w:r w:rsidRPr="00C46B35">
        <w:rPr>
          <w:rFonts w:cstheme="minorHAnsi"/>
          <w:color w:val="000000"/>
          <w:position w:val="1"/>
          <w:sz w:val="24"/>
          <w:szCs w:val="24"/>
        </w:rPr>
        <w:t>ments s</w:t>
      </w:r>
      <w:r w:rsidRPr="00C46B35">
        <w:rPr>
          <w:rFonts w:cstheme="minorHAnsi"/>
          <w:color w:val="000000"/>
          <w:spacing w:val="1"/>
          <w:position w:val="1"/>
          <w:sz w:val="24"/>
          <w:szCs w:val="24"/>
        </w:rPr>
        <w:t>t</w:t>
      </w:r>
      <w:r w:rsidRPr="00C46B35">
        <w:rPr>
          <w:rFonts w:cstheme="minorHAnsi"/>
          <w:color w:val="000000"/>
          <w:position w:val="1"/>
          <w:sz w:val="24"/>
          <w:szCs w:val="24"/>
        </w:rPr>
        <w:t>ru</w:t>
      </w:r>
      <w:r w:rsidRPr="00C46B35">
        <w:rPr>
          <w:rFonts w:cstheme="minorHAnsi"/>
          <w:color w:val="000000"/>
          <w:spacing w:val="-2"/>
          <w:position w:val="1"/>
          <w:sz w:val="24"/>
          <w:szCs w:val="24"/>
        </w:rPr>
        <w:t>c</w:t>
      </w:r>
      <w:r w:rsidRPr="00C46B35">
        <w:rPr>
          <w:rFonts w:cstheme="minorHAnsi"/>
          <w:color w:val="000000"/>
          <w:position w:val="1"/>
          <w:sz w:val="24"/>
          <w:szCs w:val="24"/>
        </w:rPr>
        <w:t>tur</w:t>
      </w:r>
      <w:r w:rsidRPr="00C46B35">
        <w:rPr>
          <w:rFonts w:cstheme="minorHAnsi"/>
          <w:color w:val="000000"/>
          <w:spacing w:val="-1"/>
          <w:position w:val="1"/>
          <w:sz w:val="24"/>
          <w:szCs w:val="24"/>
        </w:rPr>
        <w:t>a</w:t>
      </w:r>
      <w:r w:rsidRPr="00C46B35">
        <w:rPr>
          <w:rFonts w:cstheme="minorHAnsi"/>
          <w:color w:val="000000"/>
          <w:spacing w:val="3"/>
          <w:position w:val="1"/>
          <w:sz w:val="24"/>
          <w:szCs w:val="24"/>
        </w:rPr>
        <w:t>n</w:t>
      </w:r>
      <w:r w:rsidRPr="00C46B35">
        <w:rPr>
          <w:rFonts w:cstheme="minorHAnsi"/>
          <w:color w:val="000000"/>
          <w:position w:val="1"/>
          <w:sz w:val="24"/>
          <w:szCs w:val="24"/>
        </w:rPr>
        <w:t>ts du s</w:t>
      </w:r>
      <w:r w:rsidRPr="00C46B35">
        <w:rPr>
          <w:rFonts w:cstheme="minorHAnsi"/>
          <w:color w:val="000000"/>
          <w:spacing w:val="-1"/>
          <w:position w:val="1"/>
          <w:sz w:val="24"/>
          <w:szCs w:val="24"/>
        </w:rPr>
        <w:t>e</w:t>
      </w:r>
      <w:r w:rsidRPr="00C46B35">
        <w:rPr>
          <w:rFonts w:cstheme="minorHAnsi"/>
          <w:color w:val="000000"/>
          <w:spacing w:val="1"/>
          <w:position w:val="1"/>
          <w:sz w:val="24"/>
          <w:szCs w:val="24"/>
        </w:rPr>
        <w:t>c</w:t>
      </w:r>
      <w:r w:rsidRPr="00C46B35">
        <w:rPr>
          <w:rFonts w:cstheme="minorHAnsi"/>
          <w:color w:val="000000"/>
          <w:position w:val="1"/>
          <w:sz w:val="24"/>
          <w:szCs w:val="24"/>
        </w:rPr>
        <w:t>teur.</w:t>
      </w:r>
    </w:p>
    <w:p w:rsidR="00CC522B" w:rsidRDefault="00CC522B">
      <w:pPr>
        <w:rPr>
          <w:rFonts w:cstheme="minorHAnsi"/>
          <w:sz w:val="24"/>
          <w:szCs w:val="24"/>
        </w:rPr>
      </w:pPr>
    </w:p>
    <w:p w:rsidR="00666A8E" w:rsidRPr="00C46B35" w:rsidRDefault="00666A8E">
      <w:pPr>
        <w:rPr>
          <w:rFonts w:cstheme="minorHAnsi"/>
          <w:sz w:val="24"/>
          <w:szCs w:val="24"/>
        </w:rPr>
      </w:pPr>
    </w:p>
    <w:sectPr w:rsidR="00666A8E" w:rsidRPr="00C46B35" w:rsidSect="00986FA2">
      <w:pgSz w:w="11906" w:h="16838"/>
      <w:pgMar w:top="1418" w:right="1418" w:bottom="1418"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316F" w:rsidRDefault="0087316F" w:rsidP="00FB41B0">
      <w:pPr>
        <w:spacing w:after="0" w:line="240" w:lineRule="auto"/>
      </w:pPr>
      <w:r>
        <w:separator/>
      </w:r>
    </w:p>
  </w:endnote>
  <w:endnote w:type="continuationSeparator" w:id="0">
    <w:p w:rsidR="0087316F" w:rsidRDefault="0087316F" w:rsidP="00FB41B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Rockwell">
    <w:panose1 w:val="02060603020205020403"/>
    <w:charset w:val="00"/>
    <w:family w:val="roman"/>
    <w:pitch w:val="variable"/>
    <w:sig w:usb0="00000003" w:usb1="00000000" w:usb2="00000000" w:usb3="00000000" w:csb0="00000001" w:csb1="00000000"/>
  </w:font>
  <w:font w:name="Calibri,Bold">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1648485"/>
      <w:docPartObj>
        <w:docPartGallery w:val="Page Numbers (Bottom of Page)"/>
        <w:docPartUnique/>
      </w:docPartObj>
    </w:sdtPr>
    <w:sdtContent>
      <w:p w:rsidR="004914F1" w:rsidRDefault="004914F1">
        <w:pPr>
          <w:pStyle w:val="Pieddepage"/>
          <w:jc w:val="right"/>
        </w:pPr>
        <w:fldSimple w:instr=" PAGE   \* MERGEFORMAT ">
          <w:r w:rsidR="001E2E63">
            <w:rPr>
              <w:noProof/>
            </w:rPr>
            <w:t>2</w:t>
          </w:r>
        </w:fldSimple>
      </w:p>
    </w:sdtContent>
  </w:sdt>
  <w:p w:rsidR="004914F1" w:rsidRDefault="004914F1">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316F" w:rsidRDefault="0087316F" w:rsidP="00FB41B0">
      <w:pPr>
        <w:spacing w:after="0" w:line="240" w:lineRule="auto"/>
      </w:pPr>
      <w:r>
        <w:separator/>
      </w:r>
    </w:p>
  </w:footnote>
  <w:footnote w:type="continuationSeparator" w:id="0">
    <w:p w:rsidR="0087316F" w:rsidRDefault="0087316F" w:rsidP="00FB41B0">
      <w:pPr>
        <w:spacing w:after="0" w:line="240" w:lineRule="auto"/>
      </w:pPr>
      <w:r>
        <w:continuationSeparator/>
      </w:r>
    </w:p>
  </w:footnote>
  <w:footnote w:id="1">
    <w:p w:rsidR="004914F1" w:rsidRPr="00D8428E" w:rsidRDefault="004914F1" w:rsidP="00FB41B0">
      <w:pPr>
        <w:pStyle w:val="Notedebasdepage"/>
        <w:rPr>
          <w:lang w:val="fr-BE"/>
        </w:rPr>
      </w:pPr>
      <w:r>
        <w:rPr>
          <w:rStyle w:val="Appelnotedebasdep"/>
        </w:rPr>
        <w:footnoteRef/>
      </w:r>
      <w:r>
        <w:t xml:space="preserve"> Référence ????</w:t>
      </w:r>
    </w:p>
  </w:footnote>
  <w:footnote w:id="2">
    <w:p w:rsidR="004914F1" w:rsidRPr="00BD276B" w:rsidRDefault="004914F1" w:rsidP="00FB41B0">
      <w:pPr>
        <w:pStyle w:val="Notedebasdepage"/>
        <w:jc w:val="both"/>
        <w:rPr>
          <w:sz w:val="18"/>
          <w:szCs w:val="18"/>
        </w:rPr>
      </w:pPr>
      <w:r w:rsidRPr="00BD276B">
        <w:rPr>
          <w:rStyle w:val="Appelnotedebasdep"/>
          <w:sz w:val="18"/>
          <w:szCs w:val="18"/>
        </w:rPr>
        <w:footnoteRef/>
      </w:r>
      <w:r w:rsidRPr="00BD276B">
        <w:rPr>
          <w:sz w:val="18"/>
          <w:szCs w:val="18"/>
        </w:rPr>
        <w:t xml:space="preserve"> INSD : « Enquête démographique 2009 »</w:t>
      </w:r>
    </w:p>
  </w:footnote>
  <w:footnote w:id="3">
    <w:p w:rsidR="00944E8A" w:rsidRPr="00944E8A" w:rsidRDefault="00944E8A">
      <w:pPr>
        <w:pStyle w:val="Notedebasdepage"/>
        <w:rPr>
          <w:lang w:val="fr-BE"/>
        </w:rPr>
      </w:pPr>
      <w:r>
        <w:rPr>
          <w:rStyle w:val="Appelnotedebasdep"/>
        </w:rPr>
        <w:footnoteRef/>
      </w:r>
      <w:r>
        <w:t xml:space="preserve"> </w:t>
      </w:r>
      <w:r>
        <w:rPr>
          <w:lang w:val="fr-BE"/>
        </w:rPr>
        <w:t>Annuaires statistiques MS 201</w:t>
      </w:r>
    </w:p>
  </w:footnote>
  <w:footnote w:id="4">
    <w:p w:rsidR="004914F1" w:rsidRPr="00F36417" w:rsidRDefault="004914F1" w:rsidP="00FB41B0">
      <w:pPr>
        <w:pStyle w:val="Notedebasdepage"/>
      </w:pPr>
      <w:r>
        <w:rPr>
          <w:rStyle w:val="Appelnotedebasdep"/>
        </w:rPr>
        <w:footnoteRef/>
      </w:r>
      <w:r>
        <w:t>Référence…..</w:t>
      </w:r>
    </w:p>
  </w:footnote>
  <w:footnote w:id="5">
    <w:p w:rsidR="004914F1" w:rsidRPr="009D4D31" w:rsidRDefault="004914F1" w:rsidP="00FB41B0">
      <w:pPr>
        <w:pStyle w:val="Notedebasdepage"/>
        <w:rPr>
          <w:lang w:val="fr-BE"/>
        </w:rPr>
      </w:pPr>
      <w:r>
        <w:rPr>
          <w:rStyle w:val="Appelnotedebasdep"/>
        </w:rPr>
        <w:footnoteRef/>
      </w:r>
      <w:r>
        <w:t xml:space="preserve"> </w:t>
      </w:r>
      <w:r>
        <w:rPr>
          <w:lang w:val="fr-BE"/>
        </w:rPr>
        <w:t>EMC 2015</w:t>
      </w:r>
    </w:p>
  </w:footnote>
  <w:footnote w:id="6">
    <w:p w:rsidR="004914F1" w:rsidRPr="00BE0E2E" w:rsidRDefault="004914F1" w:rsidP="00FB41B0">
      <w:pPr>
        <w:pStyle w:val="Notedebasdepage"/>
        <w:rPr>
          <w:lang w:val="fr-BE"/>
        </w:rPr>
      </w:pPr>
      <w:r>
        <w:rPr>
          <w:rStyle w:val="Appelnotedebasdep"/>
        </w:rPr>
        <w:footnoteRef/>
      </w:r>
      <w:r>
        <w:t xml:space="preserve"> </w:t>
      </w:r>
      <w:r w:rsidRPr="00926B43">
        <w:rPr>
          <w:lang w:val="fr-BE"/>
        </w:rPr>
        <w:t>Analyse de la situation des femmes et des enfants au Burkina. Unicef Burkina mars 2017</w:t>
      </w:r>
    </w:p>
  </w:footnote>
  <w:footnote w:id="7">
    <w:p w:rsidR="004914F1" w:rsidRPr="00862902" w:rsidRDefault="004914F1" w:rsidP="000C4A3A">
      <w:pPr>
        <w:pStyle w:val="Notedebasdepage"/>
      </w:pPr>
      <w:r>
        <w:rPr>
          <w:rStyle w:val="Appelnotedebasdep"/>
        </w:rPr>
        <w:footnoteRef/>
      </w:r>
      <w:r>
        <w:t xml:space="preserve"> DRH 2016</w:t>
      </w:r>
    </w:p>
  </w:footnote>
  <w:footnote w:id="8">
    <w:p w:rsidR="004914F1" w:rsidRPr="009B2BF2" w:rsidRDefault="004914F1" w:rsidP="00295A7B">
      <w:pPr>
        <w:pStyle w:val="Notedebasdepage"/>
      </w:pPr>
      <w:r>
        <w:rPr>
          <w:rStyle w:val="Appelnotedebasdep"/>
        </w:rPr>
        <w:footnoteRef/>
      </w:r>
      <w:r>
        <w:t xml:space="preserve"> Comptes nationaux de santé 2015</w:t>
      </w:r>
    </w:p>
  </w:footnote>
  <w:footnote w:id="9">
    <w:p w:rsidR="004914F1" w:rsidRPr="009D27C4" w:rsidRDefault="004914F1" w:rsidP="00295A7B">
      <w:pPr>
        <w:pStyle w:val="Notedebasdepage"/>
      </w:pPr>
      <w:r>
        <w:rPr>
          <w:rStyle w:val="Appelnotedebasdep"/>
        </w:rPr>
        <w:footnoteRef/>
      </w:r>
      <w:r>
        <w:t xml:space="preserve"> OMS 2015</w:t>
      </w:r>
    </w:p>
  </w:footnote>
  <w:footnote w:id="10">
    <w:p w:rsidR="004914F1" w:rsidRPr="00781038" w:rsidRDefault="004914F1" w:rsidP="00EF4751">
      <w:pPr>
        <w:pStyle w:val="Notedebasdepage"/>
        <w:rPr>
          <w:lang w:val="fr-BE"/>
        </w:rPr>
      </w:pPr>
      <w:r>
        <w:rPr>
          <w:rStyle w:val="Appelnotedebasdep"/>
        </w:rPr>
        <w:footnoteRef/>
      </w:r>
      <w:r>
        <w:t xml:space="preserve"> EMP PNDS </w:t>
      </w:r>
      <w:r>
        <w:rPr>
          <w:lang w:val="fr-BE"/>
        </w:rPr>
        <w:t>Données EMP 2015 – 2020 et EMD 2015</w:t>
      </w:r>
    </w:p>
  </w:footnote>
  <w:footnote w:id="11">
    <w:p w:rsidR="004914F1" w:rsidRPr="00EC5DAF" w:rsidRDefault="004914F1" w:rsidP="00EF4751">
      <w:pPr>
        <w:pStyle w:val="Notedebasdepage"/>
        <w:rPr>
          <w:lang w:val="fr-BE"/>
        </w:rPr>
      </w:pPr>
      <w:r>
        <w:rPr>
          <w:rStyle w:val="Appelnotedebasdep"/>
        </w:rPr>
        <w:footnoteRef/>
      </w:r>
      <w:r>
        <w:t xml:space="preserve"> </w:t>
      </w:r>
      <w:r>
        <w:rPr>
          <w:lang w:val="fr-BE"/>
        </w:rPr>
        <w:t>Annuaire statistique 2015 INSD</w:t>
      </w:r>
    </w:p>
  </w:footnote>
  <w:footnote w:id="12">
    <w:p w:rsidR="004914F1" w:rsidRPr="00730BD1" w:rsidRDefault="004914F1" w:rsidP="008A5E2D">
      <w:pPr>
        <w:pStyle w:val="Notedebasdepage"/>
        <w:rPr>
          <w:lang w:val="fr-BE"/>
        </w:rPr>
      </w:pPr>
      <w:r>
        <w:rPr>
          <w:rStyle w:val="Appelnotedebasdep"/>
        </w:rPr>
        <w:footnoteRef/>
      </w:r>
      <w:r>
        <w:t xml:space="preserve"> </w:t>
      </w:r>
      <w:r>
        <w:rPr>
          <w:lang w:val="fr-BE"/>
        </w:rPr>
        <w:t>EMC-MDS 2015</w:t>
      </w:r>
    </w:p>
  </w:footnote>
  <w:footnote w:id="13">
    <w:p w:rsidR="004914F1" w:rsidRDefault="004914F1" w:rsidP="008A5E2D">
      <w:pPr>
        <w:pStyle w:val="Notedebasdepage"/>
      </w:pPr>
      <w:r>
        <w:rPr>
          <w:rStyle w:val="Appelnotedebasdep"/>
        </w:rPr>
        <w:footnoteRef/>
      </w:r>
      <w:r>
        <w:t xml:space="preserve"> Annuaire statistique 2016</w:t>
      </w:r>
    </w:p>
  </w:footnote>
  <w:footnote w:id="14">
    <w:p w:rsidR="004914F1" w:rsidRPr="007B218E" w:rsidRDefault="004914F1" w:rsidP="008A5E2D">
      <w:pPr>
        <w:pStyle w:val="Notedebasdepage"/>
      </w:pPr>
      <w:r>
        <w:rPr>
          <w:rStyle w:val="Appelnotedebasdep"/>
        </w:rPr>
        <w:footnoteRef/>
      </w:r>
      <w:r w:rsidRPr="007B218E">
        <w:rPr>
          <w:rFonts w:ascii="Calibri" w:hAnsi="Calibri"/>
          <w:sz w:val="16"/>
          <w:szCs w:val="16"/>
          <w:lang w:eastAsia="en-GB"/>
        </w:rPr>
        <w:t>EIPBF, 2014</w:t>
      </w:r>
      <w:r>
        <w:t xml:space="preserve"> </w:t>
      </w:r>
    </w:p>
  </w:footnote>
  <w:footnote w:id="15">
    <w:p w:rsidR="004914F1" w:rsidRPr="00B53145" w:rsidRDefault="004914F1" w:rsidP="008A5E2D">
      <w:pPr>
        <w:pStyle w:val="Notedebasdepage"/>
      </w:pPr>
      <w:r>
        <w:rPr>
          <w:rStyle w:val="Appelnotedebasdep"/>
        </w:rPr>
        <w:footnoteRef/>
      </w:r>
      <w:r>
        <w:t xml:space="preserve"> </w:t>
      </w:r>
      <w:r w:rsidRPr="00B53145">
        <w:rPr>
          <w:rFonts w:ascii="Calibri" w:hAnsi="Calibri"/>
          <w:sz w:val="16"/>
          <w:szCs w:val="16"/>
          <w:lang w:eastAsia="en-GB"/>
        </w:rPr>
        <w:t>EMC-MDS, 2015</w:t>
      </w:r>
    </w:p>
  </w:footnote>
  <w:footnote w:id="16">
    <w:p w:rsidR="004914F1" w:rsidRPr="001E6CDA" w:rsidRDefault="004914F1" w:rsidP="008A5E2D">
      <w:pPr>
        <w:pStyle w:val="Notedebasdepage"/>
      </w:pPr>
      <w:r>
        <w:rPr>
          <w:rStyle w:val="Appelnotedebasdep"/>
        </w:rPr>
        <w:footnoteRef/>
      </w:r>
      <w:r>
        <w:t xml:space="preserve"> EMC-MDS 2015</w:t>
      </w:r>
    </w:p>
  </w:footnote>
  <w:footnote w:id="17">
    <w:p w:rsidR="004914F1" w:rsidRPr="005D2479" w:rsidRDefault="004914F1" w:rsidP="008A5E2D">
      <w:pPr>
        <w:pStyle w:val="Notedebasdepage"/>
        <w:rPr>
          <w:lang w:val="fr-BE"/>
        </w:rPr>
      </w:pPr>
      <w:r>
        <w:rPr>
          <w:rStyle w:val="Appelnotedebasdep"/>
        </w:rPr>
        <w:footnoteRef/>
      </w:r>
      <w:r>
        <w:t xml:space="preserve"> </w:t>
      </w:r>
      <w:r>
        <w:rPr>
          <w:lang w:val="fr-BE"/>
        </w:rPr>
        <w:t>Plan d’élimination de la transmission du VIH de la mère à l’enfant 2017 - 2020</w:t>
      </w:r>
    </w:p>
  </w:footnote>
  <w:footnote w:id="18">
    <w:p w:rsidR="004914F1" w:rsidRPr="00D0558A" w:rsidRDefault="004914F1" w:rsidP="008A5E2D">
      <w:pPr>
        <w:pStyle w:val="Notedebasdepage"/>
        <w:rPr>
          <w:lang w:val="fr-BE"/>
        </w:rPr>
      </w:pPr>
      <w:r>
        <w:rPr>
          <w:rStyle w:val="Appelnotedebasdep"/>
        </w:rPr>
        <w:footnoteRef/>
      </w:r>
      <w:r>
        <w:t xml:space="preserve"> </w:t>
      </w:r>
      <w:r>
        <w:rPr>
          <w:lang w:val="fr-BE"/>
        </w:rPr>
        <w:t>EMP PNDS 2011-2020</w:t>
      </w:r>
    </w:p>
  </w:footnote>
  <w:footnote w:id="19">
    <w:p w:rsidR="004914F1" w:rsidRPr="00E45FA5" w:rsidRDefault="004914F1" w:rsidP="008A5E2D">
      <w:pPr>
        <w:pStyle w:val="Notedebasdepage"/>
      </w:pPr>
      <w:r>
        <w:rPr>
          <w:rStyle w:val="Appelnotedebasdep"/>
        </w:rPr>
        <w:footnoteRef/>
      </w:r>
      <w:r>
        <w:t xml:space="preserve"> Annuaire statistique 2016</w:t>
      </w:r>
    </w:p>
  </w:footnote>
  <w:footnote w:id="20">
    <w:p w:rsidR="004914F1" w:rsidRDefault="004914F1" w:rsidP="008A5E2D">
      <w:pPr>
        <w:pStyle w:val="Notedebasdepage"/>
      </w:pPr>
      <w:r>
        <w:rPr>
          <w:rStyle w:val="Appelnotedebasdep"/>
        </w:rPr>
        <w:footnoteRef/>
      </w:r>
      <w:r>
        <w:t xml:space="preserve"> MS, annuaire statistique 2015</w:t>
      </w:r>
    </w:p>
  </w:footnote>
  <w:footnote w:id="21">
    <w:p w:rsidR="004914F1" w:rsidRPr="006519D5" w:rsidRDefault="004914F1" w:rsidP="008A5E2D">
      <w:pPr>
        <w:pStyle w:val="Notedebasdepage"/>
        <w:rPr>
          <w:lang w:val="fr-BE"/>
        </w:rPr>
      </w:pPr>
      <w:r>
        <w:rPr>
          <w:rStyle w:val="Appelnotedebasdep"/>
        </w:rPr>
        <w:footnoteRef/>
      </w:r>
      <w:r>
        <w:t xml:space="preserve"> </w:t>
      </w:r>
      <w:proofErr w:type="spellStart"/>
      <w:r>
        <w:rPr>
          <w:lang w:val="fr-BE"/>
        </w:rPr>
        <w:t>Réference</w:t>
      </w:r>
      <w:proofErr w:type="spellEnd"/>
    </w:p>
  </w:footnote>
  <w:footnote w:id="22">
    <w:p w:rsidR="004914F1" w:rsidRPr="000D3D3B" w:rsidRDefault="004914F1" w:rsidP="002E4342">
      <w:pPr>
        <w:pStyle w:val="Notedebasdepage"/>
        <w:rPr>
          <w:lang w:val="fr-BE"/>
        </w:rPr>
      </w:pPr>
      <w:r>
        <w:rPr>
          <w:rStyle w:val="Appelnotedebasdep"/>
        </w:rPr>
        <w:footnoteRef/>
      </w:r>
      <w:r>
        <w:t xml:space="preserve"> </w:t>
      </w:r>
      <w:r>
        <w:rPr>
          <w:lang w:val="fr-BE"/>
        </w:rPr>
        <w:t>EMC 2014 profil de pauvreté</w:t>
      </w:r>
    </w:p>
  </w:footnote>
  <w:footnote w:id="23">
    <w:p w:rsidR="004914F1" w:rsidRPr="003166CB" w:rsidRDefault="004914F1" w:rsidP="002E4342">
      <w:pPr>
        <w:pStyle w:val="Notedebasdepage"/>
        <w:rPr>
          <w:lang w:val="fr-BE"/>
        </w:rPr>
      </w:pPr>
      <w:r>
        <w:rPr>
          <w:rStyle w:val="Appelnotedebasdep"/>
        </w:rPr>
        <w:footnoteRef/>
      </w:r>
      <w:r>
        <w:t xml:space="preserve"> </w:t>
      </w:r>
      <w:r>
        <w:rPr>
          <w:lang w:val="fr-BE"/>
        </w:rPr>
        <w:t>EMC 2014 profil de pauvreté</w:t>
      </w:r>
    </w:p>
  </w:footnote>
  <w:footnote w:id="24">
    <w:p w:rsidR="004914F1" w:rsidRDefault="004914F1" w:rsidP="00B939D7">
      <w:pPr>
        <w:pStyle w:val="Notedebasdepage"/>
      </w:pPr>
      <w:r>
        <w:rPr>
          <w:rStyle w:val="Appelnotedebasdep"/>
        </w:rPr>
        <w:footnoteRef/>
      </w:r>
      <w:r>
        <w:t xml:space="preserve"> Résultats définitifs des campagnes agricoles et de la situation alimentaire et nutritionnelle de 2005 à 2016</w:t>
      </w:r>
    </w:p>
  </w:footnote>
  <w:footnote w:id="25">
    <w:p w:rsidR="004914F1" w:rsidRPr="004914F1" w:rsidRDefault="004914F1" w:rsidP="00B939D7">
      <w:pPr>
        <w:pStyle w:val="Notedebasdepage"/>
        <w:rPr>
          <w:lang w:val="en-US"/>
        </w:rPr>
      </w:pPr>
      <w:r>
        <w:rPr>
          <w:rStyle w:val="Appelnotedebasdep"/>
        </w:rPr>
        <w:footnoteRef/>
      </w:r>
      <w:r w:rsidRPr="004914F1">
        <w:rPr>
          <w:lang w:val="en-US"/>
        </w:rPr>
        <w:t xml:space="preserve"> </w:t>
      </w:r>
      <w:r w:rsidRPr="004914F1">
        <w:rPr>
          <w:rFonts w:cstheme="minorHAnsi"/>
          <w:lang w:val="en-US"/>
        </w:rPr>
        <w:t>RGPH 2006 et projection 2017</w:t>
      </w:r>
    </w:p>
  </w:footnote>
  <w:footnote w:id="26">
    <w:p w:rsidR="004914F1" w:rsidRPr="00527481" w:rsidRDefault="004914F1">
      <w:pPr>
        <w:pStyle w:val="Notedebasdepage"/>
        <w:rPr>
          <w:lang w:val="en-GB"/>
        </w:rPr>
      </w:pPr>
      <w:r>
        <w:rPr>
          <w:rStyle w:val="Appelnotedebasdep"/>
        </w:rPr>
        <w:footnoteRef/>
      </w:r>
      <w:r w:rsidRPr="008E51DC">
        <w:rPr>
          <w:lang w:val="en-GB"/>
        </w:rPr>
        <w:t xml:space="preserve"> Global Burden of Disease, Burkina Faso 2015</w:t>
      </w:r>
    </w:p>
  </w:footnote>
  <w:footnote w:id="27">
    <w:p w:rsidR="004914F1" w:rsidRPr="00C17C27" w:rsidRDefault="004914F1" w:rsidP="00CB16EC">
      <w:pPr>
        <w:pStyle w:val="Notedebasdepage"/>
        <w:rPr>
          <w:sz w:val="16"/>
        </w:rPr>
      </w:pPr>
      <w:r w:rsidRPr="00C17C27">
        <w:rPr>
          <w:rStyle w:val="Appelnotedebasdep"/>
          <w:sz w:val="16"/>
        </w:rPr>
        <w:footnoteRef/>
      </w:r>
      <w:r w:rsidRPr="00C17C27">
        <w:rPr>
          <w:sz w:val="16"/>
        </w:rPr>
        <w:t xml:space="preserve"> EDS 2003</w:t>
      </w:r>
    </w:p>
  </w:footnote>
  <w:footnote w:id="28">
    <w:p w:rsidR="004914F1" w:rsidRPr="00C17C27" w:rsidRDefault="004914F1" w:rsidP="00CB16EC">
      <w:pPr>
        <w:pStyle w:val="Notedebasdepage"/>
        <w:rPr>
          <w:sz w:val="16"/>
        </w:rPr>
      </w:pPr>
      <w:r w:rsidRPr="00C17C27">
        <w:rPr>
          <w:rStyle w:val="Appelnotedebasdep"/>
          <w:sz w:val="16"/>
        </w:rPr>
        <w:footnoteRef/>
      </w:r>
      <w:r w:rsidRPr="00C17C27">
        <w:rPr>
          <w:sz w:val="16"/>
        </w:rPr>
        <w:t xml:space="preserve"> ENIAB 2014</w:t>
      </w:r>
    </w:p>
  </w:footnote>
  <w:footnote w:id="29">
    <w:p w:rsidR="004914F1" w:rsidRDefault="004914F1" w:rsidP="00B939D7">
      <w:pPr>
        <w:pStyle w:val="Notedebasdepage"/>
      </w:pPr>
      <w:r>
        <w:rPr>
          <w:rStyle w:val="Appelnotedebasdep"/>
        </w:rPr>
        <w:footnoteRef/>
      </w:r>
      <w:r>
        <w:t xml:space="preserve"> Enquête multisectorielle continue, 2014</w:t>
      </w:r>
    </w:p>
  </w:footnote>
  <w:footnote w:id="30">
    <w:p w:rsidR="004914F1" w:rsidRPr="0029740B" w:rsidRDefault="004914F1" w:rsidP="00B939D7">
      <w:pPr>
        <w:pStyle w:val="Notedebasdepage"/>
        <w:rPr>
          <w:lang w:val="fr-BE"/>
        </w:rPr>
      </w:pPr>
      <w:r>
        <w:rPr>
          <w:rStyle w:val="Appelnotedebasdep"/>
        </w:rPr>
        <w:footnoteRef/>
      </w:r>
      <w:r>
        <w:t xml:space="preserve"> </w:t>
      </w:r>
      <w:r>
        <w:rPr>
          <w:lang w:val="fr-BE"/>
        </w:rPr>
        <w:t>EMP PNDS 2011-2020</w:t>
      </w:r>
    </w:p>
  </w:footnote>
  <w:footnote w:id="31">
    <w:p w:rsidR="004914F1" w:rsidRPr="0071454F" w:rsidRDefault="004914F1">
      <w:pPr>
        <w:pStyle w:val="Notedebasdepage"/>
        <w:rPr>
          <w:lang w:val="fr-BE"/>
        </w:rPr>
      </w:pPr>
      <w:r>
        <w:rPr>
          <w:rStyle w:val="Appelnotedebasdep"/>
        </w:rPr>
        <w:footnoteRef/>
      </w:r>
      <w:r w:rsidRPr="0071454F">
        <w:t>http://www.pseau.org/outils/ouvrages/dgaeue_unicef_strategie_de_mise_en_uvre_de_l_assainissement_total_pilote_par_la_communaute_au_burkina_faso_2014.pdf</w:t>
      </w:r>
    </w:p>
  </w:footnote>
  <w:footnote w:id="32">
    <w:p w:rsidR="004914F1" w:rsidRPr="00A5175C" w:rsidRDefault="004914F1">
      <w:pPr>
        <w:pStyle w:val="Notedebasdepage"/>
        <w:rPr>
          <w:lang w:val="fr-BE"/>
        </w:rPr>
      </w:pPr>
      <w:r>
        <w:rPr>
          <w:rStyle w:val="Appelnotedebasdep"/>
        </w:rPr>
        <w:footnoteRef/>
      </w:r>
      <w:r>
        <w:t xml:space="preserve"> </w:t>
      </w:r>
      <w:r w:rsidRPr="00A5175C">
        <w:t>https://www.unicef.org/bfa/french/media_11045.html</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BF3B36"/>
    <w:multiLevelType w:val="hybridMultilevel"/>
    <w:tmpl w:val="A0789F6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80B40AB"/>
    <w:multiLevelType w:val="hybridMultilevel"/>
    <w:tmpl w:val="2D187768"/>
    <w:lvl w:ilvl="0" w:tplc="040C000F">
      <w:start w:val="1"/>
      <w:numFmt w:val="decimal"/>
      <w:lvlText w:val="%1."/>
      <w:lvlJc w:val="left"/>
      <w:pPr>
        <w:ind w:left="1146" w:hanging="360"/>
      </w:p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2">
    <w:nsid w:val="0C9F602E"/>
    <w:multiLevelType w:val="multilevel"/>
    <w:tmpl w:val="4412D800"/>
    <w:lvl w:ilvl="0">
      <w:start w:val="1"/>
      <w:numFmt w:val="decimal"/>
      <w:lvlText w:val="%1."/>
      <w:lvlJc w:val="left"/>
      <w:pPr>
        <w:ind w:left="836" w:hanging="360"/>
      </w:pPr>
    </w:lvl>
    <w:lvl w:ilvl="1">
      <w:start w:val="1"/>
      <w:numFmt w:val="decimal"/>
      <w:isLgl/>
      <w:lvlText w:val="%1.%2."/>
      <w:lvlJc w:val="left"/>
      <w:pPr>
        <w:ind w:left="1181" w:hanging="705"/>
      </w:pPr>
      <w:rPr>
        <w:rFonts w:hint="default"/>
      </w:rPr>
    </w:lvl>
    <w:lvl w:ilvl="2">
      <w:start w:val="1"/>
      <w:numFmt w:val="decimal"/>
      <w:isLgl/>
      <w:lvlText w:val="%1.%2.%3."/>
      <w:lvlJc w:val="left"/>
      <w:pPr>
        <w:ind w:left="1196" w:hanging="720"/>
      </w:pPr>
      <w:rPr>
        <w:rFonts w:hint="default"/>
      </w:rPr>
    </w:lvl>
    <w:lvl w:ilvl="3">
      <w:start w:val="1"/>
      <w:numFmt w:val="decimal"/>
      <w:isLgl/>
      <w:lvlText w:val="%1.%2.%3.%4."/>
      <w:lvlJc w:val="left"/>
      <w:pPr>
        <w:ind w:left="1196" w:hanging="720"/>
      </w:pPr>
      <w:rPr>
        <w:rFonts w:hint="default"/>
      </w:rPr>
    </w:lvl>
    <w:lvl w:ilvl="4">
      <w:start w:val="1"/>
      <w:numFmt w:val="decimal"/>
      <w:isLgl/>
      <w:lvlText w:val="%1.%2.%3.%4.%5."/>
      <w:lvlJc w:val="left"/>
      <w:pPr>
        <w:ind w:left="1556" w:hanging="1080"/>
      </w:pPr>
      <w:rPr>
        <w:rFonts w:hint="default"/>
      </w:rPr>
    </w:lvl>
    <w:lvl w:ilvl="5">
      <w:start w:val="1"/>
      <w:numFmt w:val="decimal"/>
      <w:isLgl/>
      <w:lvlText w:val="%1.%2.%3.%4.%5.%6."/>
      <w:lvlJc w:val="left"/>
      <w:pPr>
        <w:ind w:left="1556" w:hanging="1080"/>
      </w:pPr>
      <w:rPr>
        <w:rFonts w:hint="default"/>
      </w:rPr>
    </w:lvl>
    <w:lvl w:ilvl="6">
      <w:start w:val="1"/>
      <w:numFmt w:val="decimal"/>
      <w:isLgl/>
      <w:lvlText w:val="%1.%2.%3.%4.%5.%6.%7."/>
      <w:lvlJc w:val="left"/>
      <w:pPr>
        <w:ind w:left="1916" w:hanging="1440"/>
      </w:pPr>
      <w:rPr>
        <w:rFonts w:hint="default"/>
      </w:rPr>
    </w:lvl>
    <w:lvl w:ilvl="7">
      <w:start w:val="1"/>
      <w:numFmt w:val="decimal"/>
      <w:isLgl/>
      <w:lvlText w:val="%1.%2.%3.%4.%5.%6.%7.%8."/>
      <w:lvlJc w:val="left"/>
      <w:pPr>
        <w:ind w:left="1916" w:hanging="1440"/>
      </w:pPr>
      <w:rPr>
        <w:rFonts w:hint="default"/>
      </w:rPr>
    </w:lvl>
    <w:lvl w:ilvl="8">
      <w:start w:val="1"/>
      <w:numFmt w:val="decimal"/>
      <w:isLgl/>
      <w:lvlText w:val="%1.%2.%3.%4.%5.%6.%7.%8.%9."/>
      <w:lvlJc w:val="left"/>
      <w:pPr>
        <w:ind w:left="2276" w:hanging="1800"/>
      </w:pPr>
      <w:rPr>
        <w:rFonts w:hint="default"/>
      </w:rPr>
    </w:lvl>
  </w:abstractNum>
  <w:abstractNum w:abstractNumId="3">
    <w:nsid w:val="16F1566A"/>
    <w:multiLevelType w:val="hybridMultilevel"/>
    <w:tmpl w:val="B6567F0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6FD26C7"/>
    <w:multiLevelType w:val="multilevel"/>
    <w:tmpl w:val="9D66C8AA"/>
    <w:lvl w:ilvl="0">
      <w:start w:val="4"/>
      <w:numFmt w:val="decimal"/>
      <w:lvlText w:val="%1."/>
      <w:lvlJc w:val="left"/>
      <w:pPr>
        <w:ind w:left="750" w:hanging="750"/>
      </w:pPr>
      <w:rPr>
        <w:rFonts w:hint="default"/>
      </w:rPr>
    </w:lvl>
    <w:lvl w:ilvl="1">
      <w:start w:val="4"/>
      <w:numFmt w:val="decimal"/>
      <w:lvlText w:val="%1.%2."/>
      <w:lvlJc w:val="left"/>
      <w:pPr>
        <w:ind w:left="750" w:hanging="750"/>
      </w:pPr>
      <w:rPr>
        <w:rFonts w:hint="default"/>
      </w:rPr>
    </w:lvl>
    <w:lvl w:ilvl="2">
      <w:start w:val="2"/>
      <w:numFmt w:val="decimal"/>
      <w:lvlText w:val="%1.%2.%3."/>
      <w:lvlJc w:val="left"/>
      <w:pPr>
        <w:ind w:left="750" w:hanging="750"/>
      </w:pPr>
      <w:rPr>
        <w:rFonts w:hint="default"/>
      </w:rPr>
    </w:lvl>
    <w:lvl w:ilvl="3">
      <w:start w:val="2"/>
      <w:numFmt w:val="decimal"/>
      <w:lvlText w:val="%1.%2.%3.%4."/>
      <w:lvlJc w:val="left"/>
      <w:pPr>
        <w:ind w:left="750" w:hanging="75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AEB6C6D"/>
    <w:multiLevelType w:val="multilevel"/>
    <w:tmpl w:val="AD2E4AA6"/>
    <w:lvl w:ilvl="0">
      <w:start w:val="7"/>
      <w:numFmt w:val="decimal"/>
      <w:lvlText w:val="%1."/>
      <w:lvlJc w:val="left"/>
      <w:pPr>
        <w:ind w:left="435" w:hanging="43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nsid w:val="1D9F18A9"/>
    <w:multiLevelType w:val="multilevel"/>
    <w:tmpl w:val="8BDCFDB2"/>
    <w:lvl w:ilvl="0">
      <w:start w:val="2"/>
      <w:numFmt w:val="decimal"/>
      <w:lvlText w:val="%1."/>
      <w:lvlJc w:val="left"/>
      <w:pPr>
        <w:ind w:left="435" w:hanging="43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nsid w:val="1EA561A8"/>
    <w:multiLevelType w:val="hybridMultilevel"/>
    <w:tmpl w:val="4A867A9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21892F20"/>
    <w:multiLevelType w:val="hybridMultilevel"/>
    <w:tmpl w:val="2D28AC0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22432E15"/>
    <w:multiLevelType w:val="hybridMultilevel"/>
    <w:tmpl w:val="3F063544"/>
    <w:lvl w:ilvl="0" w:tplc="040C000F">
      <w:start w:val="1"/>
      <w:numFmt w:val="decimal"/>
      <w:lvlText w:val="%1."/>
      <w:lvlJc w:val="left"/>
      <w:pPr>
        <w:ind w:left="836" w:hanging="360"/>
      </w:pPr>
    </w:lvl>
    <w:lvl w:ilvl="1" w:tplc="040C0019" w:tentative="1">
      <w:start w:val="1"/>
      <w:numFmt w:val="lowerLetter"/>
      <w:lvlText w:val="%2."/>
      <w:lvlJc w:val="left"/>
      <w:pPr>
        <w:ind w:left="1556" w:hanging="360"/>
      </w:pPr>
    </w:lvl>
    <w:lvl w:ilvl="2" w:tplc="040C001B" w:tentative="1">
      <w:start w:val="1"/>
      <w:numFmt w:val="lowerRoman"/>
      <w:lvlText w:val="%3."/>
      <w:lvlJc w:val="right"/>
      <w:pPr>
        <w:ind w:left="2276" w:hanging="180"/>
      </w:pPr>
    </w:lvl>
    <w:lvl w:ilvl="3" w:tplc="040C000F" w:tentative="1">
      <w:start w:val="1"/>
      <w:numFmt w:val="decimal"/>
      <w:lvlText w:val="%4."/>
      <w:lvlJc w:val="left"/>
      <w:pPr>
        <w:ind w:left="2996" w:hanging="360"/>
      </w:pPr>
    </w:lvl>
    <w:lvl w:ilvl="4" w:tplc="040C0019" w:tentative="1">
      <w:start w:val="1"/>
      <w:numFmt w:val="lowerLetter"/>
      <w:lvlText w:val="%5."/>
      <w:lvlJc w:val="left"/>
      <w:pPr>
        <w:ind w:left="3716" w:hanging="360"/>
      </w:pPr>
    </w:lvl>
    <w:lvl w:ilvl="5" w:tplc="040C001B" w:tentative="1">
      <w:start w:val="1"/>
      <w:numFmt w:val="lowerRoman"/>
      <w:lvlText w:val="%6."/>
      <w:lvlJc w:val="right"/>
      <w:pPr>
        <w:ind w:left="4436" w:hanging="180"/>
      </w:pPr>
    </w:lvl>
    <w:lvl w:ilvl="6" w:tplc="040C000F" w:tentative="1">
      <w:start w:val="1"/>
      <w:numFmt w:val="decimal"/>
      <w:lvlText w:val="%7."/>
      <w:lvlJc w:val="left"/>
      <w:pPr>
        <w:ind w:left="5156" w:hanging="360"/>
      </w:pPr>
    </w:lvl>
    <w:lvl w:ilvl="7" w:tplc="040C0019" w:tentative="1">
      <w:start w:val="1"/>
      <w:numFmt w:val="lowerLetter"/>
      <w:lvlText w:val="%8."/>
      <w:lvlJc w:val="left"/>
      <w:pPr>
        <w:ind w:left="5876" w:hanging="360"/>
      </w:pPr>
    </w:lvl>
    <w:lvl w:ilvl="8" w:tplc="040C001B" w:tentative="1">
      <w:start w:val="1"/>
      <w:numFmt w:val="lowerRoman"/>
      <w:lvlText w:val="%9."/>
      <w:lvlJc w:val="right"/>
      <w:pPr>
        <w:ind w:left="6596" w:hanging="180"/>
      </w:pPr>
    </w:lvl>
  </w:abstractNum>
  <w:abstractNum w:abstractNumId="10">
    <w:nsid w:val="23B05EB0"/>
    <w:multiLevelType w:val="hybridMultilevel"/>
    <w:tmpl w:val="B536880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259A46F9"/>
    <w:multiLevelType w:val="multilevel"/>
    <w:tmpl w:val="4412D800"/>
    <w:lvl w:ilvl="0">
      <w:start w:val="1"/>
      <w:numFmt w:val="decimal"/>
      <w:lvlText w:val="%1."/>
      <w:lvlJc w:val="left"/>
      <w:pPr>
        <w:ind w:left="836" w:hanging="360"/>
      </w:pPr>
    </w:lvl>
    <w:lvl w:ilvl="1">
      <w:start w:val="1"/>
      <w:numFmt w:val="decimal"/>
      <w:isLgl/>
      <w:lvlText w:val="%1.%2."/>
      <w:lvlJc w:val="left"/>
      <w:pPr>
        <w:ind w:left="1181" w:hanging="705"/>
      </w:pPr>
      <w:rPr>
        <w:rFonts w:hint="default"/>
      </w:rPr>
    </w:lvl>
    <w:lvl w:ilvl="2">
      <w:start w:val="1"/>
      <w:numFmt w:val="decimal"/>
      <w:isLgl/>
      <w:lvlText w:val="%1.%2.%3."/>
      <w:lvlJc w:val="left"/>
      <w:pPr>
        <w:ind w:left="1196" w:hanging="720"/>
      </w:pPr>
      <w:rPr>
        <w:rFonts w:hint="default"/>
      </w:rPr>
    </w:lvl>
    <w:lvl w:ilvl="3">
      <w:start w:val="1"/>
      <w:numFmt w:val="decimal"/>
      <w:isLgl/>
      <w:lvlText w:val="%1.%2.%3.%4."/>
      <w:lvlJc w:val="left"/>
      <w:pPr>
        <w:ind w:left="1196" w:hanging="720"/>
      </w:pPr>
      <w:rPr>
        <w:rFonts w:hint="default"/>
      </w:rPr>
    </w:lvl>
    <w:lvl w:ilvl="4">
      <w:start w:val="1"/>
      <w:numFmt w:val="decimal"/>
      <w:isLgl/>
      <w:lvlText w:val="%1.%2.%3.%4.%5."/>
      <w:lvlJc w:val="left"/>
      <w:pPr>
        <w:ind w:left="1556" w:hanging="1080"/>
      </w:pPr>
      <w:rPr>
        <w:rFonts w:hint="default"/>
      </w:rPr>
    </w:lvl>
    <w:lvl w:ilvl="5">
      <w:start w:val="1"/>
      <w:numFmt w:val="decimal"/>
      <w:isLgl/>
      <w:lvlText w:val="%1.%2.%3.%4.%5.%6."/>
      <w:lvlJc w:val="left"/>
      <w:pPr>
        <w:ind w:left="1556" w:hanging="1080"/>
      </w:pPr>
      <w:rPr>
        <w:rFonts w:hint="default"/>
      </w:rPr>
    </w:lvl>
    <w:lvl w:ilvl="6">
      <w:start w:val="1"/>
      <w:numFmt w:val="decimal"/>
      <w:isLgl/>
      <w:lvlText w:val="%1.%2.%3.%4.%5.%6.%7."/>
      <w:lvlJc w:val="left"/>
      <w:pPr>
        <w:ind w:left="1916" w:hanging="1440"/>
      </w:pPr>
      <w:rPr>
        <w:rFonts w:hint="default"/>
      </w:rPr>
    </w:lvl>
    <w:lvl w:ilvl="7">
      <w:start w:val="1"/>
      <w:numFmt w:val="decimal"/>
      <w:isLgl/>
      <w:lvlText w:val="%1.%2.%3.%4.%5.%6.%7.%8."/>
      <w:lvlJc w:val="left"/>
      <w:pPr>
        <w:ind w:left="1916" w:hanging="1440"/>
      </w:pPr>
      <w:rPr>
        <w:rFonts w:hint="default"/>
      </w:rPr>
    </w:lvl>
    <w:lvl w:ilvl="8">
      <w:start w:val="1"/>
      <w:numFmt w:val="decimal"/>
      <w:isLgl/>
      <w:lvlText w:val="%1.%2.%3.%4.%5.%6.%7.%8.%9."/>
      <w:lvlJc w:val="left"/>
      <w:pPr>
        <w:ind w:left="2276" w:hanging="1800"/>
      </w:pPr>
      <w:rPr>
        <w:rFonts w:hint="default"/>
      </w:rPr>
    </w:lvl>
  </w:abstractNum>
  <w:abstractNum w:abstractNumId="12">
    <w:nsid w:val="33E2359E"/>
    <w:multiLevelType w:val="multilevel"/>
    <w:tmpl w:val="4412D800"/>
    <w:lvl w:ilvl="0">
      <w:start w:val="1"/>
      <w:numFmt w:val="decimal"/>
      <w:lvlText w:val="%1."/>
      <w:lvlJc w:val="left"/>
      <w:pPr>
        <w:ind w:left="836" w:hanging="360"/>
      </w:pPr>
    </w:lvl>
    <w:lvl w:ilvl="1">
      <w:start w:val="1"/>
      <w:numFmt w:val="decimal"/>
      <w:isLgl/>
      <w:lvlText w:val="%1.%2."/>
      <w:lvlJc w:val="left"/>
      <w:pPr>
        <w:ind w:left="1181" w:hanging="705"/>
      </w:pPr>
      <w:rPr>
        <w:rFonts w:hint="default"/>
      </w:rPr>
    </w:lvl>
    <w:lvl w:ilvl="2">
      <w:start w:val="1"/>
      <w:numFmt w:val="decimal"/>
      <w:isLgl/>
      <w:lvlText w:val="%1.%2.%3."/>
      <w:lvlJc w:val="left"/>
      <w:pPr>
        <w:ind w:left="1196" w:hanging="720"/>
      </w:pPr>
      <w:rPr>
        <w:rFonts w:hint="default"/>
      </w:rPr>
    </w:lvl>
    <w:lvl w:ilvl="3">
      <w:start w:val="1"/>
      <w:numFmt w:val="decimal"/>
      <w:isLgl/>
      <w:lvlText w:val="%1.%2.%3.%4."/>
      <w:lvlJc w:val="left"/>
      <w:pPr>
        <w:ind w:left="1196" w:hanging="720"/>
      </w:pPr>
      <w:rPr>
        <w:rFonts w:hint="default"/>
      </w:rPr>
    </w:lvl>
    <w:lvl w:ilvl="4">
      <w:start w:val="1"/>
      <w:numFmt w:val="decimal"/>
      <w:isLgl/>
      <w:lvlText w:val="%1.%2.%3.%4.%5."/>
      <w:lvlJc w:val="left"/>
      <w:pPr>
        <w:ind w:left="1556" w:hanging="1080"/>
      </w:pPr>
      <w:rPr>
        <w:rFonts w:hint="default"/>
      </w:rPr>
    </w:lvl>
    <w:lvl w:ilvl="5">
      <w:start w:val="1"/>
      <w:numFmt w:val="decimal"/>
      <w:isLgl/>
      <w:lvlText w:val="%1.%2.%3.%4.%5.%6."/>
      <w:lvlJc w:val="left"/>
      <w:pPr>
        <w:ind w:left="1556" w:hanging="1080"/>
      </w:pPr>
      <w:rPr>
        <w:rFonts w:hint="default"/>
      </w:rPr>
    </w:lvl>
    <w:lvl w:ilvl="6">
      <w:start w:val="1"/>
      <w:numFmt w:val="decimal"/>
      <w:isLgl/>
      <w:lvlText w:val="%1.%2.%3.%4.%5.%6.%7."/>
      <w:lvlJc w:val="left"/>
      <w:pPr>
        <w:ind w:left="1916" w:hanging="1440"/>
      </w:pPr>
      <w:rPr>
        <w:rFonts w:hint="default"/>
      </w:rPr>
    </w:lvl>
    <w:lvl w:ilvl="7">
      <w:start w:val="1"/>
      <w:numFmt w:val="decimal"/>
      <w:isLgl/>
      <w:lvlText w:val="%1.%2.%3.%4.%5.%6.%7.%8."/>
      <w:lvlJc w:val="left"/>
      <w:pPr>
        <w:ind w:left="1916" w:hanging="1440"/>
      </w:pPr>
      <w:rPr>
        <w:rFonts w:hint="default"/>
      </w:rPr>
    </w:lvl>
    <w:lvl w:ilvl="8">
      <w:start w:val="1"/>
      <w:numFmt w:val="decimal"/>
      <w:isLgl/>
      <w:lvlText w:val="%1.%2.%3.%4.%5.%6.%7.%8.%9."/>
      <w:lvlJc w:val="left"/>
      <w:pPr>
        <w:ind w:left="2276" w:hanging="1800"/>
      </w:pPr>
      <w:rPr>
        <w:rFonts w:hint="default"/>
      </w:rPr>
    </w:lvl>
  </w:abstractNum>
  <w:abstractNum w:abstractNumId="13">
    <w:nsid w:val="34AD1D51"/>
    <w:multiLevelType w:val="hybridMultilevel"/>
    <w:tmpl w:val="BBC2AD92"/>
    <w:lvl w:ilvl="0" w:tplc="040C0009">
      <w:start w:val="1"/>
      <w:numFmt w:val="bullet"/>
      <w:lvlText w:val=""/>
      <w:lvlJc w:val="left"/>
      <w:pPr>
        <w:ind w:left="1196" w:hanging="360"/>
      </w:pPr>
      <w:rPr>
        <w:rFonts w:ascii="Wingdings" w:hAnsi="Wingdings" w:hint="default"/>
      </w:rPr>
    </w:lvl>
    <w:lvl w:ilvl="1" w:tplc="040C0003" w:tentative="1">
      <w:start w:val="1"/>
      <w:numFmt w:val="bullet"/>
      <w:lvlText w:val="o"/>
      <w:lvlJc w:val="left"/>
      <w:pPr>
        <w:ind w:left="1916" w:hanging="360"/>
      </w:pPr>
      <w:rPr>
        <w:rFonts w:ascii="Courier New" w:hAnsi="Courier New" w:cs="Courier New" w:hint="default"/>
      </w:rPr>
    </w:lvl>
    <w:lvl w:ilvl="2" w:tplc="040C0005" w:tentative="1">
      <w:start w:val="1"/>
      <w:numFmt w:val="bullet"/>
      <w:lvlText w:val=""/>
      <w:lvlJc w:val="left"/>
      <w:pPr>
        <w:ind w:left="2636" w:hanging="360"/>
      </w:pPr>
      <w:rPr>
        <w:rFonts w:ascii="Wingdings" w:hAnsi="Wingdings" w:hint="default"/>
      </w:rPr>
    </w:lvl>
    <w:lvl w:ilvl="3" w:tplc="040C0001" w:tentative="1">
      <w:start w:val="1"/>
      <w:numFmt w:val="bullet"/>
      <w:lvlText w:val=""/>
      <w:lvlJc w:val="left"/>
      <w:pPr>
        <w:ind w:left="3356" w:hanging="360"/>
      </w:pPr>
      <w:rPr>
        <w:rFonts w:ascii="Symbol" w:hAnsi="Symbol" w:hint="default"/>
      </w:rPr>
    </w:lvl>
    <w:lvl w:ilvl="4" w:tplc="040C0003" w:tentative="1">
      <w:start w:val="1"/>
      <w:numFmt w:val="bullet"/>
      <w:lvlText w:val="o"/>
      <w:lvlJc w:val="left"/>
      <w:pPr>
        <w:ind w:left="4076" w:hanging="360"/>
      </w:pPr>
      <w:rPr>
        <w:rFonts w:ascii="Courier New" w:hAnsi="Courier New" w:cs="Courier New" w:hint="default"/>
      </w:rPr>
    </w:lvl>
    <w:lvl w:ilvl="5" w:tplc="040C0005" w:tentative="1">
      <w:start w:val="1"/>
      <w:numFmt w:val="bullet"/>
      <w:lvlText w:val=""/>
      <w:lvlJc w:val="left"/>
      <w:pPr>
        <w:ind w:left="4796" w:hanging="360"/>
      </w:pPr>
      <w:rPr>
        <w:rFonts w:ascii="Wingdings" w:hAnsi="Wingdings" w:hint="default"/>
      </w:rPr>
    </w:lvl>
    <w:lvl w:ilvl="6" w:tplc="040C0001" w:tentative="1">
      <w:start w:val="1"/>
      <w:numFmt w:val="bullet"/>
      <w:lvlText w:val=""/>
      <w:lvlJc w:val="left"/>
      <w:pPr>
        <w:ind w:left="5516" w:hanging="360"/>
      </w:pPr>
      <w:rPr>
        <w:rFonts w:ascii="Symbol" w:hAnsi="Symbol" w:hint="default"/>
      </w:rPr>
    </w:lvl>
    <w:lvl w:ilvl="7" w:tplc="040C0003" w:tentative="1">
      <w:start w:val="1"/>
      <w:numFmt w:val="bullet"/>
      <w:lvlText w:val="o"/>
      <w:lvlJc w:val="left"/>
      <w:pPr>
        <w:ind w:left="6236" w:hanging="360"/>
      </w:pPr>
      <w:rPr>
        <w:rFonts w:ascii="Courier New" w:hAnsi="Courier New" w:cs="Courier New" w:hint="default"/>
      </w:rPr>
    </w:lvl>
    <w:lvl w:ilvl="8" w:tplc="040C0005" w:tentative="1">
      <w:start w:val="1"/>
      <w:numFmt w:val="bullet"/>
      <w:lvlText w:val=""/>
      <w:lvlJc w:val="left"/>
      <w:pPr>
        <w:ind w:left="6956" w:hanging="360"/>
      </w:pPr>
      <w:rPr>
        <w:rFonts w:ascii="Wingdings" w:hAnsi="Wingdings" w:hint="default"/>
      </w:rPr>
    </w:lvl>
  </w:abstractNum>
  <w:abstractNum w:abstractNumId="14">
    <w:nsid w:val="376A0D12"/>
    <w:multiLevelType w:val="multilevel"/>
    <w:tmpl w:val="4412D800"/>
    <w:lvl w:ilvl="0">
      <w:start w:val="1"/>
      <w:numFmt w:val="decimal"/>
      <w:lvlText w:val="%1."/>
      <w:lvlJc w:val="left"/>
      <w:pPr>
        <w:ind w:left="836" w:hanging="360"/>
      </w:pPr>
    </w:lvl>
    <w:lvl w:ilvl="1">
      <w:start w:val="1"/>
      <w:numFmt w:val="decimal"/>
      <w:isLgl/>
      <w:lvlText w:val="%1.%2."/>
      <w:lvlJc w:val="left"/>
      <w:pPr>
        <w:ind w:left="1181" w:hanging="705"/>
      </w:pPr>
      <w:rPr>
        <w:rFonts w:hint="default"/>
      </w:rPr>
    </w:lvl>
    <w:lvl w:ilvl="2">
      <w:start w:val="1"/>
      <w:numFmt w:val="decimal"/>
      <w:isLgl/>
      <w:lvlText w:val="%1.%2.%3."/>
      <w:lvlJc w:val="left"/>
      <w:pPr>
        <w:ind w:left="1196" w:hanging="720"/>
      </w:pPr>
      <w:rPr>
        <w:rFonts w:hint="default"/>
      </w:rPr>
    </w:lvl>
    <w:lvl w:ilvl="3">
      <w:start w:val="1"/>
      <w:numFmt w:val="decimal"/>
      <w:isLgl/>
      <w:lvlText w:val="%1.%2.%3.%4."/>
      <w:lvlJc w:val="left"/>
      <w:pPr>
        <w:ind w:left="1196" w:hanging="720"/>
      </w:pPr>
      <w:rPr>
        <w:rFonts w:hint="default"/>
      </w:rPr>
    </w:lvl>
    <w:lvl w:ilvl="4">
      <w:start w:val="1"/>
      <w:numFmt w:val="decimal"/>
      <w:isLgl/>
      <w:lvlText w:val="%1.%2.%3.%4.%5."/>
      <w:lvlJc w:val="left"/>
      <w:pPr>
        <w:ind w:left="1556" w:hanging="1080"/>
      </w:pPr>
      <w:rPr>
        <w:rFonts w:hint="default"/>
      </w:rPr>
    </w:lvl>
    <w:lvl w:ilvl="5">
      <w:start w:val="1"/>
      <w:numFmt w:val="decimal"/>
      <w:isLgl/>
      <w:lvlText w:val="%1.%2.%3.%4.%5.%6."/>
      <w:lvlJc w:val="left"/>
      <w:pPr>
        <w:ind w:left="1556" w:hanging="1080"/>
      </w:pPr>
      <w:rPr>
        <w:rFonts w:hint="default"/>
      </w:rPr>
    </w:lvl>
    <w:lvl w:ilvl="6">
      <w:start w:val="1"/>
      <w:numFmt w:val="decimal"/>
      <w:isLgl/>
      <w:lvlText w:val="%1.%2.%3.%4.%5.%6.%7."/>
      <w:lvlJc w:val="left"/>
      <w:pPr>
        <w:ind w:left="1916" w:hanging="1440"/>
      </w:pPr>
      <w:rPr>
        <w:rFonts w:hint="default"/>
      </w:rPr>
    </w:lvl>
    <w:lvl w:ilvl="7">
      <w:start w:val="1"/>
      <w:numFmt w:val="decimal"/>
      <w:isLgl/>
      <w:lvlText w:val="%1.%2.%3.%4.%5.%6.%7.%8."/>
      <w:lvlJc w:val="left"/>
      <w:pPr>
        <w:ind w:left="1916" w:hanging="1440"/>
      </w:pPr>
      <w:rPr>
        <w:rFonts w:hint="default"/>
      </w:rPr>
    </w:lvl>
    <w:lvl w:ilvl="8">
      <w:start w:val="1"/>
      <w:numFmt w:val="decimal"/>
      <w:isLgl/>
      <w:lvlText w:val="%1.%2.%3.%4.%5.%6.%7.%8.%9."/>
      <w:lvlJc w:val="left"/>
      <w:pPr>
        <w:ind w:left="2276" w:hanging="1800"/>
      </w:pPr>
      <w:rPr>
        <w:rFonts w:hint="default"/>
      </w:rPr>
    </w:lvl>
  </w:abstractNum>
  <w:abstractNum w:abstractNumId="15">
    <w:nsid w:val="37DB07D5"/>
    <w:multiLevelType w:val="multilevel"/>
    <w:tmpl w:val="B10CB6D0"/>
    <w:lvl w:ilvl="0">
      <w:start w:val="1"/>
      <w:numFmt w:val="decimal"/>
      <w:lvlText w:val="%1."/>
      <w:lvlJc w:val="left"/>
      <w:pPr>
        <w:ind w:left="360" w:hanging="360"/>
      </w:pPr>
      <w:rPr>
        <w:rFonts w:asciiTheme="minorHAnsi" w:eastAsiaTheme="minorHAnsi" w:hAnsiTheme="minorHAnsi" w:cstheme="minorBidi"/>
      </w:rPr>
    </w:lvl>
    <w:lvl w:ilvl="1">
      <w:start w:val="1"/>
      <w:numFmt w:val="decimal"/>
      <w:isLgl/>
      <w:lvlText w:val="%1.%2."/>
      <w:lvlJc w:val="left"/>
      <w:pPr>
        <w:ind w:left="705" w:hanging="7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6">
    <w:nsid w:val="37FA2D6F"/>
    <w:multiLevelType w:val="hybridMultilevel"/>
    <w:tmpl w:val="5EF09D1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3DDA1564"/>
    <w:multiLevelType w:val="multilevel"/>
    <w:tmpl w:val="C16CCB84"/>
    <w:lvl w:ilvl="0">
      <w:start w:val="3"/>
      <w:numFmt w:val="decimal"/>
      <w:lvlText w:val="%1."/>
      <w:lvlJc w:val="left"/>
      <w:pPr>
        <w:ind w:left="435" w:hanging="435"/>
      </w:pPr>
      <w:rPr>
        <w:rFonts w:hint="default"/>
      </w:rPr>
    </w:lvl>
    <w:lvl w:ilvl="1">
      <w:start w:val="7"/>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8">
    <w:nsid w:val="3DF1789F"/>
    <w:multiLevelType w:val="hybridMultilevel"/>
    <w:tmpl w:val="54662DFA"/>
    <w:lvl w:ilvl="0" w:tplc="040C000F">
      <w:start w:val="1"/>
      <w:numFmt w:val="decimal"/>
      <w:lvlText w:val="%1."/>
      <w:lvlJc w:val="left"/>
      <w:pPr>
        <w:tabs>
          <w:tab w:val="num" w:pos="720"/>
        </w:tabs>
        <w:ind w:left="720" w:hanging="360"/>
      </w:pPr>
      <w:rPr>
        <w:rFonts w:hint="default"/>
      </w:rPr>
    </w:lvl>
    <w:lvl w:ilvl="1" w:tplc="D856D89E" w:tentative="1">
      <w:start w:val="1"/>
      <w:numFmt w:val="bullet"/>
      <w:lvlText w:val="•"/>
      <w:lvlJc w:val="left"/>
      <w:pPr>
        <w:tabs>
          <w:tab w:val="num" w:pos="1440"/>
        </w:tabs>
        <w:ind w:left="1440" w:hanging="360"/>
      </w:pPr>
      <w:rPr>
        <w:rFonts w:ascii="Times New Roman" w:hAnsi="Times New Roman" w:hint="default"/>
      </w:rPr>
    </w:lvl>
    <w:lvl w:ilvl="2" w:tplc="B8BA3B34" w:tentative="1">
      <w:start w:val="1"/>
      <w:numFmt w:val="bullet"/>
      <w:lvlText w:val="•"/>
      <w:lvlJc w:val="left"/>
      <w:pPr>
        <w:tabs>
          <w:tab w:val="num" w:pos="2160"/>
        </w:tabs>
        <w:ind w:left="2160" w:hanging="360"/>
      </w:pPr>
      <w:rPr>
        <w:rFonts w:ascii="Times New Roman" w:hAnsi="Times New Roman" w:hint="default"/>
      </w:rPr>
    </w:lvl>
    <w:lvl w:ilvl="3" w:tplc="AEA8F350" w:tentative="1">
      <w:start w:val="1"/>
      <w:numFmt w:val="bullet"/>
      <w:lvlText w:val="•"/>
      <w:lvlJc w:val="left"/>
      <w:pPr>
        <w:tabs>
          <w:tab w:val="num" w:pos="2880"/>
        </w:tabs>
        <w:ind w:left="2880" w:hanging="360"/>
      </w:pPr>
      <w:rPr>
        <w:rFonts w:ascii="Times New Roman" w:hAnsi="Times New Roman" w:hint="default"/>
      </w:rPr>
    </w:lvl>
    <w:lvl w:ilvl="4" w:tplc="007878DC" w:tentative="1">
      <w:start w:val="1"/>
      <w:numFmt w:val="bullet"/>
      <w:lvlText w:val="•"/>
      <w:lvlJc w:val="left"/>
      <w:pPr>
        <w:tabs>
          <w:tab w:val="num" w:pos="3600"/>
        </w:tabs>
        <w:ind w:left="3600" w:hanging="360"/>
      </w:pPr>
      <w:rPr>
        <w:rFonts w:ascii="Times New Roman" w:hAnsi="Times New Roman" w:hint="default"/>
      </w:rPr>
    </w:lvl>
    <w:lvl w:ilvl="5" w:tplc="F05EF49A" w:tentative="1">
      <w:start w:val="1"/>
      <w:numFmt w:val="bullet"/>
      <w:lvlText w:val="•"/>
      <w:lvlJc w:val="left"/>
      <w:pPr>
        <w:tabs>
          <w:tab w:val="num" w:pos="4320"/>
        </w:tabs>
        <w:ind w:left="4320" w:hanging="360"/>
      </w:pPr>
      <w:rPr>
        <w:rFonts w:ascii="Times New Roman" w:hAnsi="Times New Roman" w:hint="default"/>
      </w:rPr>
    </w:lvl>
    <w:lvl w:ilvl="6" w:tplc="6FDA5986" w:tentative="1">
      <w:start w:val="1"/>
      <w:numFmt w:val="bullet"/>
      <w:lvlText w:val="•"/>
      <w:lvlJc w:val="left"/>
      <w:pPr>
        <w:tabs>
          <w:tab w:val="num" w:pos="5040"/>
        </w:tabs>
        <w:ind w:left="5040" w:hanging="360"/>
      </w:pPr>
      <w:rPr>
        <w:rFonts w:ascii="Times New Roman" w:hAnsi="Times New Roman" w:hint="default"/>
      </w:rPr>
    </w:lvl>
    <w:lvl w:ilvl="7" w:tplc="CED8B268" w:tentative="1">
      <w:start w:val="1"/>
      <w:numFmt w:val="bullet"/>
      <w:lvlText w:val="•"/>
      <w:lvlJc w:val="left"/>
      <w:pPr>
        <w:tabs>
          <w:tab w:val="num" w:pos="5760"/>
        </w:tabs>
        <w:ind w:left="5760" w:hanging="360"/>
      </w:pPr>
      <w:rPr>
        <w:rFonts w:ascii="Times New Roman" w:hAnsi="Times New Roman" w:hint="default"/>
      </w:rPr>
    </w:lvl>
    <w:lvl w:ilvl="8" w:tplc="C0C24DBC" w:tentative="1">
      <w:start w:val="1"/>
      <w:numFmt w:val="bullet"/>
      <w:lvlText w:val="•"/>
      <w:lvlJc w:val="left"/>
      <w:pPr>
        <w:tabs>
          <w:tab w:val="num" w:pos="6480"/>
        </w:tabs>
        <w:ind w:left="6480" w:hanging="360"/>
      </w:pPr>
      <w:rPr>
        <w:rFonts w:ascii="Times New Roman" w:hAnsi="Times New Roman" w:hint="default"/>
      </w:rPr>
    </w:lvl>
  </w:abstractNum>
  <w:abstractNum w:abstractNumId="19">
    <w:nsid w:val="3E521193"/>
    <w:multiLevelType w:val="multilevel"/>
    <w:tmpl w:val="C128BAF0"/>
    <w:lvl w:ilvl="0">
      <w:start w:val="5"/>
      <w:numFmt w:val="decimal"/>
      <w:lvlText w:val="%1."/>
      <w:lvlJc w:val="left"/>
      <w:pPr>
        <w:ind w:left="405" w:hanging="405"/>
      </w:pPr>
      <w:rPr>
        <w:rFonts w:hint="default"/>
      </w:rPr>
    </w:lvl>
    <w:lvl w:ilvl="1">
      <w:start w:val="2"/>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463111CD"/>
    <w:multiLevelType w:val="multilevel"/>
    <w:tmpl w:val="4412D800"/>
    <w:lvl w:ilvl="0">
      <w:start w:val="1"/>
      <w:numFmt w:val="decimal"/>
      <w:lvlText w:val="%1."/>
      <w:lvlJc w:val="left"/>
      <w:pPr>
        <w:ind w:left="836" w:hanging="360"/>
      </w:pPr>
    </w:lvl>
    <w:lvl w:ilvl="1">
      <w:start w:val="1"/>
      <w:numFmt w:val="decimal"/>
      <w:isLgl/>
      <w:lvlText w:val="%1.%2."/>
      <w:lvlJc w:val="left"/>
      <w:pPr>
        <w:ind w:left="1181" w:hanging="705"/>
      </w:pPr>
      <w:rPr>
        <w:rFonts w:hint="default"/>
      </w:rPr>
    </w:lvl>
    <w:lvl w:ilvl="2">
      <w:start w:val="1"/>
      <w:numFmt w:val="decimal"/>
      <w:isLgl/>
      <w:lvlText w:val="%1.%2.%3."/>
      <w:lvlJc w:val="left"/>
      <w:pPr>
        <w:ind w:left="1196" w:hanging="720"/>
      </w:pPr>
      <w:rPr>
        <w:rFonts w:hint="default"/>
      </w:rPr>
    </w:lvl>
    <w:lvl w:ilvl="3">
      <w:start w:val="1"/>
      <w:numFmt w:val="decimal"/>
      <w:isLgl/>
      <w:lvlText w:val="%1.%2.%3.%4."/>
      <w:lvlJc w:val="left"/>
      <w:pPr>
        <w:ind w:left="1196" w:hanging="720"/>
      </w:pPr>
      <w:rPr>
        <w:rFonts w:hint="default"/>
      </w:rPr>
    </w:lvl>
    <w:lvl w:ilvl="4">
      <w:start w:val="1"/>
      <w:numFmt w:val="decimal"/>
      <w:isLgl/>
      <w:lvlText w:val="%1.%2.%3.%4.%5."/>
      <w:lvlJc w:val="left"/>
      <w:pPr>
        <w:ind w:left="1556" w:hanging="1080"/>
      </w:pPr>
      <w:rPr>
        <w:rFonts w:hint="default"/>
      </w:rPr>
    </w:lvl>
    <w:lvl w:ilvl="5">
      <w:start w:val="1"/>
      <w:numFmt w:val="decimal"/>
      <w:isLgl/>
      <w:lvlText w:val="%1.%2.%3.%4.%5.%6."/>
      <w:lvlJc w:val="left"/>
      <w:pPr>
        <w:ind w:left="1556" w:hanging="1080"/>
      </w:pPr>
      <w:rPr>
        <w:rFonts w:hint="default"/>
      </w:rPr>
    </w:lvl>
    <w:lvl w:ilvl="6">
      <w:start w:val="1"/>
      <w:numFmt w:val="decimal"/>
      <w:isLgl/>
      <w:lvlText w:val="%1.%2.%3.%4.%5.%6.%7."/>
      <w:lvlJc w:val="left"/>
      <w:pPr>
        <w:ind w:left="1916" w:hanging="1440"/>
      </w:pPr>
      <w:rPr>
        <w:rFonts w:hint="default"/>
      </w:rPr>
    </w:lvl>
    <w:lvl w:ilvl="7">
      <w:start w:val="1"/>
      <w:numFmt w:val="decimal"/>
      <w:isLgl/>
      <w:lvlText w:val="%1.%2.%3.%4.%5.%6.%7.%8."/>
      <w:lvlJc w:val="left"/>
      <w:pPr>
        <w:ind w:left="1916" w:hanging="1440"/>
      </w:pPr>
      <w:rPr>
        <w:rFonts w:hint="default"/>
      </w:rPr>
    </w:lvl>
    <w:lvl w:ilvl="8">
      <w:start w:val="1"/>
      <w:numFmt w:val="decimal"/>
      <w:isLgl/>
      <w:lvlText w:val="%1.%2.%3.%4.%5.%6.%7.%8.%9."/>
      <w:lvlJc w:val="left"/>
      <w:pPr>
        <w:ind w:left="2276" w:hanging="1800"/>
      </w:pPr>
      <w:rPr>
        <w:rFonts w:hint="default"/>
      </w:rPr>
    </w:lvl>
  </w:abstractNum>
  <w:abstractNum w:abstractNumId="21">
    <w:nsid w:val="46D5122B"/>
    <w:multiLevelType w:val="multilevel"/>
    <w:tmpl w:val="72F6A73A"/>
    <w:lvl w:ilvl="0">
      <w:start w:val="5"/>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47C758AD"/>
    <w:multiLevelType w:val="hybridMultilevel"/>
    <w:tmpl w:val="653E6C8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489A009A"/>
    <w:multiLevelType w:val="hybridMultilevel"/>
    <w:tmpl w:val="17766FB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50022EB7"/>
    <w:multiLevelType w:val="multilevel"/>
    <w:tmpl w:val="B1AED85C"/>
    <w:lvl w:ilvl="0">
      <w:start w:val="3"/>
      <w:numFmt w:val="decimal"/>
      <w:lvlText w:val="%1."/>
      <w:lvlJc w:val="left"/>
      <w:pPr>
        <w:ind w:left="435" w:hanging="43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nsid w:val="523F7501"/>
    <w:multiLevelType w:val="multilevel"/>
    <w:tmpl w:val="686EE26A"/>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nsid w:val="528C7D4A"/>
    <w:multiLevelType w:val="multilevel"/>
    <w:tmpl w:val="99B649DA"/>
    <w:lvl w:ilvl="0">
      <w:start w:val="2"/>
      <w:numFmt w:val="decimal"/>
      <w:lvlText w:val="%1."/>
      <w:lvlJc w:val="left"/>
      <w:pPr>
        <w:ind w:left="435" w:hanging="43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nsid w:val="5685678E"/>
    <w:multiLevelType w:val="hybridMultilevel"/>
    <w:tmpl w:val="0D9EB68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nsid w:val="574654D9"/>
    <w:multiLevelType w:val="hybridMultilevel"/>
    <w:tmpl w:val="941C80E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nsid w:val="59211DA1"/>
    <w:multiLevelType w:val="multilevel"/>
    <w:tmpl w:val="BF56BC4C"/>
    <w:lvl w:ilvl="0">
      <w:start w:val="5"/>
      <w:numFmt w:val="decimal"/>
      <w:lvlText w:val="%1."/>
      <w:lvlJc w:val="left"/>
      <w:pPr>
        <w:ind w:left="405" w:hanging="405"/>
      </w:pPr>
      <w:rPr>
        <w:rFonts w:hint="default"/>
      </w:rPr>
    </w:lvl>
    <w:lvl w:ilvl="1">
      <w:start w:val="3"/>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66854830"/>
    <w:multiLevelType w:val="hybridMultilevel"/>
    <w:tmpl w:val="58CCEED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nsid w:val="68DB75C6"/>
    <w:multiLevelType w:val="hybridMultilevel"/>
    <w:tmpl w:val="C2F48E6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nsid w:val="6D8C50E6"/>
    <w:multiLevelType w:val="hybridMultilevel"/>
    <w:tmpl w:val="AA82BC2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nsid w:val="6F706062"/>
    <w:multiLevelType w:val="multilevel"/>
    <w:tmpl w:val="99B649DA"/>
    <w:lvl w:ilvl="0">
      <w:start w:val="2"/>
      <w:numFmt w:val="decimal"/>
      <w:lvlText w:val="%1."/>
      <w:lvlJc w:val="left"/>
      <w:pPr>
        <w:ind w:left="435" w:hanging="43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4">
    <w:nsid w:val="714A73B8"/>
    <w:multiLevelType w:val="multilevel"/>
    <w:tmpl w:val="4412D800"/>
    <w:lvl w:ilvl="0">
      <w:start w:val="1"/>
      <w:numFmt w:val="decimal"/>
      <w:lvlText w:val="%1."/>
      <w:lvlJc w:val="left"/>
      <w:pPr>
        <w:ind w:left="836" w:hanging="360"/>
      </w:pPr>
    </w:lvl>
    <w:lvl w:ilvl="1">
      <w:start w:val="1"/>
      <w:numFmt w:val="decimal"/>
      <w:isLgl/>
      <w:lvlText w:val="%1.%2."/>
      <w:lvlJc w:val="left"/>
      <w:pPr>
        <w:ind w:left="1181" w:hanging="705"/>
      </w:pPr>
      <w:rPr>
        <w:rFonts w:hint="default"/>
      </w:rPr>
    </w:lvl>
    <w:lvl w:ilvl="2">
      <w:start w:val="1"/>
      <w:numFmt w:val="decimal"/>
      <w:isLgl/>
      <w:lvlText w:val="%1.%2.%3."/>
      <w:lvlJc w:val="left"/>
      <w:pPr>
        <w:ind w:left="1196" w:hanging="720"/>
      </w:pPr>
      <w:rPr>
        <w:rFonts w:hint="default"/>
      </w:rPr>
    </w:lvl>
    <w:lvl w:ilvl="3">
      <w:start w:val="1"/>
      <w:numFmt w:val="decimal"/>
      <w:isLgl/>
      <w:lvlText w:val="%1.%2.%3.%4."/>
      <w:lvlJc w:val="left"/>
      <w:pPr>
        <w:ind w:left="1196" w:hanging="720"/>
      </w:pPr>
      <w:rPr>
        <w:rFonts w:hint="default"/>
      </w:rPr>
    </w:lvl>
    <w:lvl w:ilvl="4">
      <w:start w:val="1"/>
      <w:numFmt w:val="decimal"/>
      <w:isLgl/>
      <w:lvlText w:val="%1.%2.%3.%4.%5."/>
      <w:lvlJc w:val="left"/>
      <w:pPr>
        <w:ind w:left="1556" w:hanging="1080"/>
      </w:pPr>
      <w:rPr>
        <w:rFonts w:hint="default"/>
      </w:rPr>
    </w:lvl>
    <w:lvl w:ilvl="5">
      <w:start w:val="1"/>
      <w:numFmt w:val="decimal"/>
      <w:isLgl/>
      <w:lvlText w:val="%1.%2.%3.%4.%5.%6."/>
      <w:lvlJc w:val="left"/>
      <w:pPr>
        <w:ind w:left="1556" w:hanging="1080"/>
      </w:pPr>
      <w:rPr>
        <w:rFonts w:hint="default"/>
      </w:rPr>
    </w:lvl>
    <w:lvl w:ilvl="6">
      <w:start w:val="1"/>
      <w:numFmt w:val="decimal"/>
      <w:isLgl/>
      <w:lvlText w:val="%1.%2.%3.%4.%5.%6.%7."/>
      <w:lvlJc w:val="left"/>
      <w:pPr>
        <w:ind w:left="1916" w:hanging="1440"/>
      </w:pPr>
      <w:rPr>
        <w:rFonts w:hint="default"/>
      </w:rPr>
    </w:lvl>
    <w:lvl w:ilvl="7">
      <w:start w:val="1"/>
      <w:numFmt w:val="decimal"/>
      <w:isLgl/>
      <w:lvlText w:val="%1.%2.%3.%4.%5.%6.%7.%8."/>
      <w:lvlJc w:val="left"/>
      <w:pPr>
        <w:ind w:left="1916" w:hanging="1440"/>
      </w:pPr>
      <w:rPr>
        <w:rFonts w:hint="default"/>
      </w:rPr>
    </w:lvl>
    <w:lvl w:ilvl="8">
      <w:start w:val="1"/>
      <w:numFmt w:val="decimal"/>
      <w:isLgl/>
      <w:lvlText w:val="%1.%2.%3.%4.%5.%6.%7.%8.%9."/>
      <w:lvlJc w:val="left"/>
      <w:pPr>
        <w:ind w:left="2276" w:hanging="1800"/>
      </w:pPr>
      <w:rPr>
        <w:rFonts w:hint="default"/>
      </w:rPr>
    </w:lvl>
  </w:abstractNum>
  <w:num w:numId="1">
    <w:abstractNumId w:val="7"/>
  </w:num>
  <w:num w:numId="2">
    <w:abstractNumId w:val="22"/>
  </w:num>
  <w:num w:numId="3">
    <w:abstractNumId w:val="8"/>
  </w:num>
  <w:num w:numId="4">
    <w:abstractNumId w:val="10"/>
  </w:num>
  <w:num w:numId="5">
    <w:abstractNumId w:val="28"/>
  </w:num>
  <w:num w:numId="6">
    <w:abstractNumId w:val="23"/>
  </w:num>
  <w:num w:numId="7">
    <w:abstractNumId w:val="16"/>
  </w:num>
  <w:num w:numId="8">
    <w:abstractNumId w:val="13"/>
  </w:num>
  <w:num w:numId="9">
    <w:abstractNumId w:val="3"/>
  </w:num>
  <w:num w:numId="10">
    <w:abstractNumId w:val="31"/>
  </w:num>
  <w:num w:numId="11">
    <w:abstractNumId w:val="30"/>
  </w:num>
  <w:num w:numId="12">
    <w:abstractNumId w:val="27"/>
  </w:num>
  <w:num w:numId="13">
    <w:abstractNumId w:val="32"/>
  </w:num>
  <w:num w:numId="14">
    <w:abstractNumId w:val="0"/>
  </w:num>
  <w:num w:numId="15">
    <w:abstractNumId w:val="18"/>
  </w:num>
  <w:num w:numId="16">
    <w:abstractNumId w:val="1"/>
  </w:num>
  <w:num w:numId="17">
    <w:abstractNumId w:val="34"/>
  </w:num>
  <w:num w:numId="18">
    <w:abstractNumId w:val="2"/>
  </w:num>
  <w:num w:numId="19">
    <w:abstractNumId w:val="4"/>
  </w:num>
  <w:num w:numId="20">
    <w:abstractNumId w:val="14"/>
  </w:num>
  <w:num w:numId="21">
    <w:abstractNumId w:val="11"/>
  </w:num>
  <w:num w:numId="22">
    <w:abstractNumId w:val="20"/>
  </w:num>
  <w:num w:numId="23">
    <w:abstractNumId w:val="6"/>
  </w:num>
  <w:num w:numId="24">
    <w:abstractNumId w:val="9"/>
  </w:num>
  <w:num w:numId="25">
    <w:abstractNumId w:val="12"/>
  </w:num>
  <w:num w:numId="26">
    <w:abstractNumId w:val="33"/>
  </w:num>
  <w:num w:numId="27">
    <w:abstractNumId w:val="24"/>
  </w:num>
  <w:num w:numId="28">
    <w:abstractNumId w:val="25"/>
  </w:num>
  <w:num w:numId="29">
    <w:abstractNumId w:val="15"/>
  </w:num>
  <w:num w:numId="30">
    <w:abstractNumId w:val="26"/>
  </w:num>
  <w:num w:numId="31">
    <w:abstractNumId w:val="5"/>
  </w:num>
  <w:num w:numId="32">
    <w:abstractNumId w:val="17"/>
  </w:num>
  <w:num w:numId="33">
    <w:abstractNumId w:val="21"/>
  </w:num>
  <w:num w:numId="34">
    <w:abstractNumId w:val="19"/>
  </w:num>
  <w:num w:numId="35">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docVars>
    <w:docVar w:name="LW_DocType" w:val="NORMAL"/>
  </w:docVars>
  <w:rsids>
    <w:rsidRoot w:val="00C46B35"/>
    <w:rsid w:val="00003A3C"/>
    <w:rsid w:val="00005637"/>
    <w:rsid w:val="00012703"/>
    <w:rsid w:val="0004186D"/>
    <w:rsid w:val="00057D7F"/>
    <w:rsid w:val="000614D2"/>
    <w:rsid w:val="000A4132"/>
    <w:rsid w:val="000B046C"/>
    <w:rsid w:val="000C4A3A"/>
    <w:rsid w:val="000D5FD0"/>
    <w:rsid w:val="000E5F0B"/>
    <w:rsid w:val="00127C5D"/>
    <w:rsid w:val="0016050A"/>
    <w:rsid w:val="00161977"/>
    <w:rsid w:val="001757ED"/>
    <w:rsid w:val="00185BBB"/>
    <w:rsid w:val="00194AF8"/>
    <w:rsid w:val="001C3C4A"/>
    <w:rsid w:val="001E2E63"/>
    <w:rsid w:val="002323D4"/>
    <w:rsid w:val="002405BF"/>
    <w:rsid w:val="00295A7B"/>
    <w:rsid w:val="002963F1"/>
    <w:rsid w:val="002E4342"/>
    <w:rsid w:val="002F0A86"/>
    <w:rsid w:val="002F2C48"/>
    <w:rsid w:val="0031598B"/>
    <w:rsid w:val="0033537D"/>
    <w:rsid w:val="003427A1"/>
    <w:rsid w:val="00372C2F"/>
    <w:rsid w:val="003B298A"/>
    <w:rsid w:val="003C5DDC"/>
    <w:rsid w:val="003D27FF"/>
    <w:rsid w:val="003F6048"/>
    <w:rsid w:val="004127FB"/>
    <w:rsid w:val="004147B3"/>
    <w:rsid w:val="004166E6"/>
    <w:rsid w:val="00422033"/>
    <w:rsid w:val="00425504"/>
    <w:rsid w:val="004914F1"/>
    <w:rsid w:val="004C7B41"/>
    <w:rsid w:val="004E0465"/>
    <w:rsid w:val="00527481"/>
    <w:rsid w:val="0056748C"/>
    <w:rsid w:val="00570FF7"/>
    <w:rsid w:val="005841FD"/>
    <w:rsid w:val="005C62D4"/>
    <w:rsid w:val="005D47E7"/>
    <w:rsid w:val="006014F9"/>
    <w:rsid w:val="00641519"/>
    <w:rsid w:val="006435DC"/>
    <w:rsid w:val="00646ECC"/>
    <w:rsid w:val="00657E6A"/>
    <w:rsid w:val="00666A8E"/>
    <w:rsid w:val="00677AB5"/>
    <w:rsid w:val="00695756"/>
    <w:rsid w:val="006C2A70"/>
    <w:rsid w:val="007002E3"/>
    <w:rsid w:val="00700890"/>
    <w:rsid w:val="00710062"/>
    <w:rsid w:val="007118CF"/>
    <w:rsid w:val="0071454F"/>
    <w:rsid w:val="00740576"/>
    <w:rsid w:val="00743C2F"/>
    <w:rsid w:val="007463A5"/>
    <w:rsid w:val="007536E8"/>
    <w:rsid w:val="007828E6"/>
    <w:rsid w:val="007A7F3B"/>
    <w:rsid w:val="007D3AFE"/>
    <w:rsid w:val="008415B7"/>
    <w:rsid w:val="00854666"/>
    <w:rsid w:val="0087134C"/>
    <w:rsid w:val="0087316F"/>
    <w:rsid w:val="008A2462"/>
    <w:rsid w:val="008A5E2D"/>
    <w:rsid w:val="008B6428"/>
    <w:rsid w:val="008C027F"/>
    <w:rsid w:val="008D0BB4"/>
    <w:rsid w:val="008E51DC"/>
    <w:rsid w:val="00902842"/>
    <w:rsid w:val="009078BA"/>
    <w:rsid w:val="00934772"/>
    <w:rsid w:val="009418EF"/>
    <w:rsid w:val="00944E8A"/>
    <w:rsid w:val="00986FA2"/>
    <w:rsid w:val="009D2701"/>
    <w:rsid w:val="009F3ADE"/>
    <w:rsid w:val="00A00311"/>
    <w:rsid w:val="00A37EA2"/>
    <w:rsid w:val="00A444B0"/>
    <w:rsid w:val="00A5175C"/>
    <w:rsid w:val="00A56243"/>
    <w:rsid w:val="00A579D1"/>
    <w:rsid w:val="00A90D43"/>
    <w:rsid w:val="00A94D28"/>
    <w:rsid w:val="00AF0C0F"/>
    <w:rsid w:val="00B02291"/>
    <w:rsid w:val="00B3058F"/>
    <w:rsid w:val="00B36ED1"/>
    <w:rsid w:val="00B40C7F"/>
    <w:rsid w:val="00B52C0C"/>
    <w:rsid w:val="00B6456F"/>
    <w:rsid w:val="00B657E4"/>
    <w:rsid w:val="00B83142"/>
    <w:rsid w:val="00B939D7"/>
    <w:rsid w:val="00BB0AD0"/>
    <w:rsid w:val="00BD3B3F"/>
    <w:rsid w:val="00BE1117"/>
    <w:rsid w:val="00C032FA"/>
    <w:rsid w:val="00C4299A"/>
    <w:rsid w:val="00C46B35"/>
    <w:rsid w:val="00C56708"/>
    <w:rsid w:val="00C64AEF"/>
    <w:rsid w:val="00C73B47"/>
    <w:rsid w:val="00C902B6"/>
    <w:rsid w:val="00CB0563"/>
    <w:rsid w:val="00CB16EC"/>
    <w:rsid w:val="00CB532E"/>
    <w:rsid w:val="00CC203D"/>
    <w:rsid w:val="00CC522B"/>
    <w:rsid w:val="00CD2430"/>
    <w:rsid w:val="00CE69E7"/>
    <w:rsid w:val="00CF34B7"/>
    <w:rsid w:val="00D00C6C"/>
    <w:rsid w:val="00D1236E"/>
    <w:rsid w:val="00D2269A"/>
    <w:rsid w:val="00D35C83"/>
    <w:rsid w:val="00D81428"/>
    <w:rsid w:val="00D85913"/>
    <w:rsid w:val="00D95826"/>
    <w:rsid w:val="00DA3A8F"/>
    <w:rsid w:val="00DB1AA4"/>
    <w:rsid w:val="00DB64CD"/>
    <w:rsid w:val="00DD031B"/>
    <w:rsid w:val="00DD2863"/>
    <w:rsid w:val="00E26078"/>
    <w:rsid w:val="00E74AE4"/>
    <w:rsid w:val="00E970C0"/>
    <w:rsid w:val="00EC2BD7"/>
    <w:rsid w:val="00EF25A7"/>
    <w:rsid w:val="00EF4751"/>
    <w:rsid w:val="00EF6286"/>
    <w:rsid w:val="00F020BE"/>
    <w:rsid w:val="00F11AB9"/>
    <w:rsid w:val="00F82BBB"/>
    <w:rsid w:val="00FB41B0"/>
    <w:rsid w:val="00FB7E76"/>
    <w:rsid w:val="00FE1129"/>
    <w:rsid w:val="00FF407F"/>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522B"/>
  </w:style>
  <w:style w:type="paragraph" w:styleId="Titre1">
    <w:name w:val="heading 1"/>
    <w:basedOn w:val="Normal"/>
    <w:next w:val="Normal"/>
    <w:link w:val="Titre1Car"/>
    <w:uiPriority w:val="9"/>
    <w:qFormat/>
    <w:rsid w:val="002F2C48"/>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Titre2">
    <w:name w:val="heading 2"/>
    <w:basedOn w:val="Normal"/>
    <w:next w:val="Normal"/>
    <w:link w:val="Titre2Car"/>
    <w:uiPriority w:val="9"/>
    <w:unhideWhenUsed/>
    <w:qFormat/>
    <w:rsid w:val="002F2C48"/>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Titre3">
    <w:name w:val="heading 3"/>
    <w:basedOn w:val="Normal"/>
    <w:next w:val="Normal"/>
    <w:link w:val="Titre3Car"/>
    <w:uiPriority w:val="9"/>
    <w:unhideWhenUsed/>
    <w:qFormat/>
    <w:rsid w:val="00657E6A"/>
    <w:pPr>
      <w:keepNext/>
      <w:keepLines/>
      <w:spacing w:before="200" w:after="0"/>
      <w:outlineLvl w:val="2"/>
    </w:pPr>
    <w:rPr>
      <w:rFonts w:asciiTheme="majorHAnsi" w:eastAsiaTheme="majorEastAsia" w:hAnsiTheme="majorHAnsi" w:cstheme="majorBidi"/>
      <w:b/>
      <w:bCs/>
      <w:color w:val="5B9BD5" w:themeColor="accent1"/>
    </w:rPr>
  </w:style>
  <w:style w:type="paragraph" w:styleId="Titre4">
    <w:name w:val="heading 4"/>
    <w:basedOn w:val="Normal"/>
    <w:next w:val="Normal"/>
    <w:link w:val="Titre4Car"/>
    <w:uiPriority w:val="9"/>
    <w:unhideWhenUsed/>
    <w:qFormat/>
    <w:rsid w:val="002323D4"/>
    <w:pPr>
      <w:keepNext/>
      <w:keepLines/>
      <w:spacing w:before="200" w:after="0"/>
      <w:outlineLvl w:val="3"/>
    </w:pPr>
    <w:rPr>
      <w:rFonts w:asciiTheme="majorHAnsi" w:eastAsiaTheme="majorEastAsia" w:hAnsiTheme="majorHAnsi" w:cstheme="majorBidi"/>
      <w:b/>
      <w:bCs/>
      <w:i/>
      <w:iCs/>
      <w:color w:val="5B9BD5" w:themeColor="accent1"/>
    </w:rPr>
  </w:style>
  <w:style w:type="paragraph" w:styleId="Titre5">
    <w:name w:val="heading 5"/>
    <w:basedOn w:val="Normal"/>
    <w:next w:val="Normal"/>
    <w:link w:val="Titre5Car"/>
    <w:uiPriority w:val="9"/>
    <w:unhideWhenUsed/>
    <w:qFormat/>
    <w:rsid w:val="006014F9"/>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Bioforce zListePuce,Glossaire,liste de tableaux,Titre1,Bullets,References,Numbered List Paragraph,ReferencesCxSpLast,Paragraphe de liste11,L_4,Paragraphe de liste4,figure,List Paragraph1,Lapis Bulleted List,I..1,U 5,Ha,List Paragraph"/>
    <w:basedOn w:val="Normal"/>
    <w:link w:val="ParagraphedelisteCar"/>
    <w:uiPriority w:val="34"/>
    <w:qFormat/>
    <w:rsid w:val="002F2C48"/>
    <w:pPr>
      <w:spacing w:after="200" w:line="276" w:lineRule="auto"/>
      <w:ind w:left="720"/>
      <w:contextualSpacing/>
    </w:pPr>
    <w:rPr>
      <w:rFonts w:ascii="Calibri" w:eastAsia="Times New Roman" w:hAnsi="Calibri" w:cs="Times New Roman"/>
      <w:lang w:eastAsia="fr-FR"/>
    </w:rPr>
  </w:style>
  <w:style w:type="character" w:customStyle="1" w:styleId="ParagraphedelisteCar">
    <w:name w:val="Paragraphe de liste Car"/>
    <w:aliases w:val="Bioforce zListePuce Car,Glossaire Car,liste de tableaux Car,Titre1 Car,Bullets Car,References Car,Numbered List Paragraph Car,ReferencesCxSpLast Car,Paragraphe de liste11 Car,L_4 Car,Paragraphe de liste4 Car,figure Car,I..1 Car"/>
    <w:link w:val="Paragraphedeliste"/>
    <w:uiPriority w:val="34"/>
    <w:qFormat/>
    <w:locked/>
    <w:rsid w:val="002F2C48"/>
    <w:rPr>
      <w:rFonts w:ascii="Calibri" w:eastAsia="Times New Roman" w:hAnsi="Calibri" w:cs="Times New Roman"/>
      <w:lang w:eastAsia="fr-FR"/>
    </w:rPr>
  </w:style>
  <w:style w:type="character" w:customStyle="1" w:styleId="Titre1Car">
    <w:name w:val="Titre 1 Car"/>
    <w:basedOn w:val="Policepardfaut"/>
    <w:link w:val="Titre1"/>
    <w:uiPriority w:val="9"/>
    <w:rsid w:val="002F2C48"/>
    <w:rPr>
      <w:rFonts w:asciiTheme="majorHAnsi" w:eastAsiaTheme="majorEastAsia" w:hAnsiTheme="majorHAnsi" w:cstheme="majorBidi"/>
      <w:b/>
      <w:bCs/>
      <w:color w:val="2E74B5" w:themeColor="accent1" w:themeShade="BF"/>
      <w:sz w:val="28"/>
      <w:szCs w:val="28"/>
    </w:rPr>
  </w:style>
  <w:style w:type="character" w:customStyle="1" w:styleId="Titre2Car">
    <w:name w:val="Titre 2 Car"/>
    <w:basedOn w:val="Policepardfaut"/>
    <w:link w:val="Titre2"/>
    <w:rsid w:val="002F2C48"/>
    <w:rPr>
      <w:rFonts w:asciiTheme="majorHAnsi" w:eastAsiaTheme="majorEastAsia" w:hAnsiTheme="majorHAnsi" w:cstheme="majorBidi"/>
      <w:b/>
      <w:bCs/>
      <w:color w:val="5B9BD5" w:themeColor="accent1"/>
      <w:sz w:val="26"/>
      <w:szCs w:val="26"/>
    </w:rPr>
  </w:style>
  <w:style w:type="character" w:customStyle="1" w:styleId="Titre3Car">
    <w:name w:val="Titre 3 Car"/>
    <w:basedOn w:val="Policepardfaut"/>
    <w:link w:val="Titre3"/>
    <w:uiPriority w:val="9"/>
    <w:rsid w:val="00657E6A"/>
    <w:rPr>
      <w:rFonts w:asciiTheme="majorHAnsi" w:eastAsiaTheme="majorEastAsia" w:hAnsiTheme="majorHAnsi" w:cstheme="majorBidi"/>
      <w:b/>
      <w:bCs/>
      <w:color w:val="5B9BD5" w:themeColor="accent1"/>
    </w:rPr>
  </w:style>
  <w:style w:type="character" w:customStyle="1" w:styleId="Titre4Car">
    <w:name w:val="Titre 4 Car"/>
    <w:basedOn w:val="Policepardfaut"/>
    <w:link w:val="Titre4"/>
    <w:uiPriority w:val="9"/>
    <w:rsid w:val="002323D4"/>
    <w:rPr>
      <w:rFonts w:asciiTheme="majorHAnsi" w:eastAsiaTheme="majorEastAsia" w:hAnsiTheme="majorHAnsi" w:cstheme="majorBidi"/>
      <w:b/>
      <w:bCs/>
      <w:i/>
      <w:iCs/>
      <w:color w:val="5B9BD5" w:themeColor="accent1"/>
    </w:rPr>
  </w:style>
  <w:style w:type="character" w:styleId="Marquedecommentaire">
    <w:name w:val="annotation reference"/>
    <w:basedOn w:val="Policepardfaut"/>
    <w:uiPriority w:val="99"/>
    <w:semiHidden/>
    <w:unhideWhenUsed/>
    <w:rsid w:val="00127C5D"/>
    <w:rPr>
      <w:sz w:val="16"/>
      <w:szCs w:val="16"/>
    </w:rPr>
  </w:style>
  <w:style w:type="paragraph" w:styleId="Commentaire">
    <w:name w:val="annotation text"/>
    <w:basedOn w:val="Normal"/>
    <w:link w:val="CommentaireCar"/>
    <w:uiPriority w:val="99"/>
    <w:semiHidden/>
    <w:unhideWhenUsed/>
    <w:rsid w:val="00127C5D"/>
    <w:pPr>
      <w:spacing w:line="240" w:lineRule="auto"/>
    </w:pPr>
    <w:rPr>
      <w:sz w:val="20"/>
      <w:szCs w:val="20"/>
    </w:rPr>
  </w:style>
  <w:style w:type="character" w:customStyle="1" w:styleId="CommentaireCar">
    <w:name w:val="Commentaire Car"/>
    <w:basedOn w:val="Policepardfaut"/>
    <w:link w:val="Commentaire"/>
    <w:uiPriority w:val="99"/>
    <w:semiHidden/>
    <w:rsid w:val="00127C5D"/>
    <w:rPr>
      <w:sz w:val="20"/>
      <w:szCs w:val="20"/>
    </w:rPr>
  </w:style>
  <w:style w:type="paragraph" w:styleId="Objetducommentaire">
    <w:name w:val="annotation subject"/>
    <w:basedOn w:val="Commentaire"/>
    <w:next w:val="Commentaire"/>
    <w:link w:val="ObjetducommentaireCar"/>
    <w:uiPriority w:val="99"/>
    <w:semiHidden/>
    <w:unhideWhenUsed/>
    <w:rsid w:val="00127C5D"/>
    <w:rPr>
      <w:b/>
      <w:bCs/>
    </w:rPr>
  </w:style>
  <w:style w:type="character" w:customStyle="1" w:styleId="ObjetducommentaireCar">
    <w:name w:val="Objet du commentaire Car"/>
    <w:basedOn w:val="CommentaireCar"/>
    <w:link w:val="Objetducommentaire"/>
    <w:uiPriority w:val="99"/>
    <w:semiHidden/>
    <w:rsid w:val="00127C5D"/>
    <w:rPr>
      <w:b/>
      <w:bCs/>
      <w:sz w:val="20"/>
      <w:szCs w:val="20"/>
    </w:rPr>
  </w:style>
  <w:style w:type="paragraph" w:styleId="Textedebulles">
    <w:name w:val="Balloon Text"/>
    <w:basedOn w:val="Normal"/>
    <w:link w:val="TextedebullesCar"/>
    <w:uiPriority w:val="99"/>
    <w:semiHidden/>
    <w:unhideWhenUsed/>
    <w:rsid w:val="00127C5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27C5D"/>
    <w:rPr>
      <w:rFonts w:ascii="Tahoma" w:hAnsi="Tahoma" w:cs="Tahoma"/>
      <w:sz w:val="16"/>
      <w:szCs w:val="16"/>
    </w:rPr>
  </w:style>
  <w:style w:type="paragraph" w:customStyle="1" w:styleId="Style1">
    <w:name w:val="Style 1"/>
    <w:basedOn w:val="Normal"/>
    <w:rsid w:val="00E970C0"/>
    <w:pPr>
      <w:widowControl w:val="0"/>
      <w:spacing w:after="0" w:line="276" w:lineRule="atLeast"/>
      <w:jc w:val="both"/>
    </w:pPr>
    <w:rPr>
      <w:rFonts w:ascii="Calibri" w:eastAsia="Times New Roman" w:hAnsi="Calibri" w:cs="Times New Roman"/>
      <w:noProof/>
      <w:color w:val="000000"/>
      <w:sz w:val="20"/>
      <w:szCs w:val="20"/>
      <w:lang w:eastAsia="fr-FR"/>
    </w:rPr>
  </w:style>
  <w:style w:type="paragraph" w:customStyle="1" w:styleId="CEPABullets">
    <w:name w:val="CEPA Bullets"/>
    <w:basedOn w:val="Normal"/>
    <w:link w:val="CEPABulletsChar1"/>
    <w:qFormat/>
    <w:rsid w:val="003F6048"/>
    <w:pPr>
      <w:spacing w:before="120" w:after="120" w:line="276" w:lineRule="auto"/>
      <w:ind w:left="786" w:hanging="360"/>
      <w:jc w:val="both"/>
    </w:pPr>
    <w:rPr>
      <w:rFonts w:ascii="Calibri" w:eastAsia="Times New Roman" w:hAnsi="Calibri" w:cs="Times New Roman"/>
      <w:sz w:val="24"/>
      <w:szCs w:val="24"/>
      <w:lang w:bidi="fr-FR"/>
    </w:rPr>
  </w:style>
  <w:style w:type="character" w:customStyle="1" w:styleId="CEPABulletsChar1">
    <w:name w:val="CEPA Bullets Char1"/>
    <w:link w:val="CEPABullets"/>
    <w:rsid w:val="003F6048"/>
    <w:rPr>
      <w:rFonts w:ascii="Calibri" w:eastAsia="Times New Roman" w:hAnsi="Calibri" w:cs="Times New Roman"/>
      <w:sz w:val="24"/>
      <w:szCs w:val="24"/>
      <w:lang w:bidi="fr-FR"/>
    </w:rPr>
  </w:style>
  <w:style w:type="paragraph" w:styleId="Notedebasdepage">
    <w:name w:val="footnote text"/>
    <w:aliases w:val=" Car Car,single space,Car Car Car, Car,Car,footnote text,fn,FOOTNOTES,Footnote TextCSR,ALTS FOOTNOTE,Fodnotetekst Tegn,footnote text Char,Fodnotetekst Tegn Char,single space Char,footnote text Char Char Char,Fodnotetekst Tegn Char1"/>
    <w:basedOn w:val="Normal"/>
    <w:link w:val="NotedebasdepageCar"/>
    <w:uiPriority w:val="99"/>
    <w:unhideWhenUsed/>
    <w:qFormat/>
    <w:rsid w:val="00FB41B0"/>
    <w:pPr>
      <w:spacing w:after="0" w:line="240" w:lineRule="auto"/>
    </w:pPr>
    <w:rPr>
      <w:sz w:val="20"/>
      <w:szCs w:val="20"/>
    </w:rPr>
  </w:style>
  <w:style w:type="character" w:customStyle="1" w:styleId="NotedebasdepageCar">
    <w:name w:val="Note de bas de page Car"/>
    <w:aliases w:val=" Car Car Car,single space Car,Car Car Car Car, Car Car1,Car Car,footnote text Car,fn Car,FOOTNOTES Car,Footnote TextCSR Car,ALTS FOOTNOTE Car,Fodnotetekst Tegn Car,footnote text Char Car,Fodnotetekst Tegn Char Car"/>
    <w:basedOn w:val="Policepardfaut"/>
    <w:link w:val="Notedebasdepage"/>
    <w:uiPriority w:val="99"/>
    <w:rsid w:val="00FB41B0"/>
    <w:rPr>
      <w:sz w:val="20"/>
      <w:szCs w:val="20"/>
    </w:rPr>
  </w:style>
  <w:style w:type="character" w:styleId="Appelnotedebasdep">
    <w:name w:val="footnote reference"/>
    <w:aliases w:val="ftref,16 Point,Superscript 6 Point, Car Car Char Car Char Car Car Char Car Char Char, Car Car Car Car Car Car Car Car Char Car Car Char Car Car Car Char Car Char Char Char,Car Car Char Car Char Car Car Char Car Char Char,SUPERS"/>
    <w:basedOn w:val="Policepardfaut"/>
    <w:link w:val="BVIfnrCarCar1Car"/>
    <w:uiPriority w:val="99"/>
    <w:unhideWhenUsed/>
    <w:qFormat/>
    <w:rsid w:val="00FB41B0"/>
    <w:rPr>
      <w:vertAlign w:val="superscript"/>
    </w:rPr>
  </w:style>
  <w:style w:type="paragraph" w:customStyle="1" w:styleId="BVIfnrCarCar1Car">
    <w:name w:val="BVI fnr Car Car1 Car"/>
    <w:aliases w:val="BVI fnr Car Car Car1, BVI fnr Car Car Car Car Car, BVI fnr Car Car Car Car Char Car Car Car Car, BVI fnr Car Car Car Car Char Char Car Car Car,BVI fnr Car Car Car Car Car,BVI fnr Car Car Car Car Char Car Car Car Car"/>
    <w:basedOn w:val="Normal"/>
    <w:link w:val="Appelnotedebasdep"/>
    <w:uiPriority w:val="99"/>
    <w:rsid w:val="00FB41B0"/>
    <w:pPr>
      <w:spacing w:line="240" w:lineRule="exact"/>
      <w:jc w:val="both"/>
    </w:pPr>
    <w:rPr>
      <w:vertAlign w:val="superscript"/>
    </w:rPr>
  </w:style>
  <w:style w:type="paragraph" w:styleId="En-tte">
    <w:name w:val="header"/>
    <w:basedOn w:val="Normal"/>
    <w:link w:val="En-tteCar"/>
    <w:uiPriority w:val="99"/>
    <w:semiHidden/>
    <w:unhideWhenUsed/>
    <w:rsid w:val="004166E6"/>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4166E6"/>
  </w:style>
  <w:style w:type="paragraph" w:styleId="Pieddepage">
    <w:name w:val="footer"/>
    <w:basedOn w:val="Normal"/>
    <w:link w:val="PieddepageCar"/>
    <w:uiPriority w:val="99"/>
    <w:unhideWhenUsed/>
    <w:rsid w:val="004166E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166E6"/>
  </w:style>
  <w:style w:type="character" w:styleId="lev">
    <w:name w:val="Strong"/>
    <w:uiPriority w:val="22"/>
    <w:qFormat/>
    <w:rsid w:val="00B939D7"/>
    <w:rPr>
      <w:b/>
      <w:bCs/>
    </w:rPr>
  </w:style>
  <w:style w:type="table" w:styleId="Grilledutableau">
    <w:name w:val="Table Grid"/>
    <w:basedOn w:val="TableauNormal"/>
    <w:uiPriority w:val="39"/>
    <w:unhideWhenUsed/>
    <w:rsid w:val="00986FA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86FA2"/>
    <w:pPr>
      <w:autoSpaceDE w:val="0"/>
      <w:autoSpaceDN w:val="0"/>
      <w:adjustRightInd w:val="0"/>
      <w:spacing w:after="0" w:line="240" w:lineRule="auto"/>
    </w:pPr>
    <w:rPr>
      <w:rFonts w:ascii="Garamond" w:eastAsia="Calibri" w:hAnsi="Garamond" w:cs="Garamond"/>
      <w:color w:val="000000"/>
      <w:sz w:val="24"/>
      <w:szCs w:val="24"/>
    </w:rPr>
  </w:style>
  <w:style w:type="character" w:customStyle="1" w:styleId="Titre5Car">
    <w:name w:val="Titre 5 Car"/>
    <w:basedOn w:val="Policepardfaut"/>
    <w:link w:val="Titre5"/>
    <w:uiPriority w:val="9"/>
    <w:rsid w:val="006014F9"/>
    <w:rPr>
      <w:rFonts w:asciiTheme="majorHAnsi" w:eastAsiaTheme="majorEastAsia" w:hAnsiTheme="majorHAnsi" w:cstheme="majorBidi"/>
      <w:color w:val="1F4D78" w:themeColor="accent1" w:themeShade="7F"/>
    </w:rPr>
  </w:style>
  <w:style w:type="paragraph" w:customStyle="1" w:styleId="DefaultText">
    <w:name w:val="Default Text"/>
    <w:basedOn w:val="Normal"/>
    <w:link w:val="DefaultTextChar"/>
    <w:uiPriority w:val="99"/>
    <w:qFormat/>
    <w:rsid w:val="00944E8A"/>
    <w:pPr>
      <w:spacing w:after="0" w:line="280" w:lineRule="atLeast"/>
    </w:pPr>
    <w:rPr>
      <w:rFonts w:ascii="Arial" w:eastAsia="Times New Roman" w:hAnsi="Arial" w:cs="Times New Roman"/>
      <w:sz w:val="18"/>
      <w:szCs w:val="24"/>
      <w:lang w:val="en-GB" w:eastAsia="nl-NL"/>
    </w:rPr>
  </w:style>
  <w:style w:type="character" w:customStyle="1" w:styleId="DefaultTextChar">
    <w:name w:val="Default Text Char"/>
    <w:link w:val="DefaultText"/>
    <w:uiPriority w:val="99"/>
    <w:rsid w:val="00944E8A"/>
    <w:rPr>
      <w:rFonts w:ascii="Arial" w:eastAsia="Times New Roman" w:hAnsi="Arial" w:cs="Times New Roman"/>
      <w:sz w:val="18"/>
      <w:szCs w:val="24"/>
      <w:lang w:val="en-GB"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522B"/>
  </w:style>
  <w:style w:type="paragraph" w:styleId="Heading1">
    <w:name w:val="heading 1"/>
    <w:basedOn w:val="Normal"/>
    <w:next w:val="Normal"/>
    <w:link w:val="Heading1Char"/>
    <w:uiPriority w:val="9"/>
    <w:qFormat/>
    <w:rsid w:val="002F2C48"/>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2F2C48"/>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657E6A"/>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2323D4"/>
    <w:pPr>
      <w:keepNext/>
      <w:keepLines/>
      <w:spacing w:before="200" w:after="0"/>
      <w:outlineLvl w:val="3"/>
    </w:pPr>
    <w:rPr>
      <w:rFonts w:asciiTheme="majorHAnsi" w:eastAsiaTheme="majorEastAsia" w:hAnsiTheme="majorHAnsi" w:cstheme="majorBidi"/>
      <w:b/>
      <w:bCs/>
      <w:i/>
      <w:iCs/>
      <w:color w:val="5B9BD5" w:themeColor="accent1"/>
    </w:rPr>
  </w:style>
  <w:style w:type="paragraph" w:styleId="Heading5">
    <w:name w:val="heading 5"/>
    <w:basedOn w:val="Normal"/>
    <w:next w:val="Normal"/>
    <w:link w:val="Heading5Char"/>
    <w:uiPriority w:val="9"/>
    <w:unhideWhenUsed/>
    <w:qFormat/>
    <w:rsid w:val="006014F9"/>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ioforce zListePuce,Glossaire,liste de tableaux,Titre1,Bullets,References,Numbered List Paragraph,ReferencesCxSpLast,Paragraphe de liste11,L_4,Paragraphe de liste4,figure,List Paragraph1,Lapis Bulleted List,I..1,U 5,Ha"/>
    <w:basedOn w:val="Normal"/>
    <w:link w:val="ListParagraphChar"/>
    <w:uiPriority w:val="34"/>
    <w:qFormat/>
    <w:rsid w:val="002F2C48"/>
    <w:pPr>
      <w:spacing w:after="200" w:line="276" w:lineRule="auto"/>
      <w:ind w:left="720"/>
      <w:contextualSpacing/>
    </w:pPr>
    <w:rPr>
      <w:rFonts w:ascii="Calibri" w:eastAsia="Times New Roman" w:hAnsi="Calibri" w:cs="Times New Roman"/>
      <w:lang w:eastAsia="fr-FR"/>
    </w:rPr>
  </w:style>
  <w:style w:type="character" w:customStyle="1" w:styleId="ListParagraphChar">
    <w:name w:val="List Paragraph Char"/>
    <w:aliases w:val="Bioforce zListePuce Char,Glossaire Char,liste de tableaux Char,Titre1 Char,Bullets Char,References Char,Numbered List Paragraph Char,ReferencesCxSpLast Char,Paragraphe de liste11 Char,L_4 Char,Paragraphe de liste4 Char,figure Char"/>
    <w:link w:val="ListParagraph"/>
    <w:uiPriority w:val="34"/>
    <w:qFormat/>
    <w:locked/>
    <w:rsid w:val="002F2C48"/>
    <w:rPr>
      <w:rFonts w:ascii="Calibri" w:eastAsia="Times New Roman" w:hAnsi="Calibri" w:cs="Times New Roman"/>
      <w:lang w:eastAsia="fr-FR"/>
    </w:rPr>
  </w:style>
  <w:style w:type="character" w:customStyle="1" w:styleId="Heading1Char">
    <w:name w:val="Heading 1 Char"/>
    <w:basedOn w:val="DefaultParagraphFont"/>
    <w:link w:val="Heading1"/>
    <w:uiPriority w:val="9"/>
    <w:rsid w:val="002F2C48"/>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rsid w:val="002F2C48"/>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657E6A"/>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2323D4"/>
    <w:rPr>
      <w:rFonts w:asciiTheme="majorHAnsi" w:eastAsiaTheme="majorEastAsia" w:hAnsiTheme="majorHAnsi" w:cstheme="majorBidi"/>
      <w:b/>
      <w:bCs/>
      <w:i/>
      <w:iCs/>
      <w:color w:val="5B9BD5" w:themeColor="accent1"/>
    </w:rPr>
  </w:style>
  <w:style w:type="character" w:styleId="CommentReference">
    <w:name w:val="annotation reference"/>
    <w:basedOn w:val="DefaultParagraphFont"/>
    <w:uiPriority w:val="99"/>
    <w:semiHidden/>
    <w:unhideWhenUsed/>
    <w:rsid w:val="00127C5D"/>
    <w:rPr>
      <w:sz w:val="16"/>
      <w:szCs w:val="16"/>
    </w:rPr>
  </w:style>
  <w:style w:type="paragraph" w:styleId="CommentText">
    <w:name w:val="annotation text"/>
    <w:basedOn w:val="Normal"/>
    <w:link w:val="CommentTextChar"/>
    <w:uiPriority w:val="99"/>
    <w:semiHidden/>
    <w:unhideWhenUsed/>
    <w:rsid w:val="00127C5D"/>
    <w:pPr>
      <w:spacing w:line="240" w:lineRule="auto"/>
    </w:pPr>
    <w:rPr>
      <w:sz w:val="20"/>
      <w:szCs w:val="20"/>
    </w:rPr>
  </w:style>
  <w:style w:type="character" w:customStyle="1" w:styleId="CommentTextChar">
    <w:name w:val="Comment Text Char"/>
    <w:basedOn w:val="DefaultParagraphFont"/>
    <w:link w:val="CommentText"/>
    <w:uiPriority w:val="99"/>
    <w:semiHidden/>
    <w:rsid w:val="00127C5D"/>
    <w:rPr>
      <w:sz w:val="20"/>
      <w:szCs w:val="20"/>
    </w:rPr>
  </w:style>
  <w:style w:type="paragraph" w:styleId="CommentSubject">
    <w:name w:val="annotation subject"/>
    <w:basedOn w:val="CommentText"/>
    <w:next w:val="CommentText"/>
    <w:link w:val="CommentSubjectChar"/>
    <w:uiPriority w:val="99"/>
    <w:semiHidden/>
    <w:unhideWhenUsed/>
    <w:rsid w:val="00127C5D"/>
    <w:rPr>
      <w:b/>
      <w:bCs/>
    </w:rPr>
  </w:style>
  <w:style w:type="character" w:customStyle="1" w:styleId="CommentSubjectChar">
    <w:name w:val="Comment Subject Char"/>
    <w:basedOn w:val="CommentTextChar"/>
    <w:link w:val="CommentSubject"/>
    <w:uiPriority w:val="99"/>
    <w:semiHidden/>
    <w:rsid w:val="00127C5D"/>
    <w:rPr>
      <w:b/>
      <w:bCs/>
      <w:sz w:val="20"/>
      <w:szCs w:val="20"/>
    </w:rPr>
  </w:style>
  <w:style w:type="paragraph" w:styleId="BalloonText">
    <w:name w:val="Balloon Text"/>
    <w:basedOn w:val="Normal"/>
    <w:link w:val="BalloonTextChar"/>
    <w:uiPriority w:val="99"/>
    <w:semiHidden/>
    <w:unhideWhenUsed/>
    <w:rsid w:val="00127C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7C5D"/>
    <w:rPr>
      <w:rFonts w:ascii="Tahoma" w:hAnsi="Tahoma" w:cs="Tahoma"/>
      <w:sz w:val="16"/>
      <w:szCs w:val="16"/>
    </w:rPr>
  </w:style>
  <w:style w:type="paragraph" w:customStyle="1" w:styleId="Style1">
    <w:name w:val="Style 1"/>
    <w:basedOn w:val="Normal"/>
    <w:rsid w:val="00E970C0"/>
    <w:pPr>
      <w:widowControl w:val="0"/>
      <w:spacing w:after="0" w:line="276" w:lineRule="atLeast"/>
      <w:jc w:val="both"/>
    </w:pPr>
    <w:rPr>
      <w:rFonts w:ascii="Calibri" w:eastAsia="Times New Roman" w:hAnsi="Calibri" w:cs="Times New Roman"/>
      <w:noProof/>
      <w:color w:val="000000"/>
      <w:sz w:val="20"/>
      <w:szCs w:val="20"/>
      <w:lang w:eastAsia="fr-FR"/>
    </w:rPr>
  </w:style>
  <w:style w:type="paragraph" w:customStyle="1" w:styleId="CEPABullets">
    <w:name w:val="CEPA Bullets"/>
    <w:basedOn w:val="Normal"/>
    <w:link w:val="CEPABulletsChar1"/>
    <w:qFormat/>
    <w:rsid w:val="003F6048"/>
    <w:pPr>
      <w:spacing w:before="120" w:after="120" w:line="276" w:lineRule="auto"/>
      <w:ind w:left="786" w:hanging="360"/>
      <w:jc w:val="both"/>
    </w:pPr>
    <w:rPr>
      <w:rFonts w:ascii="Calibri" w:eastAsia="Times New Roman" w:hAnsi="Calibri" w:cs="Times New Roman"/>
      <w:sz w:val="24"/>
      <w:szCs w:val="24"/>
      <w:lang w:bidi="fr-FR"/>
    </w:rPr>
  </w:style>
  <w:style w:type="character" w:customStyle="1" w:styleId="CEPABulletsChar1">
    <w:name w:val="CEPA Bullets Char1"/>
    <w:link w:val="CEPABullets"/>
    <w:rsid w:val="003F6048"/>
    <w:rPr>
      <w:rFonts w:ascii="Calibri" w:eastAsia="Times New Roman" w:hAnsi="Calibri" w:cs="Times New Roman"/>
      <w:sz w:val="24"/>
      <w:szCs w:val="24"/>
      <w:lang w:bidi="fr-FR"/>
    </w:rPr>
  </w:style>
  <w:style w:type="paragraph" w:styleId="FootnoteText">
    <w:name w:val="footnote text"/>
    <w:aliases w:val=" Car Car,single space,Car Car Car, Car,Car,footnote text,fn,FOOTNOTES,Footnote TextCSR,ALTS FOOTNOTE,Fodnotetekst Tegn,footnote text Char,Fodnotetekst Tegn Char,single space Char,footnote text Char Char Char,Fodnotetekst Tegn Char1"/>
    <w:basedOn w:val="Normal"/>
    <w:link w:val="FootnoteTextChar"/>
    <w:uiPriority w:val="99"/>
    <w:unhideWhenUsed/>
    <w:qFormat/>
    <w:rsid w:val="00FB41B0"/>
    <w:pPr>
      <w:spacing w:after="0" w:line="240" w:lineRule="auto"/>
    </w:pPr>
    <w:rPr>
      <w:sz w:val="20"/>
      <w:szCs w:val="20"/>
    </w:rPr>
  </w:style>
  <w:style w:type="character" w:customStyle="1" w:styleId="FootnoteTextChar">
    <w:name w:val="Footnote Text Char"/>
    <w:aliases w:val=" Car Car Char,single space Char1,Car Car Car Char, Car Char,Car Char,footnote text Char1,fn Char,FOOTNOTES Char,Footnote TextCSR Char,ALTS FOOTNOTE Char,Fodnotetekst Tegn Char2,footnote text Char Char,Fodnotetekst Tegn Char Char"/>
    <w:basedOn w:val="DefaultParagraphFont"/>
    <w:link w:val="FootnoteText"/>
    <w:uiPriority w:val="99"/>
    <w:rsid w:val="00FB41B0"/>
    <w:rPr>
      <w:sz w:val="20"/>
      <w:szCs w:val="20"/>
    </w:rPr>
  </w:style>
  <w:style w:type="character" w:styleId="FootnoteReference">
    <w:name w:val="footnote reference"/>
    <w:aliases w:val="ftref,16 Point,Superscript 6 Point, Car Car Char Car Char Car Car Char Car Char Char, Car Car Car Car Car Car Car Car Char Car Car Char Car Car Car Char Car Char Char Char,Car Car Char Car Char Car Car Char Car Char Char,SUPERS"/>
    <w:basedOn w:val="DefaultParagraphFont"/>
    <w:link w:val="BVIfnrCarCar1Car"/>
    <w:uiPriority w:val="99"/>
    <w:unhideWhenUsed/>
    <w:qFormat/>
    <w:rsid w:val="00FB41B0"/>
    <w:rPr>
      <w:vertAlign w:val="superscript"/>
    </w:rPr>
  </w:style>
  <w:style w:type="paragraph" w:customStyle="1" w:styleId="BVIfnrCarCar1Car">
    <w:name w:val="BVI fnr Car Car1 Car"/>
    <w:aliases w:val="BVI fnr Car Car Car1, BVI fnr Car Car Car Car Car, BVI fnr Car Car Car Car Char Car Car Car Car, BVI fnr Car Car Car Car Char Char Car Car Car,BVI fnr Car Car Car Car Car,BVI fnr Car Car Car Car Char Car Car Car Car"/>
    <w:basedOn w:val="Normal"/>
    <w:link w:val="FootnoteReference"/>
    <w:uiPriority w:val="99"/>
    <w:rsid w:val="00FB41B0"/>
    <w:pPr>
      <w:spacing w:line="240" w:lineRule="exact"/>
      <w:jc w:val="both"/>
    </w:pPr>
    <w:rPr>
      <w:vertAlign w:val="superscript"/>
    </w:rPr>
  </w:style>
  <w:style w:type="paragraph" w:styleId="Header">
    <w:name w:val="header"/>
    <w:basedOn w:val="Normal"/>
    <w:link w:val="HeaderChar"/>
    <w:uiPriority w:val="99"/>
    <w:semiHidden/>
    <w:unhideWhenUsed/>
    <w:rsid w:val="004166E6"/>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4166E6"/>
  </w:style>
  <w:style w:type="paragraph" w:styleId="Footer">
    <w:name w:val="footer"/>
    <w:basedOn w:val="Normal"/>
    <w:link w:val="FooterChar"/>
    <w:uiPriority w:val="99"/>
    <w:unhideWhenUsed/>
    <w:rsid w:val="004166E6"/>
    <w:pPr>
      <w:tabs>
        <w:tab w:val="center" w:pos="4536"/>
        <w:tab w:val="right" w:pos="9072"/>
      </w:tabs>
      <w:spacing w:after="0" w:line="240" w:lineRule="auto"/>
    </w:pPr>
  </w:style>
  <w:style w:type="character" w:customStyle="1" w:styleId="FooterChar">
    <w:name w:val="Footer Char"/>
    <w:basedOn w:val="DefaultParagraphFont"/>
    <w:link w:val="Footer"/>
    <w:uiPriority w:val="99"/>
    <w:rsid w:val="004166E6"/>
  </w:style>
  <w:style w:type="character" w:styleId="Strong">
    <w:name w:val="Strong"/>
    <w:uiPriority w:val="22"/>
    <w:qFormat/>
    <w:rsid w:val="00B939D7"/>
    <w:rPr>
      <w:b/>
      <w:bCs/>
    </w:rPr>
  </w:style>
  <w:style w:type="table" w:styleId="TableGrid">
    <w:name w:val="Table Grid"/>
    <w:basedOn w:val="TableNormal"/>
    <w:uiPriority w:val="39"/>
    <w:unhideWhenUsed/>
    <w:rsid w:val="00986F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86FA2"/>
    <w:pPr>
      <w:autoSpaceDE w:val="0"/>
      <w:autoSpaceDN w:val="0"/>
      <w:adjustRightInd w:val="0"/>
      <w:spacing w:after="0" w:line="240" w:lineRule="auto"/>
    </w:pPr>
    <w:rPr>
      <w:rFonts w:ascii="Garamond" w:eastAsia="Calibri" w:hAnsi="Garamond" w:cs="Garamond"/>
      <w:color w:val="000000"/>
      <w:sz w:val="24"/>
      <w:szCs w:val="24"/>
    </w:rPr>
  </w:style>
  <w:style w:type="character" w:customStyle="1" w:styleId="Heading5Char">
    <w:name w:val="Heading 5 Char"/>
    <w:basedOn w:val="DefaultParagraphFont"/>
    <w:link w:val="Heading5"/>
    <w:uiPriority w:val="9"/>
    <w:rsid w:val="006014F9"/>
    <w:rPr>
      <w:rFonts w:asciiTheme="majorHAnsi" w:eastAsiaTheme="majorEastAsia" w:hAnsiTheme="majorHAnsi" w:cstheme="majorBidi"/>
      <w:color w:val="1F4D78" w:themeColor="accent1" w:themeShade="7F"/>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package" Target="embeddings/Diapositive_Microsoft_Office_PowerPoint1.sldx"/></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0B0D6C8-54B6-4F9E-AF17-ACC975AC23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38</Pages>
  <Words>17111</Words>
  <Characters>94114</Characters>
  <Application>Microsoft Office Word</Application>
  <DocSecurity>0</DocSecurity>
  <Lines>784</Lines>
  <Paragraphs>222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EEAS</Company>
  <LinksUpToDate>false</LinksUpToDate>
  <CharactersWithSpaces>111003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Oumar Ouattara</dc:creator>
  <cp:lastModifiedBy>Oumar Ouattara</cp:lastModifiedBy>
  <cp:revision>7</cp:revision>
  <dcterms:created xsi:type="dcterms:W3CDTF">2017-08-28T14:33:00Z</dcterms:created>
  <dcterms:modified xsi:type="dcterms:W3CDTF">2017-08-28T15:33:00Z</dcterms:modified>
</cp:coreProperties>
</file>