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F30" w:rsidRPr="00EB3C6B" w:rsidRDefault="00EB3C6B">
      <w:pPr>
        <w:rPr>
          <w:b/>
          <w:sz w:val="28"/>
          <w:szCs w:val="28"/>
        </w:rPr>
      </w:pPr>
      <w:r w:rsidRPr="00EB3C6B">
        <w:rPr>
          <w:b/>
          <w:sz w:val="28"/>
          <w:szCs w:val="28"/>
        </w:rPr>
        <w:t xml:space="preserve">Quelques éléments de </w:t>
      </w:r>
      <w:r w:rsidR="004A22F2" w:rsidRPr="00EB3C6B">
        <w:rPr>
          <w:b/>
          <w:sz w:val="28"/>
          <w:szCs w:val="28"/>
        </w:rPr>
        <w:t xml:space="preserve">Compte rendu de la </w:t>
      </w:r>
      <w:r w:rsidRPr="00EB3C6B">
        <w:rPr>
          <w:b/>
          <w:sz w:val="28"/>
          <w:szCs w:val="28"/>
        </w:rPr>
        <w:t>Réunion</w:t>
      </w:r>
      <w:r w:rsidR="004A22F2" w:rsidRPr="00EB3C6B">
        <w:rPr>
          <w:b/>
          <w:sz w:val="28"/>
          <w:szCs w:val="28"/>
        </w:rPr>
        <w:t xml:space="preserve"> GTR du 02/03/2020</w:t>
      </w:r>
    </w:p>
    <w:p w:rsidR="004A22F2" w:rsidRPr="000C7B63" w:rsidRDefault="004A22F2" w:rsidP="000C7B63">
      <w:pPr>
        <w:spacing w:line="276" w:lineRule="auto"/>
        <w:jc w:val="both"/>
        <w:rPr>
          <w:b/>
          <w:sz w:val="24"/>
          <w:szCs w:val="24"/>
        </w:rPr>
      </w:pPr>
      <w:r w:rsidRPr="000C7B63">
        <w:rPr>
          <w:b/>
          <w:sz w:val="24"/>
          <w:szCs w:val="24"/>
        </w:rPr>
        <w:t>Question de financement de l’UTGG :</w:t>
      </w:r>
    </w:p>
    <w:p w:rsidR="004A22F2" w:rsidRPr="000C7B63" w:rsidRDefault="004A22F2" w:rsidP="000C7B63">
      <w:pPr>
        <w:pStyle w:val="Paragraphedeliste"/>
        <w:numPr>
          <w:ilvl w:val="0"/>
          <w:numId w:val="1"/>
        </w:numPr>
        <w:spacing w:line="276" w:lineRule="auto"/>
        <w:jc w:val="both"/>
        <w:rPr>
          <w:sz w:val="24"/>
          <w:szCs w:val="24"/>
        </w:rPr>
      </w:pPr>
      <w:r w:rsidRPr="000C7B63">
        <w:rPr>
          <w:sz w:val="24"/>
          <w:szCs w:val="24"/>
        </w:rPr>
        <w:t>La contribution des PTF en nature : la question a été discutée et il ressort que :</w:t>
      </w:r>
    </w:p>
    <w:p w:rsidR="004A22F2" w:rsidRPr="000C7B63" w:rsidRDefault="004A22F2" w:rsidP="000C7B63">
      <w:pPr>
        <w:pStyle w:val="Paragraphedeliste"/>
        <w:numPr>
          <w:ilvl w:val="0"/>
          <w:numId w:val="2"/>
        </w:numPr>
        <w:spacing w:line="276" w:lineRule="auto"/>
        <w:jc w:val="both"/>
        <w:rPr>
          <w:sz w:val="24"/>
          <w:szCs w:val="24"/>
        </w:rPr>
      </w:pPr>
      <w:r w:rsidRPr="000C7B63">
        <w:rPr>
          <w:sz w:val="24"/>
          <w:szCs w:val="24"/>
        </w:rPr>
        <w:t xml:space="preserve">Cette contribution des PTF relève des questions politiques du MSP. </w:t>
      </w:r>
    </w:p>
    <w:p w:rsidR="004A22F2" w:rsidRPr="000C7B63" w:rsidRDefault="004A22F2" w:rsidP="000C7B63">
      <w:pPr>
        <w:pStyle w:val="Paragraphedeliste"/>
        <w:numPr>
          <w:ilvl w:val="0"/>
          <w:numId w:val="2"/>
        </w:numPr>
        <w:spacing w:line="276" w:lineRule="auto"/>
        <w:jc w:val="both"/>
        <w:rPr>
          <w:sz w:val="24"/>
          <w:szCs w:val="24"/>
        </w:rPr>
      </w:pPr>
      <w:r w:rsidRPr="000C7B63">
        <w:rPr>
          <w:sz w:val="24"/>
          <w:szCs w:val="24"/>
        </w:rPr>
        <w:t>Il est important que les règles de jeu soient fixées par avance pour éviter le double financement qui aura des conséquences sur la programmation budgétaire de l’UTGG (Exemples de la pratique : lycée d’Excellence qui a reçu en don, des kits de couchage, alors que le fournisseur a déjà livré sa commande programmée. Ce qui a entrainé le blocage de la dépense par le Ministère des Finances</w:t>
      </w:r>
    </w:p>
    <w:p w:rsidR="004A22F2" w:rsidRPr="000C7B63" w:rsidRDefault="004A22F2" w:rsidP="000C7B63">
      <w:pPr>
        <w:pStyle w:val="Paragraphedeliste"/>
        <w:numPr>
          <w:ilvl w:val="0"/>
          <w:numId w:val="2"/>
        </w:numPr>
        <w:spacing w:line="276" w:lineRule="auto"/>
        <w:jc w:val="both"/>
        <w:rPr>
          <w:sz w:val="24"/>
          <w:szCs w:val="24"/>
        </w:rPr>
      </w:pPr>
      <w:r w:rsidRPr="000C7B63">
        <w:rPr>
          <w:sz w:val="24"/>
          <w:szCs w:val="24"/>
        </w:rPr>
        <w:t>Il serait bon que des négociations soient engagées</w:t>
      </w:r>
      <w:r w:rsidR="00E133D9" w:rsidRPr="000C7B63">
        <w:rPr>
          <w:sz w:val="24"/>
          <w:szCs w:val="24"/>
        </w:rPr>
        <w:t xml:space="preserve">, dans le cadre de la fixation du panier des soins (dit intégré). Il s’agit de savoir s’il est possible que les donations soient valorisées et intégrées dans le budget de l’UTGG. A cet effet, un système de suivi adéquat doit être mis en place pour coordonner le FBR et les donations. </w:t>
      </w:r>
    </w:p>
    <w:p w:rsidR="00E133D9" w:rsidRPr="000C7B63" w:rsidRDefault="00E133D9" w:rsidP="000C7B63">
      <w:pPr>
        <w:pStyle w:val="Paragraphedeliste"/>
        <w:numPr>
          <w:ilvl w:val="0"/>
          <w:numId w:val="2"/>
        </w:numPr>
        <w:spacing w:line="276" w:lineRule="auto"/>
        <w:jc w:val="both"/>
        <w:rPr>
          <w:sz w:val="24"/>
          <w:szCs w:val="24"/>
        </w:rPr>
      </w:pPr>
      <w:r w:rsidRPr="000C7B63">
        <w:rPr>
          <w:sz w:val="24"/>
          <w:szCs w:val="24"/>
        </w:rPr>
        <w:t>Il est important de prendre en charge cette question d’intervention non-prévisible des PTF de façon concertée dans le cadre de la refonte du processus de la gratuité.</w:t>
      </w:r>
    </w:p>
    <w:p w:rsidR="00E133D9" w:rsidRPr="000C7B63" w:rsidRDefault="00E133D9" w:rsidP="000C7B63">
      <w:pPr>
        <w:pStyle w:val="Paragraphedeliste"/>
        <w:numPr>
          <w:ilvl w:val="0"/>
          <w:numId w:val="2"/>
        </w:numPr>
        <w:spacing w:line="276" w:lineRule="auto"/>
        <w:jc w:val="both"/>
        <w:rPr>
          <w:sz w:val="24"/>
          <w:szCs w:val="24"/>
        </w:rPr>
      </w:pPr>
      <w:r w:rsidRPr="000C7B63">
        <w:rPr>
          <w:sz w:val="24"/>
          <w:szCs w:val="24"/>
        </w:rPr>
        <w:t xml:space="preserve">Il faut bien retenir que la gestion financière de l’UTGG se fera dans le cadre d’une programmation budgétaire (recettes et dépenses) validé en CA. </w:t>
      </w:r>
    </w:p>
    <w:p w:rsidR="00E133D9" w:rsidRPr="000C7B63" w:rsidRDefault="00E133D9" w:rsidP="000C7B63">
      <w:pPr>
        <w:spacing w:line="276" w:lineRule="auto"/>
        <w:jc w:val="both"/>
        <w:rPr>
          <w:b/>
          <w:sz w:val="24"/>
          <w:szCs w:val="24"/>
        </w:rPr>
      </w:pPr>
      <w:r w:rsidRPr="000C7B63">
        <w:rPr>
          <w:b/>
          <w:sz w:val="24"/>
          <w:szCs w:val="24"/>
        </w:rPr>
        <w:t xml:space="preserve">Organisation institutionnelle de l’UTGG : </w:t>
      </w:r>
      <w:bookmarkStart w:id="0" w:name="_GoBack"/>
      <w:bookmarkEnd w:id="0"/>
    </w:p>
    <w:p w:rsidR="003A5DAD" w:rsidRPr="000C7B63" w:rsidRDefault="00E133D9" w:rsidP="000C7B63">
      <w:pPr>
        <w:pStyle w:val="Paragraphedeliste"/>
        <w:numPr>
          <w:ilvl w:val="0"/>
          <w:numId w:val="1"/>
        </w:numPr>
        <w:spacing w:line="276" w:lineRule="auto"/>
        <w:jc w:val="both"/>
        <w:rPr>
          <w:sz w:val="24"/>
          <w:szCs w:val="24"/>
        </w:rPr>
      </w:pPr>
      <w:r w:rsidRPr="000C7B63">
        <w:rPr>
          <w:sz w:val="24"/>
          <w:szCs w:val="24"/>
        </w:rPr>
        <w:t>Pour le Conseil d’Administration : il serait bien de prévoir un poste de vice-</w:t>
      </w:r>
      <w:r w:rsidR="003A5DAD" w:rsidRPr="000C7B63">
        <w:rPr>
          <w:sz w:val="24"/>
          <w:szCs w:val="24"/>
        </w:rPr>
        <w:t xml:space="preserve">président pour le MSP qui est l’acteur central du processus. </w:t>
      </w:r>
    </w:p>
    <w:p w:rsidR="00E133D9" w:rsidRPr="000C7B63" w:rsidRDefault="003A5DAD" w:rsidP="000C7B63">
      <w:pPr>
        <w:pStyle w:val="Paragraphedeliste"/>
        <w:numPr>
          <w:ilvl w:val="0"/>
          <w:numId w:val="1"/>
        </w:numPr>
        <w:spacing w:line="276" w:lineRule="auto"/>
        <w:jc w:val="both"/>
        <w:rPr>
          <w:sz w:val="24"/>
          <w:szCs w:val="24"/>
        </w:rPr>
      </w:pPr>
      <w:r w:rsidRPr="000C7B63">
        <w:rPr>
          <w:sz w:val="24"/>
          <w:szCs w:val="24"/>
        </w:rPr>
        <w:t>Les PTF ont toujours une voix consultative au sein du CA, même si le poids de leur financement est important (autour de 50% par exemple)</w:t>
      </w:r>
      <w:r w:rsidR="00E133D9" w:rsidRPr="000C7B63">
        <w:rPr>
          <w:sz w:val="24"/>
          <w:szCs w:val="24"/>
        </w:rPr>
        <w:t xml:space="preserve"> </w:t>
      </w:r>
    </w:p>
    <w:p w:rsidR="003A5DAD" w:rsidRPr="00BD311E" w:rsidRDefault="003A5DAD" w:rsidP="000C7B63">
      <w:pPr>
        <w:pStyle w:val="Paragraphedeliste"/>
        <w:numPr>
          <w:ilvl w:val="0"/>
          <w:numId w:val="1"/>
        </w:numPr>
        <w:spacing w:line="276" w:lineRule="auto"/>
        <w:jc w:val="both"/>
        <w:rPr>
          <w:b/>
          <w:sz w:val="24"/>
          <w:szCs w:val="24"/>
        </w:rPr>
      </w:pPr>
      <w:r w:rsidRPr="00BD311E">
        <w:rPr>
          <w:b/>
          <w:sz w:val="24"/>
          <w:szCs w:val="24"/>
        </w:rPr>
        <w:t>La 2</w:t>
      </w:r>
      <w:r w:rsidRPr="00BD311E">
        <w:rPr>
          <w:b/>
          <w:sz w:val="24"/>
          <w:szCs w:val="24"/>
          <w:vertAlign w:val="superscript"/>
        </w:rPr>
        <w:t>nd</w:t>
      </w:r>
      <w:r w:rsidRPr="00BD311E">
        <w:rPr>
          <w:b/>
          <w:sz w:val="24"/>
          <w:szCs w:val="24"/>
        </w:rPr>
        <w:t xml:space="preserve"> option est retenue puisqu’elle offre plus de possibilités et se prête plus en faveur de la création de la structure qui prendra en charge la refonte de la gratuité des soins. </w:t>
      </w:r>
    </w:p>
    <w:p w:rsidR="003A5DAD" w:rsidRPr="00BD311E" w:rsidRDefault="003A5DAD" w:rsidP="000C7B63">
      <w:pPr>
        <w:pStyle w:val="Paragraphedeliste"/>
        <w:numPr>
          <w:ilvl w:val="0"/>
          <w:numId w:val="1"/>
        </w:numPr>
        <w:spacing w:line="276" w:lineRule="auto"/>
        <w:jc w:val="both"/>
        <w:rPr>
          <w:b/>
          <w:sz w:val="24"/>
          <w:szCs w:val="24"/>
        </w:rPr>
      </w:pPr>
      <w:r w:rsidRPr="00BD311E">
        <w:rPr>
          <w:b/>
          <w:sz w:val="24"/>
          <w:szCs w:val="24"/>
        </w:rPr>
        <w:t>C’est pourquoi, le GTR fait le choix de l’option 2 après des longues discussions au cours de plusieurs rencontres à l’issue desquelles deux options ont été mis sur la table.</w:t>
      </w:r>
    </w:p>
    <w:p w:rsidR="003A5DAD" w:rsidRPr="000C7B63" w:rsidRDefault="003A5DAD" w:rsidP="000C7B63">
      <w:pPr>
        <w:pStyle w:val="Paragraphedeliste"/>
        <w:numPr>
          <w:ilvl w:val="0"/>
          <w:numId w:val="1"/>
        </w:numPr>
        <w:spacing w:line="276" w:lineRule="auto"/>
        <w:jc w:val="both"/>
        <w:rPr>
          <w:sz w:val="24"/>
          <w:szCs w:val="24"/>
        </w:rPr>
      </w:pPr>
      <w:r w:rsidRPr="000C7B63">
        <w:rPr>
          <w:sz w:val="24"/>
          <w:szCs w:val="24"/>
        </w:rPr>
        <w:t>Par ailleurs, il a été rap</w:t>
      </w:r>
      <w:r w:rsidR="00666940">
        <w:rPr>
          <w:sz w:val="24"/>
          <w:szCs w:val="24"/>
        </w:rPr>
        <w:t>pelé que la création de la Régie</w:t>
      </w:r>
      <w:r w:rsidR="00EB3C6B" w:rsidRPr="000C7B63">
        <w:rPr>
          <w:sz w:val="24"/>
          <w:szCs w:val="24"/>
        </w:rPr>
        <w:t xml:space="preserve"> nécessite l’introduction d’une demande de dérogation spéciale auprès du Ministère des Finances au vue de l’enveloppe importante qui sera allouée au processus (autour de 19 milliards de FCFA).</w:t>
      </w:r>
    </w:p>
    <w:p w:rsidR="00EB3C6B" w:rsidRDefault="00EB3C6B" w:rsidP="000C7B63">
      <w:pPr>
        <w:pStyle w:val="Paragraphedeliste"/>
        <w:numPr>
          <w:ilvl w:val="0"/>
          <w:numId w:val="1"/>
        </w:numPr>
        <w:spacing w:line="276" w:lineRule="auto"/>
        <w:jc w:val="both"/>
        <w:rPr>
          <w:sz w:val="24"/>
          <w:szCs w:val="24"/>
        </w:rPr>
      </w:pPr>
      <w:r w:rsidRPr="000C7B63">
        <w:rPr>
          <w:sz w:val="24"/>
          <w:szCs w:val="24"/>
        </w:rPr>
        <w:t xml:space="preserve">Il serait bien d’organiser une rencontre avec les PTF pour les informer sur les résultats du processus de refonte de la gratuité et faire le plaidoyer pour l’option retenue. </w:t>
      </w:r>
    </w:p>
    <w:p w:rsidR="000C7B63" w:rsidRPr="000C7B63" w:rsidRDefault="000C7B63" w:rsidP="000C7B63">
      <w:pPr>
        <w:pStyle w:val="Paragraphedeliste"/>
        <w:spacing w:line="276" w:lineRule="auto"/>
        <w:jc w:val="both"/>
        <w:rPr>
          <w:sz w:val="24"/>
          <w:szCs w:val="24"/>
        </w:rPr>
      </w:pPr>
    </w:p>
    <w:sectPr w:rsidR="000C7B63" w:rsidRPr="000C7B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563C90"/>
    <w:multiLevelType w:val="hybridMultilevel"/>
    <w:tmpl w:val="29DA139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nsid w:val="7B7B6551"/>
    <w:multiLevelType w:val="hybridMultilevel"/>
    <w:tmpl w:val="C94A921E"/>
    <w:lvl w:ilvl="0" w:tplc="BA7261A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0F"/>
    <w:rsid w:val="000C7B63"/>
    <w:rsid w:val="0022280D"/>
    <w:rsid w:val="003A5DAD"/>
    <w:rsid w:val="004A22F2"/>
    <w:rsid w:val="00571F30"/>
    <w:rsid w:val="00666940"/>
    <w:rsid w:val="00912D0F"/>
    <w:rsid w:val="00BD311E"/>
    <w:rsid w:val="00C13D42"/>
    <w:rsid w:val="00E133D9"/>
    <w:rsid w:val="00EB3C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3BCB87-703D-40F8-9A77-CA2109C54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A22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368</Words>
  <Characters>2028</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Mourjane</cp:lastModifiedBy>
  <cp:revision>2</cp:revision>
  <dcterms:created xsi:type="dcterms:W3CDTF">2020-05-21T15:03:00Z</dcterms:created>
  <dcterms:modified xsi:type="dcterms:W3CDTF">2020-05-21T15:03:00Z</dcterms:modified>
</cp:coreProperties>
</file>