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7.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8.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9.xml" ContentType="application/vnd.openxmlformats-officedocument.drawingml.chart+xml"/>
  <Override PartName="/word/theme/themeOverride1.xml" ContentType="application/vnd.openxmlformats-officedocument.themeOverride+xml"/>
  <Override PartName="/word/charts/chart10.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11.xml" ContentType="application/vnd.openxmlformats-officedocument.drawingml.chart+xml"/>
  <Override PartName="/word/theme/themeOverride2.xml" ContentType="application/vnd.openxmlformats-officedocument.themeOverride+xml"/>
  <Override PartName="/word/charts/chart12.xml" ContentType="application/vnd.openxmlformats-officedocument.drawingml.chart+xml"/>
  <Override PartName="/word/theme/themeOverride3.xml" ContentType="application/vnd.openxmlformats-officedocument.themeOverride+xml"/>
  <Override PartName="/word/drawings/drawing1.xml" ContentType="application/vnd.openxmlformats-officedocument.drawingml.chartshapes+xml"/>
  <Override PartName="/word/charts/chart13.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4.xml" ContentType="application/vnd.openxmlformats-officedocument.drawingml.chart+xml"/>
  <Override PartName="/word/charts/style6.xml" ContentType="application/vnd.ms-office.chartstyle+xml"/>
  <Override PartName="/word/charts/colors6.xml" ContentType="application/vnd.ms-office.chartcolorstyle+xml"/>
  <Override PartName="/word/footer1.xml" ContentType="application/vnd.openxmlformats-officedocument.wordprocessingml.footer+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Grilledutableau"/>
        <w:tblW w:w="960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06"/>
      </w:tblGrid>
      <w:tr w:rsidR="00BD0D89" w:rsidRPr="00785AA7" w14:paraId="38439C56" w14:textId="77777777" w:rsidTr="00940C28">
        <w:trPr>
          <w:trHeight w:val="307"/>
          <w:jc w:val="center"/>
        </w:trPr>
        <w:tc>
          <w:tcPr>
            <w:tcW w:w="9606" w:type="dxa"/>
          </w:tcPr>
          <w:p w14:paraId="47DB045F" w14:textId="22BC0DB7" w:rsidR="00785AA7" w:rsidRPr="003044E1" w:rsidRDefault="00BD0D89" w:rsidP="00785AA7">
            <w:pPr>
              <w:jc w:val="center"/>
              <w:rPr>
                <w:b/>
                <w:sz w:val="72"/>
                <w:szCs w:val="72"/>
              </w:rPr>
            </w:pPr>
            <w:bookmarkStart w:id="0" w:name="_GoBack"/>
            <w:bookmarkEnd w:id="0"/>
            <w:r w:rsidRPr="003044E1">
              <w:rPr>
                <w:b/>
                <w:sz w:val="72"/>
                <w:szCs w:val="72"/>
              </w:rPr>
              <w:t>BURKINA FASO</w:t>
            </w:r>
          </w:p>
        </w:tc>
      </w:tr>
      <w:tr w:rsidR="00BD0D89" w14:paraId="0B4E7007" w14:textId="77777777" w:rsidTr="00940C28">
        <w:trPr>
          <w:trHeight w:val="307"/>
          <w:jc w:val="center"/>
        </w:trPr>
        <w:tc>
          <w:tcPr>
            <w:tcW w:w="9606" w:type="dxa"/>
          </w:tcPr>
          <w:p w14:paraId="14D15155" w14:textId="77777777" w:rsidR="00785AA7" w:rsidRDefault="00785AA7" w:rsidP="00785AA7">
            <w:pPr>
              <w:jc w:val="center"/>
              <w:rPr>
                <w:b/>
                <w:sz w:val="36"/>
                <w:szCs w:val="36"/>
              </w:rPr>
            </w:pPr>
          </w:p>
          <w:p w14:paraId="3D29E54C" w14:textId="77777777" w:rsidR="00BD0D89" w:rsidRPr="00785AA7" w:rsidRDefault="00BD4A65" w:rsidP="00785AA7">
            <w:pPr>
              <w:jc w:val="center"/>
              <w:rPr>
                <w:b/>
                <w:sz w:val="36"/>
                <w:szCs w:val="36"/>
              </w:rPr>
            </w:pPr>
            <w:r>
              <w:rPr>
                <w:b/>
                <w:sz w:val="36"/>
                <w:szCs w:val="36"/>
              </w:rPr>
              <w:t xml:space="preserve">MINISTERE DE LA SANTE </w:t>
            </w:r>
          </w:p>
        </w:tc>
      </w:tr>
      <w:tr w:rsidR="00BD0D89" w14:paraId="663750CF" w14:textId="77777777" w:rsidTr="00940C28">
        <w:trPr>
          <w:trHeight w:val="307"/>
          <w:jc w:val="center"/>
        </w:trPr>
        <w:tc>
          <w:tcPr>
            <w:tcW w:w="9606" w:type="dxa"/>
          </w:tcPr>
          <w:p w14:paraId="5B2C60BB" w14:textId="77777777" w:rsidR="00BD0D89" w:rsidRDefault="00BD0D89">
            <w:r w:rsidRPr="00BD0D89">
              <w:rPr>
                <w:noProof/>
                <w:lang w:eastAsia="fr-FR"/>
              </w:rPr>
              <w:drawing>
                <wp:anchor distT="36576" distB="36576" distL="36576" distR="36576" simplePos="0" relativeHeight="251659264" behindDoc="0" locked="0" layoutInCell="1" allowOverlap="1" wp14:anchorId="050C22A1" wp14:editId="3D992F63">
                  <wp:simplePos x="0" y="0"/>
                  <wp:positionH relativeFrom="column">
                    <wp:posOffset>2324927</wp:posOffset>
                  </wp:positionH>
                  <wp:positionV relativeFrom="paragraph">
                    <wp:posOffset>9363</wp:posOffset>
                  </wp:positionV>
                  <wp:extent cx="1490773" cy="1371600"/>
                  <wp:effectExtent l="19050" t="0" r="0" b="0"/>
                  <wp:wrapNone/>
                  <wp:docPr id="60" name="Imag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490773" cy="1371600"/>
                          </a:xfrm>
                          <a:prstGeom prst="rect">
                            <a:avLst/>
                          </a:prstGeom>
                          <a:noFill/>
                          <a:ln>
                            <a:noFill/>
                          </a:ln>
                        </pic:spPr>
                      </pic:pic>
                    </a:graphicData>
                  </a:graphic>
                </wp:anchor>
              </w:drawing>
            </w:r>
          </w:p>
          <w:p w14:paraId="5087DBDF" w14:textId="77777777" w:rsidR="00785AA7" w:rsidRDefault="00785AA7"/>
          <w:p w14:paraId="070AD01C" w14:textId="77777777" w:rsidR="00785AA7" w:rsidRDefault="00785AA7"/>
          <w:p w14:paraId="44DE6A55" w14:textId="77777777" w:rsidR="00785AA7" w:rsidRDefault="00785AA7"/>
          <w:p w14:paraId="23A22682" w14:textId="77777777" w:rsidR="00785AA7" w:rsidRDefault="00785AA7"/>
          <w:p w14:paraId="1EAC04B9" w14:textId="77777777" w:rsidR="00785AA7" w:rsidRDefault="00785AA7"/>
          <w:p w14:paraId="483DE939" w14:textId="77777777" w:rsidR="00785AA7" w:rsidRDefault="00785AA7"/>
          <w:p w14:paraId="0A291C82" w14:textId="77777777" w:rsidR="00785AA7" w:rsidRDefault="00785AA7"/>
        </w:tc>
      </w:tr>
      <w:tr w:rsidR="00BD0D89" w14:paraId="493F0EA2" w14:textId="77777777" w:rsidTr="00940C28">
        <w:trPr>
          <w:trHeight w:val="307"/>
          <w:jc w:val="center"/>
        </w:trPr>
        <w:tc>
          <w:tcPr>
            <w:tcW w:w="9606" w:type="dxa"/>
          </w:tcPr>
          <w:p w14:paraId="73240E21" w14:textId="77777777" w:rsidR="00BD0D89" w:rsidRDefault="00785AA7" w:rsidP="00785AA7">
            <w:pPr>
              <w:jc w:val="center"/>
            </w:pPr>
            <w:r w:rsidRPr="00B72473">
              <w:rPr>
                <w:rFonts w:ascii="Maiandra GD" w:hAnsi="Maiandra GD" w:cs="Arial"/>
                <w:b/>
                <w:bCs/>
                <w:i/>
                <w:caps/>
                <w:sz w:val="24"/>
                <w:szCs w:val="28"/>
              </w:rPr>
              <w:t>U</w:t>
            </w:r>
            <w:r w:rsidRPr="00B72473">
              <w:rPr>
                <w:rFonts w:ascii="Maiandra GD" w:hAnsi="Maiandra GD" w:cs="Arial"/>
                <w:b/>
                <w:bCs/>
                <w:i/>
                <w:sz w:val="24"/>
                <w:szCs w:val="28"/>
              </w:rPr>
              <w:t>nité - Progrès - Justice</w:t>
            </w:r>
          </w:p>
        </w:tc>
      </w:tr>
    </w:tbl>
    <w:p w14:paraId="1321466E" w14:textId="77777777" w:rsidR="004974CF" w:rsidRDefault="004974CF"/>
    <w:p w14:paraId="7E979AD0" w14:textId="77777777" w:rsidR="00785AA7" w:rsidRDefault="00785AA7"/>
    <w:p w14:paraId="191B07E3" w14:textId="77777777" w:rsidR="00785AA7" w:rsidRDefault="00785AA7"/>
    <w:tbl>
      <w:tblPr>
        <w:tblStyle w:val="Grilledutableau"/>
        <w:tblW w:w="0" w:type="auto"/>
        <w:tblLook w:val="04A0" w:firstRow="1" w:lastRow="0" w:firstColumn="1" w:lastColumn="0" w:noHBand="0" w:noVBand="1"/>
      </w:tblPr>
      <w:tblGrid>
        <w:gridCol w:w="9072"/>
      </w:tblGrid>
      <w:tr w:rsidR="00785AA7" w14:paraId="7686FA25" w14:textId="77777777" w:rsidTr="001D1300">
        <w:tc>
          <w:tcPr>
            <w:tcW w:w="9212" w:type="dxa"/>
            <w:tcBorders>
              <w:bottom w:val="single" w:sz="4" w:space="0" w:color="000000" w:themeColor="text1"/>
            </w:tcBorders>
          </w:tcPr>
          <w:p w14:paraId="3D0A5FB7" w14:textId="77777777" w:rsidR="00940C28" w:rsidRDefault="00785AA7" w:rsidP="00785AA7">
            <w:pPr>
              <w:tabs>
                <w:tab w:val="left" w:pos="5640"/>
              </w:tabs>
              <w:jc w:val="center"/>
              <w:rPr>
                <w:rFonts w:eastAsia="Arial" w:cstheme="minorHAnsi"/>
                <w:bCs/>
                <w:sz w:val="40"/>
                <w:szCs w:val="40"/>
              </w:rPr>
            </w:pPr>
            <w:r w:rsidRPr="00940C28">
              <w:rPr>
                <w:rFonts w:eastAsia="Arial" w:cstheme="minorHAnsi"/>
                <w:bCs/>
                <w:sz w:val="40"/>
                <w:szCs w:val="40"/>
              </w:rPr>
              <w:t>AMELIORATION DE LA SANTE DE LA REPRODUCTION, DE LA MERE, DU NOUVEAU-NE, DE L’ENFANT ET DE L’ADOLESCENT,</w:t>
            </w:r>
            <w:r w:rsidR="00940C28" w:rsidRPr="00940C28">
              <w:rPr>
                <w:rFonts w:eastAsia="Arial" w:cstheme="minorHAnsi"/>
                <w:bCs/>
                <w:sz w:val="40"/>
                <w:szCs w:val="40"/>
              </w:rPr>
              <w:t xml:space="preserve"> </w:t>
            </w:r>
            <w:r w:rsidRPr="00940C28">
              <w:rPr>
                <w:rFonts w:eastAsia="Arial" w:cstheme="minorHAnsi"/>
                <w:bCs/>
                <w:sz w:val="40"/>
                <w:szCs w:val="40"/>
              </w:rPr>
              <w:t xml:space="preserve">DE LA NUTRITION (SRMNEA-N) </w:t>
            </w:r>
          </w:p>
          <w:p w14:paraId="5206B790" w14:textId="77777777" w:rsidR="00785AA7" w:rsidRPr="00940C28" w:rsidRDefault="00785AA7" w:rsidP="00785AA7">
            <w:pPr>
              <w:tabs>
                <w:tab w:val="left" w:pos="5640"/>
              </w:tabs>
              <w:jc w:val="center"/>
              <w:rPr>
                <w:rFonts w:eastAsia="Arial" w:cstheme="minorHAnsi"/>
                <w:bCs/>
                <w:sz w:val="40"/>
                <w:szCs w:val="40"/>
              </w:rPr>
            </w:pPr>
            <w:r w:rsidRPr="00940C28">
              <w:rPr>
                <w:rFonts w:eastAsia="Arial" w:cstheme="minorHAnsi"/>
                <w:bCs/>
                <w:sz w:val="40"/>
                <w:szCs w:val="40"/>
              </w:rPr>
              <w:t xml:space="preserve">ET </w:t>
            </w:r>
            <w:r w:rsidR="00940C28" w:rsidRPr="00940C28">
              <w:rPr>
                <w:rFonts w:eastAsia="Arial" w:cstheme="minorHAnsi"/>
                <w:bCs/>
                <w:sz w:val="40"/>
                <w:szCs w:val="40"/>
              </w:rPr>
              <w:t>DE L’ETAT CIVIL</w:t>
            </w:r>
          </w:p>
          <w:p w14:paraId="66BCDF1C" w14:textId="77777777" w:rsidR="00940C28" w:rsidRPr="00940C28" w:rsidRDefault="00940C28" w:rsidP="00785AA7">
            <w:pPr>
              <w:tabs>
                <w:tab w:val="left" w:pos="5640"/>
              </w:tabs>
              <w:jc w:val="center"/>
              <w:rPr>
                <w:rFonts w:eastAsia="Arial" w:cstheme="minorHAnsi"/>
                <w:b/>
                <w:bCs/>
                <w:sz w:val="56"/>
                <w:szCs w:val="56"/>
              </w:rPr>
            </w:pPr>
            <w:r w:rsidRPr="00940C28">
              <w:rPr>
                <w:rFonts w:eastAsia="Arial" w:cstheme="minorHAnsi"/>
                <w:b/>
                <w:bCs/>
                <w:sz w:val="56"/>
                <w:szCs w:val="56"/>
              </w:rPr>
              <w:t>DOSSIER D’INVESTISSEMENT</w:t>
            </w:r>
          </w:p>
          <w:p w14:paraId="76C8202B" w14:textId="77777777" w:rsidR="00785AA7" w:rsidRDefault="00785AA7"/>
        </w:tc>
      </w:tr>
      <w:tr w:rsidR="001D1300" w14:paraId="6A8F7D09" w14:textId="77777777" w:rsidTr="001D1300">
        <w:trPr>
          <w:trHeight w:val="1633"/>
        </w:trPr>
        <w:tc>
          <w:tcPr>
            <w:tcW w:w="9212" w:type="dxa"/>
            <w:tcBorders>
              <w:left w:val="nil"/>
              <w:bottom w:val="nil"/>
              <w:right w:val="nil"/>
            </w:tcBorders>
          </w:tcPr>
          <w:p w14:paraId="33374644" w14:textId="77777777" w:rsidR="001D1300" w:rsidRPr="00940C28" w:rsidRDefault="001D1300" w:rsidP="001D1300">
            <w:pPr>
              <w:tabs>
                <w:tab w:val="left" w:pos="5640"/>
              </w:tabs>
              <w:rPr>
                <w:rFonts w:eastAsia="Arial" w:cstheme="minorHAnsi"/>
                <w:bCs/>
                <w:sz w:val="40"/>
                <w:szCs w:val="40"/>
              </w:rPr>
            </w:pPr>
          </w:p>
        </w:tc>
      </w:tr>
      <w:tr w:rsidR="001D1300" w14:paraId="62DAC716" w14:textId="77777777" w:rsidTr="001D1300">
        <w:trPr>
          <w:trHeight w:val="1632"/>
        </w:trPr>
        <w:tc>
          <w:tcPr>
            <w:tcW w:w="9212" w:type="dxa"/>
            <w:tcBorders>
              <w:top w:val="nil"/>
              <w:left w:val="nil"/>
              <w:bottom w:val="nil"/>
              <w:right w:val="nil"/>
            </w:tcBorders>
          </w:tcPr>
          <w:p w14:paraId="1DBCB669" w14:textId="77777777" w:rsidR="001D1300" w:rsidRDefault="001D1300" w:rsidP="00785AA7">
            <w:pPr>
              <w:tabs>
                <w:tab w:val="left" w:pos="5640"/>
              </w:tabs>
              <w:jc w:val="center"/>
              <w:rPr>
                <w:rFonts w:eastAsia="Arial" w:cstheme="minorHAnsi"/>
                <w:bCs/>
                <w:sz w:val="40"/>
                <w:szCs w:val="40"/>
              </w:rPr>
            </w:pPr>
            <w:r w:rsidRPr="001D1300">
              <w:rPr>
                <w:rFonts w:eastAsia="Arial" w:cstheme="minorHAnsi"/>
                <w:bCs/>
                <w:noProof/>
                <w:sz w:val="40"/>
                <w:szCs w:val="40"/>
                <w:lang w:eastAsia="fr-FR"/>
              </w:rPr>
              <w:drawing>
                <wp:anchor distT="36576" distB="36576" distL="36576" distR="36576" simplePos="0" relativeHeight="251661312" behindDoc="0" locked="0" layoutInCell="1" allowOverlap="1" wp14:anchorId="38BBCBF2" wp14:editId="178BDABC">
                  <wp:simplePos x="0" y="0"/>
                  <wp:positionH relativeFrom="column">
                    <wp:posOffset>-8876</wp:posOffset>
                  </wp:positionH>
                  <wp:positionV relativeFrom="paragraph">
                    <wp:posOffset>77145</wp:posOffset>
                  </wp:positionV>
                  <wp:extent cx="5745539" cy="1509823"/>
                  <wp:effectExtent l="19050" t="0" r="7561" b="0"/>
                  <wp:wrapNone/>
                  <wp:docPr id="1"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45539" cy="1509823"/>
                          </a:xfrm>
                          <a:prstGeom prst="rect">
                            <a:avLst/>
                          </a:prstGeom>
                          <a:noFill/>
                          <a:ln>
                            <a:noFill/>
                          </a:ln>
                          <a:effectLst/>
                        </pic:spPr>
                      </pic:pic>
                    </a:graphicData>
                  </a:graphic>
                </wp:anchor>
              </w:drawing>
            </w:r>
          </w:p>
          <w:p w14:paraId="6BAEA273" w14:textId="77777777" w:rsidR="001D1300" w:rsidRDefault="001D1300" w:rsidP="00785AA7">
            <w:pPr>
              <w:tabs>
                <w:tab w:val="left" w:pos="5640"/>
              </w:tabs>
              <w:jc w:val="center"/>
              <w:rPr>
                <w:rFonts w:eastAsia="Arial" w:cstheme="minorHAnsi"/>
                <w:bCs/>
                <w:sz w:val="40"/>
                <w:szCs w:val="40"/>
              </w:rPr>
            </w:pPr>
          </w:p>
          <w:p w14:paraId="259AFA7C" w14:textId="77777777" w:rsidR="001D1300" w:rsidRDefault="001D1300" w:rsidP="00785AA7">
            <w:pPr>
              <w:tabs>
                <w:tab w:val="left" w:pos="5640"/>
              </w:tabs>
              <w:jc w:val="center"/>
              <w:rPr>
                <w:rFonts w:eastAsia="Arial" w:cstheme="minorHAnsi"/>
                <w:bCs/>
                <w:sz w:val="40"/>
                <w:szCs w:val="40"/>
              </w:rPr>
            </w:pPr>
          </w:p>
          <w:p w14:paraId="45881F51" w14:textId="77777777" w:rsidR="001D1300" w:rsidRDefault="001D1300" w:rsidP="00785AA7">
            <w:pPr>
              <w:tabs>
                <w:tab w:val="left" w:pos="5640"/>
              </w:tabs>
              <w:jc w:val="center"/>
              <w:rPr>
                <w:rFonts w:eastAsia="Arial" w:cstheme="minorHAnsi"/>
                <w:bCs/>
                <w:sz w:val="40"/>
                <w:szCs w:val="40"/>
              </w:rPr>
            </w:pPr>
          </w:p>
          <w:p w14:paraId="12265014" w14:textId="77777777" w:rsidR="001D1300" w:rsidRDefault="001D1300" w:rsidP="00785AA7">
            <w:pPr>
              <w:tabs>
                <w:tab w:val="left" w:pos="5640"/>
              </w:tabs>
              <w:jc w:val="center"/>
              <w:rPr>
                <w:rFonts w:eastAsia="Arial" w:cstheme="minorHAnsi"/>
                <w:bCs/>
                <w:sz w:val="40"/>
                <w:szCs w:val="40"/>
              </w:rPr>
            </w:pPr>
          </w:p>
        </w:tc>
      </w:tr>
      <w:tr w:rsidR="001D1300" w14:paraId="567BA525" w14:textId="77777777" w:rsidTr="001D1300">
        <w:tc>
          <w:tcPr>
            <w:tcW w:w="9212" w:type="dxa"/>
            <w:tcBorders>
              <w:top w:val="nil"/>
              <w:left w:val="nil"/>
              <w:bottom w:val="nil"/>
              <w:right w:val="nil"/>
            </w:tcBorders>
          </w:tcPr>
          <w:p w14:paraId="7E147D31" w14:textId="77777777" w:rsidR="001D1300" w:rsidRDefault="001D1300" w:rsidP="00785AA7">
            <w:pPr>
              <w:tabs>
                <w:tab w:val="left" w:pos="5640"/>
              </w:tabs>
              <w:jc w:val="center"/>
              <w:rPr>
                <w:rFonts w:eastAsia="Arial" w:cstheme="minorHAnsi"/>
                <w:bCs/>
                <w:sz w:val="40"/>
                <w:szCs w:val="40"/>
              </w:rPr>
            </w:pPr>
          </w:p>
          <w:p w14:paraId="7313B7B6" w14:textId="77777777" w:rsidR="001D1300" w:rsidRPr="00940C28" w:rsidRDefault="001D1300" w:rsidP="00785AA7">
            <w:pPr>
              <w:tabs>
                <w:tab w:val="left" w:pos="5640"/>
              </w:tabs>
              <w:jc w:val="center"/>
              <w:rPr>
                <w:rFonts w:eastAsia="Arial" w:cstheme="minorHAnsi"/>
                <w:bCs/>
                <w:sz w:val="40"/>
                <w:szCs w:val="40"/>
              </w:rPr>
            </w:pPr>
            <w:r>
              <w:rPr>
                <w:rFonts w:eastAsia="Arial" w:cstheme="minorHAnsi"/>
                <w:bCs/>
                <w:sz w:val="40"/>
                <w:szCs w:val="40"/>
              </w:rPr>
              <w:t>OCTOBRE 2018</w:t>
            </w:r>
          </w:p>
        </w:tc>
      </w:tr>
    </w:tbl>
    <w:p w14:paraId="607B6929" w14:textId="77777777" w:rsidR="00785AA7" w:rsidRDefault="00785AA7"/>
    <w:p w14:paraId="797E393C" w14:textId="77777777" w:rsidR="001D1300" w:rsidRDefault="001D1300">
      <w:pPr>
        <w:rPr>
          <w:b/>
          <w:sz w:val="28"/>
          <w:szCs w:val="28"/>
        </w:rPr>
      </w:pPr>
      <w:r w:rsidRPr="001D1300">
        <w:rPr>
          <w:b/>
          <w:sz w:val="28"/>
          <w:szCs w:val="28"/>
        </w:rPr>
        <w:lastRenderedPageBreak/>
        <w:t>TABLE DES MATIERES</w:t>
      </w:r>
      <w:r>
        <w:rPr>
          <w:b/>
          <w:sz w:val="28"/>
          <w:szCs w:val="28"/>
        </w:rPr>
        <w:br w:type="page"/>
      </w:r>
    </w:p>
    <w:p w14:paraId="7A66AFD9" w14:textId="77777777" w:rsidR="001D1300" w:rsidRDefault="001D1300">
      <w:pPr>
        <w:rPr>
          <w:b/>
          <w:sz w:val="28"/>
          <w:szCs w:val="28"/>
        </w:rPr>
      </w:pPr>
      <w:r>
        <w:rPr>
          <w:b/>
          <w:sz w:val="28"/>
          <w:szCs w:val="28"/>
        </w:rPr>
        <w:lastRenderedPageBreak/>
        <w:t>AVANT-PROPOS</w:t>
      </w:r>
      <w:r>
        <w:rPr>
          <w:b/>
          <w:sz w:val="28"/>
          <w:szCs w:val="28"/>
        </w:rPr>
        <w:br w:type="page"/>
      </w:r>
    </w:p>
    <w:p w14:paraId="50751E2E" w14:textId="77777777" w:rsidR="001D1300" w:rsidRDefault="001D1300">
      <w:pPr>
        <w:rPr>
          <w:b/>
          <w:sz w:val="28"/>
          <w:szCs w:val="28"/>
        </w:rPr>
      </w:pPr>
      <w:r>
        <w:rPr>
          <w:b/>
          <w:sz w:val="28"/>
          <w:szCs w:val="28"/>
        </w:rPr>
        <w:lastRenderedPageBreak/>
        <w:t>REMERCIEMENTS</w:t>
      </w:r>
      <w:r>
        <w:rPr>
          <w:b/>
          <w:sz w:val="28"/>
          <w:szCs w:val="28"/>
        </w:rPr>
        <w:br w:type="page"/>
      </w:r>
    </w:p>
    <w:p w14:paraId="3813986A" w14:textId="77777777" w:rsidR="00F85FFE" w:rsidRPr="00E50E4D" w:rsidRDefault="00F85FFE" w:rsidP="00F85FFE">
      <w:pPr>
        <w:rPr>
          <w:rFonts w:cs="Gisha"/>
          <w:b/>
        </w:rPr>
      </w:pPr>
      <w:r w:rsidRPr="00E50E4D">
        <w:rPr>
          <w:rFonts w:cs="Gisha"/>
          <w:b/>
        </w:rPr>
        <w:lastRenderedPageBreak/>
        <w:t>SIGLES ET ABREVIATIONS</w:t>
      </w:r>
    </w:p>
    <w:tbl>
      <w:tblPr>
        <w:tblW w:w="5001" w:type="pct"/>
        <w:tblCellMar>
          <w:left w:w="70" w:type="dxa"/>
          <w:right w:w="70" w:type="dxa"/>
        </w:tblCellMar>
        <w:tblLook w:val="04A0" w:firstRow="1" w:lastRow="0" w:firstColumn="1" w:lastColumn="0" w:noHBand="0" w:noVBand="1"/>
      </w:tblPr>
      <w:tblGrid>
        <w:gridCol w:w="1130"/>
        <w:gridCol w:w="287"/>
        <w:gridCol w:w="7657"/>
      </w:tblGrid>
      <w:tr w:rsidR="00F85FFE" w:rsidRPr="00EF2AAF" w14:paraId="2DEA1709" w14:textId="77777777" w:rsidTr="00DE39C4">
        <w:trPr>
          <w:trHeight w:val="312"/>
        </w:trPr>
        <w:tc>
          <w:tcPr>
            <w:tcW w:w="623" w:type="pct"/>
            <w:vAlign w:val="center"/>
          </w:tcPr>
          <w:p w14:paraId="62CADBD8" w14:textId="77777777" w:rsidR="00F85FFE" w:rsidRPr="00EF2AAF" w:rsidRDefault="00F85FFE" w:rsidP="00F85FFE">
            <w:pPr>
              <w:spacing w:after="0"/>
              <w:rPr>
                <w:rFonts w:cs="Gisha"/>
                <w:bCs/>
                <w:color w:val="000000"/>
              </w:rPr>
            </w:pPr>
            <w:r w:rsidRPr="00EF2AAF">
              <w:rPr>
                <w:rFonts w:cs="Gisha"/>
                <w:bCs/>
                <w:color w:val="000000"/>
              </w:rPr>
              <w:t>ACT</w:t>
            </w:r>
          </w:p>
        </w:tc>
        <w:tc>
          <w:tcPr>
            <w:tcW w:w="158" w:type="pct"/>
            <w:vAlign w:val="center"/>
          </w:tcPr>
          <w:p w14:paraId="1B60D64C"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6D09D981" w14:textId="77777777" w:rsidR="00F85FFE" w:rsidRPr="00EF2AAF" w:rsidRDefault="00F85FFE" w:rsidP="00F85FFE">
            <w:pPr>
              <w:spacing w:after="0"/>
              <w:rPr>
                <w:rFonts w:cs="Gisha"/>
                <w:color w:val="000000"/>
              </w:rPr>
            </w:pPr>
            <w:r w:rsidRPr="00EF2AAF">
              <w:rPr>
                <w:rFonts w:cs="Gisha"/>
                <w:color w:val="000000"/>
              </w:rPr>
              <w:t>Combinaison thérapeutique à base d’Artémisinine</w:t>
            </w:r>
          </w:p>
        </w:tc>
      </w:tr>
      <w:tr w:rsidR="00F85FFE" w:rsidRPr="00EF2AAF" w14:paraId="25C41E0E" w14:textId="77777777" w:rsidTr="00DE39C4">
        <w:trPr>
          <w:trHeight w:val="312"/>
        </w:trPr>
        <w:tc>
          <w:tcPr>
            <w:tcW w:w="623" w:type="pct"/>
            <w:vAlign w:val="center"/>
          </w:tcPr>
          <w:p w14:paraId="088280C6" w14:textId="77777777" w:rsidR="00F85FFE" w:rsidRPr="00EF2AAF" w:rsidRDefault="00F85FFE" w:rsidP="00F85FFE">
            <w:pPr>
              <w:spacing w:after="0"/>
              <w:rPr>
                <w:rFonts w:cs="Gisha"/>
                <w:bCs/>
                <w:color w:val="000000"/>
              </w:rPr>
            </w:pPr>
            <w:r w:rsidRPr="00EF2AAF">
              <w:rPr>
                <w:rFonts w:cs="Gisha"/>
                <w:bCs/>
                <w:color w:val="000000"/>
              </w:rPr>
              <w:t xml:space="preserve">ANJE </w:t>
            </w:r>
          </w:p>
        </w:tc>
        <w:tc>
          <w:tcPr>
            <w:tcW w:w="158" w:type="pct"/>
            <w:vAlign w:val="center"/>
          </w:tcPr>
          <w:p w14:paraId="1192F0DE"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4D2F2C52" w14:textId="77777777" w:rsidR="00F85FFE" w:rsidRPr="00EF2AAF" w:rsidRDefault="00F85FFE" w:rsidP="00F85FFE">
            <w:pPr>
              <w:spacing w:after="0"/>
              <w:rPr>
                <w:rFonts w:cs="Gisha"/>
                <w:color w:val="000000"/>
              </w:rPr>
            </w:pPr>
            <w:r w:rsidRPr="00EF2AAF">
              <w:rPr>
                <w:rFonts w:cs="Gisha"/>
                <w:color w:val="000000"/>
              </w:rPr>
              <w:t xml:space="preserve">Alimentation du nourrisson et du jeune enfant </w:t>
            </w:r>
          </w:p>
        </w:tc>
      </w:tr>
      <w:tr w:rsidR="00F85FFE" w:rsidRPr="00EF2AAF" w14:paraId="2F9A3D77" w14:textId="77777777" w:rsidTr="00DE39C4">
        <w:trPr>
          <w:trHeight w:val="312"/>
        </w:trPr>
        <w:tc>
          <w:tcPr>
            <w:tcW w:w="623" w:type="pct"/>
            <w:vAlign w:val="center"/>
          </w:tcPr>
          <w:p w14:paraId="6FC1D7E0" w14:textId="77777777" w:rsidR="00F85FFE" w:rsidRPr="00EF2AAF" w:rsidRDefault="00F85FFE" w:rsidP="00F85FFE">
            <w:pPr>
              <w:spacing w:after="0"/>
              <w:rPr>
                <w:rFonts w:cs="Gisha"/>
                <w:bCs/>
                <w:color w:val="000000"/>
              </w:rPr>
            </w:pPr>
            <w:r w:rsidRPr="00EF2AAF">
              <w:rPr>
                <w:rFonts w:cs="Gisha"/>
                <w:bCs/>
                <w:color w:val="000000"/>
              </w:rPr>
              <w:t>ASBC</w:t>
            </w:r>
          </w:p>
        </w:tc>
        <w:tc>
          <w:tcPr>
            <w:tcW w:w="158" w:type="pct"/>
            <w:vAlign w:val="center"/>
          </w:tcPr>
          <w:p w14:paraId="7A838F94"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24280D7D" w14:textId="77777777" w:rsidR="00F85FFE" w:rsidRPr="00EF2AAF" w:rsidRDefault="00F85FFE" w:rsidP="00F85FFE">
            <w:pPr>
              <w:spacing w:after="0"/>
              <w:rPr>
                <w:rFonts w:cs="Gisha"/>
                <w:color w:val="000000"/>
              </w:rPr>
            </w:pPr>
            <w:r>
              <w:rPr>
                <w:rFonts w:cs="Gisha"/>
                <w:color w:val="000000"/>
              </w:rPr>
              <w:t>Agent</w:t>
            </w:r>
            <w:r w:rsidRPr="00EF2AAF">
              <w:rPr>
                <w:rFonts w:cs="Gisha"/>
                <w:color w:val="000000"/>
              </w:rPr>
              <w:t xml:space="preserve"> de santé à base communautaire </w:t>
            </w:r>
          </w:p>
        </w:tc>
      </w:tr>
      <w:tr w:rsidR="00766F76" w:rsidRPr="00EF2AAF" w14:paraId="2E0D7E4B" w14:textId="77777777" w:rsidTr="00DE39C4">
        <w:trPr>
          <w:trHeight w:val="312"/>
        </w:trPr>
        <w:tc>
          <w:tcPr>
            <w:tcW w:w="623" w:type="pct"/>
            <w:vAlign w:val="center"/>
          </w:tcPr>
          <w:p w14:paraId="4B34DBE4" w14:textId="77777777" w:rsidR="00766F76" w:rsidRPr="00EF2AAF" w:rsidRDefault="00766F76" w:rsidP="00F85FFE">
            <w:pPr>
              <w:spacing w:after="0"/>
              <w:rPr>
                <w:rFonts w:cs="Gisha"/>
                <w:bCs/>
                <w:color w:val="000000"/>
              </w:rPr>
            </w:pPr>
            <w:r>
              <w:rPr>
                <w:rFonts w:cs="Gisha"/>
                <w:bCs/>
                <w:color w:val="000000"/>
              </w:rPr>
              <w:t>ANRP</w:t>
            </w:r>
          </w:p>
        </w:tc>
        <w:tc>
          <w:tcPr>
            <w:tcW w:w="158" w:type="pct"/>
            <w:vAlign w:val="center"/>
          </w:tcPr>
          <w:p w14:paraId="45E4959E" w14:textId="77777777" w:rsidR="00766F76" w:rsidRPr="00EF2AAF" w:rsidRDefault="00766F76" w:rsidP="00F85FFE">
            <w:pPr>
              <w:spacing w:after="0"/>
              <w:rPr>
                <w:rFonts w:cs="Gisha"/>
                <w:color w:val="000000"/>
              </w:rPr>
            </w:pPr>
          </w:p>
        </w:tc>
        <w:tc>
          <w:tcPr>
            <w:tcW w:w="4219" w:type="pct"/>
            <w:vAlign w:val="center"/>
          </w:tcPr>
          <w:p w14:paraId="6D4C956E" w14:textId="77777777" w:rsidR="00766F76" w:rsidRDefault="00766F76" w:rsidP="00F85FFE">
            <w:pPr>
              <w:spacing w:after="0"/>
              <w:rPr>
                <w:rFonts w:cs="Gisha"/>
                <w:color w:val="000000"/>
              </w:rPr>
            </w:pPr>
            <w:r>
              <w:rPr>
                <w:rFonts w:cs="Gisha"/>
                <w:color w:val="000000"/>
              </w:rPr>
              <w:t>Agence nationale de régulation pharmaceutique</w:t>
            </w:r>
          </w:p>
        </w:tc>
      </w:tr>
      <w:tr w:rsidR="00F85FFE" w:rsidRPr="00EF2AAF" w14:paraId="365F382A" w14:textId="77777777" w:rsidTr="00DE39C4">
        <w:trPr>
          <w:trHeight w:val="312"/>
        </w:trPr>
        <w:tc>
          <w:tcPr>
            <w:tcW w:w="623" w:type="pct"/>
            <w:vAlign w:val="center"/>
          </w:tcPr>
          <w:p w14:paraId="56B2DB49" w14:textId="77777777" w:rsidR="00F85FFE" w:rsidRPr="00EF2AAF" w:rsidRDefault="00F85FFE" w:rsidP="00F85FFE">
            <w:pPr>
              <w:spacing w:after="0"/>
              <w:rPr>
                <w:rFonts w:cs="Gisha"/>
                <w:bCs/>
                <w:color w:val="000000"/>
              </w:rPr>
            </w:pPr>
            <w:r w:rsidRPr="00EF2AAF">
              <w:rPr>
                <w:rFonts w:cs="Gisha"/>
                <w:bCs/>
                <w:color w:val="000000"/>
              </w:rPr>
              <w:t>ASC</w:t>
            </w:r>
          </w:p>
        </w:tc>
        <w:tc>
          <w:tcPr>
            <w:tcW w:w="158" w:type="pct"/>
            <w:vAlign w:val="center"/>
          </w:tcPr>
          <w:p w14:paraId="269369C5"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004D73C7" w14:textId="77777777" w:rsidR="00F85FFE" w:rsidRPr="00EF2AAF" w:rsidRDefault="00F85FFE" w:rsidP="00F85FFE">
            <w:pPr>
              <w:spacing w:after="0"/>
              <w:rPr>
                <w:rFonts w:cs="Gisha"/>
                <w:color w:val="000000"/>
              </w:rPr>
            </w:pPr>
            <w:r w:rsidRPr="00EF2AAF">
              <w:rPr>
                <w:rFonts w:cs="Gisha"/>
                <w:color w:val="000000"/>
              </w:rPr>
              <w:t>Agent de santé communautaire</w:t>
            </w:r>
          </w:p>
        </w:tc>
      </w:tr>
      <w:tr w:rsidR="00F85FFE" w:rsidRPr="00EF2AAF" w14:paraId="65330ECE" w14:textId="77777777" w:rsidTr="00DE39C4">
        <w:trPr>
          <w:trHeight w:val="312"/>
        </w:trPr>
        <w:tc>
          <w:tcPr>
            <w:tcW w:w="623" w:type="pct"/>
            <w:vAlign w:val="center"/>
          </w:tcPr>
          <w:p w14:paraId="7DFA76CD" w14:textId="77777777" w:rsidR="00F85FFE" w:rsidRPr="00EF2AAF" w:rsidRDefault="00F85FFE" w:rsidP="00F85FFE">
            <w:pPr>
              <w:spacing w:after="0"/>
              <w:rPr>
                <w:rFonts w:cs="Gisha"/>
                <w:bCs/>
                <w:color w:val="000000"/>
              </w:rPr>
            </w:pPr>
            <w:r>
              <w:rPr>
                <w:rFonts w:cs="Gisha"/>
                <w:bCs/>
                <w:color w:val="000000"/>
              </w:rPr>
              <w:t>AT</w:t>
            </w:r>
          </w:p>
        </w:tc>
        <w:tc>
          <w:tcPr>
            <w:tcW w:w="158" w:type="pct"/>
            <w:vAlign w:val="center"/>
          </w:tcPr>
          <w:p w14:paraId="0CAC9302" w14:textId="77777777" w:rsidR="00F85FFE" w:rsidRPr="00EF2AAF" w:rsidRDefault="00F85FFE" w:rsidP="00F85FFE">
            <w:pPr>
              <w:spacing w:after="0"/>
              <w:rPr>
                <w:rFonts w:cs="Gisha"/>
                <w:color w:val="000000"/>
              </w:rPr>
            </w:pPr>
            <w:r>
              <w:rPr>
                <w:rFonts w:cs="Gisha"/>
                <w:color w:val="000000"/>
              </w:rPr>
              <w:t>:</w:t>
            </w:r>
          </w:p>
        </w:tc>
        <w:tc>
          <w:tcPr>
            <w:tcW w:w="4219" w:type="pct"/>
            <w:vAlign w:val="center"/>
          </w:tcPr>
          <w:p w14:paraId="53906301" w14:textId="77777777" w:rsidR="00F85FFE" w:rsidRPr="00EF2AAF" w:rsidRDefault="00F85FFE" w:rsidP="00F85FFE">
            <w:pPr>
              <w:spacing w:after="0"/>
              <w:rPr>
                <w:rFonts w:cs="Gisha"/>
                <w:color w:val="000000"/>
              </w:rPr>
            </w:pPr>
            <w:r>
              <w:rPr>
                <w:rFonts w:cs="Gisha"/>
                <w:color w:val="000000"/>
              </w:rPr>
              <w:t>Assistant Technique</w:t>
            </w:r>
          </w:p>
        </w:tc>
      </w:tr>
      <w:tr w:rsidR="00F85FFE" w:rsidRPr="00EF2AAF" w14:paraId="48CF0D62" w14:textId="77777777" w:rsidTr="00DE39C4">
        <w:trPr>
          <w:trHeight w:val="312"/>
        </w:trPr>
        <w:tc>
          <w:tcPr>
            <w:tcW w:w="623" w:type="pct"/>
            <w:vAlign w:val="center"/>
          </w:tcPr>
          <w:p w14:paraId="72CBCED2" w14:textId="77777777" w:rsidR="00F85FFE" w:rsidRPr="00EF2AAF" w:rsidRDefault="00F85FFE" w:rsidP="00F85FFE">
            <w:pPr>
              <w:spacing w:after="0"/>
              <w:rPr>
                <w:rFonts w:cs="Gisha"/>
                <w:bCs/>
                <w:color w:val="000000"/>
              </w:rPr>
            </w:pPr>
            <w:r w:rsidRPr="00EF2AAF">
              <w:rPr>
                <w:rFonts w:cs="Gisha"/>
                <w:bCs/>
                <w:color w:val="000000"/>
              </w:rPr>
              <w:t>CAMEG</w:t>
            </w:r>
          </w:p>
        </w:tc>
        <w:tc>
          <w:tcPr>
            <w:tcW w:w="158" w:type="pct"/>
            <w:vAlign w:val="center"/>
          </w:tcPr>
          <w:p w14:paraId="0FCA5444"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600F5F7C" w14:textId="77777777" w:rsidR="00F85FFE" w:rsidRPr="003A12ED" w:rsidRDefault="00F85FFE" w:rsidP="00F85FFE">
            <w:pPr>
              <w:spacing w:after="0"/>
              <w:rPr>
                <w:rFonts w:cs="Gisha"/>
                <w:color w:val="000000"/>
                <w:sz w:val="20"/>
                <w:szCs w:val="20"/>
              </w:rPr>
            </w:pPr>
            <w:r w:rsidRPr="003A12ED">
              <w:rPr>
                <w:rFonts w:cs="Gisha"/>
                <w:color w:val="000000"/>
                <w:sz w:val="20"/>
                <w:szCs w:val="20"/>
              </w:rPr>
              <w:t>Centrale d’achat des médicaments essentiels génériques et des consommables médicaux</w:t>
            </w:r>
          </w:p>
        </w:tc>
      </w:tr>
      <w:tr w:rsidR="00F85FFE" w:rsidRPr="00EF2AAF" w14:paraId="4B0EDE71" w14:textId="77777777" w:rsidTr="00DE39C4">
        <w:trPr>
          <w:trHeight w:val="312"/>
        </w:trPr>
        <w:tc>
          <w:tcPr>
            <w:tcW w:w="623" w:type="pct"/>
            <w:vAlign w:val="center"/>
          </w:tcPr>
          <w:p w14:paraId="4A4153AC" w14:textId="77777777" w:rsidR="00F85FFE" w:rsidRPr="00EF2AAF" w:rsidRDefault="00F85FFE" w:rsidP="00F85FFE">
            <w:pPr>
              <w:spacing w:after="0"/>
              <w:rPr>
                <w:rFonts w:cs="Gisha"/>
                <w:bCs/>
                <w:color w:val="000000"/>
              </w:rPr>
            </w:pPr>
            <w:r w:rsidRPr="00EF2AAF">
              <w:rPr>
                <w:rFonts w:cs="Gisha"/>
                <w:bCs/>
                <w:color w:val="000000"/>
              </w:rPr>
              <w:t>CASEM</w:t>
            </w:r>
          </w:p>
        </w:tc>
        <w:tc>
          <w:tcPr>
            <w:tcW w:w="158" w:type="pct"/>
            <w:vAlign w:val="center"/>
          </w:tcPr>
          <w:p w14:paraId="4733DCFA"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2BB14773" w14:textId="77777777" w:rsidR="00F85FFE" w:rsidRPr="00EF2AAF" w:rsidRDefault="00F85FFE" w:rsidP="00F85FFE">
            <w:pPr>
              <w:spacing w:after="0"/>
              <w:rPr>
                <w:rFonts w:cs="Gisha"/>
                <w:color w:val="000000"/>
              </w:rPr>
            </w:pPr>
            <w:r w:rsidRPr="00EF2AAF">
              <w:rPr>
                <w:rFonts w:cs="Gisha"/>
                <w:color w:val="000000"/>
              </w:rPr>
              <w:t>Conseil d’administration du secteur ministériel</w:t>
            </w:r>
          </w:p>
        </w:tc>
      </w:tr>
      <w:tr w:rsidR="00B777D9" w:rsidRPr="00EF2AAF" w14:paraId="5660DC10" w14:textId="77777777" w:rsidTr="00DE39C4">
        <w:trPr>
          <w:trHeight w:val="312"/>
        </w:trPr>
        <w:tc>
          <w:tcPr>
            <w:tcW w:w="623" w:type="pct"/>
            <w:vAlign w:val="center"/>
          </w:tcPr>
          <w:p w14:paraId="147882D3" w14:textId="77777777" w:rsidR="00B777D9" w:rsidRPr="00EF2AAF" w:rsidRDefault="00B777D9" w:rsidP="00B777D9">
            <w:pPr>
              <w:spacing w:after="0"/>
              <w:rPr>
                <w:rFonts w:cs="Gisha"/>
                <w:bCs/>
                <w:color w:val="000000"/>
              </w:rPr>
            </w:pPr>
            <w:r w:rsidRPr="00EF2AAF">
              <w:rPr>
                <w:rFonts w:cs="Gisha"/>
                <w:bCs/>
                <w:color w:val="000000"/>
              </w:rPr>
              <w:t>CCC</w:t>
            </w:r>
          </w:p>
        </w:tc>
        <w:tc>
          <w:tcPr>
            <w:tcW w:w="158" w:type="pct"/>
            <w:vAlign w:val="center"/>
          </w:tcPr>
          <w:p w14:paraId="6E3F9019" w14:textId="77777777" w:rsidR="00B777D9" w:rsidRPr="00EF2AAF" w:rsidRDefault="00B777D9" w:rsidP="00B777D9">
            <w:pPr>
              <w:spacing w:after="0"/>
              <w:rPr>
                <w:rFonts w:cs="Gisha"/>
                <w:color w:val="000000"/>
              </w:rPr>
            </w:pPr>
            <w:r w:rsidRPr="00EF2AAF">
              <w:rPr>
                <w:rFonts w:cs="Gisha"/>
                <w:color w:val="000000"/>
              </w:rPr>
              <w:t>:</w:t>
            </w:r>
          </w:p>
        </w:tc>
        <w:tc>
          <w:tcPr>
            <w:tcW w:w="4219" w:type="pct"/>
            <w:vAlign w:val="center"/>
          </w:tcPr>
          <w:p w14:paraId="1787F8CF" w14:textId="77777777" w:rsidR="00B777D9" w:rsidRPr="00766F76" w:rsidRDefault="00B777D9" w:rsidP="00B777D9">
            <w:pPr>
              <w:spacing w:after="0"/>
              <w:rPr>
                <w:rFonts w:cs="Gisha"/>
                <w:color w:val="000000"/>
              </w:rPr>
            </w:pPr>
            <w:r w:rsidRPr="00766F76">
              <w:rPr>
                <w:rFonts w:cs="Gisha"/>
                <w:color w:val="000000"/>
              </w:rPr>
              <w:t>Communication pour le    changement de comportement</w:t>
            </w:r>
          </w:p>
        </w:tc>
      </w:tr>
      <w:tr w:rsidR="00F85FFE" w:rsidRPr="00EF2AAF" w14:paraId="2CF42706" w14:textId="77777777" w:rsidTr="00DE39C4">
        <w:trPr>
          <w:trHeight w:val="312"/>
        </w:trPr>
        <w:tc>
          <w:tcPr>
            <w:tcW w:w="623" w:type="pct"/>
            <w:vAlign w:val="center"/>
          </w:tcPr>
          <w:p w14:paraId="5CE73ADC" w14:textId="77777777" w:rsidR="00F85FFE" w:rsidRPr="00EF2AAF" w:rsidRDefault="00F85FFE" w:rsidP="00F85FFE">
            <w:pPr>
              <w:spacing w:after="0"/>
              <w:rPr>
                <w:rFonts w:cs="Gisha"/>
                <w:bCs/>
                <w:color w:val="000000"/>
              </w:rPr>
            </w:pPr>
            <w:r w:rsidRPr="00EF2AAF">
              <w:rPr>
                <w:rFonts w:cs="Gisha"/>
                <w:bCs/>
                <w:color w:val="000000"/>
              </w:rPr>
              <w:t>CDMT</w:t>
            </w:r>
          </w:p>
        </w:tc>
        <w:tc>
          <w:tcPr>
            <w:tcW w:w="158" w:type="pct"/>
            <w:vAlign w:val="center"/>
          </w:tcPr>
          <w:p w14:paraId="2DC9FD17"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38FF15CD" w14:textId="77777777" w:rsidR="00F85FFE" w:rsidRPr="00EF2AAF" w:rsidRDefault="00F85FFE" w:rsidP="00F85FFE">
            <w:pPr>
              <w:spacing w:after="0"/>
              <w:rPr>
                <w:rFonts w:cs="Gisha"/>
                <w:color w:val="000000"/>
              </w:rPr>
            </w:pPr>
            <w:r w:rsidRPr="00EF2AAF">
              <w:rPr>
                <w:rFonts w:cs="Gisha"/>
                <w:color w:val="000000"/>
              </w:rPr>
              <w:t>Cadre de dépense à moyen terme</w:t>
            </w:r>
          </w:p>
        </w:tc>
      </w:tr>
      <w:tr w:rsidR="00F85FFE" w:rsidRPr="00EF2AAF" w14:paraId="674D6A7E" w14:textId="77777777" w:rsidTr="00DE39C4">
        <w:trPr>
          <w:trHeight w:val="312"/>
        </w:trPr>
        <w:tc>
          <w:tcPr>
            <w:tcW w:w="623" w:type="pct"/>
            <w:vAlign w:val="center"/>
          </w:tcPr>
          <w:p w14:paraId="2D89EAF2" w14:textId="77777777" w:rsidR="00F85FFE" w:rsidRPr="00EF2AAF" w:rsidRDefault="00F85FFE" w:rsidP="00F85FFE">
            <w:pPr>
              <w:spacing w:after="0"/>
              <w:rPr>
                <w:rFonts w:cs="Gisha"/>
                <w:bCs/>
                <w:color w:val="000000"/>
              </w:rPr>
            </w:pPr>
            <w:r w:rsidRPr="00EF2AAF">
              <w:rPr>
                <w:rFonts w:cs="Gisha"/>
                <w:bCs/>
                <w:color w:val="000000"/>
              </w:rPr>
              <w:t>CHR</w:t>
            </w:r>
          </w:p>
        </w:tc>
        <w:tc>
          <w:tcPr>
            <w:tcW w:w="158" w:type="pct"/>
            <w:vAlign w:val="center"/>
          </w:tcPr>
          <w:p w14:paraId="1F07109F"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6D155AE8" w14:textId="77777777" w:rsidR="00F85FFE" w:rsidRPr="00EF2AAF" w:rsidRDefault="00F85FFE" w:rsidP="00F85FFE">
            <w:pPr>
              <w:spacing w:after="0"/>
              <w:rPr>
                <w:rFonts w:cs="Gisha"/>
                <w:color w:val="000000"/>
              </w:rPr>
            </w:pPr>
            <w:r w:rsidRPr="00EF2AAF">
              <w:rPr>
                <w:rFonts w:cs="Gisha"/>
                <w:color w:val="000000"/>
              </w:rPr>
              <w:t>Centre hospitalier régional</w:t>
            </w:r>
          </w:p>
        </w:tc>
      </w:tr>
      <w:tr w:rsidR="00F85FFE" w:rsidRPr="00EF2AAF" w14:paraId="2D83A319" w14:textId="77777777" w:rsidTr="00DE39C4">
        <w:trPr>
          <w:trHeight w:val="312"/>
        </w:trPr>
        <w:tc>
          <w:tcPr>
            <w:tcW w:w="623" w:type="pct"/>
            <w:vAlign w:val="center"/>
          </w:tcPr>
          <w:p w14:paraId="1FFB597D" w14:textId="77777777" w:rsidR="00F85FFE" w:rsidRPr="00EF2AAF" w:rsidRDefault="00F85FFE" w:rsidP="00F85FFE">
            <w:pPr>
              <w:spacing w:after="0"/>
              <w:rPr>
                <w:rFonts w:cs="Gisha"/>
                <w:bCs/>
                <w:color w:val="000000"/>
              </w:rPr>
            </w:pPr>
            <w:r w:rsidRPr="00EF2AAF">
              <w:rPr>
                <w:rFonts w:cs="Gisha"/>
                <w:bCs/>
                <w:color w:val="000000"/>
              </w:rPr>
              <w:t>CHU</w:t>
            </w:r>
          </w:p>
        </w:tc>
        <w:tc>
          <w:tcPr>
            <w:tcW w:w="158" w:type="pct"/>
            <w:vAlign w:val="center"/>
          </w:tcPr>
          <w:p w14:paraId="08A4D19A"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3609B579" w14:textId="77777777" w:rsidR="00F85FFE" w:rsidRPr="00EF2AAF" w:rsidRDefault="00F85FFE" w:rsidP="00F85FFE">
            <w:pPr>
              <w:spacing w:after="0"/>
              <w:rPr>
                <w:rFonts w:cs="Gisha"/>
                <w:color w:val="000000"/>
              </w:rPr>
            </w:pPr>
            <w:r w:rsidRPr="00EF2AAF">
              <w:rPr>
                <w:rFonts w:cs="Gisha"/>
                <w:color w:val="000000"/>
              </w:rPr>
              <w:t>Centre hospitalier universitaire</w:t>
            </w:r>
          </w:p>
        </w:tc>
      </w:tr>
      <w:tr w:rsidR="00F85FFE" w:rsidRPr="00EF2AAF" w14:paraId="07D6F5C2" w14:textId="77777777" w:rsidTr="00DE39C4">
        <w:trPr>
          <w:trHeight w:val="312"/>
        </w:trPr>
        <w:tc>
          <w:tcPr>
            <w:tcW w:w="623" w:type="pct"/>
            <w:vAlign w:val="center"/>
          </w:tcPr>
          <w:p w14:paraId="2E14BC24" w14:textId="77777777" w:rsidR="00F85FFE" w:rsidRPr="00EF2AAF" w:rsidRDefault="00F85FFE" w:rsidP="00F85FFE">
            <w:pPr>
              <w:spacing w:after="0"/>
              <w:rPr>
                <w:rFonts w:cs="Gisha"/>
                <w:bCs/>
                <w:color w:val="000000"/>
              </w:rPr>
            </w:pPr>
            <w:r w:rsidRPr="00EF2AAF">
              <w:rPr>
                <w:rFonts w:cs="Gisha"/>
                <w:bCs/>
                <w:color w:val="000000"/>
              </w:rPr>
              <w:t>CM</w:t>
            </w:r>
          </w:p>
        </w:tc>
        <w:tc>
          <w:tcPr>
            <w:tcW w:w="158" w:type="pct"/>
            <w:vAlign w:val="center"/>
          </w:tcPr>
          <w:p w14:paraId="6C82848C"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6623D609" w14:textId="77777777" w:rsidR="00F85FFE" w:rsidRPr="00EF2AAF" w:rsidRDefault="00F85FFE" w:rsidP="00F85FFE">
            <w:pPr>
              <w:spacing w:after="0"/>
              <w:rPr>
                <w:rFonts w:cs="Gisha"/>
                <w:color w:val="000000"/>
              </w:rPr>
            </w:pPr>
            <w:r w:rsidRPr="00EF2AAF">
              <w:rPr>
                <w:rFonts w:cs="Gisha"/>
                <w:color w:val="000000"/>
              </w:rPr>
              <w:t>Centre médical</w:t>
            </w:r>
          </w:p>
        </w:tc>
      </w:tr>
      <w:tr w:rsidR="00F85FFE" w:rsidRPr="00EF2AAF" w14:paraId="6E45936F" w14:textId="77777777" w:rsidTr="00DE39C4">
        <w:trPr>
          <w:trHeight w:val="312"/>
        </w:trPr>
        <w:tc>
          <w:tcPr>
            <w:tcW w:w="623" w:type="pct"/>
            <w:vAlign w:val="center"/>
          </w:tcPr>
          <w:p w14:paraId="5C9EC8D3" w14:textId="77777777" w:rsidR="00F85FFE" w:rsidRPr="00EF2AAF" w:rsidRDefault="00F85FFE" w:rsidP="00F85FFE">
            <w:pPr>
              <w:spacing w:after="0"/>
              <w:rPr>
                <w:rFonts w:cs="Gisha"/>
                <w:bCs/>
                <w:color w:val="000000"/>
              </w:rPr>
            </w:pPr>
            <w:r w:rsidRPr="00EF2AAF">
              <w:rPr>
                <w:rFonts w:cs="Gisha"/>
                <w:bCs/>
                <w:color w:val="000000"/>
              </w:rPr>
              <w:t>CMA</w:t>
            </w:r>
          </w:p>
        </w:tc>
        <w:tc>
          <w:tcPr>
            <w:tcW w:w="158" w:type="pct"/>
            <w:vAlign w:val="center"/>
          </w:tcPr>
          <w:p w14:paraId="528B2D14"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404D3DB8" w14:textId="77777777" w:rsidR="00F85FFE" w:rsidRPr="00EF2AAF" w:rsidRDefault="00F85FFE" w:rsidP="00F85FFE">
            <w:pPr>
              <w:spacing w:after="0"/>
              <w:rPr>
                <w:rFonts w:cs="Gisha"/>
                <w:color w:val="000000"/>
              </w:rPr>
            </w:pPr>
            <w:r w:rsidRPr="00EF2AAF">
              <w:rPr>
                <w:rFonts w:cs="Gisha"/>
                <w:color w:val="000000"/>
              </w:rPr>
              <w:t>Centre médical avec antenne chirurgicale</w:t>
            </w:r>
          </w:p>
        </w:tc>
      </w:tr>
      <w:tr w:rsidR="00F85FFE" w:rsidRPr="00EF2AAF" w14:paraId="54E68E72" w14:textId="77777777" w:rsidTr="00DE39C4">
        <w:trPr>
          <w:trHeight w:val="312"/>
        </w:trPr>
        <w:tc>
          <w:tcPr>
            <w:tcW w:w="623" w:type="pct"/>
            <w:shd w:val="clear" w:color="auto" w:fill="auto"/>
            <w:vAlign w:val="center"/>
          </w:tcPr>
          <w:p w14:paraId="7E35F01F" w14:textId="77777777" w:rsidR="00F85FFE" w:rsidRPr="00EF2AAF" w:rsidRDefault="00F85FFE" w:rsidP="00F85FFE">
            <w:pPr>
              <w:spacing w:after="0"/>
              <w:rPr>
                <w:rFonts w:cs="Gisha"/>
                <w:bCs/>
                <w:color w:val="000000"/>
              </w:rPr>
            </w:pPr>
            <w:r w:rsidRPr="00EF2AAF">
              <w:rPr>
                <w:rFonts w:cs="Gisha"/>
                <w:bCs/>
                <w:color w:val="000000"/>
              </w:rPr>
              <w:t>CNLAT</w:t>
            </w:r>
          </w:p>
        </w:tc>
        <w:tc>
          <w:tcPr>
            <w:tcW w:w="158" w:type="pct"/>
            <w:vAlign w:val="center"/>
          </w:tcPr>
          <w:p w14:paraId="7649DD8E"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0AC57A03" w14:textId="77777777" w:rsidR="00F85FFE" w:rsidRPr="00EF2AAF" w:rsidRDefault="00F85FFE" w:rsidP="00F85FFE">
            <w:pPr>
              <w:spacing w:after="0"/>
              <w:rPr>
                <w:rFonts w:cs="Gisha"/>
                <w:color w:val="000000"/>
              </w:rPr>
            </w:pPr>
            <w:r w:rsidRPr="00EF2AAF">
              <w:rPr>
                <w:rFonts w:cs="Gisha"/>
                <w:color w:val="000000"/>
              </w:rPr>
              <w:t>Centre national de lutte antituberculeuse</w:t>
            </w:r>
          </w:p>
        </w:tc>
      </w:tr>
      <w:tr w:rsidR="00F85FFE" w:rsidRPr="00EF2AAF" w14:paraId="2D14BBD3" w14:textId="77777777" w:rsidTr="00DE39C4">
        <w:trPr>
          <w:trHeight w:val="312"/>
        </w:trPr>
        <w:tc>
          <w:tcPr>
            <w:tcW w:w="623" w:type="pct"/>
            <w:vAlign w:val="center"/>
          </w:tcPr>
          <w:p w14:paraId="2BF37E96" w14:textId="77777777" w:rsidR="00F85FFE" w:rsidRPr="00EF2AAF" w:rsidRDefault="00F85FFE" w:rsidP="00F85FFE">
            <w:pPr>
              <w:spacing w:after="0"/>
              <w:rPr>
                <w:rFonts w:cs="Gisha"/>
                <w:bCs/>
                <w:color w:val="000000"/>
              </w:rPr>
            </w:pPr>
            <w:r w:rsidRPr="00EF2AAF">
              <w:rPr>
                <w:rFonts w:cs="Gisha"/>
                <w:bCs/>
                <w:color w:val="000000"/>
              </w:rPr>
              <w:t>CPN</w:t>
            </w:r>
          </w:p>
        </w:tc>
        <w:tc>
          <w:tcPr>
            <w:tcW w:w="158" w:type="pct"/>
            <w:vAlign w:val="center"/>
          </w:tcPr>
          <w:p w14:paraId="374C0BCC"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7B6D59A3" w14:textId="77777777" w:rsidR="00F85FFE" w:rsidRPr="00EF2AAF" w:rsidRDefault="00F85FFE" w:rsidP="00F85FFE">
            <w:pPr>
              <w:spacing w:after="0"/>
              <w:rPr>
                <w:rFonts w:cs="Gisha"/>
                <w:color w:val="000000"/>
              </w:rPr>
            </w:pPr>
            <w:r w:rsidRPr="00EF2AAF">
              <w:rPr>
                <w:rFonts w:cs="Gisha"/>
                <w:color w:val="000000"/>
              </w:rPr>
              <w:t>Consultation prénatale</w:t>
            </w:r>
          </w:p>
        </w:tc>
      </w:tr>
      <w:tr w:rsidR="00F85FFE" w:rsidRPr="00EF2AAF" w14:paraId="0F625CCA" w14:textId="77777777" w:rsidTr="00DE39C4">
        <w:trPr>
          <w:trHeight w:val="312"/>
        </w:trPr>
        <w:tc>
          <w:tcPr>
            <w:tcW w:w="623" w:type="pct"/>
            <w:shd w:val="clear" w:color="auto" w:fill="auto"/>
            <w:vAlign w:val="center"/>
          </w:tcPr>
          <w:p w14:paraId="0F766000" w14:textId="77777777" w:rsidR="00F85FFE" w:rsidRPr="00EF2AAF" w:rsidRDefault="00F85FFE" w:rsidP="00F85FFE">
            <w:pPr>
              <w:spacing w:after="0"/>
              <w:rPr>
                <w:rFonts w:cs="Gisha"/>
                <w:bCs/>
                <w:color w:val="000000"/>
              </w:rPr>
            </w:pPr>
            <w:r w:rsidRPr="00EF2AAF">
              <w:rPr>
                <w:rFonts w:cs="Gisha"/>
                <w:bCs/>
                <w:color w:val="000000"/>
              </w:rPr>
              <w:t>CRLAT</w:t>
            </w:r>
          </w:p>
        </w:tc>
        <w:tc>
          <w:tcPr>
            <w:tcW w:w="158" w:type="pct"/>
            <w:vAlign w:val="center"/>
          </w:tcPr>
          <w:p w14:paraId="4B4DAB61"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7DB477BC" w14:textId="77777777" w:rsidR="00F85FFE" w:rsidRPr="00EF2AAF" w:rsidRDefault="00F85FFE" w:rsidP="00F85FFE">
            <w:pPr>
              <w:spacing w:after="0"/>
              <w:rPr>
                <w:rFonts w:cs="Gisha"/>
                <w:color w:val="000000"/>
              </w:rPr>
            </w:pPr>
            <w:r w:rsidRPr="00EF2AAF">
              <w:rPr>
                <w:rFonts w:cs="Gisha"/>
                <w:color w:val="000000"/>
              </w:rPr>
              <w:t>Centre régional de lutte contre la tuberculose</w:t>
            </w:r>
          </w:p>
        </w:tc>
      </w:tr>
      <w:tr w:rsidR="00F85FFE" w:rsidRPr="00EF2AAF" w14:paraId="4377006E" w14:textId="77777777" w:rsidTr="00DE39C4">
        <w:trPr>
          <w:trHeight w:val="312"/>
        </w:trPr>
        <w:tc>
          <w:tcPr>
            <w:tcW w:w="623" w:type="pct"/>
            <w:vAlign w:val="center"/>
          </w:tcPr>
          <w:p w14:paraId="4B8E5DAA" w14:textId="77777777" w:rsidR="00F85FFE" w:rsidRPr="00EF2AAF" w:rsidRDefault="00F85FFE" w:rsidP="00F85FFE">
            <w:pPr>
              <w:spacing w:after="0"/>
              <w:rPr>
                <w:rFonts w:cs="Gisha"/>
                <w:bCs/>
                <w:color w:val="000000"/>
              </w:rPr>
            </w:pPr>
            <w:r>
              <w:rPr>
                <w:rFonts w:cs="Gisha"/>
                <w:bCs/>
                <w:color w:val="000000"/>
              </w:rPr>
              <w:t>CSD</w:t>
            </w:r>
          </w:p>
        </w:tc>
        <w:tc>
          <w:tcPr>
            <w:tcW w:w="158" w:type="pct"/>
            <w:vAlign w:val="center"/>
          </w:tcPr>
          <w:p w14:paraId="2FAC2A03" w14:textId="77777777" w:rsidR="00F85FFE" w:rsidRPr="00EF2AAF" w:rsidRDefault="00F85FFE" w:rsidP="00F85FFE">
            <w:pPr>
              <w:spacing w:after="0"/>
              <w:rPr>
                <w:rFonts w:cs="Gisha"/>
                <w:color w:val="000000"/>
              </w:rPr>
            </w:pPr>
            <w:r>
              <w:rPr>
                <w:rFonts w:cs="Gisha"/>
                <w:color w:val="000000"/>
              </w:rPr>
              <w:t>:</w:t>
            </w:r>
          </w:p>
        </w:tc>
        <w:tc>
          <w:tcPr>
            <w:tcW w:w="4219" w:type="pct"/>
            <w:vAlign w:val="center"/>
          </w:tcPr>
          <w:p w14:paraId="7AD4741A" w14:textId="77777777" w:rsidR="00F85FFE" w:rsidRPr="00EF2AAF" w:rsidRDefault="00F85FFE" w:rsidP="00F85FFE">
            <w:pPr>
              <w:spacing w:after="0"/>
              <w:rPr>
                <w:rFonts w:cs="Gisha"/>
                <w:color w:val="000000"/>
              </w:rPr>
            </w:pPr>
            <w:r>
              <w:rPr>
                <w:rFonts w:cs="Gisha"/>
                <w:color w:val="000000"/>
              </w:rPr>
              <w:t>Cadre sectoriel de dialogue</w:t>
            </w:r>
          </w:p>
        </w:tc>
      </w:tr>
      <w:tr w:rsidR="00F85FFE" w:rsidRPr="00EF2AAF" w14:paraId="01DD7ED7" w14:textId="77777777" w:rsidTr="00DE39C4">
        <w:trPr>
          <w:trHeight w:val="312"/>
        </w:trPr>
        <w:tc>
          <w:tcPr>
            <w:tcW w:w="623" w:type="pct"/>
            <w:vAlign w:val="center"/>
          </w:tcPr>
          <w:p w14:paraId="475866E2" w14:textId="77777777" w:rsidR="00F85FFE" w:rsidRPr="00EF2AAF" w:rsidRDefault="00F85FFE" w:rsidP="00F85FFE">
            <w:pPr>
              <w:spacing w:after="0"/>
              <w:rPr>
                <w:rFonts w:cs="Gisha"/>
                <w:bCs/>
                <w:color w:val="000000"/>
              </w:rPr>
            </w:pPr>
            <w:r w:rsidRPr="00EF2AAF">
              <w:rPr>
                <w:rFonts w:cs="Gisha"/>
                <w:bCs/>
                <w:color w:val="000000"/>
              </w:rPr>
              <w:t>CSPS</w:t>
            </w:r>
          </w:p>
        </w:tc>
        <w:tc>
          <w:tcPr>
            <w:tcW w:w="158" w:type="pct"/>
            <w:vAlign w:val="center"/>
          </w:tcPr>
          <w:p w14:paraId="256FCDA9"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4D3192E7" w14:textId="77777777" w:rsidR="00F85FFE" w:rsidRPr="00EF2AAF" w:rsidRDefault="00F85FFE" w:rsidP="00F85FFE">
            <w:pPr>
              <w:spacing w:after="0"/>
              <w:rPr>
                <w:rFonts w:cs="Gisha"/>
                <w:color w:val="000000"/>
              </w:rPr>
            </w:pPr>
            <w:r w:rsidRPr="00EF2AAF">
              <w:rPr>
                <w:rFonts w:cs="Gisha"/>
                <w:color w:val="000000"/>
              </w:rPr>
              <w:t>Centre de santé et de promotion sociale</w:t>
            </w:r>
          </w:p>
        </w:tc>
      </w:tr>
      <w:tr w:rsidR="00F85FFE" w:rsidRPr="00EF2AAF" w14:paraId="0F91F4FD" w14:textId="77777777" w:rsidTr="00DE39C4">
        <w:trPr>
          <w:trHeight w:val="119"/>
        </w:trPr>
        <w:tc>
          <w:tcPr>
            <w:tcW w:w="623" w:type="pct"/>
            <w:shd w:val="clear" w:color="auto" w:fill="auto"/>
            <w:vAlign w:val="center"/>
          </w:tcPr>
          <w:p w14:paraId="2957A632" w14:textId="77777777" w:rsidR="00F85FFE" w:rsidRPr="00EF2AAF" w:rsidRDefault="00F85FFE" w:rsidP="00F85FFE">
            <w:pPr>
              <w:spacing w:after="0"/>
              <w:rPr>
                <w:rFonts w:cs="Gisha"/>
                <w:bCs/>
                <w:color w:val="000000"/>
              </w:rPr>
            </w:pPr>
            <w:r w:rsidRPr="00EF2AAF">
              <w:rPr>
                <w:rFonts w:cs="Gisha"/>
              </w:rPr>
              <w:t>CSS</w:t>
            </w:r>
          </w:p>
        </w:tc>
        <w:tc>
          <w:tcPr>
            <w:tcW w:w="158" w:type="pct"/>
            <w:vAlign w:val="center"/>
          </w:tcPr>
          <w:p w14:paraId="228F8676"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7726337B" w14:textId="77777777" w:rsidR="00F85FFE" w:rsidRPr="00EF2AAF" w:rsidRDefault="00F85FFE" w:rsidP="00F85FFE">
            <w:pPr>
              <w:spacing w:after="0"/>
              <w:rPr>
                <w:rFonts w:cs="Gisha"/>
              </w:rPr>
            </w:pPr>
            <w:r w:rsidRPr="00EF2AAF">
              <w:rPr>
                <w:rFonts w:cs="Gisha"/>
              </w:rPr>
              <w:t xml:space="preserve">Conseil supérieur de la santé </w:t>
            </w:r>
          </w:p>
        </w:tc>
      </w:tr>
      <w:tr w:rsidR="00F85FFE" w:rsidRPr="00EF2AAF" w14:paraId="3A14598A" w14:textId="77777777" w:rsidTr="00DE39C4">
        <w:trPr>
          <w:trHeight w:val="312"/>
        </w:trPr>
        <w:tc>
          <w:tcPr>
            <w:tcW w:w="623" w:type="pct"/>
            <w:vAlign w:val="center"/>
          </w:tcPr>
          <w:p w14:paraId="6D7058C3" w14:textId="77777777" w:rsidR="00F85FFE" w:rsidRPr="00EF2AAF" w:rsidRDefault="00F85FFE" w:rsidP="00F85FFE">
            <w:pPr>
              <w:spacing w:after="0"/>
              <w:rPr>
                <w:rFonts w:cs="Gisha"/>
                <w:bCs/>
                <w:color w:val="000000"/>
              </w:rPr>
            </w:pPr>
            <w:r w:rsidRPr="00EF2AAF">
              <w:rPr>
                <w:rFonts w:cs="Gisha"/>
                <w:bCs/>
                <w:color w:val="000000"/>
              </w:rPr>
              <w:t>CT</w:t>
            </w:r>
          </w:p>
        </w:tc>
        <w:tc>
          <w:tcPr>
            <w:tcW w:w="158" w:type="pct"/>
            <w:vAlign w:val="center"/>
          </w:tcPr>
          <w:p w14:paraId="0A0A1C4A"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40EC08A4" w14:textId="77777777" w:rsidR="00F85FFE" w:rsidRPr="00EF2AAF" w:rsidRDefault="00F85FFE" w:rsidP="00F85FFE">
            <w:pPr>
              <w:spacing w:after="0"/>
              <w:rPr>
                <w:rFonts w:cs="Gisha"/>
                <w:color w:val="000000"/>
              </w:rPr>
            </w:pPr>
            <w:r w:rsidRPr="00EF2AAF">
              <w:rPr>
                <w:rFonts w:cs="Gisha"/>
                <w:color w:val="000000"/>
              </w:rPr>
              <w:t>Commission thématique</w:t>
            </w:r>
          </w:p>
        </w:tc>
      </w:tr>
      <w:tr w:rsidR="00F85FFE" w:rsidRPr="00EF2AAF" w14:paraId="10BA5D6D" w14:textId="77777777" w:rsidTr="00DE39C4">
        <w:trPr>
          <w:trHeight w:val="312"/>
        </w:trPr>
        <w:tc>
          <w:tcPr>
            <w:tcW w:w="623" w:type="pct"/>
            <w:shd w:val="clear" w:color="auto" w:fill="auto"/>
            <w:vAlign w:val="center"/>
          </w:tcPr>
          <w:p w14:paraId="39BBD46E" w14:textId="77777777" w:rsidR="00F85FFE" w:rsidRPr="00EF2AAF" w:rsidRDefault="00F85FFE" w:rsidP="00F85FFE">
            <w:pPr>
              <w:spacing w:after="0"/>
              <w:rPr>
                <w:rFonts w:cs="Gisha"/>
                <w:bCs/>
                <w:color w:val="000000"/>
              </w:rPr>
            </w:pPr>
            <w:r w:rsidRPr="00EF2AAF">
              <w:rPr>
                <w:rFonts w:cs="Gisha"/>
                <w:bCs/>
                <w:color w:val="000000"/>
              </w:rPr>
              <w:t>DAF</w:t>
            </w:r>
          </w:p>
        </w:tc>
        <w:tc>
          <w:tcPr>
            <w:tcW w:w="158" w:type="pct"/>
            <w:vAlign w:val="center"/>
          </w:tcPr>
          <w:p w14:paraId="75D15CDE"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7BE4B9D7" w14:textId="77777777" w:rsidR="00F85FFE" w:rsidRPr="00EF2AAF" w:rsidRDefault="00F85FFE" w:rsidP="00F85FFE">
            <w:pPr>
              <w:spacing w:after="0"/>
              <w:rPr>
                <w:rFonts w:cs="Gisha"/>
                <w:color w:val="000000"/>
              </w:rPr>
            </w:pPr>
            <w:r w:rsidRPr="00EF2AAF">
              <w:rPr>
                <w:rFonts w:cs="Gisha"/>
                <w:color w:val="000000"/>
              </w:rPr>
              <w:t>Direction de l’administration et des finances</w:t>
            </w:r>
          </w:p>
        </w:tc>
      </w:tr>
      <w:tr w:rsidR="00F85FFE" w:rsidRPr="00EF2AAF" w14:paraId="09FC4B2C" w14:textId="77777777" w:rsidTr="00DE39C4">
        <w:trPr>
          <w:trHeight w:val="312"/>
        </w:trPr>
        <w:tc>
          <w:tcPr>
            <w:tcW w:w="623" w:type="pct"/>
            <w:shd w:val="clear" w:color="auto" w:fill="auto"/>
            <w:vAlign w:val="center"/>
          </w:tcPr>
          <w:p w14:paraId="589EDCDD" w14:textId="77777777" w:rsidR="00F85FFE" w:rsidRPr="00EF2AAF" w:rsidRDefault="00F85FFE" w:rsidP="00F85FFE">
            <w:pPr>
              <w:spacing w:after="0"/>
              <w:rPr>
                <w:rFonts w:cs="Gisha"/>
                <w:bCs/>
                <w:color w:val="000000"/>
              </w:rPr>
            </w:pPr>
            <w:r w:rsidRPr="00EF2AAF">
              <w:rPr>
                <w:rFonts w:cs="Gisha"/>
                <w:bCs/>
                <w:color w:val="000000"/>
              </w:rPr>
              <w:t>DES</w:t>
            </w:r>
          </w:p>
        </w:tc>
        <w:tc>
          <w:tcPr>
            <w:tcW w:w="158" w:type="pct"/>
            <w:vAlign w:val="center"/>
          </w:tcPr>
          <w:p w14:paraId="618BE1F3"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4E68150C" w14:textId="77777777" w:rsidR="00F85FFE" w:rsidRPr="00EF2AAF" w:rsidRDefault="00F85FFE" w:rsidP="00F85FFE">
            <w:pPr>
              <w:spacing w:after="0"/>
              <w:rPr>
                <w:rFonts w:cs="Gisha"/>
                <w:color w:val="000000"/>
              </w:rPr>
            </w:pPr>
            <w:r w:rsidRPr="00EF2AAF">
              <w:rPr>
                <w:rFonts w:cs="Gisha"/>
                <w:color w:val="000000"/>
              </w:rPr>
              <w:t>Direction des établissements de santé</w:t>
            </w:r>
          </w:p>
        </w:tc>
      </w:tr>
      <w:tr w:rsidR="00766F76" w:rsidRPr="00EF2AAF" w14:paraId="6F1C8AE4" w14:textId="77777777" w:rsidTr="00DE39C4">
        <w:trPr>
          <w:trHeight w:val="319"/>
        </w:trPr>
        <w:tc>
          <w:tcPr>
            <w:tcW w:w="623" w:type="pct"/>
            <w:shd w:val="clear" w:color="auto" w:fill="auto"/>
            <w:vAlign w:val="center"/>
          </w:tcPr>
          <w:p w14:paraId="2EDC9A59" w14:textId="77777777" w:rsidR="00766F76" w:rsidRPr="00EF2AAF" w:rsidRDefault="00766F76" w:rsidP="00F85FFE">
            <w:pPr>
              <w:spacing w:after="0"/>
              <w:rPr>
                <w:rFonts w:cs="Gisha"/>
                <w:bCs/>
                <w:color w:val="000000"/>
              </w:rPr>
            </w:pPr>
            <w:r>
              <w:rPr>
                <w:rFonts w:cs="Gisha"/>
                <w:bCs/>
                <w:color w:val="000000"/>
              </w:rPr>
              <w:t>DGOS</w:t>
            </w:r>
          </w:p>
        </w:tc>
        <w:tc>
          <w:tcPr>
            <w:tcW w:w="158" w:type="pct"/>
            <w:vAlign w:val="center"/>
          </w:tcPr>
          <w:p w14:paraId="601A071F" w14:textId="77777777" w:rsidR="00766F76" w:rsidRPr="00EF2AAF" w:rsidRDefault="00766F76" w:rsidP="00F85FFE">
            <w:pPr>
              <w:spacing w:after="0"/>
              <w:rPr>
                <w:rFonts w:cs="Gisha"/>
                <w:color w:val="000000"/>
              </w:rPr>
            </w:pPr>
            <w:r>
              <w:rPr>
                <w:rFonts w:cs="Gisha"/>
                <w:color w:val="000000"/>
              </w:rPr>
              <w:t>:</w:t>
            </w:r>
          </w:p>
        </w:tc>
        <w:tc>
          <w:tcPr>
            <w:tcW w:w="4219" w:type="pct"/>
            <w:shd w:val="clear" w:color="auto" w:fill="auto"/>
            <w:vAlign w:val="center"/>
          </w:tcPr>
          <w:p w14:paraId="61901257" w14:textId="77777777" w:rsidR="00766F76" w:rsidRPr="00EF2AAF" w:rsidRDefault="00766F76" w:rsidP="00F85FFE">
            <w:pPr>
              <w:spacing w:after="0"/>
              <w:rPr>
                <w:rFonts w:cs="Gisha"/>
                <w:color w:val="000000"/>
              </w:rPr>
            </w:pPr>
            <w:r w:rsidRPr="008D32AF">
              <w:rPr>
                <w:rFonts w:ascii="Arial Narrow" w:hAnsi="Arial Narrow" w:cs="Arial"/>
                <w:szCs w:val="24"/>
              </w:rPr>
              <w:t>Direction générale de l’offre de soins</w:t>
            </w:r>
          </w:p>
        </w:tc>
      </w:tr>
      <w:tr w:rsidR="00F85FFE" w:rsidRPr="00EF2AAF" w14:paraId="790390AC" w14:textId="77777777" w:rsidTr="00DE39C4">
        <w:trPr>
          <w:trHeight w:val="319"/>
        </w:trPr>
        <w:tc>
          <w:tcPr>
            <w:tcW w:w="623" w:type="pct"/>
            <w:shd w:val="clear" w:color="auto" w:fill="auto"/>
            <w:vAlign w:val="center"/>
          </w:tcPr>
          <w:p w14:paraId="35092D43" w14:textId="77777777" w:rsidR="00F85FFE" w:rsidRPr="00EF2AAF" w:rsidRDefault="00F85FFE" w:rsidP="00F85FFE">
            <w:pPr>
              <w:spacing w:after="0"/>
              <w:rPr>
                <w:rFonts w:cs="Gisha"/>
                <w:bCs/>
                <w:color w:val="000000"/>
              </w:rPr>
            </w:pPr>
            <w:r w:rsidRPr="00EF2AAF">
              <w:rPr>
                <w:rFonts w:cs="Gisha"/>
                <w:bCs/>
                <w:color w:val="000000"/>
              </w:rPr>
              <w:t>DGPML</w:t>
            </w:r>
            <w:r w:rsidRPr="00EF2AAF">
              <w:rPr>
                <w:rFonts w:cs="Gisha"/>
                <w:bCs/>
                <w:color w:val="000000"/>
              </w:rPr>
              <w:tab/>
            </w:r>
          </w:p>
        </w:tc>
        <w:tc>
          <w:tcPr>
            <w:tcW w:w="158" w:type="pct"/>
            <w:vAlign w:val="center"/>
          </w:tcPr>
          <w:p w14:paraId="3C1A347D"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545C6E62" w14:textId="77777777" w:rsidR="00F85FFE" w:rsidRPr="00EF2AAF" w:rsidRDefault="00F85FFE" w:rsidP="00F85FFE">
            <w:pPr>
              <w:spacing w:after="0"/>
              <w:rPr>
                <w:rFonts w:cs="Gisha"/>
                <w:color w:val="000000"/>
              </w:rPr>
            </w:pPr>
            <w:r w:rsidRPr="00EF2AAF">
              <w:rPr>
                <w:rFonts w:cs="Gisha"/>
                <w:color w:val="000000"/>
              </w:rPr>
              <w:t>Direction générale de la pharm</w:t>
            </w:r>
            <w:r>
              <w:rPr>
                <w:rFonts w:cs="Gisha"/>
                <w:color w:val="000000"/>
              </w:rPr>
              <w:t xml:space="preserve">acie, du médicament et des </w:t>
            </w:r>
            <w:r w:rsidRPr="00EF2AAF">
              <w:rPr>
                <w:rFonts w:cs="Gisha"/>
                <w:color w:val="000000"/>
              </w:rPr>
              <w:t>laboratoires</w:t>
            </w:r>
          </w:p>
        </w:tc>
      </w:tr>
      <w:tr w:rsidR="00F85FFE" w:rsidRPr="00EF2AAF" w14:paraId="07974FD3" w14:textId="77777777" w:rsidTr="00DE39C4">
        <w:trPr>
          <w:trHeight w:val="312"/>
        </w:trPr>
        <w:tc>
          <w:tcPr>
            <w:tcW w:w="623" w:type="pct"/>
            <w:shd w:val="clear" w:color="auto" w:fill="auto"/>
            <w:vAlign w:val="center"/>
          </w:tcPr>
          <w:p w14:paraId="18D205FB" w14:textId="77777777" w:rsidR="00F85FFE" w:rsidRPr="00EF2AAF" w:rsidRDefault="00F85FFE" w:rsidP="00F85FFE">
            <w:pPr>
              <w:spacing w:after="0"/>
              <w:rPr>
                <w:rFonts w:cs="Gisha"/>
                <w:bCs/>
                <w:color w:val="000000"/>
              </w:rPr>
            </w:pPr>
            <w:r w:rsidRPr="00EF2AAF">
              <w:rPr>
                <w:rFonts w:cs="Gisha"/>
                <w:bCs/>
                <w:color w:val="000000"/>
              </w:rPr>
              <w:t>DGS</w:t>
            </w:r>
            <w:r w:rsidRPr="00EF2AAF">
              <w:rPr>
                <w:rFonts w:cs="Gisha"/>
                <w:bCs/>
                <w:color w:val="000000"/>
              </w:rPr>
              <w:tab/>
            </w:r>
          </w:p>
        </w:tc>
        <w:tc>
          <w:tcPr>
            <w:tcW w:w="158" w:type="pct"/>
            <w:vAlign w:val="center"/>
          </w:tcPr>
          <w:p w14:paraId="4C3C2C73"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3B820F72" w14:textId="77777777" w:rsidR="00F85FFE" w:rsidRPr="00EF2AAF" w:rsidRDefault="00F85FFE" w:rsidP="00F85FFE">
            <w:pPr>
              <w:spacing w:after="0"/>
              <w:rPr>
                <w:rFonts w:cs="Gisha"/>
                <w:color w:val="000000"/>
              </w:rPr>
            </w:pPr>
            <w:r w:rsidRPr="00EF2AAF">
              <w:rPr>
                <w:rFonts w:cs="Gisha"/>
                <w:color w:val="000000"/>
              </w:rPr>
              <w:t xml:space="preserve">Direction générale de la santé </w:t>
            </w:r>
          </w:p>
        </w:tc>
      </w:tr>
      <w:tr w:rsidR="00F85FFE" w:rsidRPr="00EF2AAF" w14:paraId="5D84B7FD" w14:textId="77777777" w:rsidTr="00DE39C4">
        <w:trPr>
          <w:trHeight w:val="312"/>
        </w:trPr>
        <w:tc>
          <w:tcPr>
            <w:tcW w:w="623" w:type="pct"/>
            <w:shd w:val="clear" w:color="auto" w:fill="auto"/>
            <w:vAlign w:val="center"/>
          </w:tcPr>
          <w:p w14:paraId="52DE0919" w14:textId="77777777" w:rsidR="00F85FFE" w:rsidRPr="00EF2AAF" w:rsidRDefault="00F85FFE" w:rsidP="00F85FFE">
            <w:pPr>
              <w:spacing w:after="0"/>
              <w:rPr>
                <w:rFonts w:cs="Gisha"/>
                <w:bCs/>
                <w:color w:val="000000"/>
              </w:rPr>
            </w:pPr>
            <w:r w:rsidRPr="00EF2AAF">
              <w:rPr>
                <w:rFonts w:cs="Gisha"/>
                <w:bCs/>
                <w:color w:val="000000"/>
              </w:rPr>
              <w:t>DLM</w:t>
            </w:r>
          </w:p>
        </w:tc>
        <w:tc>
          <w:tcPr>
            <w:tcW w:w="158" w:type="pct"/>
            <w:vAlign w:val="center"/>
          </w:tcPr>
          <w:p w14:paraId="2B0FEDCF"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1D22DCFE" w14:textId="77777777" w:rsidR="00F85FFE" w:rsidRPr="00EF2AAF" w:rsidRDefault="00F85FFE" w:rsidP="00F85FFE">
            <w:pPr>
              <w:spacing w:after="0"/>
              <w:rPr>
                <w:rFonts w:cs="Gisha"/>
                <w:color w:val="000000"/>
              </w:rPr>
            </w:pPr>
            <w:r w:rsidRPr="00EF2AAF">
              <w:rPr>
                <w:rFonts w:cs="Gisha"/>
                <w:color w:val="000000"/>
              </w:rPr>
              <w:t>Direction de la lutte contre la maladie</w:t>
            </w:r>
          </w:p>
        </w:tc>
      </w:tr>
      <w:tr w:rsidR="00F85FFE" w:rsidRPr="00EF2AAF" w14:paraId="0D7A9531" w14:textId="77777777" w:rsidTr="00DE39C4">
        <w:trPr>
          <w:trHeight w:val="312"/>
        </w:trPr>
        <w:tc>
          <w:tcPr>
            <w:tcW w:w="623" w:type="pct"/>
            <w:shd w:val="clear" w:color="auto" w:fill="auto"/>
            <w:vAlign w:val="center"/>
          </w:tcPr>
          <w:p w14:paraId="47935C32" w14:textId="77777777" w:rsidR="00F85FFE" w:rsidRPr="00EF2AAF" w:rsidRDefault="00F85FFE" w:rsidP="00F85FFE">
            <w:pPr>
              <w:spacing w:after="0"/>
              <w:rPr>
                <w:rFonts w:cs="Gisha"/>
                <w:bCs/>
                <w:color w:val="000000"/>
              </w:rPr>
            </w:pPr>
            <w:r w:rsidRPr="00EF2AAF">
              <w:rPr>
                <w:rFonts w:cs="Gisha"/>
                <w:bCs/>
                <w:color w:val="000000"/>
              </w:rPr>
              <w:t>DN</w:t>
            </w:r>
            <w:r w:rsidRPr="00EF2AAF">
              <w:rPr>
                <w:rFonts w:cs="Gisha"/>
                <w:bCs/>
                <w:color w:val="000000"/>
              </w:rPr>
              <w:tab/>
            </w:r>
          </w:p>
        </w:tc>
        <w:tc>
          <w:tcPr>
            <w:tcW w:w="158" w:type="pct"/>
            <w:vAlign w:val="center"/>
          </w:tcPr>
          <w:p w14:paraId="7B44CA98"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191D20A8" w14:textId="77777777" w:rsidR="00F85FFE" w:rsidRPr="00EF2AAF" w:rsidRDefault="00F85FFE" w:rsidP="00F85FFE">
            <w:pPr>
              <w:spacing w:after="0"/>
              <w:rPr>
                <w:rFonts w:cs="Gisha"/>
                <w:color w:val="000000"/>
              </w:rPr>
            </w:pPr>
            <w:r w:rsidRPr="00EF2AAF">
              <w:rPr>
                <w:rFonts w:cs="Gisha"/>
                <w:color w:val="000000"/>
              </w:rPr>
              <w:t>Direction de la nutrition</w:t>
            </w:r>
          </w:p>
        </w:tc>
      </w:tr>
      <w:tr w:rsidR="00F85FFE" w:rsidRPr="00EF2AAF" w14:paraId="11B3B8AD" w14:textId="77777777" w:rsidTr="00DE39C4">
        <w:trPr>
          <w:trHeight w:val="312"/>
        </w:trPr>
        <w:tc>
          <w:tcPr>
            <w:tcW w:w="623" w:type="pct"/>
            <w:shd w:val="clear" w:color="auto" w:fill="auto"/>
            <w:vAlign w:val="center"/>
          </w:tcPr>
          <w:p w14:paraId="32BA2935" w14:textId="77777777" w:rsidR="00F85FFE" w:rsidRPr="00EF2AAF" w:rsidRDefault="00F85FFE" w:rsidP="00F85FFE">
            <w:pPr>
              <w:spacing w:after="0"/>
              <w:rPr>
                <w:rFonts w:cs="Gisha"/>
                <w:bCs/>
                <w:color w:val="000000"/>
              </w:rPr>
            </w:pPr>
            <w:r w:rsidRPr="00EF2AAF">
              <w:rPr>
                <w:rFonts w:cs="Gisha"/>
                <w:bCs/>
                <w:color w:val="000000"/>
              </w:rPr>
              <w:t xml:space="preserve">DPS     </w:t>
            </w:r>
          </w:p>
        </w:tc>
        <w:tc>
          <w:tcPr>
            <w:tcW w:w="158" w:type="pct"/>
            <w:vAlign w:val="center"/>
          </w:tcPr>
          <w:p w14:paraId="2ACB96C5"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5F63C61A" w14:textId="77777777" w:rsidR="00F85FFE" w:rsidRPr="00EF2AAF" w:rsidRDefault="00F85FFE" w:rsidP="00F85FFE">
            <w:pPr>
              <w:spacing w:after="0"/>
              <w:rPr>
                <w:rFonts w:cs="Gisha"/>
                <w:color w:val="000000"/>
              </w:rPr>
            </w:pPr>
            <w:r w:rsidRPr="00EF2AAF">
              <w:rPr>
                <w:rFonts w:cs="Gisha"/>
                <w:color w:val="000000"/>
              </w:rPr>
              <w:t>Direction de la promotion de la santé</w:t>
            </w:r>
          </w:p>
        </w:tc>
      </w:tr>
      <w:tr w:rsidR="00F85FFE" w:rsidRPr="00EF2AAF" w14:paraId="73DD0661" w14:textId="77777777" w:rsidTr="00DE39C4">
        <w:trPr>
          <w:trHeight w:val="312"/>
        </w:trPr>
        <w:tc>
          <w:tcPr>
            <w:tcW w:w="623" w:type="pct"/>
            <w:shd w:val="clear" w:color="auto" w:fill="auto"/>
            <w:vAlign w:val="center"/>
          </w:tcPr>
          <w:p w14:paraId="36C08789" w14:textId="77777777" w:rsidR="00F85FFE" w:rsidRPr="00EF2AAF" w:rsidRDefault="00F85FFE" w:rsidP="00F85FFE">
            <w:pPr>
              <w:spacing w:after="0"/>
              <w:rPr>
                <w:rFonts w:cs="Gisha"/>
                <w:bCs/>
                <w:color w:val="000000"/>
              </w:rPr>
            </w:pPr>
            <w:r w:rsidRPr="00EF2AAF">
              <w:rPr>
                <w:rFonts w:cs="Gisha"/>
                <w:bCs/>
                <w:color w:val="000000"/>
              </w:rPr>
              <w:t>DPV</w:t>
            </w:r>
          </w:p>
        </w:tc>
        <w:tc>
          <w:tcPr>
            <w:tcW w:w="158" w:type="pct"/>
            <w:vAlign w:val="center"/>
          </w:tcPr>
          <w:p w14:paraId="131C5F93"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428B44D9" w14:textId="77777777" w:rsidR="00F85FFE" w:rsidRPr="00EF2AAF" w:rsidRDefault="00F85FFE" w:rsidP="00F85FFE">
            <w:pPr>
              <w:spacing w:after="0"/>
              <w:rPr>
                <w:rFonts w:cs="Gisha"/>
                <w:color w:val="000000"/>
              </w:rPr>
            </w:pPr>
            <w:r w:rsidRPr="00EF2AAF">
              <w:rPr>
                <w:rFonts w:cs="Gisha"/>
                <w:color w:val="000000"/>
              </w:rPr>
              <w:t>Direction de la prévention par les vaccinations</w:t>
            </w:r>
          </w:p>
        </w:tc>
      </w:tr>
      <w:tr w:rsidR="00766F76" w:rsidRPr="00EF2AAF" w14:paraId="1356A7E4" w14:textId="77777777" w:rsidTr="00DE39C4">
        <w:trPr>
          <w:trHeight w:val="312"/>
        </w:trPr>
        <w:tc>
          <w:tcPr>
            <w:tcW w:w="623" w:type="pct"/>
            <w:vAlign w:val="center"/>
          </w:tcPr>
          <w:p w14:paraId="014AB75F" w14:textId="77777777" w:rsidR="00766F76" w:rsidRPr="00EF2AAF" w:rsidRDefault="00766F76" w:rsidP="00F85FFE">
            <w:pPr>
              <w:spacing w:after="0"/>
              <w:rPr>
                <w:rFonts w:cs="Gisha"/>
                <w:bCs/>
                <w:color w:val="000000"/>
              </w:rPr>
            </w:pPr>
            <w:r>
              <w:rPr>
                <w:rFonts w:cs="Gisha"/>
                <w:bCs/>
                <w:color w:val="000000"/>
              </w:rPr>
              <w:t>DQSS</w:t>
            </w:r>
          </w:p>
        </w:tc>
        <w:tc>
          <w:tcPr>
            <w:tcW w:w="158" w:type="pct"/>
            <w:vAlign w:val="center"/>
          </w:tcPr>
          <w:p w14:paraId="2A695C01" w14:textId="77777777" w:rsidR="00766F76" w:rsidRPr="00EF2AAF" w:rsidRDefault="00766F76" w:rsidP="00F85FFE">
            <w:pPr>
              <w:spacing w:after="0"/>
              <w:rPr>
                <w:rFonts w:cs="Gisha"/>
                <w:color w:val="000000"/>
              </w:rPr>
            </w:pPr>
            <w:r>
              <w:rPr>
                <w:rFonts w:cs="Gisha"/>
                <w:color w:val="000000"/>
              </w:rPr>
              <w:t>:</w:t>
            </w:r>
          </w:p>
        </w:tc>
        <w:tc>
          <w:tcPr>
            <w:tcW w:w="4219" w:type="pct"/>
            <w:vAlign w:val="center"/>
          </w:tcPr>
          <w:p w14:paraId="26FB5773" w14:textId="77777777" w:rsidR="00766F76" w:rsidRPr="00EF2AAF" w:rsidRDefault="00766F76" w:rsidP="00F85FFE">
            <w:pPr>
              <w:spacing w:after="0"/>
              <w:rPr>
                <w:rFonts w:cs="Gisha"/>
                <w:color w:val="000000"/>
              </w:rPr>
            </w:pPr>
            <w:r w:rsidRPr="008D32AF">
              <w:rPr>
                <w:rFonts w:ascii="Arial Narrow" w:hAnsi="Arial Narrow" w:cs="Arial"/>
                <w:szCs w:val="24"/>
              </w:rPr>
              <w:t>Direction de la qualité des soins et de la sécurité des patients</w:t>
            </w:r>
          </w:p>
        </w:tc>
      </w:tr>
      <w:tr w:rsidR="00F85FFE" w:rsidRPr="00EF2AAF" w14:paraId="79BC5F01" w14:textId="77777777" w:rsidTr="00DE39C4">
        <w:trPr>
          <w:trHeight w:val="312"/>
        </w:trPr>
        <w:tc>
          <w:tcPr>
            <w:tcW w:w="623" w:type="pct"/>
            <w:vAlign w:val="center"/>
          </w:tcPr>
          <w:p w14:paraId="7E738E22" w14:textId="77777777" w:rsidR="00F85FFE" w:rsidRPr="00EF2AAF" w:rsidRDefault="00F85FFE" w:rsidP="00F85FFE">
            <w:pPr>
              <w:spacing w:after="0"/>
              <w:rPr>
                <w:rFonts w:cs="Gisha"/>
                <w:bCs/>
                <w:color w:val="000000"/>
              </w:rPr>
            </w:pPr>
            <w:r w:rsidRPr="00EF2AAF">
              <w:rPr>
                <w:rFonts w:cs="Gisha"/>
                <w:bCs/>
                <w:color w:val="000000"/>
              </w:rPr>
              <w:t>DRS</w:t>
            </w:r>
          </w:p>
        </w:tc>
        <w:tc>
          <w:tcPr>
            <w:tcW w:w="158" w:type="pct"/>
            <w:vAlign w:val="center"/>
          </w:tcPr>
          <w:p w14:paraId="3220AEAB"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2AD99F2E" w14:textId="77777777" w:rsidR="00F85FFE" w:rsidRPr="00EF2AAF" w:rsidRDefault="00F85FFE" w:rsidP="00F85FFE">
            <w:pPr>
              <w:spacing w:after="0"/>
              <w:rPr>
                <w:rFonts w:cs="Gisha"/>
                <w:color w:val="000000"/>
              </w:rPr>
            </w:pPr>
            <w:r w:rsidRPr="00EF2AAF">
              <w:rPr>
                <w:rFonts w:cs="Gisha"/>
                <w:color w:val="000000"/>
              </w:rPr>
              <w:t>Direction régionale de santé</w:t>
            </w:r>
          </w:p>
        </w:tc>
      </w:tr>
      <w:tr w:rsidR="00F85FFE" w:rsidRPr="00EF2AAF" w14:paraId="0A1C6299" w14:textId="77777777" w:rsidTr="00DE39C4">
        <w:trPr>
          <w:trHeight w:val="312"/>
        </w:trPr>
        <w:tc>
          <w:tcPr>
            <w:tcW w:w="623" w:type="pct"/>
            <w:shd w:val="clear" w:color="auto" w:fill="auto"/>
            <w:vAlign w:val="center"/>
          </w:tcPr>
          <w:p w14:paraId="4A95AB83" w14:textId="77777777" w:rsidR="00F85FFE" w:rsidRPr="00EF2AAF" w:rsidRDefault="00F85FFE" w:rsidP="00F85FFE">
            <w:pPr>
              <w:spacing w:after="0"/>
              <w:rPr>
                <w:rFonts w:cs="Gisha"/>
                <w:bCs/>
                <w:color w:val="000000"/>
              </w:rPr>
            </w:pPr>
            <w:r w:rsidRPr="00EF2AAF">
              <w:rPr>
                <w:rFonts w:cs="Gisha"/>
                <w:bCs/>
                <w:color w:val="000000"/>
              </w:rPr>
              <w:t>DSF</w:t>
            </w:r>
          </w:p>
        </w:tc>
        <w:tc>
          <w:tcPr>
            <w:tcW w:w="158" w:type="pct"/>
            <w:vAlign w:val="center"/>
          </w:tcPr>
          <w:p w14:paraId="6AE1AE0F"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6EDF5DBF" w14:textId="77777777" w:rsidR="00F85FFE" w:rsidRPr="00EF2AAF" w:rsidRDefault="00F85FFE" w:rsidP="00F85FFE">
            <w:pPr>
              <w:spacing w:after="0"/>
              <w:rPr>
                <w:rFonts w:cs="Gisha"/>
                <w:color w:val="000000"/>
              </w:rPr>
            </w:pPr>
            <w:r w:rsidRPr="00EF2AAF">
              <w:rPr>
                <w:rFonts w:cs="Gisha"/>
                <w:color w:val="000000"/>
              </w:rPr>
              <w:t>Direction de la santé de la famille</w:t>
            </w:r>
          </w:p>
        </w:tc>
      </w:tr>
      <w:tr w:rsidR="00F85FFE" w:rsidRPr="00EF2AAF" w14:paraId="47093566" w14:textId="77777777" w:rsidTr="00DE39C4">
        <w:trPr>
          <w:trHeight w:val="312"/>
        </w:trPr>
        <w:tc>
          <w:tcPr>
            <w:tcW w:w="623" w:type="pct"/>
            <w:shd w:val="clear" w:color="auto" w:fill="auto"/>
            <w:vAlign w:val="center"/>
          </w:tcPr>
          <w:p w14:paraId="7DFF44F2" w14:textId="77777777" w:rsidR="00F85FFE" w:rsidRPr="00EF2AAF" w:rsidRDefault="00F85FFE" w:rsidP="00F85FFE">
            <w:pPr>
              <w:spacing w:after="0"/>
              <w:rPr>
                <w:rFonts w:cs="Gisha"/>
                <w:bCs/>
                <w:color w:val="000000"/>
              </w:rPr>
            </w:pPr>
            <w:r w:rsidRPr="00EF2AAF">
              <w:rPr>
                <w:rFonts w:cs="Gisha"/>
                <w:bCs/>
                <w:color w:val="000000"/>
              </w:rPr>
              <w:t>DSITS</w:t>
            </w:r>
          </w:p>
        </w:tc>
        <w:tc>
          <w:tcPr>
            <w:tcW w:w="158" w:type="pct"/>
            <w:vAlign w:val="center"/>
          </w:tcPr>
          <w:p w14:paraId="4504EF0D"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6953985E" w14:textId="77777777" w:rsidR="00F85FFE" w:rsidRPr="00EF2AAF" w:rsidRDefault="00F85FFE" w:rsidP="00F85FFE">
            <w:pPr>
              <w:spacing w:after="0"/>
              <w:rPr>
                <w:rFonts w:cs="Gisha"/>
                <w:color w:val="000000"/>
              </w:rPr>
            </w:pPr>
            <w:r w:rsidRPr="00EF2AAF">
              <w:rPr>
                <w:rFonts w:cs="Gisha"/>
                <w:color w:val="000000"/>
              </w:rPr>
              <w:t>Direction des services informatiques et de la télésanté</w:t>
            </w:r>
          </w:p>
        </w:tc>
      </w:tr>
      <w:tr w:rsidR="00F85FFE" w:rsidRPr="00EF2AAF" w14:paraId="267B564D" w14:textId="77777777" w:rsidTr="00DE39C4">
        <w:trPr>
          <w:trHeight w:val="312"/>
        </w:trPr>
        <w:tc>
          <w:tcPr>
            <w:tcW w:w="623" w:type="pct"/>
            <w:shd w:val="clear" w:color="auto" w:fill="auto"/>
            <w:vAlign w:val="center"/>
          </w:tcPr>
          <w:p w14:paraId="47526F6F" w14:textId="77777777" w:rsidR="00F85FFE" w:rsidRPr="00EF2AAF" w:rsidRDefault="00F85FFE" w:rsidP="00F85FFE">
            <w:pPr>
              <w:spacing w:after="0"/>
              <w:rPr>
                <w:rFonts w:cs="Gisha"/>
                <w:bCs/>
                <w:color w:val="000000"/>
              </w:rPr>
            </w:pPr>
            <w:r w:rsidRPr="00EF2AAF">
              <w:rPr>
                <w:rFonts w:cs="Gisha"/>
                <w:lang w:bidi="en-US"/>
              </w:rPr>
              <w:t>ECD</w:t>
            </w:r>
          </w:p>
        </w:tc>
        <w:tc>
          <w:tcPr>
            <w:tcW w:w="158" w:type="pct"/>
            <w:vAlign w:val="center"/>
          </w:tcPr>
          <w:p w14:paraId="4089C5F3"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007BBFD7" w14:textId="77777777" w:rsidR="00F85FFE" w:rsidRPr="00EF2AAF" w:rsidRDefault="00F85FFE" w:rsidP="00F85FFE">
            <w:pPr>
              <w:spacing w:after="0"/>
              <w:rPr>
                <w:rFonts w:cs="Gisha"/>
                <w:color w:val="000000"/>
              </w:rPr>
            </w:pPr>
            <w:r w:rsidRPr="00EF2AAF">
              <w:rPr>
                <w:rFonts w:cs="Gisha"/>
                <w:color w:val="000000"/>
              </w:rPr>
              <w:t>Equipe cadre de district</w:t>
            </w:r>
          </w:p>
        </w:tc>
      </w:tr>
      <w:tr w:rsidR="00F85FFE" w:rsidRPr="00EF2AAF" w14:paraId="06AB1EC9" w14:textId="77777777" w:rsidTr="00DE39C4">
        <w:trPr>
          <w:trHeight w:val="312"/>
        </w:trPr>
        <w:tc>
          <w:tcPr>
            <w:tcW w:w="623" w:type="pct"/>
            <w:vAlign w:val="center"/>
          </w:tcPr>
          <w:p w14:paraId="64AA8E7B" w14:textId="77777777" w:rsidR="00F85FFE" w:rsidRPr="00EF2AAF" w:rsidRDefault="00F85FFE" w:rsidP="00F85FFE">
            <w:pPr>
              <w:spacing w:after="0"/>
              <w:rPr>
                <w:rFonts w:cs="Gisha"/>
                <w:bCs/>
                <w:color w:val="000000"/>
              </w:rPr>
            </w:pPr>
            <w:r w:rsidRPr="00EF2AAF">
              <w:rPr>
                <w:rFonts w:cs="Gisha"/>
                <w:bCs/>
                <w:color w:val="000000"/>
              </w:rPr>
              <w:t>EDS</w:t>
            </w:r>
          </w:p>
        </w:tc>
        <w:tc>
          <w:tcPr>
            <w:tcW w:w="158" w:type="pct"/>
            <w:vAlign w:val="center"/>
          </w:tcPr>
          <w:p w14:paraId="7E28E719"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0236AD83" w14:textId="77777777" w:rsidR="00F85FFE" w:rsidRPr="00EF2AAF" w:rsidRDefault="00F85FFE" w:rsidP="00F85FFE">
            <w:pPr>
              <w:spacing w:after="0"/>
              <w:rPr>
                <w:rFonts w:cs="Gisha"/>
                <w:color w:val="000000"/>
              </w:rPr>
            </w:pPr>
            <w:r w:rsidRPr="00EF2AAF">
              <w:rPr>
                <w:rFonts w:cs="Gisha"/>
                <w:color w:val="000000"/>
              </w:rPr>
              <w:t>Enquête démographique et de santé</w:t>
            </w:r>
          </w:p>
        </w:tc>
      </w:tr>
      <w:tr w:rsidR="00766F76" w:rsidRPr="00EF2AAF" w14:paraId="3CBEFD4A" w14:textId="77777777" w:rsidTr="00DE39C4">
        <w:trPr>
          <w:trHeight w:val="73"/>
        </w:trPr>
        <w:tc>
          <w:tcPr>
            <w:tcW w:w="623" w:type="pct"/>
            <w:vAlign w:val="center"/>
          </w:tcPr>
          <w:p w14:paraId="6DC8AE3B" w14:textId="77777777" w:rsidR="00766F76" w:rsidRDefault="00766F76" w:rsidP="00F85FFE">
            <w:pPr>
              <w:spacing w:after="0"/>
              <w:rPr>
                <w:rFonts w:cs="Gisha"/>
                <w:bCs/>
                <w:color w:val="000000"/>
              </w:rPr>
            </w:pPr>
            <w:r>
              <w:rPr>
                <w:rFonts w:cs="Gisha"/>
                <w:bCs/>
                <w:color w:val="000000"/>
              </w:rPr>
              <w:t>EF</w:t>
            </w:r>
          </w:p>
        </w:tc>
        <w:tc>
          <w:tcPr>
            <w:tcW w:w="158" w:type="pct"/>
            <w:vAlign w:val="center"/>
          </w:tcPr>
          <w:p w14:paraId="46D0FA85" w14:textId="77777777" w:rsidR="00766F76" w:rsidRDefault="00766F76" w:rsidP="00F85FFE">
            <w:pPr>
              <w:spacing w:after="0"/>
              <w:rPr>
                <w:rFonts w:cs="Gisha"/>
                <w:color w:val="000000"/>
              </w:rPr>
            </w:pPr>
            <w:r>
              <w:rPr>
                <w:rFonts w:cs="Gisha"/>
                <w:color w:val="000000"/>
              </w:rPr>
              <w:t>:</w:t>
            </w:r>
          </w:p>
        </w:tc>
        <w:tc>
          <w:tcPr>
            <w:tcW w:w="4219" w:type="pct"/>
            <w:vAlign w:val="center"/>
          </w:tcPr>
          <w:p w14:paraId="5A279D00" w14:textId="77777777" w:rsidR="00766F76" w:rsidRDefault="00766F76" w:rsidP="00F85FFE">
            <w:pPr>
              <w:spacing w:after="0"/>
              <w:rPr>
                <w:rFonts w:cs="Gisha"/>
                <w:color w:val="000000"/>
              </w:rPr>
            </w:pPr>
            <w:r>
              <w:rPr>
                <w:rFonts w:cs="Gisha"/>
                <w:color w:val="000000"/>
              </w:rPr>
              <w:t>Equipe fonctionnelle</w:t>
            </w:r>
          </w:p>
        </w:tc>
      </w:tr>
      <w:tr w:rsidR="00F85FFE" w:rsidRPr="00EF2AAF" w14:paraId="1798FA8F" w14:textId="77777777" w:rsidTr="00DE39C4">
        <w:trPr>
          <w:trHeight w:val="73"/>
        </w:trPr>
        <w:tc>
          <w:tcPr>
            <w:tcW w:w="623" w:type="pct"/>
            <w:vAlign w:val="center"/>
          </w:tcPr>
          <w:p w14:paraId="0607D621" w14:textId="77777777" w:rsidR="00F85FFE" w:rsidRPr="00EF2AAF" w:rsidRDefault="00F85FFE" w:rsidP="00F85FFE">
            <w:pPr>
              <w:spacing w:after="0"/>
              <w:rPr>
                <w:rFonts w:cs="Gisha"/>
                <w:bCs/>
                <w:color w:val="000000"/>
              </w:rPr>
            </w:pPr>
            <w:r>
              <w:rPr>
                <w:rFonts w:cs="Gisha"/>
                <w:bCs/>
                <w:color w:val="000000"/>
              </w:rPr>
              <w:t>ENDOS</w:t>
            </w:r>
          </w:p>
        </w:tc>
        <w:tc>
          <w:tcPr>
            <w:tcW w:w="158" w:type="pct"/>
            <w:vAlign w:val="center"/>
          </w:tcPr>
          <w:p w14:paraId="75AE6615" w14:textId="77777777" w:rsidR="00F85FFE" w:rsidRPr="00EF2AAF" w:rsidRDefault="00F85FFE" w:rsidP="00F85FFE">
            <w:pPr>
              <w:spacing w:after="0"/>
              <w:rPr>
                <w:rFonts w:cs="Gisha"/>
                <w:color w:val="000000"/>
              </w:rPr>
            </w:pPr>
            <w:r>
              <w:rPr>
                <w:rFonts w:cs="Gisha"/>
                <w:color w:val="000000"/>
              </w:rPr>
              <w:t>:</w:t>
            </w:r>
          </w:p>
        </w:tc>
        <w:tc>
          <w:tcPr>
            <w:tcW w:w="4219" w:type="pct"/>
            <w:vAlign w:val="center"/>
          </w:tcPr>
          <w:p w14:paraId="3E8F3960" w14:textId="77777777" w:rsidR="00F85FFE" w:rsidRPr="00EF2AAF" w:rsidRDefault="00F85FFE" w:rsidP="00F85FFE">
            <w:pPr>
              <w:spacing w:after="0"/>
              <w:rPr>
                <w:rFonts w:cs="Gisha"/>
                <w:color w:val="000000"/>
              </w:rPr>
            </w:pPr>
            <w:r>
              <w:rPr>
                <w:rFonts w:cs="Gisha"/>
                <w:color w:val="000000"/>
              </w:rPr>
              <w:t>Entrepôt national des données sanitaires</w:t>
            </w:r>
          </w:p>
        </w:tc>
      </w:tr>
      <w:tr w:rsidR="00F85FFE" w:rsidRPr="00EF2AAF" w14:paraId="35F58BA5" w14:textId="77777777" w:rsidTr="00DE39C4">
        <w:trPr>
          <w:trHeight w:val="73"/>
        </w:trPr>
        <w:tc>
          <w:tcPr>
            <w:tcW w:w="623" w:type="pct"/>
            <w:vAlign w:val="center"/>
          </w:tcPr>
          <w:p w14:paraId="62D0FBE4" w14:textId="77777777" w:rsidR="00F85FFE" w:rsidRPr="00EF2AAF" w:rsidRDefault="00F85FFE" w:rsidP="00F85FFE">
            <w:pPr>
              <w:spacing w:after="0"/>
              <w:rPr>
                <w:rFonts w:cs="Gisha"/>
                <w:bCs/>
                <w:color w:val="000000"/>
              </w:rPr>
            </w:pPr>
            <w:r w:rsidRPr="00EF2AAF">
              <w:rPr>
                <w:rFonts w:cs="Gisha"/>
                <w:bCs/>
                <w:color w:val="000000"/>
              </w:rPr>
              <w:t>ENP</w:t>
            </w:r>
          </w:p>
        </w:tc>
        <w:tc>
          <w:tcPr>
            <w:tcW w:w="158" w:type="pct"/>
            <w:vAlign w:val="center"/>
          </w:tcPr>
          <w:p w14:paraId="065C3FA9"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1C02E41A" w14:textId="77777777" w:rsidR="00F85FFE" w:rsidRPr="00EF2AAF" w:rsidRDefault="00F85FFE" w:rsidP="00F85FFE">
            <w:pPr>
              <w:spacing w:after="0"/>
              <w:rPr>
                <w:rFonts w:cs="Gisha"/>
                <w:color w:val="000000"/>
              </w:rPr>
            </w:pPr>
            <w:r w:rsidRPr="00EF2AAF">
              <w:rPr>
                <w:rFonts w:cs="Gisha"/>
                <w:color w:val="000000"/>
              </w:rPr>
              <w:t>Etude nationale prospective</w:t>
            </w:r>
          </w:p>
        </w:tc>
      </w:tr>
      <w:tr w:rsidR="00F85FFE" w:rsidRPr="00EF2AAF" w14:paraId="3D9E1CA9" w14:textId="77777777" w:rsidTr="00DE39C4">
        <w:trPr>
          <w:trHeight w:val="312"/>
        </w:trPr>
        <w:tc>
          <w:tcPr>
            <w:tcW w:w="623" w:type="pct"/>
            <w:vAlign w:val="center"/>
          </w:tcPr>
          <w:p w14:paraId="27FAF662" w14:textId="77777777" w:rsidR="00F85FFE" w:rsidRPr="00EF2AAF" w:rsidRDefault="00F85FFE" w:rsidP="00F85FFE">
            <w:pPr>
              <w:spacing w:after="0"/>
              <w:rPr>
                <w:rFonts w:cs="Gisha"/>
                <w:bCs/>
                <w:color w:val="000000"/>
              </w:rPr>
            </w:pPr>
            <w:r w:rsidRPr="00EF2AAF">
              <w:rPr>
                <w:rFonts w:cs="Gisha"/>
                <w:bCs/>
                <w:color w:val="000000"/>
              </w:rPr>
              <w:t>ESPS</w:t>
            </w:r>
          </w:p>
        </w:tc>
        <w:tc>
          <w:tcPr>
            <w:tcW w:w="158" w:type="pct"/>
            <w:vAlign w:val="center"/>
          </w:tcPr>
          <w:p w14:paraId="61CAE557"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3FCD2F58" w14:textId="77777777" w:rsidR="00F85FFE" w:rsidRPr="00EF2AAF" w:rsidRDefault="00F85FFE" w:rsidP="00F85FFE">
            <w:pPr>
              <w:spacing w:after="0"/>
              <w:rPr>
                <w:rFonts w:cs="Gisha"/>
                <w:color w:val="000000"/>
              </w:rPr>
            </w:pPr>
            <w:r w:rsidRPr="00EF2AAF">
              <w:rPr>
                <w:rFonts w:cs="Gisha"/>
                <w:color w:val="000000"/>
              </w:rPr>
              <w:t xml:space="preserve">Etablissement sanitaire privé de soins </w:t>
            </w:r>
          </w:p>
        </w:tc>
      </w:tr>
      <w:tr w:rsidR="00B777D9" w:rsidRPr="00EF2AAF" w14:paraId="68224DD3" w14:textId="77777777" w:rsidTr="00DE39C4">
        <w:trPr>
          <w:trHeight w:val="312"/>
        </w:trPr>
        <w:tc>
          <w:tcPr>
            <w:tcW w:w="623" w:type="pct"/>
            <w:vAlign w:val="center"/>
          </w:tcPr>
          <w:p w14:paraId="75BE4320" w14:textId="77777777" w:rsidR="00B777D9" w:rsidRPr="00EF2AAF" w:rsidRDefault="00B777D9" w:rsidP="00F85FFE">
            <w:pPr>
              <w:spacing w:after="0"/>
              <w:rPr>
                <w:rFonts w:cs="Gisha"/>
                <w:bCs/>
                <w:color w:val="000000"/>
              </w:rPr>
            </w:pPr>
            <w:r>
              <w:rPr>
                <w:rFonts w:cs="Gisha"/>
                <w:bCs/>
                <w:color w:val="000000"/>
              </w:rPr>
              <w:t>GASPA</w:t>
            </w:r>
          </w:p>
        </w:tc>
        <w:tc>
          <w:tcPr>
            <w:tcW w:w="158" w:type="pct"/>
            <w:vAlign w:val="center"/>
          </w:tcPr>
          <w:p w14:paraId="1F222A9F" w14:textId="77777777" w:rsidR="00B777D9" w:rsidRPr="00EF2AAF" w:rsidRDefault="00B777D9" w:rsidP="00F85FFE">
            <w:pPr>
              <w:spacing w:after="0"/>
              <w:rPr>
                <w:rFonts w:cs="Gisha"/>
                <w:color w:val="000000"/>
              </w:rPr>
            </w:pPr>
            <w:r>
              <w:rPr>
                <w:rFonts w:cs="Gisha"/>
                <w:color w:val="000000"/>
              </w:rPr>
              <w:t>:</w:t>
            </w:r>
          </w:p>
        </w:tc>
        <w:tc>
          <w:tcPr>
            <w:tcW w:w="4219" w:type="pct"/>
            <w:vAlign w:val="center"/>
          </w:tcPr>
          <w:p w14:paraId="7CC9E34F" w14:textId="77777777" w:rsidR="00B777D9" w:rsidRPr="00B777D9" w:rsidRDefault="00B777D9" w:rsidP="00F85FFE">
            <w:pPr>
              <w:spacing w:after="0"/>
              <w:rPr>
                <w:rFonts w:cs="Gisha"/>
                <w:color w:val="000000"/>
                <w:sz w:val="20"/>
                <w:szCs w:val="20"/>
              </w:rPr>
            </w:pPr>
            <w:r w:rsidRPr="00B777D9">
              <w:rPr>
                <w:rFonts w:ascii="Arial" w:hAnsi="Arial" w:cs="Arial"/>
                <w:sz w:val="20"/>
                <w:szCs w:val="20"/>
              </w:rPr>
              <w:t>Groupes d’Apprentissage de soutien aux pratiques d’ANJE</w:t>
            </w:r>
          </w:p>
        </w:tc>
      </w:tr>
      <w:tr w:rsidR="00F85FFE" w:rsidRPr="00EF2AAF" w14:paraId="4A05A253" w14:textId="77777777" w:rsidTr="00DE39C4">
        <w:trPr>
          <w:trHeight w:val="312"/>
        </w:trPr>
        <w:tc>
          <w:tcPr>
            <w:tcW w:w="623" w:type="pct"/>
            <w:vAlign w:val="center"/>
          </w:tcPr>
          <w:p w14:paraId="071088DF" w14:textId="77777777" w:rsidR="00F85FFE" w:rsidRPr="00EF2AAF" w:rsidRDefault="00F85FFE" w:rsidP="00F85FFE">
            <w:pPr>
              <w:spacing w:after="0"/>
              <w:rPr>
                <w:rFonts w:cs="Gisha"/>
                <w:bCs/>
                <w:color w:val="000000"/>
              </w:rPr>
            </w:pPr>
            <w:r w:rsidRPr="00EF2AAF">
              <w:rPr>
                <w:rFonts w:cs="Gisha"/>
                <w:bCs/>
                <w:color w:val="000000"/>
              </w:rPr>
              <w:t>IDH</w:t>
            </w:r>
          </w:p>
        </w:tc>
        <w:tc>
          <w:tcPr>
            <w:tcW w:w="158" w:type="pct"/>
            <w:vAlign w:val="center"/>
          </w:tcPr>
          <w:p w14:paraId="205F9819"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0E5ABCB2" w14:textId="77777777" w:rsidR="00F85FFE" w:rsidRPr="00EF2AAF" w:rsidRDefault="00F85FFE" w:rsidP="00F85FFE">
            <w:pPr>
              <w:spacing w:after="0"/>
              <w:rPr>
                <w:rFonts w:cs="Gisha"/>
                <w:color w:val="000000"/>
              </w:rPr>
            </w:pPr>
            <w:r w:rsidRPr="00EF2AAF">
              <w:rPr>
                <w:rFonts w:cs="Gisha"/>
                <w:color w:val="000000"/>
              </w:rPr>
              <w:t>Indice de développement humain</w:t>
            </w:r>
          </w:p>
        </w:tc>
      </w:tr>
      <w:tr w:rsidR="00B777D9" w:rsidRPr="00B777D9" w14:paraId="696A1EBF" w14:textId="77777777" w:rsidTr="00DE39C4">
        <w:tblPrEx>
          <w:tblCellMar>
            <w:left w:w="108" w:type="dxa"/>
            <w:right w:w="108" w:type="dxa"/>
          </w:tblCellMar>
        </w:tblPrEx>
        <w:tc>
          <w:tcPr>
            <w:tcW w:w="623" w:type="pct"/>
            <w:hideMark/>
          </w:tcPr>
          <w:p w14:paraId="553123B1" w14:textId="77777777" w:rsidR="00B777D9" w:rsidRPr="00B777D9" w:rsidRDefault="00B777D9" w:rsidP="00B777D9">
            <w:pPr>
              <w:spacing w:after="0" w:line="360" w:lineRule="auto"/>
              <w:jc w:val="both"/>
              <w:rPr>
                <w:rFonts w:cs="Arial"/>
                <w:sz w:val="20"/>
                <w:szCs w:val="20"/>
              </w:rPr>
            </w:pPr>
            <w:r w:rsidRPr="00B777D9">
              <w:rPr>
                <w:rFonts w:cs="Arial"/>
                <w:sz w:val="20"/>
                <w:szCs w:val="20"/>
              </w:rPr>
              <w:t>INSD</w:t>
            </w:r>
          </w:p>
        </w:tc>
        <w:tc>
          <w:tcPr>
            <w:tcW w:w="158" w:type="pct"/>
            <w:hideMark/>
          </w:tcPr>
          <w:p w14:paraId="59331976" w14:textId="77777777" w:rsidR="00B777D9" w:rsidRPr="00B777D9" w:rsidRDefault="00B777D9" w:rsidP="00B777D9">
            <w:pPr>
              <w:spacing w:after="0" w:line="360" w:lineRule="auto"/>
              <w:jc w:val="both"/>
              <w:rPr>
                <w:rFonts w:cs="Arial"/>
                <w:sz w:val="20"/>
                <w:szCs w:val="20"/>
              </w:rPr>
            </w:pPr>
            <w:r w:rsidRPr="00B777D9">
              <w:rPr>
                <w:rFonts w:cs="Arial"/>
                <w:sz w:val="20"/>
                <w:szCs w:val="20"/>
              </w:rPr>
              <w:t>:</w:t>
            </w:r>
          </w:p>
        </w:tc>
        <w:tc>
          <w:tcPr>
            <w:tcW w:w="4219" w:type="pct"/>
            <w:hideMark/>
          </w:tcPr>
          <w:p w14:paraId="1864ADBE" w14:textId="77777777" w:rsidR="00B777D9" w:rsidRPr="00B777D9" w:rsidRDefault="00B777D9" w:rsidP="00B777D9">
            <w:pPr>
              <w:spacing w:after="0" w:line="360" w:lineRule="auto"/>
              <w:jc w:val="both"/>
              <w:rPr>
                <w:rFonts w:cs="Arial"/>
                <w:sz w:val="20"/>
                <w:szCs w:val="20"/>
              </w:rPr>
            </w:pPr>
            <w:r w:rsidRPr="00B777D9">
              <w:rPr>
                <w:rFonts w:cs="Arial"/>
                <w:sz w:val="20"/>
                <w:szCs w:val="20"/>
              </w:rPr>
              <w:t xml:space="preserve">Institut national de la statistique et de la démographie </w:t>
            </w:r>
          </w:p>
        </w:tc>
      </w:tr>
      <w:tr w:rsidR="00F85FFE" w:rsidRPr="00EF2AAF" w14:paraId="01D4CF8E" w14:textId="77777777" w:rsidTr="00DE39C4">
        <w:trPr>
          <w:trHeight w:val="312"/>
        </w:trPr>
        <w:tc>
          <w:tcPr>
            <w:tcW w:w="623" w:type="pct"/>
            <w:vAlign w:val="center"/>
          </w:tcPr>
          <w:p w14:paraId="272A8597" w14:textId="77777777" w:rsidR="00F85FFE" w:rsidRPr="00EF2AAF" w:rsidRDefault="00F85FFE" w:rsidP="00F85FFE">
            <w:pPr>
              <w:spacing w:after="0"/>
              <w:rPr>
                <w:rFonts w:cs="Gisha"/>
                <w:bCs/>
                <w:color w:val="000000"/>
              </w:rPr>
            </w:pPr>
            <w:r w:rsidRPr="00EF2AAF">
              <w:rPr>
                <w:rFonts w:cs="Gisha"/>
                <w:bCs/>
                <w:color w:val="000000"/>
              </w:rPr>
              <w:lastRenderedPageBreak/>
              <w:t>IST</w:t>
            </w:r>
          </w:p>
        </w:tc>
        <w:tc>
          <w:tcPr>
            <w:tcW w:w="158" w:type="pct"/>
            <w:vAlign w:val="center"/>
          </w:tcPr>
          <w:p w14:paraId="2553C387"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1980EB6F" w14:textId="77777777" w:rsidR="00F85FFE" w:rsidRPr="00EF2AAF" w:rsidRDefault="00F85FFE" w:rsidP="00F85FFE">
            <w:pPr>
              <w:spacing w:after="0"/>
              <w:rPr>
                <w:rFonts w:cs="Gisha"/>
                <w:color w:val="000000"/>
              </w:rPr>
            </w:pPr>
            <w:r w:rsidRPr="00EF2AAF">
              <w:rPr>
                <w:rFonts w:cs="Gisha"/>
                <w:color w:val="000000"/>
              </w:rPr>
              <w:t>Infection sexuellement transmissible</w:t>
            </w:r>
          </w:p>
        </w:tc>
      </w:tr>
      <w:tr w:rsidR="00F85FFE" w:rsidRPr="00EF2AAF" w14:paraId="2D993417" w14:textId="77777777" w:rsidTr="00DE39C4">
        <w:trPr>
          <w:trHeight w:val="312"/>
        </w:trPr>
        <w:tc>
          <w:tcPr>
            <w:tcW w:w="623" w:type="pct"/>
            <w:vAlign w:val="center"/>
          </w:tcPr>
          <w:p w14:paraId="5C2B1FF9" w14:textId="77777777" w:rsidR="00F85FFE" w:rsidRPr="00EF2AAF" w:rsidRDefault="00F85FFE" w:rsidP="00F85FFE">
            <w:pPr>
              <w:spacing w:after="0"/>
              <w:rPr>
                <w:rFonts w:cs="Gisha"/>
                <w:bCs/>
                <w:color w:val="000000"/>
              </w:rPr>
            </w:pPr>
            <w:r w:rsidRPr="00EF2AAF">
              <w:rPr>
                <w:rFonts w:cs="Gisha"/>
                <w:bCs/>
                <w:color w:val="000000"/>
              </w:rPr>
              <w:t>MAS</w:t>
            </w:r>
          </w:p>
        </w:tc>
        <w:tc>
          <w:tcPr>
            <w:tcW w:w="158" w:type="pct"/>
            <w:vAlign w:val="center"/>
          </w:tcPr>
          <w:p w14:paraId="7D7685CC"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46F7DAFF" w14:textId="77777777" w:rsidR="00F85FFE" w:rsidRPr="00EF2AAF" w:rsidRDefault="00F85FFE" w:rsidP="00F85FFE">
            <w:pPr>
              <w:spacing w:after="0"/>
              <w:rPr>
                <w:rFonts w:cs="Gisha"/>
                <w:color w:val="000000"/>
              </w:rPr>
            </w:pPr>
            <w:r w:rsidRPr="00EF2AAF">
              <w:rPr>
                <w:rFonts w:cs="Gisha"/>
                <w:color w:val="000000"/>
              </w:rPr>
              <w:t>Malnutrition aigüe sévère</w:t>
            </w:r>
          </w:p>
        </w:tc>
      </w:tr>
      <w:tr w:rsidR="00F85FFE" w:rsidRPr="00EF2AAF" w14:paraId="07D12375" w14:textId="77777777" w:rsidTr="00DE39C4">
        <w:trPr>
          <w:trHeight w:val="312"/>
        </w:trPr>
        <w:tc>
          <w:tcPr>
            <w:tcW w:w="623" w:type="pct"/>
            <w:vAlign w:val="center"/>
          </w:tcPr>
          <w:p w14:paraId="69702CD2" w14:textId="77777777" w:rsidR="00F85FFE" w:rsidRPr="00EF2AAF" w:rsidRDefault="00F85FFE" w:rsidP="00F85FFE">
            <w:pPr>
              <w:spacing w:after="0"/>
              <w:rPr>
                <w:rFonts w:cs="Gisha"/>
                <w:bCs/>
                <w:color w:val="000000"/>
              </w:rPr>
            </w:pPr>
            <w:r w:rsidRPr="00EF2AAF">
              <w:rPr>
                <w:rFonts w:cs="Gisha"/>
                <w:bCs/>
                <w:color w:val="000000"/>
              </w:rPr>
              <w:t>MMR</w:t>
            </w:r>
          </w:p>
        </w:tc>
        <w:tc>
          <w:tcPr>
            <w:tcW w:w="158" w:type="pct"/>
            <w:vAlign w:val="center"/>
          </w:tcPr>
          <w:p w14:paraId="0F7465A9"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7F6CB10C" w14:textId="77777777" w:rsidR="00F85FFE" w:rsidRPr="00EF2AAF" w:rsidRDefault="00F85FFE" w:rsidP="00F85FFE">
            <w:pPr>
              <w:spacing w:after="0"/>
              <w:rPr>
                <w:rFonts w:cs="Gisha"/>
                <w:color w:val="000000"/>
              </w:rPr>
            </w:pPr>
            <w:r w:rsidRPr="00EF2AAF">
              <w:rPr>
                <w:rFonts w:cs="Gisha"/>
                <w:color w:val="000000"/>
              </w:rPr>
              <w:t>Maternité à moindre risque</w:t>
            </w:r>
          </w:p>
        </w:tc>
      </w:tr>
      <w:tr w:rsidR="00F85FFE" w:rsidRPr="00EF2AAF" w14:paraId="0B9439EA" w14:textId="77777777" w:rsidTr="00DE39C4">
        <w:trPr>
          <w:trHeight w:val="312"/>
        </w:trPr>
        <w:tc>
          <w:tcPr>
            <w:tcW w:w="623" w:type="pct"/>
            <w:vAlign w:val="center"/>
          </w:tcPr>
          <w:p w14:paraId="7D49E9FC" w14:textId="77777777" w:rsidR="00F85FFE" w:rsidRPr="00EF2AAF" w:rsidRDefault="00F85FFE" w:rsidP="00F85FFE">
            <w:pPr>
              <w:spacing w:after="0"/>
              <w:rPr>
                <w:rFonts w:cs="Gisha"/>
                <w:bCs/>
                <w:color w:val="000000"/>
              </w:rPr>
            </w:pPr>
            <w:r>
              <w:rPr>
                <w:rFonts w:cs="Gisha"/>
                <w:bCs/>
                <w:color w:val="000000"/>
              </w:rPr>
              <w:t>MS</w:t>
            </w:r>
          </w:p>
        </w:tc>
        <w:tc>
          <w:tcPr>
            <w:tcW w:w="158" w:type="pct"/>
            <w:vAlign w:val="center"/>
          </w:tcPr>
          <w:p w14:paraId="17A26861" w14:textId="77777777" w:rsidR="00F85FFE" w:rsidRPr="00EF2AAF" w:rsidRDefault="00F85FFE" w:rsidP="00F85FFE">
            <w:pPr>
              <w:spacing w:after="0"/>
              <w:rPr>
                <w:rFonts w:cs="Gisha"/>
                <w:color w:val="000000"/>
              </w:rPr>
            </w:pPr>
            <w:r>
              <w:rPr>
                <w:rFonts w:cs="Gisha"/>
                <w:color w:val="000000"/>
              </w:rPr>
              <w:t>:</w:t>
            </w:r>
          </w:p>
        </w:tc>
        <w:tc>
          <w:tcPr>
            <w:tcW w:w="4219" w:type="pct"/>
            <w:vAlign w:val="center"/>
          </w:tcPr>
          <w:p w14:paraId="4C8B0038" w14:textId="77777777" w:rsidR="00F85FFE" w:rsidRPr="00EF2AAF" w:rsidRDefault="00F85FFE" w:rsidP="00F85FFE">
            <w:pPr>
              <w:spacing w:after="0"/>
              <w:rPr>
                <w:rFonts w:cs="Gisha"/>
                <w:color w:val="000000"/>
              </w:rPr>
            </w:pPr>
            <w:r>
              <w:rPr>
                <w:rFonts w:cs="Gisha"/>
                <w:color w:val="000000"/>
              </w:rPr>
              <w:t xml:space="preserve">Ministère de la Santé </w:t>
            </w:r>
          </w:p>
        </w:tc>
      </w:tr>
      <w:tr w:rsidR="00F85FFE" w:rsidRPr="00EF2AAF" w14:paraId="04F0080A" w14:textId="77777777" w:rsidTr="00DE39C4">
        <w:trPr>
          <w:trHeight w:val="312"/>
        </w:trPr>
        <w:tc>
          <w:tcPr>
            <w:tcW w:w="623" w:type="pct"/>
            <w:vAlign w:val="center"/>
          </w:tcPr>
          <w:p w14:paraId="507E8A1E" w14:textId="77777777" w:rsidR="00F85FFE" w:rsidRPr="00EF2AAF" w:rsidRDefault="00F85FFE" w:rsidP="00F85FFE">
            <w:pPr>
              <w:spacing w:after="0"/>
              <w:rPr>
                <w:rFonts w:cs="Gisha"/>
                <w:bCs/>
                <w:color w:val="000000"/>
              </w:rPr>
            </w:pPr>
            <w:r w:rsidRPr="00EF2AAF">
              <w:rPr>
                <w:rFonts w:cs="Gisha"/>
                <w:bCs/>
                <w:color w:val="000000"/>
              </w:rPr>
              <w:t>OBC</w:t>
            </w:r>
          </w:p>
        </w:tc>
        <w:tc>
          <w:tcPr>
            <w:tcW w:w="158" w:type="pct"/>
            <w:vAlign w:val="center"/>
          </w:tcPr>
          <w:p w14:paraId="21857F03"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19664EF7" w14:textId="77777777" w:rsidR="00F85FFE" w:rsidRPr="00EF2AAF" w:rsidRDefault="00F85FFE" w:rsidP="00F85FFE">
            <w:pPr>
              <w:spacing w:after="0"/>
              <w:rPr>
                <w:rFonts w:cs="Gisha"/>
                <w:color w:val="000000"/>
              </w:rPr>
            </w:pPr>
            <w:r w:rsidRPr="00EF2AAF">
              <w:rPr>
                <w:rFonts w:cs="Gisha"/>
                <w:color w:val="000000"/>
              </w:rPr>
              <w:t>Organisation à base communautaire</w:t>
            </w:r>
          </w:p>
        </w:tc>
      </w:tr>
      <w:tr w:rsidR="00F85FFE" w:rsidRPr="00EF2AAF" w14:paraId="2D655D82" w14:textId="77777777" w:rsidTr="00DE39C4">
        <w:trPr>
          <w:trHeight w:val="312"/>
        </w:trPr>
        <w:tc>
          <w:tcPr>
            <w:tcW w:w="623" w:type="pct"/>
            <w:vAlign w:val="center"/>
          </w:tcPr>
          <w:p w14:paraId="077124DA" w14:textId="77777777" w:rsidR="00F85FFE" w:rsidRPr="00EF2AAF" w:rsidRDefault="00F85FFE" w:rsidP="00F85FFE">
            <w:pPr>
              <w:spacing w:after="0"/>
              <w:rPr>
                <w:rFonts w:cs="Gisha"/>
                <w:bCs/>
                <w:color w:val="000000"/>
              </w:rPr>
            </w:pPr>
            <w:r>
              <w:rPr>
                <w:rFonts w:cs="Gisha"/>
                <w:bCs/>
                <w:color w:val="000000"/>
              </w:rPr>
              <w:t>ODD</w:t>
            </w:r>
          </w:p>
        </w:tc>
        <w:tc>
          <w:tcPr>
            <w:tcW w:w="158" w:type="pct"/>
            <w:vAlign w:val="center"/>
          </w:tcPr>
          <w:p w14:paraId="1A9F8209" w14:textId="77777777" w:rsidR="00F85FFE" w:rsidRPr="00EF2AAF" w:rsidRDefault="00F85FFE" w:rsidP="00F85FFE">
            <w:pPr>
              <w:spacing w:after="0"/>
              <w:rPr>
                <w:rFonts w:cs="Gisha"/>
                <w:color w:val="000000"/>
              </w:rPr>
            </w:pPr>
            <w:r>
              <w:rPr>
                <w:rFonts w:cs="Gisha"/>
                <w:color w:val="000000"/>
              </w:rPr>
              <w:t>:</w:t>
            </w:r>
          </w:p>
        </w:tc>
        <w:tc>
          <w:tcPr>
            <w:tcW w:w="4219" w:type="pct"/>
            <w:vAlign w:val="center"/>
          </w:tcPr>
          <w:p w14:paraId="744C47A4" w14:textId="77777777" w:rsidR="00F85FFE" w:rsidRPr="00EF2AAF" w:rsidRDefault="00F85FFE" w:rsidP="00F85FFE">
            <w:pPr>
              <w:spacing w:after="0"/>
              <w:rPr>
                <w:rFonts w:cs="Gisha"/>
                <w:color w:val="000000"/>
              </w:rPr>
            </w:pPr>
            <w:r>
              <w:rPr>
                <w:rFonts w:cs="Gisha"/>
                <w:color w:val="000000"/>
              </w:rPr>
              <w:t>Objectif de développement durable</w:t>
            </w:r>
          </w:p>
        </w:tc>
      </w:tr>
      <w:tr w:rsidR="00F85FFE" w:rsidRPr="00EF2AAF" w14:paraId="0C237B1D" w14:textId="77777777" w:rsidTr="00DE39C4">
        <w:trPr>
          <w:trHeight w:val="312"/>
        </w:trPr>
        <w:tc>
          <w:tcPr>
            <w:tcW w:w="623" w:type="pct"/>
            <w:vAlign w:val="center"/>
          </w:tcPr>
          <w:p w14:paraId="24C112AE" w14:textId="77777777" w:rsidR="00F85FFE" w:rsidRPr="00EF2AAF" w:rsidRDefault="00F85FFE" w:rsidP="00F85FFE">
            <w:pPr>
              <w:spacing w:after="0"/>
              <w:rPr>
                <w:rFonts w:cs="Gisha"/>
                <w:bCs/>
                <w:color w:val="000000"/>
              </w:rPr>
            </w:pPr>
            <w:r w:rsidRPr="00EF2AAF">
              <w:rPr>
                <w:rFonts w:cs="Gisha"/>
                <w:bCs/>
                <w:color w:val="000000"/>
              </w:rPr>
              <w:t>OMD</w:t>
            </w:r>
          </w:p>
        </w:tc>
        <w:tc>
          <w:tcPr>
            <w:tcW w:w="158" w:type="pct"/>
            <w:vAlign w:val="center"/>
          </w:tcPr>
          <w:p w14:paraId="1DF65782"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0E87D5D8" w14:textId="77777777" w:rsidR="00F85FFE" w:rsidRPr="00EF2AAF" w:rsidRDefault="00F85FFE" w:rsidP="00F85FFE">
            <w:pPr>
              <w:spacing w:after="0"/>
              <w:rPr>
                <w:rFonts w:cs="Gisha"/>
                <w:color w:val="000000"/>
              </w:rPr>
            </w:pPr>
            <w:r w:rsidRPr="00EF2AAF">
              <w:rPr>
                <w:rFonts w:cs="Gisha"/>
                <w:color w:val="000000"/>
              </w:rPr>
              <w:t xml:space="preserve">Objectif du millénaire pour </w:t>
            </w:r>
            <w:r w:rsidR="00766F76" w:rsidRPr="00EF2AAF">
              <w:rPr>
                <w:rFonts w:cs="Gisha"/>
                <w:color w:val="000000"/>
              </w:rPr>
              <w:t>le développement</w:t>
            </w:r>
          </w:p>
        </w:tc>
      </w:tr>
      <w:tr w:rsidR="00F85FFE" w:rsidRPr="00EF2AAF" w14:paraId="26403791" w14:textId="77777777" w:rsidTr="00DE39C4">
        <w:trPr>
          <w:trHeight w:val="312"/>
        </w:trPr>
        <w:tc>
          <w:tcPr>
            <w:tcW w:w="623" w:type="pct"/>
            <w:vAlign w:val="center"/>
          </w:tcPr>
          <w:p w14:paraId="4836D17D" w14:textId="77777777" w:rsidR="00F85FFE" w:rsidRPr="00EF2AAF" w:rsidRDefault="00F85FFE" w:rsidP="00F85FFE">
            <w:pPr>
              <w:spacing w:after="0"/>
              <w:rPr>
                <w:rFonts w:cs="Gisha"/>
                <w:bCs/>
                <w:color w:val="000000"/>
              </w:rPr>
            </w:pPr>
            <w:r w:rsidRPr="00EF2AAF">
              <w:rPr>
                <w:rFonts w:cs="Gisha"/>
                <w:bCs/>
                <w:color w:val="000000"/>
              </w:rPr>
              <w:t>OMS</w:t>
            </w:r>
          </w:p>
        </w:tc>
        <w:tc>
          <w:tcPr>
            <w:tcW w:w="158" w:type="pct"/>
            <w:vAlign w:val="center"/>
          </w:tcPr>
          <w:p w14:paraId="7A0F8CF6"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419FB06E" w14:textId="77777777" w:rsidR="00F85FFE" w:rsidRPr="00EF2AAF" w:rsidRDefault="00F85FFE" w:rsidP="00F85FFE">
            <w:pPr>
              <w:spacing w:after="0"/>
              <w:rPr>
                <w:rFonts w:cs="Gisha"/>
                <w:color w:val="000000"/>
              </w:rPr>
            </w:pPr>
            <w:r w:rsidRPr="00EF2AAF">
              <w:rPr>
                <w:rFonts w:cs="Gisha"/>
                <w:color w:val="000000"/>
              </w:rPr>
              <w:t>Organisation mondiale de la santé</w:t>
            </w:r>
          </w:p>
        </w:tc>
      </w:tr>
      <w:tr w:rsidR="00F85FFE" w:rsidRPr="00EF2AAF" w14:paraId="23A2EDF4" w14:textId="77777777" w:rsidTr="00DE39C4">
        <w:trPr>
          <w:trHeight w:val="312"/>
        </w:trPr>
        <w:tc>
          <w:tcPr>
            <w:tcW w:w="623" w:type="pct"/>
            <w:vAlign w:val="center"/>
          </w:tcPr>
          <w:p w14:paraId="08A073B8" w14:textId="77777777" w:rsidR="00F85FFE" w:rsidRPr="00EF2AAF" w:rsidRDefault="00F85FFE" w:rsidP="00F85FFE">
            <w:pPr>
              <w:spacing w:after="0"/>
              <w:rPr>
                <w:rFonts w:cs="Gisha"/>
                <w:bCs/>
                <w:color w:val="000000"/>
              </w:rPr>
            </w:pPr>
            <w:r w:rsidRPr="00EF2AAF">
              <w:rPr>
                <w:rFonts w:cs="Gisha"/>
                <w:bCs/>
                <w:color w:val="000000"/>
              </w:rPr>
              <w:t>ONG</w:t>
            </w:r>
          </w:p>
        </w:tc>
        <w:tc>
          <w:tcPr>
            <w:tcW w:w="158" w:type="pct"/>
            <w:vAlign w:val="center"/>
          </w:tcPr>
          <w:p w14:paraId="0E841C9C"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7D4A3A13" w14:textId="77777777" w:rsidR="00F85FFE" w:rsidRPr="00EF2AAF" w:rsidRDefault="00F85FFE" w:rsidP="00F85FFE">
            <w:pPr>
              <w:spacing w:after="0"/>
              <w:rPr>
                <w:rFonts w:cs="Gisha"/>
                <w:color w:val="000000"/>
              </w:rPr>
            </w:pPr>
            <w:r w:rsidRPr="00EF2AAF">
              <w:rPr>
                <w:rFonts w:cs="Gisha"/>
                <w:color w:val="000000"/>
              </w:rPr>
              <w:t>Organisation non gouvernementale</w:t>
            </w:r>
          </w:p>
        </w:tc>
      </w:tr>
      <w:tr w:rsidR="00F85FFE" w:rsidRPr="00EF2AAF" w14:paraId="3CFA64F7" w14:textId="77777777" w:rsidTr="00DE39C4">
        <w:trPr>
          <w:trHeight w:val="312"/>
        </w:trPr>
        <w:tc>
          <w:tcPr>
            <w:tcW w:w="623" w:type="pct"/>
            <w:vAlign w:val="center"/>
          </w:tcPr>
          <w:p w14:paraId="3C8F77A4" w14:textId="77777777" w:rsidR="00F85FFE" w:rsidRPr="00EF2AAF" w:rsidRDefault="00F85FFE" w:rsidP="00F85FFE">
            <w:pPr>
              <w:spacing w:after="0"/>
              <w:rPr>
                <w:rFonts w:cs="Gisha"/>
                <w:bCs/>
                <w:color w:val="000000"/>
              </w:rPr>
            </w:pPr>
            <w:r>
              <w:rPr>
                <w:rFonts w:cs="Gisha"/>
                <w:bCs/>
                <w:color w:val="000000"/>
              </w:rPr>
              <w:t>PCA</w:t>
            </w:r>
          </w:p>
        </w:tc>
        <w:tc>
          <w:tcPr>
            <w:tcW w:w="158" w:type="pct"/>
            <w:vAlign w:val="center"/>
          </w:tcPr>
          <w:p w14:paraId="66EDABC9" w14:textId="77777777" w:rsidR="00F85FFE" w:rsidRPr="00EF2AAF" w:rsidRDefault="00F85FFE" w:rsidP="00F85FFE">
            <w:pPr>
              <w:spacing w:after="0"/>
              <w:rPr>
                <w:rFonts w:cs="Gisha"/>
                <w:color w:val="000000"/>
              </w:rPr>
            </w:pPr>
            <w:r>
              <w:rPr>
                <w:rFonts w:cs="Gisha"/>
                <w:color w:val="000000"/>
              </w:rPr>
              <w:t>:</w:t>
            </w:r>
          </w:p>
        </w:tc>
        <w:tc>
          <w:tcPr>
            <w:tcW w:w="4219" w:type="pct"/>
            <w:vAlign w:val="center"/>
          </w:tcPr>
          <w:p w14:paraId="46E43CB9" w14:textId="77777777" w:rsidR="00F85FFE" w:rsidRPr="00EF2AAF" w:rsidRDefault="00F85FFE" w:rsidP="00F85FFE">
            <w:pPr>
              <w:spacing w:after="0"/>
              <w:rPr>
                <w:rFonts w:cs="Gisha"/>
                <w:color w:val="000000"/>
              </w:rPr>
            </w:pPr>
            <w:r>
              <w:rPr>
                <w:rFonts w:cs="Gisha"/>
                <w:color w:val="000000"/>
              </w:rPr>
              <w:t xml:space="preserve">Paquet complémentaire d’activités </w:t>
            </w:r>
          </w:p>
        </w:tc>
      </w:tr>
      <w:tr w:rsidR="00F85FFE" w:rsidRPr="00EF2AAF" w14:paraId="381C31A5" w14:textId="77777777" w:rsidTr="00DE39C4">
        <w:trPr>
          <w:trHeight w:val="312"/>
        </w:trPr>
        <w:tc>
          <w:tcPr>
            <w:tcW w:w="623" w:type="pct"/>
            <w:vAlign w:val="center"/>
          </w:tcPr>
          <w:p w14:paraId="6D0036D0" w14:textId="77777777" w:rsidR="00F85FFE" w:rsidRPr="00EF2AAF" w:rsidRDefault="00F85FFE" w:rsidP="00F85FFE">
            <w:pPr>
              <w:spacing w:after="0"/>
              <w:rPr>
                <w:rFonts w:cs="Gisha"/>
                <w:bCs/>
                <w:color w:val="000000"/>
              </w:rPr>
            </w:pPr>
            <w:r w:rsidRPr="00EF2AAF">
              <w:rPr>
                <w:rFonts w:cs="Gisha"/>
                <w:bCs/>
                <w:color w:val="000000"/>
              </w:rPr>
              <w:t>PCIME</w:t>
            </w:r>
          </w:p>
        </w:tc>
        <w:tc>
          <w:tcPr>
            <w:tcW w:w="158" w:type="pct"/>
            <w:vAlign w:val="center"/>
          </w:tcPr>
          <w:p w14:paraId="3C43B6A9"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0CC336DB" w14:textId="77777777" w:rsidR="00F85FFE" w:rsidRPr="00EF2AAF" w:rsidRDefault="00F85FFE" w:rsidP="00F85FFE">
            <w:pPr>
              <w:spacing w:after="0"/>
              <w:rPr>
                <w:rFonts w:cs="Gisha"/>
                <w:color w:val="000000"/>
              </w:rPr>
            </w:pPr>
            <w:r w:rsidRPr="00EF2AAF">
              <w:rPr>
                <w:rFonts w:cs="Gisha"/>
                <w:color w:val="000000"/>
              </w:rPr>
              <w:t>Prise en charge intégrée des maladies de l’enfant</w:t>
            </w:r>
          </w:p>
        </w:tc>
      </w:tr>
      <w:tr w:rsidR="00F85FFE" w:rsidRPr="00EF2AAF" w14:paraId="0B899514" w14:textId="77777777" w:rsidTr="00DE39C4">
        <w:trPr>
          <w:trHeight w:val="312"/>
        </w:trPr>
        <w:tc>
          <w:tcPr>
            <w:tcW w:w="623" w:type="pct"/>
            <w:shd w:val="clear" w:color="auto" w:fill="auto"/>
            <w:vAlign w:val="center"/>
          </w:tcPr>
          <w:p w14:paraId="2CA968B9" w14:textId="77777777" w:rsidR="00F85FFE" w:rsidRPr="00EF2AAF" w:rsidRDefault="00F85FFE" w:rsidP="00F85FFE">
            <w:pPr>
              <w:spacing w:after="0"/>
              <w:rPr>
                <w:rFonts w:cs="Gisha"/>
                <w:bCs/>
                <w:color w:val="000000"/>
              </w:rPr>
            </w:pPr>
            <w:r w:rsidRPr="00EF2AAF">
              <w:rPr>
                <w:rFonts w:cs="Gisha"/>
                <w:lang w:bidi="en-US"/>
              </w:rPr>
              <w:t>PCMAS</w:t>
            </w:r>
          </w:p>
        </w:tc>
        <w:tc>
          <w:tcPr>
            <w:tcW w:w="158" w:type="pct"/>
            <w:vAlign w:val="center"/>
          </w:tcPr>
          <w:p w14:paraId="7A235C9E"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39A50A51" w14:textId="77777777" w:rsidR="00F85FFE" w:rsidRPr="00EF2AAF" w:rsidRDefault="00F85FFE" w:rsidP="00F85FFE">
            <w:pPr>
              <w:spacing w:after="0"/>
              <w:rPr>
                <w:rFonts w:cs="Gisha"/>
                <w:color w:val="000000"/>
              </w:rPr>
            </w:pPr>
            <w:r w:rsidRPr="00EF2AAF">
              <w:rPr>
                <w:rFonts w:cs="Gisha"/>
                <w:lang w:bidi="en-US"/>
              </w:rPr>
              <w:t>Prise en charge communautaire de la malnutrition aigüe sévère</w:t>
            </w:r>
          </w:p>
        </w:tc>
      </w:tr>
      <w:tr w:rsidR="00F85FFE" w:rsidRPr="00EF2AAF" w14:paraId="4FD14708" w14:textId="77777777" w:rsidTr="00DE39C4">
        <w:trPr>
          <w:trHeight w:val="312"/>
        </w:trPr>
        <w:tc>
          <w:tcPr>
            <w:tcW w:w="623" w:type="pct"/>
            <w:vAlign w:val="center"/>
          </w:tcPr>
          <w:p w14:paraId="3828D6F7" w14:textId="77777777" w:rsidR="00F85FFE" w:rsidRPr="00EF2AAF" w:rsidRDefault="00F85FFE" w:rsidP="00F85FFE">
            <w:pPr>
              <w:spacing w:after="0"/>
              <w:rPr>
                <w:rFonts w:cs="Gisha"/>
                <w:bCs/>
                <w:color w:val="000000"/>
              </w:rPr>
            </w:pPr>
            <w:r w:rsidRPr="00EF2AAF">
              <w:rPr>
                <w:rFonts w:cs="Gisha"/>
                <w:bCs/>
                <w:color w:val="000000"/>
              </w:rPr>
              <w:t>PECADO</w:t>
            </w:r>
          </w:p>
        </w:tc>
        <w:tc>
          <w:tcPr>
            <w:tcW w:w="158" w:type="pct"/>
            <w:vAlign w:val="center"/>
          </w:tcPr>
          <w:p w14:paraId="11CB8C23"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48CBDC5A" w14:textId="77777777" w:rsidR="00F85FFE" w:rsidRPr="00EF2AAF" w:rsidRDefault="00F85FFE" w:rsidP="00F85FFE">
            <w:pPr>
              <w:spacing w:after="0"/>
              <w:rPr>
                <w:rFonts w:cs="Gisha"/>
                <w:color w:val="000000"/>
              </w:rPr>
            </w:pPr>
            <w:r w:rsidRPr="00EF2AAF">
              <w:rPr>
                <w:rFonts w:cs="Gisha"/>
                <w:color w:val="000000"/>
              </w:rPr>
              <w:t>Prise en charge du paludisme à domicile</w:t>
            </w:r>
          </w:p>
        </w:tc>
      </w:tr>
      <w:tr w:rsidR="00F85FFE" w:rsidRPr="00EF2AAF" w14:paraId="774339AF" w14:textId="77777777" w:rsidTr="00DE39C4">
        <w:trPr>
          <w:trHeight w:val="312"/>
        </w:trPr>
        <w:tc>
          <w:tcPr>
            <w:tcW w:w="623" w:type="pct"/>
            <w:vAlign w:val="center"/>
          </w:tcPr>
          <w:p w14:paraId="2A9ECBAF" w14:textId="77777777" w:rsidR="00F85FFE" w:rsidRPr="00EF2AAF" w:rsidRDefault="00F85FFE" w:rsidP="00F85FFE">
            <w:pPr>
              <w:spacing w:after="0"/>
              <w:rPr>
                <w:rFonts w:cs="Gisha"/>
                <w:bCs/>
                <w:color w:val="000000"/>
              </w:rPr>
            </w:pPr>
            <w:r w:rsidRPr="00EF2AAF">
              <w:rPr>
                <w:rFonts w:cs="Gisha"/>
                <w:bCs/>
                <w:color w:val="000000"/>
              </w:rPr>
              <w:t>PMA</w:t>
            </w:r>
          </w:p>
        </w:tc>
        <w:tc>
          <w:tcPr>
            <w:tcW w:w="158" w:type="pct"/>
            <w:vAlign w:val="center"/>
          </w:tcPr>
          <w:p w14:paraId="28F8C0E2"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6A0C5C71" w14:textId="77777777" w:rsidR="00F85FFE" w:rsidRPr="00EF2AAF" w:rsidRDefault="00F85FFE" w:rsidP="00F85FFE">
            <w:pPr>
              <w:spacing w:after="0"/>
              <w:rPr>
                <w:rFonts w:cs="Gisha"/>
                <w:color w:val="000000"/>
              </w:rPr>
            </w:pPr>
            <w:r w:rsidRPr="00EF2AAF">
              <w:rPr>
                <w:rFonts w:cs="Gisha"/>
                <w:color w:val="000000"/>
              </w:rPr>
              <w:t>Paquet minimum d’activités</w:t>
            </w:r>
          </w:p>
        </w:tc>
      </w:tr>
      <w:tr w:rsidR="00F85FFE" w:rsidRPr="00EF2AAF" w14:paraId="7BBCE43B" w14:textId="77777777" w:rsidTr="00DE39C4">
        <w:trPr>
          <w:trHeight w:val="312"/>
        </w:trPr>
        <w:tc>
          <w:tcPr>
            <w:tcW w:w="623" w:type="pct"/>
            <w:vAlign w:val="center"/>
          </w:tcPr>
          <w:p w14:paraId="6908D839" w14:textId="77777777" w:rsidR="00F85FFE" w:rsidRPr="00EF2AAF" w:rsidRDefault="00F85FFE" w:rsidP="00F85FFE">
            <w:pPr>
              <w:spacing w:after="0"/>
              <w:rPr>
                <w:rFonts w:cs="Gisha"/>
                <w:bCs/>
                <w:color w:val="000000"/>
              </w:rPr>
            </w:pPr>
            <w:r w:rsidRPr="00EF2AAF">
              <w:rPr>
                <w:rFonts w:cs="Gisha"/>
                <w:bCs/>
                <w:color w:val="000000"/>
              </w:rPr>
              <w:t>PNDS</w:t>
            </w:r>
          </w:p>
        </w:tc>
        <w:tc>
          <w:tcPr>
            <w:tcW w:w="158" w:type="pct"/>
            <w:vAlign w:val="center"/>
          </w:tcPr>
          <w:p w14:paraId="135BE10B"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46D530C6" w14:textId="77777777" w:rsidR="00F85FFE" w:rsidRPr="00EF2AAF" w:rsidRDefault="00F85FFE" w:rsidP="00F85FFE">
            <w:pPr>
              <w:spacing w:after="0"/>
              <w:rPr>
                <w:rFonts w:cs="Gisha"/>
                <w:color w:val="000000"/>
              </w:rPr>
            </w:pPr>
            <w:r w:rsidRPr="00EF2AAF">
              <w:rPr>
                <w:rFonts w:cs="Gisha"/>
                <w:color w:val="000000"/>
              </w:rPr>
              <w:t>Plan national de développement sanitaire</w:t>
            </w:r>
          </w:p>
        </w:tc>
      </w:tr>
      <w:tr w:rsidR="00F85FFE" w:rsidRPr="00EF2AAF" w14:paraId="30965B30" w14:textId="77777777" w:rsidTr="00DE39C4">
        <w:trPr>
          <w:trHeight w:val="312"/>
        </w:trPr>
        <w:tc>
          <w:tcPr>
            <w:tcW w:w="623" w:type="pct"/>
            <w:shd w:val="clear" w:color="auto" w:fill="auto"/>
            <w:vAlign w:val="center"/>
          </w:tcPr>
          <w:p w14:paraId="188CB681" w14:textId="77777777" w:rsidR="00F85FFE" w:rsidRPr="00EF2AAF" w:rsidRDefault="00F85FFE" w:rsidP="00F85FFE">
            <w:pPr>
              <w:spacing w:after="0"/>
              <w:rPr>
                <w:rFonts w:cs="Gisha"/>
                <w:bCs/>
                <w:color w:val="000000"/>
              </w:rPr>
            </w:pPr>
            <w:r w:rsidRPr="00EF2AAF">
              <w:rPr>
                <w:rFonts w:cs="Gisha"/>
                <w:bCs/>
                <w:color w:val="000000"/>
              </w:rPr>
              <w:t>PNLP</w:t>
            </w:r>
          </w:p>
        </w:tc>
        <w:tc>
          <w:tcPr>
            <w:tcW w:w="158" w:type="pct"/>
            <w:vAlign w:val="center"/>
          </w:tcPr>
          <w:p w14:paraId="69422B22"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2A7DA101" w14:textId="77777777" w:rsidR="00F85FFE" w:rsidRPr="00EF2AAF" w:rsidRDefault="00F85FFE" w:rsidP="00F85FFE">
            <w:pPr>
              <w:spacing w:after="0"/>
              <w:rPr>
                <w:rFonts w:cs="Gisha"/>
                <w:color w:val="000000"/>
              </w:rPr>
            </w:pPr>
            <w:r w:rsidRPr="00EF2AAF">
              <w:rPr>
                <w:rFonts w:cs="Gisha"/>
                <w:color w:val="000000"/>
              </w:rPr>
              <w:t xml:space="preserve">Programme national de lutte contre le paludisme </w:t>
            </w:r>
          </w:p>
        </w:tc>
      </w:tr>
      <w:tr w:rsidR="00F85FFE" w:rsidRPr="00EF2AAF" w14:paraId="36D280C7" w14:textId="77777777" w:rsidTr="00DE39C4">
        <w:trPr>
          <w:trHeight w:val="312"/>
        </w:trPr>
        <w:tc>
          <w:tcPr>
            <w:tcW w:w="623" w:type="pct"/>
            <w:shd w:val="clear" w:color="auto" w:fill="auto"/>
            <w:vAlign w:val="center"/>
          </w:tcPr>
          <w:p w14:paraId="13350048" w14:textId="77777777" w:rsidR="00F85FFE" w:rsidRPr="00EF2AAF" w:rsidRDefault="00F85FFE" w:rsidP="00F85FFE">
            <w:pPr>
              <w:spacing w:after="0"/>
              <w:rPr>
                <w:rFonts w:cs="Gisha"/>
                <w:bCs/>
                <w:color w:val="000000"/>
              </w:rPr>
            </w:pPr>
            <w:r w:rsidRPr="00EF2AAF">
              <w:rPr>
                <w:rFonts w:cs="Gisha"/>
                <w:bCs/>
                <w:color w:val="000000"/>
              </w:rPr>
              <w:t>PNMNT</w:t>
            </w:r>
          </w:p>
        </w:tc>
        <w:tc>
          <w:tcPr>
            <w:tcW w:w="158" w:type="pct"/>
            <w:vAlign w:val="center"/>
          </w:tcPr>
          <w:p w14:paraId="73587457"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23741190" w14:textId="77777777" w:rsidR="00F85FFE" w:rsidRPr="00EF2AAF" w:rsidRDefault="00F85FFE" w:rsidP="00F85FFE">
            <w:pPr>
              <w:spacing w:after="0"/>
              <w:rPr>
                <w:rFonts w:cs="Gisha"/>
                <w:color w:val="000000"/>
              </w:rPr>
            </w:pPr>
            <w:r w:rsidRPr="00EF2AAF">
              <w:rPr>
                <w:rFonts w:cs="Gisha"/>
                <w:color w:val="000000"/>
              </w:rPr>
              <w:t>Programme national de lutte contre les maladies non transmissibles</w:t>
            </w:r>
          </w:p>
        </w:tc>
      </w:tr>
      <w:tr w:rsidR="00F85FFE" w:rsidRPr="00EF2AAF" w14:paraId="21E988A7" w14:textId="77777777" w:rsidTr="00DE39C4">
        <w:trPr>
          <w:trHeight w:val="312"/>
        </w:trPr>
        <w:tc>
          <w:tcPr>
            <w:tcW w:w="623" w:type="pct"/>
            <w:shd w:val="clear" w:color="auto" w:fill="auto"/>
            <w:vAlign w:val="center"/>
          </w:tcPr>
          <w:p w14:paraId="44A3265D" w14:textId="77777777" w:rsidR="00F85FFE" w:rsidRPr="00EF2AAF" w:rsidRDefault="00F85FFE" w:rsidP="00F85FFE">
            <w:pPr>
              <w:spacing w:after="0"/>
              <w:rPr>
                <w:rFonts w:cs="Gisha"/>
                <w:bCs/>
                <w:color w:val="000000"/>
              </w:rPr>
            </w:pPr>
            <w:r w:rsidRPr="00EF2AAF">
              <w:rPr>
                <w:rFonts w:cs="Gisha"/>
                <w:bCs/>
                <w:color w:val="000000"/>
              </w:rPr>
              <w:t>PNMTN</w:t>
            </w:r>
          </w:p>
        </w:tc>
        <w:tc>
          <w:tcPr>
            <w:tcW w:w="158" w:type="pct"/>
            <w:vAlign w:val="center"/>
          </w:tcPr>
          <w:p w14:paraId="42038FFB"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1DB773FE" w14:textId="77777777" w:rsidR="00F85FFE" w:rsidRPr="00EF2AAF" w:rsidRDefault="00F85FFE" w:rsidP="00F85FFE">
            <w:pPr>
              <w:spacing w:after="0"/>
              <w:rPr>
                <w:rFonts w:cs="Gisha"/>
                <w:color w:val="000000"/>
              </w:rPr>
            </w:pPr>
            <w:r w:rsidRPr="00EF2AAF">
              <w:rPr>
                <w:rFonts w:cs="Gisha"/>
                <w:color w:val="000000"/>
              </w:rPr>
              <w:t>Programme national de lutte contre les maladies tropicales négligées</w:t>
            </w:r>
          </w:p>
        </w:tc>
      </w:tr>
      <w:tr w:rsidR="00F85FFE" w:rsidRPr="00EF2AAF" w14:paraId="453A471E" w14:textId="77777777" w:rsidTr="00DE39C4">
        <w:trPr>
          <w:trHeight w:val="70"/>
        </w:trPr>
        <w:tc>
          <w:tcPr>
            <w:tcW w:w="623" w:type="pct"/>
            <w:vAlign w:val="center"/>
          </w:tcPr>
          <w:p w14:paraId="172C3D0C" w14:textId="77777777" w:rsidR="00F85FFE" w:rsidRPr="00EF2AAF" w:rsidRDefault="00F85FFE" w:rsidP="00F85FFE">
            <w:pPr>
              <w:spacing w:after="0"/>
              <w:rPr>
                <w:rFonts w:cs="Gisha"/>
                <w:bCs/>
                <w:color w:val="000000"/>
              </w:rPr>
            </w:pPr>
            <w:r w:rsidRPr="00EF2AAF">
              <w:rPr>
                <w:rFonts w:cs="Gisha"/>
                <w:bCs/>
                <w:color w:val="000000"/>
              </w:rPr>
              <w:t>PNS</w:t>
            </w:r>
          </w:p>
        </w:tc>
        <w:tc>
          <w:tcPr>
            <w:tcW w:w="158" w:type="pct"/>
            <w:vAlign w:val="center"/>
          </w:tcPr>
          <w:p w14:paraId="172EA8B0"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740A2BAB" w14:textId="77777777" w:rsidR="00F85FFE" w:rsidRPr="00EF2AAF" w:rsidRDefault="00F85FFE" w:rsidP="00F85FFE">
            <w:pPr>
              <w:spacing w:after="0"/>
              <w:rPr>
                <w:rFonts w:cs="Gisha"/>
              </w:rPr>
            </w:pPr>
            <w:r w:rsidRPr="00EF2AAF">
              <w:rPr>
                <w:rFonts w:cs="Gisha"/>
              </w:rPr>
              <w:t xml:space="preserve">Politique nationale de santé </w:t>
            </w:r>
          </w:p>
        </w:tc>
      </w:tr>
      <w:tr w:rsidR="00F85FFE" w:rsidRPr="00EF2AAF" w14:paraId="24E0350A" w14:textId="77777777" w:rsidTr="00DE39C4">
        <w:trPr>
          <w:trHeight w:val="312"/>
        </w:trPr>
        <w:tc>
          <w:tcPr>
            <w:tcW w:w="623" w:type="pct"/>
            <w:shd w:val="clear" w:color="auto" w:fill="auto"/>
            <w:vAlign w:val="center"/>
          </w:tcPr>
          <w:p w14:paraId="67C71772" w14:textId="77777777" w:rsidR="00F85FFE" w:rsidRPr="00EF2AAF" w:rsidRDefault="00F85FFE" w:rsidP="00F85FFE">
            <w:pPr>
              <w:spacing w:after="0"/>
              <w:rPr>
                <w:rFonts w:cs="Gisha"/>
                <w:bCs/>
                <w:color w:val="000000"/>
              </w:rPr>
            </w:pPr>
            <w:r w:rsidRPr="00EF2AAF">
              <w:rPr>
                <w:rFonts w:cs="Gisha"/>
                <w:bCs/>
                <w:color w:val="000000"/>
              </w:rPr>
              <w:t>PNT</w:t>
            </w:r>
          </w:p>
        </w:tc>
        <w:tc>
          <w:tcPr>
            <w:tcW w:w="158" w:type="pct"/>
            <w:vAlign w:val="center"/>
          </w:tcPr>
          <w:p w14:paraId="5BDB708A"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0C794F34" w14:textId="77777777" w:rsidR="00F85FFE" w:rsidRPr="00EF2AAF" w:rsidRDefault="00F85FFE" w:rsidP="00F85FFE">
            <w:pPr>
              <w:spacing w:after="0"/>
              <w:rPr>
                <w:rFonts w:cs="Gisha"/>
                <w:color w:val="000000"/>
              </w:rPr>
            </w:pPr>
            <w:r w:rsidRPr="00EF2AAF">
              <w:rPr>
                <w:rFonts w:cs="Gisha"/>
                <w:color w:val="000000"/>
              </w:rPr>
              <w:t>Programme national de lutte contre la tuberculose</w:t>
            </w:r>
          </w:p>
        </w:tc>
      </w:tr>
      <w:tr w:rsidR="00F85FFE" w:rsidRPr="00EF2AAF" w14:paraId="5EC2A785" w14:textId="77777777" w:rsidTr="00DE39C4">
        <w:trPr>
          <w:trHeight w:val="312"/>
        </w:trPr>
        <w:tc>
          <w:tcPr>
            <w:tcW w:w="623" w:type="pct"/>
            <w:shd w:val="clear" w:color="auto" w:fill="auto"/>
            <w:vAlign w:val="center"/>
          </w:tcPr>
          <w:p w14:paraId="485F8E7C" w14:textId="77777777" w:rsidR="00F85FFE" w:rsidRPr="00EF2AAF" w:rsidRDefault="00F85FFE" w:rsidP="00F85FFE">
            <w:pPr>
              <w:spacing w:after="0"/>
              <w:rPr>
                <w:rFonts w:cs="Gisha"/>
                <w:bCs/>
                <w:color w:val="000000"/>
              </w:rPr>
            </w:pPr>
            <w:r w:rsidRPr="00EF2AAF">
              <w:rPr>
                <w:rFonts w:cs="Gisha"/>
                <w:bCs/>
                <w:color w:val="000000"/>
              </w:rPr>
              <w:t>PSSLS</w:t>
            </w:r>
          </w:p>
        </w:tc>
        <w:tc>
          <w:tcPr>
            <w:tcW w:w="158" w:type="pct"/>
            <w:vAlign w:val="center"/>
          </w:tcPr>
          <w:p w14:paraId="14E9FA53"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6F34FC5E" w14:textId="77777777" w:rsidR="00F85FFE" w:rsidRPr="00EF2AAF" w:rsidRDefault="00F85FFE" w:rsidP="00F85FFE">
            <w:pPr>
              <w:spacing w:after="0"/>
              <w:rPr>
                <w:rFonts w:cs="Gisha"/>
                <w:color w:val="000000"/>
              </w:rPr>
            </w:pPr>
            <w:r>
              <w:rPr>
                <w:rFonts w:cs="Gisha"/>
                <w:color w:val="000000"/>
              </w:rPr>
              <w:t>P</w:t>
            </w:r>
            <w:r w:rsidRPr="00EF2AAF">
              <w:rPr>
                <w:rFonts w:cs="Gisha"/>
                <w:color w:val="000000"/>
              </w:rPr>
              <w:t xml:space="preserve">rogramme sectoriel santé de lutte contre le VIH/SIDA/IST </w:t>
            </w:r>
          </w:p>
        </w:tc>
      </w:tr>
      <w:tr w:rsidR="00F85FFE" w:rsidRPr="00EF2AAF" w14:paraId="7E2CDC5F" w14:textId="77777777" w:rsidTr="00DE39C4">
        <w:trPr>
          <w:trHeight w:val="119"/>
        </w:trPr>
        <w:tc>
          <w:tcPr>
            <w:tcW w:w="623" w:type="pct"/>
            <w:shd w:val="clear" w:color="auto" w:fill="auto"/>
            <w:vAlign w:val="center"/>
          </w:tcPr>
          <w:p w14:paraId="6CA17F71" w14:textId="77777777" w:rsidR="00F85FFE" w:rsidRPr="00EF2AAF" w:rsidRDefault="00F85FFE" w:rsidP="00F85FFE">
            <w:pPr>
              <w:spacing w:after="0"/>
              <w:rPr>
                <w:rFonts w:cs="Gisha"/>
              </w:rPr>
            </w:pPr>
            <w:r w:rsidRPr="00EF2AAF">
              <w:rPr>
                <w:rFonts w:cs="Gisha"/>
              </w:rPr>
              <w:t>PTF</w:t>
            </w:r>
          </w:p>
        </w:tc>
        <w:tc>
          <w:tcPr>
            <w:tcW w:w="158" w:type="pct"/>
            <w:vAlign w:val="center"/>
          </w:tcPr>
          <w:p w14:paraId="0AA301FF" w14:textId="77777777" w:rsidR="00F85FFE" w:rsidRPr="00EF2AAF" w:rsidRDefault="00F85FFE" w:rsidP="00F85FFE">
            <w:pPr>
              <w:spacing w:after="0"/>
              <w:rPr>
                <w:rFonts w:cs="Gisha"/>
                <w:color w:val="000000"/>
              </w:rPr>
            </w:pPr>
            <w:r w:rsidRPr="00EF2AAF">
              <w:rPr>
                <w:rFonts w:cs="Gisha"/>
                <w:color w:val="000000"/>
              </w:rPr>
              <w:t>:</w:t>
            </w:r>
          </w:p>
        </w:tc>
        <w:tc>
          <w:tcPr>
            <w:tcW w:w="4219" w:type="pct"/>
            <w:shd w:val="clear" w:color="auto" w:fill="auto"/>
            <w:vAlign w:val="center"/>
          </w:tcPr>
          <w:p w14:paraId="2A905580" w14:textId="77777777" w:rsidR="00F85FFE" w:rsidRPr="00EF2AAF" w:rsidRDefault="00F85FFE" w:rsidP="00F85FFE">
            <w:pPr>
              <w:spacing w:after="0"/>
              <w:rPr>
                <w:rFonts w:cs="Gisha"/>
              </w:rPr>
            </w:pPr>
            <w:r>
              <w:rPr>
                <w:rFonts w:cs="Gisha"/>
              </w:rPr>
              <w:t>Partenaire technique</w:t>
            </w:r>
            <w:r w:rsidRPr="00EF2AAF">
              <w:rPr>
                <w:rFonts w:cs="Gisha"/>
              </w:rPr>
              <w:t xml:space="preserve"> et financier</w:t>
            </w:r>
          </w:p>
        </w:tc>
      </w:tr>
      <w:tr w:rsidR="00F85FFE" w:rsidRPr="00EF2AAF" w14:paraId="26D5AEC8" w14:textId="77777777" w:rsidTr="00DE39C4">
        <w:trPr>
          <w:trHeight w:val="312"/>
        </w:trPr>
        <w:tc>
          <w:tcPr>
            <w:tcW w:w="623" w:type="pct"/>
            <w:vAlign w:val="center"/>
          </w:tcPr>
          <w:p w14:paraId="1A0F36A7" w14:textId="77777777" w:rsidR="00F85FFE" w:rsidRPr="00EF2AAF" w:rsidRDefault="00F85FFE" w:rsidP="00F85FFE">
            <w:pPr>
              <w:spacing w:after="0"/>
              <w:rPr>
                <w:rFonts w:cs="Gisha"/>
                <w:bCs/>
                <w:color w:val="000000"/>
              </w:rPr>
            </w:pPr>
            <w:r w:rsidRPr="00EF2AAF">
              <w:rPr>
                <w:rFonts w:cs="Gisha"/>
                <w:bCs/>
                <w:color w:val="000000"/>
              </w:rPr>
              <w:t>PTME</w:t>
            </w:r>
          </w:p>
        </w:tc>
        <w:tc>
          <w:tcPr>
            <w:tcW w:w="158" w:type="pct"/>
            <w:vAlign w:val="center"/>
          </w:tcPr>
          <w:p w14:paraId="54B06E2C"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0F7F6F18" w14:textId="77777777" w:rsidR="00F85FFE" w:rsidRPr="00EF2AAF" w:rsidRDefault="00F85FFE" w:rsidP="00F85FFE">
            <w:pPr>
              <w:spacing w:after="0"/>
              <w:rPr>
                <w:rFonts w:cs="Gisha"/>
                <w:color w:val="000000"/>
              </w:rPr>
            </w:pPr>
            <w:r w:rsidRPr="00EF2AAF">
              <w:rPr>
                <w:rFonts w:cs="Gisha"/>
                <w:color w:val="000000"/>
              </w:rPr>
              <w:t>Prévention de la transmission mère-enfant</w:t>
            </w:r>
          </w:p>
        </w:tc>
      </w:tr>
      <w:tr w:rsidR="00F85FFE" w:rsidRPr="00EF2AAF" w14:paraId="59BA4123" w14:textId="77777777" w:rsidTr="00DE39C4">
        <w:trPr>
          <w:trHeight w:val="312"/>
        </w:trPr>
        <w:tc>
          <w:tcPr>
            <w:tcW w:w="623" w:type="pct"/>
            <w:vAlign w:val="center"/>
          </w:tcPr>
          <w:p w14:paraId="6E9EF7EF" w14:textId="77777777" w:rsidR="00F85FFE" w:rsidRPr="00EF2AAF" w:rsidRDefault="00F85FFE" w:rsidP="00F85FFE">
            <w:pPr>
              <w:spacing w:after="0"/>
              <w:rPr>
                <w:rFonts w:cs="Gisha"/>
                <w:bCs/>
                <w:color w:val="000000"/>
              </w:rPr>
            </w:pPr>
            <w:r w:rsidRPr="00EF2AAF">
              <w:rPr>
                <w:rFonts w:cs="Gisha"/>
                <w:bCs/>
                <w:color w:val="000000"/>
              </w:rPr>
              <w:t>PVVIH</w:t>
            </w:r>
          </w:p>
        </w:tc>
        <w:tc>
          <w:tcPr>
            <w:tcW w:w="158" w:type="pct"/>
            <w:vAlign w:val="center"/>
          </w:tcPr>
          <w:p w14:paraId="639A7E63"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38EF91D4" w14:textId="77777777" w:rsidR="00F85FFE" w:rsidRPr="00EF2AAF" w:rsidRDefault="00F85FFE" w:rsidP="00F85FFE">
            <w:pPr>
              <w:spacing w:after="0"/>
              <w:rPr>
                <w:rFonts w:cs="Gisha"/>
                <w:color w:val="000000"/>
              </w:rPr>
            </w:pPr>
            <w:r w:rsidRPr="00EF2AAF">
              <w:rPr>
                <w:rFonts w:cs="Gisha"/>
                <w:color w:val="000000"/>
              </w:rPr>
              <w:t>Personne vivant avec le VIH</w:t>
            </w:r>
          </w:p>
        </w:tc>
      </w:tr>
      <w:tr w:rsidR="00F85FFE" w:rsidRPr="00EF2AAF" w14:paraId="12F90BBA" w14:textId="77777777" w:rsidTr="00DE39C4">
        <w:trPr>
          <w:trHeight w:val="312"/>
        </w:trPr>
        <w:tc>
          <w:tcPr>
            <w:tcW w:w="623" w:type="pct"/>
            <w:vAlign w:val="center"/>
          </w:tcPr>
          <w:p w14:paraId="5961D4B9" w14:textId="77777777" w:rsidR="00F85FFE" w:rsidRPr="00EF2AAF" w:rsidRDefault="00F85FFE" w:rsidP="00F85FFE">
            <w:pPr>
              <w:spacing w:after="0"/>
              <w:rPr>
                <w:rFonts w:cs="Gisha"/>
                <w:bCs/>
                <w:color w:val="000000"/>
              </w:rPr>
            </w:pPr>
            <w:r w:rsidRPr="00EF2AAF">
              <w:rPr>
                <w:rFonts w:cs="Gisha"/>
                <w:bCs/>
                <w:color w:val="000000"/>
              </w:rPr>
              <w:t>RGPH</w:t>
            </w:r>
          </w:p>
        </w:tc>
        <w:tc>
          <w:tcPr>
            <w:tcW w:w="158" w:type="pct"/>
            <w:vAlign w:val="center"/>
          </w:tcPr>
          <w:p w14:paraId="192AA476"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13F401E3" w14:textId="77777777" w:rsidR="00F85FFE" w:rsidRPr="00EF2AAF" w:rsidRDefault="00F85FFE" w:rsidP="00F85FFE">
            <w:pPr>
              <w:spacing w:after="0"/>
              <w:rPr>
                <w:rFonts w:cs="Gisha"/>
                <w:color w:val="000000"/>
              </w:rPr>
            </w:pPr>
            <w:r w:rsidRPr="00EF2AAF">
              <w:rPr>
                <w:rFonts w:cs="Gisha"/>
                <w:color w:val="000000"/>
              </w:rPr>
              <w:t>Recensement général de la population et de l’habitat</w:t>
            </w:r>
          </w:p>
        </w:tc>
      </w:tr>
      <w:tr w:rsidR="00F85FFE" w:rsidRPr="00EF2AAF" w14:paraId="5479A3E1" w14:textId="77777777" w:rsidTr="00DE39C4">
        <w:trPr>
          <w:trHeight w:val="312"/>
        </w:trPr>
        <w:tc>
          <w:tcPr>
            <w:tcW w:w="623" w:type="pct"/>
            <w:vAlign w:val="center"/>
          </w:tcPr>
          <w:p w14:paraId="7743A320" w14:textId="77777777" w:rsidR="00F85FFE" w:rsidRPr="00EF2AAF" w:rsidRDefault="00F85FFE" w:rsidP="00F85FFE">
            <w:pPr>
              <w:spacing w:after="0"/>
              <w:rPr>
                <w:rFonts w:cs="Gisha"/>
                <w:bCs/>
                <w:color w:val="000000"/>
              </w:rPr>
            </w:pPr>
            <w:r w:rsidRPr="00EF2AAF">
              <w:rPr>
                <w:rFonts w:cs="Gisha"/>
                <w:bCs/>
                <w:color w:val="000000"/>
              </w:rPr>
              <w:t>RHS</w:t>
            </w:r>
          </w:p>
        </w:tc>
        <w:tc>
          <w:tcPr>
            <w:tcW w:w="158" w:type="pct"/>
            <w:vAlign w:val="center"/>
          </w:tcPr>
          <w:p w14:paraId="78D60A8B"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465F6384" w14:textId="77777777" w:rsidR="00F85FFE" w:rsidRPr="00EF2AAF" w:rsidRDefault="00F85FFE" w:rsidP="00F85FFE">
            <w:pPr>
              <w:spacing w:after="0"/>
              <w:rPr>
                <w:rFonts w:cs="Gisha"/>
                <w:color w:val="000000"/>
              </w:rPr>
            </w:pPr>
            <w:r w:rsidRPr="00EF2AAF">
              <w:rPr>
                <w:rFonts w:cs="Gisha"/>
                <w:color w:val="000000"/>
              </w:rPr>
              <w:t>Ressources humaines en santé</w:t>
            </w:r>
          </w:p>
        </w:tc>
      </w:tr>
      <w:tr w:rsidR="00F85FFE" w:rsidRPr="00EF2AAF" w14:paraId="5FF03C0A" w14:textId="77777777" w:rsidTr="00DE39C4">
        <w:trPr>
          <w:trHeight w:val="312"/>
        </w:trPr>
        <w:tc>
          <w:tcPr>
            <w:tcW w:w="623" w:type="pct"/>
            <w:vAlign w:val="center"/>
          </w:tcPr>
          <w:p w14:paraId="5990E247" w14:textId="77777777" w:rsidR="00F85FFE" w:rsidRPr="00EF2AAF" w:rsidRDefault="00F85FFE" w:rsidP="00F85FFE">
            <w:pPr>
              <w:spacing w:after="0"/>
              <w:rPr>
                <w:rFonts w:cs="Gisha"/>
                <w:bCs/>
                <w:color w:val="000000"/>
              </w:rPr>
            </w:pPr>
            <w:r w:rsidRPr="00EF2AAF">
              <w:rPr>
                <w:rFonts w:cs="Gisha"/>
                <w:bCs/>
                <w:color w:val="000000"/>
              </w:rPr>
              <w:t>RSI </w:t>
            </w:r>
          </w:p>
        </w:tc>
        <w:tc>
          <w:tcPr>
            <w:tcW w:w="158" w:type="pct"/>
            <w:vAlign w:val="center"/>
          </w:tcPr>
          <w:p w14:paraId="26459B15"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575B2D93" w14:textId="77777777" w:rsidR="00F85FFE" w:rsidRPr="00EF2AAF" w:rsidRDefault="00F85FFE" w:rsidP="00F85FFE">
            <w:pPr>
              <w:spacing w:after="0"/>
              <w:rPr>
                <w:rFonts w:cs="Gisha"/>
                <w:color w:val="000000"/>
              </w:rPr>
            </w:pPr>
            <w:r>
              <w:rPr>
                <w:rFonts w:cs="Gisha"/>
                <w:color w:val="000000"/>
              </w:rPr>
              <w:t>R</w:t>
            </w:r>
            <w:r w:rsidRPr="00EF2AAF">
              <w:rPr>
                <w:rFonts w:cs="Gisha"/>
                <w:color w:val="000000"/>
              </w:rPr>
              <w:t xml:space="preserve">èglement sanitaire international </w:t>
            </w:r>
          </w:p>
        </w:tc>
      </w:tr>
      <w:tr w:rsidR="00F85FFE" w:rsidRPr="00EF2AAF" w14:paraId="70B6FE2B" w14:textId="77777777" w:rsidTr="00DE39C4">
        <w:trPr>
          <w:trHeight w:val="312"/>
        </w:trPr>
        <w:tc>
          <w:tcPr>
            <w:tcW w:w="623" w:type="pct"/>
            <w:vAlign w:val="center"/>
          </w:tcPr>
          <w:p w14:paraId="1E3C2B18" w14:textId="77777777" w:rsidR="00F85FFE" w:rsidRPr="00EF2AAF" w:rsidRDefault="00F85FFE" w:rsidP="00F85FFE">
            <w:pPr>
              <w:spacing w:after="0"/>
              <w:rPr>
                <w:rFonts w:cs="Gisha"/>
                <w:bCs/>
                <w:color w:val="000000"/>
              </w:rPr>
            </w:pPr>
            <w:r w:rsidRPr="00EF2AAF">
              <w:rPr>
                <w:rFonts w:cs="Gisha"/>
                <w:bCs/>
                <w:color w:val="000000"/>
              </w:rPr>
              <w:t>SCADD</w:t>
            </w:r>
          </w:p>
        </w:tc>
        <w:tc>
          <w:tcPr>
            <w:tcW w:w="158" w:type="pct"/>
            <w:vAlign w:val="center"/>
          </w:tcPr>
          <w:p w14:paraId="054DFAEF"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1BA053AE" w14:textId="77777777" w:rsidR="00F85FFE" w:rsidRPr="00EF2AAF" w:rsidRDefault="00F85FFE" w:rsidP="00F85FFE">
            <w:pPr>
              <w:spacing w:after="0"/>
              <w:rPr>
                <w:rFonts w:cs="Gisha"/>
                <w:color w:val="000000"/>
              </w:rPr>
            </w:pPr>
            <w:r w:rsidRPr="00EF2AAF">
              <w:rPr>
                <w:rFonts w:cs="Gisha"/>
                <w:color w:val="000000"/>
              </w:rPr>
              <w:t>Stratégie de croissance accélérée pour le développement durable</w:t>
            </w:r>
          </w:p>
        </w:tc>
      </w:tr>
      <w:tr w:rsidR="00F85FFE" w:rsidRPr="00EF2AAF" w14:paraId="5C14147F" w14:textId="77777777" w:rsidTr="00DE39C4">
        <w:trPr>
          <w:trHeight w:val="312"/>
        </w:trPr>
        <w:tc>
          <w:tcPr>
            <w:tcW w:w="623" w:type="pct"/>
            <w:vAlign w:val="center"/>
          </w:tcPr>
          <w:p w14:paraId="3741AE29" w14:textId="77777777" w:rsidR="00F85FFE" w:rsidRPr="00EF2AAF" w:rsidRDefault="00F85FFE" w:rsidP="00F85FFE">
            <w:pPr>
              <w:spacing w:after="0"/>
              <w:rPr>
                <w:rFonts w:cs="Gisha"/>
                <w:bCs/>
                <w:color w:val="000000"/>
              </w:rPr>
            </w:pPr>
            <w:r w:rsidRPr="00EF2AAF">
              <w:rPr>
                <w:rFonts w:cs="Gisha"/>
                <w:bCs/>
                <w:color w:val="000000"/>
              </w:rPr>
              <w:t>SNIS</w:t>
            </w:r>
          </w:p>
        </w:tc>
        <w:tc>
          <w:tcPr>
            <w:tcW w:w="158" w:type="pct"/>
            <w:vAlign w:val="center"/>
          </w:tcPr>
          <w:p w14:paraId="6DC31C28"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711C0C63" w14:textId="77777777" w:rsidR="00F85FFE" w:rsidRPr="00EF2AAF" w:rsidRDefault="00F85FFE" w:rsidP="00F85FFE">
            <w:pPr>
              <w:spacing w:after="0"/>
              <w:rPr>
                <w:rFonts w:cs="Gisha"/>
                <w:color w:val="000000"/>
              </w:rPr>
            </w:pPr>
            <w:r w:rsidRPr="00EF2AAF">
              <w:rPr>
                <w:rFonts w:cs="Gisha"/>
                <w:color w:val="000000"/>
              </w:rPr>
              <w:t>Système national d’information sanitaire</w:t>
            </w:r>
          </w:p>
        </w:tc>
      </w:tr>
      <w:tr w:rsidR="00F85FFE" w:rsidRPr="00EF2AAF" w14:paraId="125FBAE3" w14:textId="77777777" w:rsidTr="00DE39C4">
        <w:trPr>
          <w:trHeight w:val="312"/>
        </w:trPr>
        <w:tc>
          <w:tcPr>
            <w:tcW w:w="623" w:type="pct"/>
            <w:vAlign w:val="center"/>
          </w:tcPr>
          <w:p w14:paraId="09632096" w14:textId="77777777" w:rsidR="00F85FFE" w:rsidRPr="00EF2AAF" w:rsidRDefault="00F85FFE" w:rsidP="00F85FFE">
            <w:pPr>
              <w:spacing w:after="0"/>
              <w:rPr>
                <w:rFonts w:cs="Gisha"/>
                <w:bCs/>
                <w:color w:val="000000"/>
              </w:rPr>
            </w:pPr>
            <w:r w:rsidRPr="00EF2AAF">
              <w:rPr>
                <w:rFonts w:cs="Gisha"/>
                <w:bCs/>
                <w:color w:val="000000"/>
              </w:rPr>
              <w:t>SOGEMAB</w:t>
            </w:r>
          </w:p>
        </w:tc>
        <w:tc>
          <w:tcPr>
            <w:tcW w:w="158" w:type="pct"/>
            <w:vAlign w:val="center"/>
          </w:tcPr>
          <w:p w14:paraId="3AE5C2CE"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1B6F280A" w14:textId="77777777" w:rsidR="00F85FFE" w:rsidRPr="00EF2AAF" w:rsidRDefault="00F85FFE" w:rsidP="00F85FFE">
            <w:pPr>
              <w:spacing w:after="0"/>
              <w:rPr>
                <w:rFonts w:cs="Gisha"/>
                <w:color w:val="000000"/>
              </w:rPr>
            </w:pPr>
            <w:r w:rsidRPr="00EF2AAF">
              <w:rPr>
                <w:rFonts w:cs="Gisha"/>
                <w:color w:val="000000"/>
              </w:rPr>
              <w:t xml:space="preserve">Société générale d’équipements </w:t>
            </w:r>
            <w:r>
              <w:rPr>
                <w:rFonts w:cs="Gisha"/>
                <w:color w:val="000000"/>
              </w:rPr>
              <w:t xml:space="preserve">et </w:t>
            </w:r>
            <w:r w:rsidRPr="00EF2AAF">
              <w:rPr>
                <w:rFonts w:cs="Gisha"/>
                <w:color w:val="000000"/>
              </w:rPr>
              <w:t>de maintenance biomédicale</w:t>
            </w:r>
          </w:p>
        </w:tc>
      </w:tr>
      <w:tr w:rsidR="00F85FFE" w:rsidRPr="00EF2AAF" w14:paraId="22678E32" w14:textId="77777777" w:rsidTr="00DE39C4">
        <w:trPr>
          <w:trHeight w:val="312"/>
        </w:trPr>
        <w:tc>
          <w:tcPr>
            <w:tcW w:w="623" w:type="pct"/>
            <w:vAlign w:val="center"/>
          </w:tcPr>
          <w:p w14:paraId="7D91533A" w14:textId="77777777" w:rsidR="00F85FFE" w:rsidRPr="00EF2AAF" w:rsidRDefault="00F85FFE" w:rsidP="00F85FFE">
            <w:pPr>
              <w:spacing w:after="0"/>
              <w:rPr>
                <w:rFonts w:cs="Gisha"/>
                <w:bCs/>
                <w:color w:val="000000"/>
              </w:rPr>
            </w:pPr>
            <w:r w:rsidRPr="00EF2AAF">
              <w:rPr>
                <w:rFonts w:cs="Gisha"/>
                <w:bCs/>
                <w:color w:val="000000"/>
              </w:rPr>
              <w:t>SONU</w:t>
            </w:r>
          </w:p>
        </w:tc>
        <w:tc>
          <w:tcPr>
            <w:tcW w:w="158" w:type="pct"/>
            <w:vAlign w:val="center"/>
          </w:tcPr>
          <w:p w14:paraId="4B32E430"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7A68D2AF" w14:textId="77777777" w:rsidR="00F85FFE" w:rsidRPr="00EF2AAF" w:rsidRDefault="00F85FFE" w:rsidP="00F85FFE">
            <w:pPr>
              <w:spacing w:after="0"/>
              <w:rPr>
                <w:rFonts w:cs="Gisha"/>
                <w:color w:val="000000"/>
              </w:rPr>
            </w:pPr>
            <w:r w:rsidRPr="00EF2AAF">
              <w:rPr>
                <w:rFonts w:cs="Gisha"/>
                <w:color w:val="000000"/>
              </w:rPr>
              <w:t xml:space="preserve">Soins obstétricaux </w:t>
            </w:r>
            <w:r>
              <w:rPr>
                <w:rFonts w:cs="Gisha"/>
                <w:color w:val="000000"/>
              </w:rPr>
              <w:t xml:space="preserve">et </w:t>
            </w:r>
            <w:r w:rsidRPr="00EF2AAF">
              <w:rPr>
                <w:rFonts w:cs="Gisha"/>
                <w:color w:val="000000"/>
              </w:rPr>
              <w:t>néonatals d’urgence</w:t>
            </w:r>
          </w:p>
        </w:tc>
      </w:tr>
      <w:tr w:rsidR="00766F76" w:rsidRPr="00EF2AAF" w14:paraId="012F459B" w14:textId="77777777" w:rsidTr="00DE39C4">
        <w:trPr>
          <w:trHeight w:val="312"/>
        </w:trPr>
        <w:tc>
          <w:tcPr>
            <w:tcW w:w="623" w:type="pct"/>
            <w:vAlign w:val="center"/>
          </w:tcPr>
          <w:p w14:paraId="79C6C923" w14:textId="77777777" w:rsidR="00766F76" w:rsidRPr="00EF2AAF" w:rsidRDefault="00766F76" w:rsidP="00F85FFE">
            <w:pPr>
              <w:spacing w:after="0"/>
              <w:rPr>
                <w:rFonts w:cs="Gisha"/>
                <w:bCs/>
                <w:color w:val="000000"/>
              </w:rPr>
            </w:pPr>
            <w:r>
              <w:rPr>
                <w:rFonts w:cs="Gisha"/>
                <w:bCs/>
                <w:color w:val="000000"/>
              </w:rPr>
              <w:t>SONUB</w:t>
            </w:r>
          </w:p>
        </w:tc>
        <w:tc>
          <w:tcPr>
            <w:tcW w:w="158" w:type="pct"/>
            <w:vAlign w:val="center"/>
          </w:tcPr>
          <w:p w14:paraId="5A1F2DAA" w14:textId="77777777" w:rsidR="00766F76" w:rsidRPr="00EF2AAF" w:rsidRDefault="00766F76" w:rsidP="00F85FFE">
            <w:pPr>
              <w:spacing w:after="0"/>
              <w:rPr>
                <w:rFonts w:cs="Gisha"/>
                <w:color w:val="000000"/>
              </w:rPr>
            </w:pPr>
            <w:r>
              <w:rPr>
                <w:rFonts w:cs="Gisha"/>
                <w:color w:val="000000"/>
              </w:rPr>
              <w:t>:</w:t>
            </w:r>
          </w:p>
        </w:tc>
        <w:tc>
          <w:tcPr>
            <w:tcW w:w="4219" w:type="pct"/>
            <w:vAlign w:val="center"/>
          </w:tcPr>
          <w:p w14:paraId="7927A699" w14:textId="77777777" w:rsidR="00766F76" w:rsidRPr="00EF2AAF" w:rsidRDefault="00766F76" w:rsidP="00F85FFE">
            <w:pPr>
              <w:spacing w:after="0"/>
              <w:rPr>
                <w:rFonts w:cs="Gisha"/>
                <w:color w:val="000000"/>
              </w:rPr>
            </w:pPr>
            <w:r w:rsidRPr="00EF2AAF">
              <w:rPr>
                <w:rFonts w:cs="Gisha"/>
                <w:color w:val="000000"/>
              </w:rPr>
              <w:t xml:space="preserve">Soins obstétricaux </w:t>
            </w:r>
            <w:r>
              <w:rPr>
                <w:rFonts w:cs="Gisha"/>
                <w:color w:val="000000"/>
              </w:rPr>
              <w:t xml:space="preserve">et </w:t>
            </w:r>
            <w:r w:rsidRPr="00EF2AAF">
              <w:rPr>
                <w:rFonts w:cs="Gisha"/>
                <w:color w:val="000000"/>
              </w:rPr>
              <w:t>néonatals d’urgence</w:t>
            </w:r>
            <w:r>
              <w:rPr>
                <w:rFonts w:cs="Gisha"/>
                <w:color w:val="000000"/>
              </w:rPr>
              <w:t xml:space="preserve"> de base</w:t>
            </w:r>
          </w:p>
        </w:tc>
      </w:tr>
      <w:tr w:rsidR="00766F76" w:rsidRPr="00EF2AAF" w14:paraId="3B320EB0" w14:textId="77777777" w:rsidTr="00DE39C4">
        <w:trPr>
          <w:trHeight w:val="312"/>
        </w:trPr>
        <w:tc>
          <w:tcPr>
            <w:tcW w:w="623" w:type="pct"/>
            <w:vAlign w:val="center"/>
          </w:tcPr>
          <w:p w14:paraId="0D8DEEE7" w14:textId="77777777" w:rsidR="00766F76" w:rsidRPr="00EF2AAF" w:rsidRDefault="00766F76" w:rsidP="00F85FFE">
            <w:pPr>
              <w:spacing w:after="0"/>
              <w:rPr>
                <w:rFonts w:cs="Gisha"/>
                <w:bCs/>
                <w:color w:val="000000"/>
              </w:rPr>
            </w:pPr>
            <w:r>
              <w:rPr>
                <w:rFonts w:cs="Gisha"/>
                <w:bCs/>
                <w:color w:val="000000"/>
              </w:rPr>
              <w:t>SONUC</w:t>
            </w:r>
          </w:p>
        </w:tc>
        <w:tc>
          <w:tcPr>
            <w:tcW w:w="158" w:type="pct"/>
            <w:vAlign w:val="center"/>
          </w:tcPr>
          <w:p w14:paraId="1912D21D" w14:textId="77777777" w:rsidR="00766F76" w:rsidRPr="00EF2AAF" w:rsidRDefault="00766F76" w:rsidP="00F85FFE">
            <w:pPr>
              <w:spacing w:after="0"/>
              <w:rPr>
                <w:rFonts w:cs="Gisha"/>
                <w:color w:val="000000"/>
              </w:rPr>
            </w:pPr>
            <w:r>
              <w:rPr>
                <w:rFonts w:cs="Gisha"/>
                <w:color w:val="000000"/>
              </w:rPr>
              <w:t>:</w:t>
            </w:r>
          </w:p>
        </w:tc>
        <w:tc>
          <w:tcPr>
            <w:tcW w:w="4219" w:type="pct"/>
            <w:vAlign w:val="center"/>
          </w:tcPr>
          <w:p w14:paraId="02135860" w14:textId="77777777" w:rsidR="00766F76" w:rsidRPr="00EF2AAF" w:rsidRDefault="00766F76" w:rsidP="00F85FFE">
            <w:pPr>
              <w:spacing w:after="0"/>
              <w:rPr>
                <w:rFonts w:cs="Gisha"/>
                <w:color w:val="000000"/>
              </w:rPr>
            </w:pPr>
            <w:r w:rsidRPr="00EF2AAF">
              <w:rPr>
                <w:rFonts w:cs="Gisha"/>
                <w:color w:val="000000"/>
              </w:rPr>
              <w:t xml:space="preserve">Soins obstétricaux </w:t>
            </w:r>
            <w:r>
              <w:rPr>
                <w:rFonts w:cs="Gisha"/>
                <w:color w:val="000000"/>
              </w:rPr>
              <w:t xml:space="preserve">et </w:t>
            </w:r>
            <w:r w:rsidRPr="00EF2AAF">
              <w:rPr>
                <w:rFonts w:cs="Gisha"/>
                <w:color w:val="000000"/>
              </w:rPr>
              <w:t>néonatals d’urgence</w:t>
            </w:r>
            <w:r>
              <w:rPr>
                <w:rFonts w:cs="Gisha"/>
                <w:color w:val="000000"/>
              </w:rPr>
              <w:t xml:space="preserve"> complet</w:t>
            </w:r>
          </w:p>
        </w:tc>
      </w:tr>
      <w:tr w:rsidR="00F85FFE" w:rsidRPr="00EF2AAF" w14:paraId="2559CCD3" w14:textId="77777777" w:rsidTr="00DE39C4">
        <w:trPr>
          <w:trHeight w:val="312"/>
        </w:trPr>
        <w:tc>
          <w:tcPr>
            <w:tcW w:w="623" w:type="pct"/>
            <w:vAlign w:val="center"/>
          </w:tcPr>
          <w:p w14:paraId="0A6A53CB" w14:textId="77777777" w:rsidR="00F85FFE" w:rsidRPr="00EF2AAF" w:rsidRDefault="00F85FFE" w:rsidP="00F85FFE">
            <w:pPr>
              <w:spacing w:after="0"/>
              <w:rPr>
                <w:rFonts w:cs="Gisha"/>
                <w:bCs/>
                <w:color w:val="000000"/>
              </w:rPr>
            </w:pPr>
            <w:r w:rsidRPr="00EF2AAF">
              <w:rPr>
                <w:rFonts w:cs="Gisha"/>
                <w:bCs/>
                <w:color w:val="000000"/>
              </w:rPr>
              <w:t>SSP</w:t>
            </w:r>
          </w:p>
        </w:tc>
        <w:tc>
          <w:tcPr>
            <w:tcW w:w="158" w:type="pct"/>
            <w:vAlign w:val="center"/>
          </w:tcPr>
          <w:p w14:paraId="2C1D3703"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77D444A1" w14:textId="77777777" w:rsidR="00F85FFE" w:rsidRPr="00EF2AAF" w:rsidRDefault="00F85FFE" w:rsidP="00F85FFE">
            <w:pPr>
              <w:spacing w:after="0"/>
              <w:rPr>
                <w:rFonts w:cs="Gisha"/>
                <w:color w:val="000000"/>
              </w:rPr>
            </w:pPr>
            <w:r w:rsidRPr="00EF2AAF">
              <w:rPr>
                <w:rFonts w:cs="Gisha"/>
                <w:color w:val="000000"/>
              </w:rPr>
              <w:t>Soins de santé primaire</w:t>
            </w:r>
          </w:p>
        </w:tc>
      </w:tr>
      <w:tr w:rsidR="00F85FFE" w:rsidRPr="00EF2AAF" w14:paraId="187E8054" w14:textId="77777777" w:rsidTr="00DE39C4">
        <w:trPr>
          <w:trHeight w:val="312"/>
        </w:trPr>
        <w:tc>
          <w:tcPr>
            <w:tcW w:w="623" w:type="pct"/>
            <w:vAlign w:val="center"/>
          </w:tcPr>
          <w:p w14:paraId="011389B5" w14:textId="77777777" w:rsidR="00F85FFE" w:rsidRPr="00EF2AAF" w:rsidRDefault="00F85FFE" w:rsidP="00F85FFE">
            <w:pPr>
              <w:spacing w:after="0"/>
              <w:rPr>
                <w:rFonts w:cs="Gisha"/>
                <w:bCs/>
                <w:color w:val="000000"/>
              </w:rPr>
            </w:pPr>
            <w:r w:rsidRPr="00EF2AAF">
              <w:rPr>
                <w:rFonts w:cs="Gisha"/>
                <w:bCs/>
                <w:color w:val="000000"/>
              </w:rPr>
              <w:t>TDR</w:t>
            </w:r>
          </w:p>
        </w:tc>
        <w:tc>
          <w:tcPr>
            <w:tcW w:w="158" w:type="pct"/>
            <w:vAlign w:val="center"/>
          </w:tcPr>
          <w:p w14:paraId="65968A11"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5B3B998C" w14:textId="77777777" w:rsidR="00F85FFE" w:rsidRPr="00EF2AAF" w:rsidRDefault="00F85FFE" w:rsidP="00F85FFE">
            <w:pPr>
              <w:spacing w:after="0"/>
              <w:rPr>
                <w:rFonts w:cs="Gisha"/>
                <w:color w:val="000000"/>
              </w:rPr>
            </w:pPr>
            <w:r w:rsidRPr="00EF2AAF">
              <w:rPr>
                <w:rFonts w:cs="Gisha"/>
                <w:color w:val="000000"/>
              </w:rPr>
              <w:t xml:space="preserve">Test de diagnostic rapide </w:t>
            </w:r>
          </w:p>
        </w:tc>
      </w:tr>
      <w:tr w:rsidR="00766F76" w:rsidRPr="00EF2AAF" w14:paraId="25ADB046" w14:textId="77777777" w:rsidTr="00DE39C4">
        <w:trPr>
          <w:trHeight w:val="312"/>
        </w:trPr>
        <w:tc>
          <w:tcPr>
            <w:tcW w:w="623" w:type="pct"/>
            <w:vAlign w:val="center"/>
          </w:tcPr>
          <w:p w14:paraId="480DE2A5" w14:textId="77777777" w:rsidR="00766F76" w:rsidRPr="00EF2AAF" w:rsidRDefault="00766F76" w:rsidP="00F85FFE">
            <w:pPr>
              <w:spacing w:after="0"/>
              <w:rPr>
                <w:rFonts w:cs="Gisha"/>
                <w:bCs/>
                <w:color w:val="000000"/>
              </w:rPr>
            </w:pPr>
            <w:r>
              <w:rPr>
                <w:rFonts w:cs="Gisha"/>
                <w:bCs/>
                <w:color w:val="000000"/>
              </w:rPr>
              <w:t>TETU</w:t>
            </w:r>
          </w:p>
        </w:tc>
        <w:tc>
          <w:tcPr>
            <w:tcW w:w="158" w:type="pct"/>
            <w:vAlign w:val="center"/>
          </w:tcPr>
          <w:p w14:paraId="57BC9C65" w14:textId="77777777" w:rsidR="00766F76" w:rsidRPr="00EF2AAF" w:rsidRDefault="00766F76" w:rsidP="00F85FFE">
            <w:pPr>
              <w:spacing w:after="0"/>
              <w:rPr>
                <w:rFonts w:cs="Gisha"/>
                <w:color w:val="000000"/>
              </w:rPr>
            </w:pPr>
            <w:r>
              <w:rPr>
                <w:rFonts w:cs="Gisha"/>
                <w:color w:val="000000"/>
              </w:rPr>
              <w:t>:</w:t>
            </w:r>
          </w:p>
        </w:tc>
        <w:tc>
          <w:tcPr>
            <w:tcW w:w="4219" w:type="pct"/>
            <w:vAlign w:val="center"/>
          </w:tcPr>
          <w:p w14:paraId="79C8C154" w14:textId="77777777" w:rsidR="00766F76" w:rsidRPr="00EF2AAF" w:rsidRDefault="00766F76" w:rsidP="00F85FFE">
            <w:pPr>
              <w:spacing w:after="0"/>
              <w:rPr>
                <w:rFonts w:cs="Gisha"/>
                <w:color w:val="000000"/>
              </w:rPr>
            </w:pPr>
            <w:r>
              <w:rPr>
                <w:rFonts w:cs="Gisha"/>
                <w:color w:val="000000"/>
              </w:rPr>
              <w:t>Tri Evaluation traitement en Urgence</w:t>
            </w:r>
          </w:p>
        </w:tc>
      </w:tr>
      <w:tr w:rsidR="00F85FFE" w:rsidRPr="00EF2AAF" w14:paraId="2BD8AD26" w14:textId="77777777" w:rsidTr="00DE39C4">
        <w:trPr>
          <w:trHeight w:val="312"/>
        </w:trPr>
        <w:tc>
          <w:tcPr>
            <w:tcW w:w="623" w:type="pct"/>
            <w:vAlign w:val="center"/>
          </w:tcPr>
          <w:p w14:paraId="1350318B" w14:textId="77777777" w:rsidR="00F85FFE" w:rsidRPr="00EF2AAF" w:rsidRDefault="00F85FFE" w:rsidP="00F85FFE">
            <w:pPr>
              <w:spacing w:after="0"/>
              <w:rPr>
                <w:rFonts w:cs="Gisha"/>
                <w:bCs/>
                <w:color w:val="000000"/>
              </w:rPr>
            </w:pPr>
            <w:r w:rsidRPr="00EF2AAF">
              <w:rPr>
                <w:rFonts w:cs="Gisha"/>
                <w:bCs/>
                <w:color w:val="000000"/>
              </w:rPr>
              <w:t>VIH/SIDA</w:t>
            </w:r>
          </w:p>
        </w:tc>
        <w:tc>
          <w:tcPr>
            <w:tcW w:w="158" w:type="pct"/>
            <w:vAlign w:val="center"/>
          </w:tcPr>
          <w:p w14:paraId="0689593F" w14:textId="77777777" w:rsidR="00F85FFE" w:rsidRPr="00EF2AAF" w:rsidRDefault="00F85FFE" w:rsidP="00F85FFE">
            <w:pPr>
              <w:spacing w:after="0"/>
              <w:rPr>
                <w:rFonts w:cs="Gisha"/>
                <w:color w:val="000000"/>
              </w:rPr>
            </w:pPr>
            <w:r w:rsidRPr="00EF2AAF">
              <w:rPr>
                <w:rFonts w:cs="Gisha"/>
                <w:color w:val="000000"/>
              </w:rPr>
              <w:t>:</w:t>
            </w:r>
          </w:p>
        </w:tc>
        <w:tc>
          <w:tcPr>
            <w:tcW w:w="4219" w:type="pct"/>
            <w:vAlign w:val="center"/>
          </w:tcPr>
          <w:p w14:paraId="5E317EC1" w14:textId="77777777" w:rsidR="00F85FFE" w:rsidRPr="00EF2AAF" w:rsidRDefault="00F85FFE" w:rsidP="00F85FFE">
            <w:pPr>
              <w:spacing w:after="0"/>
              <w:rPr>
                <w:rFonts w:cs="Gisha"/>
                <w:color w:val="000000"/>
              </w:rPr>
            </w:pPr>
            <w:r w:rsidRPr="00EF2AAF">
              <w:rPr>
                <w:rFonts w:cs="Gisha"/>
                <w:color w:val="000000"/>
              </w:rPr>
              <w:t xml:space="preserve">Virus </w:t>
            </w:r>
            <w:r>
              <w:rPr>
                <w:rFonts w:cs="Gisha"/>
                <w:color w:val="000000"/>
              </w:rPr>
              <w:t>de l’</w:t>
            </w:r>
            <w:r w:rsidRPr="00EF2AAF">
              <w:rPr>
                <w:rFonts w:cs="Gisha"/>
                <w:color w:val="000000"/>
              </w:rPr>
              <w:t>immunodéficience humain/Syndrome</w:t>
            </w:r>
            <w:r>
              <w:rPr>
                <w:rFonts w:cs="Gisha"/>
                <w:color w:val="000000"/>
              </w:rPr>
              <w:t xml:space="preserve"> de l’</w:t>
            </w:r>
            <w:r w:rsidRPr="00EF2AAF">
              <w:rPr>
                <w:rFonts w:cs="Gisha"/>
                <w:color w:val="000000"/>
              </w:rPr>
              <w:t>immunodéficience acquise</w:t>
            </w:r>
          </w:p>
        </w:tc>
      </w:tr>
    </w:tbl>
    <w:p w14:paraId="32774806" w14:textId="77777777" w:rsidR="001D1300" w:rsidRDefault="001D1300">
      <w:pPr>
        <w:rPr>
          <w:b/>
          <w:sz w:val="28"/>
          <w:szCs w:val="28"/>
        </w:rPr>
      </w:pPr>
      <w:r>
        <w:rPr>
          <w:b/>
          <w:sz w:val="28"/>
          <w:szCs w:val="28"/>
        </w:rPr>
        <w:br w:type="page"/>
      </w:r>
    </w:p>
    <w:p w14:paraId="2512D105" w14:textId="77777777" w:rsidR="001D1300" w:rsidRDefault="001D1300">
      <w:pPr>
        <w:rPr>
          <w:b/>
          <w:sz w:val="28"/>
          <w:szCs w:val="28"/>
        </w:rPr>
      </w:pPr>
      <w:r>
        <w:rPr>
          <w:b/>
          <w:sz w:val="28"/>
          <w:szCs w:val="28"/>
        </w:rPr>
        <w:lastRenderedPageBreak/>
        <w:t>RESUME</w:t>
      </w:r>
      <w:r>
        <w:rPr>
          <w:b/>
          <w:sz w:val="28"/>
          <w:szCs w:val="28"/>
        </w:rPr>
        <w:br w:type="page"/>
      </w:r>
    </w:p>
    <w:p w14:paraId="5DE96131" w14:textId="77777777" w:rsidR="00940C28" w:rsidRPr="00EB2626" w:rsidRDefault="001D1300" w:rsidP="00EB2626">
      <w:pPr>
        <w:pStyle w:val="Paragraphedeliste"/>
        <w:numPr>
          <w:ilvl w:val="0"/>
          <w:numId w:val="1"/>
        </w:numPr>
        <w:spacing w:line="360" w:lineRule="auto"/>
        <w:jc w:val="both"/>
        <w:rPr>
          <w:b/>
          <w:sz w:val="24"/>
          <w:szCs w:val="24"/>
        </w:rPr>
      </w:pPr>
      <w:r w:rsidRPr="00EB2626">
        <w:rPr>
          <w:b/>
          <w:sz w:val="24"/>
          <w:szCs w:val="24"/>
        </w:rPr>
        <w:lastRenderedPageBreak/>
        <w:t>INTRODUCTION</w:t>
      </w:r>
    </w:p>
    <w:p w14:paraId="5D426D5D" w14:textId="77777777" w:rsidR="00E67D19" w:rsidRPr="00EB2626" w:rsidRDefault="00E67D19" w:rsidP="00EB2626">
      <w:pPr>
        <w:pStyle w:val="Paragraphedeliste"/>
        <w:numPr>
          <w:ilvl w:val="1"/>
          <w:numId w:val="1"/>
        </w:numPr>
        <w:spacing w:after="0" w:line="360" w:lineRule="auto"/>
        <w:jc w:val="both"/>
        <w:rPr>
          <w:rFonts w:eastAsia="Times New Roman" w:cstheme="minorHAnsi"/>
          <w:sz w:val="24"/>
          <w:szCs w:val="24"/>
          <w:lang w:eastAsia="fr-FR"/>
        </w:rPr>
      </w:pPr>
      <w:r w:rsidRPr="00EB2626">
        <w:rPr>
          <w:rFonts w:eastAsia="Times New Roman" w:cstheme="minorHAnsi"/>
          <w:sz w:val="24"/>
          <w:szCs w:val="24"/>
          <w:lang w:eastAsia="fr-FR"/>
        </w:rPr>
        <w:t>POURQUOI UN DOSSIER D’INVESTISSEMENT EN SRMNEA-N ET ETAT CIVIL POUR LE BURKINA FASO</w:t>
      </w:r>
    </w:p>
    <w:p w14:paraId="586A7D73" w14:textId="77777777" w:rsidR="001D1300" w:rsidRPr="00EB2626" w:rsidRDefault="001D1300" w:rsidP="00EB2626">
      <w:pPr>
        <w:spacing w:after="0" w:line="360" w:lineRule="auto"/>
        <w:jc w:val="both"/>
        <w:rPr>
          <w:rFonts w:eastAsia="Times New Roman" w:cstheme="minorHAnsi"/>
          <w:sz w:val="24"/>
          <w:szCs w:val="24"/>
          <w:lang w:eastAsia="fr-FR"/>
        </w:rPr>
      </w:pPr>
      <w:r w:rsidRPr="00EB2626">
        <w:rPr>
          <w:rFonts w:eastAsia="Times New Roman" w:cstheme="minorHAnsi"/>
          <w:sz w:val="24"/>
          <w:szCs w:val="24"/>
          <w:lang w:eastAsia="fr-FR"/>
        </w:rPr>
        <w:t xml:space="preserve">La morbidité et la mortalité maternelle, néonatale et infanto-juvénile demeurent un problème majeur de santé publique dans plusieurs pays en voie de développement dont le Burkina Faso. Ces dernières années, des stratégies et initiatives internationales et nationales </w:t>
      </w:r>
      <w:r w:rsidR="00785797" w:rsidRPr="00EB2626">
        <w:rPr>
          <w:rFonts w:eastAsia="Times New Roman" w:cstheme="minorHAnsi"/>
          <w:sz w:val="24"/>
          <w:szCs w:val="24"/>
          <w:lang w:eastAsia="fr-FR"/>
        </w:rPr>
        <w:t xml:space="preserve">spécifiques </w:t>
      </w:r>
      <w:r w:rsidRPr="00EB2626">
        <w:rPr>
          <w:rFonts w:eastAsia="Times New Roman" w:cstheme="minorHAnsi"/>
          <w:sz w:val="24"/>
          <w:szCs w:val="24"/>
          <w:lang w:eastAsia="fr-FR"/>
        </w:rPr>
        <w:t>ont été lancées en vue d’intensifier et de mieux coordonner les efforts pour atteindre les Objectifs du Millénaire pour le Développement (OMD)</w:t>
      </w:r>
      <w:r w:rsidR="00785797" w:rsidRPr="00EB2626">
        <w:rPr>
          <w:rFonts w:eastAsia="Times New Roman" w:cstheme="minorHAnsi"/>
          <w:sz w:val="24"/>
          <w:szCs w:val="24"/>
          <w:lang w:eastAsia="fr-FR"/>
        </w:rPr>
        <w:t xml:space="preserve"> </w:t>
      </w:r>
      <w:r w:rsidRPr="00EB2626">
        <w:rPr>
          <w:rFonts w:eastAsia="Times New Roman" w:cstheme="minorHAnsi"/>
          <w:sz w:val="24"/>
          <w:szCs w:val="24"/>
          <w:lang w:eastAsia="fr-FR"/>
        </w:rPr>
        <w:t>4, 5 et 6 liés à la santé.</w:t>
      </w:r>
      <w:r w:rsidR="00785797" w:rsidRPr="00EB2626">
        <w:rPr>
          <w:rFonts w:eastAsia="Times New Roman" w:cstheme="minorHAnsi"/>
          <w:sz w:val="24"/>
          <w:szCs w:val="24"/>
          <w:lang w:eastAsia="fr-FR"/>
        </w:rPr>
        <w:t xml:space="preserve"> Parmi les plus </w:t>
      </w:r>
      <w:r w:rsidR="000327F9" w:rsidRPr="00EB2626">
        <w:rPr>
          <w:rFonts w:eastAsia="Times New Roman" w:cstheme="minorHAnsi"/>
          <w:sz w:val="24"/>
          <w:szCs w:val="24"/>
          <w:lang w:eastAsia="fr-FR"/>
        </w:rPr>
        <w:t>importantes,</w:t>
      </w:r>
      <w:r w:rsidR="00785797" w:rsidRPr="00EB2626">
        <w:rPr>
          <w:rFonts w:eastAsia="Times New Roman" w:cstheme="minorHAnsi"/>
          <w:sz w:val="24"/>
          <w:szCs w:val="24"/>
          <w:lang w:eastAsia="fr-FR"/>
        </w:rPr>
        <w:t xml:space="preserve"> il faut </w:t>
      </w:r>
      <w:r w:rsidR="00AE2384" w:rsidRPr="00EB2626">
        <w:rPr>
          <w:rFonts w:eastAsia="Times New Roman" w:cstheme="minorHAnsi"/>
          <w:sz w:val="24"/>
          <w:szCs w:val="24"/>
          <w:lang w:eastAsia="fr-FR"/>
        </w:rPr>
        <w:t>citer la</w:t>
      </w:r>
      <w:r w:rsidRPr="00EB2626">
        <w:rPr>
          <w:rFonts w:eastAsia="Times New Roman" w:cstheme="minorHAnsi"/>
          <w:sz w:val="24"/>
          <w:szCs w:val="24"/>
          <w:lang w:eastAsia="fr-FR"/>
        </w:rPr>
        <w:t xml:space="preserve"> Stratégie Mondiale pour la Santé des Femmes et des Enfants du Secrétaire Général des Nations Unies, la Campagne Africaine de Réduction de la Mortalité Mat</w:t>
      </w:r>
      <w:r w:rsidR="00785797" w:rsidRPr="00EB2626">
        <w:rPr>
          <w:rFonts w:eastAsia="Times New Roman" w:cstheme="minorHAnsi"/>
          <w:sz w:val="24"/>
          <w:szCs w:val="24"/>
          <w:lang w:eastAsia="fr-FR"/>
        </w:rPr>
        <w:t xml:space="preserve">ernelle en Afrique (CARMMA), </w:t>
      </w:r>
      <w:r w:rsidRPr="00EB2626">
        <w:rPr>
          <w:rFonts w:eastAsia="Times New Roman" w:cstheme="minorHAnsi"/>
          <w:sz w:val="24"/>
          <w:szCs w:val="24"/>
          <w:lang w:eastAsia="fr-FR"/>
        </w:rPr>
        <w:t xml:space="preserve">l’élimination virtuelle de la transmission du </w:t>
      </w:r>
      <w:r w:rsidR="00785797" w:rsidRPr="00EB2626">
        <w:rPr>
          <w:rFonts w:eastAsia="Times New Roman" w:cstheme="minorHAnsi"/>
          <w:sz w:val="24"/>
          <w:szCs w:val="24"/>
          <w:lang w:eastAsia="fr-FR"/>
        </w:rPr>
        <w:t xml:space="preserve"> </w:t>
      </w:r>
      <w:r w:rsidRPr="00EB2626">
        <w:rPr>
          <w:rFonts w:eastAsia="Times New Roman" w:cstheme="minorHAnsi"/>
          <w:sz w:val="24"/>
          <w:szCs w:val="24"/>
          <w:lang w:eastAsia="fr-FR"/>
        </w:rPr>
        <w:t>Virus d’Immunodéficience Humaine(VIH)</w:t>
      </w:r>
      <w:r w:rsidR="00785797" w:rsidRPr="00EB2626">
        <w:rPr>
          <w:rFonts w:eastAsia="Times New Roman" w:cstheme="minorHAnsi"/>
          <w:sz w:val="24"/>
          <w:szCs w:val="24"/>
          <w:lang w:eastAsia="fr-FR"/>
        </w:rPr>
        <w:t xml:space="preserve"> </w:t>
      </w:r>
      <w:r w:rsidRPr="00EB2626">
        <w:rPr>
          <w:rFonts w:eastAsia="Times New Roman" w:cstheme="minorHAnsi"/>
          <w:sz w:val="24"/>
          <w:szCs w:val="24"/>
          <w:lang w:eastAsia="fr-FR"/>
        </w:rPr>
        <w:t>de la mère à l’enfant</w:t>
      </w:r>
      <w:r w:rsidR="00785797" w:rsidRPr="00EB2626">
        <w:rPr>
          <w:rFonts w:eastAsia="Times New Roman" w:cstheme="minorHAnsi"/>
          <w:sz w:val="24"/>
          <w:szCs w:val="24"/>
          <w:lang w:eastAsia="fr-FR"/>
        </w:rPr>
        <w:t xml:space="preserve">, </w:t>
      </w:r>
      <w:r w:rsidRPr="00EB2626">
        <w:rPr>
          <w:rFonts w:eastAsia="Times New Roman" w:cstheme="minorHAnsi"/>
          <w:sz w:val="24"/>
          <w:szCs w:val="24"/>
          <w:lang w:eastAsia="fr-FR"/>
        </w:rPr>
        <w:t xml:space="preserve">la Stratégie Accélérée pour la Survie et le Développement du Jeune Enfant 2009-2015 </w:t>
      </w:r>
      <w:r w:rsidR="00785797" w:rsidRPr="00EB2626">
        <w:rPr>
          <w:rFonts w:eastAsia="Times New Roman" w:cstheme="minorHAnsi"/>
          <w:sz w:val="24"/>
          <w:szCs w:val="24"/>
          <w:lang w:eastAsia="fr-FR"/>
        </w:rPr>
        <w:t>(SASDE), l’engagement de MUSKOKA.</w:t>
      </w:r>
    </w:p>
    <w:p w14:paraId="085B7780" w14:textId="77777777" w:rsidR="00785797" w:rsidRPr="00EB2626" w:rsidRDefault="000327F9" w:rsidP="00EB2626">
      <w:pPr>
        <w:spacing w:after="0" w:line="360" w:lineRule="auto"/>
        <w:jc w:val="both"/>
        <w:rPr>
          <w:sz w:val="24"/>
          <w:szCs w:val="24"/>
        </w:rPr>
      </w:pPr>
      <w:r w:rsidRPr="00EB2626">
        <w:rPr>
          <w:sz w:val="24"/>
          <w:szCs w:val="24"/>
        </w:rPr>
        <w:t xml:space="preserve">Dans le cadre de l’agenda post 2015, d’autres initiatives nationales ont été lancées pour atteindre les ODD dont </w:t>
      </w:r>
      <w:r w:rsidR="00AF1842" w:rsidRPr="00EB2626">
        <w:rPr>
          <w:sz w:val="24"/>
          <w:szCs w:val="24"/>
        </w:rPr>
        <w:t xml:space="preserve">le PNDES 2016-2020, le PNDS 2011-2020, </w:t>
      </w:r>
      <w:r w:rsidRPr="00EB2626">
        <w:rPr>
          <w:sz w:val="24"/>
          <w:szCs w:val="24"/>
        </w:rPr>
        <w:t xml:space="preserve">le </w:t>
      </w:r>
      <w:r w:rsidR="00785797" w:rsidRPr="00EB2626">
        <w:rPr>
          <w:sz w:val="24"/>
          <w:szCs w:val="24"/>
        </w:rPr>
        <w:t xml:space="preserve">Plan stratégique 2015-2020 pour la survie de </w:t>
      </w:r>
      <w:r w:rsidRPr="00EB2626">
        <w:rPr>
          <w:sz w:val="24"/>
          <w:szCs w:val="24"/>
        </w:rPr>
        <w:t xml:space="preserve">l’enfant de moins de cinq ans, le </w:t>
      </w:r>
      <w:r w:rsidR="00785797" w:rsidRPr="00EB2626">
        <w:rPr>
          <w:sz w:val="24"/>
          <w:szCs w:val="24"/>
        </w:rPr>
        <w:t>plan stratégique santé des adolescents et des jeunes 2016-2020 et dernièrement le Plan stratégique i</w:t>
      </w:r>
      <w:r w:rsidRPr="00EB2626">
        <w:rPr>
          <w:sz w:val="24"/>
          <w:szCs w:val="24"/>
        </w:rPr>
        <w:t>ntégré SRMNEA-PA 2017-2020 développant</w:t>
      </w:r>
      <w:r w:rsidR="00785797" w:rsidRPr="00EB2626">
        <w:rPr>
          <w:sz w:val="24"/>
          <w:szCs w:val="24"/>
        </w:rPr>
        <w:t xml:space="preserve"> une vision plus holistique de la santé de la reproduction, de la mère, du nouveau-né, de l’enfant et de l’adolescent.</w:t>
      </w:r>
    </w:p>
    <w:p w14:paraId="3804315B" w14:textId="77777777" w:rsidR="00EA5478" w:rsidRPr="00EB2626" w:rsidRDefault="00EA5478" w:rsidP="00EB2626">
      <w:pPr>
        <w:pStyle w:val="Standard"/>
        <w:spacing w:before="60" w:after="60" w:line="360" w:lineRule="auto"/>
        <w:jc w:val="both"/>
        <w:rPr>
          <w:rFonts w:asciiTheme="minorHAnsi" w:hAnsiTheme="minorHAnsi" w:cstheme="minorHAnsi"/>
          <w:color w:val="auto"/>
        </w:rPr>
      </w:pPr>
      <w:r w:rsidRPr="00EB2626">
        <w:rPr>
          <w:rFonts w:asciiTheme="minorHAnsi" w:hAnsiTheme="minorHAnsi" w:cstheme="minorHAnsi"/>
          <w:color w:val="auto"/>
        </w:rPr>
        <w:t xml:space="preserve">Des progrès ont été réalisés en SRMNEA-N </w:t>
      </w:r>
      <w:r w:rsidR="003D320E" w:rsidRPr="00EB2626">
        <w:rPr>
          <w:rFonts w:asciiTheme="minorHAnsi" w:hAnsiTheme="minorHAnsi" w:cstheme="minorHAnsi"/>
          <w:color w:val="auto"/>
        </w:rPr>
        <w:t>avec des</w:t>
      </w:r>
      <w:r w:rsidRPr="00EB2626">
        <w:rPr>
          <w:rFonts w:asciiTheme="minorHAnsi" w:hAnsiTheme="minorHAnsi" w:cstheme="minorHAnsi"/>
          <w:color w:val="auto"/>
        </w:rPr>
        <w:t xml:space="preserve"> taux de mortalité maternelle et infanto-juvénile qui sont passés respectivement de 341 </w:t>
      </w:r>
      <w:r w:rsidR="00AF1842" w:rsidRPr="00EB2626">
        <w:rPr>
          <w:rFonts w:asciiTheme="minorHAnsi" w:hAnsiTheme="minorHAnsi" w:cstheme="minorHAnsi"/>
          <w:color w:val="auto"/>
        </w:rPr>
        <w:t xml:space="preserve">à 330 </w:t>
      </w:r>
      <w:r w:rsidRPr="00EB2626">
        <w:rPr>
          <w:rFonts w:asciiTheme="minorHAnsi" w:hAnsiTheme="minorHAnsi" w:cstheme="minorHAnsi"/>
          <w:color w:val="auto"/>
        </w:rPr>
        <w:t xml:space="preserve">pour 100 000 naissances vivantes et 129 </w:t>
      </w:r>
      <w:r w:rsidR="00AF1842" w:rsidRPr="00EB2626">
        <w:rPr>
          <w:rFonts w:asciiTheme="minorHAnsi" w:hAnsiTheme="minorHAnsi" w:cstheme="minorHAnsi"/>
          <w:color w:val="auto"/>
        </w:rPr>
        <w:t xml:space="preserve">à 81 </w:t>
      </w:r>
      <w:r w:rsidRPr="00EB2626">
        <w:rPr>
          <w:rFonts w:asciiTheme="minorHAnsi" w:hAnsiTheme="minorHAnsi" w:cstheme="minorHAnsi"/>
          <w:color w:val="auto"/>
        </w:rPr>
        <w:t xml:space="preserve">pour 1000 entre 2010 et 2015. La prévalence du retard de croissance chez les enfants de moins de 5 ans est passée de 33% en 2013 à 21% en 2017. La prévalence contraceptive est passée de 15 % en 2010 à 22.5 % en 2015. Mais ces progrès restent insuffisants et les niveaux de mortalité maternelle et infanto-juvénile restent inacceptables. </w:t>
      </w:r>
    </w:p>
    <w:p w14:paraId="13E65152" w14:textId="77777777" w:rsidR="00EA5478" w:rsidRPr="00EB2626" w:rsidRDefault="00EA5478" w:rsidP="00EB2626">
      <w:pPr>
        <w:pStyle w:val="Standard"/>
        <w:spacing w:before="60" w:after="60" w:line="360" w:lineRule="auto"/>
        <w:jc w:val="both"/>
        <w:rPr>
          <w:rFonts w:asciiTheme="minorHAnsi" w:hAnsiTheme="minorHAnsi" w:cstheme="minorHAnsi"/>
          <w:color w:val="auto"/>
        </w:rPr>
      </w:pPr>
      <w:r w:rsidRPr="00EB2626">
        <w:rPr>
          <w:rFonts w:asciiTheme="minorHAnsi" w:hAnsiTheme="minorHAnsi" w:cstheme="minorHAnsi"/>
          <w:color w:val="auto"/>
        </w:rPr>
        <w:t xml:space="preserve">Dans ce contexte, l’adhésion du Burkina Faso au Global Financing Facilities (GFF) en septembre 2017 apparait comme une </w:t>
      </w:r>
      <w:r w:rsidR="003D320E" w:rsidRPr="00EB2626">
        <w:rPr>
          <w:rFonts w:asciiTheme="minorHAnsi" w:hAnsiTheme="minorHAnsi" w:cstheme="minorHAnsi"/>
          <w:color w:val="auto"/>
        </w:rPr>
        <w:t>opportunité pour</w:t>
      </w:r>
      <w:r w:rsidRPr="00EB2626">
        <w:rPr>
          <w:rFonts w:asciiTheme="minorHAnsi" w:hAnsiTheme="minorHAnsi" w:cstheme="minorHAnsi"/>
          <w:color w:val="auto"/>
        </w:rPr>
        <w:t xml:space="preserve"> s’attaquer aux retards particuliers dans l'atteinte de certaines cibles et aux disparités pour plus d’impact et d’équité en SRMNEA-N et enregistrement des faits d’état civil et statistiques vitales. </w:t>
      </w:r>
    </w:p>
    <w:p w14:paraId="05CA616D" w14:textId="77777777" w:rsidR="00AF1842" w:rsidRPr="00EB2626" w:rsidRDefault="00AF1842" w:rsidP="00EB2626">
      <w:pPr>
        <w:pStyle w:val="Standard"/>
        <w:spacing w:before="60" w:after="60" w:line="360" w:lineRule="auto"/>
        <w:jc w:val="both"/>
        <w:rPr>
          <w:rFonts w:asciiTheme="minorHAnsi" w:eastAsia="Helvetica" w:hAnsiTheme="minorHAnsi" w:cstheme="minorHAnsi"/>
          <w:lang w:eastAsia="fr-FR"/>
        </w:rPr>
      </w:pPr>
      <w:r w:rsidRPr="00EB2626">
        <w:rPr>
          <w:rFonts w:asciiTheme="minorHAnsi" w:eastAsia="Helvetica" w:hAnsiTheme="minorHAnsi" w:cstheme="minorHAnsi"/>
          <w:lang w:eastAsia="fr-FR"/>
        </w:rPr>
        <w:t xml:space="preserve">Le GFF, </w:t>
      </w:r>
      <w:r w:rsidRPr="00EB2626">
        <w:rPr>
          <w:rFonts w:asciiTheme="minorHAnsi" w:eastAsia="Helvetica" w:hAnsiTheme="minorHAnsi" w:cs="Arial"/>
          <w:lang w:eastAsia="fr-FR"/>
        </w:rPr>
        <w:t>officiellement lancé par le secrétaire gé</w:t>
      </w:r>
      <w:r w:rsidRPr="00EB2626">
        <w:rPr>
          <w:rFonts w:asciiTheme="minorHAnsi" w:eastAsia="Times New Roman" w:hAnsiTheme="minorHAnsi" w:cs="Arial"/>
          <w:lang w:eastAsia="fr-FR"/>
        </w:rPr>
        <w:t>n</w:t>
      </w:r>
      <w:r w:rsidRPr="00EB2626">
        <w:rPr>
          <w:rFonts w:asciiTheme="minorHAnsi" w:eastAsia="Helvetica" w:hAnsiTheme="minorHAnsi" w:cs="Arial"/>
          <w:lang w:eastAsia="fr-FR"/>
        </w:rPr>
        <w:t xml:space="preserve">éral des Nations Unies en juillet </w:t>
      </w:r>
      <w:r w:rsidR="003D320E" w:rsidRPr="00EB2626">
        <w:rPr>
          <w:rFonts w:asciiTheme="minorHAnsi" w:eastAsia="Helvetica" w:hAnsiTheme="minorHAnsi" w:cs="Arial"/>
          <w:lang w:eastAsia="fr-FR"/>
        </w:rPr>
        <w:t xml:space="preserve">2015, </w:t>
      </w:r>
      <w:r w:rsidR="003D320E" w:rsidRPr="00EB2626">
        <w:rPr>
          <w:rFonts w:asciiTheme="minorHAnsi" w:eastAsia="Helvetica" w:hAnsiTheme="minorHAnsi" w:cstheme="minorHAnsi"/>
          <w:lang w:eastAsia="fr-FR"/>
        </w:rPr>
        <w:t>a</w:t>
      </w:r>
      <w:r w:rsidRPr="00EB2626">
        <w:rPr>
          <w:rFonts w:asciiTheme="minorHAnsi" w:eastAsia="Helvetica" w:hAnsiTheme="minorHAnsi" w:cstheme="minorHAnsi"/>
          <w:lang w:eastAsia="fr-FR"/>
        </w:rPr>
        <w:t xml:space="preserve"> été conçu pour guider le programme de financement du développement, notamment en </w:t>
      </w:r>
      <w:r w:rsidRPr="00EB2626">
        <w:rPr>
          <w:rFonts w:asciiTheme="minorHAnsi" w:eastAsia="Helvetica" w:hAnsiTheme="minorHAnsi" w:cstheme="minorHAnsi"/>
          <w:lang w:eastAsia="fr-FR"/>
        </w:rPr>
        <w:lastRenderedPageBreak/>
        <w:t>mobilisant les ressources nationales, en attirant des ressour</w:t>
      </w:r>
      <w:r w:rsidRPr="00EB2626">
        <w:rPr>
          <w:rFonts w:asciiTheme="minorHAnsi" w:eastAsia="Times New Roman" w:hAnsiTheme="minorHAnsi" w:cstheme="minorHAnsi"/>
          <w:lang w:eastAsia="fr-FR"/>
        </w:rPr>
        <w:t>ces ext</w:t>
      </w:r>
      <w:r w:rsidRPr="00EB2626">
        <w:rPr>
          <w:rFonts w:asciiTheme="minorHAnsi" w:eastAsia="Helvetica" w:hAnsiTheme="minorHAnsi" w:cstheme="minorHAnsi"/>
          <w:lang w:eastAsia="fr-FR"/>
        </w:rPr>
        <w:t>érieures supplémentaires et en améliorant l'efficacité de leur utilisation, et en employant des stratégies novatrices de mobilisation des ressources et de prestation de services.</w:t>
      </w:r>
    </w:p>
    <w:p w14:paraId="400853A3" w14:textId="77777777" w:rsidR="00AF1842" w:rsidRPr="00EB2626" w:rsidRDefault="00AF1842" w:rsidP="00EB2626">
      <w:pPr>
        <w:pStyle w:val="Standard"/>
        <w:spacing w:before="60" w:after="60" w:line="360" w:lineRule="auto"/>
        <w:jc w:val="both"/>
        <w:rPr>
          <w:rFonts w:asciiTheme="minorHAnsi" w:eastAsia="Helvetica" w:hAnsiTheme="minorHAnsi" w:cstheme="minorHAnsi"/>
          <w:lang w:eastAsia="fr-FR"/>
        </w:rPr>
      </w:pPr>
      <w:r w:rsidRPr="00EB2626">
        <w:rPr>
          <w:rFonts w:asciiTheme="minorHAnsi" w:eastAsia="Helvetica" w:hAnsiTheme="minorHAnsi" w:cstheme="minorHAnsi"/>
          <w:lang w:eastAsia="fr-FR"/>
        </w:rPr>
        <w:t>L’approche du GFF est basse sur les principes suivants : Priorisation des interventions, Rendement de l’</w:t>
      </w:r>
      <w:r w:rsidR="00DB797E" w:rsidRPr="00EB2626">
        <w:rPr>
          <w:rFonts w:asciiTheme="minorHAnsi" w:eastAsia="Helvetica" w:hAnsiTheme="minorHAnsi" w:cstheme="minorHAnsi"/>
          <w:lang w:eastAsia="fr-FR"/>
        </w:rPr>
        <w:t>investissement, Réduction de la fragmentation, O</w:t>
      </w:r>
      <w:r w:rsidRPr="00EB2626">
        <w:rPr>
          <w:rFonts w:asciiTheme="minorHAnsi" w:eastAsia="Helvetica" w:hAnsiTheme="minorHAnsi" w:cstheme="minorHAnsi"/>
          <w:lang w:eastAsia="fr-FR"/>
        </w:rPr>
        <w:t xml:space="preserve">rientation de la mise en œuvre et </w:t>
      </w:r>
      <w:r w:rsidR="00DB797E" w:rsidRPr="00EB2626">
        <w:rPr>
          <w:rFonts w:asciiTheme="minorHAnsi" w:eastAsia="Times New Roman" w:hAnsiTheme="minorHAnsi" w:cstheme="minorHAnsi"/>
          <w:lang w:eastAsia="fr-FR"/>
        </w:rPr>
        <w:t xml:space="preserve">Orientation </w:t>
      </w:r>
      <w:r w:rsidR="00DB797E" w:rsidRPr="00EB2626">
        <w:rPr>
          <w:rFonts w:asciiTheme="minorHAnsi" w:eastAsia="Helvetica" w:hAnsiTheme="minorHAnsi" w:cstheme="minorHAnsi"/>
          <w:lang w:eastAsia="fr-FR"/>
        </w:rPr>
        <w:t>à plus long terme.</w:t>
      </w:r>
    </w:p>
    <w:p w14:paraId="1A7D612B" w14:textId="77777777" w:rsidR="00DB797E" w:rsidRPr="00EB2626" w:rsidRDefault="00DB797E" w:rsidP="00EB2626">
      <w:pPr>
        <w:pStyle w:val="Standard"/>
        <w:spacing w:before="60" w:after="60" w:line="360" w:lineRule="auto"/>
        <w:jc w:val="both"/>
        <w:rPr>
          <w:rFonts w:asciiTheme="minorHAnsi" w:hAnsiTheme="minorHAnsi" w:cstheme="minorHAnsi"/>
          <w:color w:val="auto"/>
        </w:rPr>
      </w:pPr>
      <w:r w:rsidRPr="00EB2626">
        <w:rPr>
          <w:rFonts w:asciiTheme="minorHAnsi" w:hAnsiTheme="minorHAnsi" w:cstheme="minorHAnsi"/>
          <w:color w:val="auto"/>
        </w:rPr>
        <w:t xml:space="preserve">Dans sa relation avec le GFF, le cadre sectoriel de dialogue a été retenu comme plateforme globale pour le GFF et l’équipe fonctionnelle 7 a été retenue pour être la plateforme technique en charge de conduire le processus l’élaboration du dossier d’investissement suivant une feuille de route consensuelle. </w:t>
      </w:r>
    </w:p>
    <w:p w14:paraId="57057700" w14:textId="77777777" w:rsidR="00DB797E" w:rsidRPr="00EB2626" w:rsidRDefault="00DB797E" w:rsidP="00EB2626">
      <w:pPr>
        <w:pStyle w:val="Standard"/>
        <w:spacing w:before="60" w:after="60" w:line="360" w:lineRule="auto"/>
        <w:jc w:val="both"/>
        <w:rPr>
          <w:rFonts w:asciiTheme="minorHAnsi" w:hAnsiTheme="minorHAnsi" w:cstheme="minorHAnsi"/>
          <w:color w:val="auto"/>
        </w:rPr>
      </w:pPr>
      <w:r w:rsidRPr="00EB2626">
        <w:rPr>
          <w:rFonts w:asciiTheme="minorHAnsi" w:hAnsiTheme="minorHAnsi" w:cstheme="minorHAnsi"/>
          <w:color w:val="auto"/>
        </w:rPr>
        <w:t>En préparation de l’élaboration du dossier d’investissement, quelques activités ont été ou sont en cours de réalisation dont  (i) la cartographie des interventions, intervenants et des financements en matière de SRMNEA-N et des actions transversales qui soutiennent les objectifs de SRMNEA-N, (ii) l’analyse des gaps de performance en matière de SRMNEAN, iii) la priorisation des interventions coût-efficaces en SRMNEAN, iv) la sécurisation des ressources financières du budget de l’Etat pour contribuer à financer le dossier d’investissement.</w:t>
      </w:r>
    </w:p>
    <w:p w14:paraId="07B326AD" w14:textId="77777777" w:rsidR="00DB797E" w:rsidRPr="00EB2626" w:rsidRDefault="00DB797E" w:rsidP="00EB2626">
      <w:pPr>
        <w:pStyle w:val="Standard"/>
        <w:spacing w:before="60" w:after="0" w:line="360" w:lineRule="auto"/>
        <w:jc w:val="both"/>
        <w:rPr>
          <w:rFonts w:asciiTheme="minorHAnsi" w:hAnsiTheme="minorHAnsi" w:cstheme="minorHAnsi"/>
          <w:color w:val="auto"/>
        </w:rPr>
      </w:pPr>
      <w:r w:rsidRPr="00EB2626">
        <w:rPr>
          <w:rFonts w:asciiTheme="minorHAnsi" w:hAnsiTheme="minorHAnsi" w:cstheme="minorHAnsi"/>
          <w:color w:val="auto"/>
        </w:rPr>
        <w:t>Pour appuyer l’EF7, il est donc apparu nécessaire de recruter une équipe de Consultants comprenant un consultant senior en santé publique, un consultant junior et un consultant senior économistes de la santé pour le volet costing à l’aide du logiciel One Health.</w:t>
      </w:r>
    </w:p>
    <w:p w14:paraId="7EDF6EFF" w14:textId="77777777" w:rsidR="00DB797E" w:rsidRPr="00EB2626" w:rsidRDefault="00DB797E" w:rsidP="00EB2626">
      <w:pPr>
        <w:pStyle w:val="Standard"/>
        <w:spacing w:before="60" w:after="0" w:line="360" w:lineRule="auto"/>
        <w:jc w:val="both"/>
        <w:rPr>
          <w:rFonts w:asciiTheme="minorHAnsi" w:hAnsiTheme="minorHAnsi" w:cstheme="minorHAnsi"/>
          <w:color w:val="auto"/>
        </w:rPr>
      </w:pPr>
      <w:r w:rsidRPr="00EB2626">
        <w:rPr>
          <w:rFonts w:asciiTheme="minorHAnsi" w:hAnsiTheme="minorHAnsi" w:cstheme="minorHAnsi"/>
          <w:color w:val="auto"/>
        </w:rPr>
        <w:t>L</w:t>
      </w:r>
      <w:r w:rsidR="00AE2384">
        <w:rPr>
          <w:rFonts w:asciiTheme="minorHAnsi" w:hAnsiTheme="minorHAnsi" w:cstheme="minorHAnsi"/>
          <w:color w:val="auto"/>
        </w:rPr>
        <w:t>e résultat attendu</w:t>
      </w:r>
      <w:r w:rsidRPr="00EB2626">
        <w:rPr>
          <w:rFonts w:asciiTheme="minorHAnsi" w:hAnsiTheme="minorHAnsi" w:cstheme="minorHAnsi"/>
          <w:color w:val="auto"/>
        </w:rPr>
        <w:t xml:space="preserve"> de cette consultation est la production du Dossier d’investissement en SRMNE-N et Etat Civil.</w:t>
      </w:r>
    </w:p>
    <w:p w14:paraId="5CB216A9" w14:textId="77777777" w:rsidR="00E67D19" w:rsidRPr="00EB2626" w:rsidRDefault="00E67D19" w:rsidP="00EB2626">
      <w:pPr>
        <w:pStyle w:val="Standard"/>
        <w:numPr>
          <w:ilvl w:val="1"/>
          <w:numId w:val="1"/>
        </w:numPr>
        <w:spacing w:before="60" w:after="0" w:line="360" w:lineRule="auto"/>
        <w:jc w:val="both"/>
        <w:rPr>
          <w:rFonts w:asciiTheme="minorHAnsi" w:hAnsiTheme="minorHAnsi" w:cstheme="minorHAnsi"/>
          <w:color w:val="auto"/>
        </w:rPr>
      </w:pPr>
      <w:r w:rsidRPr="00EB2626">
        <w:rPr>
          <w:rFonts w:asciiTheme="minorHAnsi" w:hAnsiTheme="minorHAnsi" w:cstheme="minorHAnsi"/>
          <w:color w:val="auto"/>
        </w:rPr>
        <w:t>CONTEXTE DU PAYS</w:t>
      </w:r>
    </w:p>
    <w:p w14:paraId="371C2C22" w14:textId="77777777" w:rsidR="00E67D19" w:rsidRPr="00EB2626" w:rsidRDefault="00170FB3" w:rsidP="00EB2626">
      <w:pPr>
        <w:pStyle w:val="Standard"/>
        <w:numPr>
          <w:ilvl w:val="2"/>
          <w:numId w:val="1"/>
        </w:numPr>
        <w:spacing w:before="60" w:after="0" w:line="360" w:lineRule="auto"/>
        <w:jc w:val="both"/>
        <w:rPr>
          <w:rFonts w:asciiTheme="minorHAnsi" w:hAnsiTheme="minorHAnsi" w:cstheme="minorHAnsi"/>
          <w:b/>
          <w:color w:val="auto"/>
        </w:rPr>
      </w:pPr>
      <w:r w:rsidRPr="00EB2626">
        <w:rPr>
          <w:rFonts w:asciiTheme="minorHAnsi" w:hAnsiTheme="minorHAnsi" w:cstheme="minorHAnsi"/>
          <w:b/>
          <w:color w:val="auto"/>
        </w:rPr>
        <w:t>Contexte géographique et démographique</w:t>
      </w:r>
    </w:p>
    <w:p w14:paraId="4ED5ECEB" w14:textId="77777777" w:rsidR="00592C25" w:rsidRPr="00EB2626" w:rsidRDefault="00592C25" w:rsidP="00EB2626">
      <w:pPr>
        <w:pStyle w:val="Default"/>
        <w:spacing w:line="360" w:lineRule="auto"/>
        <w:jc w:val="both"/>
        <w:rPr>
          <w:rFonts w:asciiTheme="minorHAnsi" w:hAnsiTheme="minorHAnsi" w:cstheme="minorHAnsi"/>
        </w:rPr>
      </w:pPr>
      <w:r w:rsidRPr="00EB2626">
        <w:rPr>
          <w:rFonts w:asciiTheme="minorHAnsi" w:hAnsiTheme="minorHAnsi" w:cstheme="minorHAnsi"/>
        </w:rPr>
        <w:t xml:space="preserve">Le Burkina Faso est un pays sahélien enclavé d’une superficie d’environ 274 200 Km2. Il est limité au nord et à l’ouest par le Mali, au nord et à l’est par le Niger, au sud-est par le Bénin et au sud par la Côte d’Ivoire, le Ghana et le Togo. </w:t>
      </w:r>
    </w:p>
    <w:p w14:paraId="7FEEC1AB" w14:textId="77777777" w:rsidR="00592C25" w:rsidRPr="00EB2626" w:rsidRDefault="00592C25" w:rsidP="00EB2626">
      <w:pPr>
        <w:pStyle w:val="Standard"/>
        <w:spacing w:before="60" w:after="0" w:line="360" w:lineRule="auto"/>
        <w:jc w:val="both"/>
        <w:rPr>
          <w:rFonts w:asciiTheme="minorHAnsi" w:hAnsiTheme="minorHAnsi" w:cstheme="minorHAnsi"/>
          <w:b/>
          <w:color w:val="auto"/>
        </w:rPr>
      </w:pPr>
      <w:r w:rsidRPr="00EB2626">
        <w:rPr>
          <w:rFonts w:asciiTheme="minorHAnsi" w:hAnsiTheme="minorHAnsi" w:cstheme="minorHAnsi"/>
        </w:rPr>
        <w:t xml:space="preserve">Le Burkina a un climat tropical de type soudanien avec une pluviométrie moyenne annuelle varie de 300 mm au nord à plus de 1200 mm au sud-ouest. </w:t>
      </w:r>
    </w:p>
    <w:p w14:paraId="0588B636" w14:textId="77777777" w:rsidR="00C64E36" w:rsidRPr="00EB2626" w:rsidRDefault="00C64E36" w:rsidP="00EB2626">
      <w:pPr>
        <w:autoSpaceDE w:val="0"/>
        <w:autoSpaceDN w:val="0"/>
        <w:adjustRightInd w:val="0"/>
        <w:spacing w:after="0" w:line="360" w:lineRule="auto"/>
        <w:jc w:val="both"/>
        <w:rPr>
          <w:rFonts w:cstheme="minorHAnsi"/>
          <w:sz w:val="24"/>
          <w:szCs w:val="24"/>
        </w:rPr>
      </w:pPr>
      <w:r w:rsidRPr="00EB2626">
        <w:rPr>
          <w:rFonts w:cstheme="minorHAnsi"/>
          <w:sz w:val="24"/>
          <w:szCs w:val="24"/>
        </w:rPr>
        <w:lastRenderedPageBreak/>
        <w:t>La population du Burkina Faso est estimée à 19 034 397 habitants en 2016</w:t>
      </w:r>
      <w:r w:rsidR="00F812E1" w:rsidRPr="00EB2626">
        <w:rPr>
          <w:rFonts w:cstheme="minorHAnsi"/>
          <w:sz w:val="24"/>
          <w:szCs w:val="24"/>
        </w:rPr>
        <w:t>, soit une densité d’environ 69 habitants/km</w:t>
      </w:r>
      <w:r w:rsidR="00F812E1" w:rsidRPr="00EB2626">
        <w:rPr>
          <w:rFonts w:cstheme="minorHAnsi"/>
          <w:sz w:val="24"/>
          <w:szCs w:val="24"/>
          <w:vertAlign w:val="superscript"/>
        </w:rPr>
        <w:t>2</w:t>
      </w:r>
      <w:r w:rsidR="00F812E1" w:rsidRPr="00EB2626">
        <w:rPr>
          <w:rFonts w:cstheme="minorHAnsi"/>
          <w:sz w:val="24"/>
          <w:szCs w:val="24"/>
        </w:rPr>
        <w:t>. Avec une forte croissance démographique autour de 3,1%</w:t>
      </w:r>
      <w:r w:rsidR="00120BD6" w:rsidRPr="00EB2626">
        <w:rPr>
          <w:rStyle w:val="Appelnotedebasdep"/>
          <w:rFonts w:cstheme="minorHAnsi"/>
          <w:sz w:val="24"/>
          <w:szCs w:val="24"/>
        </w:rPr>
        <w:footnoteReference w:id="1"/>
      </w:r>
      <w:r w:rsidR="00F812E1" w:rsidRPr="00EB2626">
        <w:rPr>
          <w:rFonts w:cstheme="minorHAnsi"/>
          <w:sz w:val="24"/>
          <w:szCs w:val="24"/>
        </w:rPr>
        <w:t xml:space="preserve">, la population </w:t>
      </w:r>
      <w:r w:rsidRPr="00EB2626">
        <w:rPr>
          <w:rFonts w:cstheme="minorHAnsi"/>
          <w:sz w:val="24"/>
          <w:szCs w:val="24"/>
        </w:rPr>
        <w:t xml:space="preserve">pourrait atteindre </w:t>
      </w:r>
      <w:r w:rsidR="00592C25" w:rsidRPr="00EB2626">
        <w:rPr>
          <w:rFonts w:cstheme="minorHAnsi"/>
          <w:sz w:val="24"/>
          <w:szCs w:val="24"/>
        </w:rPr>
        <w:t>21 510 181 d'habitants en 2020</w:t>
      </w:r>
      <w:r w:rsidRPr="00EB2626">
        <w:rPr>
          <w:rFonts w:cstheme="minorHAnsi"/>
          <w:sz w:val="24"/>
          <w:szCs w:val="24"/>
        </w:rPr>
        <w:t xml:space="preserve">. </w:t>
      </w:r>
      <w:r w:rsidR="00120BD6" w:rsidRPr="00EB2626">
        <w:rPr>
          <w:sz w:val="24"/>
          <w:szCs w:val="24"/>
        </w:rPr>
        <w:t xml:space="preserve">Le taux brut de natalité est estimé à 46,0‰, celui de la mortalité générale est de 11,8‰ et l’espérance de vie à la naissance de 56,7 ans. L’indice synthétique de fécondité est de 6,2. </w:t>
      </w:r>
      <w:r w:rsidR="00120BD6" w:rsidRPr="00EB2626">
        <w:rPr>
          <w:rFonts w:cstheme="minorHAnsi"/>
          <w:sz w:val="24"/>
          <w:szCs w:val="24"/>
        </w:rPr>
        <w:t>La</w:t>
      </w:r>
      <w:r w:rsidRPr="00EB2626">
        <w:rPr>
          <w:rFonts w:cstheme="minorHAnsi"/>
          <w:sz w:val="24"/>
          <w:szCs w:val="24"/>
        </w:rPr>
        <w:t xml:space="preserve"> population</w:t>
      </w:r>
      <w:r w:rsidR="00120BD6" w:rsidRPr="00EB2626">
        <w:rPr>
          <w:rFonts w:cstheme="minorHAnsi"/>
          <w:sz w:val="24"/>
          <w:szCs w:val="24"/>
        </w:rPr>
        <w:t xml:space="preserve"> du Burkina </w:t>
      </w:r>
      <w:r w:rsidR="00D54A49" w:rsidRPr="00EB2626">
        <w:rPr>
          <w:rFonts w:cstheme="minorHAnsi"/>
          <w:sz w:val="24"/>
          <w:szCs w:val="24"/>
        </w:rPr>
        <w:t>Faso est</w:t>
      </w:r>
      <w:r w:rsidRPr="00EB2626">
        <w:rPr>
          <w:rFonts w:cstheme="minorHAnsi"/>
          <w:sz w:val="24"/>
          <w:szCs w:val="24"/>
        </w:rPr>
        <w:t xml:space="preserve"> caractérisée par son </w:t>
      </w:r>
      <w:r w:rsidR="00592C25" w:rsidRPr="00EB2626">
        <w:rPr>
          <w:rFonts w:cstheme="minorHAnsi"/>
          <w:sz w:val="24"/>
          <w:szCs w:val="24"/>
        </w:rPr>
        <w:t xml:space="preserve">extrême jeunesse avec </w:t>
      </w:r>
      <w:r w:rsidRPr="00EB2626">
        <w:rPr>
          <w:rFonts w:cstheme="minorHAnsi"/>
          <w:sz w:val="24"/>
          <w:szCs w:val="24"/>
        </w:rPr>
        <w:t>47% de la population âgée de moins de 15 ans, 67% de moins de 25 ans et 33,2% des jeunes ont un âge compris entre 15 et 35 ans.</w:t>
      </w:r>
      <w:r w:rsidR="00170FB3" w:rsidRPr="00EB2626">
        <w:rPr>
          <w:rFonts w:cstheme="minorHAnsi"/>
          <w:sz w:val="24"/>
          <w:szCs w:val="24"/>
        </w:rPr>
        <w:t xml:space="preserve"> L’espérance de vie à la naissance est de 55,5 ans.</w:t>
      </w:r>
    </w:p>
    <w:p w14:paraId="68C2D71C" w14:textId="77777777" w:rsidR="00170FB3" w:rsidRPr="00EB2626" w:rsidRDefault="00170FB3" w:rsidP="00EB2626">
      <w:pPr>
        <w:pStyle w:val="Paragraphedeliste"/>
        <w:numPr>
          <w:ilvl w:val="2"/>
          <w:numId w:val="1"/>
        </w:numPr>
        <w:autoSpaceDE w:val="0"/>
        <w:autoSpaceDN w:val="0"/>
        <w:adjustRightInd w:val="0"/>
        <w:spacing w:after="0" w:line="360" w:lineRule="auto"/>
        <w:jc w:val="both"/>
        <w:rPr>
          <w:rFonts w:cstheme="minorHAnsi"/>
          <w:b/>
          <w:sz w:val="24"/>
          <w:szCs w:val="24"/>
        </w:rPr>
      </w:pPr>
      <w:r w:rsidRPr="00EB2626">
        <w:rPr>
          <w:rFonts w:cstheme="minorHAnsi"/>
          <w:b/>
          <w:sz w:val="24"/>
          <w:szCs w:val="24"/>
        </w:rPr>
        <w:t xml:space="preserve">Contexte </w:t>
      </w:r>
      <w:r w:rsidR="009656DE" w:rsidRPr="00EB2626">
        <w:rPr>
          <w:rFonts w:cstheme="minorHAnsi"/>
          <w:b/>
          <w:sz w:val="24"/>
          <w:szCs w:val="24"/>
        </w:rPr>
        <w:t>politique</w:t>
      </w:r>
      <w:r w:rsidR="00FD2E8B" w:rsidRPr="00EB2626">
        <w:rPr>
          <w:rFonts w:cstheme="minorHAnsi"/>
          <w:b/>
          <w:sz w:val="24"/>
          <w:szCs w:val="24"/>
        </w:rPr>
        <w:t xml:space="preserve"> et administratif</w:t>
      </w:r>
    </w:p>
    <w:p w14:paraId="15C32E6F" w14:textId="77777777" w:rsidR="0055350B" w:rsidRPr="00EB2626" w:rsidRDefault="0055350B" w:rsidP="00EB2626">
      <w:pPr>
        <w:spacing w:after="0" w:line="360" w:lineRule="auto"/>
        <w:jc w:val="both"/>
        <w:rPr>
          <w:rFonts w:eastAsia="Times New Roman" w:cs="Times New Roman"/>
          <w:sz w:val="24"/>
          <w:szCs w:val="24"/>
          <w:lang w:eastAsia="fr-FR"/>
        </w:rPr>
      </w:pPr>
      <w:r w:rsidRPr="00EB2626">
        <w:rPr>
          <w:rFonts w:eastAsia="Times New Roman" w:cs="Times New Roman"/>
          <w:sz w:val="24"/>
          <w:szCs w:val="24"/>
          <w:lang w:eastAsia="fr-FR"/>
        </w:rPr>
        <w:t>Sur le plan administratif, le Burkina Faso est subdivisé en 13 régions dirigées chacune par un Gouverneur de région, 45 provinces subdivisées en départements qui sont constituées par un ensemble de villages.  On dénombre 18 centres urbains dans le pays dont Ouagadougou est la capitale politique et Bobo-Dioulasso la capitale économique.</w:t>
      </w:r>
    </w:p>
    <w:p w14:paraId="7BD902F5" w14:textId="77777777" w:rsidR="0055350B" w:rsidRPr="00EB2626" w:rsidRDefault="00AB5973" w:rsidP="00EB2626">
      <w:pPr>
        <w:spacing w:after="0" w:line="360" w:lineRule="auto"/>
        <w:jc w:val="both"/>
        <w:rPr>
          <w:rFonts w:eastAsia="Times New Roman" w:cs="Times New Roman"/>
          <w:sz w:val="24"/>
          <w:szCs w:val="24"/>
          <w:lang w:eastAsia="fr-FR"/>
        </w:rPr>
      </w:pPr>
      <w:r w:rsidRPr="00EB2626">
        <w:rPr>
          <w:rFonts w:eastAsia="Times New Roman" w:cs="Times New Roman"/>
          <w:sz w:val="24"/>
          <w:szCs w:val="24"/>
          <w:lang w:eastAsia="fr-FR"/>
        </w:rPr>
        <w:t xml:space="preserve">Depuis </w:t>
      </w:r>
      <w:r w:rsidR="00D54A49" w:rsidRPr="00EB2626">
        <w:rPr>
          <w:rFonts w:eastAsia="Times New Roman" w:cs="Times New Roman"/>
          <w:sz w:val="24"/>
          <w:szCs w:val="24"/>
          <w:lang w:eastAsia="fr-FR"/>
        </w:rPr>
        <w:t>2012, le</w:t>
      </w:r>
      <w:r w:rsidR="0055350B" w:rsidRPr="00EB2626">
        <w:rPr>
          <w:rFonts w:eastAsia="Times New Roman" w:cs="Times New Roman"/>
          <w:sz w:val="24"/>
          <w:szCs w:val="24"/>
          <w:lang w:eastAsia="fr-FR"/>
        </w:rPr>
        <w:t xml:space="preserve"> Burkina Faso s’est </w:t>
      </w:r>
      <w:r w:rsidRPr="00EB2626">
        <w:rPr>
          <w:rFonts w:eastAsia="Times New Roman" w:cs="Times New Roman"/>
          <w:sz w:val="24"/>
          <w:szCs w:val="24"/>
          <w:lang w:eastAsia="fr-FR"/>
        </w:rPr>
        <w:t>engagé</w:t>
      </w:r>
      <w:r w:rsidR="0055350B" w:rsidRPr="00EB2626">
        <w:rPr>
          <w:rFonts w:eastAsia="Times New Roman" w:cs="Times New Roman"/>
          <w:sz w:val="24"/>
          <w:szCs w:val="24"/>
          <w:lang w:eastAsia="fr-FR"/>
        </w:rPr>
        <w:t xml:space="preserve"> </w:t>
      </w:r>
      <w:r w:rsidRPr="00EB2626">
        <w:rPr>
          <w:rFonts w:eastAsia="Times New Roman" w:cs="Times New Roman"/>
          <w:sz w:val="24"/>
          <w:szCs w:val="24"/>
          <w:lang w:eastAsia="fr-FR"/>
        </w:rPr>
        <w:t xml:space="preserve">dans une politique de décentralisation accompagnée d’une déconcentration des services de l’Etat dans le but de renforcer les capacités d’action des collectivités territoriales et </w:t>
      </w:r>
      <w:r w:rsidR="0055350B" w:rsidRPr="00EB2626">
        <w:rPr>
          <w:rFonts w:eastAsia="Times New Roman" w:cs="Times New Roman"/>
          <w:sz w:val="24"/>
          <w:szCs w:val="24"/>
          <w:lang w:eastAsia="fr-FR"/>
        </w:rPr>
        <w:t>a créé des col</w:t>
      </w:r>
      <w:r w:rsidRPr="00EB2626">
        <w:rPr>
          <w:rFonts w:eastAsia="Times New Roman" w:cs="Times New Roman"/>
          <w:sz w:val="24"/>
          <w:szCs w:val="24"/>
          <w:lang w:eastAsia="fr-FR"/>
        </w:rPr>
        <w:t xml:space="preserve">lectivités locales que sont les </w:t>
      </w:r>
      <w:r w:rsidR="0055350B" w:rsidRPr="00EB2626">
        <w:rPr>
          <w:rFonts w:eastAsia="Times New Roman" w:cs="Times New Roman"/>
          <w:sz w:val="24"/>
          <w:szCs w:val="24"/>
          <w:lang w:eastAsia="fr-FR"/>
        </w:rPr>
        <w:t>régions</w:t>
      </w:r>
      <w:r w:rsidRPr="00EB2626">
        <w:rPr>
          <w:rFonts w:eastAsia="Times New Roman" w:cs="Times New Roman"/>
          <w:sz w:val="24"/>
          <w:szCs w:val="24"/>
          <w:lang w:eastAsia="fr-FR"/>
        </w:rPr>
        <w:t xml:space="preserve"> (13)</w:t>
      </w:r>
      <w:r w:rsidR="0055350B" w:rsidRPr="00EB2626">
        <w:rPr>
          <w:rFonts w:eastAsia="Times New Roman" w:cs="Times New Roman"/>
          <w:sz w:val="24"/>
          <w:szCs w:val="24"/>
          <w:lang w:eastAsia="fr-FR"/>
        </w:rPr>
        <w:t xml:space="preserve"> et les communes</w:t>
      </w:r>
      <w:r w:rsidRPr="00EB2626">
        <w:rPr>
          <w:rFonts w:eastAsia="Times New Roman" w:cs="Times New Roman"/>
          <w:sz w:val="24"/>
          <w:szCs w:val="24"/>
          <w:lang w:eastAsia="fr-FR"/>
        </w:rPr>
        <w:t xml:space="preserve"> (350)</w:t>
      </w:r>
      <w:r w:rsidR="0055350B" w:rsidRPr="00EB2626">
        <w:rPr>
          <w:rFonts w:eastAsia="Times New Roman" w:cs="Times New Roman"/>
          <w:sz w:val="24"/>
          <w:szCs w:val="24"/>
          <w:lang w:eastAsia="fr-FR"/>
        </w:rPr>
        <w:t>.</w:t>
      </w:r>
    </w:p>
    <w:p w14:paraId="4F535868" w14:textId="77777777" w:rsidR="00120BD6" w:rsidRPr="00EB2626" w:rsidRDefault="00453A08" w:rsidP="00EB2626">
      <w:pPr>
        <w:spacing w:line="360" w:lineRule="auto"/>
        <w:jc w:val="both"/>
        <w:rPr>
          <w:sz w:val="24"/>
          <w:szCs w:val="24"/>
        </w:rPr>
      </w:pPr>
      <w:r w:rsidRPr="00EB2626">
        <w:rPr>
          <w:sz w:val="24"/>
          <w:szCs w:val="24"/>
        </w:rPr>
        <w:t xml:space="preserve">Sur le plan politique, le pays a connu une première crise en 2011suivie de plusieurs rebondissements qui ont conduit </w:t>
      </w:r>
      <w:r w:rsidR="00D54A49" w:rsidRPr="00EB2626">
        <w:rPr>
          <w:sz w:val="24"/>
          <w:szCs w:val="24"/>
        </w:rPr>
        <w:t>à la</w:t>
      </w:r>
      <w:r w:rsidRPr="00EB2626">
        <w:rPr>
          <w:sz w:val="24"/>
          <w:szCs w:val="24"/>
        </w:rPr>
        <w:t xml:space="preserve"> chute de l’ancien régime.  Le gouvernement de transition, mis en place, a été lui-même secouée par </w:t>
      </w:r>
      <w:r w:rsidR="00D54A49" w:rsidRPr="00EB2626">
        <w:rPr>
          <w:sz w:val="24"/>
          <w:szCs w:val="24"/>
        </w:rPr>
        <w:t>une tentative</w:t>
      </w:r>
      <w:r w:rsidRPr="00EB2626">
        <w:rPr>
          <w:sz w:val="24"/>
          <w:szCs w:val="24"/>
        </w:rPr>
        <w:t xml:space="preserve"> de coup d’état et finalement des institutions démocratiquement élus ont été mises en place en 2015.</w:t>
      </w:r>
    </w:p>
    <w:p w14:paraId="4B735ABB" w14:textId="77777777" w:rsidR="00E67D19" w:rsidRPr="00EB2626" w:rsidRDefault="00E67D19" w:rsidP="00EB2626">
      <w:pPr>
        <w:pStyle w:val="Standard"/>
        <w:numPr>
          <w:ilvl w:val="2"/>
          <w:numId w:val="1"/>
        </w:numPr>
        <w:spacing w:before="60" w:after="0" w:line="360" w:lineRule="auto"/>
        <w:jc w:val="both"/>
        <w:rPr>
          <w:rFonts w:asciiTheme="minorHAnsi" w:hAnsiTheme="minorHAnsi" w:cstheme="minorHAnsi"/>
          <w:b/>
          <w:color w:val="auto"/>
        </w:rPr>
      </w:pPr>
      <w:r w:rsidRPr="00EB2626">
        <w:rPr>
          <w:rFonts w:asciiTheme="minorHAnsi" w:hAnsiTheme="minorHAnsi" w:cstheme="minorHAnsi"/>
          <w:b/>
          <w:color w:val="auto"/>
        </w:rPr>
        <w:t>Situation socio-économique</w:t>
      </w:r>
    </w:p>
    <w:p w14:paraId="236CA6AE" w14:textId="77777777" w:rsidR="00170FB3" w:rsidRPr="00D54A49" w:rsidRDefault="00685B2D" w:rsidP="00EB2626">
      <w:pPr>
        <w:autoSpaceDE w:val="0"/>
        <w:autoSpaceDN w:val="0"/>
        <w:adjustRightInd w:val="0"/>
        <w:spacing w:after="0" w:line="360" w:lineRule="auto"/>
        <w:jc w:val="both"/>
        <w:rPr>
          <w:rFonts w:cs="Rockwell"/>
          <w:sz w:val="24"/>
          <w:szCs w:val="24"/>
        </w:rPr>
      </w:pPr>
      <w:r w:rsidRPr="00EB2626">
        <w:rPr>
          <w:rFonts w:cs="Rockwell"/>
          <w:sz w:val="24"/>
          <w:szCs w:val="24"/>
        </w:rPr>
        <w:t xml:space="preserve">Le Burkina Faso connaît une croissance économique fluctuante, qui s'est renforcée ces dernières années avec un taux de croissance annuel moyen du Produit intérieur brut (PIB) réel de 5,5% entre 2011 et 2015. </w:t>
      </w:r>
      <w:r w:rsidR="009C0D79" w:rsidRPr="00EB2626">
        <w:rPr>
          <w:rFonts w:cs="Rockwell"/>
          <w:sz w:val="24"/>
          <w:szCs w:val="24"/>
        </w:rPr>
        <w:t>Mais le</w:t>
      </w:r>
      <w:r w:rsidRPr="00EB2626">
        <w:rPr>
          <w:rFonts w:cs="Rockwell"/>
          <w:sz w:val="24"/>
          <w:szCs w:val="24"/>
        </w:rPr>
        <w:t xml:space="preserve"> taux </w:t>
      </w:r>
      <w:r w:rsidR="009C0D79" w:rsidRPr="00EB2626">
        <w:rPr>
          <w:rFonts w:cs="Rockwell"/>
          <w:sz w:val="24"/>
          <w:szCs w:val="24"/>
        </w:rPr>
        <w:t xml:space="preserve">de la croissance moyenne du PIB par habitant n'a été que de 2,3% a cause </w:t>
      </w:r>
      <w:r w:rsidRPr="00EB2626">
        <w:rPr>
          <w:rFonts w:cs="Rockwell"/>
          <w:sz w:val="24"/>
          <w:szCs w:val="24"/>
        </w:rPr>
        <w:t>de</w:t>
      </w:r>
      <w:r w:rsidR="009C0D79" w:rsidRPr="00EB2626">
        <w:rPr>
          <w:rFonts w:cs="Rockwell"/>
          <w:sz w:val="24"/>
          <w:szCs w:val="24"/>
        </w:rPr>
        <w:t xml:space="preserve"> la forte</w:t>
      </w:r>
      <w:r w:rsidRPr="00EB2626">
        <w:rPr>
          <w:rFonts w:cs="Rockwell"/>
          <w:sz w:val="24"/>
          <w:szCs w:val="24"/>
        </w:rPr>
        <w:t xml:space="preserve"> cro</w:t>
      </w:r>
      <w:r w:rsidR="009C0D79" w:rsidRPr="00EB2626">
        <w:rPr>
          <w:rFonts w:cs="Rockwell"/>
          <w:sz w:val="24"/>
          <w:szCs w:val="24"/>
        </w:rPr>
        <w:t>issance démographique (</w:t>
      </w:r>
      <w:r w:rsidRPr="00EB2626">
        <w:rPr>
          <w:rFonts w:cs="Rockwell"/>
          <w:sz w:val="24"/>
          <w:szCs w:val="24"/>
        </w:rPr>
        <w:t>3,1%</w:t>
      </w:r>
      <w:r w:rsidR="009C0D79" w:rsidRPr="00EB2626">
        <w:rPr>
          <w:rFonts w:cs="Rockwell"/>
          <w:sz w:val="24"/>
          <w:szCs w:val="24"/>
        </w:rPr>
        <w:t>). L</w:t>
      </w:r>
      <w:r w:rsidRPr="00EB2626">
        <w:rPr>
          <w:rFonts w:cs="Rockwell"/>
          <w:sz w:val="24"/>
          <w:szCs w:val="24"/>
        </w:rPr>
        <w:t>'incidence de la</w:t>
      </w:r>
      <w:r w:rsidR="009C0D79" w:rsidRPr="00EB2626">
        <w:rPr>
          <w:rFonts w:cs="Rockwell"/>
          <w:sz w:val="24"/>
          <w:szCs w:val="24"/>
        </w:rPr>
        <w:t xml:space="preserve"> pauvreté monétaire n’a connu qu’une légère baisse passant de 46,7% en 2009, pour un seuil de 108 454 FCFA à 40,1% en 2014 pour un seuil de pauvreté, estimé à 153 530 FCFA.</w:t>
      </w:r>
      <w:r w:rsidR="00831EC3" w:rsidRPr="00EB2626">
        <w:rPr>
          <w:rFonts w:cs="Rockwell"/>
          <w:sz w:val="24"/>
          <w:szCs w:val="24"/>
        </w:rPr>
        <w:t xml:space="preserve"> La pauvreté est fondamentalement rurale, avec une incidence de 47,5% contre 13,6% en milieu urbain.</w:t>
      </w:r>
      <w:r w:rsidR="00D54A49">
        <w:rPr>
          <w:rFonts w:cs="Rockwell"/>
          <w:sz w:val="24"/>
          <w:szCs w:val="24"/>
        </w:rPr>
        <w:t xml:space="preserve"> </w:t>
      </w:r>
      <w:r w:rsidR="00170FB3" w:rsidRPr="00EB2626">
        <w:rPr>
          <w:rFonts w:cs="TimesNewRomanPSMT"/>
          <w:sz w:val="24"/>
          <w:szCs w:val="24"/>
        </w:rPr>
        <w:t>Les problèmes de sécurité alimentaire sont récurrents et la malnutrition reste très</w:t>
      </w:r>
    </w:p>
    <w:p w14:paraId="1A432686" w14:textId="77777777" w:rsidR="00685B2D" w:rsidRPr="00D54A49" w:rsidRDefault="00D54A49" w:rsidP="00EB2626">
      <w:pPr>
        <w:autoSpaceDE w:val="0"/>
        <w:autoSpaceDN w:val="0"/>
        <w:adjustRightInd w:val="0"/>
        <w:spacing w:after="0" w:line="360" w:lineRule="auto"/>
        <w:jc w:val="both"/>
        <w:rPr>
          <w:rFonts w:cs="TimesNewRomanPSMT"/>
          <w:sz w:val="24"/>
          <w:szCs w:val="24"/>
        </w:rPr>
      </w:pPr>
      <w:r w:rsidRPr="00EB2626">
        <w:rPr>
          <w:rFonts w:cs="TimesNewRomanPSMT"/>
          <w:sz w:val="24"/>
          <w:szCs w:val="24"/>
        </w:rPr>
        <w:lastRenderedPageBreak/>
        <w:t>Importante</w:t>
      </w:r>
      <w:r w:rsidR="00170FB3" w:rsidRPr="00EB2626">
        <w:rPr>
          <w:rFonts w:cs="TimesNewRomanPSMT"/>
          <w:sz w:val="24"/>
          <w:szCs w:val="24"/>
        </w:rPr>
        <w:t xml:space="preserve"> : environ 30 % de la population est confrontée à une insécurité alimentaire chronique.</w:t>
      </w:r>
      <w:r>
        <w:rPr>
          <w:rFonts w:cs="TimesNewRomanPSMT"/>
          <w:sz w:val="24"/>
          <w:szCs w:val="24"/>
        </w:rPr>
        <w:t xml:space="preserve"> </w:t>
      </w:r>
      <w:r w:rsidR="00831EC3" w:rsidRPr="00EB2626">
        <w:rPr>
          <w:rFonts w:cs="Rockwell"/>
          <w:sz w:val="24"/>
          <w:szCs w:val="24"/>
        </w:rPr>
        <w:t>L</w:t>
      </w:r>
      <w:r w:rsidR="00685B2D" w:rsidRPr="00EB2626">
        <w:rPr>
          <w:rFonts w:cs="Rockwell"/>
          <w:sz w:val="24"/>
          <w:szCs w:val="24"/>
        </w:rPr>
        <w:t xml:space="preserve">e niveau de l'Indice de développement humain (IDH) du Burkina Faso </w:t>
      </w:r>
      <w:r w:rsidR="00831EC3" w:rsidRPr="00EB2626">
        <w:rPr>
          <w:rFonts w:cs="Rockwell"/>
          <w:sz w:val="24"/>
          <w:szCs w:val="24"/>
        </w:rPr>
        <w:t xml:space="preserve">était de </w:t>
      </w:r>
      <w:r w:rsidR="00685B2D" w:rsidRPr="00EB2626">
        <w:rPr>
          <w:rFonts w:cs="Rockwell"/>
          <w:sz w:val="24"/>
          <w:szCs w:val="24"/>
        </w:rPr>
        <w:t>0,420 en 2014, le classant dans la catégorie des pays à faible niveau de développement.</w:t>
      </w:r>
    </w:p>
    <w:p w14:paraId="1D2996D5" w14:textId="77777777" w:rsidR="00E67D19" w:rsidRPr="00EB2626" w:rsidRDefault="00E67D19" w:rsidP="00EB2626">
      <w:pPr>
        <w:pStyle w:val="Standard"/>
        <w:numPr>
          <w:ilvl w:val="2"/>
          <w:numId w:val="1"/>
        </w:numPr>
        <w:spacing w:before="60" w:after="0" w:line="360" w:lineRule="auto"/>
        <w:jc w:val="both"/>
        <w:rPr>
          <w:rFonts w:asciiTheme="minorHAnsi" w:hAnsiTheme="minorHAnsi" w:cstheme="minorHAnsi"/>
          <w:b/>
          <w:color w:val="auto"/>
        </w:rPr>
      </w:pPr>
      <w:r w:rsidRPr="00EB2626">
        <w:rPr>
          <w:rFonts w:asciiTheme="minorHAnsi" w:hAnsiTheme="minorHAnsi" w:cstheme="minorHAnsi"/>
          <w:b/>
          <w:color w:val="auto"/>
        </w:rPr>
        <w:t>Situation sanitaire</w:t>
      </w:r>
    </w:p>
    <w:p w14:paraId="5F8C2D0A" w14:textId="77777777" w:rsidR="00D04D60" w:rsidRPr="00EB2626" w:rsidRDefault="00D04D60" w:rsidP="00EB2626">
      <w:pPr>
        <w:pStyle w:val="Standard"/>
        <w:numPr>
          <w:ilvl w:val="3"/>
          <w:numId w:val="1"/>
        </w:numPr>
        <w:spacing w:before="60" w:after="0" w:line="360" w:lineRule="auto"/>
        <w:jc w:val="both"/>
        <w:rPr>
          <w:rFonts w:asciiTheme="minorHAnsi" w:hAnsiTheme="minorHAnsi" w:cstheme="minorHAnsi"/>
          <w:b/>
          <w:color w:val="auto"/>
        </w:rPr>
      </w:pPr>
      <w:r w:rsidRPr="00EB2626">
        <w:rPr>
          <w:rFonts w:asciiTheme="minorHAnsi" w:hAnsiTheme="minorHAnsi" w:cstheme="minorHAnsi"/>
          <w:b/>
          <w:color w:val="auto"/>
        </w:rPr>
        <w:t>Organisation</w:t>
      </w:r>
      <w:r w:rsidR="00D54A49">
        <w:rPr>
          <w:rFonts w:asciiTheme="minorHAnsi" w:hAnsiTheme="minorHAnsi" w:cstheme="minorHAnsi"/>
          <w:b/>
          <w:color w:val="auto"/>
        </w:rPr>
        <w:t xml:space="preserve"> administrative et organisation des soins</w:t>
      </w:r>
    </w:p>
    <w:p w14:paraId="1FA8B34C" w14:textId="77777777" w:rsidR="0076522C" w:rsidRDefault="00231001" w:rsidP="00EB2626">
      <w:pPr>
        <w:autoSpaceDE w:val="0"/>
        <w:autoSpaceDN w:val="0"/>
        <w:adjustRightInd w:val="0"/>
        <w:spacing w:after="0" w:line="360" w:lineRule="auto"/>
        <w:jc w:val="both"/>
        <w:rPr>
          <w:rFonts w:cs="Optima"/>
          <w:color w:val="231F20"/>
          <w:sz w:val="24"/>
          <w:szCs w:val="24"/>
        </w:rPr>
      </w:pPr>
      <w:r w:rsidRPr="00EB2626">
        <w:rPr>
          <w:rFonts w:cs="Optima"/>
          <w:color w:val="231F20"/>
          <w:sz w:val="24"/>
          <w:szCs w:val="24"/>
        </w:rPr>
        <w:t>Sur le plan administratif, le système de santé comprend trois niveaux :</w:t>
      </w:r>
    </w:p>
    <w:tbl>
      <w:tblPr>
        <w:tblStyle w:val="Grilledutableau"/>
        <w:tblW w:w="0" w:type="auto"/>
        <w:tblLook w:val="04A0" w:firstRow="1" w:lastRow="0" w:firstColumn="1" w:lastColumn="0" w:noHBand="0" w:noVBand="1"/>
      </w:tblPr>
      <w:tblGrid>
        <w:gridCol w:w="3256"/>
        <w:gridCol w:w="2785"/>
        <w:gridCol w:w="3021"/>
      </w:tblGrid>
      <w:tr w:rsidR="003F2F2E" w:rsidRPr="003F2F2E" w14:paraId="0565F39F" w14:textId="77777777" w:rsidTr="00D54A49">
        <w:tc>
          <w:tcPr>
            <w:tcW w:w="3256" w:type="dxa"/>
            <w:tcBorders>
              <w:right w:val="nil"/>
            </w:tcBorders>
          </w:tcPr>
          <w:p w14:paraId="25F33C35" w14:textId="77777777" w:rsidR="003F2F2E" w:rsidRPr="003F2F2E" w:rsidRDefault="003F2F2E" w:rsidP="003F2F2E">
            <w:pPr>
              <w:autoSpaceDE w:val="0"/>
              <w:autoSpaceDN w:val="0"/>
              <w:adjustRightInd w:val="0"/>
              <w:spacing w:line="360" w:lineRule="auto"/>
              <w:jc w:val="center"/>
              <w:rPr>
                <w:rFonts w:cs="Optima"/>
                <w:b/>
                <w:noProof/>
                <w:color w:val="231F20"/>
                <w:sz w:val="20"/>
                <w:szCs w:val="20"/>
              </w:rPr>
            </w:pPr>
            <w:r w:rsidRPr="003F2F2E">
              <w:rPr>
                <w:rFonts w:cs="Optima"/>
                <w:b/>
                <w:noProof/>
                <w:color w:val="231F20"/>
                <w:sz w:val="20"/>
                <w:szCs w:val="20"/>
              </w:rPr>
              <w:t>ORGANISATION ADMINISTRATIVE</w:t>
            </w:r>
          </w:p>
        </w:tc>
        <w:tc>
          <w:tcPr>
            <w:tcW w:w="2785" w:type="dxa"/>
            <w:tcBorders>
              <w:left w:val="nil"/>
              <w:right w:val="nil"/>
            </w:tcBorders>
          </w:tcPr>
          <w:p w14:paraId="7F598FAC" w14:textId="77777777" w:rsidR="003F2F2E" w:rsidRPr="003F2F2E" w:rsidRDefault="003F2F2E" w:rsidP="003F2F2E">
            <w:pPr>
              <w:autoSpaceDE w:val="0"/>
              <w:autoSpaceDN w:val="0"/>
              <w:adjustRightInd w:val="0"/>
              <w:spacing w:line="360" w:lineRule="auto"/>
              <w:jc w:val="center"/>
              <w:rPr>
                <w:rFonts w:cs="Optima"/>
                <w:b/>
                <w:noProof/>
                <w:color w:val="231F20"/>
                <w:sz w:val="20"/>
                <w:szCs w:val="20"/>
              </w:rPr>
            </w:pPr>
            <w:r w:rsidRPr="003F2F2E">
              <w:rPr>
                <w:rFonts w:cs="Optima"/>
                <w:b/>
                <w:noProof/>
                <w:color w:val="231F20"/>
                <w:sz w:val="20"/>
                <w:szCs w:val="20"/>
              </w:rPr>
              <w:t>NIVEAUX</w:t>
            </w:r>
          </w:p>
        </w:tc>
        <w:tc>
          <w:tcPr>
            <w:tcW w:w="3021" w:type="dxa"/>
            <w:tcBorders>
              <w:left w:val="nil"/>
            </w:tcBorders>
          </w:tcPr>
          <w:p w14:paraId="29E9B232" w14:textId="77777777" w:rsidR="003F2F2E" w:rsidRPr="003F2F2E" w:rsidRDefault="003F2F2E" w:rsidP="003F2F2E">
            <w:pPr>
              <w:autoSpaceDE w:val="0"/>
              <w:autoSpaceDN w:val="0"/>
              <w:adjustRightInd w:val="0"/>
              <w:spacing w:line="360" w:lineRule="auto"/>
              <w:jc w:val="center"/>
              <w:rPr>
                <w:rFonts w:cs="Optima"/>
                <w:b/>
                <w:noProof/>
                <w:color w:val="231F20"/>
                <w:sz w:val="20"/>
                <w:szCs w:val="20"/>
              </w:rPr>
            </w:pPr>
            <w:r w:rsidRPr="003F2F2E">
              <w:rPr>
                <w:rFonts w:cs="Optima"/>
                <w:b/>
                <w:noProof/>
                <w:color w:val="231F20"/>
                <w:sz w:val="20"/>
                <w:szCs w:val="20"/>
              </w:rPr>
              <w:t>ORGANISATION DES SOINS</w:t>
            </w:r>
          </w:p>
        </w:tc>
      </w:tr>
      <w:tr w:rsidR="0076522C" w14:paraId="53A82C4A" w14:textId="77777777" w:rsidTr="0076522C">
        <w:tc>
          <w:tcPr>
            <w:tcW w:w="9062" w:type="dxa"/>
            <w:gridSpan w:val="3"/>
          </w:tcPr>
          <w:p w14:paraId="333FCADE" w14:textId="77777777" w:rsidR="0076522C" w:rsidRDefault="00D54A49" w:rsidP="00EB2626">
            <w:pPr>
              <w:autoSpaceDE w:val="0"/>
              <w:autoSpaceDN w:val="0"/>
              <w:adjustRightInd w:val="0"/>
              <w:spacing w:line="360" w:lineRule="auto"/>
              <w:jc w:val="both"/>
              <w:rPr>
                <w:rFonts w:cs="Optima"/>
                <w:noProof/>
                <w:color w:val="231F20"/>
                <w:sz w:val="24"/>
                <w:szCs w:val="24"/>
              </w:rPr>
            </w:pPr>
            <w:r>
              <w:rPr>
                <w:rFonts w:cs="Optima"/>
                <w:noProof/>
                <w:color w:val="231F20"/>
                <w:sz w:val="24"/>
                <w:szCs w:val="24"/>
                <w:lang w:eastAsia="fr-FR"/>
              </w:rPr>
              <mc:AlternateContent>
                <mc:Choice Requires="wps">
                  <w:drawing>
                    <wp:anchor distT="0" distB="0" distL="114300" distR="114300" simplePos="0" relativeHeight="251714560" behindDoc="0" locked="0" layoutInCell="1" allowOverlap="1" wp14:anchorId="6B530D46" wp14:editId="6C31325C">
                      <wp:simplePos x="0" y="0"/>
                      <wp:positionH relativeFrom="column">
                        <wp:posOffset>1800225</wp:posOffset>
                      </wp:positionH>
                      <wp:positionV relativeFrom="paragraph">
                        <wp:posOffset>24765</wp:posOffset>
                      </wp:positionV>
                      <wp:extent cx="2000250" cy="2190750"/>
                      <wp:effectExtent l="0" t="0" r="19050" b="19050"/>
                      <wp:wrapNone/>
                      <wp:docPr id="31" name="Triangle isocèle 31"/>
                      <wp:cNvGraphicFramePr/>
                      <a:graphic xmlns:a="http://schemas.openxmlformats.org/drawingml/2006/main">
                        <a:graphicData uri="http://schemas.microsoft.com/office/word/2010/wordprocessingShape">
                          <wps:wsp>
                            <wps:cNvSpPr/>
                            <wps:spPr>
                              <a:xfrm>
                                <a:off x="0" y="0"/>
                                <a:ext cx="2000250" cy="2190750"/>
                              </a:xfrm>
                              <a:prstGeom prst="triangle">
                                <a:avLst>
                                  <a:gd name="adj" fmla="val 50453"/>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AFAE618"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isocèle 31" o:spid="_x0000_s1026" type="#_x0000_t5" style="position:absolute;margin-left:141.75pt;margin-top:1.95pt;width:157.5pt;height:172.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" adj="10898" fillcolor="#4f81bd [3204]" strokecolor="#243f60 [1604]" strokeweight="2pt"/>
                  </w:pict>
                </mc:Fallback>
              </mc:AlternateContent>
            </w:r>
            <w:r w:rsidR="000126D2">
              <w:rPr>
                <w:rFonts w:cs="Optima"/>
                <w:noProof/>
                <w:color w:val="231F20"/>
                <w:sz w:val="24"/>
                <w:szCs w:val="24"/>
                <w:lang w:eastAsia="fr-FR"/>
              </w:rPr>
              <mc:AlternateContent>
                <mc:Choice Requires="wps">
                  <w:drawing>
                    <wp:anchor distT="0" distB="0" distL="114300" distR="114300" simplePos="0" relativeHeight="251720704" behindDoc="0" locked="0" layoutInCell="1" allowOverlap="1" wp14:anchorId="3665DE0C" wp14:editId="7D04381D">
                      <wp:simplePos x="0" y="0"/>
                      <wp:positionH relativeFrom="column">
                        <wp:posOffset>2400300</wp:posOffset>
                      </wp:positionH>
                      <wp:positionV relativeFrom="paragraph">
                        <wp:posOffset>228600</wp:posOffset>
                      </wp:positionV>
                      <wp:extent cx="801370" cy="284480"/>
                      <wp:effectExtent l="0" t="0" r="17780" b="20320"/>
                      <wp:wrapNone/>
                      <wp:docPr id="236" name="Rectangle : coins arrondis 236"/>
                      <wp:cNvGraphicFramePr/>
                      <a:graphic xmlns:a="http://schemas.openxmlformats.org/drawingml/2006/main">
                        <a:graphicData uri="http://schemas.microsoft.com/office/word/2010/wordprocessingShape">
                          <wps:wsp>
                            <wps:cNvSpPr/>
                            <wps:spPr>
                              <a:xfrm>
                                <a:off x="0" y="0"/>
                                <a:ext cx="801370" cy="284480"/>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CB304F0" w14:textId="77777777" w:rsidR="00520196" w:rsidRPr="00AC5BEF" w:rsidRDefault="00520196" w:rsidP="00AC5BEF">
                                  <w:pPr>
                                    <w:jc w:val="center"/>
                                    <w:rPr>
                                      <w:b/>
                                      <w:color w:val="000000" w:themeColor="text1"/>
                                    </w:rPr>
                                  </w:pPr>
                                  <w:r w:rsidRPr="00AC5BEF">
                                    <w:rPr>
                                      <w:b/>
                                      <w:color w:val="000000" w:themeColor="text1"/>
                                    </w:rPr>
                                    <w:t>CENTRAL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665DE0C" id="Rectangle : coins arrondis 236" o:spid="_x0000_s1026" style="position:absolute;left:0;text-align:left;margin-left:189pt;margin-top:18pt;width:63.1pt;height:22.4pt;z-index:2517207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" fillcolor="white [3212]" strokecolor="#243f60 [1604]" strokeweight="2pt">
                      <v:textbox>
                        <w:txbxContent>
                          <w:p w14:paraId="5CB304F0" w14:textId="77777777" w:rsidR="00520196" w:rsidRPr="00AC5BEF" w:rsidRDefault="00520196" w:rsidP="00AC5BEF">
                            <w:pPr>
                              <w:jc w:val="center"/>
                              <w:rPr>
                                <w:b/>
                                <w:color w:val="000000" w:themeColor="text1"/>
                              </w:rPr>
                            </w:pPr>
                            <w:r w:rsidRPr="00AC5BEF">
                              <w:rPr>
                                <w:b/>
                                <w:color w:val="000000" w:themeColor="text1"/>
                              </w:rPr>
                              <w:t>CENTRAL</w:t>
                            </w:r>
                          </w:p>
                        </w:txbxContent>
                      </v:textbox>
                    </v:roundrect>
                  </w:pict>
                </mc:Fallback>
              </mc:AlternateContent>
            </w:r>
            <w:r w:rsidR="00A00470">
              <w:rPr>
                <w:rFonts w:cs="Optima"/>
                <w:noProof/>
                <w:color w:val="231F20"/>
                <w:sz w:val="24"/>
                <w:szCs w:val="24"/>
                <w:lang w:eastAsia="fr-FR"/>
              </w:rPr>
              <mc:AlternateContent>
                <mc:Choice Requires="wps">
                  <w:drawing>
                    <wp:anchor distT="0" distB="0" distL="114300" distR="114300" simplePos="0" relativeHeight="251723776" behindDoc="0" locked="0" layoutInCell="1" allowOverlap="1" wp14:anchorId="25E9B4DC" wp14:editId="11CC2D5F">
                      <wp:simplePos x="0" y="0"/>
                      <wp:positionH relativeFrom="column">
                        <wp:posOffset>3886199</wp:posOffset>
                      </wp:positionH>
                      <wp:positionV relativeFrom="paragraph">
                        <wp:posOffset>71755</wp:posOffset>
                      </wp:positionV>
                      <wp:extent cx="1724025" cy="422695"/>
                      <wp:effectExtent l="0" t="0" r="28575" b="15875"/>
                      <wp:wrapNone/>
                      <wp:docPr id="237" name="Rectangle : coins arrondis 237"/>
                      <wp:cNvGraphicFramePr/>
                      <a:graphic xmlns:a="http://schemas.openxmlformats.org/drawingml/2006/main">
                        <a:graphicData uri="http://schemas.microsoft.com/office/word/2010/wordprocessingShape">
                          <wps:wsp>
                            <wps:cNvSpPr/>
                            <wps:spPr>
                              <a:xfrm>
                                <a:off x="0" y="0"/>
                                <a:ext cx="1724025" cy="42269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CA1E911" w14:textId="77777777" w:rsidR="00520196" w:rsidRPr="00B4782C" w:rsidRDefault="00520196" w:rsidP="00A00470">
                                  <w:pPr>
                                    <w:jc w:val="center"/>
                                    <w:rPr>
                                      <w:b/>
                                    </w:rPr>
                                  </w:pPr>
                                  <w:r w:rsidRPr="00B4782C">
                                    <w:rPr>
                                      <w:b/>
                                    </w:rPr>
                                    <w:t>Tertiaire : 6 CHU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25E9B4DC" id="Rectangle : coins arrondis 237" o:spid="_x0000_s1027" style="position:absolute;left:0;text-align:left;margin-left:306pt;margin-top:5.65pt;width:135.75pt;height:33.3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" fillcolor="#4f81bd [3204]" strokecolor="#243f60 [1604]" strokeweight="2pt">
                      <v:textbox>
                        <w:txbxContent>
                          <w:p w14:paraId="2CA1E911" w14:textId="77777777" w:rsidR="00520196" w:rsidRPr="00B4782C" w:rsidRDefault="00520196" w:rsidP="00A00470">
                            <w:pPr>
                              <w:jc w:val="center"/>
                              <w:rPr>
                                <w:b/>
                              </w:rPr>
                            </w:pPr>
                            <w:r w:rsidRPr="00B4782C">
                              <w:rPr>
                                <w:b/>
                              </w:rPr>
                              <w:t>Tertiaire : 6 CHU</w:t>
                            </w:r>
                          </w:p>
                        </w:txbxContent>
                      </v:textbox>
                    </v:roundrect>
                  </w:pict>
                </mc:Fallback>
              </mc:AlternateContent>
            </w:r>
            <w:r w:rsidR="00B0117C">
              <w:rPr>
                <w:rFonts w:cs="Optima"/>
                <w:noProof/>
                <w:color w:val="231F20"/>
                <w:sz w:val="24"/>
                <w:szCs w:val="24"/>
                <w:lang w:eastAsia="fr-FR"/>
              </w:rPr>
              <mc:AlternateContent>
                <mc:Choice Requires="wps">
                  <w:drawing>
                    <wp:anchor distT="0" distB="0" distL="114300" distR="114300" simplePos="0" relativeHeight="251734016" behindDoc="0" locked="0" layoutInCell="1" allowOverlap="1" wp14:anchorId="60F559FF" wp14:editId="3F8A663A">
                      <wp:simplePos x="0" y="0"/>
                      <wp:positionH relativeFrom="column">
                        <wp:posOffset>-39897</wp:posOffset>
                      </wp:positionH>
                      <wp:positionV relativeFrom="paragraph">
                        <wp:posOffset>62865</wp:posOffset>
                      </wp:positionV>
                      <wp:extent cx="1724660" cy="629728"/>
                      <wp:effectExtent l="0" t="0" r="27940" b="18415"/>
                      <wp:wrapNone/>
                      <wp:docPr id="242" name="Rectangle : coins arrondis 242"/>
                      <wp:cNvGraphicFramePr/>
                      <a:graphic xmlns:a="http://schemas.openxmlformats.org/drawingml/2006/main">
                        <a:graphicData uri="http://schemas.microsoft.com/office/word/2010/wordprocessingShape">
                          <wps:wsp>
                            <wps:cNvSpPr/>
                            <wps:spPr>
                              <a:xfrm>
                                <a:off x="0" y="0"/>
                                <a:ext cx="1724660" cy="629728"/>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FE6788E" w14:textId="77777777" w:rsidR="00520196" w:rsidRPr="003F2F2E" w:rsidRDefault="00520196" w:rsidP="00AC5BEF">
                                  <w:pPr>
                                    <w:spacing w:after="0" w:line="240" w:lineRule="auto"/>
                                    <w:jc w:val="center"/>
                                    <w:rPr>
                                      <w:b/>
                                      <w:sz w:val="20"/>
                                      <w:szCs w:val="20"/>
                                    </w:rPr>
                                  </w:pPr>
                                  <w:r w:rsidRPr="003F2F2E">
                                    <w:rPr>
                                      <w:b/>
                                      <w:sz w:val="20"/>
                                      <w:szCs w:val="20"/>
                                    </w:rPr>
                                    <w:t>Cabinet du Ministre</w:t>
                                  </w:r>
                                </w:p>
                                <w:p w14:paraId="67ABA844" w14:textId="77777777" w:rsidR="00520196" w:rsidRPr="003F2F2E" w:rsidRDefault="00520196" w:rsidP="00AC5BEF">
                                  <w:pPr>
                                    <w:spacing w:after="0" w:line="240" w:lineRule="auto"/>
                                    <w:jc w:val="center"/>
                                    <w:rPr>
                                      <w:b/>
                                      <w:sz w:val="20"/>
                                      <w:szCs w:val="20"/>
                                    </w:rPr>
                                  </w:pPr>
                                  <w:r w:rsidRPr="003F2F2E">
                                    <w:rPr>
                                      <w:b/>
                                      <w:sz w:val="20"/>
                                      <w:szCs w:val="20"/>
                                    </w:rPr>
                                    <w:t>Secrétariat Général</w:t>
                                  </w:r>
                                </w:p>
                                <w:p w14:paraId="3F6319E3" w14:textId="77777777" w:rsidR="00520196" w:rsidRPr="003F2F2E" w:rsidRDefault="00520196" w:rsidP="00AC5BEF">
                                  <w:pPr>
                                    <w:spacing w:after="0" w:line="240" w:lineRule="auto"/>
                                    <w:jc w:val="center"/>
                                    <w:rPr>
                                      <w:b/>
                                      <w:sz w:val="20"/>
                                      <w:szCs w:val="20"/>
                                    </w:rPr>
                                  </w:pPr>
                                  <w:r w:rsidRPr="003F2F2E">
                                    <w:rPr>
                                      <w:b/>
                                      <w:sz w:val="20"/>
                                      <w:szCs w:val="20"/>
                                    </w:rPr>
                                    <w:t>Structures centrales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0F559FF" id="Rectangle : coins arrondis 242" o:spid="_x0000_s1028" style="position:absolute;left:0;text-align:left;margin-left:-3.15pt;margin-top:4.95pt;width:135.8pt;height:49.6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" fillcolor="#4f81bd [3204]" strokecolor="#243f60 [1604]" strokeweight="2pt">
                      <v:textbox>
                        <w:txbxContent>
                          <w:p w14:paraId="1FE6788E" w14:textId="77777777" w:rsidR="00520196" w:rsidRPr="003F2F2E" w:rsidRDefault="00520196" w:rsidP="00AC5BEF">
                            <w:pPr>
                              <w:spacing w:after="0" w:line="240" w:lineRule="auto"/>
                              <w:jc w:val="center"/>
                              <w:rPr>
                                <w:b/>
                                <w:sz w:val="20"/>
                                <w:szCs w:val="20"/>
                              </w:rPr>
                            </w:pPr>
                            <w:r w:rsidRPr="003F2F2E">
                              <w:rPr>
                                <w:b/>
                                <w:sz w:val="20"/>
                                <w:szCs w:val="20"/>
                              </w:rPr>
                              <w:t>Cabinet du Ministre</w:t>
                            </w:r>
                          </w:p>
                          <w:p w14:paraId="67ABA844" w14:textId="77777777" w:rsidR="00520196" w:rsidRPr="003F2F2E" w:rsidRDefault="00520196" w:rsidP="00AC5BEF">
                            <w:pPr>
                              <w:spacing w:after="0" w:line="240" w:lineRule="auto"/>
                              <w:jc w:val="center"/>
                              <w:rPr>
                                <w:b/>
                                <w:sz w:val="20"/>
                                <w:szCs w:val="20"/>
                              </w:rPr>
                            </w:pPr>
                            <w:r w:rsidRPr="003F2F2E">
                              <w:rPr>
                                <w:b/>
                                <w:sz w:val="20"/>
                                <w:szCs w:val="20"/>
                              </w:rPr>
                              <w:t>Secrétariat Général</w:t>
                            </w:r>
                          </w:p>
                          <w:p w14:paraId="3F6319E3" w14:textId="77777777" w:rsidR="00520196" w:rsidRPr="003F2F2E" w:rsidRDefault="00520196" w:rsidP="00AC5BEF">
                            <w:pPr>
                              <w:spacing w:after="0" w:line="240" w:lineRule="auto"/>
                              <w:jc w:val="center"/>
                              <w:rPr>
                                <w:b/>
                                <w:sz w:val="20"/>
                                <w:szCs w:val="20"/>
                              </w:rPr>
                            </w:pPr>
                            <w:r w:rsidRPr="003F2F2E">
                              <w:rPr>
                                <w:b/>
                                <w:sz w:val="20"/>
                                <w:szCs w:val="20"/>
                              </w:rPr>
                              <w:t>Structures centrales</w:t>
                            </w:r>
                          </w:p>
                        </w:txbxContent>
                      </v:textbox>
                    </v:roundrect>
                  </w:pict>
                </mc:Fallback>
              </mc:AlternateContent>
            </w:r>
          </w:p>
          <w:p w14:paraId="315671A7" w14:textId="77777777" w:rsidR="00977CFD" w:rsidRDefault="00977CFD" w:rsidP="00EB2626">
            <w:pPr>
              <w:autoSpaceDE w:val="0"/>
              <w:autoSpaceDN w:val="0"/>
              <w:adjustRightInd w:val="0"/>
              <w:spacing w:line="360" w:lineRule="auto"/>
              <w:jc w:val="both"/>
              <w:rPr>
                <w:rFonts w:cs="Optima"/>
                <w:color w:val="231F20"/>
                <w:sz w:val="24"/>
                <w:szCs w:val="24"/>
              </w:rPr>
            </w:pPr>
          </w:p>
          <w:p w14:paraId="5C52E6B0" w14:textId="77777777" w:rsidR="00977CFD" w:rsidRDefault="000126D2" w:rsidP="00EB2626">
            <w:pPr>
              <w:autoSpaceDE w:val="0"/>
              <w:autoSpaceDN w:val="0"/>
              <w:adjustRightInd w:val="0"/>
              <w:spacing w:line="360" w:lineRule="auto"/>
              <w:jc w:val="both"/>
              <w:rPr>
                <w:rFonts w:cs="Optima"/>
                <w:color w:val="231F20"/>
                <w:sz w:val="24"/>
                <w:szCs w:val="24"/>
              </w:rPr>
            </w:pPr>
            <w:r>
              <w:rPr>
                <w:rFonts w:cs="Optima"/>
                <w:noProof/>
                <w:color w:val="231F20"/>
                <w:sz w:val="24"/>
                <w:szCs w:val="24"/>
                <w:lang w:eastAsia="fr-FR"/>
              </w:rPr>
              <mc:AlternateContent>
                <mc:Choice Requires="wps">
                  <w:drawing>
                    <wp:anchor distT="0" distB="0" distL="114300" distR="114300" simplePos="0" relativeHeight="251727872" behindDoc="0" locked="0" layoutInCell="1" allowOverlap="1" wp14:anchorId="3B8089B3" wp14:editId="4D2F6E92">
                      <wp:simplePos x="0" y="0"/>
                      <wp:positionH relativeFrom="column">
                        <wp:posOffset>3914140</wp:posOffset>
                      </wp:positionH>
                      <wp:positionV relativeFrom="paragraph">
                        <wp:posOffset>18415</wp:posOffset>
                      </wp:positionV>
                      <wp:extent cx="1685925" cy="414020"/>
                      <wp:effectExtent l="0" t="0" r="28575" b="24130"/>
                      <wp:wrapNone/>
                      <wp:docPr id="239" name="Rectangle : coins arrondis 239"/>
                      <wp:cNvGraphicFramePr/>
                      <a:graphic xmlns:a="http://schemas.openxmlformats.org/drawingml/2006/main">
                        <a:graphicData uri="http://schemas.microsoft.com/office/word/2010/wordprocessingShape">
                          <wps:wsp>
                            <wps:cNvSpPr/>
                            <wps:spPr>
                              <a:xfrm>
                                <a:off x="0" y="0"/>
                                <a:ext cx="1685925" cy="41402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2F8444D" w14:textId="77777777" w:rsidR="00520196" w:rsidRPr="00B4782C" w:rsidRDefault="00520196" w:rsidP="00A00470">
                                  <w:pPr>
                                    <w:jc w:val="center"/>
                                    <w:rPr>
                                      <w:b/>
                                    </w:rPr>
                                  </w:pPr>
                                  <w:r w:rsidRPr="00B4782C">
                                    <w:rPr>
                                      <w:b/>
                                    </w:rPr>
                                    <w:t>Secondaire : 8 CHR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3B8089B3" id="Rectangle : coins arrondis 239" o:spid="_x0000_s1029" style="position:absolute;left:0;text-align:left;margin-left:308.2pt;margin-top:1.45pt;width:132.75pt;height:32.6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" fillcolor="#4f81bd [3204]" strokecolor="#243f60 [1604]" strokeweight="2pt">
                      <v:textbox>
                        <w:txbxContent>
                          <w:p w14:paraId="02F8444D" w14:textId="77777777" w:rsidR="00520196" w:rsidRPr="00B4782C" w:rsidRDefault="00520196" w:rsidP="00A00470">
                            <w:pPr>
                              <w:jc w:val="center"/>
                              <w:rPr>
                                <w:b/>
                              </w:rPr>
                            </w:pPr>
                            <w:r w:rsidRPr="00B4782C">
                              <w:rPr>
                                <w:b/>
                              </w:rPr>
                              <w:t>Secondaire : 8 CHR</w:t>
                            </w:r>
                          </w:p>
                        </w:txbxContent>
                      </v:textbox>
                    </v:roundrect>
                  </w:pict>
                </mc:Fallback>
              </mc:AlternateContent>
            </w:r>
            <w:r>
              <w:rPr>
                <w:rFonts w:cs="Optima"/>
                <w:noProof/>
                <w:color w:val="231F20"/>
                <w:sz w:val="24"/>
                <w:szCs w:val="24"/>
                <w:lang w:eastAsia="fr-FR"/>
              </w:rPr>
              <mc:AlternateContent>
                <mc:Choice Requires="wps">
                  <w:drawing>
                    <wp:anchor distT="0" distB="0" distL="114300" distR="114300" simplePos="0" relativeHeight="251718656" behindDoc="0" locked="0" layoutInCell="1" allowOverlap="1" wp14:anchorId="2FB1A903" wp14:editId="4DADA6FD">
                      <wp:simplePos x="0" y="0"/>
                      <wp:positionH relativeFrom="column">
                        <wp:posOffset>2190750</wp:posOffset>
                      </wp:positionH>
                      <wp:positionV relativeFrom="paragraph">
                        <wp:posOffset>170815</wp:posOffset>
                      </wp:positionV>
                      <wp:extent cx="1171575" cy="337820"/>
                      <wp:effectExtent l="0" t="0" r="28575" b="24130"/>
                      <wp:wrapNone/>
                      <wp:docPr id="232" name="Rectangle : coins arrondis 232"/>
                      <wp:cNvGraphicFramePr/>
                      <a:graphic xmlns:a="http://schemas.openxmlformats.org/drawingml/2006/main">
                        <a:graphicData uri="http://schemas.microsoft.com/office/word/2010/wordprocessingShape">
                          <wps:wsp>
                            <wps:cNvSpPr/>
                            <wps:spPr>
                              <a:xfrm>
                                <a:off x="0" y="0"/>
                                <a:ext cx="1171575" cy="337820"/>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651ED157" w14:textId="77777777" w:rsidR="00520196" w:rsidRPr="00977CFD" w:rsidRDefault="00520196" w:rsidP="00977CFD">
                                  <w:pPr>
                                    <w:jc w:val="center"/>
                                    <w:rPr>
                                      <w:b/>
                                      <w:color w:val="000000" w:themeColor="text1"/>
                                    </w:rPr>
                                  </w:pPr>
                                  <w:r w:rsidRPr="00977CFD">
                                    <w:rPr>
                                      <w:b/>
                                      <w:color w:val="000000" w:themeColor="text1"/>
                                    </w:rPr>
                                    <w:t>INTERMEDIAIRE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2FB1A903" id="Rectangle : coins arrondis 232" o:spid="_x0000_s1030" style="position:absolute;left:0;text-align:left;margin-left:172.5pt;margin-top:13.45pt;width:92.25pt;height:26.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" fillcolor="white [3212]" strokecolor="#243f60 [1604]" strokeweight="2pt">
                      <v:textbox>
                        <w:txbxContent>
                          <w:p w14:paraId="651ED157" w14:textId="77777777" w:rsidR="00520196" w:rsidRPr="00977CFD" w:rsidRDefault="00520196" w:rsidP="00977CFD">
                            <w:pPr>
                              <w:jc w:val="center"/>
                              <w:rPr>
                                <w:b/>
                                <w:color w:val="000000" w:themeColor="text1"/>
                              </w:rPr>
                            </w:pPr>
                            <w:r w:rsidRPr="00977CFD">
                              <w:rPr>
                                <w:b/>
                                <w:color w:val="000000" w:themeColor="text1"/>
                              </w:rPr>
                              <w:t>INTERMEDIAIRE</w:t>
                            </w:r>
                          </w:p>
                        </w:txbxContent>
                      </v:textbox>
                    </v:roundrect>
                  </w:pict>
                </mc:Fallback>
              </mc:AlternateContent>
            </w:r>
            <w:r w:rsidR="00A00470">
              <w:rPr>
                <w:rFonts w:cs="Optima"/>
                <w:noProof/>
                <w:color w:val="231F20"/>
                <w:sz w:val="24"/>
                <w:szCs w:val="24"/>
                <w:lang w:eastAsia="fr-FR"/>
              </w:rPr>
              <mc:AlternateContent>
                <mc:Choice Requires="wps">
                  <w:drawing>
                    <wp:anchor distT="0" distB="0" distL="114300" distR="114300" simplePos="0" relativeHeight="251736064" behindDoc="0" locked="0" layoutInCell="1" allowOverlap="1" wp14:anchorId="19EC1C04" wp14:editId="11FB92B5">
                      <wp:simplePos x="0" y="0"/>
                      <wp:positionH relativeFrom="column">
                        <wp:posOffset>-38100</wp:posOffset>
                      </wp:positionH>
                      <wp:positionV relativeFrom="paragraph">
                        <wp:posOffset>219075</wp:posOffset>
                      </wp:positionV>
                      <wp:extent cx="1686560" cy="526211"/>
                      <wp:effectExtent l="0" t="0" r="27940" b="26670"/>
                      <wp:wrapNone/>
                      <wp:docPr id="243" name="Rectangle : coins arrondis 243"/>
                      <wp:cNvGraphicFramePr/>
                      <a:graphic xmlns:a="http://schemas.openxmlformats.org/drawingml/2006/main">
                        <a:graphicData uri="http://schemas.microsoft.com/office/word/2010/wordprocessingShape">
                          <wps:wsp>
                            <wps:cNvSpPr/>
                            <wps:spPr>
                              <a:xfrm>
                                <a:off x="0" y="0"/>
                                <a:ext cx="1686560" cy="526211"/>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32B733D" w14:textId="77777777" w:rsidR="00520196" w:rsidRPr="003F2F2E" w:rsidRDefault="00520196" w:rsidP="00B0117C">
                                  <w:pPr>
                                    <w:jc w:val="center"/>
                                    <w:rPr>
                                      <w:b/>
                                    </w:rPr>
                                  </w:pPr>
                                  <w:r w:rsidRPr="003F2F2E">
                                    <w:rPr>
                                      <w:b/>
                                    </w:rPr>
                                    <w:t>13 Directions régionales de la santé</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19EC1C04" id="Rectangle : coins arrondis 243" o:spid="_x0000_s1031" style="position:absolute;left:0;text-align:left;margin-left:-3pt;margin-top:17.25pt;width:132.8pt;height:41.4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" fillcolor="#4f81bd [3204]" strokecolor="#243f60 [1604]" strokeweight="2pt">
                      <v:textbox>
                        <w:txbxContent>
                          <w:p w14:paraId="632B733D" w14:textId="77777777" w:rsidR="00520196" w:rsidRPr="003F2F2E" w:rsidRDefault="00520196" w:rsidP="00B0117C">
                            <w:pPr>
                              <w:jc w:val="center"/>
                              <w:rPr>
                                <w:b/>
                              </w:rPr>
                            </w:pPr>
                            <w:r w:rsidRPr="003F2F2E">
                              <w:rPr>
                                <w:b/>
                              </w:rPr>
                              <w:t>13 Directions régionales de la santé</w:t>
                            </w:r>
                          </w:p>
                        </w:txbxContent>
                      </v:textbox>
                    </v:roundrect>
                  </w:pict>
                </mc:Fallback>
              </mc:AlternateContent>
            </w:r>
          </w:p>
          <w:p w14:paraId="7368D1AA" w14:textId="77777777" w:rsidR="00977CFD" w:rsidRDefault="000126D2" w:rsidP="00EB2626">
            <w:pPr>
              <w:autoSpaceDE w:val="0"/>
              <w:autoSpaceDN w:val="0"/>
              <w:adjustRightInd w:val="0"/>
              <w:spacing w:line="360" w:lineRule="auto"/>
              <w:jc w:val="both"/>
              <w:rPr>
                <w:rFonts w:cs="Optima"/>
                <w:color w:val="231F20"/>
                <w:sz w:val="24"/>
                <w:szCs w:val="24"/>
              </w:rPr>
            </w:pPr>
            <w:r>
              <w:rPr>
                <w:rFonts w:cs="Optima"/>
                <w:noProof/>
                <w:color w:val="231F20"/>
                <w:sz w:val="24"/>
                <w:szCs w:val="24"/>
                <w:lang w:eastAsia="fr-FR"/>
              </w:rPr>
              <mc:AlternateContent>
                <mc:Choice Requires="wps">
                  <w:drawing>
                    <wp:anchor distT="0" distB="0" distL="114300" distR="114300" simplePos="0" relativeHeight="251725824" behindDoc="0" locked="0" layoutInCell="1" allowOverlap="1" wp14:anchorId="7B37E7A4" wp14:editId="2ABE8021">
                      <wp:simplePos x="0" y="0"/>
                      <wp:positionH relativeFrom="column">
                        <wp:posOffset>3914775</wp:posOffset>
                      </wp:positionH>
                      <wp:positionV relativeFrom="paragraph">
                        <wp:posOffset>273050</wp:posOffset>
                      </wp:positionV>
                      <wp:extent cx="1685925" cy="1105535"/>
                      <wp:effectExtent l="0" t="0" r="28575" b="18415"/>
                      <wp:wrapNone/>
                      <wp:docPr id="238" name="Rectangle : coins arrondis 238"/>
                      <wp:cNvGraphicFramePr/>
                      <a:graphic xmlns:a="http://schemas.openxmlformats.org/drawingml/2006/main">
                        <a:graphicData uri="http://schemas.microsoft.com/office/word/2010/wordprocessingShape">
                          <wps:wsp>
                            <wps:cNvSpPr/>
                            <wps:spPr>
                              <a:xfrm>
                                <a:off x="0" y="0"/>
                                <a:ext cx="1685925" cy="110553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8A1EA8B" w14:textId="77777777" w:rsidR="00520196" w:rsidRPr="000126D2" w:rsidRDefault="00520196" w:rsidP="00B4782C">
                                  <w:pPr>
                                    <w:spacing w:after="0" w:line="240" w:lineRule="auto"/>
                                    <w:rPr>
                                      <w:b/>
                                      <w:sz w:val="20"/>
                                      <w:szCs w:val="20"/>
                                    </w:rPr>
                                  </w:pPr>
                                  <w:r w:rsidRPr="000126D2">
                                    <w:rPr>
                                      <w:b/>
                                      <w:sz w:val="20"/>
                                      <w:szCs w:val="20"/>
                                    </w:rPr>
                                    <w:t xml:space="preserve">Primaire : </w:t>
                                  </w:r>
                                </w:p>
                                <w:p w14:paraId="76AFBE6B" w14:textId="77777777" w:rsidR="00520196" w:rsidRPr="008A5243" w:rsidRDefault="00520196" w:rsidP="00A97663">
                                  <w:pPr>
                                    <w:pStyle w:val="Paragraphedeliste"/>
                                    <w:numPr>
                                      <w:ilvl w:val="0"/>
                                      <w:numId w:val="18"/>
                                    </w:numPr>
                                    <w:spacing w:after="0" w:line="240" w:lineRule="auto"/>
                                    <w:rPr>
                                      <w:b/>
                                      <w:sz w:val="16"/>
                                      <w:szCs w:val="16"/>
                                    </w:rPr>
                                  </w:pPr>
                                  <w:r w:rsidRPr="008A5243">
                                    <w:rPr>
                                      <w:b/>
                                      <w:sz w:val="16"/>
                                      <w:szCs w:val="16"/>
                                    </w:rPr>
                                    <w:t>Echelon 2 : 45 CMA</w:t>
                                  </w:r>
                                </w:p>
                                <w:p w14:paraId="4F290CAD" w14:textId="77777777" w:rsidR="00520196" w:rsidRPr="008A5243" w:rsidRDefault="00520196" w:rsidP="00A97663">
                                  <w:pPr>
                                    <w:pStyle w:val="Paragraphedeliste"/>
                                    <w:numPr>
                                      <w:ilvl w:val="0"/>
                                      <w:numId w:val="18"/>
                                    </w:numPr>
                                    <w:spacing w:after="0" w:line="240" w:lineRule="auto"/>
                                    <w:rPr>
                                      <w:b/>
                                      <w:sz w:val="16"/>
                                      <w:szCs w:val="16"/>
                                    </w:rPr>
                                  </w:pPr>
                                  <w:r w:rsidRPr="008A5243">
                                    <w:rPr>
                                      <w:b/>
                                      <w:sz w:val="16"/>
                                      <w:szCs w:val="16"/>
                                    </w:rPr>
                                    <w:t>Echelon 1 : 1839 CSPS + 57 CM + 8</w:t>
                                  </w:r>
                                  <w:r>
                                    <w:rPr>
                                      <w:b/>
                                      <w:sz w:val="16"/>
                                      <w:szCs w:val="16"/>
                                    </w:rPr>
                                    <w:t xml:space="preserve"> </w:t>
                                  </w:r>
                                  <w:r w:rsidRPr="008A5243">
                                    <w:rPr>
                                      <w:b/>
                                      <w:sz w:val="16"/>
                                      <w:szCs w:val="16"/>
                                    </w:rPr>
                                    <w:t>maternités et 136 dispensaires isolés, 99 infirmeries/SST et 19 infirmeries des armées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7B37E7A4" id="Rectangle : coins arrondis 238" o:spid="_x0000_s1032" style="position:absolute;left:0;text-align:left;margin-left:308.25pt;margin-top:21.5pt;width:132.75pt;height:87.0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" fillcolor="#4f81bd [3204]" strokecolor="#243f60 [1604]" strokeweight="2pt">
                      <v:textbox>
                        <w:txbxContent>
                          <w:p w14:paraId="78A1EA8B" w14:textId="77777777" w:rsidR="00520196" w:rsidRPr="000126D2" w:rsidRDefault="00520196" w:rsidP="00B4782C">
                            <w:pPr>
                              <w:spacing w:after="0" w:line="240" w:lineRule="auto"/>
                              <w:rPr>
                                <w:b/>
                                <w:sz w:val="20"/>
                                <w:szCs w:val="20"/>
                              </w:rPr>
                            </w:pPr>
                            <w:r w:rsidRPr="000126D2">
                              <w:rPr>
                                <w:b/>
                                <w:sz w:val="20"/>
                                <w:szCs w:val="20"/>
                              </w:rPr>
                              <w:t xml:space="preserve">Primaire : </w:t>
                            </w:r>
                          </w:p>
                          <w:p w14:paraId="76AFBE6B" w14:textId="77777777" w:rsidR="00520196" w:rsidRPr="008A5243" w:rsidRDefault="00520196" w:rsidP="00A97663">
                            <w:pPr>
                              <w:pStyle w:val="Paragraphedeliste"/>
                              <w:numPr>
                                <w:ilvl w:val="0"/>
                                <w:numId w:val="18"/>
                              </w:numPr>
                              <w:spacing w:after="0" w:line="240" w:lineRule="auto"/>
                              <w:rPr>
                                <w:b/>
                                <w:sz w:val="16"/>
                                <w:szCs w:val="16"/>
                              </w:rPr>
                            </w:pPr>
                            <w:r w:rsidRPr="008A5243">
                              <w:rPr>
                                <w:b/>
                                <w:sz w:val="16"/>
                                <w:szCs w:val="16"/>
                              </w:rPr>
                              <w:t>Echelon 2 : 45 CMA</w:t>
                            </w:r>
                          </w:p>
                          <w:p w14:paraId="4F290CAD" w14:textId="77777777" w:rsidR="00520196" w:rsidRPr="008A5243" w:rsidRDefault="00520196" w:rsidP="00A97663">
                            <w:pPr>
                              <w:pStyle w:val="Paragraphedeliste"/>
                              <w:numPr>
                                <w:ilvl w:val="0"/>
                                <w:numId w:val="18"/>
                              </w:numPr>
                              <w:spacing w:after="0" w:line="240" w:lineRule="auto"/>
                              <w:rPr>
                                <w:b/>
                                <w:sz w:val="16"/>
                                <w:szCs w:val="16"/>
                              </w:rPr>
                            </w:pPr>
                            <w:r w:rsidRPr="008A5243">
                              <w:rPr>
                                <w:b/>
                                <w:sz w:val="16"/>
                                <w:szCs w:val="16"/>
                              </w:rPr>
                              <w:t>Echelon 1 : 1839 CSPS + 57 CM + 8</w:t>
                            </w:r>
                            <w:r>
                              <w:rPr>
                                <w:b/>
                                <w:sz w:val="16"/>
                                <w:szCs w:val="16"/>
                              </w:rPr>
                              <w:t xml:space="preserve"> </w:t>
                            </w:r>
                            <w:r w:rsidRPr="008A5243">
                              <w:rPr>
                                <w:b/>
                                <w:sz w:val="16"/>
                                <w:szCs w:val="16"/>
                              </w:rPr>
                              <w:t>maternités et 136 dispensaires isolés, 99 infirmeries/SST et 19 infirmeries des armées</w:t>
                            </w:r>
                          </w:p>
                        </w:txbxContent>
                      </v:textbox>
                    </v:roundrect>
                  </w:pict>
                </mc:Fallback>
              </mc:AlternateContent>
            </w:r>
          </w:p>
          <w:p w14:paraId="17405DE6" w14:textId="77777777" w:rsidR="00977CFD" w:rsidRDefault="00977CFD" w:rsidP="00EB2626">
            <w:pPr>
              <w:autoSpaceDE w:val="0"/>
              <w:autoSpaceDN w:val="0"/>
              <w:adjustRightInd w:val="0"/>
              <w:spacing w:line="360" w:lineRule="auto"/>
              <w:jc w:val="both"/>
              <w:rPr>
                <w:rFonts w:cs="Optima"/>
                <w:color w:val="231F20"/>
                <w:sz w:val="24"/>
                <w:szCs w:val="24"/>
              </w:rPr>
            </w:pPr>
          </w:p>
          <w:p w14:paraId="1B5EECD7" w14:textId="77777777" w:rsidR="00977CFD" w:rsidRDefault="00D54A49" w:rsidP="00EB2626">
            <w:pPr>
              <w:autoSpaceDE w:val="0"/>
              <w:autoSpaceDN w:val="0"/>
              <w:adjustRightInd w:val="0"/>
              <w:spacing w:line="360" w:lineRule="auto"/>
              <w:jc w:val="both"/>
              <w:rPr>
                <w:rFonts w:cs="Optima"/>
                <w:color w:val="231F20"/>
                <w:sz w:val="24"/>
                <w:szCs w:val="24"/>
              </w:rPr>
            </w:pPr>
            <w:r>
              <w:rPr>
                <w:rFonts w:cs="Optima"/>
                <w:noProof/>
                <w:color w:val="231F20"/>
                <w:sz w:val="24"/>
                <w:szCs w:val="24"/>
                <w:lang w:eastAsia="fr-FR"/>
              </w:rPr>
              <mc:AlternateContent>
                <mc:Choice Requires="wps">
                  <w:drawing>
                    <wp:anchor distT="0" distB="0" distL="114300" distR="114300" simplePos="0" relativeHeight="251729920" behindDoc="0" locked="0" layoutInCell="1" allowOverlap="1" wp14:anchorId="69464E13" wp14:editId="492E11CF">
                      <wp:simplePos x="0" y="0"/>
                      <wp:positionH relativeFrom="column">
                        <wp:posOffset>-28575</wp:posOffset>
                      </wp:positionH>
                      <wp:positionV relativeFrom="paragraph">
                        <wp:posOffset>48260</wp:posOffset>
                      </wp:positionV>
                      <wp:extent cx="1677035" cy="752475"/>
                      <wp:effectExtent l="0" t="0" r="18415" b="28575"/>
                      <wp:wrapNone/>
                      <wp:docPr id="240" name="Rectangle : coins arrondis 240"/>
                      <wp:cNvGraphicFramePr/>
                      <a:graphic xmlns:a="http://schemas.openxmlformats.org/drawingml/2006/main">
                        <a:graphicData uri="http://schemas.microsoft.com/office/word/2010/wordprocessingShape">
                          <wps:wsp>
                            <wps:cNvSpPr/>
                            <wps:spPr>
                              <a:xfrm>
                                <a:off x="0" y="0"/>
                                <a:ext cx="1677035" cy="75247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2950D2A" w14:textId="77777777" w:rsidR="00520196" w:rsidRPr="003F2F2E" w:rsidRDefault="00520196" w:rsidP="003F2F2E">
                                  <w:pPr>
                                    <w:spacing w:after="0"/>
                                    <w:jc w:val="center"/>
                                    <w:rPr>
                                      <w:b/>
                                    </w:rPr>
                                  </w:pPr>
                                  <w:r w:rsidRPr="003F2F2E">
                                    <w:rPr>
                                      <w:b/>
                                    </w:rPr>
                                    <w:t>70 Districts sanitaires</w:t>
                                  </w:r>
                                </w:p>
                                <w:p w14:paraId="4B26C286" w14:textId="77777777" w:rsidR="00520196" w:rsidRPr="003F2F2E" w:rsidRDefault="00520196" w:rsidP="0091460F">
                                  <w:pPr>
                                    <w:jc w:val="center"/>
                                    <w:rPr>
                                      <w:b/>
                                    </w:rPr>
                                  </w:pPr>
                                  <w:r w:rsidRPr="003F2F2E">
                                    <w:rPr>
                                      <w:b/>
                                    </w:rPr>
                                    <w:t>Equipes cadres de District sanitaire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69464E13" id="Rectangle : coins arrondis 240" o:spid="_x0000_s1033" style="position:absolute;left:0;text-align:left;margin-left:-2.25pt;margin-top:3.8pt;width:132.05pt;height:59.2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" fillcolor="#4f81bd [3204]" strokecolor="#243f60 [1604]" strokeweight="2pt">
                      <v:textbox>
                        <w:txbxContent>
                          <w:p w14:paraId="22950D2A" w14:textId="77777777" w:rsidR="00520196" w:rsidRPr="003F2F2E" w:rsidRDefault="00520196" w:rsidP="003F2F2E">
                            <w:pPr>
                              <w:spacing w:after="0"/>
                              <w:jc w:val="center"/>
                              <w:rPr>
                                <w:b/>
                              </w:rPr>
                            </w:pPr>
                            <w:r w:rsidRPr="003F2F2E">
                              <w:rPr>
                                <w:b/>
                              </w:rPr>
                              <w:t>70 Districts sanitaires</w:t>
                            </w:r>
                          </w:p>
                          <w:p w14:paraId="4B26C286" w14:textId="77777777" w:rsidR="00520196" w:rsidRPr="003F2F2E" w:rsidRDefault="00520196" w:rsidP="0091460F">
                            <w:pPr>
                              <w:jc w:val="center"/>
                              <w:rPr>
                                <w:b/>
                              </w:rPr>
                            </w:pPr>
                            <w:r w:rsidRPr="003F2F2E">
                              <w:rPr>
                                <w:b/>
                              </w:rPr>
                              <w:t>Equipes cadres de District sanitaire</w:t>
                            </w:r>
                          </w:p>
                        </w:txbxContent>
                      </v:textbox>
                    </v:roundrect>
                  </w:pict>
                </mc:Fallback>
              </mc:AlternateContent>
            </w:r>
            <w:r w:rsidR="000126D2">
              <w:rPr>
                <w:rFonts w:cs="Optima"/>
                <w:noProof/>
                <w:color w:val="231F20"/>
                <w:sz w:val="24"/>
                <w:szCs w:val="24"/>
                <w:lang w:eastAsia="fr-FR"/>
              </w:rPr>
              <mc:AlternateContent>
                <mc:Choice Requires="wps">
                  <w:drawing>
                    <wp:anchor distT="0" distB="0" distL="114300" distR="114300" simplePos="0" relativeHeight="251719680" behindDoc="0" locked="0" layoutInCell="1" allowOverlap="1" wp14:anchorId="076E030D" wp14:editId="2277BCD3">
                      <wp:simplePos x="0" y="0"/>
                      <wp:positionH relativeFrom="column">
                        <wp:posOffset>2066925</wp:posOffset>
                      </wp:positionH>
                      <wp:positionV relativeFrom="paragraph">
                        <wp:posOffset>105409</wp:posOffset>
                      </wp:positionV>
                      <wp:extent cx="1457325" cy="409575"/>
                      <wp:effectExtent l="0" t="0" r="28575" b="28575"/>
                      <wp:wrapNone/>
                      <wp:docPr id="234" name="Rectangle : coins arrondis 234"/>
                      <wp:cNvGraphicFramePr/>
                      <a:graphic xmlns:a="http://schemas.openxmlformats.org/drawingml/2006/main">
                        <a:graphicData uri="http://schemas.microsoft.com/office/word/2010/wordprocessingShape">
                          <wps:wsp>
                            <wps:cNvSpPr/>
                            <wps:spPr>
                              <a:xfrm>
                                <a:off x="0" y="0"/>
                                <a:ext cx="1457325" cy="409575"/>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35C02BBD" w14:textId="77777777" w:rsidR="00520196" w:rsidRPr="00977CFD" w:rsidRDefault="00520196" w:rsidP="00977CFD">
                                  <w:pPr>
                                    <w:jc w:val="center"/>
                                    <w:rPr>
                                      <w:b/>
                                      <w:color w:val="000000" w:themeColor="text1"/>
                                    </w:rPr>
                                  </w:pPr>
                                  <w:r w:rsidRPr="00977CFD">
                                    <w:rPr>
                                      <w:b/>
                                      <w:color w:val="000000" w:themeColor="text1"/>
                                    </w:rPr>
                                    <w:t>PERIPHERIQUE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oundrect w14:anchorId="076E030D" id="Rectangle : coins arrondis 234" o:spid="_x0000_s1034" style="position:absolute;left:0;text-align:left;margin-left:162.75pt;margin-top:8.3pt;width:114.75pt;height:32.2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" fillcolor="white [3212]" strokecolor="#243f60 [1604]" strokeweight="2pt">
                      <v:textbox>
                        <w:txbxContent>
                          <w:p w14:paraId="35C02BBD" w14:textId="77777777" w:rsidR="00520196" w:rsidRPr="00977CFD" w:rsidRDefault="00520196" w:rsidP="00977CFD">
                            <w:pPr>
                              <w:jc w:val="center"/>
                              <w:rPr>
                                <w:b/>
                                <w:color w:val="000000" w:themeColor="text1"/>
                              </w:rPr>
                            </w:pPr>
                            <w:r w:rsidRPr="00977CFD">
                              <w:rPr>
                                <w:b/>
                                <w:color w:val="000000" w:themeColor="text1"/>
                              </w:rPr>
                              <w:t>PERIPHERIQUE</w:t>
                            </w:r>
                          </w:p>
                        </w:txbxContent>
                      </v:textbox>
                    </v:roundrect>
                  </w:pict>
                </mc:Fallback>
              </mc:AlternateContent>
            </w:r>
          </w:p>
          <w:p w14:paraId="23B0B4FF" w14:textId="77777777" w:rsidR="00977CFD" w:rsidRDefault="00977CFD" w:rsidP="00EB2626">
            <w:pPr>
              <w:autoSpaceDE w:val="0"/>
              <w:autoSpaceDN w:val="0"/>
              <w:adjustRightInd w:val="0"/>
              <w:spacing w:line="360" w:lineRule="auto"/>
              <w:jc w:val="both"/>
              <w:rPr>
                <w:rFonts w:cs="Optima"/>
                <w:color w:val="231F20"/>
                <w:sz w:val="24"/>
                <w:szCs w:val="24"/>
              </w:rPr>
            </w:pPr>
          </w:p>
          <w:p w14:paraId="4D1C59A7" w14:textId="77777777" w:rsidR="00AC5BEF" w:rsidRDefault="00AC5BEF" w:rsidP="00EB2626">
            <w:pPr>
              <w:autoSpaceDE w:val="0"/>
              <w:autoSpaceDN w:val="0"/>
              <w:adjustRightInd w:val="0"/>
              <w:spacing w:line="360" w:lineRule="auto"/>
              <w:jc w:val="both"/>
              <w:rPr>
                <w:rFonts w:cs="Optima"/>
                <w:color w:val="231F20"/>
                <w:sz w:val="24"/>
                <w:szCs w:val="24"/>
              </w:rPr>
            </w:pPr>
          </w:p>
        </w:tc>
      </w:tr>
      <w:tr w:rsidR="0076522C" w:rsidRPr="00D54A49" w14:paraId="2E90A965" w14:textId="77777777" w:rsidTr="0076522C">
        <w:tc>
          <w:tcPr>
            <w:tcW w:w="9062" w:type="dxa"/>
            <w:gridSpan w:val="3"/>
          </w:tcPr>
          <w:p w14:paraId="75B7FDCD" w14:textId="77777777" w:rsidR="0076522C" w:rsidRPr="00D54A49" w:rsidRDefault="00D54A49" w:rsidP="00EB2626">
            <w:pPr>
              <w:autoSpaceDE w:val="0"/>
              <w:autoSpaceDN w:val="0"/>
              <w:adjustRightInd w:val="0"/>
              <w:spacing w:line="360" w:lineRule="auto"/>
              <w:jc w:val="both"/>
              <w:rPr>
                <w:rFonts w:cs="Optima"/>
                <w:b/>
                <w:color w:val="231F20"/>
                <w:sz w:val="24"/>
                <w:szCs w:val="24"/>
              </w:rPr>
            </w:pPr>
            <w:r w:rsidRPr="00D54A49">
              <w:rPr>
                <w:rFonts w:cs="Optima"/>
                <w:b/>
                <w:color w:val="231F20"/>
                <w:sz w:val="24"/>
                <w:szCs w:val="24"/>
              </w:rPr>
              <w:t xml:space="preserve">Figure 1 : Organisation administrative et organisation des soins </w:t>
            </w:r>
          </w:p>
        </w:tc>
      </w:tr>
    </w:tbl>
    <w:p w14:paraId="7EBF4E58" w14:textId="77777777" w:rsidR="0076522C" w:rsidRPr="00EB2626" w:rsidRDefault="0076522C" w:rsidP="00EB2626">
      <w:pPr>
        <w:autoSpaceDE w:val="0"/>
        <w:autoSpaceDN w:val="0"/>
        <w:adjustRightInd w:val="0"/>
        <w:spacing w:after="0" w:line="360" w:lineRule="auto"/>
        <w:jc w:val="both"/>
        <w:rPr>
          <w:rFonts w:cs="Optima"/>
          <w:color w:val="231F20"/>
          <w:sz w:val="24"/>
          <w:szCs w:val="24"/>
        </w:rPr>
      </w:pPr>
    </w:p>
    <w:p w14:paraId="0C2D9130" w14:textId="77777777" w:rsidR="00231001" w:rsidRPr="00D54A49" w:rsidRDefault="00231001" w:rsidP="00A97663">
      <w:pPr>
        <w:pStyle w:val="Paragraphedeliste"/>
        <w:numPr>
          <w:ilvl w:val="0"/>
          <w:numId w:val="19"/>
        </w:numPr>
        <w:autoSpaceDE w:val="0"/>
        <w:autoSpaceDN w:val="0"/>
        <w:adjustRightInd w:val="0"/>
        <w:spacing w:after="0" w:line="360" w:lineRule="auto"/>
        <w:jc w:val="both"/>
        <w:rPr>
          <w:rFonts w:cs="Optima"/>
          <w:color w:val="231F20"/>
          <w:sz w:val="24"/>
          <w:szCs w:val="24"/>
        </w:rPr>
      </w:pPr>
      <w:r w:rsidRPr="00D54A49">
        <w:rPr>
          <w:rFonts w:cs="Optima"/>
          <w:color w:val="231F20"/>
          <w:sz w:val="24"/>
          <w:szCs w:val="24"/>
        </w:rPr>
        <w:t>Le niveau central</w:t>
      </w:r>
      <w:r w:rsidR="00A00470" w:rsidRPr="00D54A49">
        <w:rPr>
          <w:rFonts w:cs="Optima"/>
          <w:color w:val="231F20"/>
          <w:sz w:val="24"/>
          <w:szCs w:val="24"/>
        </w:rPr>
        <w:t xml:space="preserve"> </w:t>
      </w:r>
      <w:r w:rsidRPr="00D54A49">
        <w:rPr>
          <w:rFonts w:cs="Optima"/>
          <w:color w:val="231F20"/>
          <w:sz w:val="24"/>
          <w:szCs w:val="24"/>
        </w:rPr>
        <w:t xml:space="preserve">est </w:t>
      </w:r>
      <w:r w:rsidR="00A00470" w:rsidRPr="00D54A49">
        <w:rPr>
          <w:rFonts w:cs="Optima"/>
          <w:color w:val="231F20"/>
          <w:sz w:val="24"/>
          <w:szCs w:val="24"/>
        </w:rPr>
        <w:t>responsable de</w:t>
      </w:r>
      <w:r w:rsidRPr="00D54A49">
        <w:rPr>
          <w:rFonts w:cs="Optima"/>
          <w:color w:val="231F20"/>
          <w:sz w:val="24"/>
          <w:szCs w:val="24"/>
        </w:rPr>
        <w:t xml:space="preserve"> l’élaboration des politiques, de la mobilisation des ressources,</w:t>
      </w:r>
      <w:r w:rsidR="00A00470" w:rsidRPr="00D54A49">
        <w:rPr>
          <w:rFonts w:cs="Optima"/>
          <w:color w:val="231F20"/>
          <w:sz w:val="24"/>
          <w:szCs w:val="24"/>
        </w:rPr>
        <w:t xml:space="preserve"> </w:t>
      </w:r>
      <w:r w:rsidRPr="00D54A49">
        <w:rPr>
          <w:rFonts w:cs="Optima"/>
          <w:color w:val="231F20"/>
          <w:sz w:val="24"/>
          <w:szCs w:val="24"/>
        </w:rPr>
        <w:t>du contrôle de gestion et de l’évaluation des performances ;</w:t>
      </w:r>
    </w:p>
    <w:p w14:paraId="4B27A4CB" w14:textId="77777777" w:rsidR="00231001" w:rsidRPr="00D54A49" w:rsidRDefault="00231001" w:rsidP="00A97663">
      <w:pPr>
        <w:pStyle w:val="Paragraphedeliste"/>
        <w:numPr>
          <w:ilvl w:val="0"/>
          <w:numId w:val="19"/>
        </w:numPr>
        <w:autoSpaceDE w:val="0"/>
        <w:autoSpaceDN w:val="0"/>
        <w:adjustRightInd w:val="0"/>
        <w:spacing w:after="0" w:line="360" w:lineRule="auto"/>
        <w:jc w:val="both"/>
        <w:rPr>
          <w:rFonts w:cs="Optima"/>
          <w:color w:val="231F20"/>
          <w:sz w:val="24"/>
          <w:szCs w:val="24"/>
        </w:rPr>
      </w:pPr>
      <w:r w:rsidRPr="00D54A49">
        <w:rPr>
          <w:rFonts w:cs="Optima"/>
          <w:color w:val="231F20"/>
          <w:sz w:val="24"/>
          <w:szCs w:val="24"/>
        </w:rPr>
        <w:t xml:space="preserve">Le niveau intermédiaire </w:t>
      </w:r>
      <w:r w:rsidR="00A00470" w:rsidRPr="00D54A49">
        <w:rPr>
          <w:rFonts w:cs="Optima"/>
          <w:color w:val="231F20"/>
          <w:sz w:val="24"/>
          <w:szCs w:val="24"/>
        </w:rPr>
        <w:t xml:space="preserve">est </w:t>
      </w:r>
      <w:r w:rsidRPr="00D54A49">
        <w:rPr>
          <w:rFonts w:cs="Optima"/>
          <w:color w:val="231F20"/>
          <w:sz w:val="24"/>
          <w:szCs w:val="24"/>
        </w:rPr>
        <w:t>chargé de</w:t>
      </w:r>
      <w:r w:rsidR="00A00470" w:rsidRPr="00D54A49">
        <w:rPr>
          <w:rFonts w:cs="Optima"/>
          <w:color w:val="231F20"/>
          <w:sz w:val="24"/>
          <w:szCs w:val="24"/>
        </w:rPr>
        <w:t xml:space="preserve"> </w:t>
      </w:r>
      <w:r w:rsidRPr="00D54A49">
        <w:rPr>
          <w:rFonts w:cs="Optima"/>
          <w:color w:val="231F20"/>
          <w:sz w:val="24"/>
          <w:szCs w:val="24"/>
        </w:rPr>
        <w:t>la coordination et de l’appui aux districts ;</w:t>
      </w:r>
    </w:p>
    <w:p w14:paraId="4AE9EF17" w14:textId="77777777" w:rsidR="00231001" w:rsidRPr="00D54A49" w:rsidRDefault="00A00470" w:rsidP="00A97663">
      <w:pPr>
        <w:pStyle w:val="Paragraphedeliste"/>
        <w:numPr>
          <w:ilvl w:val="0"/>
          <w:numId w:val="19"/>
        </w:numPr>
        <w:autoSpaceDE w:val="0"/>
        <w:autoSpaceDN w:val="0"/>
        <w:adjustRightInd w:val="0"/>
        <w:spacing w:after="0" w:line="360" w:lineRule="auto"/>
        <w:jc w:val="both"/>
        <w:rPr>
          <w:sz w:val="24"/>
          <w:szCs w:val="24"/>
        </w:rPr>
      </w:pPr>
      <w:r w:rsidRPr="00D54A49">
        <w:rPr>
          <w:rFonts w:cs="Optima"/>
          <w:color w:val="231F20"/>
          <w:sz w:val="24"/>
          <w:szCs w:val="24"/>
        </w:rPr>
        <w:t>Au</w:t>
      </w:r>
      <w:r w:rsidR="00231001" w:rsidRPr="00D54A49">
        <w:rPr>
          <w:rFonts w:cs="Optima"/>
          <w:color w:val="231F20"/>
          <w:sz w:val="24"/>
          <w:szCs w:val="24"/>
        </w:rPr>
        <w:t xml:space="preserve"> niveau périphérique</w:t>
      </w:r>
      <w:r w:rsidRPr="00D54A49">
        <w:rPr>
          <w:rFonts w:cs="Optima"/>
          <w:color w:val="231F20"/>
          <w:sz w:val="24"/>
          <w:szCs w:val="24"/>
        </w:rPr>
        <w:t>, l’ECD est</w:t>
      </w:r>
      <w:r w:rsidR="00231001" w:rsidRPr="00D54A49">
        <w:rPr>
          <w:rFonts w:cs="Optima"/>
          <w:color w:val="231F20"/>
          <w:sz w:val="24"/>
          <w:szCs w:val="24"/>
        </w:rPr>
        <w:t xml:space="preserve"> </w:t>
      </w:r>
      <w:r w:rsidRPr="00D54A49">
        <w:rPr>
          <w:sz w:val="24"/>
          <w:szCs w:val="24"/>
        </w:rPr>
        <w:t>responsable de la planification, de la gestion et de l’organisation de l’offre de soins.</w:t>
      </w:r>
    </w:p>
    <w:p w14:paraId="0B861C0D" w14:textId="77777777" w:rsidR="00CB538C" w:rsidRPr="00CB538C" w:rsidRDefault="00CB538C" w:rsidP="00A00470">
      <w:pPr>
        <w:autoSpaceDE w:val="0"/>
        <w:autoSpaceDN w:val="0"/>
        <w:adjustRightInd w:val="0"/>
        <w:spacing w:after="0" w:line="360" w:lineRule="auto"/>
        <w:jc w:val="both"/>
        <w:rPr>
          <w:sz w:val="24"/>
          <w:szCs w:val="24"/>
        </w:rPr>
      </w:pPr>
      <w:r w:rsidRPr="00CB538C">
        <w:rPr>
          <w:sz w:val="24"/>
          <w:szCs w:val="24"/>
        </w:rPr>
        <w:t>En plus du secteur public, le Burkina Faso compte 5</w:t>
      </w:r>
      <w:r w:rsidR="00D54A49">
        <w:rPr>
          <w:sz w:val="24"/>
          <w:szCs w:val="24"/>
        </w:rPr>
        <w:t>19</w:t>
      </w:r>
      <w:r w:rsidRPr="00CB538C">
        <w:rPr>
          <w:sz w:val="24"/>
          <w:szCs w:val="24"/>
        </w:rPr>
        <w:t xml:space="preserve"> structures privées de soins, 246 officines et 647 dépôts pharmaceutiques</w:t>
      </w:r>
      <w:r w:rsidR="00D54A49">
        <w:rPr>
          <w:rStyle w:val="Appelnotedebasdep"/>
          <w:sz w:val="24"/>
          <w:szCs w:val="24"/>
        </w:rPr>
        <w:footnoteReference w:id="2"/>
      </w:r>
      <w:r w:rsidRPr="00CB538C">
        <w:rPr>
          <w:sz w:val="24"/>
          <w:szCs w:val="24"/>
        </w:rPr>
        <w:t>.</w:t>
      </w:r>
    </w:p>
    <w:p w14:paraId="32EED845" w14:textId="77777777" w:rsidR="00CB538C" w:rsidRPr="00CB538C" w:rsidRDefault="00CB538C" w:rsidP="00A00470">
      <w:pPr>
        <w:autoSpaceDE w:val="0"/>
        <w:autoSpaceDN w:val="0"/>
        <w:adjustRightInd w:val="0"/>
        <w:spacing w:after="0" w:line="360" w:lineRule="auto"/>
        <w:jc w:val="both"/>
        <w:rPr>
          <w:rFonts w:cs="Optima"/>
          <w:color w:val="231F20"/>
          <w:sz w:val="24"/>
          <w:szCs w:val="24"/>
        </w:rPr>
      </w:pPr>
      <w:r w:rsidRPr="00CB538C">
        <w:rPr>
          <w:sz w:val="24"/>
          <w:szCs w:val="24"/>
        </w:rPr>
        <w:t>En outre, il existe une pratique communautaire animée par des Agents de santé à base communautaire (ASBC), des Organisations à base communautaire (OBC) et d’autres acteurs de la société civile qui interviennent dans le secteur de santé.</w:t>
      </w:r>
    </w:p>
    <w:p w14:paraId="0FEB95BA" w14:textId="77777777" w:rsidR="00DB797E" w:rsidRPr="00EB2626" w:rsidRDefault="00D04D60" w:rsidP="00EB2626">
      <w:pPr>
        <w:pStyle w:val="Standard"/>
        <w:numPr>
          <w:ilvl w:val="3"/>
          <w:numId w:val="1"/>
        </w:numPr>
        <w:tabs>
          <w:tab w:val="left" w:pos="993"/>
        </w:tabs>
        <w:spacing w:before="60" w:after="60" w:line="360" w:lineRule="auto"/>
        <w:jc w:val="both"/>
        <w:rPr>
          <w:rFonts w:asciiTheme="minorHAnsi" w:hAnsiTheme="minorHAnsi" w:cstheme="minorHAnsi"/>
          <w:b/>
          <w:color w:val="auto"/>
        </w:rPr>
      </w:pPr>
      <w:r w:rsidRPr="00EB2626">
        <w:rPr>
          <w:rFonts w:asciiTheme="minorHAnsi" w:hAnsiTheme="minorHAnsi" w:cstheme="minorHAnsi"/>
          <w:b/>
          <w:color w:val="auto"/>
        </w:rPr>
        <w:t>Fonctionnement</w:t>
      </w:r>
    </w:p>
    <w:p w14:paraId="5BDBBF0F" w14:textId="77777777" w:rsidR="00D04D60" w:rsidRPr="00EB2626" w:rsidRDefault="00D04D60" w:rsidP="00EB2626">
      <w:pPr>
        <w:autoSpaceDE w:val="0"/>
        <w:autoSpaceDN w:val="0"/>
        <w:adjustRightInd w:val="0"/>
        <w:spacing w:after="0" w:line="360" w:lineRule="auto"/>
        <w:jc w:val="both"/>
        <w:rPr>
          <w:rFonts w:cstheme="minorHAnsi"/>
          <w:sz w:val="24"/>
          <w:szCs w:val="24"/>
        </w:rPr>
      </w:pPr>
      <w:r w:rsidRPr="00EB2626">
        <w:rPr>
          <w:rFonts w:cstheme="minorHAnsi"/>
          <w:sz w:val="24"/>
          <w:szCs w:val="24"/>
        </w:rPr>
        <w:t xml:space="preserve">La </w:t>
      </w:r>
      <w:r w:rsidRPr="00EB2626">
        <w:rPr>
          <w:rFonts w:cstheme="minorHAnsi"/>
          <w:b/>
          <w:bCs/>
          <w:sz w:val="24"/>
          <w:szCs w:val="24"/>
        </w:rPr>
        <w:t>Politique Nationale de Santé (2011)</w:t>
      </w:r>
      <w:r w:rsidRPr="00EB2626">
        <w:rPr>
          <w:rFonts w:cstheme="minorHAnsi"/>
          <w:sz w:val="24"/>
          <w:szCs w:val="24"/>
        </w:rPr>
        <w:t xml:space="preserve">, confirme l’adhésion du pays </w:t>
      </w:r>
      <w:r w:rsidR="00FA46D6" w:rsidRPr="00EB2626">
        <w:rPr>
          <w:rFonts w:cstheme="minorHAnsi"/>
          <w:sz w:val="24"/>
          <w:szCs w:val="24"/>
        </w:rPr>
        <w:t>à</w:t>
      </w:r>
      <w:r w:rsidRPr="00EB2626">
        <w:rPr>
          <w:rFonts w:cstheme="minorHAnsi"/>
          <w:sz w:val="24"/>
          <w:szCs w:val="24"/>
        </w:rPr>
        <w:t xml:space="preserve"> la stratégie des soins de santé primaires et</w:t>
      </w:r>
      <w:r w:rsidR="00FA46D6" w:rsidRPr="00EB2626">
        <w:rPr>
          <w:rFonts w:cstheme="minorHAnsi"/>
          <w:sz w:val="24"/>
          <w:szCs w:val="24"/>
        </w:rPr>
        <w:t xml:space="preserve"> aux orientations mondiales</w:t>
      </w:r>
      <w:r w:rsidRPr="00EB2626">
        <w:rPr>
          <w:rFonts w:cstheme="minorHAnsi"/>
          <w:sz w:val="24"/>
          <w:szCs w:val="24"/>
        </w:rPr>
        <w:t xml:space="preserve">. Elle est opérationnalisée à travers le </w:t>
      </w:r>
      <w:r w:rsidRPr="00EB2626">
        <w:rPr>
          <w:rFonts w:cstheme="minorHAnsi"/>
          <w:b/>
          <w:bCs/>
          <w:sz w:val="24"/>
          <w:szCs w:val="24"/>
        </w:rPr>
        <w:t xml:space="preserve">Plan </w:t>
      </w:r>
      <w:r w:rsidRPr="00EB2626">
        <w:rPr>
          <w:rFonts w:cstheme="minorHAnsi"/>
          <w:b/>
          <w:bCs/>
          <w:sz w:val="24"/>
          <w:szCs w:val="24"/>
        </w:rPr>
        <w:lastRenderedPageBreak/>
        <w:t>national de développement sanitaire</w:t>
      </w:r>
      <w:r w:rsidR="00FA46D6" w:rsidRPr="00EB2626">
        <w:rPr>
          <w:rFonts w:cstheme="minorHAnsi"/>
          <w:sz w:val="24"/>
          <w:szCs w:val="24"/>
        </w:rPr>
        <w:t xml:space="preserve"> </w:t>
      </w:r>
      <w:r w:rsidRPr="00EB2626">
        <w:rPr>
          <w:rFonts w:cstheme="minorHAnsi"/>
          <w:b/>
          <w:bCs/>
          <w:sz w:val="24"/>
          <w:szCs w:val="24"/>
        </w:rPr>
        <w:t xml:space="preserve">2011-2020 (PNDS) </w:t>
      </w:r>
      <w:r w:rsidRPr="00EB2626">
        <w:rPr>
          <w:rFonts w:cstheme="minorHAnsi"/>
          <w:sz w:val="24"/>
          <w:szCs w:val="24"/>
        </w:rPr>
        <w:t>soutenu par une approche</w:t>
      </w:r>
      <w:r w:rsidR="00FA46D6" w:rsidRPr="00EB2626">
        <w:rPr>
          <w:rFonts w:cstheme="minorHAnsi"/>
          <w:sz w:val="24"/>
          <w:szCs w:val="24"/>
        </w:rPr>
        <w:t xml:space="preserve"> </w:t>
      </w:r>
      <w:r w:rsidRPr="00EB2626">
        <w:rPr>
          <w:rFonts w:cstheme="minorHAnsi"/>
          <w:sz w:val="24"/>
          <w:szCs w:val="24"/>
        </w:rPr>
        <w:t xml:space="preserve">sectorielle et mis en </w:t>
      </w:r>
      <w:r w:rsidR="00FA46D6" w:rsidRPr="00EB2626">
        <w:rPr>
          <w:rFonts w:cstheme="minorHAnsi"/>
          <w:sz w:val="24"/>
          <w:szCs w:val="24"/>
        </w:rPr>
        <w:t>œuvre</w:t>
      </w:r>
      <w:r w:rsidRPr="00EB2626">
        <w:rPr>
          <w:rFonts w:cstheme="minorHAnsi"/>
          <w:sz w:val="24"/>
          <w:szCs w:val="24"/>
        </w:rPr>
        <w:t xml:space="preserve"> à travers des plans triennaux glissants.</w:t>
      </w:r>
    </w:p>
    <w:p w14:paraId="183D8F06" w14:textId="77777777" w:rsidR="00DB797E" w:rsidRDefault="00D04D60" w:rsidP="00EB2626">
      <w:pPr>
        <w:autoSpaceDE w:val="0"/>
        <w:autoSpaceDN w:val="0"/>
        <w:adjustRightInd w:val="0"/>
        <w:spacing w:after="0" w:line="360" w:lineRule="auto"/>
        <w:jc w:val="both"/>
        <w:rPr>
          <w:rFonts w:cstheme="minorHAnsi"/>
          <w:sz w:val="24"/>
          <w:szCs w:val="24"/>
        </w:rPr>
      </w:pPr>
      <w:r w:rsidRPr="00EB2626">
        <w:rPr>
          <w:rFonts w:cstheme="minorHAnsi"/>
          <w:sz w:val="24"/>
          <w:szCs w:val="24"/>
        </w:rPr>
        <w:t>Le PNDS 2011-2020 a été évalué à mi-parcours en 2016 [2,3,4] et révisé [5] début 2016 dans la</w:t>
      </w:r>
      <w:r w:rsidR="00FA46D6" w:rsidRPr="00EB2626">
        <w:rPr>
          <w:rFonts w:cstheme="minorHAnsi"/>
          <w:sz w:val="24"/>
          <w:szCs w:val="24"/>
        </w:rPr>
        <w:t xml:space="preserve"> </w:t>
      </w:r>
      <w:r w:rsidRPr="00EB2626">
        <w:rPr>
          <w:rFonts w:cstheme="minorHAnsi"/>
          <w:sz w:val="24"/>
          <w:szCs w:val="24"/>
        </w:rPr>
        <w:t>perspective d'accélérer l’atteinte des ODD au Burkina-Faso et de faire le lien avec le budget</w:t>
      </w:r>
      <w:r w:rsidR="00FA46D6" w:rsidRPr="00EB2626">
        <w:rPr>
          <w:rFonts w:cstheme="minorHAnsi"/>
          <w:sz w:val="24"/>
          <w:szCs w:val="24"/>
        </w:rPr>
        <w:t xml:space="preserve"> </w:t>
      </w:r>
      <w:r w:rsidRPr="00EB2626">
        <w:rPr>
          <w:rFonts w:cstheme="minorHAnsi"/>
          <w:sz w:val="24"/>
          <w:szCs w:val="24"/>
        </w:rPr>
        <w:t>programme 2017-2019</w:t>
      </w:r>
      <w:r w:rsidR="00FA46D6" w:rsidRPr="00EB2626">
        <w:rPr>
          <w:rFonts w:cstheme="minorHAnsi"/>
          <w:sz w:val="24"/>
          <w:szCs w:val="24"/>
        </w:rPr>
        <w:t>. Le Budget programme est bâti autour de trois programmes : (i) le programme "Accès aux services de santé", (ii) le programme "Prestations des services de santé" et (iii) le programme "Pilotage et soutien des ser</w:t>
      </w:r>
      <w:r w:rsidR="00EB2626">
        <w:rPr>
          <w:rFonts w:cstheme="minorHAnsi"/>
          <w:sz w:val="24"/>
          <w:szCs w:val="24"/>
        </w:rPr>
        <w:t>vices du Ministère de la santé"</w:t>
      </w:r>
      <w:r w:rsidRPr="00EB2626">
        <w:rPr>
          <w:rFonts w:cstheme="minorHAnsi"/>
          <w:sz w:val="24"/>
          <w:szCs w:val="24"/>
        </w:rPr>
        <w:t>.</w:t>
      </w:r>
    </w:p>
    <w:p w14:paraId="0CA4943A" w14:textId="77777777" w:rsidR="00803F33" w:rsidRPr="00AE2384" w:rsidRDefault="00803F33" w:rsidP="00AE2384">
      <w:pPr>
        <w:pStyle w:val="Standard"/>
        <w:numPr>
          <w:ilvl w:val="3"/>
          <w:numId w:val="1"/>
        </w:numPr>
        <w:tabs>
          <w:tab w:val="left" w:pos="993"/>
        </w:tabs>
        <w:spacing w:before="60" w:after="60" w:line="360" w:lineRule="auto"/>
        <w:jc w:val="both"/>
        <w:rPr>
          <w:rFonts w:asciiTheme="minorHAnsi" w:eastAsia="MS Mincho" w:hAnsiTheme="minorHAnsi" w:cs="Arial"/>
          <w:b/>
          <w:noProof/>
          <w:lang w:eastAsia="fr-FR"/>
        </w:rPr>
      </w:pPr>
      <w:r w:rsidRPr="00AE2384">
        <w:rPr>
          <w:rFonts w:asciiTheme="minorHAnsi" w:eastAsia="MS Mincho" w:hAnsiTheme="minorHAnsi" w:cs="Arial"/>
          <w:b/>
          <w:noProof/>
          <w:lang w:eastAsia="fr-FR"/>
        </w:rPr>
        <w:t>Etat de santé des populations</w:t>
      </w:r>
    </w:p>
    <w:p w14:paraId="16E9C2E8" w14:textId="77777777" w:rsidR="00403597" w:rsidRDefault="00AE2384" w:rsidP="00AE2384">
      <w:pPr>
        <w:spacing w:after="0" w:line="360" w:lineRule="auto"/>
        <w:jc w:val="both"/>
        <w:rPr>
          <w:rFonts w:cs="Arial"/>
          <w:sz w:val="24"/>
          <w:szCs w:val="24"/>
        </w:rPr>
      </w:pPr>
      <w:r>
        <w:rPr>
          <w:rFonts w:cs="Arial"/>
          <w:sz w:val="24"/>
          <w:szCs w:val="24"/>
        </w:rPr>
        <w:t>L</w:t>
      </w:r>
      <w:r w:rsidR="00803F33" w:rsidRPr="00AE2384">
        <w:rPr>
          <w:rFonts w:cs="Arial"/>
          <w:sz w:val="24"/>
          <w:szCs w:val="24"/>
        </w:rPr>
        <w:t xml:space="preserve">’espérance de vie à la naissance </w:t>
      </w:r>
      <w:r>
        <w:rPr>
          <w:rFonts w:cs="Arial"/>
          <w:sz w:val="24"/>
          <w:szCs w:val="24"/>
        </w:rPr>
        <w:t xml:space="preserve">est passée </w:t>
      </w:r>
      <w:r w:rsidR="00803F33" w:rsidRPr="00AE2384">
        <w:rPr>
          <w:rFonts w:cs="Arial"/>
          <w:sz w:val="24"/>
          <w:szCs w:val="24"/>
        </w:rPr>
        <w:t>de 53,8 ans en 1996 à 56,7 ans en 2006</w:t>
      </w:r>
      <w:r>
        <w:rPr>
          <w:rFonts w:cs="Arial"/>
          <w:sz w:val="24"/>
          <w:szCs w:val="24"/>
        </w:rPr>
        <w:t xml:space="preserve"> mais </w:t>
      </w:r>
      <w:r w:rsidRPr="00AE2384">
        <w:rPr>
          <w:rFonts w:cs="Arial"/>
          <w:sz w:val="24"/>
          <w:szCs w:val="24"/>
        </w:rPr>
        <w:t>les</w:t>
      </w:r>
      <w:r w:rsidR="00803F33" w:rsidRPr="00AE2384">
        <w:rPr>
          <w:rFonts w:cs="Arial"/>
          <w:sz w:val="24"/>
          <w:szCs w:val="24"/>
        </w:rPr>
        <w:t xml:space="preserve"> taux bruts de morbidité et de mortalité demeurent élevés avec respectivement 8,4</w:t>
      </w:r>
      <w:r w:rsidRPr="00AE2384">
        <w:rPr>
          <w:rFonts w:cs="Arial"/>
          <w:sz w:val="24"/>
          <w:szCs w:val="24"/>
        </w:rPr>
        <w:t>‰</w:t>
      </w:r>
      <w:r w:rsidR="00803F33" w:rsidRPr="00AE2384">
        <w:rPr>
          <w:rFonts w:cs="Arial"/>
          <w:sz w:val="24"/>
          <w:szCs w:val="24"/>
        </w:rPr>
        <w:t xml:space="preserve"> et 11,8‰</w:t>
      </w:r>
      <w:r w:rsidR="00803F33" w:rsidRPr="00AE2384">
        <w:rPr>
          <w:rFonts w:cs="Arial"/>
          <w:sz w:val="24"/>
          <w:szCs w:val="24"/>
          <w:vertAlign w:val="superscript"/>
        </w:rPr>
        <w:footnoteReference w:id="3"/>
      </w:r>
      <w:r w:rsidR="00803F33" w:rsidRPr="00AE2384">
        <w:rPr>
          <w:rFonts w:cs="Arial"/>
          <w:sz w:val="24"/>
          <w:szCs w:val="24"/>
        </w:rPr>
        <w:t>.</w:t>
      </w:r>
    </w:p>
    <w:tbl>
      <w:tblPr>
        <w:tblStyle w:val="Grilledutableau"/>
        <w:tblW w:w="0" w:type="auto"/>
        <w:tblLook w:val="04A0" w:firstRow="1" w:lastRow="0" w:firstColumn="1" w:lastColumn="0" w:noHBand="0" w:noVBand="1"/>
      </w:tblPr>
      <w:tblGrid>
        <w:gridCol w:w="4815"/>
        <w:gridCol w:w="1559"/>
        <w:gridCol w:w="2688"/>
      </w:tblGrid>
      <w:tr w:rsidR="008A2DF6" w:rsidRPr="009836E5" w14:paraId="53B98586" w14:textId="77777777" w:rsidTr="00D56EEC">
        <w:tc>
          <w:tcPr>
            <w:tcW w:w="9062" w:type="dxa"/>
            <w:gridSpan w:val="3"/>
          </w:tcPr>
          <w:p w14:paraId="4A6304BC" w14:textId="26687827" w:rsidR="008A2DF6" w:rsidRPr="009836E5" w:rsidRDefault="008A2DF6" w:rsidP="008A2DF6">
            <w:pPr>
              <w:spacing w:line="360" w:lineRule="auto"/>
              <w:jc w:val="both"/>
              <w:rPr>
                <w:b/>
                <w:bCs/>
              </w:rPr>
            </w:pPr>
            <w:r>
              <w:rPr>
                <w:b/>
                <w:bCs/>
              </w:rPr>
              <w:t>Tableau 1 : Etat de santé de la population</w:t>
            </w:r>
          </w:p>
        </w:tc>
      </w:tr>
      <w:tr w:rsidR="009836E5" w:rsidRPr="009836E5" w14:paraId="1F2D1EFC" w14:textId="77777777" w:rsidTr="009836E5">
        <w:tc>
          <w:tcPr>
            <w:tcW w:w="4815" w:type="dxa"/>
          </w:tcPr>
          <w:p w14:paraId="08451537" w14:textId="167B9CBC" w:rsidR="009836E5" w:rsidRPr="009836E5" w:rsidRDefault="009836E5" w:rsidP="009836E5">
            <w:pPr>
              <w:spacing w:line="276" w:lineRule="auto"/>
              <w:jc w:val="both"/>
              <w:rPr>
                <w:rFonts w:cs="Arial"/>
              </w:rPr>
            </w:pPr>
            <w:r w:rsidRPr="009836E5">
              <w:rPr>
                <w:b/>
                <w:bCs/>
              </w:rPr>
              <w:t xml:space="preserve">Indicateurs </w:t>
            </w:r>
          </w:p>
        </w:tc>
        <w:tc>
          <w:tcPr>
            <w:tcW w:w="1559" w:type="dxa"/>
          </w:tcPr>
          <w:p w14:paraId="5D4B8544" w14:textId="19E36485" w:rsidR="009836E5" w:rsidRPr="009836E5" w:rsidRDefault="009836E5" w:rsidP="009836E5">
            <w:pPr>
              <w:spacing w:line="276" w:lineRule="auto"/>
              <w:jc w:val="both"/>
              <w:rPr>
                <w:rFonts w:cs="Arial"/>
              </w:rPr>
            </w:pPr>
            <w:r w:rsidRPr="009836E5">
              <w:rPr>
                <w:b/>
                <w:bCs/>
              </w:rPr>
              <w:t xml:space="preserve">Valeur </w:t>
            </w:r>
          </w:p>
        </w:tc>
        <w:tc>
          <w:tcPr>
            <w:tcW w:w="2688" w:type="dxa"/>
          </w:tcPr>
          <w:p w14:paraId="35447AF0" w14:textId="7562A4E6" w:rsidR="009836E5" w:rsidRPr="009836E5" w:rsidRDefault="009836E5" w:rsidP="009836E5">
            <w:pPr>
              <w:spacing w:line="276" w:lineRule="auto"/>
              <w:jc w:val="both"/>
              <w:rPr>
                <w:rFonts w:cs="Arial"/>
              </w:rPr>
            </w:pPr>
            <w:r w:rsidRPr="009836E5">
              <w:rPr>
                <w:b/>
                <w:bCs/>
              </w:rPr>
              <w:t xml:space="preserve">Sources </w:t>
            </w:r>
          </w:p>
        </w:tc>
      </w:tr>
      <w:tr w:rsidR="009836E5" w:rsidRPr="009836E5" w14:paraId="63B84A7C" w14:textId="77777777" w:rsidTr="009836E5">
        <w:tc>
          <w:tcPr>
            <w:tcW w:w="4815" w:type="dxa"/>
          </w:tcPr>
          <w:p w14:paraId="210A5C33" w14:textId="1F3896F0" w:rsidR="009836E5" w:rsidRPr="009836E5" w:rsidRDefault="009836E5" w:rsidP="009836E5">
            <w:pPr>
              <w:spacing w:line="276" w:lineRule="auto"/>
              <w:jc w:val="both"/>
              <w:rPr>
                <w:rFonts w:cs="Arial"/>
              </w:rPr>
            </w:pPr>
            <w:r w:rsidRPr="009836E5">
              <w:rPr>
                <w:rFonts w:cs="Bookman Old Style"/>
              </w:rPr>
              <w:t xml:space="preserve">Population totale </w:t>
            </w:r>
          </w:p>
        </w:tc>
        <w:tc>
          <w:tcPr>
            <w:tcW w:w="1559" w:type="dxa"/>
          </w:tcPr>
          <w:p w14:paraId="257FE247" w14:textId="43940F45" w:rsidR="009836E5" w:rsidRPr="009836E5" w:rsidRDefault="009836E5" w:rsidP="009836E5">
            <w:pPr>
              <w:spacing w:line="276" w:lineRule="auto"/>
              <w:jc w:val="both"/>
              <w:rPr>
                <w:rFonts w:cs="Arial"/>
              </w:rPr>
            </w:pPr>
            <w:r w:rsidRPr="009836E5">
              <w:t xml:space="preserve">19 632 147 </w:t>
            </w:r>
          </w:p>
        </w:tc>
        <w:tc>
          <w:tcPr>
            <w:tcW w:w="2688" w:type="dxa"/>
          </w:tcPr>
          <w:p w14:paraId="361877CA" w14:textId="30D3F8C3" w:rsidR="009836E5" w:rsidRPr="009836E5" w:rsidRDefault="009836E5" w:rsidP="009836E5">
            <w:pPr>
              <w:spacing w:line="276" w:lineRule="auto"/>
              <w:jc w:val="both"/>
              <w:rPr>
                <w:rFonts w:cs="Arial"/>
              </w:rPr>
            </w:pPr>
            <w:r w:rsidRPr="009836E5">
              <w:t xml:space="preserve">Projection 2007-2020 </w:t>
            </w:r>
          </w:p>
        </w:tc>
      </w:tr>
      <w:tr w:rsidR="009836E5" w:rsidRPr="009836E5" w14:paraId="01D23ABF" w14:textId="77777777" w:rsidTr="009836E5">
        <w:tc>
          <w:tcPr>
            <w:tcW w:w="4815" w:type="dxa"/>
          </w:tcPr>
          <w:p w14:paraId="300E698A" w14:textId="59034955" w:rsidR="009836E5" w:rsidRPr="009836E5" w:rsidRDefault="009836E5" w:rsidP="009836E5">
            <w:pPr>
              <w:spacing w:line="276" w:lineRule="auto"/>
              <w:jc w:val="both"/>
              <w:rPr>
                <w:rFonts w:cs="Arial"/>
              </w:rPr>
            </w:pPr>
            <w:r w:rsidRPr="009836E5">
              <w:rPr>
                <w:rFonts w:cs="Bookman Old Style"/>
              </w:rPr>
              <w:t xml:space="preserve">Espérance de vie à la naissance </w:t>
            </w:r>
          </w:p>
        </w:tc>
        <w:tc>
          <w:tcPr>
            <w:tcW w:w="1559" w:type="dxa"/>
          </w:tcPr>
          <w:p w14:paraId="33F39B97" w14:textId="221A9273" w:rsidR="009836E5" w:rsidRPr="009836E5" w:rsidRDefault="009836E5" w:rsidP="009836E5">
            <w:pPr>
              <w:spacing w:line="276" w:lineRule="auto"/>
              <w:jc w:val="both"/>
              <w:rPr>
                <w:rFonts w:cs="Arial"/>
              </w:rPr>
            </w:pPr>
            <w:r w:rsidRPr="009836E5">
              <w:t xml:space="preserve">56,7 ans </w:t>
            </w:r>
          </w:p>
        </w:tc>
        <w:tc>
          <w:tcPr>
            <w:tcW w:w="2688" w:type="dxa"/>
          </w:tcPr>
          <w:p w14:paraId="23A4BC22" w14:textId="601A68E9" w:rsidR="009836E5" w:rsidRPr="009836E5" w:rsidRDefault="009836E5" w:rsidP="009836E5">
            <w:pPr>
              <w:spacing w:line="276" w:lineRule="auto"/>
              <w:jc w:val="both"/>
              <w:rPr>
                <w:rFonts w:cs="Arial"/>
              </w:rPr>
            </w:pPr>
            <w:r w:rsidRPr="009836E5">
              <w:rPr>
                <w:rFonts w:cs="Bookman Old Style"/>
              </w:rPr>
              <w:t xml:space="preserve">RGPH 2006 </w:t>
            </w:r>
          </w:p>
        </w:tc>
      </w:tr>
      <w:tr w:rsidR="009836E5" w:rsidRPr="009836E5" w14:paraId="7D2A9105" w14:textId="77777777" w:rsidTr="009836E5">
        <w:tc>
          <w:tcPr>
            <w:tcW w:w="4815" w:type="dxa"/>
          </w:tcPr>
          <w:p w14:paraId="7924756B" w14:textId="6E211B0B" w:rsidR="009836E5" w:rsidRPr="009836E5" w:rsidRDefault="009836E5" w:rsidP="009836E5">
            <w:pPr>
              <w:spacing w:line="276" w:lineRule="auto"/>
              <w:jc w:val="both"/>
              <w:rPr>
                <w:rFonts w:cs="Arial"/>
              </w:rPr>
            </w:pPr>
            <w:r w:rsidRPr="009836E5">
              <w:rPr>
                <w:rFonts w:cs="Bookman Old Style"/>
              </w:rPr>
              <w:t xml:space="preserve">Taux brute de natalité (TBN) </w:t>
            </w:r>
          </w:p>
        </w:tc>
        <w:tc>
          <w:tcPr>
            <w:tcW w:w="1559" w:type="dxa"/>
          </w:tcPr>
          <w:p w14:paraId="06B98762" w14:textId="70710B15" w:rsidR="009836E5" w:rsidRPr="009836E5" w:rsidRDefault="009836E5" w:rsidP="009836E5">
            <w:pPr>
              <w:spacing w:line="276" w:lineRule="auto"/>
              <w:jc w:val="both"/>
              <w:rPr>
                <w:rFonts w:cs="Arial"/>
              </w:rPr>
            </w:pPr>
            <w:r w:rsidRPr="009836E5">
              <w:rPr>
                <w:rFonts w:cs="Bookman Old Style"/>
              </w:rPr>
              <w:t xml:space="preserve">45,8‰ </w:t>
            </w:r>
          </w:p>
        </w:tc>
        <w:tc>
          <w:tcPr>
            <w:tcW w:w="2688" w:type="dxa"/>
          </w:tcPr>
          <w:p w14:paraId="168B683C" w14:textId="7037AEDF" w:rsidR="009836E5" w:rsidRPr="009836E5" w:rsidRDefault="009836E5" w:rsidP="009836E5">
            <w:pPr>
              <w:spacing w:line="276" w:lineRule="auto"/>
              <w:jc w:val="both"/>
              <w:rPr>
                <w:rFonts w:cs="Arial"/>
              </w:rPr>
            </w:pPr>
            <w:r w:rsidRPr="009836E5">
              <w:rPr>
                <w:rFonts w:cs="Bookman Old Style"/>
              </w:rPr>
              <w:t xml:space="preserve">RGPH 2006 </w:t>
            </w:r>
          </w:p>
        </w:tc>
      </w:tr>
      <w:tr w:rsidR="009836E5" w:rsidRPr="009836E5" w14:paraId="65FD94B5" w14:textId="77777777" w:rsidTr="009836E5">
        <w:tc>
          <w:tcPr>
            <w:tcW w:w="4815" w:type="dxa"/>
          </w:tcPr>
          <w:p w14:paraId="650A7B1A" w14:textId="071754AF" w:rsidR="009836E5" w:rsidRPr="009836E5" w:rsidRDefault="009836E5" w:rsidP="009836E5">
            <w:pPr>
              <w:spacing w:line="276" w:lineRule="auto"/>
              <w:jc w:val="both"/>
              <w:rPr>
                <w:rFonts w:cs="Arial"/>
              </w:rPr>
            </w:pPr>
            <w:r w:rsidRPr="009836E5">
              <w:rPr>
                <w:rFonts w:cs="Bookman Old Style"/>
              </w:rPr>
              <w:t xml:space="preserve">Taux de mortalité générale </w:t>
            </w:r>
          </w:p>
        </w:tc>
        <w:tc>
          <w:tcPr>
            <w:tcW w:w="1559" w:type="dxa"/>
          </w:tcPr>
          <w:p w14:paraId="5E219240" w14:textId="3BC32582" w:rsidR="009836E5" w:rsidRPr="009836E5" w:rsidRDefault="009836E5" w:rsidP="009836E5">
            <w:pPr>
              <w:spacing w:line="276" w:lineRule="auto"/>
              <w:jc w:val="both"/>
              <w:rPr>
                <w:rFonts w:cs="Arial"/>
              </w:rPr>
            </w:pPr>
            <w:r w:rsidRPr="009836E5">
              <w:rPr>
                <w:rFonts w:cs="Bookman Old Style"/>
              </w:rPr>
              <w:t xml:space="preserve">11,8‰ </w:t>
            </w:r>
          </w:p>
        </w:tc>
        <w:tc>
          <w:tcPr>
            <w:tcW w:w="2688" w:type="dxa"/>
          </w:tcPr>
          <w:p w14:paraId="48F47A1D" w14:textId="233CA75C" w:rsidR="009836E5" w:rsidRPr="009836E5" w:rsidRDefault="009836E5" w:rsidP="009836E5">
            <w:pPr>
              <w:spacing w:line="276" w:lineRule="auto"/>
              <w:jc w:val="both"/>
              <w:rPr>
                <w:rFonts w:cs="Arial"/>
              </w:rPr>
            </w:pPr>
            <w:r w:rsidRPr="009836E5">
              <w:rPr>
                <w:rFonts w:cs="Bookman Old Style"/>
              </w:rPr>
              <w:t xml:space="preserve">RGPH 2006 </w:t>
            </w:r>
          </w:p>
        </w:tc>
      </w:tr>
      <w:tr w:rsidR="009836E5" w:rsidRPr="009836E5" w14:paraId="35884921" w14:textId="77777777" w:rsidTr="009836E5">
        <w:tc>
          <w:tcPr>
            <w:tcW w:w="4815" w:type="dxa"/>
          </w:tcPr>
          <w:p w14:paraId="559D1C47" w14:textId="25186F67" w:rsidR="009836E5" w:rsidRPr="009836E5" w:rsidRDefault="009836E5" w:rsidP="009836E5">
            <w:pPr>
              <w:spacing w:line="276" w:lineRule="auto"/>
              <w:jc w:val="both"/>
              <w:rPr>
                <w:rFonts w:cs="Arial"/>
              </w:rPr>
            </w:pPr>
            <w:r w:rsidRPr="009836E5">
              <w:rPr>
                <w:rFonts w:cs="Bookman Old Style"/>
              </w:rPr>
              <w:t xml:space="preserve">Taux de mortalité des enfants de moins d’un an </w:t>
            </w:r>
          </w:p>
        </w:tc>
        <w:tc>
          <w:tcPr>
            <w:tcW w:w="1559" w:type="dxa"/>
          </w:tcPr>
          <w:p w14:paraId="0752A2BE" w14:textId="4882AFE3" w:rsidR="009836E5" w:rsidRPr="009836E5" w:rsidRDefault="009836E5" w:rsidP="009836E5">
            <w:pPr>
              <w:spacing w:line="276" w:lineRule="auto"/>
              <w:jc w:val="both"/>
              <w:rPr>
                <w:rFonts w:cs="Arial"/>
              </w:rPr>
            </w:pPr>
            <w:r w:rsidRPr="009836E5">
              <w:rPr>
                <w:rFonts w:cs="Bookman Old Style"/>
              </w:rPr>
              <w:t xml:space="preserve">65‰ </w:t>
            </w:r>
          </w:p>
        </w:tc>
        <w:tc>
          <w:tcPr>
            <w:tcW w:w="2688" w:type="dxa"/>
          </w:tcPr>
          <w:p w14:paraId="083A096D" w14:textId="68ED421F" w:rsidR="009836E5" w:rsidRPr="009836E5" w:rsidRDefault="009836E5" w:rsidP="009836E5">
            <w:pPr>
              <w:spacing w:line="276" w:lineRule="auto"/>
              <w:jc w:val="both"/>
              <w:rPr>
                <w:rFonts w:cs="Arial"/>
              </w:rPr>
            </w:pPr>
            <w:r w:rsidRPr="009836E5">
              <w:rPr>
                <w:rFonts w:cs="Bookman Old Style"/>
              </w:rPr>
              <w:t xml:space="preserve">EDS 2010 </w:t>
            </w:r>
          </w:p>
        </w:tc>
      </w:tr>
      <w:tr w:rsidR="009836E5" w:rsidRPr="009836E5" w14:paraId="45876784" w14:textId="77777777" w:rsidTr="009836E5">
        <w:tc>
          <w:tcPr>
            <w:tcW w:w="4815" w:type="dxa"/>
          </w:tcPr>
          <w:p w14:paraId="4C3ECC5A" w14:textId="3576943E" w:rsidR="009836E5" w:rsidRPr="009836E5" w:rsidRDefault="009836E5" w:rsidP="009836E5">
            <w:pPr>
              <w:spacing w:line="276" w:lineRule="auto"/>
              <w:jc w:val="both"/>
              <w:rPr>
                <w:rFonts w:cs="Arial"/>
              </w:rPr>
            </w:pPr>
            <w:r w:rsidRPr="009836E5">
              <w:rPr>
                <w:rFonts w:cs="Bookman Old Style"/>
              </w:rPr>
              <w:t xml:space="preserve">Taux global de fécondité générale </w:t>
            </w:r>
          </w:p>
        </w:tc>
        <w:tc>
          <w:tcPr>
            <w:tcW w:w="1559" w:type="dxa"/>
          </w:tcPr>
          <w:p w14:paraId="2032886A" w14:textId="58A27220" w:rsidR="009836E5" w:rsidRPr="009836E5" w:rsidRDefault="009836E5" w:rsidP="009836E5">
            <w:pPr>
              <w:spacing w:line="276" w:lineRule="auto"/>
              <w:jc w:val="both"/>
              <w:rPr>
                <w:rFonts w:cs="Arial"/>
              </w:rPr>
            </w:pPr>
            <w:r w:rsidRPr="009836E5">
              <w:rPr>
                <w:rFonts w:cs="Bookman Old Style"/>
              </w:rPr>
              <w:t xml:space="preserve">206‰ </w:t>
            </w:r>
          </w:p>
        </w:tc>
        <w:tc>
          <w:tcPr>
            <w:tcW w:w="2688" w:type="dxa"/>
          </w:tcPr>
          <w:p w14:paraId="4DA81DAD" w14:textId="710E86F6" w:rsidR="009836E5" w:rsidRPr="009836E5" w:rsidRDefault="009836E5" w:rsidP="009836E5">
            <w:pPr>
              <w:spacing w:line="276" w:lineRule="auto"/>
              <w:jc w:val="both"/>
              <w:rPr>
                <w:rFonts w:cs="Arial"/>
              </w:rPr>
            </w:pPr>
            <w:r w:rsidRPr="009836E5">
              <w:rPr>
                <w:rFonts w:cs="Bookman Old Style"/>
              </w:rPr>
              <w:t xml:space="preserve">EDS 2010 </w:t>
            </w:r>
          </w:p>
        </w:tc>
      </w:tr>
      <w:tr w:rsidR="009836E5" w:rsidRPr="009836E5" w14:paraId="5EAA9498" w14:textId="77777777" w:rsidTr="009836E5">
        <w:tc>
          <w:tcPr>
            <w:tcW w:w="4815" w:type="dxa"/>
          </w:tcPr>
          <w:p w14:paraId="769AFB7B" w14:textId="2121CF7D" w:rsidR="009836E5" w:rsidRPr="009836E5" w:rsidRDefault="009836E5" w:rsidP="009836E5">
            <w:pPr>
              <w:spacing w:line="276" w:lineRule="auto"/>
              <w:jc w:val="both"/>
              <w:rPr>
                <w:rFonts w:cs="Arial"/>
              </w:rPr>
            </w:pPr>
            <w:r w:rsidRPr="009836E5">
              <w:rPr>
                <w:rFonts w:cs="Bookman Old Style"/>
              </w:rPr>
              <w:t xml:space="preserve">Indice Synthétique de Fécondité (ISF) </w:t>
            </w:r>
          </w:p>
        </w:tc>
        <w:tc>
          <w:tcPr>
            <w:tcW w:w="1559" w:type="dxa"/>
          </w:tcPr>
          <w:p w14:paraId="32AE974B" w14:textId="6B012D95" w:rsidR="009836E5" w:rsidRPr="009836E5" w:rsidRDefault="009836E5" w:rsidP="009836E5">
            <w:pPr>
              <w:spacing w:line="276" w:lineRule="auto"/>
              <w:jc w:val="both"/>
              <w:rPr>
                <w:rFonts w:cs="Arial"/>
              </w:rPr>
            </w:pPr>
            <w:r w:rsidRPr="009836E5">
              <w:rPr>
                <w:rFonts w:cs="Bookman Old Style"/>
              </w:rPr>
              <w:t xml:space="preserve">5,4 enfants </w:t>
            </w:r>
          </w:p>
        </w:tc>
        <w:tc>
          <w:tcPr>
            <w:tcW w:w="2688" w:type="dxa"/>
          </w:tcPr>
          <w:p w14:paraId="6EEEEA97" w14:textId="555C7431" w:rsidR="009836E5" w:rsidRPr="009836E5" w:rsidRDefault="009836E5" w:rsidP="009836E5">
            <w:pPr>
              <w:spacing w:line="276" w:lineRule="auto"/>
              <w:jc w:val="both"/>
              <w:rPr>
                <w:rFonts w:cs="Arial"/>
              </w:rPr>
            </w:pPr>
            <w:r w:rsidRPr="009836E5">
              <w:rPr>
                <w:rFonts w:cs="Bookman Old Style"/>
              </w:rPr>
              <w:t xml:space="preserve">EMDS 2015 </w:t>
            </w:r>
          </w:p>
        </w:tc>
      </w:tr>
      <w:tr w:rsidR="009836E5" w:rsidRPr="009836E5" w14:paraId="08ABDD0B" w14:textId="77777777" w:rsidTr="009836E5">
        <w:tc>
          <w:tcPr>
            <w:tcW w:w="4815" w:type="dxa"/>
          </w:tcPr>
          <w:p w14:paraId="0A6E2ADC" w14:textId="2921B465" w:rsidR="009836E5" w:rsidRPr="009836E5" w:rsidRDefault="009836E5" w:rsidP="009836E5">
            <w:pPr>
              <w:spacing w:line="276" w:lineRule="auto"/>
              <w:jc w:val="both"/>
              <w:rPr>
                <w:rFonts w:cs="Arial"/>
              </w:rPr>
            </w:pPr>
            <w:r w:rsidRPr="009836E5">
              <w:rPr>
                <w:rFonts w:cs="Bookman Old Style"/>
              </w:rPr>
              <w:t xml:space="preserve">Taux d’accroissement naturel </w:t>
            </w:r>
          </w:p>
        </w:tc>
        <w:tc>
          <w:tcPr>
            <w:tcW w:w="1559" w:type="dxa"/>
          </w:tcPr>
          <w:p w14:paraId="3F6EF0C5" w14:textId="273EA5EA" w:rsidR="009836E5" w:rsidRPr="009836E5" w:rsidRDefault="009836E5" w:rsidP="009836E5">
            <w:pPr>
              <w:spacing w:line="276" w:lineRule="auto"/>
              <w:jc w:val="both"/>
              <w:rPr>
                <w:rFonts w:cs="Arial"/>
              </w:rPr>
            </w:pPr>
            <w:r w:rsidRPr="009836E5">
              <w:rPr>
                <w:rFonts w:cs="Bookman Old Style"/>
              </w:rPr>
              <w:t xml:space="preserve">3,1% </w:t>
            </w:r>
          </w:p>
        </w:tc>
        <w:tc>
          <w:tcPr>
            <w:tcW w:w="2688" w:type="dxa"/>
          </w:tcPr>
          <w:p w14:paraId="1E178DE9" w14:textId="56E25A22" w:rsidR="009836E5" w:rsidRPr="009836E5" w:rsidRDefault="009836E5" w:rsidP="009836E5">
            <w:pPr>
              <w:spacing w:line="276" w:lineRule="auto"/>
              <w:jc w:val="both"/>
              <w:rPr>
                <w:rFonts w:cs="Arial"/>
              </w:rPr>
            </w:pPr>
            <w:r w:rsidRPr="009836E5">
              <w:rPr>
                <w:rFonts w:cs="Bookman Old Style"/>
              </w:rPr>
              <w:t xml:space="preserve">RGPH 2006 </w:t>
            </w:r>
          </w:p>
        </w:tc>
      </w:tr>
      <w:tr w:rsidR="009836E5" w:rsidRPr="009836E5" w14:paraId="3F2EDE28" w14:textId="77777777" w:rsidTr="009836E5">
        <w:tc>
          <w:tcPr>
            <w:tcW w:w="4815" w:type="dxa"/>
          </w:tcPr>
          <w:p w14:paraId="444BA7B8" w14:textId="0D125332" w:rsidR="009836E5" w:rsidRPr="009836E5" w:rsidRDefault="009836E5" w:rsidP="009836E5">
            <w:pPr>
              <w:spacing w:line="276" w:lineRule="auto"/>
              <w:jc w:val="both"/>
              <w:rPr>
                <w:rFonts w:cs="Arial"/>
              </w:rPr>
            </w:pPr>
            <w:r w:rsidRPr="009836E5">
              <w:t xml:space="preserve">Proportion des femmes </w:t>
            </w:r>
          </w:p>
        </w:tc>
        <w:tc>
          <w:tcPr>
            <w:tcW w:w="1559" w:type="dxa"/>
          </w:tcPr>
          <w:p w14:paraId="256E0494" w14:textId="296FD45B" w:rsidR="009836E5" w:rsidRPr="009836E5" w:rsidRDefault="009836E5" w:rsidP="009836E5">
            <w:pPr>
              <w:spacing w:line="276" w:lineRule="auto"/>
              <w:jc w:val="both"/>
              <w:rPr>
                <w:rFonts w:cs="Arial"/>
              </w:rPr>
            </w:pPr>
            <w:r w:rsidRPr="009836E5">
              <w:rPr>
                <w:rFonts w:cs="Bookman Old Style"/>
              </w:rPr>
              <w:t xml:space="preserve">51,7% </w:t>
            </w:r>
          </w:p>
        </w:tc>
        <w:tc>
          <w:tcPr>
            <w:tcW w:w="2688" w:type="dxa"/>
          </w:tcPr>
          <w:p w14:paraId="08B2673A" w14:textId="44A8BE7E" w:rsidR="009836E5" w:rsidRPr="009836E5" w:rsidRDefault="009836E5" w:rsidP="009836E5">
            <w:pPr>
              <w:spacing w:line="276" w:lineRule="auto"/>
              <w:jc w:val="both"/>
              <w:rPr>
                <w:rFonts w:cs="Arial"/>
              </w:rPr>
            </w:pPr>
            <w:r w:rsidRPr="009836E5">
              <w:rPr>
                <w:rFonts w:cs="Bookman Old Style"/>
              </w:rPr>
              <w:t xml:space="preserve">RGPH 2006 </w:t>
            </w:r>
          </w:p>
        </w:tc>
      </w:tr>
      <w:tr w:rsidR="009836E5" w:rsidRPr="009836E5" w14:paraId="6F1120F2" w14:textId="77777777" w:rsidTr="009836E5">
        <w:tc>
          <w:tcPr>
            <w:tcW w:w="4815" w:type="dxa"/>
          </w:tcPr>
          <w:p w14:paraId="040D8651" w14:textId="130E6A1A" w:rsidR="009836E5" w:rsidRPr="009836E5" w:rsidRDefault="009836E5" w:rsidP="009836E5">
            <w:pPr>
              <w:spacing w:line="276" w:lineRule="auto"/>
              <w:jc w:val="both"/>
              <w:rPr>
                <w:rFonts w:cs="Arial"/>
              </w:rPr>
            </w:pPr>
            <w:r w:rsidRPr="009836E5">
              <w:t xml:space="preserve">Proportion de la population vivant en milieu rural </w:t>
            </w:r>
          </w:p>
        </w:tc>
        <w:tc>
          <w:tcPr>
            <w:tcW w:w="1559" w:type="dxa"/>
          </w:tcPr>
          <w:p w14:paraId="15E6867A" w14:textId="42327270" w:rsidR="009836E5" w:rsidRPr="009836E5" w:rsidRDefault="009836E5" w:rsidP="009836E5">
            <w:pPr>
              <w:spacing w:line="276" w:lineRule="auto"/>
              <w:jc w:val="both"/>
              <w:rPr>
                <w:rFonts w:cs="Arial"/>
              </w:rPr>
            </w:pPr>
            <w:r w:rsidRPr="009836E5">
              <w:rPr>
                <w:rFonts w:cs="Bookman Old Style"/>
              </w:rPr>
              <w:t xml:space="preserve">77,3% </w:t>
            </w:r>
          </w:p>
        </w:tc>
        <w:tc>
          <w:tcPr>
            <w:tcW w:w="2688" w:type="dxa"/>
          </w:tcPr>
          <w:p w14:paraId="47C1C0E0" w14:textId="18A0B015" w:rsidR="009836E5" w:rsidRPr="009836E5" w:rsidRDefault="009836E5" w:rsidP="009836E5">
            <w:pPr>
              <w:spacing w:line="276" w:lineRule="auto"/>
              <w:jc w:val="both"/>
              <w:rPr>
                <w:rFonts w:cs="Arial"/>
              </w:rPr>
            </w:pPr>
            <w:r w:rsidRPr="009836E5">
              <w:rPr>
                <w:rFonts w:cs="Bookman Old Style"/>
              </w:rPr>
              <w:t xml:space="preserve">RGPH 2006 </w:t>
            </w:r>
          </w:p>
        </w:tc>
      </w:tr>
    </w:tbl>
    <w:p w14:paraId="59AF904C" w14:textId="77777777" w:rsidR="00403597" w:rsidRDefault="00403597" w:rsidP="00AE2384">
      <w:pPr>
        <w:spacing w:after="0" w:line="360" w:lineRule="auto"/>
        <w:jc w:val="both"/>
        <w:rPr>
          <w:rFonts w:cs="Arial"/>
          <w:sz w:val="24"/>
          <w:szCs w:val="24"/>
        </w:rPr>
      </w:pPr>
    </w:p>
    <w:p w14:paraId="20D72DA5" w14:textId="20E704CA" w:rsidR="00AE2384" w:rsidRDefault="00803F33" w:rsidP="00AE2384">
      <w:pPr>
        <w:spacing w:after="0" w:line="360" w:lineRule="auto"/>
        <w:jc w:val="both"/>
        <w:rPr>
          <w:rFonts w:cs="Arial"/>
          <w:sz w:val="24"/>
          <w:szCs w:val="24"/>
        </w:rPr>
      </w:pPr>
      <w:r w:rsidRPr="00AE2384">
        <w:rPr>
          <w:rFonts w:cs="Arial"/>
          <w:sz w:val="24"/>
          <w:szCs w:val="24"/>
        </w:rPr>
        <w:t xml:space="preserve"> </w:t>
      </w:r>
      <w:r w:rsidR="00AE2384">
        <w:rPr>
          <w:rFonts w:cs="Arial"/>
          <w:sz w:val="24"/>
          <w:szCs w:val="24"/>
        </w:rPr>
        <w:t>L</w:t>
      </w:r>
      <w:r w:rsidRPr="00AE2384">
        <w:rPr>
          <w:rFonts w:cs="Arial"/>
          <w:sz w:val="24"/>
          <w:szCs w:val="24"/>
        </w:rPr>
        <w:t>e ratio de mortalité maternelle qui est passé de 484 à 3</w:t>
      </w:r>
      <w:r w:rsidR="00AE2384">
        <w:rPr>
          <w:rFonts w:cs="Arial"/>
          <w:sz w:val="24"/>
          <w:szCs w:val="24"/>
        </w:rPr>
        <w:t>30</w:t>
      </w:r>
      <w:r w:rsidRPr="00AE2384">
        <w:rPr>
          <w:rFonts w:cs="Arial"/>
          <w:sz w:val="24"/>
          <w:szCs w:val="24"/>
        </w:rPr>
        <w:t xml:space="preserve"> décès pour cent mille naissances vivantes entre 2003 et 201</w:t>
      </w:r>
      <w:r w:rsidR="00AE2384">
        <w:rPr>
          <w:rFonts w:cs="Arial"/>
          <w:sz w:val="24"/>
          <w:szCs w:val="24"/>
        </w:rPr>
        <w:t>5.</w:t>
      </w:r>
      <w:r w:rsidRPr="00AE2384">
        <w:rPr>
          <w:rFonts w:cs="Arial"/>
          <w:sz w:val="24"/>
          <w:szCs w:val="24"/>
        </w:rPr>
        <w:t xml:space="preserve"> </w:t>
      </w:r>
    </w:p>
    <w:p w14:paraId="79FECBBC" w14:textId="77777777" w:rsidR="00803F33" w:rsidRPr="00AE2384" w:rsidRDefault="00803F33" w:rsidP="00AE2384">
      <w:pPr>
        <w:spacing w:line="360" w:lineRule="auto"/>
        <w:jc w:val="both"/>
        <w:rPr>
          <w:rFonts w:cs="Arial"/>
          <w:sz w:val="24"/>
          <w:szCs w:val="24"/>
        </w:rPr>
      </w:pPr>
      <w:r w:rsidRPr="00AE2384">
        <w:rPr>
          <w:rFonts w:cs="Arial"/>
          <w:sz w:val="24"/>
          <w:szCs w:val="24"/>
        </w:rPr>
        <w:t>Le taux de mortalité infanto-juvénile reste parmi les plus élevés au monde passant de 184‰ en 2003 à 129‰ en 2010 et à 81,6‰ en 2015. La mortalité néonatale quant à elle est passée de 31‰ en 2003 à 28‰ en 2010 et à 23,2‰ en 2015.</w:t>
      </w:r>
      <w:r w:rsidRPr="00AE2384">
        <w:rPr>
          <w:rStyle w:val="Appelnotedebasdep"/>
          <w:rFonts w:cs="Arial"/>
          <w:sz w:val="24"/>
          <w:szCs w:val="24"/>
        </w:rPr>
        <w:footnoteReference w:id="4"/>
      </w:r>
      <w:r w:rsidRPr="00AE2384">
        <w:rPr>
          <w:rFonts w:cs="Arial"/>
          <w:sz w:val="24"/>
          <w:szCs w:val="24"/>
        </w:rPr>
        <w:t xml:space="preserve"> </w:t>
      </w:r>
    </w:p>
    <w:p w14:paraId="3EDADF5C" w14:textId="77777777" w:rsidR="00AE2384" w:rsidRDefault="00803F33" w:rsidP="00AE2384">
      <w:pPr>
        <w:pStyle w:val="ListParagraph1"/>
        <w:tabs>
          <w:tab w:val="left" w:pos="284"/>
          <w:tab w:val="left" w:pos="426"/>
        </w:tabs>
        <w:spacing w:line="360" w:lineRule="auto"/>
        <w:ind w:left="0"/>
        <w:contextualSpacing w:val="0"/>
        <w:jc w:val="both"/>
        <w:rPr>
          <w:rFonts w:asciiTheme="minorHAnsi" w:hAnsiTheme="minorHAnsi" w:cs="Arial"/>
          <w:sz w:val="24"/>
          <w:szCs w:val="24"/>
          <w:lang w:val="fr-FR"/>
        </w:rPr>
      </w:pPr>
      <w:r w:rsidRPr="00AE2384">
        <w:rPr>
          <w:rFonts w:asciiTheme="minorHAnsi" w:hAnsiTheme="minorHAnsi" w:cs="Arial"/>
          <w:sz w:val="24"/>
          <w:szCs w:val="24"/>
          <w:lang w:val="fr-FR"/>
        </w:rPr>
        <w:t xml:space="preserve">Le profil épidémiologique du Burkina Faso est dominé par les maladies transmissibles dont les plus meurtrières sont le paludisme, les infections respiratoires aiguës (IRA) et les maladies diarrhéiques. L’incidence du paludisme reste élevée notamment chez les enfants de moins de </w:t>
      </w:r>
      <w:r w:rsidRPr="00AE2384">
        <w:rPr>
          <w:rFonts w:asciiTheme="minorHAnsi" w:hAnsiTheme="minorHAnsi" w:cs="Arial"/>
          <w:sz w:val="24"/>
          <w:szCs w:val="24"/>
          <w:lang w:val="fr-FR"/>
        </w:rPr>
        <w:lastRenderedPageBreak/>
        <w:t>5 ans (1725‰), et les femmes enceintes. La létalité du paludisme chez les enfants de moins de cinq ans était de 1,4% en 2017 contre 2,7 en 2012.</w:t>
      </w:r>
    </w:p>
    <w:p w14:paraId="6DB7B432" w14:textId="77777777" w:rsidR="00803F33" w:rsidRPr="00AE2384" w:rsidRDefault="00803F33" w:rsidP="00AE2384">
      <w:pPr>
        <w:pStyle w:val="ListParagraph1"/>
        <w:tabs>
          <w:tab w:val="left" w:pos="284"/>
          <w:tab w:val="left" w:pos="426"/>
        </w:tabs>
        <w:spacing w:line="360" w:lineRule="auto"/>
        <w:ind w:left="0"/>
        <w:contextualSpacing w:val="0"/>
        <w:jc w:val="both"/>
        <w:rPr>
          <w:rFonts w:asciiTheme="minorHAnsi" w:hAnsiTheme="minorHAnsi" w:cs="Arial"/>
          <w:sz w:val="24"/>
          <w:szCs w:val="24"/>
          <w:lang w:val="fr-FR"/>
        </w:rPr>
      </w:pPr>
      <w:r w:rsidRPr="00AE2384">
        <w:rPr>
          <w:rFonts w:asciiTheme="minorHAnsi" w:hAnsiTheme="minorHAnsi" w:cs="Arial"/>
          <w:sz w:val="24"/>
          <w:szCs w:val="24"/>
          <w:lang w:val="fr-FR"/>
        </w:rPr>
        <w:t>On assiste également à une émergence de maladies non transmissibles telles que l’hypertension artérielle, le diabète, les cancers et les cardiopathies.</w:t>
      </w:r>
    </w:p>
    <w:p w14:paraId="3B88D1F5" w14:textId="77777777" w:rsidR="00803F33" w:rsidRPr="00AE2384" w:rsidRDefault="00803F33" w:rsidP="00AE2384">
      <w:pPr>
        <w:pStyle w:val="ListParagraph1"/>
        <w:tabs>
          <w:tab w:val="left" w:pos="284"/>
          <w:tab w:val="left" w:pos="426"/>
        </w:tabs>
        <w:spacing w:line="360" w:lineRule="auto"/>
        <w:ind w:left="0"/>
        <w:contextualSpacing w:val="0"/>
        <w:jc w:val="both"/>
        <w:rPr>
          <w:rFonts w:asciiTheme="minorHAnsi" w:hAnsiTheme="minorHAnsi" w:cs="Arial"/>
          <w:sz w:val="24"/>
          <w:szCs w:val="24"/>
          <w:lang w:val="fr-FR"/>
        </w:rPr>
      </w:pPr>
      <w:r w:rsidRPr="00AE2384">
        <w:rPr>
          <w:rFonts w:asciiTheme="minorHAnsi" w:hAnsiTheme="minorHAnsi" w:cs="Arial"/>
          <w:sz w:val="24"/>
          <w:szCs w:val="24"/>
          <w:lang w:val="fr-FR"/>
        </w:rPr>
        <w:t>La situation nutritionnelle des enfants demeure. En effet, 21,2% des enfants de moins de cinq ans souffrent de malnutrition chronique, 8,6% d’émaciation et 16,2% d’insuffisance pondérale</w:t>
      </w:r>
      <w:r w:rsidR="00B4695B">
        <w:rPr>
          <w:rStyle w:val="Appelnotedebasdep"/>
          <w:rFonts w:asciiTheme="minorHAnsi" w:hAnsiTheme="minorHAnsi" w:cs="Arial"/>
          <w:sz w:val="24"/>
          <w:szCs w:val="24"/>
          <w:lang w:val="fr-FR"/>
        </w:rPr>
        <w:footnoteReference w:id="5"/>
      </w:r>
      <w:r w:rsidRPr="00AE2384">
        <w:rPr>
          <w:rFonts w:asciiTheme="minorHAnsi" w:hAnsiTheme="minorHAnsi" w:cs="Arial"/>
          <w:sz w:val="24"/>
          <w:szCs w:val="24"/>
          <w:lang w:val="fr-FR"/>
        </w:rPr>
        <w:t xml:space="preserve">. </w:t>
      </w:r>
    </w:p>
    <w:p w14:paraId="075318A1" w14:textId="51336B10" w:rsidR="00803F33" w:rsidRPr="00AE2384" w:rsidRDefault="00803F33" w:rsidP="00AE2384">
      <w:pPr>
        <w:pStyle w:val="ListParagraph1"/>
        <w:tabs>
          <w:tab w:val="left" w:pos="284"/>
          <w:tab w:val="left" w:pos="426"/>
        </w:tabs>
        <w:spacing w:line="360" w:lineRule="auto"/>
        <w:ind w:left="0"/>
        <w:contextualSpacing w:val="0"/>
        <w:jc w:val="both"/>
        <w:rPr>
          <w:rFonts w:asciiTheme="minorHAnsi" w:hAnsiTheme="minorHAnsi" w:cs="Arial"/>
          <w:sz w:val="24"/>
          <w:szCs w:val="24"/>
          <w:lang w:val="fr-FR"/>
        </w:rPr>
      </w:pPr>
      <w:r w:rsidRPr="00AE2384">
        <w:rPr>
          <w:rFonts w:asciiTheme="minorHAnsi" w:hAnsiTheme="minorHAnsi" w:cs="Arial"/>
          <w:sz w:val="24"/>
          <w:szCs w:val="24"/>
          <w:lang w:val="fr-FR"/>
        </w:rPr>
        <w:t>Près de la moitié des enfants de moins de six mois (47,8%) ne bénéficient pas de l’allaitement exclusif et seulement 17,9% et 17,5% de ceux âgés de 6-23 mois ont respectivement une bonne diversité alimentaire et une alimentation minimum acceptable.</w:t>
      </w:r>
    </w:p>
    <w:p w14:paraId="19E47B08" w14:textId="77777777" w:rsidR="00803F33" w:rsidRPr="00AE2384" w:rsidRDefault="00803F33" w:rsidP="00AE2384">
      <w:pPr>
        <w:pStyle w:val="ListParagraph1"/>
        <w:tabs>
          <w:tab w:val="left" w:pos="284"/>
          <w:tab w:val="left" w:pos="426"/>
        </w:tabs>
        <w:spacing w:line="360" w:lineRule="auto"/>
        <w:ind w:left="0"/>
        <w:contextualSpacing w:val="0"/>
        <w:jc w:val="both"/>
        <w:rPr>
          <w:rFonts w:asciiTheme="minorHAnsi" w:hAnsiTheme="minorHAnsi" w:cs="Arial"/>
          <w:sz w:val="24"/>
          <w:szCs w:val="24"/>
          <w:lang w:val="fr-FR"/>
        </w:rPr>
      </w:pPr>
      <w:r w:rsidRPr="00AE2384">
        <w:rPr>
          <w:rFonts w:asciiTheme="minorHAnsi" w:hAnsiTheme="minorHAnsi" w:cs="Arial"/>
          <w:sz w:val="24"/>
          <w:szCs w:val="24"/>
          <w:lang w:val="fr-FR"/>
        </w:rPr>
        <w:t>Dans le domaine de la lutte contre le VIH</w:t>
      </w:r>
      <w:r w:rsidR="007A76B7">
        <w:rPr>
          <w:rFonts w:asciiTheme="minorHAnsi" w:hAnsiTheme="minorHAnsi" w:cs="Arial"/>
          <w:sz w:val="24"/>
          <w:szCs w:val="24"/>
          <w:lang w:val="fr-FR"/>
        </w:rPr>
        <w:t>-SIDA, l</w:t>
      </w:r>
      <w:r w:rsidRPr="00AE2384">
        <w:rPr>
          <w:rFonts w:asciiTheme="minorHAnsi" w:hAnsiTheme="minorHAnsi" w:cs="Arial"/>
          <w:sz w:val="24"/>
          <w:szCs w:val="24"/>
          <w:lang w:val="fr-FR"/>
        </w:rPr>
        <w:t>e taux de séroprévalence du VIH a fortement baissé passant de 4,8% en 2001 à 0,8% en fin2016.</w:t>
      </w:r>
      <w:r w:rsidRPr="00AE2384">
        <w:rPr>
          <w:rStyle w:val="Appelnotedebasdep"/>
          <w:rFonts w:asciiTheme="minorHAnsi" w:hAnsiTheme="minorHAnsi"/>
          <w:sz w:val="24"/>
          <w:szCs w:val="24"/>
          <w:lang w:val="fr-FR"/>
        </w:rPr>
        <w:footnoteReference w:id="6"/>
      </w:r>
      <w:r w:rsidRPr="00AE2384">
        <w:rPr>
          <w:rFonts w:asciiTheme="minorHAnsi" w:hAnsiTheme="minorHAnsi" w:cs="Arial"/>
          <w:sz w:val="24"/>
          <w:szCs w:val="24"/>
          <w:lang w:val="fr-FR"/>
        </w:rPr>
        <w:t xml:space="preserve"> </w:t>
      </w:r>
    </w:p>
    <w:p w14:paraId="6D50B1A1" w14:textId="77777777" w:rsidR="00803F33" w:rsidRPr="00AE2384" w:rsidRDefault="00803F33" w:rsidP="00AE2384">
      <w:pPr>
        <w:pStyle w:val="ListParagraph1"/>
        <w:tabs>
          <w:tab w:val="left" w:pos="284"/>
          <w:tab w:val="left" w:pos="426"/>
        </w:tabs>
        <w:spacing w:line="360" w:lineRule="auto"/>
        <w:ind w:left="0"/>
        <w:contextualSpacing w:val="0"/>
        <w:jc w:val="both"/>
        <w:rPr>
          <w:rFonts w:asciiTheme="minorHAnsi" w:hAnsiTheme="minorHAnsi" w:cs="Arial"/>
          <w:sz w:val="24"/>
          <w:szCs w:val="24"/>
          <w:lang w:val="fr-FR"/>
        </w:rPr>
      </w:pPr>
      <w:r w:rsidRPr="00AE2384">
        <w:rPr>
          <w:rFonts w:asciiTheme="minorHAnsi" w:hAnsiTheme="minorHAnsi" w:cs="Arial"/>
          <w:sz w:val="24"/>
          <w:szCs w:val="24"/>
          <w:lang w:val="fr-FR"/>
        </w:rPr>
        <w:t>La lutte contre la tuberculose a connu un progrès notable car le taux de succès au traitement est passé de 77,8% en 2010 à 79,2% en 2017.</w:t>
      </w:r>
      <w:r w:rsidRPr="00AE2384">
        <w:rPr>
          <w:rStyle w:val="Appelnotedebasdep"/>
          <w:rFonts w:asciiTheme="minorHAnsi" w:hAnsiTheme="minorHAnsi"/>
          <w:sz w:val="24"/>
          <w:szCs w:val="24"/>
          <w:lang w:val="fr-FR"/>
        </w:rPr>
        <w:footnoteReference w:id="7"/>
      </w:r>
    </w:p>
    <w:p w14:paraId="4BBB5184" w14:textId="77777777" w:rsidR="00803F33" w:rsidRPr="00AE2384" w:rsidRDefault="00803F33" w:rsidP="00AE2384">
      <w:pPr>
        <w:pStyle w:val="ListParagraph1"/>
        <w:tabs>
          <w:tab w:val="left" w:pos="284"/>
          <w:tab w:val="left" w:pos="426"/>
        </w:tabs>
        <w:spacing w:line="360" w:lineRule="auto"/>
        <w:ind w:left="0"/>
        <w:contextualSpacing w:val="0"/>
        <w:jc w:val="both"/>
        <w:rPr>
          <w:rFonts w:asciiTheme="minorHAnsi" w:hAnsiTheme="minorHAnsi" w:cs="Arial"/>
          <w:sz w:val="24"/>
          <w:szCs w:val="24"/>
          <w:lang w:val="fr-FR"/>
        </w:rPr>
      </w:pPr>
      <w:r w:rsidRPr="00AE2384">
        <w:rPr>
          <w:rFonts w:asciiTheme="minorHAnsi" w:hAnsiTheme="minorHAnsi" w:cs="Arial"/>
          <w:sz w:val="24"/>
          <w:szCs w:val="24"/>
          <w:lang w:val="fr-FR"/>
        </w:rPr>
        <w:t xml:space="preserve">La lutte contre les maladies tropicales négligées (filariose lymphatique, ver de Guinée, trachome, onchocercose, lèpre…) a entrainé une baisse de prévalence, voire l’éradication de certaines d’entre elles. Les maladies à potentiel épidémique (rougeole, méningite, diarrhée sanguinolente, choléra, fièvre jaune, poliomyélite, Dengue) font également l’objet de surveillance accrue dans les formations sanitaires. </w:t>
      </w:r>
      <w:r w:rsidR="007A76B7">
        <w:rPr>
          <w:rFonts w:asciiTheme="minorHAnsi" w:hAnsiTheme="minorHAnsi" w:cs="Arial"/>
          <w:sz w:val="24"/>
          <w:szCs w:val="24"/>
          <w:lang w:val="fr-FR"/>
        </w:rPr>
        <w:t>L</w:t>
      </w:r>
      <w:r w:rsidR="007A76B7" w:rsidRPr="00AE2384">
        <w:rPr>
          <w:rFonts w:asciiTheme="minorHAnsi" w:hAnsiTheme="minorHAnsi" w:cs="Arial"/>
          <w:sz w:val="24"/>
          <w:szCs w:val="24"/>
          <w:lang w:val="fr-FR"/>
        </w:rPr>
        <w:t>e pays a été certifié indemne de poliomyélite.</w:t>
      </w:r>
      <w:r w:rsidR="007A76B7">
        <w:rPr>
          <w:rFonts w:asciiTheme="minorHAnsi" w:hAnsiTheme="minorHAnsi" w:cs="Arial"/>
          <w:sz w:val="24"/>
          <w:szCs w:val="24"/>
          <w:lang w:val="fr-FR"/>
        </w:rPr>
        <w:t xml:space="preserve"> </w:t>
      </w:r>
      <w:r w:rsidRPr="00AE2384">
        <w:rPr>
          <w:rFonts w:asciiTheme="minorHAnsi" w:hAnsiTheme="minorHAnsi" w:cs="Arial"/>
          <w:sz w:val="24"/>
          <w:szCs w:val="24"/>
          <w:lang w:val="fr-FR"/>
        </w:rPr>
        <w:t xml:space="preserve">Grâce aux campagnes de vaccination de masse avec le Men Afrivac organisées depuis 2010 par le Ministère de la santé, le pays n’a plus connu d’épidémie de méningite. </w:t>
      </w:r>
    </w:p>
    <w:p w14:paraId="6C3321AC" w14:textId="77777777" w:rsidR="00EB2626" w:rsidRPr="00AE2384" w:rsidRDefault="00803F33" w:rsidP="00AE2384">
      <w:pPr>
        <w:autoSpaceDE w:val="0"/>
        <w:autoSpaceDN w:val="0"/>
        <w:adjustRightInd w:val="0"/>
        <w:spacing w:after="0" w:line="360" w:lineRule="auto"/>
        <w:jc w:val="both"/>
        <w:rPr>
          <w:rFonts w:cstheme="minorHAnsi"/>
          <w:sz w:val="24"/>
          <w:szCs w:val="24"/>
        </w:rPr>
      </w:pPr>
      <w:r w:rsidRPr="00AE2384">
        <w:rPr>
          <w:rFonts w:cs="Arial"/>
          <w:sz w:val="24"/>
          <w:szCs w:val="24"/>
        </w:rPr>
        <w:t>Les acteurs communautaires ont contribué à l’atteinte des résultats obtenus à travers la mise en œuvre des SBC. Pour une meilleure implication de ces acteurs dans l’atteinte des objectifs de santé, les principaux défis restent leur motivation, le renforcement de leurs capacités et la collaboration avec les agents de santé</w:t>
      </w:r>
    </w:p>
    <w:p w14:paraId="009FB2D5" w14:textId="77777777" w:rsidR="00216A1D" w:rsidRDefault="00216A1D" w:rsidP="001D1300">
      <w:pPr>
        <w:spacing w:after="0"/>
        <w:jc w:val="both"/>
        <w:rPr>
          <w:rFonts w:eastAsia="Times New Roman" w:cstheme="minorHAnsi"/>
          <w:sz w:val="24"/>
          <w:szCs w:val="24"/>
          <w:lang w:eastAsia="fr-FR"/>
        </w:rPr>
      </w:pPr>
    </w:p>
    <w:p w14:paraId="4B30D067" w14:textId="6F56F62F" w:rsidR="00EB2626" w:rsidRDefault="00EB2626" w:rsidP="001D1300">
      <w:pPr>
        <w:spacing w:after="0"/>
        <w:jc w:val="both"/>
        <w:rPr>
          <w:rFonts w:eastAsia="Times New Roman" w:cstheme="minorHAnsi"/>
          <w:sz w:val="24"/>
          <w:szCs w:val="24"/>
          <w:lang w:eastAsia="fr-FR"/>
        </w:rPr>
      </w:pPr>
      <w:r>
        <w:rPr>
          <w:rFonts w:eastAsia="Times New Roman" w:cstheme="minorHAnsi"/>
          <w:sz w:val="24"/>
          <w:szCs w:val="24"/>
          <w:lang w:eastAsia="fr-FR"/>
        </w:rPr>
        <w:br w:type="page"/>
      </w:r>
    </w:p>
    <w:p w14:paraId="6D7373F3" w14:textId="63ED7841" w:rsidR="009078FF" w:rsidRPr="009836E5" w:rsidRDefault="0030746A" w:rsidP="009E3C4E">
      <w:pPr>
        <w:pStyle w:val="Paragraphedeliste"/>
        <w:numPr>
          <w:ilvl w:val="0"/>
          <w:numId w:val="1"/>
        </w:numPr>
        <w:jc w:val="both"/>
        <w:rPr>
          <w:rFonts w:cstheme="minorHAnsi"/>
          <w:sz w:val="28"/>
          <w:szCs w:val="28"/>
        </w:rPr>
      </w:pPr>
      <w:r w:rsidRPr="009836E5">
        <w:rPr>
          <w:rFonts w:cstheme="minorHAnsi"/>
          <w:b/>
          <w:sz w:val="28"/>
          <w:szCs w:val="28"/>
        </w:rPr>
        <w:lastRenderedPageBreak/>
        <w:t xml:space="preserve">ANALYSE DE SITUATION </w:t>
      </w:r>
      <w:r w:rsidR="009078FF" w:rsidRPr="009836E5">
        <w:rPr>
          <w:rFonts w:cstheme="minorHAnsi"/>
          <w:b/>
          <w:sz w:val="28"/>
          <w:szCs w:val="28"/>
        </w:rPr>
        <w:t xml:space="preserve">SANTE DE REPRODUCTION, DE LA MERE DU NOUVEAU-NE, DE L’ENFANT, DE L’ADOLESCENT ET DE LA NUTRITION </w:t>
      </w:r>
    </w:p>
    <w:p w14:paraId="282B475B" w14:textId="09E646CD" w:rsidR="009836E5" w:rsidRPr="009E3C4E" w:rsidRDefault="009836E5" w:rsidP="009E3C4E">
      <w:pPr>
        <w:jc w:val="both"/>
        <w:rPr>
          <w:rFonts w:cstheme="minorHAnsi"/>
          <w:sz w:val="24"/>
          <w:szCs w:val="24"/>
        </w:rPr>
      </w:pPr>
      <w:r w:rsidRPr="009E3C4E">
        <w:rPr>
          <w:rFonts w:cstheme="minorHAnsi"/>
          <w:sz w:val="24"/>
          <w:szCs w:val="24"/>
        </w:rPr>
        <w:t>L’analyse de situation montrera l’état actuel de la santé de la mère, du nouveau-né, de l’enfant, de l’adolescent</w:t>
      </w:r>
      <w:r w:rsidR="008562F3" w:rsidRPr="009E3C4E">
        <w:rPr>
          <w:rFonts w:cstheme="minorHAnsi"/>
          <w:sz w:val="24"/>
          <w:szCs w:val="24"/>
        </w:rPr>
        <w:t>/jeune et de la nutrition des populations ainsi que les progrès réalisés au cours des 15 dernières années. L’analyse portera également sur la réponse du système de santé en termes d’interve</w:t>
      </w:r>
      <w:r w:rsidR="00FC3A8E" w:rsidRPr="009E3C4E">
        <w:rPr>
          <w:rFonts w:cstheme="minorHAnsi"/>
          <w:sz w:val="24"/>
          <w:szCs w:val="24"/>
        </w:rPr>
        <w:t>n</w:t>
      </w:r>
      <w:r w:rsidR="008562F3" w:rsidRPr="009E3C4E">
        <w:rPr>
          <w:rFonts w:cstheme="minorHAnsi"/>
          <w:sz w:val="24"/>
          <w:szCs w:val="24"/>
        </w:rPr>
        <w:t>tions prioritaires à haut impact</w:t>
      </w:r>
      <w:r w:rsidR="00FC3A8E" w:rsidRPr="009E3C4E">
        <w:rPr>
          <w:rFonts w:cstheme="minorHAnsi"/>
          <w:sz w:val="24"/>
          <w:szCs w:val="24"/>
        </w:rPr>
        <w:t xml:space="preserve"> pour identifier les déficits de performances et les causes de ces déficits.</w:t>
      </w:r>
      <w:r w:rsidR="008562F3" w:rsidRPr="009E3C4E">
        <w:rPr>
          <w:rFonts w:cstheme="minorHAnsi"/>
          <w:sz w:val="24"/>
          <w:szCs w:val="24"/>
        </w:rPr>
        <w:t xml:space="preserve">  </w:t>
      </w:r>
      <w:r w:rsidRPr="009E3C4E">
        <w:rPr>
          <w:rFonts w:cstheme="minorHAnsi"/>
          <w:sz w:val="24"/>
          <w:szCs w:val="24"/>
        </w:rPr>
        <w:t xml:space="preserve"> </w:t>
      </w:r>
    </w:p>
    <w:p w14:paraId="49D113A3" w14:textId="60E9E05F" w:rsidR="0030746A" w:rsidRPr="008839B9" w:rsidRDefault="008839B9" w:rsidP="009E3C4E">
      <w:pPr>
        <w:pStyle w:val="Paragraphedeliste"/>
        <w:numPr>
          <w:ilvl w:val="1"/>
          <w:numId w:val="1"/>
        </w:numPr>
        <w:spacing w:after="0"/>
        <w:jc w:val="both"/>
        <w:rPr>
          <w:rFonts w:cstheme="minorHAnsi"/>
          <w:sz w:val="28"/>
          <w:szCs w:val="28"/>
        </w:rPr>
      </w:pPr>
      <w:r w:rsidRPr="008839B9">
        <w:rPr>
          <w:rFonts w:cstheme="minorHAnsi"/>
          <w:sz w:val="28"/>
          <w:szCs w:val="28"/>
        </w:rPr>
        <w:t xml:space="preserve">ANALYSE </w:t>
      </w:r>
      <w:r w:rsidR="00292C96">
        <w:rPr>
          <w:rFonts w:cstheme="minorHAnsi"/>
          <w:sz w:val="28"/>
          <w:szCs w:val="28"/>
        </w:rPr>
        <w:t>DE SITUATION A TRAVERS L</w:t>
      </w:r>
      <w:r w:rsidRPr="008839B9">
        <w:rPr>
          <w:rFonts w:cstheme="minorHAnsi"/>
          <w:sz w:val="28"/>
          <w:szCs w:val="28"/>
        </w:rPr>
        <w:t>ES INDICATEURS DE LA SRMNEA-N</w:t>
      </w:r>
    </w:p>
    <w:p w14:paraId="46101583" w14:textId="7702D162" w:rsidR="00FC3A8E" w:rsidRPr="00FC3A8E" w:rsidRDefault="00FC3A8E" w:rsidP="009E3C4E">
      <w:pPr>
        <w:pStyle w:val="Paragraphedeliste"/>
        <w:numPr>
          <w:ilvl w:val="2"/>
          <w:numId w:val="1"/>
        </w:numPr>
        <w:spacing w:after="0"/>
        <w:jc w:val="both"/>
        <w:rPr>
          <w:rFonts w:cstheme="minorHAnsi"/>
          <w:sz w:val="24"/>
          <w:szCs w:val="24"/>
        </w:rPr>
      </w:pPr>
      <w:r>
        <w:rPr>
          <w:rFonts w:cstheme="minorHAnsi"/>
          <w:sz w:val="24"/>
          <w:szCs w:val="24"/>
        </w:rPr>
        <w:t>EVOLUTION DE LA MORTALITE MATERNELLE</w:t>
      </w:r>
    </w:p>
    <w:tbl>
      <w:tblPr>
        <w:tblStyle w:val="Grilledutableau"/>
        <w:tblW w:w="9353" w:type="dxa"/>
        <w:tblLook w:val="04A0" w:firstRow="1" w:lastRow="0" w:firstColumn="1" w:lastColumn="0" w:noHBand="0" w:noVBand="1"/>
      </w:tblPr>
      <w:tblGrid>
        <w:gridCol w:w="5061"/>
        <w:gridCol w:w="236"/>
        <w:gridCol w:w="4056"/>
      </w:tblGrid>
      <w:tr w:rsidR="000D1EDC" w14:paraId="072D6CD4" w14:textId="77777777" w:rsidTr="004050A1">
        <w:tc>
          <w:tcPr>
            <w:tcW w:w="5040" w:type="dxa"/>
          </w:tcPr>
          <w:p w14:paraId="74EB3A91" w14:textId="77777777" w:rsidR="000D1EDC" w:rsidRDefault="000D1EDC" w:rsidP="00A45A56">
            <w:pPr>
              <w:spacing w:line="360" w:lineRule="auto"/>
              <w:jc w:val="both"/>
              <w:rPr>
                <w:rFonts w:cstheme="minorHAnsi"/>
                <w:sz w:val="24"/>
                <w:szCs w:val="24"/>
              </w:rPr>
            </w:pPr>
            <w:r w:rsidRPr="00825475">
              <w:rPr>
                <w:noProof/>
                <w:lang w:eastAsia="fr-FR"/>
              </w:rPr>
              <w:drawing>
                <wp:inline distT="0" distB="0" distL="0" distR="0" wp14:anchorId="6693BFD8" wp14:editId="4D33AF77">
                  <wp:extent cx="3076575" cy="2476500"/>
                  <wp:effectExtent l="0" t="0" r="0" b="0"/>
                  <wp:docPr id="2" name="Graphique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c>
          <w:tcPr>
            <w:tcW w:w="236" w:type="dxa"/>
            <w:tcBorders>
              <w:top w:val="nil"/>
              <w:bottom w:val="nil"/>
              <w:right w:val="nil"/>
            </w:tcBorders>
          </w:tcPr>
          <w:p w14:paraId="7F32B69F" w14:textId="77777777" w:rsidR="000D1EDC" w:rsidRDefault="000D1EDC" w:rsidP="00A45A56">
            <w:pPr>
              <w:spacing w:line="360" w:lineRule="auto"/>
              <w:jc w:val="both"/>
              <w:rPr>
                <w:rFonts w:cstheme="minorHAnsi"/>
                <w:sz w:val="24"/>
                <w:szCs w:val="24"/>
              </w:rPr>
            </w:pPr>
          </w:p>
        </w:tc>
        <w:tc>
          <w:tcPr>
            <w:tcW w:w="4077" w:type="dxa"/>
            <w:vMerge w:val="restart"/>
            <w:tcBorders>
              <w:top w:val="nil"/>
              <w:left w:val="nil"/>
              <w:bottom w:val="nil"/>
              <w:right w:val="nil"/>
            </w:tcBorders>
          </w:tcPr>
          <w:p w14:paraId="5794EBF8" w14:textId="77777777" w:rsidR="000D1EDC" w:rsidRPr="00833071" w:rsidRDefault="000D1EDC" w:rsidP="002E239B">
            <w:pPr>
              <w:pStyle w:val="Paragraphedeliste"/>
              <w:spacing w:line="360" w:lineRule="auto"/>
              <w:ind w:left="360"/>
              <w:jc w:val="both"/>
            </w:pPr>
            <w:r>
              <w:rPr>
                <w:rFonts w:cstheme="minorHAnsi"/>
                <w:sz w:val="24"/>
                <w:szCs w:val="24"/>
              </w:rPr>
              <w:t xml:space="preserve">De 1999 à 2015, le taux de mortalité maternelle de 484 à 330/100 000 naissances vivantes. </w:t>
            </w:r>
            <w:r>
              <w:rPr>
                <w:rFonts w:cstheme="minorHAnsi"/>
                <w:iCs/>
                <w:color w:val="000000"/>
                <w:sz w:val="24"/>
                <w:szCs w:val="24"/>
              </w:rPr>
              <w:t>Le niveau de réduction du Taux</w:t>
            </w:r>
            <w:r w:rsidRPr="00BD6B37">
              <w:rPr>
                <w:rFonts w:cstheme="minorHAnsi"/>
                <w:iCs/>
                <w:color w:val="000000"/>
                <w:sz w:val="24"/>
                <w:szCs w:val="24"/>
              </w:rPr>
              <w:t xml:space="preserve"> de mortalité maternelle </w:t>
            </w:r>
            <w:r>
              <w:rPr>
                <w:rFonts w:cstheme="minorHAnsi"/>
                <w:iCs/>
                <w:color w:val="000000"/>
                <w:sz w:val="24"/>
                <w:szCs w:val="24"/>
              </w:rPr>
              <w:t xml:space="preserve">était de </w:t>
            </w:r>
            <w:r>
              <w:rPr>
                <w:rFonts w:cstheme="minorHAnsi"/>
                <w:sz w:val="24"/>
                <w:szCs w:val="24"/>
              </w:rPr>
              <w:t>31,8 %. Cependant,</w:t>
            </w:r>
            <w:r w:rsidR="00833071">
              <w:rPr>
                <w:rFonts w:cstheme="minorHAnsi"/>
                <w:sz w:val="24"/>
                <w:szCs w:val="24"/>
              </w:rPr>
              <w:t xml:space="preserve"> en 2015</w:t>
            </w:r>
            <w:r>
              <w:rPr>
                <w:rFonts w:cstheme="minorHAnsi"/>
                <w:sz w:val="24"/>
                <w:szCs w:val="24"/>
              </w:rPr>
              <w:t xml:space="preserve"> ces progrès n’ont pas permis </w:t>
            </w:r>
            <w:r w:rsidR="00833071">
              <w:rPr>
                <w:rFonts w:cstheme="minorHAnsi"/>
                <w:sz w:val="24"/>
                <w:szCs w:val="24"/>
              </w:rPr>
              <w:t xml:space="preserve">d’atteindre </w:t>
            </w:r>
            <w:r w:rsidR="00833071">
              <w:rPr>
                <w:rFonts w:cstheme="minorHAnsi"/>
                <w:iCs/>
                <w:color w:val="000000"/>
                <w:sz w:val="24"/>
                <w:szCs w:val="24"/>
              </w:rPr>
              <w:t>ni la cible fixée dans le PNDS 2011-20, ni celle des OMD ou de la SCADD</w:t>
            </w:r>
            <w:r w:rsidR="004050A1">
              <w:rPr>
                <w:rStyle w:val="Appelnotedebasdep"/>
                <w:rFonts w:cstheme="minorHAnsi"/>
                <w:iCs/>
                <w:color w:val="000000"/>
                <w:sz w:val="24"/>
                <w:szCs w:val="24"/>
              </w:rPr>
              <w:footnoteReference w:id="8"/>
            </w:r>
            <w:r w:rsidR="00833071">
              <w:t>.</w:t>
            </w:r>
          </w:p>
        </w:tc>
      </w:tr>
      <w:tr w:rsidR="000D1EDC" w14:paraId="67822965" w14:textId="77777777" w:rsidTr="004050A1">
        <w:tc>
          <w:tcPr>
            <w:tcW w:w="5040" w:type="dxa"/>
            <w:tcBorders>
              <w:left w:val="nil"/>
              <w:bottom w:val="nil"/>
              <w:right w:val="nil"/>
            </w:tcBorders>
          </w:tcPr>
          <w:p w14:paraId="74B4AB6C" w14:textId="77777777" w:rsidR="000D1EDC" w:rsidRDefault="000D1EDC" w:rsidP="009E3C4E">
            <w:pPr>
              <w:jc w:val="both"/>
              <w:rPr>
                <w:rFonts w:cstheme="minorHAnsi"/>
                <w:sz w:val="24"/>
                <w:szCs w:val="24"/>
              </w:rPr>
            </w:pPr>
            <w:r>
              <w:rPr>
                <w:b/>
                <w:sz w:val="20"/>
                <w:szCs w:val="20"/>
              </w:rPr>
              <w:t xml:space="preserve">Figure </w:t>
            </w:r>
            <w:r w:rsidR="00752EA5">
              <w:rPr>
                <w:b/>
                <w:sz w:val="20"/>
                <w:szCs w:val="20"/>
              </w:rPr>
              <w:t>2</w:t>
            </w:r>
            <w:r>
              <w:rPr>
                <w:b/>
                <w:sz w:val="20"/>
                <w:szCs w:val="20"/>
              </w:rPr>
              <w:t xml:space="preserve"> </w:t>
            </w:r>
            <w:r w:rsidRPr="00825475">
              <w:rPr>
                <w:b/>
                <w:sz w:val="20"/>
                <w:szCs w:val="20"/>
              </w:rPr>
              <w:t>: Taux de mortalité maternelle</w:t>
            </w:r>
          </w:p>
        </w:tc>
        <w:tc>
          <w:tcPr>
            <w:tcW w:w="236" w:type="dxa"/>
            <w:tcBorders>
              <w:top w:val="nil"/>
              <w:left w:val="nil"/>
              <w:bottom w:val="nil"/>
              <w:right w:val="nil"/>
            </w:tcBorders>
          </w:tcPr>
          <w:p w14:paraId="52214718" w14:textId="77777777" w:rsidR="000D1EDC" w:rsidRDefault="000D1EDC" w:rsidP="009E3C4E">
            <w:pPr>
              <w:jc w:val="both"/>
              <w:rPr>
                <w:rFonts w:cstheme="minorHAnsi"/>
                <w:sz w:val="24"/>
                <w:szCs w:val="24"/>
              </w:rPr>
            </w:pPr>
          </w:p>
        </w:tc>
        <w:tc>
          <w:tcPr>
            <w:tcW w:w="4077" w:type="dxa"/>
            <w:vMerge/>
            <w:tcBorders>
              <w:top w:val="nil"/>
              <w:left w:val="nil"/>
              <w:bottom w:val="nil"/>
              <w:right w:val="nil"/>
            </w:tcBorders>
          </w:tcPr>
          <w:p w14:paraId="61B13D1B" w14:textId="77777777" w:rsidR="000D1EDC" w:rsidRDefault="000D1EDC" w:rsidP="009E3C4E">
            <w:pPr>
              <w:jc w:val="both"/>
              <w:rPr>
                <w:rFonts w:cstheme="minorHAnsi"/>
                <w:sz w:val="24"/>
                <w:szCs w:val="24"/>
              </w:rPr>
            </w:pPr>
          </w:p>
        </w:tc>
      </w:tr>
    </w:tbl>
    <w:p w14:paraId="795C8414" w14:textId="77777777" w:rsidR="009E3C4E" w:rsidRDefault="004B5F2E" w:rsidP="009E3C4E">
      <w:pPr>
        <w:spacing w:before="240"/>
        <w:jc w:val="both"/>
        <w:rPr>
          <w:sz w:val="24"/>
          <w:szCs w:val="24"/>
        </w:rPr>
      </w:pPr>
      <w:r>
        <w:rPr>
          <w:rFonts w:cstheme="minorHAnsi"/>
          <w:sz w:val="24"/>
          <w:szCs w:val="24"/>
        </w:rPr>
        <w:t>La répartition des performances est inégale sur le territoire national. En 2015, huit (8) Régions avaient une performance insuffisante :</w:t>
      </w:r>
      <w:r w:rsidR="004050A1">
        <w:rPr>
          <w:sz w:val="24"/>
          <w:szCs w:val="24"/>
        </w:rPr>
        <w:t xml:space="preserve"> </w:t>
      </w:r>
      <w:r>
        <w:rPr>
          <w:sz w:val="24"/>
          <w:szCs w:val="24"/>
        </w:rPr>
        <w:t>Est, Centre-nord, Nord</w:t>
      </w:r>
      <w:r w:rsidRPr="00FE5989">
        <w:rPr>
          <w:sz w:val="24"/>
          <w:szCs w:val="24"/>
        </w:rPr>
        <w:t>, Centre-</w:t>
      </w:r>
      <w:r>
        <w:rPr>
          <w:sz w:val="24"/>
          <w:szCs w:val="24"/>
        </w:rPr>
        <w:t>ou</w:t>
      </w:r>
      <w:r w:rsidRPr="00FE5989">
        <w:rPr>
          <w:sz w:val="24"/>
          <w:szCs w:val="24"/>
        </w:rPr>
        <w:t>est, Centre-sud</w:t>
      </w:r>
      <w:r>
        <w:rPr>
          <w:sz w:val="24"/>
          <w:szCs w:val="24"/>
        </w:rPr>
        <w:t>, Centre-est, Boucle du Mouhoun, Sahel</w:t>
      </w:r>
      <w:r w:rsidR="00054A9E">
        <w:rPr>
          <w:sz w:val="24"/>
          <w:szCs w:val="24"/>
        </w:rPr>
        <w:t xml:space="preserve">. </w:t>
      </w:r>
      <w:r w:rsidR="00A00341">
        <w:rPr>
          <w:sz w:val="24"/>
          <w:szCs w:val="24"/>
        </w:rPr>
        <w:t xml:space="preserve">                                                                                                </w:t>
      </w:r>
    </w:p>
    <w:p w14:paraId="077AF9D0" w14:textId="3A62BF95" w:rsidR="00754E45" w:rsidRDefault="00A00341" w:rsidP="009E3C4E">
      <w:pPr>
        <w:spacing w:before="240"/>
        <w:jc w:val="both"/>
        <w:rPr>
          <w:rFonts w:cs="Arial"/>
          <w:sz w:val="24"/>
          <w:szCs w:val="24"/>
        </w:rPr>
      </w:pPr>
      <w:r>
        <w:rPr>
          <w:sz w:val="24"/>
          <w:szCs w:val="24"/>
        </w:rPr>
        <w:t xml:space="preserve"> </w:t>
      </w:r>
      <w:r w:rsidR="00342A98" w:rsidRPr="00754E45">
        <w:rPr>
          <w:rFonts w:cs="Arial"/>
          <w:sz w:val="24"/>
          <w:szCs w:val="24"/>
        </w:rPr>
        <w:t>Les principaux facteurs du niveau élevé de cette mortalité maternelle sont l’insuffisance de l’accessibilité, de la disponibilité, de la qualité des soins et la faible implication des</w:t>
      </w:r>
      <w:r w:rsidR="00DE2D2B">
        <w:rPr>
          <w:sz w:val="24"/>
          <w:szCs w:val="24"/>
        </w:rPr>
        <w:t xml:space="preserve"> </w:t>
      </w:r>
      <w:r w:rsidR="00342A98" w:rsidRPr="00754E45">
        <w:rPr>
          <w:rFonts w:cs="Arial"/>
          <w:sz w:val="24"/>
          <w:szCs w:val="24"/>
        </w:rPr>
        <w:t>Populations</w:t>
      </w:r>
      <w:r w:rsidR="00054A9E" w:rsidRPr="00754E45">
        <w:rPr>
          <w:rFonts w:cs="Arial"/>
          <w:sz w:val="24"/>
          <w:szCs w:val="24"/>
        </w:rPr>
        <w:t xml:space="preserve"> pour une maternité à moindre risque. </w:t>
      </w:r>
    </w:p>
    <w:p w14:paraId="13CE462E" w14:textId="77777777" w:rsidR="00137E94" w:rsidRPr="009E3C4E" w:rsidRDefault="00137E94" w:rsidP="009E3C4E">
      <w:pPr>
        <w:spacing w:after="0"/>
        <w:jc w:val="both"/>
        <w:rPr>
          <w:rFonts w:eastAsia="Times New Roman"/>
          <w:b/>
          <w:sz w:val="24"/>
          <w:szCs w:val="24"/>
        </w:rPr>
      </w:pPr>
      <w:r w:rsidRPr="009E3C4E">
        <w:rPr>
          <w:rFonts w:eastAsia="Calibri"/>
          <w:b/>
          <w:sz w:val="24"/>
          <w:szCs w:val="24"/>
        </w:rPr>
        <w:t>Les Causes de la mortalité maternelle au Burkina Faso</w:t>
      </w:r>
    </w:p>
    <w:p w14:paraId="6B670D3A" w14:textId="77777777" w:rsidR="00137E94" w:rsidRPr="009E3C4E" w:rsidRDefault="00137E94" w:rsidP="009E3C4E">
      <w:pPr>
        <w:jc w:val="both"/>
        <w:rPr>
          <w:rFonts w:eastAsia="Times New Roman"/>
          <w:sz w:val="24"/>
          <w:szCs w:val="24"/>
        </w:rPr>
      </w:pPr>
      <w:r w:rsidRPr="009E3C4E">
        <w:rPr>
          <w:rFonts w:eastAsia="Times New Roman" w:cs="Arial"/>
          <w:sz w:val="24"/>
          <w:szCs w:val="24"/>
        </w:rPr>
        <w:t xml:space="preserve">Les principales </w:t>
      </w:r>
      <w:r w:rsidRPr="009E3C4E">
        <w:rPr>
          <w:rFonts w:eastAsia="Times New Roman" w:cs="Arial"/>
          <w:i/>
          <w:sz w:val="24"/>
          <w:szCs w:val="24"/>
        </w:rPr>
        <w:t>causes directes</w:t>
      </w:r>
      <w:r w:rsidRPr="009E3C4E">
        <w:rPr>
          <w:rFonts w:eastAsia="Times New Roman" w:cs="Arial"/>
          <w:sz w:val="24"/>
          <w:szCs w:val="24"/>
        </w:rPr>
        <w:t xml:space="preserve"> de ces décès maternels au niveau des formations sanitaires sont : les hémorragies (30%), les infections (23%), la rétention placentaire (11,40%), les ruptures utérines (10%), les complications des avortements (10%), les éclampsies (4%). Les causes obstétricales directes sont responsables d’environ 80 % des décès</w:t>
      </w:r>
      <w:r w:rsidRPr="009E3C4E">
        <w:rPr>
          <w:rStyle w:val="Appelnotedebasdep"/>
          <w:rFonts w:eastAsia="Times New Roman" w:cs="Arial"/>
          <w:sz w:val="24"/>
          <w:szCs w:val="24"/>
        </w:rPr>
        <w:footnoteReference w:id="9"/>
      </w:r>
      <w:r w:rsidRPr="009E3C4E">
        <w:rPr>
          <w:rFonts w:eastAsia="Times New Roman" w:cs="Arial"/>
          <w:sz w:val="24"/>
          <w:szCs w:val="24"/>
        </w:rPr>
        <w:t xml:space="preserve">. </w:t>
      </w:r>
    </w:p>
    <w:p w14:paraId="6B7364F3" w14:textId="77777777" w:rsidR="00137E94" w:rsidRDefault="00137E94" w:rsidP="009E3C4E">
      <w:pPr>
        <w:spacing w:after="0"/>
        <w:jc w:val="both"/>
        <w:rPr>
          <w:rFonts w:eastAsia="Times New Roman" w:cs="Arial"/>
          <w:sz w:val="23"/>
          <w:szCs w:val="23"/>
        </w:rPr>
      </w:pPr>
      <w:r w:rsidRPr="00E468BF">
        <w:rPr>
          <w:rFonts w:eastAsia="Times New Roman" w:cs="Arial"/>
          <w:sz w:val="23"/>
          <w:szCs w:val="23"/>
        </w:rPr>
        <w:lastRenderedPageBreak/>
        <w:t xml:space="preserve">Parmi les </w:t>
      </w:r>
      <w:r w:rsidRPr="00137E94">
        <w:rPr>
          <w:rFonts w:eastAsia="Times New Roman" w:cs="Arial"/>
          <w:i/>
          <w:sz w:val="23"/>
          <w:szCs w:val="23"/>
        </w:rPr>
        <w:t>causes indirectes</w:t>
      </w:r>
      <w:r w:rsidRPr="00E468BF">
        <w:rPr>
          <w:rFonts w:eastAsia="Times New Roman" w:cs="Arial"/>
          <w:sz w:val="23"/>
          <w:szCs w:val="23"/>
        </w:rPr>
        <w:t xml:space="preserve"> qui représentent environ 20%, on peut citer le paludisme, l’anémie, le VIH/Sida et les hémoglobinopathies. 80% des décès maternels sont liés à des causes évitables et 50% surviennent dans les 24 heures qui suivent l’accouchement. Par ailleurs, 95% des décès maternels se passent dans les centres de santé et 5% dans les communautés </w:t>
      </w:r>
    </w:p>
    <w:p w14:paraId="44F4BA49" w14:textId="77777777" w:rsidR="00137E94" w:rsidRDefault="00137E94" w:rsidP="009E3C4E">
      <w:pPr>
        <w:jc w:val="both"/>
        <w:rPr>
          <w:rFonts w:eastAsia="Times New Roman" w:cs="Arial"/>
          <w:sz w:val="23"/>
          <w:szCs w:val="23"/>
        </w:rPr>
      </w:pPr>
      <w:r w:rsidRPr="00137E94">
        <w:rPr>
          <w:rFonts w:eastAsia="Times New Roman" w:cs="Arial"/>
          <w:i/>
          <w:sz w:val="23"/>
          <w:szCs w:val="23"/>
        </w:rPr>
        <w:t>Les trois retards</w:t>
      </w:r>
      <w:r>
        <w:rPr>
          <w:rFonts w:eastAsia="Times New Roman" w:cs="Arial"/>
          <w:sz w:val="23"/>
          <w:szCs w:val="23"/>
        </w:rPr>
        <w:t xml:space="preserve"> sont le retard dans la </w:t>
      </w:r>
      <w:r>
        <w:rPr>
          <w:rFonts w:eastAsia="Calibri"/>
        </w:rPr>
        <w:t>P</w:t>
      </w:r>
      <w:r w:rsidRPr="00E468BF">
        <w:rPr>
          <w:rFonts w:eastAsia="Calibri"/>
        </w:rPr>
        <w:t>rise de décision pour le recours à un centre de sant</w:t>
      </w:r>
      <w:r>
        <w:rPr>
          <w:rFonts w:eastAsia="Calibri"/>
        </w:rPr>
        <w:t xml:space="preserve">é, le </w:t>
      </w:r>
      <w:r w:rsidRPr="00E468BF">
        <w:rPr>
          <w:rFonts w:eastAsia="Calibri"/>
        </w:rPr>
        <w:t>retard pour arriver dans un centre de sant</w:t>
      </w:r>
      <w:r>
        <w:rPr>
          <w:rFonts w:eastAsia="Calibri"/>
        </w:rPr>
        <w:t>é</w:t>
      </w:r>
      <w:r>
        <w:rPr>
          <w:rFonts w:eastAsia="Times New Roman" w:cs="Arial"/>
          <w:sz w:val="23"/>
          <w:szCs w:val="23"/>
        </w:rPr>
        <w:t xml:space="preserve"> et le </w:t>
      </w:r>
      <w:r w:rsidRPr="00137E94">
        <w:rPr>
          <w:rFonts w:eastAsia="Calibri"/>
          <w:sz w:val="24"/>
          <w:szCs w:val="24"/>
        </w:rPr>
        <w:t>retard pour recevoir des soins</w:t>
      </w:r>
    </w:p>
    <w:p w14:paraId="7B9B4DAB" w14:textId="77777777" w:rsidR="00137E94" w:rsidRDefault="00137E94" w:rsidP="009E3C4E">
      <w:pPr>
        <w:jc w:val="both"/>
        <w:rPr>
          <w:rFonts w:eastAsia="Times New Roman" w:cs="Arial"/>
          <w:sz w:val="23"/>
          <w:szCs w:val="23"/>
        </w:rPr>
      </w:pPr>
      <w:r>
        <w:rPr>
          <w:rFonts w:eastAsia="Calibri"/>
        </w:rPr>
        <w:t>Le p</w:t>
      </w:r>
      <w:r w:rsidRPr="00E468BF">
        <w:rPr>
          <w:rFonts w:eastAsia="Calibri"/>
        </w:rPr>
        <w:t xml:space="preserve">remier retard </w:t>
      </w:r>
      <w:r>
        <w:rPr>
          <w:rFonts w:eastAsia="Times New Roman" w:cs="Arial"/>
          <w:sz w:val="23"/>
          <w:szCs w:val="23"/>
        </w:rPr>
        <w:t xml:space="preserve">s’explique essentiellement par </w:t>
      </w:r>
      <w:r w:rsidRPr="00E468BF">
        <w:rPr>
          <w:rFonts w:eastAsia="Times New Roman" w:cs="Arial"/>
          <w:sz w:val="23"/>
          <w:szCs w:val="23"/>
        </w:rPr>
        <w:t>les facteurs socioculturels dont le processus de prise de décision au niveau de la cellule familiale pour la recherche des soins</w:t>
      </w:r>
      <w:r w:rsidRPr="00E468BF">
        <w:rPr>
          <w:rStyle w:val="Appelnotedebasdep"/>
          <w:rFonts w:eastAsia="Times New Roman"/>
          <w:sz w:val="23"/>
          <w:szCs w:val="23"/>
        </w:rPr>
        <w:footnoteReference w:id="10"/>
      </w:r>
      <w:r w:rsidRPr="00E468BF">
        <w:rPr>
          <w:rFonts w:eastAsia="Times New Roman" w:cs="Arial"/>
          <w:sz w:val="23"/>
          <w:szCs w:val="23"/>
        </w:rPr>
        <w:t>, la faible connaissance des signes de danger par la femme</w:t>
      </w:r>
      <w:r w:rsidRPr="00E468BF">
        <w:rPr>
          <w:rStyle w:val="Appelnotedebasdep"/>
          <w:rFonts w:eastAsia="Times New Roman"/>
          <w:sz w:val="23"/>
          <w:szCs w:val="23"/>
        </w:rPr>
        <w:footnoteReference w:id="11"/>
      </w:r>
      <w:r w:rsidRPr="00E468BF">
        <w:rPr>
          <w:rFonts w:eastAsia="Times New Roman" w:cs="Arial"/>
          <w:sz w:val="23"/>
          <w:szCs w:val="23"/>
        </w:rPr>
        <w:t>, le faible niveau d’éducation des femmes et la pauvreté des populations</w:t>
      </w:r>
      <w:r w:rsidRPr="00E468BF">
        <w:rPr>
          <w:rStyle w:val="Appelnotedebasdep"/>
          <w:rFonts w:eastAsia="Times New Roman"/>
          <w:sz w:val="23"/>
          <w:szCs w:val="23"/>
        </w:rPr>
        <w:footnoteReference w:id="12"/>
      </w:r>
      <w:r w:rsidRPr="00E468BF">
        <w:rPr>
          <w:rFonts w:eastAsia="Times New Roman" w:cs="Arial"/>
          <w:sz w:val="23"/>
          <w:szCs w:val="23"/>
        </w:rPr>
        <w:t>.</w:t>
      </w:r>
    </w:p>
    <w:p w14:paraId="0FFFA072" w14:textId="77777777" w:rsidR="00137E94" w:rsidRDefault="00137E94" w:rsidP="009E3C4E">
      <w:pPr>
        <w:jc w:val="both"/>
        <w:rPr>
          <w:rFonts w:eastAsia="Times New Roman" w:cs="Arial"/>
          <w:sz w:val="23"/>
          <w:szCs w:val="23"/>
        </w:rPr>
      </w:pPr>
      <w:r>
        <w:rPr>
          <w:rFonts w:eastAsia="Calibri"/>
        </w:rPr>
        <w:t>Le d</w:t>
      </w:r>
      <w:r w:rsidRPr="00E468BF">
        <w:rPr>
          <w:rFonts w:eastAsia="Calibri"/>
        </w:rPr>
        <w:t xml:space="preserve">euxième retard </w:t>
      </w:r>
      <w:r>
        <w:rPr>
          <w:rFonts w:eastAsia="Calibri"/>
        </w:rPr>
        <w:t>est dû à</w:t>
      </w:r>
      <w:r w:rsidRPr="00E468BF">
        <w:rPr>
          <w:rFonts w:eastAsia="Times New Roman" w:cs="Arial"/>
          <w:sz w:val="23"/>
          <w:szCs w:val="23"/>
        </w:rPr>
        <w:t xml:space="preserve"> la faible accessibilité géographique des formations sanitaires</w:t>
      </w:r>
      <w:r w:rsidRPr="00E468BF">
        <w:rPr>
          <w:rStyle w:val="Appelnotedebasdep"/>
          <w:rFonts w:eastAsia="Times New Roman"/>
          <w:sz w:val="23"/>
          <w:szCs w:val="23"/>
        </w:rPr>
        <w:footnoteReference w:id="13"/>
      </w:r>
      <w:r w:rsidRPr="00E468BF">
        <w:rPr>
          <w:rFonts w:eastAsia="Times New Roman" w:cs="Arial"/>
          <w:sz w:val="23"/>
          <w:szCs w:val="23"/>
        </w:rPr>
        <w:t>liée à une répartition inégale des formations sanitaires sur le territoire, à l’absence ou la vétusté des moyens d’évacuation</w:t>
      </w:r>
      <w:r w:rsidRPr="00E468BF">
        <w:rPr>
          <w:rStyle w:val="Appelnotedebasdep"/>
          <w:rFonts w:eastAsia="Times New Roman"/>
          <w:sz w:val="23"/>
          <w:szCs w:val="23"/>
        </w:rPr>
        <w:footnoteReference w:id="14"/>
      </w:r>
      <w:r w:rsidRPr="00E468BF">
        <w:rPr>
          <w:rFonts w:eastAsia="Times New Roman" w:cs="Arial"/>
          <w:sz w:val="23"/>
          <w:szCs w:val="23"/>
        </w:rPr>
        <w:t>, des problèmes de barrières géographiques (montagnes, rivières) et la qualité médiocre du réseau routier.</w:t>
      </w:r>
    </w:p>
    <w:p w14:paraId="5CBAEAB0" w14:textId="77777777" w:rsidR="00137E94" w:rsidRPr="00137E94" w:rsidRDefault="00137E94" w:rsidP="009E3C4E">
      <w:pPr>
        <w:jc w:val="both"/>
        <w:rPr>
          <w:rFonts w:eastAsia="Times New Roman" w:cs="Arial"/>
          <w:sz w:val="23"/>
          <w:szCs w:val="23"/>
        </w:rPr>
      </w:pPr>
      <w:r>
        <w:rPr>
          <w:rFonts w:eastAsia="Calibri"/>
          <w:sz w:val="24"/>
          <w:szCs w:val="24"/>
        </w:rPr>
        <w:t>L</w:t>
      </w:r>
      <w:r w:rsidRPr="00137E94">
        <w:rPr>
          <w:rFonts w:eastAsia="Calibri"/>
          <w:sz w:val="24"/>
          <w:szCs w:val="24"/>
        </w:rPr>
        <w:t xml:space="preserve">e troisième retard </w:t>
      </w:r>
      <w:r>
        <w:rPr>
          <w:rFonts w:eastAsia="Calibri"/>
          <w:sz w:val="24"/>
          <w:szCs w:val="24"/>
        </w:rPr>
        <w:t xml:space="preserve">est dû </w:t>
      </w:r>
      <w:r>
        <w:rPr>
          <w:rFonts w:eastAsia="Times New Roman" w:cs="Arial"/>
          <w:sz w:val="23"/>
          <w:szCs w:val="23"/>
        </w:rPr>
        <w:t xml:space="preserve">à la </w:t>
      </w:r>
      <w:r w:rsidRPr="00E468BF">
        <w:rPr>
          <w:rFonts w:eastAsia="Times New Roman" w:cs="Arial"/>
          <w:sz w:val="23"/>
          <w:szCs w:val="23"/>
        </w:rPr>
        <w:t>non-disponibilité, la qualité et le coût élevé des soins obstétricaux d’urgence. Cette faible disponibilité était liée à un problème de ressources humaines qualifiées, de matériels, d’équipements et de médicaments</w:t>
      </w:r>
      <w:r w:rsidRPr="00E468BF">
        <w:rPr>
          <w:rStyle w:val="Appelnotedebasdep"/>
          <w:rFonts w:eastAsia="Times New Roman"/>
          <w:sz w:val="23"/>
          <w:szCs w:val="23"/>
        </w:rPr>
        <w:footnoteReference w:id="15"/>
      </w:r>
      <w:r w:rsidRPr="00E468BF">
        <w:rPr>
          <w:rFonts w:eastAsia="Times New Roman" w:cs="Arial"/>
          <w:sz w:val="23"/>
          <w:szCs w:val="23"/>
        </w:rPr>
        <w:t>.</w:t>
      </w:r>
    </w:p>
    <w:p w14:paraId="09CA4166" w14:textId="5D401604" w:rsidR="004B5F2E" w:rsidRDefault="002E3A74" w:rsidP="009E3C4E">
      <w:pPr>
        <w:pStyle w:val="Paragraphedeliste"/>
        <w:numPr>
          <w:ilvl w:val="2"/>
          <w:numId w:val="1"/>
        </w:numPr>
        <w:spacing w:after="0" w:line="360" w:lineRule="auto"/>
        <w:jc w:val="both"/>
        <w:rPr>
          <w:rFonts w:cstheme="minorHAnsi"/>
          <w:sz w:val="24"/>
          <w:szCs w:val="24"/>
        </w:rPr>
      </w:pPr>
      <w:r w:rsidRPr="009E3C4E">
        <w:rPr>
          <w:rFonts w:cstheme="minorHAnsi"/>
          <w:sz w:val="24"/>
          <w:szCs w:val="24"/>
        </w:rPr>
        <w:t>MORTALITE NEO-NATALE</w:t>
      </w:r>
    </w:p>
    <w:p w14:paraId="08953EAE" w14:textId="4E577D94" w:rsidR="009E3C4E" w:rsidRPr="008839B9" w:rsidRDefault="009E3C4E" w:rsidP="009E3C4E">
      <w:pPr>
        <w:spacing w:after="0"/>
        <w:jc w:val="both"/>
        <w:rPr>
          <w:sz w:val="24"/>
          <w:szCs w:val="24"/>
        </w:rPr>
      </w:pPr>
      <w:r w:rsidRPr="008839B9">
        <w:rPr>
          <w:sz w:val="24"/>
          <w:szCs w:val="24"/>
        </w:rPr>
        <w:t>Selon les rapports annuels de surveillance des décès maternels néonatals et de riposte (SDMNR), entre 2014 et 2016, on a enregistré respectivement 1872, 2256 et 2521 décès néonataux dans les FS. En 2016, les régions qui ont enregistré le plus de décès néonatals sont le Centre (740 cas), l’Est (270 cas), le Centre Nord (228 cas) et les Cascades (208 cas).</w:t>
      </w:r>
    </w:p>
    <w:p w14:paraId="0D7966A5" w14:textId="500E74B0" w:rsidR="009E3C4E" w:rsidRPr="008839B9" w:rsidRDefault="009E3C4E" w:rsidP="009E3C4E">
      <w:pPr>
        <w:spacing w:after="0"/>
        <w:jc w:val="both"/>
        <w:rPr>
          <w:rFonts w:eastAsia="Calibri"/>
          <w:sz w:val="24"/>
          <w:szCs w:val="24"/>
        </w:rPr>
      </w:pPr>
      <w:r w:rsidRPr="008839B9">
        <w:rPr>
          <w:rFonts w:eastAsia="Calibri"/>
          <w:sz w:val="24"/>
          <w:szCs w:val="24"/>
        </w:rPr>
        <w:t xml:space="preserve">Au cours de la période néonatale, les causes de morbidité et de mortalité sont essentiellement les infections sévères et la pneumonie (21%), la prématurité et le faible poids à la naissance (32.4%) et les complications intra-partum (27%).  </w:t>
      </w:r>
    </w:p>
    <w:p w14:paraId="5C4AFF12" w14:textId="77777777" w:rsidR="008839B9" w:rsidRPr="008839B9" w:rsidRDefault="008839B9" w:rsidP="008839B9">
      <w:pPr>
        <w:spacing w:before="240" w:after="0"/>
        <w:jc w:val="both"/>
        <w:rPr>
          <w:rFonts w:eastAsia="Calibri"/>
          <w:sz w:val="24"/>
          <w:szCs w:val="24"/>
        </w:rPr>
      </w:pPr>
      <w:r w:rsidRPr="008839B9">
        <w:rPr>
          <w:rFonts w:eastAsia="Calibri"/>
          <w:sz w:val="24"/>
          <w:szCs w:val="24"/>
        </w:rPr>
        <w:t>Le faible espacement des naissances est un important facteur de risque de mortalité des enfants, surtout pendant la période néonatale. Or, plus de trois femmes en âge de procréer sur quatre (76%) n’utilisent pas de méthodes contraceptives</w:t>
      </w:r>
      <w:r w:rsidRPr="008839B9">
        <w:rPr>
          <w:rStyle w:val="Appelnotedebasdep"/>
          <w:rFonts w:eastAsia="Calibri"/>
          <w:sz w:val="24"/>
          <w:szCs w:val="24"/>
        </w:rPr>
        <w:footnoteReference w:id="16"/>
      </w:r>
      <w:r w:rsidRPr="008839B9">
        <w:rPr>
          <w:rFonts w:eastAsia="Calibri"/>
          <w:sz w:val="24"/>
          <w:szCs w:val="24"/>
        </w:rPr>
        <w:t>.</w:t>
      </w:r>
    </w:p>
    <w:p w14:paraId="559F5349" w14:textId="4428306D" w:rsidR="008839B9" w:rsidRPr="009E3C4E" w:rsidRDefault="008839B9" w:rsidP="008839B9">
      <w:pPr>
        <w:spacing w:after="0"/>
        <w:jc w:val="both"/>
        <w:rPr>
          <w:sz w:val="24"/>
          <w:szCs w:val="24"/>
        </w:rPr>
      </w:pPr>
      <w:r w:rsidRPr="009A029C">
        <w:rPr>
          <w:rFonts w:cs="Arial"/>
          <w:sz w:val="24"/>
          <w:szCs w:val="24"/>
        </w:rPr>
        <w:lastRenderedPageBreak/>
        <w:t>L’insuffisance de compétences ou de matériel pour apporter une assistance aux nouveau-nés avec difficultés respiratoires à la naissance aggrave la situation au Burkina Faso.</w:t>
      </w:r>
    </w:p>
    <w:p w14:paraId="7E998033" w14:textId="77777777" w:rsidR="009E3C4E" w:rsidRPr="009E3C4E" w:rsidRDefault="009E3C4E" w:rsidP="009E3C4E">
      <w:pPr>
        <w:spacing w:after="0" w:line="360" w:lineRule="auto"/>
        <w:jc w:val="both"/>
        <w:rPr>
          <w:rFonts w:cstheme="minorHAnsi"/>
          <w:sz w:val="24"/>
          <w:szCs w:val="24"/>
        </w:rPr>
      </w:pPr>
    </w:p>
    <w:tbl>
      <w:tblPr>
        <w:tblStyle w:val="Grilledutableau"/>
        <w:tblW w:w="935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6"/>
        <w:gridCol w:w="236"/>
        <w:gridCol w:w="394"/>
        <w:gridCol w:w="236"/>
        <w:gridCol w:w="3761"/>
        <w:gridCol w:w="225"/>
      </w:tblGrid>
      <w:tr w:rsidR="001D57AD" w14:paraId="71FB45D6" w14:textId="77777777" w:rsidTr="002F55C9">
        <w:tc>
          <w:tcPr>
            <w:tcW w:w="5136" w:type="dxa"/>
            <w:gridSpan w:val="3"/>
            <w:tcBorders>
              <w:bottom w:val="single" w:sz="4" w:space="0" w:color="auto"/>
            </w:tcBorders>
          </w:tcPr>
          <w:p w14:paraId="2F3BA944" w14:textId="77777777" w:rsidR="00754E45" w:rsidRDefault="00754E45" w:rsidP="004974CF">
            <w:pPr>
              <w:spacing w:line="360" w:lineRule="auto"/>
              <w:jc w:val="both"/>
              <w:rPr>
                <w:rFonts w:cstheme="minorHAnsi"/>
                <w:sz w:val="24"/>
                <w:szCs w:val="24"/>
              </w:rPr>
            </w:pPr>
            <w:r w:rsidRPr="00937032">
              <w:rPr>
                <w:noProof/>
                <w:lang w:eastAsia="fr-FR"/>
              </w:rPr>
              <w:drawing>
                <wp:inline distT="0" distB="0" distL="0" distR="0" wp14:anchorId="52DF3495" wp14:editId="57F1157D">
                  <wp:extent cx="3124200" cy="2286000"/>
                  <wp:effectExtent l="0" t="0" r="0" b="0"/>
                  <wp:docPr id="8" name="Graphique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236" w:type="dxa"/>
            <w:tcBorders>
              <w:top w:val="nil"/>
              <w:bottom w:val="nil"/>
              <w:right w:val="nil"/>
            </w:tcBorders>
          </w:tcPr>
          <w:p w14:paraId="1ED96CEC" w14:textId="77777777" w:rsidR="00754E45" w:rsidRDefault="00754E45" w:rsidP="004974CF">
            <w:pPr>
              <w:spacing w:line="360" w:lineRule="auto"/>
              <w:jc w:val="both"/>
              <w:rPr>
                <w:rFonts w:cstheme="minorHAnsi"/>
                <w:sz w:val="24"/>
                <w:szCs w:val="24"/>
              </w:rPr>
            </w:pPr>
          </w:p>
        </w:tc>
        <w:tc>
          <w:tcPr>
            <w:tcW w:w="3981" w:type="dxa"/>
            <w:gridSpan w:val="2"/>
            <w:vMerge w:val="restart"/>
            <w:tcBorders>
              <w:top w:val="nil"/>
              <w:left w:val="nil"/>
              <w:bottom w:val="nil"/>
              <w:right w:val="nil"/>
            </w:tcBorders>
          </w:tcPr>
          <w:p w14:paraId="16345DB2" w14:textId="77777777" w:rsidR="00754E45" w:rsidRPr="00833071" w:rsidRDefault="00754E45" w:rsidP="005A1CF9">
            <w:pPr>
              <w:spacing w:before="240" w:line="360" w:lineRule="auto"/>
            </w:pPr>
            <w:r w:rsidRPr="009A029C">
              <w:rPr>
                <w:rFonts w:cstheme="minorHAnsi"/>
                <w:sz w:val="24"/>
                <w:szCs w:val="24"/>
              </w:rPr>
              <w:t xml:space="preserve">De 1999 à 2015, le taux de mortalité néo-natale est passé de 41 à 23 </w:t>
            </w:r>
            <w:r w:rsidRPr="009A029C">
              <w:rPr>
                <w:rFonts w:cstheme="minorHAnsi"/>
                <w:iCs/>
                <w:color w:val="000000"/>
                <w:sz w:val="24"/>
                <w:szCs w:val="24"/>
              </w:rPr>
              <w:t>‰</w:t>
            </w:r>
            <w:r w:rsidRPr="009A029C">
              <w:rPr>
                <w:rFonts w:cstheme="minorHAnsi"/>
                <w:sz w:val="24"/>
                <w:szCs w:val="24"/>
              </w:rPr>
              <w:t xml:space="preserve">. </w:t>
            </w:r>
            <w:r w:rsidRPr="009A029C">
              <w:rPr>
                <w:rFonts w:cstheme="minorHAnsi"/>
                <w:iCs/>
                <w:color w:val="000000"/>
                <w:sz w:val="24"/>
                <w:szCs w:val="24"/>
              </w:rPr>
              <w:t xml:space="preserve">Le niveau de réduction du </w:t>
            </w:r>
            <w:r w:rsidRPr="009A029C">
              <w:rPr>
                <w:rFonts w:cstheme="minorHAnsi"/>
                <w:sz w:val="24"/>
                <w:szCs w:val="24"/>
              </w:rPr>
              <w:t xml:space="preserve">taux de mortalité néo-natale </w:t>
            </w:r>
            <w:r w:rsidRPr="009A029C">
              <w:rPr>
                <w:rFonts w:cstheme="minorHAnsi"/>
                <w:iCs/>
                <w:color w:val="000000"/>
                <w:sz w:val="24"/>
                <w:szCs w:val="24"/>
              </w:rPr>
              <w:t xml:space="preserve">était de </w:t>
            </w:r>
            <w:r w:rsidR="005A1CF9" w:rsidRPr="009A029C">
              <w:rPr>
                <w:rFonts w:cstheme="minorHAnsi"/>
                <w:sz w:val="24"/>
                <w:szCs w:val="24"/>
              </w:rPr>
              <w:t xml:space="preserve">43,1 %. </w:t>
            </w:r>
            <w:r w:rsidRPr="009A029C">
              <w:rPr>
                <w:rFonts w:cstheme="minorHAnsi"/>
                <w:sz w:val="24"/>
                <w:szCs w:val="24"/>
              </w:rPr>
              <w:t>Cependant, en 2015 ces progrès n’ont pas permis d’atteindre</w:t>
            </w:r>
            <w:r w:rsidRPr="009A029C">
              <w:rPr>
                <w:rFonts w:cstheme="minorHAnsi"/>
                <w:iCs/>
                <w:color w:val="000000"/>
                <w:sz w:val="24"/>
                <w:szCs w:val="24"/>
              </w:rPr>
              <w:t xml:space="preserve"> la cible </w:t>
            </w:r>
            <w:r w:rsidR="005A1CF9" w:rsidRPr="009A029C">
              <w:rPr>
                <w:rFonts w:cstheme="minorHAnsi"/>
                <w:iCs/>
                <w:color w:val="000000"/>
                <w:sz w:val="24"/>
                <w:szCs w:val="24"/>
              </w:rPr>
              <w:t>fixée dans le PNDS 2011-20</w:t>
            </w:r>
            <w:r w:rsidR="005A1CF9" w:rsidRPr="009A029C">
              <w:rPr>
                <w:rStyle w:val="Appelnotedebasdep"/>
                <w:rFonts w:cstheme="minorHAnsi"/>
                <w:iCs/>
                <w:color w:val="000000"/>
                <w:sz w:val="24"/>
                <w:szCs w:val="24"/>
              </w:rPr>
              <w:footnoteReference w:id="17"/>
            </w:r>
            <w:r w:rsidRPr="009A029C">
              <w:t>.</w:t>
            </w:r>
          </w:p>
        </w:tc>
      </w:tr>
      <w:tr w:rsidR="00754E45" w14:paraId="2B57014E" w14:textId="77777777" w:rsidTr="002F55C9">
        <w:tc>
          <w:tcPr>
            <w:tcW w:w="5136" w:type="dxa"/>
            <w:gridSpan w:val="3"/>
            <w:tcBorders>
              <w:left w:val="nil"/>
              <w:bottom w:val="nil"/>
              <w:right w:val="nil"/>
            </w:tcBorders>
          </w:tcPr>
          <w:p w14:paraId="20693BED" w14:textId="77777777" w:rsidR="00754E45" w:rsidRDefault="00754E45" w:rsidP="009E3C4E">
            <w:pPr>
              <w:rPr>
                <w:rFonts w:cstheme="minorHAnsi"/>
                <w:b/>
                <w:sz w:val="20"/>
                <w:szCs w:val="20"/>
              </w:rPr>
            </w:pPr>
            <w:r w:rsidRPr="00825475">
              <w:rPr>
                <w:rFonts w:cstheme="minorHAnsi"/>
                <w:b/>
                <w:sz w:val="20"/>
                <w:szCs w:val="20"/>
              </w:rPr>
              <w:t xml:space="preserve">Figure </w:t>
            </w:r>
            <w:r w:rsidR="009919D8">
              <w:rPr>
                <w:rFonts w:cstheme="minorHAnsi"/>
                <w:b/>
                <w:sz w:val="20"/>
                <w:szCs w:val="20"/>
              </w:rPr>
              <w:t>3</w:t>
            </w:r>
            <w:r w:rsidRPr="00825475">
              <w:rPr>
                <w:rFonts w:cstheme="minorHAnsi"/>
                <w:b/>
                <w:sz w:val="20"/>
                <w:szCs w:val="20"/>
              </w:rPr>
              <w:t> : Taux de mortalité néo-natale (/1000)</w:t>
            </w:r>
          </w:p>
          <w:p w14:paraId="4FB30A38" w14:textId="55A119D7" w:rsidR="008839B9" w:rsidRPr="009A54F6" w:rsidRDefault="008839B9" w:rsidP="009E3C4E">
            <w:pPr>
              <w:rPr>
                <w:rFonts w:cstheme="minorHAnsi"/>
                <w:b/>
                <w:sz w:val="20"/>
                <w:szCs w:val="20"/>
              </w:rPr>
            </w:pPr>
          </w:p>
        </w:tc>
        <w:tc>
          <w:tcPr>
            <w:tcW w:w="236" w:type="dxa"/>
            <w:tcBorders>
              <w:top w:val="nil"/>
              <w:left w:val="nil"/>
              <w:bottom w:val="nil"/>
              <w:right w:val="nil"/>
            </w:tcBorders>
          </w:tcPr>
          <w:p w14:paraId="229BDA57" w14:textId="77777777" w:rsidR="00754E45" w:rsidRDefault="00754E45" w:rsidP="009E3C4E">
            <w:pPr>
              <w:jc w:val="both"/>
              <w:rPr>
                <w:rFonts w:cstheme="minorHAnsi"/>
                <w:sz w:val="24"/>
                <w:szCs w:val="24"/>
              </w:rPr>
            </w:pPr>
          </w:p>
        </w:tc>
        <w:tc>
          <w:tcPr>
            <w:tcW w:w="3981" w:type="dxa"/>
            <w:gridSpan w:val="2"/>
            <w:vMerge/>
            <w:tcBorders>
              <w:left w:val="nil"/>
              <w:bottom w:val="nil"/>
              <w:right w:val="nil"/>
            </w:tcBorders>
          </w:tcPr>
          <w:p w14:paraId="501406D5" w14:textId="77777777" w:rsidR="00754E45" w:rsidRDefault="00754E45" w:rsidP="009E3C4E">
            <w:pPr>
              <w:jc w:val="both"/>
              <w:rPr>
                <w:rFonts w:cstheme="minorHAnsi"/>
                <w:sz w:val="24"/>
                <w:szCs w:val="24"/>
              </w:rPr>
            </w:pPr>
          </w:p>
        </w:tc>
      </w:tr>
      <w:tr w:rsidR="00CC78F6" w14:paraId="77AA5406" w14:textId="77777777" w:rsidTr="002F55C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225" w:type="dxa"/>
        </w:trPr>
        <w:tc>
          <w:tcPr>
            <w:tcW w:w="4506" w:type="dxa"/>
          </w:tcPr>
          <w:p w14:paraId="28AA72EA" w14:textId="7D23CA6B" w:rsidR="00CC78F6" w:rsidRPr="00CC78F6" w:rsidRDefault="00CC78F6" w:rsidP="00CC78F6">
            <w:pPr>
              <w:spacing w:line="360" w:lineRule="auto"/>
              <w:jc w:val="both"/>
              <w:rPr>
                <w:rFonts w:cs="Calibri"/>
                <w:b/>
                <w:noProof/>
                <w:sz w:val="24"/>
                <w:szCs w:val="24"/>
                <w:lang w:eastAsia="fr-FR"/>
              </w:rPr>
            </w:pPr>
            <w:r w:rsidRPr="0069707E">
              <w:rPr>
                <w:noProof/>
                <w:lang w:eastAsia="fr-FR"/>
              </w:rPr>
              <w:drawing>
                <wp:inline distT="0" distB="0" distL="0" distR="0" wp14:anchorId="491E40D8" wp14:editId="24CCB094">
                  <wp:extent cx="2686050" cy="2143125"/>
                  <wp:effectExtent l="19050" t="19050" r="19050" b="28575"/>
                  <wp:docPr id="227" name="Image 2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phique 1"/>
                          <pic:cNvPicPr>
                            <a:picLocks noChangeArrowheads="1"/>
                          </pic:cNvPicPr>
                        </pic:nvPicPr>
                        <pic:blipFill>
                          <a:blip r:embed="rId12" cstate="print">
                            <a:extLst>
                              <a:ext uri="{28A0092B-C50C-407E-A947-70E740481C1C}">
                                <a14:useLocalDpi xmlns:a14="http://schemas.microsoft.com/office/drawing/2010/main" val="0"/>
                              </a:ext>
                            </a:extLst>
                          </a:blip>
                          <a:srcRect b="-61"/>
                          <a:stretch>
                            <a:fillRect/>
                          </a:stretch>
                        </pic:blipFill>
                        <pic:spPr bwMode="auto">
                          <a:xfrm>
                            <a:off x="0" y="0"/>
                            <a:ext cx="2686050" cy="2143125"/>
                          </a:xfrm>
                          <a:prstGeom prst="rect">
                            <a:avLst/>
                          </a:prstGeom>
                          <a:noFill/>
                          <a:ln w="6350" cmpd="sng">
                            <a:solidFill>
                              <a:srgbClr val="000000"/>
                            </a:solidFill>
                            <a:miter lim="800000"/>
                            <a:headEnd/>
                            <a:tailEnd/>
                          </a:ln>
                          <a:effectLst/>
                        </pic:spPr>
                      </pic:pic>
                    </a:graphicData>
                  </a:graphic>
                </wp:inline>
              </w:drawing>
            </w:r>
          </w:p>
          <w:p w14:paraId="592902E3" w14:textId="3F53003A" w:rsidR="00CC78F6" w:rsidRPr="00CC78F6" w:rsidRDefault="00CC78F6" w:rsidP="009E3C4E">
            <w:pPr>
              <w:jc w:val="both"/>
              <w:rPr>
                <w:rFonts w:cs="Arial"/>
                <w:b/>
                <w:sz w:val="18"/>
                <w:szCs w:val="18"/>
              </w:rPr>
            </w:pPr>
            <w:r w:rsidRPr="00CC78F6">
              <w:rPr>
                <w:rFonts w:cs="Arial"/>
                <w:b/>
                <w:sz w:val="18"/>
                <w:szCs w:val="18"/>
              </w:rPr>
              <w:t>Figure 4 : Taux de mortalité Néonatale par région</w:t>
            </w:r>
            <w:r>
              <w:rPr>
                <w:rStyle w:val="Appelnotedebasdep"/>
                <w:rFonts w:cs="Arial"/>
                <w:b/>
                <w:sz w:val="18"/>
                <w:szCs w:val="18"/>
              </w:rPr>
              <w:footnoteReference w:id="18"/>
            </w:r>
          </w:p>
        </w:tc>
        <w:tc>
          <w:tcPr>
            <w:tcW w:w="236" w:type="dxa"/>
          </w:tcPr>
          <w:p w14:paraId="15609DDA" w14:textId="77777777" w:rsidR="00CC78F6" w:rsidRDefault="00CC78F6" w:rsidP="009E3C4E">
            <w:pPr>
              <w:jc w:val="both"/>
              <w:rPr>
                <w:rFonts w:cs="Arial"/>
                <w:sz w:val="24"/>
                <w:szCs w:val="24"/>
              </w:rPr>
            </w:pPr>
          </w:p>
        </w:tc>
        <w:tc>
          <w:tcPr>
            <w:tcW w:w="4391" w:type="dxa"/>
            <w:gridSpan w:val="3"/>
          </w:tcPr>
          <w:p w14:paraId="58A30000" w14:textId="416589EE" w:rsidR="000C14C7" w:rsidRDefault="000C14C7" w:rsidP="000C14C7">
            <w:pPr>
              <w:pStyle w:val="Paragraphedeliste"/>
              <w:spacing w:line="276" w:lineRule="auto"/>
              <w:ind w:left="0"/>
              <w:jc w:val="both"/>
              <w:rPr>
                <w:rFonts w:cs="Calibri"/>
                <w:sz w:val="24"/>
                <w:szCs w:val="24"/>
              </w:rPr>
            </w:pPr>
            <w:r w:rsidRPr="00CF2AC8">
              <w:rPr>
                <w:rFonts w:cs="Calibri"/>
                <w:sz w:val="24"/>
                <w:szCs w:val="24"/>
              </w:rPr>
              <w:t xml:space="preserve">Les régions du Sahel (41 </w:t>
            </w:r>
            <w:r w:rsidRPr="00CF2AC8">
              <w:rPr>
                <w:rFonts w:cstheme="minorHAnsi"/>
                <w:iCs/>
                <w:color w:val="000000"/>
                <w:sz w:val="24"/>
                <w:szCs w:val="24"/>
              </w:rPr>
              <w:t>‰</w:t>
            </w:r>
            <w:r w:rsidRPr="00CF2AC8">
              <w:rPr>
                <w:rFonts w:cs="Calibri"/>
                <w:sz w:val="24"/>
                <w:szCs w:val="24"/>
              </w:rPr>
              <w:t xml:space="preserve">), des Hauts-Bassins (40 </w:t>
            </w:r>
            <w:r w:rsidRPr="00CF2AC8">
              <w:rPr>
                <w:rFonts w:cstheme="minorHAnsi"/>
                <w:iCs/>
                <w:color w:val="000000"/>
                <w:sz w:val="24"/>
                <w:szCs w:val="24"/>
              </w:rPr>
              <w:t>‰</w:t>
            </w:r>
            <w:r w:rsidRPr="00CF2AC8">
              <w:rPr>
                <w:rFonts w:cs="Calibri"/>
                <w:sz w:val="24"/>
                <w:szCs w:val="24"/>
              </w:rPr>
              <w:t xml:space="preserve">), de la Boucle du Mouhoun (34 </w:t>
            </w:r>
            <w:r w:rsidRPr="00CF2AC8">
              <w:rPr>
                <w:rFonts w:cstheme="minorHAnsi"/>
                <w:iCs/>
                <w:color w:val="000000"/>
                <w:sz w:val="24"/>
                <w:szCs w:val="24"/>
              </w:rPr>
              <w:t>‰</w:t>
            </w:r>
            <w:r w:rsidRPr="00CF2AC8">
              <w:rPr>
                <w:rFonts w:cs="Calibri"/>
                <w:sz w:val="24"/>
                <w:szCs w:val="24"/>
              </w:rPr>
              <w:t xml:space="preserve">) et de l’Est (31 </w:t>
            </w:r>
            <w:r w:rsidRPr="00CF2AC8">
              <w:rPr>
                <w:rFonts w:cstheme="minorHAnsi"/>
                <w:iCs/>
                <w:color w:val="000000"/>
                <w:sz w:val="24"/>
                <w:szCs w:val="24"/>
              </w:rPr>
              <w:t>‰</w:t>
            </w:r>
            <w:r w:rsidRPr="00CF2AC8">
              <w:rPr>
                <w:rFonts w:cs="Calibri"/>
                <w:sz w:val="24"/>
                <w:szCs w:val="24"/>
              </w:rPr>
              <w:t>), affichent des taux de mortalité néo-natale très élevés, au-dessus de la moyenne nationale qui se situent à 25 pour 1000 naissances vivantes.</w:t>
            </w:r>
          </w:p>
          <w:p w14:paraId="371F2A46" w14:textId="77777777" w:rsidR="002F55C9" w:rsidRPr="00CF2AC8" w:rsidRDefault="002F55C9" w:rsidP="002F55C9">
            <w:pPr>
              <w:pStyle w:val="Paragraphedeliste"/>
              <w:spacing w:before="240" w:line="276" w:lineRule="auto"/>
              <w:ind w:left="0"/>
              <w:jc w:val="both"/>
              <w:rPr>
                <w:rFonts w:cs="Calibri"/>
                <w:sz w:val="24"/>
                <w:szCs w:val="24"/>
              </w:rPr>
            </w:pPr>
            <w:r w:rsidRPr="00CF2AC8">
              <w:rPr>
                <w:rFonts w:cs="Calibri"/>
                <w:sz w:val="24"/>
                <w:szCs w:val="24"/>
              </w:rPr>
              <w:t xml:space="preserve">Cette mortalité néo-natale est plus élevée dans les populations vivant en zone rurale (28 </w:t>
            </w:r>
            <w:r w:rsidRPr="00CF2AC8">
              <w:rPr>
                <w:rFonts w:cstheme="minorHAnsi"/>
                <w:iCs/>
                <w:color w:val="000000"/>
                <w:sz w:val="24"/>
                <w:szCs w:val="24"/>
              </w:rPr>
              <w:t>‰</w:t>
            </w:r>
            <w:r w:rsidRPr="00CF2AC8">
              <w:rPr>
                <w:rFonts w:cs="Calibri"/>
                <w:sz w:val="24"/>
                <w:szCs w:val="24"/>
              </w:rPr>
              <w:t xml:space="preserve">). </w:t>
            </w:r>
          </w:p>
          <w:p w14:paraId="6F695643" w14:textId="77777777" w:rsidR="002F55C9" w:rsidRPr="00CF2AC8" w:rsidRDefault="002F55C9" w:rsidP="000C14C7">
            <w:pPr>
              <w:pStyle w:val="Paragraphedeliste"/>
              <w:spacing w:line="276" w:lineRule="auto"/>
              <w:ind w:left="0"/>
              <w:jc w:val="both"/>
              <w:rPr>
                <w:rFonts w:cs="Calibri"/>
                <w:sz w:val="24"/>
                <w:szCs w:val="24"/>
              </w:rPr>
            </w:pPr>
          </w:p>
          <w:p w14:paraId="36947070" w14:textId="1D3E61CF" w:rsidR="00CC78F6" w:rsidRPr="00CF2AC8" w:rsidRDefault="00CC78F6" w:rsidP="00CF2AC8">
            <w:pPr>
              <w:pStyle w:val="Paragraphedeliste"/>
              <w:spacing w:line="276" w:lineRule="auto"/>
              <w:ind w:left="0"/>
              <w:jc w:val="both"/>
              <w:rPr>
                <w:rFonts w:cs="Calibri"/>
              </w:rPr>
            </w:pPr>
          </w:p>
        </w:tc>
      </w:tr>
    </w:tbl>
    <w:p w14:paraId="5A687A16" w14:textId="0F0DD5A5" w:rsidR="00CF2AC8" w:rsidRPr="00CF2AC8" w:rsidRDefault="00CF2AC8" w:rsidP="002F55C9">
      <w:pPr>
        <w:spacing w:before="240" w:after="0"/>
        <w:jc w:val="both"/>
        <w:rPr>
          <w:rFonts w:cs="Calibri"/>
          <w:sz w:val="24"/>
          <w:szCs w:val="24"/>
        </w:rPr>
      </w:pPr>
      <w:r w:rsidRPr="00CF2AC8">
        <w:rPr>
          <w:rFonts w:cs="Calibri"/>
          <w:sz w:val="24"/>
          <w:szCs w:val="24"/>
        </w:rPr>
        <w:t xml:space="preserve">Le taux de décès chez les populations défavorisées est 28 </w:t>
      </w:r>
      <w:r w:rsidRPr="00CF2AC8">
        <w:rPr>
          <w:rFonts w:cstheme="minorHAnsi"/>
          <w:iCs/>
          <w:color w:val="000000"/>
          <w:sz w:val="24"/>
          <w:szCs w:val="24"/>
        </w:rPr>
        <w:t>‰ pour</w:t>
      </w:r>
      <w:r w:rsidRPr="00CF2AC8">
        <w:rPr>
          <w:rFonts w:cs="Calibri"/>
          <w:sz w:val="24"/>
          <w:szCs w:val="24"/>
        </w:rPr>
        <w:t xml:space="preserve"> 25 </w:t>
      </w:r>
      <w:r w:rsidRPr="00CF2AC8">
        <w:rPr>
          <w:rFonts w:cstheme="minorHAnsi"/>
          <w:iCs/>
          <w:color w:val="000000"/>
          <w:sz w:val="24"/>
          <w:szCs w:val="24"/>
        </w:rPr>
        <w:t>‰ dans</w:t>
      </w:r>
      <w:r w:rsidRPr="00CF2AC8">
        <w:rPr>
          <w:rFonts w:cs="Calibri"/>
          <w:sz w:val="24"/>
          <w:szCs w:val="24"/>
        </w:rPr>
        <w:t xml:space="preserve"> la population la plus riche, soit 3 points de différence uniquement.</w:t>
      </w:r>
    </w:p>
    <w:p w14:paraId="5A7801F5" w14:textId="5751105A" w:rsidR="00CF2AC8" w:rsidRPr="00CF2AC8" w:rsidRDefault="00CF2AC8" w:rsidP="00CF2AC8">
      <w:pPr>
        <w:jc w:val="both"/>
        <w:rPr>
          <w:sz w:val="24"/>
          <w:szCs w:val="24"/>
        </w:rPr>
      </w:pPr>
      <w:r w:rsidRPr="00CF2AC8">
        <w:rPr>
          <w:sz w:val="24"/>
          <w:szCs w:val="24"/>
        </w:rPr>
        <w:t>Le facteur d’inéquité le plus important concernant la mortalité néo-natale réside au niveau de la répartition géographique.</w:t>
      </w:r>
    </w:p>
    <w:p w14:paraId="62F63F84" w14:textId="7D3AF8D2" w:rsidR="008839B9" w:rsidRDefault="008839B9" w:rsidP="008839B9">
      <w:pPr>
        <w:spacing w:before="240" w:after="0"/>
        <w:rPr>
          <w:b/>
          <w:u w:val="single"/>
        </w:rPr>
      </w:pPr>
      <w:r w:rsidRPr="00B23C6A">
        <w:rPr>
          <w:b/>
          <w:u w:val="single"/>
        </w:rPr>
        <w:t>Les causes de la mortalité néo-natale</w:t>
      </w:r>
    </w:p>
    <w:p w14:paraId="1BEF9D39" w14:textId="77777777" w:rsidR="008839B9" w:rsidRDefault="008839B9" w:rsidP="008839B9">
      <w:pPr>
        <w:jc w:val="both"/>
        <w:rPr>
          <w:sz w:val="23"/>
          <w:szCs w:val="23"/>
        </w:rPr>
      </w:pPr>
      <w:r w:rsidRPr="00B72473">
        <w:rPr>
          <w:sz w:val="23"/>
          <w:szCs w:val="23"/>
        </w:rPr>
        <w:t>Au cours de la période néonatale, les causes de morbidité et de mortalité sont essentiellement les infections sévères et la pneumonie (21%), la prématurité et le faible poids à la naissance (32.4%) et les complications intra-partum (27%).</w:t>
      </w:r>
    </w:p>
    <w:p w14:paraId="03760DA6" w14:textId="77777777" w:rsidR="008839B9" w:rsidRPr="001D57AD" w:rsidRDefault="008839B9" w:rsidP="009E3C4E">
      <w:pPr>
        <w:jc w:val="both"/>
        <w:rPr>
          <w:rFonts w:cs="Arial"/>
          <w:sz w:val="24"/>
          <w:szCs w:val="24"/>
        </w:rPr>
      </w:pPr>
    </w:p>
    <w:p w14:paraId="1F4A90CA" w14:textId="516AF38A" w:rsidR="002E3A74" w:rsidRPr="00CF2AC8" w:rsidRDefault="00CF2AC8" w:rsidP="00CF2AC8">
      <w:pPr>
        <w:pStyle w:val="Paragraphedeliste"/>
        <w:numPr>
          <w:ilvl w:val="2"/>
          <w:numId w:val="1"/>
        </w:numPr>
        <w:spacing w:after="0" w:line="360" w:lineRule="auto"/>
        <w:jc w:val="both"/>
        <w:rPr>
          <w:rFonts w:cstheme="minorHAnsi"/>
          <w:sz w:val="24"/>
          <w:szCs w:val="24"/>
        </w:rPr>
      </w:pPr>
      <w:r>
        <w:rPr>
          <w:rFonts w:cstheme="minorHAnsi"/>
          <w:sz w:val="24"/>
          <w:szCs w:val="24"/>
        </w:rPr>
        <w:t xml:space="preserve">LA </w:t>
      </w:r>
      <w:r w:rsidR="00342A98" w:rsidRPr="00CF2AC8">
        <w:rPr>
          <w:rFonts w:cstheme="minorHAnsi"/>
          <w:sz w:val="24"/>
          <w:szCs w:val="24"/>
        </w:rPr>
        <w:t>MORTALITE INFANTO-JUVENILE</w:t>
      </w:r>
    </w:p>
    <w:tbl>
      <w:tblPr>
        <w:tblStyle w:val="Grilledutableau"/>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7"/>
        <w:gridCol w:w="252"/>
        <w:gridCol w:w="4529"/>
      </w:tblGrid>
      <w:tr w:rsidR="0096613A" w14:paraId="47A1BCA2" w14:textId="77777777" w:rsidTr="00634C71">
        <w:tc>
          <w:tcPr>
            <w:tcW w:w="4507" w:type="dxa"/>
            <w:tcBorders>
              <w:bottom w:val="single" w:sz="4" w:space="0" w:color="auto"/>
            </w:tcBorders>
          </w:tcPr>
          <w:p w14:paraId="0AA16243" w14:textId="77777777" w:rsidR="0096613A" w:rsidRDefault="0096613A" w:rsidP="004974CF">
            <w:pPr>
              <w:spacing w:line="360" w:lineRule="auto"/>
              <w:jc w:val="both"/>
              <w:rPr>
                <w:rFonts w:cstheme="minorHAnsi"/>
                <w:b/>
                <w:sz w:val="24"/>
                <w:szCs w:val="24"/>
              </w:rPr>
            </w:pPr>
            <w:r w:rsidRPr="00937032">
              <w:rPr>
                <w:noProof/>
                <w:lang w:eastAsia="fr-FR"/>
              </w:rPr>
              <w:drawing>
                <wp:inline distT="0" distB="0" distL="0" distR="0" wp14:anchorId="56D242B0" wp14:editId="5B553174">
                  <wp:extent cx="2814762" cy="2219325"/>
                  <wp:effectExtent l="0" t="0" r="0" b="0"/>
                  <wp:docPr id="12" name="Graphiqu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252" w:type="dxa"/>
            <w:tcBorders>
              <w:top w:val="nil"/>
              <w:bottom w:val="nil"/>
            </w:tcBorders>
          </w:tcPr>
          <w:p w14:paraId="6C4365C0" w14:textId="77777777" w:rsidR="0096613A" w:rsidRDefault="0096613A" w:rsidP="004974CF">
            <w:pPr>
              <w:spacing w:line="360" w:lineRule="auto"/>
              <w:jc w:val="both"/>
              <w:rPr>
                <w:rFonts w:cstheme="minorHAnsi"/>
                <w:b/>
                <w:sz w:val="24"/>
                <w:szCs w:val="24"/>
              </w:rPr>
            </w:pPr>
          </w:p>
        </w:tc>
        <w:tc>
          <w:tcPr>
            <w:tcW w:w="4529" w:type="dxa"/>
            <w:tcBorders>
              <w:bottom w:val="single" w:sz="4" w:space="0" w:color="auto"/>
            </w:tcBorders>
          </w:tcPr>
          <w:p w14:paraId="70A3668A" w14:textId="77777777" w:rsidR="0096613A" w:rsidRDefault="0096613A" w:rsidP="004974CF">
            <w:pPr>
              <w:jc w:val="both"/>
              <w:rPr>
                <w:rFonts w:cstheme="minorHAnsi"/>
                <w:b/>
                <w:sz w:val="24"/>
                <w:szCs w:val="24"/>
              </w:rPr>
            </w:pPr>
            <w:r w:rsidRPr="00937032">
              <w:rPr>
                <w:noProof/>
                <w:lang w:eastAsia="fr-FR"/>
              </w:rPr>
              <w:drawing>
                <wp:inline distT="0" distB="0" distL="0" distR="0" wp14:anchorId="6E570EF9" wp14:editId="1CE64C83">
                  <wp:extent cx="2781300" cy="2238375"/>
                  <wp:effectExtent l="0" t="0" r="0" b="0"/>
                  <wp:docPr id="13" name="Graphique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96613A" w14:paraId="11B55897" w14:textId="77777777" w:rsidTr="00DD2697">
        <w:trPr>
          <w:trHeight w:val="204"/>
        </w:trPr>
        <w:tc>
          <w:tcPr>
            <w:tcW w:w="4507" w:type="dxa"/>
            <w:tcBorders>
              <w:left w:val="nil"/>
              <w:right w:val="nil"/>
            </w:tcBorders>
          </w:tcPr>
          <w:p w14:paraId="22CE8079" w14:textId="0AD79087" w:rsidR="0096613A" w:rsidRPr="009A54F6" w:rsidRDefault="009919D8" w:rsidP="004974CF">
            <w:pPr>
              <w:rPr>
                <w:rFonts w:cstheme="minorHAnsi"/>
                <w:b/>
                <w:sz w:val="20"/>
                <w:szCs w:val="20"/>
              </w:rPr>
            </w:pPr>
            <w:r>
              <w:rPr>
                <w:rFonts w:cstheme="minorHAnsi"/>
                <w:b/>
                <w:sz w:val="20"/>
                <w:szCs w:val="20"/>
              </w:rPr>
              <w:t xml:space="preserve">Figure </w:t>
            </w:r>
            <w:r w:rsidR="002F55C9">
              <w:rPr>
                <w:rFonts w:cstheme="minorHAnsi"/>
                <w:b/>
                <w:sz w:val="20"/>
                <w:szCs w:val="20"/>
              </w:rPr>
              <w:t>5</w:t>
            </w:r>
            <w:r>
              <w:rPr>
                <w:rFonts w:cstheme="minorHAnsi"/>
                <w:b/>
                <w:sz w:val="20"/>
                <w:szCs w:val="20"/>
              </w:rPr>
              <w:t>a</w:t>
            </w:r>
            <w:r w:rsidR="0096613A" w:rsidRPr="00825475">
              <w:rPr>
                <w:rFonts w:cstheme="minorHAnsi"/>
                <w:b/>
                <w:sz w:val="20"/>
                <w:szCs w:val="20"/>
              </w:rPr>
              <w:t> : Taux de mortalité infantile (/1000</w:t>
            </w:r>
            <w:r w:rsidR="0096613A">
              <w:rPr>
                <w:rFonts w:cstheme="minorHAnsi"/>
                <w:b/>
                <w:sz w:val="20"/>
                <w:szCs w:val="20"/>
              </w:rPr>
              <w:t>)</w:t>
            </w:r>
          </w:p>
        </w:tc>
        <w:tc>
          <w:tcPr>
            <w:tcW w:w="252" w:type="dxa"/>
            <w:tcBorders>
              <w:top w:val="nil"/>
              <w:left w:val="nil"/>
              <w:bottom w:val="nil"/>
              <w:right w:val="nil"/>
            </w:tcBorders>
          </w:tcPr>
          <w:p w14:paraId="672371D4" w14:textId="77777777" w:rsidR="0096613A" w:rsidRDefault="0096613A" w:rsidP="004974CF">
            <w:pPr>
              <w:jc w:val="both"/>
              <w:rPr>
                <w:rFonts w:cstheme="minorHAnsi"/>
                <w:b/>
                <w:sz w:val="24"/>
                <w:szCs w:val="24"/>
              </w:rPr>
            </w:pPr>
          </w:p>
        </w:tc>
        <w:tc>
          <w:tcPr>
            <w:tcW w:w="4529" w:type="dxa"/>
            <w:tcBorders>
              <w:left w:val="nil"/>
              <w:bottom w:val="single" w:sz="4" w:space="0" w:color="auto"/>
              <w:right w:val="nil"/>
            </w:tcBorders>
          </w:tcPr>
          <w:p w14:paraId="55D2C3FB" w14:textId="702F5AAE" w:rsidR="0096613A" w:rsidRDefault="009919D8" w:rsidP="004974CF">
            <w:pPr>
              <w:jc w:val="both"/>
              <w:rPr>
                <w:rFonts w:cstheme="minorHAnsi"/>
                <w:b/>
                <w:sz w:val="24"/>
                <w:szCs w:val="24"/>
              </w:rPr>
            </w:pPr>
            <w:r>
              <w:rPr>
                <w:b/>
                <w:sz w:val="20"/>
                <w:szCs w:val="20"/>
              </w:rPr>
              <w:t xml:space="preserve">Figure </w:t>
            </w:r>
            <w:r w:rsidR="002F55C9">
              <w:rPr>
                <w:b/>
                <w:sz w:val="20"/>
                <w:szCs w:val="20"/>
              </w:rPr>
              <w:t>5</w:t>
            </w:r>
            <w:r>
              <w:rPr>
                <w:b/>
                <w:sz w:val="20"/>
                <w:szCs w:val="20"/>
              </w:rPr>
              <w:t>b</w:t>
            </w:r>
            <w:r w:rsidR="0096613A" w:rsidRPr="00825475">
              <w:rPr>
                <w:b/>
                <w:sz w:val="20"/>
                <w:szCs w:val="20"/>
              </w:rPr>
              <w:t xml:space="preserve"> : Taux de mortalité juvénile  </w:t>
            </w:r>
          </w:p>
        </w:tc>
      </w:tr>
      <w:tr w:rsidR="00B6709D" w14:paraId="0219CA5F" w14:textId="77777777" w:rsidTr="00DD2697">
        <w:tc>
          <w:tcPr>
            <w:tcW w:w="4507" w:type="dxa"/>
            <w:tcBorders>
              <w:bottom w:val="single" w:sz="4" w:space="0" w:color="auto"/>
            </w:tcBorders>
          </w:tcPr>
          <w:p w14:paraId="75145B9D" w14:textId="77777777" w:rsidR="00B6709D" w:rsidRPr="00825475" w:rsidRDefault="00B6709D" w:rsidP="004974CF">
            <w:pPr>
              <w:spacing w:line="360" w:lineRule="auto"/>
              <w:jc w:val="both"/>
              <w:rPr>
                <w:noProof/>
                <w:lang w:eastAsia="fr-FR"/>
              </w:rPr>
            </w:pPr>
            <w:r w:rsidRPr="003322DB">
              <w:rPr>
                <w:noProof/>
                <w:lang w:eastAsia="fr-FR"/>
              </w:rPr>
              <w:drawing>
                <wp:inline distT="0" distB="0" distL="0" distR="0" wp14:anchorId="4A12005A" wp14:editId="2FA45077">
                  <wp:extent cx="2790825" cy="2043485"/>
                  <wp:effectExtent l="0" t="0" r="0" b="0"/>
                  <wp:docPr id="14" name="Graphique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252" w:type="dxa"/>
            <w:tcBorders>
              <w:top w:val="nil"/>
              <w:bottom w:val="nil"/>
              <w:right w:val="single" w:sz="4" w:space="0" w:color="auto"/>
            </w:tcBorders>
          </w:tcPr>
          <w:p w14:paraId="290B902C" w14:textId="77777777" w:rsidR="00B6709D" w:rsidRDefault="00B6709D" w:rsidP="004974CF">
            <w:pPr>
              <w:spacing w:line="360" w:lineRule="auto"/>
              <w:jc w:val="both"/>
              <w:rPr>
                <w:rFonts w:cstheme="minorHAnsi"/>
                <w:b/>
                <w:sz w:val="24"/>
                <w:szCs w:val="24"/>
              </w:rPr>
            </w:pPr>
          </w:p>
        </w:tc>
        <w:tc>
          <w:tcPr>
            <w:tcW w:w="4529" w:type="dxa"/>
            <w:tcBorders>
              <w:top w:val="single" w:sz="4" w:space="0" w:color="auto"/>
              <w:left w:val="single" w:sz="4" w:space="0" w:color="auto"/>
              <w:bottom w:val="single" w:sz="4" w:space="0" w:color="auto"/>
              <w:right w:val="single" w:sz="4" w:space="0" w:color="auto"/>
            </w:tcBorders>
          </w:tcPr>
          <w:p w14:paraId="3BA69E75" w14:textId="0E0D809E" w:rsidR="00B6709D" w:rsidRPr="009919D8" w:rsidRDefault="002F55C9" w:rsidP="00634C71">
            <w:pPr>
              <w:autoSpaceDE w:val="0"/>
              <w:autoSpaceDN w:val="0"/>
              <w:adjustRightInd w:val="0"/>
              <w:jc w:val="both"/>
              <w:rPr>
                <w:rFonts w:cs="MS Shell Dlg 2"/>
                <w:sz w:val="24"/>
                <w:szCs w:val="24"/>
              </w:rPr>
            </w:pPr>
            <w:r w:rsidRPr="00351F63">
              <w:rPr>
                <w:noProof/>
                <w:u w:val="single"/>
                <w:lang w:eastAsia="fr-FR"/>
              </w:rPr>
              <w:drawing>
                <wp:inline distT="0" distB="0" distL="0" distR="0" wp14:anchorId="7B7079D4" wp14:editId="13DA058A">
                  <wp:extent cx="2738755" cy="2043430"/>
                  <wp:effectExtent l="0" t="0" r="4445" b="0"/>
                  <wp:docPr id="228" name="Image 2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phique 5"/>
                          <pic:cNvPicPr>
                            <a:picLocks noChangeArrowheads="1"/>
                          </pic:cNvPicPr>
                        </pic:nvPicPr>
                        <pic:blipFill>
                          <a:blip r:embed="rId16" cstate="print">
                            <a:extLst>
                              <a:ext uri="{28A0092B-C50C-407E-A947-70E740481C1C}">
                                <a14:useLocalDpi xmlns:a14="http://schemas.microsoft.com/office/drawing/2010/main" val="0"/>
                              </a:ext>
                            </a:extLst>
                          </a:blip>
                          <a:srcRect b="-32"/>
                          <a:stretch>
                            <a:fillRect/>
                          </a:stretch>
                        </pic:blipFill>
                        <pic:spPr bwMode="auto">
                          <a:xfrm>
                            <a:off x="0" y="0"/>
                            <a:ext cx="2738755" cy="2043430"/>
                          </a:xfrm>
                          <a:prstGeom prst="rect">
                            <a:avLst/>
                          </a:prstGeom>
                          <a:noFill/>
                          <a:ln>
                            <a:noFill/>
                          </a:ln>
                        </pic:spPr>
                      </pic:pic>
                    </a:graphicData>
                  </a:graphic>
                </wp:inline>
              </w:drawing>
            </w:r>
          </w:p>
        </w:tc>
      </w:tr>
      <w:tr w:rsidR="00B6709D" w14:paraId="646575CD" w14:textId="77777777" w:rsidTr="00DD2697">
        <w:tc>
          <w:tcPr>
            <w:tcW w:w="4507" w:type="dxa"/>
            <w:tcBorders>
              <w:left w:val="nil"/>
              <w:bottom w:val="nil"/>
              <w:right w:val="nil"/>
            </w:tcBorders>
          </w:tcPr>
          <w:p w14:paraId="32754626" w14:textId="71033BD4" w:rsidR="00B6709D" w:rsidRDefault="00B6709D" w:rsidP="004974CF">
            <w:pPr>
              <w:jc w:val="both"/>
              <w:rPr>
                <w:b/>
                <w:sz w:val="20"/>
                <w:szCs w:val="20"/>
              </w:rPr>
            </w:pPr>
            <w:r>
              <w:rPr>
                <w:rFonts w:cstheme="minorHAnsi"/>
                <w:b/>
                <w:sz w:val="20"/>
                <w:szCs w:val="20"/>
              </w:rPr>
              <w:t xml:space="preserve">Figure </w:t>
            </w:r>
            <w:r w:rsidR="002F55C9">
              <w:rPr>
                <w:rFonts w:cstheme="minorHAnsi"/>
                <w:b/>
                <w:sz w:val="20"/>
                <w:szCs w:val="20"/>
              </w:rPr>
              <w:t>5</w:t>
            </w:r>
            <w:r>
              <w:rPr>
                <w:rFonts w:cstheme="minorHAnsi"/>
                <w:b/>
                <w:sz w:val="20"/>
                <w:szCs w:val="20"/>
              </w:rPr>
              <w:t>c</w:t>
            </w:r>
            <w:r w:rsidRPr="00825475">
              <w:rPr>
                <w:rFonts w:cstheme="minorHAnsi"/>
                <w:b/>
                <w:sz w:val="20"/>
                <w:szCs w:val="20"/>
              </w:rPr>
              <w:t> </w:t>
            </w:r>
            <w:r>
              <w:rPr>
                <w:rFonts w:cstheme="minorHAnsi"/>
                <w:b/>
                <w:sz w:val="20"/>
                <w:szCs w:val="20"/>
              </w:rPr>
              <w:t xml:space="preserve">: Taux de mortalité des </w:t>
            </w:r>
            <w:r w:rsidRPr="00D217E9">
              <w:rPr>
                <w:rFonts w:ascii="Arial" w:hAnsi="Arial" w:cs="Arial"/>
                <w:b/>
                <w:sz w:val="20"/>
                <w:szCs w:val="20"/>
              </w:rPr>
              <w:t>&lt;</w:t>
            </w:r>
            <w:r>
              <w:rPr>
                <w:rFonts w:ascii="MS Shell Dlg 2" w:hAnsi="MS Shell Dlg 2" w:cs="MS Shell Dlg 2"/>
                <w:sz w:val="17"/>
                <w:szCs w:val="17"/>
              </w:rPr>
              <w:t xml:space="preserve"> </w:t>
            </w:r>
            <w:r w:rsidRPr="00825475">
              <w:rPr>
                <w:rFonts w:cstheme="minorHAnsi"/>
                <w:b/>
                <w:sz w:val="20"/>
                <w:szCs w:val="20"/>
              </w:rPr>
              <w:t>5 ans (/1000)</w:t>
            </w:r>
          </w:p>
        </w:tc>
        <w:tc>
          <w:tcPr>
            <w:tcW w:w="252" w:type="dxa"/>
            <w:tcBorders>
              <w:top w:val="nil"/>
              <w:left w:val="nil"/>
              <w:bottom w:val="nil"/>
              <w:right w:val="nil"/>
            </w:tcBorders>
          </w:tcPr>
          <w:p w14:paraId="5810FD04" w14:textId="77777777" w:rsidR="00B6709D" w:rsidRDefault="00B6709D" w:rsidP="004974CF">
            <w:pPr>
              <w:jc w:val="both"/>
              <w:rPr>
                <w:rFonts w:cstheme="minorHAnsi"/>
                <w:b/>
                <w:sz w:val="24"/>
                <w:szCs w:val="24"/>
              </w:rPr>
            </w:pPr>
          </w:p>
        </w:tc>
        <w:tc>
          <w:tcPr>
            <w:tcW w:w="4529" w:type="dxa"/>
            <w:tcBorders>
              <w:top w:val="single" w:sz="4" w:space="0" w:color="auto"/>
              <w:left w:val="nil"/>
              <w:bottom w:val="nil"/>
              <w:right w:val="nil"/>
            </w:tcBorders>
          </w:tcPr>
          <w:p w14:paraId="1EC771CD" w14:textId="3FD21AFE" w:rsidR="00B6709D" w:rsidRPr="00DD2697" w:rsidRDefault="00DD2697" w:rsidP="004974CF">
            <w:pPr>
              <w:jc w:val="both"/>
              <w:rPr>
                <w:b/>
                <w:noProof/>
                <w:sz w:val="18"/>
                <w:szCs w:val="18"/>
                <w:lang w:eastAsia="fr-FR"/>
              </w:rPr>
            </w:pPr>
            <w:r w:rsidRPr="00DD2697">
              <w:rPr>
                <w:b/>
                <w:noProof/>
                <w:sz w:val="18"/>
                <w:szCs w:val="18"/>
                <w:lang w:eastAsia="fr-FR"/>
              </w:rPr>
              <w:t xml:space="preserve">Figure </w:t>
            </w:r>
            <w:r w:rsidR="002F55C9">
              <w:rPr>
                <w:b/>
                <w:noProof/>
                <w:sz w:val="18"/>
                <w:szCs w:val="18"/>
                <w:lang w:eastAsia="fr-FR"/>
              </w:rPr>
              <w:t>5</w:t>
            </w:r>
            <w:r w:rsidRPr="00DD2697">
              <w:rPr>
                <w:b/>
                <w:noProof/>
                <w:sz w:val="18"/>
                <w:szCs w:val="18"/>
                <w:lang w:eastAsia="fr-FR"/>
              </w:rPr>
              <w:t xml:space="preserve">d : </w:t>
            </w:r>
            <w:r w:rsidR="002F55C9">
              <w:rPr>
                <w:b/>
                <w:noProof/>
                <w:sz w:val="18"/>
                <w:szCs w:val="18"/>
                <w:lang w:eastAsia="fr-FR"/>
              </w:rPr>
              <w:t xml:space="preserve">Taux de mortalité des moins de 5 ans/Région </w:t>
            </w:r>
          </w:p>
        </w:tc>
      </w:tr>
    </w:tbl>
    <w:p w14:paraId="23651962" w14:textId="77777777" w:rsidR="001914FF" w:rsidRDefault="001914FF" w:rsidP="004974CF">
      <w:pPr>
        <w:spacing w:after="0" w:line="360" w:lineRule="auto"/>
        <w:jc w:val="both"/>
        <w:rPr>
          <w:rFonts w:eastAsia="Times New Roman" w:cs="Arial"/>
          <w:sz w:val="23"/>
          <w:szCs w:val="23"/>
        </w:rPr>
      </w:pPr>
    </w:p>
    <w:p w14:paraId="788B8B41" w14:textId="77777777" w:rsidR="004974CF" w:rsidRPr="002F55C9" w:rsidRDefault="00B6709D" w:rsidP="002F55C9">
      <w:pPr>
        <w:spacing w:after="0"/>
        <w:jc w:val="both"/>
        <w:rPr>
          <w:rFonts w:cstheme="minorHAnsi"/>
          <w:iCs/>
          <w:color w:val="000000"/>
          <w:sz w:val="24"/>
          <w:szCs w:val="24"/>
        </w:rPr>
      </w:pPr>
      <w:r w:rsidRPr="002F55C9">
        <w:rPr>
          <w:rFonts w:cstheme="minorHAnsi"/>
          <w:sz w:val="24"/>
          <w:szCs w:val="24"/>
        </w:rPr>
        <w:t>De 1999 à 2015, le taux de mortalité infantile est passé de 105 à 43</w:t>
      </w:r>
      <w:r w:rsidRPr="002F55C9">
        <w:rPr>
          <w:rFonts w:cstheme="minorHAnsi"/>
          <w:iCs/>
          <w:color w:val="000000"/>
          <w:sz w:val="24"/>
          <w:szCs w:val="24"/>
        </w:rPr>
        <w:t>‰</w:t>
      </w:r>
      <w:r w:rsidRPr="002F55C9">
        <w:rPr>
          <w:rFonts w:cstheme="minorHAnsi"/>
          <w:sz w:val="24"/>
          <w:szCs w:val="24"/>
        </w:rPr>
        <w:t>, le taux de mortalité juvénile de 127 à 41</w:t>
      </w:r>
      <w:r w:rsidRPr="002F55C9">
        <w:rPr>
          <w:rFonts w:cstheme="minorHAnsi"/>
          <w:iCs/>
          <w:color w:val="000000"/>
          <w:sz w:val="24"/>
          <w:szCs w:val="24"/>
        </w:rPr>
        <w:t>‰</w:t>
      </w:r>
      <w:r w:rsidRPr="002F55C9">
        <w:rPr>
          <w:rFonts w:cstheme="minorHAnsi"/>
          <w:sz w:val="24"/>
          <w:szCs w:val="24"/>
        </w:rPr>
        <w:t xml:space="preserve"> et celui de la mortalité des </w:t>
      </w:r>
      <w:r w:rsidRPr="002F55C9">
        <w:rPr>
          <w:rFonts w:cs="Arial"/>
          <w:sz w:val="24"/>
          <w:szCs w:val="24"/>
        </w:rPr>
        <w:t>&lt;</w:t>
      </w:r>
      <w:r w:rsidRPr="002F55C9">
        <w:rPr>
          <w:rFonts w:cstheme="minorHAnsi"/>
          <w:sz w:val="24"/>
          <w:szCs w:val="24"/>
        </w:rPr>
        <w:t xml:space="preserve"> 5 ans de 219 à 82</w:t>
      </w:r>
      <w:r w:rsidRPr="002F55C9">
        <w:rPr>
          <w:rFonts w:cstheme="minorHAnsi"/>
          <w:iCs/>
          <w:color w:val="000000"/>
          <w:sz w:val="24"/>
          <w:szCs w:val="24"/>
        </w:rPr>
        <w:t>‰</w:t>
      </w:r>
      <w:r w:rsidRPr="002F55C9">
        <w:rPr>
          <w:rFonts w:cstheme="minorHAnsi"/>
          <w:sz w:val="24"/>
          <w:szCs w:val="24"/>
        </w:rPr>
        <w:t xml:space="preserve">. La réduction des taux de mortalité a une allure linéaire avec </w:t>
      </w:r>
      <w:r w:rsidRPr="002F55C9">
        <w:rPr>
          <w:rFonts w:cstheme="minorHAnsi"/>
          <w:color w:val="000000"/>
          <w:sz w:val="24"/>
          <w:szCs w:val="24"/>
        </w:rPr>
        <w:t xml:space="preserve">67,9 % pour </w:t>
      </w:r>
      <w:r w:rsidRPr="002F55C9">
        <w:rPr>
          <w:rFonts w:cstheme="minorHAnsi"/>
          <w:sz w:val="24"/>
          <w:szCs w:val="24"/>
        </w:rPr>
        <w:t xml:space="preserve">le </w:t>
      </w:r>
      <w:r w:rsidRPr="002F55C9">
        <w:rPr>
          <w:rFonts w:cstheme="minorHAnsi"/>
          <w:color w:val="000000"/>
          <w:sz w:val="24"/>
          <w:szCs w:val="24"/>
        </w:rPr>
        <w:t xml:space="preserve">Taux de Mortalité juvénile, </w:t>
      </w:r>
      <w:r w:rsidRPr="002F55C9">
        <w:rPr>
          <w:rFonts w:cstheme="minorHAnsi"/>
          <w:sz w:val="24"/>
          <w:szCs w:val="24"/>
        </w:rPr>
        <w:t xml:space="preserve">62,7 % pour </w:t>
      </w:r>
      <w:r w:rsidRPr="002F55C9">
        <w:rPr>
          <w:rFonts w:cstheme="minorHAnsi"/>
          <w:color w:val="000000"/>
          <w:sz w:val="24"/>
          <w:szCs w:val="24"/>
        </w:rPr>
        <w:t xml:space="preserve">le </w:t>
      </w:r>
      <w:r w:rsidRPr="002F55C9">
        <w:rPr>
          <w:rFonts w:cstheme="minorHAnsi"/>
          <w:iCs/>
          <w:color w:val="000000"/>
          <w:sz w:val="24"/>
          <w:szCs w:val="24"/>
        </w:rPr>
        <w:t xml:space="preserve">Taux de mortalité </w:t>
      </w:r>
      <w:r w:rsidRPr="002F55C9">
        <w:rPr>
          <w:rFonts w:cstheme="minorHAnsi"/>
          <w:sz w:val="24"/>
          <w:szCs w:val="24"/>
        </w:rPr>
        <w:t xml:space="preserve">des </w:t>
      </w:r>
      <w:r w:rsidRPr="002F55C9">
        <w:rPr>
          <w:rFonts w:cs="Arial"/>
          <w:sz w:val="24"/>
          <w:szCs w:val="24"/>
        </w:rPr>
        <w:t>&lt;</w:t>
      </w:r>
      <w:r w:rsidRPr="002F55C9">
        <w:rPr>
          <w:rFonts w:cstheme="minorHAnsi"/>
          <w:sz w:val="24"/>
          <w:szCs w:val="24"/>
        </w:rPr>
        <w:t xml:space="preserve"> 5 ans et </w:t>
      </w:r>
      <w:r w:rsidRPr="002F55C9">
        <w:rPr>
          <w:rFonts w:cstheme="minorHAnsi"/>
          <w:iCs/>
          <w:color w:val="000000"/>
          <w:sz w:val="24"/>
          <w:szCs w:val="24"/>
        </w:rPr>
        <w:t xml:space="preserve">59,4%) pour </w:t>
      </w:r>
      <w:r w:rsidRPr="002F55C9">
        <w:rPr>
          <w:rFonts w:cstheme="minorHAnsi"/>
          <w:sz w:val="24"/>
          <w:szCs w:val="24"/>
        </w:rPr>
        <w:t xml:space="preserve">le </w:t>
      </w:r>
      <w:r w:rsidRPr="002F55C9">
        <w:rPr>
          <w:rFonts w:cstheme="minorHAnsi"/>
          <w:iCs/>
          <w:color w:val="000000"/>
          <w:sz w:val="24"/>
          <w:szCs w:val="24"/>
        </w:rPr>
        <w:t>Taux de mortalité infantile. Cependant la progression est insuffisante pour atteindre la cible (2015) du PNDS 2011-20, ou celle des OMD ou de la SCADD</w:t>
      </w:r>
      <w:r w:rsidR="003C55D0" w:rsidRPr="002F55C9">
        <w:rPr>
          <w:rFonts w:cstheme="minorHAnsi"/>
          <w:iCs/>
          <w:color w:val="000000"/>
          <w:sz w:val="24"/>
          <w:szCs w:val="24"/>
        </w:rPr>
        <w:t xml:space="preserve"> </w:t>
      </w:r>
      <w:r w:rsidR="003C55D0" w:rsidRPr="002F55C9">
        <w:rPr>
          <w:rFonts w:cstheme="minorHAnsi"/>
          <w:i/>
          <w:iCs/>
          <w:color w:val="000000"/>
          <w:sz w:val="24"/>
          <w:szCs w:val="24"/>
        </w:rPr>
        <w:t>(EDS 1998-99, EDS 2003, EDS 2010, EMDS 2015)</w:t>
      </w:r>
      <w:r w:rsidRPr="002F55C9">
        <w:rPr>
          <w:rFonts w:cstheme="minorHAnsi"/>
          <w:i/>
          <w:iCs/>
          <w:color w:val="000000"/>
          <w:sz w:val="24"/>
          <w:szCs w:val="24"/>
        </w:rPr>
        <w:t>.</w:t>
      </w:r>
    </w:p>
    <w:p w14:paraId="271E5980" w14:textId="77777777" w:rsidR="002F55C9" w:rsidRDefault="002F55C9" w:rsidP="002F55C9">
      <w:pPr>
        <w:pStyle w:val="Paragraphedeliste"/>
        <w:spacing w:after="0"/>
        <w:ind w:left="0"/>
        <w:jc w:val="both"/>
        <w:rPr>
          <w:sz w:val="24"/>
          <w:szCs w:val="24"/>
        </w:rPr>
      </w:pPr>
      <w:r w:rsidRPr="002F55C9">
        <w:rPr>
          <w:sz w:val="24"/>
          <w:szCs w:val="24"/>
        </w:rPr>
        <w:t>La mortalité des moins de cinq ans est élevée dans les régions du sahel (146</w:t>
      </w:r>
      <w:r w:rsidRPr="002F55C9">
        <w:rPr>
          <w:rFonts w:eastAsia="Calibri" w:cs="Gisha"/>
          <w:i/>
          <w:sz w:val="24"/>
          <w:szCs w:val="24"/>
        </w:rPr>
        <w:t>‰</w:t>
      </w:r>
      <w:r w:rsidRPr="002F55C9">
        <w:rPr>
          <w:sz w:val="24"/>
          <w:szCs w:val="24"/>
        </w:rPr>
        <w:t>), hauts-Bassins (122</w:t>
      </w:r>
      <w:r w:rsidRPr="002F55C9">
        <w:rPr>
          <w:rFonts w:eastAsia="Calibri" w:cs="Gisha"/>
          <w:i/>
          <w:sz w:val="24"/>
          <w:szCs w:val="24"/>
        </w:rPr>
        <w:t>‰</w:t>
      </w:r>
      <w:r w:rsidRPr="002F55C9">
        <w:rPr>
          <w:sz w:val="24"/>
          <w:szCs w:val="24"/>
        </w:rPr>
        <w:t>), Boucle du Mouhoun (103</w:t>
      </w:r>
      <w:r w:rsidRPr="002F55C9">
        <w:rPr>
          <w:rFonts w:eastAsia="Calibri" w:cs="Gisha"/>
          <w:i/>
          <w:sz w:val="24"/>
          <w:szCs w:val="24"/>
        </w:rPr>
        <w:t>‰</w:t>
      </w:r>
      <w:r w:rsidRPr="002F55C9">
        <w:rPr>
          <w:sz w:val="24"/>
          <w:szCs w:val="24"/>
        </w:rPr>
        <w:t>), Sud-Ouest (101</w:t>
      </w:r>
      <w:r w:rsidRPr="002F55C9">
        <w:rPr>
          <w:rFonts w:eastAsia="Calibri" w:cs="Gisha"/>
          <w:i/>
          <w:sz w:val="24"/>
          <w:szCs w:val="24"/>
        </w:rPr>
        <w:t>‰</w:t>
      </w:r>
      <w:r w:rsidRPr="002F55C9">
        <w:rPr>
          <w:sz w:val="24"/>
          <w:szCs w:val="24"/>
        </w:rPr>
        <w:t>), Est (100</w:t>
      </w:r>
      <w:bookmarkStart w:id="1" w:name="_Hlk527921784"/>
      <w:r w:rsidRPr="002F55C9">
        <w:rPr>
          <w:rFonts w:eastAsia="Calibri" w:cs="Gisha"/>
          <w:i/>
          <w:sz w:val="24"/>
          <w:szCs w:val="24"/>
        </w:rPr>
        <w:t>‰</w:t>
      </w:r>
      <w:bookmarkEnd w:id="1"/>
      <w:r w:rsidRPr="002F55C9">
        <w:rPr>
          <w:sz w:val="24"/>
          <w:szCs w:val="24"/>
        </w:rPr>
        <w:t>), cascades (95</w:t>
      </w:r>
      <w:r w:rsidRPr="002F55C9">
        <w:rPr>
          <w:rFonts w:eastAsia="Calibri" w:cs="Gisha"/>
          <w:i/>
          <w:sz w:val="24"/>
          <w:szCs w:val="24"/>
        </w:rPr>
        <w:t>‰</w:t>
      </w:r>
      <w:r w:rsidRPr="002F55C9">
        <w:rPr>
          <w:sz w:val="24"/>
          <w:szCs w:val="24"/>
        </w:rPr>
        <w:t>), Centre-Nord (93</w:t>
      </w:r>
      <w:r w:rsidRPr="002F55C9">
        <w:rPr>
          <w:rFonts w:eastAsia="Calibri" w:cs="Gisha"/>
          <w:i/>
          <w:sz w:val="24"/>
          <w:szCs w:val="24"/>
        </w:rPr>
        <w:t>‰</w:t>
      </w:r>
      <w:r w:rsidRPr="002F55C9">
        <w:rPr>
          <w:sz w:val="24"/>
          <w:szCs w:val="24"/>
        </w:rPr>
        <w:t>), Centre-Sud (89</w:t>
      </w:r>
      <w:r w:rsidRPr="002F55C9">
        <w:rPr>
          <w:rFonts w:eastAsia="Calibri" w:cs="Gisha"/>
          <w:i/>
          <w:sz w:val="24"/>
          <w:szCs w:val="24"/>
        </w:rPr>
        <w:t>‰</w:t>
      </w:r>
      <w:r w:rsidRPr="002F55C9">
        <w:rPr>
          <w:sz w:val="24"/>
          <w:szCs w:val="24"/>
        </w:rPr>
        <w:t xml:space="preserve">). </w:t>
      </w:r>
    </w:p>
    <w:p w14:paraId="525C5300" w14:textId="3087C0DC" w:rsidR="002F55C9" w:rsidRDefault="002F55C9" w:rsidP="00292C96">
      <w:pPr>
        <w:spacing w:after="0"/>
        <w:jc w:val="both"/>
        <w:rPr>
          <w:sz w:val="24"/>
          <w:szCs w:val="24"/>
        </w:rPr>
      </w:pPr>
      <w:r>
        <w:rPr>
          <w:sz w:val="24"/>
          <w:szCs w:val="24"/>
        </w:rPr>
        <w:t>Le taux de mortalité infanto-juvénile est plus élevé en milieu rural soit 97</w:t>
      </w:r>
      <w:r w:rsidRPr="002F55C9">
        <w:rPr>
          <w:rFonts w:eastAsia="Calibri" w:cs="Gisha"/>
          <w:i/>
          <w:sz w:val="24"/>
          <w:szCs w:val="24"/>
        </w:rPr>
        <w:t>‰</w:t>
      </w:r>
      <w:r>
        <w:rPr>
          <w:sz w:val="24"/>
          <w:szCs w:val="24"/>
        </w:rPr>
        <w:t xml:space="preserve"> contre 57</w:t>
      </w:r>
      <w:r w:rsidRPr="002F55C9">
        <w:rPr>
          <w:rFonts w:eastAsia="Calibri" w:cs="Gisha"/>
          <w:i/>
          <w:sz w:val="24"/>
          <w:szCs w:val="24"/>
        </w:rPr>
        <w:t>‰</w:t>
      </w:r>
      <w:r>
        <w:rPr>
          <w:sz w:val="24"/>
          <w:szCs w:val="24"/>
        </w:rPr>
        <w:t xml:space="preserve"> en milieu urbain.</w:t>
      </w:r>
    </w:p>
    <w:p w14:paraId="5A0E2450" w14:textId="15FE78BC" w:rsidR="00292C96" w:rsidRDefault="00292C96" w:rsidP="00292C96">
      <w:pPr>
        <w:spacing w:after="0"/>
        <w:jc w:val="both"/>
        <w:rPr>
          <w:sz w:val="24"/>
        </w:rPr>
      </w:pPr>
      <w:r w:rsidRPr="00E133DE">
        <w:rPr>
          <w:sz w:val="24"/>
        </w:rPr>
        <w:t xml:space="preserve">Le taux de mortalité infanto-juvénile est beaucoup plus élevée dans la population la plus pauvre (103 </w:t>
      </w:r>
      <w:r w:rsidRPr="00E133DE">
        <w:rPr>
          <w:rFonts w:ascii="Calibri" w:eastAsia="Calibri" w:hAnsi="Calibri" w:cs="Gisha"/>
          <w:sz w:val="24"/>
          <w:szCs w:val="24"/>
        </w:rPr>
        <w:t>‰</w:t>
      </w:r>
      <w:r w:rsidRPr="00E133DE">
        <w:rPr>
          <w:rFonts w:cs="Gisha"/>
          <w:sz w:val="24"/>
          <w:szCs w:val="24"/>
        </w:rPr>
        <w:t>) que dans la population la plus riche (66</w:t>
      </w:r>
      <w:r w:rsidRPr="00E133DE">
        <w:rPr>
          <w:rFonts w:ascii="Calibri" w:eastAsia="Calibri" w:hAnsi="Calibri" w:cs="Gisha"/>
          <w:sz w:val="24"/>
          <w:szCs w:val="24"/>
        </w:rPr>
        <w:t>‰</w:t>
      </w:r>
      <w:r w:rsidRPr="00E133DE">
        <w:rPr>
          <w:rFonts w:cs="Gisha"/>
          <w:sz w:val="24"/>
          <w:szCs w:val="24"/>
        </w:rPr>
        <w:t>)</w:t>
      </w:r>
      <w:r w:rsidRPr="00E133DE">
        <w:rPr>
          <w:sz w:val="24"/>
        </w:rPr>
        <w:t>.</w:t>
      </w:r>
    </w:p>
    <w:p w14:paraId="36F1A80C" w14:textId="17EB091B" w:rsidR="00292C96" w:rsidRPr="00292C96" w:rsidRDefault="00292C96" w:rsidP="00292C96">
      <w:pPr>
        <w:spacing w:after="0"/>
        <w:jc w:val="both"/>
        <w:rPr>
          <w:sz w:val="24"/>
          <w:szCs w:val="24"/>
        </w:rPr>
      </w:pPr>
      <w:r w:rsidRPr="00292C96">
        <w:rPr>
          <w:sz w:val="24"/>
          <w:szCs w:val="24"/>
        </w:rPr>
        <w:lastRenderedPageBreak/>
        <w:t xml:space="preserve">Les facteurs d’inéquité concernant la mortalité infanto-juvénile touchent aussi bien la répartition géographique (région), la zone de résidence que le niveau socio-économique. Plus l’on retrouve dans le groupe le plus défavorisé, plus le taux de mortalité est élevé. </w:t>
      </w:r>
    </w:p>
    <w:p w14:paraId="79037634" w14:textId="4CA99016" w:rsidR="0061244B" w:rsidRPr="00292C96" w:rsidRDefault="0061244B" w:rsidP="00292C96">
      <w:pPr>
        <w:pStyle w:val="Paragraphedeliste"/>
        <w:spacing w:after="0"/>
        <w:ind w:left="0"/>
        <w:jc w:val="both"/>
        <w:rPr>
          <w:sz w:val="24"/>
          <w:szCs w:val="24"/>
        </w:rPr>
      </w:pPr>
      <w:r w:rsidRPr="00292C96">
        <w:rPr>
          <w:sz w:val="24"/>
          <w:szCs w:val="24"/>
        </w:rPr>
        <w:t xml:space="preserve">La mortalité infanto-juvénile est due essentiellement au paludisme (23,8%), aux infections respiratoires aiguës (13,4%) et aux diarrhées (11,5%), </w:t>
      </w:r>
      <w:r w:rsidRPr="00292C96">
        <w:rPr>
          <w:rFonts w:eastAsia="Calibri"/>
          <w:sz w:val="24"/>
          <w:szCs w:val="24"/>
        </w:rPr>
        <w:t>aux causes néonatales (22.2%), à la rougeole (3%) et au VIH/ SIDA (0.7%)</w:t>
      </w:r>
      <w:r w:rsidR="002560F3" w:rsidRPr="00292C96">
        <w:rPr>
          <w:rStyle w:val="Appelnotedebasdep"/>
          <w:rFonts w:eastAsia="Calibri"/>
          <w:sz w:val="24"/>
          <w:szCs w:val="24"/>
        </w:rPr>
        <w:footnoteReference w:id="19"/>
      </w:r>
      <w:r w:rsidRPr="00292C96">
        <w:rPr>
          <w:sz w:val="24"/>
          <w:szCs w:val="24"/>
        </w:rPr>
        <w:t>. Un tiers des décès survient sur un terrain malnutri</w:t>
      </w:r>
      <w:r w:rsidRPr="00292C96">
        <w:rPr>
          <w:rStyle w:val="Appelnotedebasdep"/>
          <w:sz w:val="24"/>
          <w:szCs w:val="24"/>
        </w:rPr>
        <w:footnoteReference w:id="20"/>
      </w:r>
      <w:r w:rsidR="002560F3" w:rsidRPr="00292C96">
        <w:rPr>
          <w:sz w:val="24"/>
          <w:szCs w:val="24"/>
        </w:rPr>
        <w:t> .</w:t>
      </w:r>
    </w:p>
    <w:p w14:paraId="20098857" w14:textId="77777777" w:rsidR="00292C96" w:rsidRPr="00292C96" w:rsidRDefault="00292C96" w:rsidP="00292C96">
      <w:pPr>
        <w:pStyle w:val="Paragraphedeliste"/>
        <w:spacing w:after="0"/>
        <w:ind w:left="0"/>
        <w:jc w:val="both"/>
        <w:rPr>
          <w:sz w:val="24"/>
          <w:szCs w:val="24"/>
        </w:rPr>
      </w:pPr>
    </w:p>
    <w:p w14:paraId="14DA9D7B" w14:textId="3C475E98" w:rsidR="00A00341" w:rsidRPr="00843FC2" w:rsidRDefault="00A00341" w:rsidP="00843FC2">
      <w:pPr>
        <w:pStyle w:val="Paragraphedeliste"/>
        <w:numPr>
          <w:ilvl w:val="2"/>
          <w:numId w:val="1"/>
        </w:numPr>
        <w:spacing w:after="0" w:line="360" w:lineRule="auto"/>
        <w:jc w:val="both"/>
        <w:rPr>
          <w:bCs/>
          <w:sz w:val="24"/>
          <w:szCs w:val="24"/>
        </w:rPr>
      </w:pPr>
      <w:r w:rsidRPr="00843FC2">
        <w:rPr>
          <w:bCs/>
          <w:sz w:val="24"/>
          <w:szCs w:val="24"/>
        </w:rPr>
        <w:t>LA SANTE DU JEUNE ENFANT</w:t>
      </w:r>
    </w:p>
    <w:p w14:paraId="21D84370" w14:textId="77777777" w:rsidR="00E9334F" w:rsidRPr="00292C96" w:rsidRDefault="00E9334F" w:rsidP="00292C96">
      <w:pPr>
        <w:autoSpaceDE w:val="0"/>
        <w:autoSpaceDN w:val="0"/>
        <w:adjustRightInd w:val="0"/>
        <w:spacing w:after="180"/>
        <w:jc w:val="both"/>
        <w:rPr>
          <w:sz w:val="24"/>
          <w:szCs w:val="24"/>
        </w:rPr>
      </w:pPr>
      <w:r w:rsidRPr="00292C96">
        <w:rPr>
          <w:sz w:val="24"/>
          <w:szCs w:val="24"/>
        </w:rPr>
        <w:t>Il n’existe pas de programme national particulier visant la santé des enfants de 6 à 11 ans et le système de santé n’offre pas une réponse adéquate en quantité et en qualité aux besoins des adolescent(e)s en matière de santé.</w:t>
      </w:r>
    </w:p>
    <w:p w14:paraId="009FEBAB" w14:textId="77777777" w:rsidR="0099370E" w:rsidRPr="00292C96" w:rsidRDefault="0099370E" w:rsidP="00292C96">
      <w:pPr>
        <w:spacing w:after="240"/>
        <w:jc w:val="both"/>
        <w:rPr>
          <w:sz w:val="24"/>
          <w:szCs w:val="24"/>
        </w:rPr>
      </w:pPr>
      <w:r w:rsidRPr="00292C96">
        <w:rPr>
          <w:rFonts w:eastAsia="Calibri"/>
          <w:sz w:val="24"/>
          <w:szCs w:val="24"/>
        </w:rPr>
        <w:t>L’exposition précoce des enfants âgés de 6 à 11 ans aux comportements à haut risque pour leur santé est sous-tendue par la faiblesse de leurs compétences de vie courante et les lacunes dans la chaîne de transmission des valeurs leur permettant de se prémunir contre les comportements à risques. Il est également à noter une insuffisante prise en compte des besoins spécifiques des enfants dans l’offre de santé, particulièrement ceux en situation de handicap. En outre, les soins et services de santé sont coûteux et leur disponibilité en termes d’horaires est inadaptée au contexte scolaire</w:t>
      </w:r>
      <w:r w:rsidRPr="00292C96">
        <w:rPr>
          <w:rStyle w:val="Appelnotedebasdep"/>
          <w:rFonts w:eastAsia="Calibri"/>
          <w:sz w:val="24"/>
          <w:szCs w:val="24"/>
        </w:rPr>
        <w:footnoteReference w:id="21"/>
      </w:r>
      <w:r w:rsidRPr="00292C96">
        <w:rPr>
          <w:rFonts w:eastAsia="Calibri"/>
          <w:sz w:val="24"/>
          <w:szCs w:val="24"/>
        </w:rPr>
        <w:t xml:space="preserve">. </w:t>
      </w:r>
      <w:r w:rsidRPr="00292C96">
        <w:rPr>
          <w:sz w:val="24"/>
          <w:szCs w:val="24"/>
        </w:rPr>
        <w:t xml:space="preserve">La malnutrition des enfants de 6-11 ans est sous-tendue par trois principales causes sous-jacentes : (i) l’alimentation inadéquate ; (ii) l’inexistence d’un environnement protecteur de l’enfant ; et (iii) la faible accessibilité des soins de santé et des infrastructures d’eau et d’assainissement. </w:t>
      </w:r>
    </w:p>
    <w:p w14:paraId="1220B9A5" w14:textId="77777777" w:rsidR="00DD2697" w:rsidRDefault="00AE065C" w:rsidP="00843FC2">
      <w:pPr>
        <w:pStyle w:val="Paragraphedeliste"/>
        <w:numPr>
          <w:ilvl w:val="2"/>
          <w:numId w:val="1"/>
        </w:numPr>
        <w:spacing w:after="0" w:line="360" w:lineRule="auto"/>
        <w:jc w:val="both"/>
        <w:rPr>
          <w:rFonts w:eastAsia="Times New Roman" w:cs="Arial"/>
          <w:sz w:val="23"/>
          <w:szCs w:val="23"/>
        </w:rPr>
      </w:pPr>
      <w:r>
        <w:rPr>
          <w:rFonts w:eastAsia="Times New Roman" w:cs="Arial"/>
          <w:sz w:val="23"/>
          <w:szCs w:val="23"/>
        </w:rPr>
        <w:t xml:space="preserve"> </w:t>
      </w:r>
      <w:r w:rsidR="00C95B64">
        <w:rPr>
          <w:rFonts w:eastAsia="Times New Roman" w:cs="Arial"/>
          <w:sz w:val="23"/>
          <w:szCs w:val="23"/>
        </w:rPr>
        <w:t>LA SANTE DES ADOLESCENT(E)S/JEUNES</w:t>
      </w:r>
    </w:p>
    <w:p w14:paraId="0C7E9D1A" w14:textId="5D8B0653" w:rsidR="00AE065C" w:rsidRDefault="00AE065C" w:rsidP="00292C96">
      <w:pPr>
        <w:spacing w:after="0"/>
        <w:jc w:val="both"/>
        <w:rPr>
          <w:rFonts w:eastAsia="Times New Roman" w:cs="Arial"/>
          <w:sz w:val="24"/>
          <w:szCs w:val="24"/>
        </w:rPr>
      </w:pPr>
      <w:r w:rsidRPr="00292C96">
        <w:rPr>
          <w:rFonts w:eastAsia="Times New Roman" w:cs="Arial"/>
          <w:sz w:val="24"/>
          <w:szCs w:val="24"/>
        </w:rPr>
        <w:t>Si d’une manière générale, l’état de santé des populations est mal documenté par des enquêtes et ou par des publications récentes, la situation de la santé des adolescents/jeunes est particulièrement mal desservie.</w:t>
      </w:r>
    </w:p>
    <w:p w14:paraId="4A2CB54C" w14:textId="77777777" w:rsidR="00843FC2" w:rsidRPr="006435D4" w:rsidRDefault="00843FC2" w:rsidP="00843FC2">
      <w:pPr>
        <w:pStyle w:val="Titre1"/>
        <w:spacing w:after="0"/>
        <w:rPr>
          <w:rFonts w:eastAsia="Calibri"/>
          <w:b w:val="0"/>
          <w:caps w:val="0"/>
          <w:color w:val="auto"/>
          <w:sz w:val="22"/>
          <w:szCs w:val="22"/>
        </w:rPr>
      </w:pPr>
      <w:r w:rsidRPr="006435D4">
        <w:rPr>
          <w:rFonts w:eastAsia="Calibri"/>
          <w:b w:val="0"/>
          <w:caps w:val="0"/>
          <w:color w:val="auto"/>
          <w:sz w:val="22"/>
          <w:szCs w:val="22"/>
        </w:rPr>
        <w:t xml:space="preserve">La santé sexuelle et reproductive des adolescents/jeunes présente les caractéristiques suivantes : </w:t>
      </w:r>
    </w:p>
    <w:p w14:paraId="3033F708" w14:textId="77777777" w:rsidR="00843FC2" w:rsidRPr="001E2F3F" w:rsidRDefault="00843FC2" w:rsidP="00843FC2">
      <w:pPr>
        <w:spacing w:after="0"/>
        <w:jc w:val="both"/>
        <w:rPr>
          <w:sz w:val="24"/>
          <w:szCs w:val="24"/>
        </w:rPr>
      </w:pPr>
      <w:r w:rsidRPr="001E2F3F">
        <w:rPr>
          <w:b/>
          <w:sz w:val="24"/>
          <w:szCs w:val="24"/>
        </w:rPr>
        <w:t>Une activité sexuelle précoce</w:t>
      </w:r>
      <w:r w:rsidRPr="001E2F3F">
        <w:rPr>
          <w:sz w:val="24"/>
          <w:szCs w:val="24"/>
        </w:rPr>
        <w:t> </w:t>
      </w:r>
    </w:p>
    <w:p w14:paraId="5498C040" w14:textId="77777777" w:rsidR="00843FC2" w:rsidRPr="001E2F3F" w:rsidRDefault="00843FC2" w:rsidP="00843FC2">
      <w:pPr>
        <w:spacing w:after="0"/>
        <w:jc w:val="both"/>
        <w:rPr>
          <w:sz w:val="24"/>
          <w:szCs w:val="24"/>
        </w:rPr>
      </w:pPr>
      <w:r w:rsidRPr="001E2F3F">
        <w:rPr>
          <w:sz w:val="24"/>
          <w:szCs w:val="24"/>
        </w:rPr>
        <w:t>Le pourcentage des adolescents (9 – 14 ans) qui ont eu des rapports sexuels avant l’âge de 15 ans va de 12 à 20,5% pour les filles et de 13,9 à 7 % pour les garçons. Le pourcentage des jeunes (20 – 24 ans) qui ont eu des rapports sexuels avant l’âge de 15 ans va de 10,3 à 21,5 % pour les filles et de 7,5 à 27,4 % pour les jeunes hommes (Tableau).</w:t>
      </w:r>
    </w:p>
    <w:p w14:paraId="031448FF" w14:textId="77777777" w:rsidR="00843FC2" w:rsidRPr="001E2F3F" w:rsidRDefault="00843FC2" w:rsidP="00843FC2">
      <w:pPr>
        <w:pStyle w:val="Titre1"/>
        <w:spacing w:before="0" w:after="0"/>
        <w:rPr>
          <w:rFonts w:eastAsia="Calibri"/>
          <w:b w:val="0"/>
          <w:caps w:val="0"/>
          <w:color w:val="auto"/>
          <w:sz w:val="24"/>
          <w:szCs w:val="24"/>
        </w:rPr>
      </w:pPr>
      <w:r w:rsidRPr="001E2F3F">
        <w:rPr>
          <w:rFonts w:eastAsia="Calibri"/>
          <w:caps w:val="0"/>
          <w:color w:val="auto"/>
          <w:sz w:val="24"/>
          <w:szCs w:val="24"/>
        </w:rPr>
        <w:t>Une entrée précoce dans la vie féconde</w:t>
      </w:r>
      <w:r w:rsidRPr="001E2F3F">
        <w:rPr>
          <w:rFonts w:eastAsia="Calibri"/>
          <w:b w:val="0"/>
          <w:caps w:val="0"/>
          <w:color w:val="auto"/>
          <w:sz w:val="24"/>
          <w:szCs w:val="24"/>
        </w:rPr>
        <w:t xml:space="preserve"> </w:t>
      </w:r>
    </w:p>
    <w:p w14:paraId="3C4107C6" w14:textId="77777777" w:rsidR="00843FC2" w:rsidRPr="001E2F3F" w:rsidRDefault="00843FC2" w:rsidP="00843FC2">
      <w:pPr>
        <w:spacing w:after="0"/>
        <w:jc w:val="both"/>
        <w:rPr>
          <w:sz w:val="24"/>
          <w:szCs w:val="24"/>
        </w:rPr>
      </w:pPr>
      <w:r w:rsidRPr="001E2F3F">
        <w:rPr>
          <w:sz w:val="24"/>
          <w:szCs w:val="24"/>
        </w:rPr>
        <w:t xml:space="preserve">Parmi la population des adolescentes, 23,2 à 25 % d’entre elles sont déjà entrées dans la vie féconde avec 17,4 à 20 % d’entre elles qui sont déjà mères d’un enfant et 4,9 à 5,8 % qui sont enceintes pour la première fois (Tableau). Avec de 27,8 à 29,2 % pour 11,3 à 14 %, l’entrée </w:t>
      </w:r>
      <w:r w:rsidRPr="001E2F3F">
        <w:rPr>
          <w:sz w:val="24"/>
          <w:szCs w:val="24"/>
        </w:rPr>
        <w:lastRenderedPageBreak/>
        <w:t>dans la vie féconde des adolescentes du monde rurale est encore plus précoce que celles des zones urbaines</w:t>
      </w:r>
      <w:r w:rsidRPr="001E2F3F">
        <w:rPr>
          <w:rStyle w:val="Appelnotedebasdep"/>
          <w:sz w:val="24"/>
          <w:szCs w:val="24"/>
        </w:rPr>
        <w:footnoteReference w:id="22"/>
      </w:r>
      <w:r w:rsidRPr="001E2F3F">
        <w:rPr>
          <w:sz w:val="24"/>
          <w:szCs w:val="24"/>
        </w:rPr>
        <w:t xml:space="preserve">. </w:t>
      </w:r>
    </w:p>
    <w:p w14:paraId="0B1D939E" w14:textId="77777777" w:rsidR="00843FC2" w:rsidRPr="00292C96" w:rsidRDefault="00843FC2" w:rsidP="00292C96">
      <w:pPr>
        <w:spacing w:after="0"/>
        <w:jc w:val="both"/>
        <w:rPr>
          <w:rFonts w:eastAsia="Times New Roman" w:cs="Arial"/>
          <w:sz w:val="24"/>
          <w:szCs w:val="24"/>
        </w:rPr>
      </w:pPr>
    </w:p>
    <w:tbl>
      <w:tblPr>
        <w:tblStyle w:val="Grilledutableau"/>
        <w:tblW w:w="8954" w:type="dxa"/>
        <w:tblInd w:w="113" w:type="dxa"/>
        <w:tblLook w:val="04A0" w:firstRow="1" w:lastRow="0" w:firstColumn="1" w:lastColumn="0" w:noHBand="0" w:noVBand="1"/>
      </w:tblPr>
      <w:tblGrid>
        <w:gridCol w:w="449"/>
        <w:gridCol w:w="4018"/>
        <w:gridCol w:w="641"/>
        <w:gridCol w:w="641"/>
        <w:gridCol w:w="641"/>
        <w:gridCol w:w="641"/>
        <w:gridCol w:w="641"/>
        <w:gridCol w:w="641"/>
        <w:gridCol w:w="641"/>
      </w:tblGrid>
      <w:tr w:rsidR="00752A84" w:rsidRPr="00752A84" w14:paraId="5431EFCC" w14:textId="77777777" w:rsidTr="00E71C47">
        <w:tc>
          <w:tcPr>
            <w:tcW w:w="8954" w:type="dxa"/>
            <w:gridSpan w:val="9"/>
          </w:tcPr>
          <w:p w14:paraId="705DA939" w14:textId="46C41711" w:rsidR="00752A84" w:rsidRPr="00752A84" w:rsidRDefault="00752A84" w:rsidP="00752A84">
            <w:pPr>
              <w:spacing w:line="360" w:lineRule="auto"/>
              <w:rPr>
                <w:b/>
              </w:rPr>
            </w:pPr>
            <w:r w:rsidRPr="00752A84">
              <w:rPr>
                <w:b/>
              </w:rPr>
              <w:t xml:space="preserve">Tableau </w:t>
            </w:r>
            <w:r w:rsidR="008A2DF6">
              <w:rPr>
                <w:b/>
              </w:rPr>
              <w:t>2</w:t>
            </w:r>
            <w:r w:rsidRPr="00752A84">
              <w:rPr>
                <w:b/>
              </w:rPr>
              <w:t> : Principaux indicateurs de la santé sexuelle et reproductive des adolescents/jeunes</w:t>
            </w:r>
          </w:p>
        </w:tc>
      </w:tr>
      <w:tr w:rsidR="00AE065C" w:rsidRPr="0053492B" w14:paraId="7D877F14" w14:textId="77777777" w:rsidTr="00576F81">
        <w:tc>
          <w:tcPr>
            <w:tcW w:w="449" w:type="dxa"/>
          </w:tcPr>
          <w:p w14:paraId="1AC93F8D" w14:textId="77777777" w:rsidR="00AE065C" w:rsidRPr="0053492B" w:rsidRDefault="00AE065C" w:rsidP="00AE065C">
            <w:pPr>
              <w:rPr>
                <w:sz w:val="20"/>
                <w:szCs w:val="20"/>
              </w:rPr>
            </w:pPr>
          </w:p>
        </w:tc>
        <w:tc>
          <w:tcPr>
            <w:tcW w:w="4018" w:type="dxa"/>
          </w:tcPr>
          <w:p w14:paraId="3597C0EA" w14:textId="77777777" w:rsidR="00AE065C" w:rsidRPr="0053492B" w:rsidRDefault="00AE065C" w:rsidP="00AE065C">
            <w:pPr>
              <w:rPr>
                <w:sz w:val="20"/>
                <w:szCs w:val="20"/>
              </w:rPr>
            </w:pPr>
          </w:p>
        </w:tc>
        <w:tc>
          <w:tcPr>
            <w:tcW w:w="641" w:type="dxa"/>
          </w:tcPr>
          <w:p w14:paraId="19D0AFCB" w14:textId="77777777" w:rsidR="00AE065C" w:rsidRPr="0053492B" w:rsidRDefault="00AE065C" w:rsidP="00AE065C">
            <w:pPr>
              <w:rPr>
                <w:sz w:val="20"/>
                <w:szCs w:val="20"/>
              </w:rPr>
            </w:pPr>
            <w:r>
              <w:rPr>
                <w:sz w:val="20"/>
                <w:szCs w:val="20"/>
              </w:rPr>
              <w:t>Age</w:t>
            </w:r>
          </w:p>
        </w:tc>
        <w:tc>
          <w:tcPr>
            <w:tcW w:w="1282" w:type="dxa"/>
            <w:gridSpan w:val="2"/>
          </w:tcPr>
          <w:p w14:paraId="75F4CFF7" w14:textId="77777777" w:rsidR="00AE065C" w:rsidRPr="0053492B" w:rsidRDefault="00AE065C" w:rsidP="00AE065C">
            <w:pPr>
              <w:rPr>
                <w:sz w:val="20"/>
                <w:szCs w:val="20"/>
              </w:rPr>
            </w:pPr>
            <w:r w:rsidRPr="0053492B">
              <w:rPr>
                <w:sz w:val="20"/>
                <w:szCs w:val="20"/>
              </w:rPr>
              <w:t>EDS 98-99</w:t>
            </w:r>
            <w:r w:rsidR="00AC4F28">
              <w:rPr>
                <w:rStyle w:val="Appelnotedebasdep"/>
                <w:sz w:val="20"/>
                <w:szCs w:val="20"/>
              </w:rPr>
              <w:footnoteReference w:id="23"/>
            </w:r>
          </w:p>
        </w:tc>
        <w:tc>
          <w:tcPr>
            <w:tcW w:w="1282" w:type="dxa"/>
            <w:gridSpan w:val="2"/>
          </w:tcPr>
          <w:p w14:paraId="4BDB3309" w14:textId="77777777" w:rsidR="00AE065C" w:rsidRPr="0053492B" w:rsidRDefault="00AE065C" w:rsidP="00AE065C">
            <w:pPr>
              <w:rPr>
                <w:sz w:val="20"/>
                <w:szCs w:val="20"/>
              </w:rPr>
            </w:pPr>
            <w:r w:rsidRPr="0053492B">
              <w:rPr>
                <w:sz w:val="20"/>
                <w:szCs w:val="20"/>
              </w:rPr>
              <w:t>EDS 2003</w:t>
            </w:r>
            <w:r w:rsidR="00AC4F28">
              <w:rPr>
                <w:rStyle w:val="Appelnotedebasdep"/>
                <w:sz w:val="20"/>
                <w:szCs w:val="20"/>
              </w:rPr>
              <w:footnoteReference w:id="24"/>
            </w:r>
          </w:p>
        </w:tc>
        <w:tc>
          <w:tcPr>
            <w:tcW w:w="1282" w:type="dxa"/>
            <w:gridSpan w:val="2"/>
          </w:tcPr>
          <w:p w14:paraId="3341C74C" w14:textId="77777777" w:rsidR="00AE065C" w:rsidRPr="0053492B" w:rsidRDefault="00AE065C" w:rsidP="00AE065C">
            <w:pPr>
              <w:rPr>
                <w:sz w:val="20"/>
                <w:szCs w:val="20"/>
              </w:rPr>
            </w:pPr>
            <w:r w:rsidRPr="0053492B">
              <w:rPr>
                <w:sz w:val="20"/>
                <w:szCs w:val="20"/>
              </w:rPr>
              <w:t>EDS 2010</w:t>
            </w:r>
            <w:r w:rsidR="00AC4F28">
              <w:rPr>
                <w:rStyle w:val="Appelnotedebasdep"/>
                <w:sz w:val="20"/>
                <w:szCs w:val="20"/>
              </w:rPr>
              <w:footnoteReference w:id="25"/>
            </w:r>
          </w:p>
        </w:tc>
      </w:tr>
      <w:tr w:rsidR="00AE065C" w14:paraId="792A963C" w14:textId="77777777" w:rsidTr="00576F81">
        <w:tc>
          <w:tcPr>
            <w:tcW w:w="449" w:type="dxa"/>
          </w:tcPr>
          <w:p w14:paraId="5223259D" w14:textId="77777777" w:rsidR="00AE065C" w:rsidRDefault="00AE065C" w:rsidP="00AE065C"/>
        </w:tc>
        <w:tc>
          <w:tcPr>
            <w:tcW w:w="4018" w:type="dxa"/>
          </w:tcPr>
          <w:p w14:paraId="2966E1E9" w14:textId="77777777" w:rsidR="00AE065C" w:rsidRDefault="00AE065C" w:rsidP="00AE065C"/>
        </w:tc>
        <w:tc>
          <w:tcPr>
            <w:tcW w:w="641" w:type="dxa"/>
          </w:tcPr>
          <w:p w14:paraId="6AF5745E" w14:textId="77777777" w:rsidR="00AE065C" w:rsidRPr="00AE065C" w:rsidRDefault="00AE065C" w:rsidP="00AE065C">
            <w:pPr>
              <w:rPr>
                <w:sz w:val="16"/>
                <w:szCs w:val="16"/>
              </w:rPr>
            </w:pPr>
          </w:p>
        </w:tc>
        <w:tc>
          <w:tcPr>
            <w:tcW w:w="641" w:type="dxa"/>
          </w:tcPr>
          <w:p w14:paraId="657E3A59" w14:textId="77777777" w:rsidR="00AE065C" w:rsidRDefault="00AE065C" w:rsidP="00AE065C">
            <w:pPr>
              <w:rPr>
                <w:sz w:val="20"/>
                <w:szCs w:val="20"/>
              </w:rPr>
            </w:pPr>
            <w:r>
              <w:rPr>
                <w:sz w:val="20"/>
                <w:szCs w:val="20"/>
              </w:rPr>
              <w:t>F</w:t>
            </w:r>
          </w:p>
        </w:tc>
        <w:tc>
          <w:tcPr>
            <w:tcW w:w="641" w:type="dxa"/>
          </w:tcPr>
          <w:p w14:paraId="36916071" w14:textId="77777777" w:rsidR="00AE065C" w:rsidRPr="00B4797E" w:rsidRDefault="00AE065C" w:rsidP="00AE065C">
            <w:pPr>
              <w:rPr>
                <w:sz w:val="20"/>
                <w:szCs w:val="20"/>
              </w:rPr>
            </w:pPr>
            <w:r>
              <w:rPr>
                <w:sz w:val="20"/>
                <w:szCs w:val="20"/>
              </w:rPr>
              <w:t>M</w:t>
            </w:r>
          </w:p>
        </w:tc>
        <w:tc>
          <w:tcPr>
            <w:tcW w:w="641" w:type="dxa"/>
          </w:tcPr>
          <w:p w14:paraId="022DAF6A" w14:textId="77777777" w:rsidR="00AE065C" w:rsidRDefault="00AE065C" w:rsidP="00AE065C">
            <w:pPr>
              <w:rPr>
                <w:sz w:val="20"/>
                <w:szCs w:val="20"/>
              </w:rPr>
            </w:pPr>
            <w:r>
              <w:rPr>
                <w:sz w:val="20"/>
                <w:szCs w:val="20"/>
              </w:rPr>
              <w:t>F</w:t>
            </w:r>
          </w:p>
        </w:tc>
        <w:tc>
          <w:tcPr>
            <w:tcW w:w="641" w:type="dxa"/>
          </w:tcPr>
          <w:p w14:paraId="2DAF1940" w14:textId="77777777" w:rsidR="00AE065C" w:rsidRPr="00B4797E" w:rsidRDefault="00AE065C" w:rsidP="00AE065C">
            <w:pPr>
              <w:rPr>
                <w:sz w:val="20"/>
                <w:szCs w:val="20"/>
              </w:rPr>
            </w:pPr>
            <w:r>
              <w:rPr>
                <w:sz w:val="20"/>
                <w:szCs w:val="20"/>
              </w:rPr>
              <w:t>M</w:t>
            </w:r>
          </w:p>
        </w:tc>
        <w:tc>
          <w:tcPr>
            <w:tcW w:w="641" w:type="dxa"/>
          </w:tcPr>
          <w:p w14:paraId="31687861" w14:textId="77777777" w:rsidR="00AE065C" w:rsidRPr="00B4797E" w:rsidRDefault="00AE065C" w:rsidP="00AE065C">
            <w:pPr>
              <w:rPr>
                <w:sz w:val="20"/>
                <w:szCs w:val="20"/>
              </w:rPr>
            </w:pPr>
            <w:r>
              <w:rPr>
                <w:sz w:val="20"/>
                <w:szCs w:val="20"/>
              </w:rPr>
              <w:t>F</w:t>
            </w:r>
          </w:p>
        </w:tc>
        <w:tc>
          <w:tcPr>
            <w:tcW w:w="641" w:type="dxa"/>
          </w:tcPr>
          <w:p w14:paraId="0FDF00B3" w14:textId="77777777" w:rsidR="00AE065C" w:rsidRPr="00B4797E" w:rsidRDefault="00AE065C" w:rsidP="00AE065C">
            <w:pPr>
              <w:rPr>
                <w:sz w:val="20"/>
                <w:szCs w:val="20"/>
              </w:rPr>
            </w:pPr>
            <w:r>
              <w:rPr>
                <w:sz w:val="20"/>
                <w:szCs w:val="20"/>
              </w:rPr>
              <w:t>M</w:t>
            </w:r>
          </w:p>
        </w:tc>
      </w:tr>
      <w:tr w:rsidR="00AE065C" w14:paraId="738D58B3" w14:textId="77777777" w:rsidTr="00576F81">
        <w:tc>
          <w:tcPr>
            <w:tcW w:w="449" w:type="dxa"/>
          </w:tcPr>
          <w:p w14:paraId="71D27960" w14:textId="77777777" w:rsidR="00AE065C" w:rsidRDefault="00AE065C" w:rsidP="004F60CF">
            <w:pPr>
              <w:pStyle w:val="Paragraphedeliste"/>
              <w:numPr>
                <w:ilvl w:val="0"/>
                <w:numId w:val="2"/>
              </w:numPr>
            </w:pPr>
          </w:p>
        </w:tc>
        <w:tc>
          <w:tcPr>
            <w:tcW w:w="4018" w:type="dxa"/>
          </w:tcPr>
          <w:p w14:paraId="32874233" w14:textId="77777777" w:rsidR="00AE065C" w:rsidRPr="00B4797E" w:rsidRDefault="00AE065C" w:rsidP="00AE065C">
            <w:pPr>
              <w:rPr>
                <w:sz w:val="20"/>
                <w:szCs w:val="20"/>
              </w:rPr>
            </w:pPr>
            <w:r w:rsidRPr="00B4797E">
              <w:rPr>
                <w:sz w:val="20"/>
                <w:szCs w:val="20"/>
              </w:rPr>
              <w:t>Vie féconde</w:t>
            </w:r>
          </w:p>
        </w:tc>
        <w:tc>
          <w:tcPr>
            <w:tcW w:w="641" w:type="dxa"/>
          </w:tcPr>
          <w:p w14:paraId="0A036EC7" w14:textId="77777777" w:rsidR="00AE065C" w:rsidRPr="00AE065C" w:rsidRDefault="00AE065C" w:rsidP="00AE065C">
            <w:pPr>
              <w:rPr>
                <w:sz w:val="16"/>
                <w:szCs w:val="16"/>
              </w:rPr>
            </w:pPr>
          </w:p>
        </w:tc>
        <w:tc>
          <w:tcPr>
            <w:tcW w:w="641" w:type="dxa"/>
          </w:tcPr>
          <w:p w14:paraId="40BD9060" w14:textId="77777777" w:rsidR="00AE065C" w:rsidRPr="00B4797E" w:rsidRDefault="00AE065C" w:rsidP="00AE065C">
            <w:pPr>
              <w:rPr>
                <w:sz w:val="20"/>
                <w:szCs w:val="20"/>
              </w:rPr>
            </w:pPr>
            <w:r>
              <w:rPr>
                <w:sz w:val="20"/>
                <w:szCs w:val="20"/>
              </w:rPr>
              <w:t>25%</w:t>
            </w:r>
          </w:p>
        </w:tc>
        <w:tc>
          <w:tcPr>
            <w:tcW w:w="641" w:type="dxa"/>
          </w:tcPr>
          <w:p w14:paraId="435882AC" w14:textId="77777777" w:rsidR="00AE065C" w:rsidRPr="00B4797E" w:rsidRDefault="00AE065C" w:rsidP="00AE065C">
            <w:pPr>
              <w:rPr>
                <w:sz w:val="20"/>
                <w:szCs w:val="20"/>
              </w:rPr>
            </w:pPr>
          </w:p>
        </w:tc>
        <w:tc>
          <w:tcPr>
            <w:tcW w:w="641" w:type="dxa"/>
          </w:tcPr>
          <w:p w14:paraId="3599EB7C" w14:textId="77777777" w:rsidR="00AE065C" w:rsidRPr="00B4797E" w:rsidRDefault="00AE065C" w:rsidP="00AE065C">
            <w:pPr>
              <w:rPr>
                <w:sz w:val="20"/>
                <w:szCs w:val="20"/>
              </w:rPr>
            </w:pPr>
            <w:r>
              <w:rPr>
                <w:sz w:val="20"/>
                <w:szCs w:val="20"/>
              </w:rPr>
              <w:t>23,2</w:t>
            </w:r>
          </w:p>
        </w:tc>
        <w:tc>
          <w:tcPr>
            <w:tcW w:w="641" w:type="dxa"/>
          </w:tcPr>
          <w:p w14:paraId="6CEBB635" w14:textId="77777777" w:rsidR="00AE065C" w:rsidRPr="00B4797E" w:rsidRDefault="00AE065C" w:rsidP="00AE065C">
            <w:pPr>
              <w:rPr>
                <w:sz w:val="20"/>
                <w:szCs w:val="20"/>
              </w:rPr>
            </w:pPr>
          </w:p>
        </w:tc>
        <w:tc>
          <w:tcPr>
            <w:tcW w:w="641" w:type="dxa"/>
          </w:tcPr>
          <w:p w14:paraId="29B9F801" w14:textId="77777777" w:rsidR="00AE065C" w:rsidRPr="00B4797E" w:rsidRDefault="00AE065C" w:rsidP="00AE065C">
            <w:pPr>
              <w:rPr>
                <w:sz w:val="20"/>
                <w:szCs w:val="20"/>
              </w:rPr>
            </w:pPr>
            <w:r>
              <w:rPr>
                <w:sz w:val="20"/>
                <w:szCs w:val="20"/>
              </w:rPr>
              <w:t>23,6</w:t>
            </w:r>
          </w:p>
        </w:tc>
        <w:tc>
          <w:tcPr>
            <w:tcW w:w="641" w:type="dxa"/>
          </w:tcPr>
          <w:p w14:paraId="5E6C15CE" w14:textId="77777777" w:rsidR="00AE065C" w:rsidRPr="00B4797E" w:rsidRDefault="00AE065C" w:rsidP="00AE065C">
            <w:pPr>
              <w:rPr>
                <w:sz w:val="20"/>
                <w:szCs w:val="20"/>
              </w:rPr>
            </w:pPr>
          </w:p>
        </w:tc>
      </w:tr>
      <w:tr w:rsidR="00576F81" w14:paraId="72388A61" w14:textId="77777777" w:rsidTr="00576F81">
        <w:tc>
          <w:tcPr>
            <w:tcW w:w="449" w:type="dxa"/>
            <w:vMerge w:val="restart"/>
          </w:tcPr>
          <w:p w14:paraId="1090B534" w14:textId="77777777" w:rsidR="00576F81" w:rsidRDefault="00576F81" w:rsidP="004F60CF">
            <w:pPr>
              <w:pStyle w:val="Paragraphedeliste"/>
              <w:numPr>
                <w:ilvl w:val="0"/>
                <w:numId w:val="2"/>
              </w:numPr>
            </w:pPr>
          </w:p>
        </w:tc>
        <w:tc>
          <w:tcPr>
            <w:tcW w:w="4018" w:type="dxa"/>
            <w:vMerge w:val="restart"/>
          </w:tcPr>
          <w:p w14:paraId="1A844E34" w14:textId="77777777" w:rsidR="00576F81" w:rsidRPr="00B4797E" w:rsidRDefault="00576F81" w:rsidP="00AE065C">
            <w:pPr>
              <w:rPr>
                <w:sz w:val="20"/>
                <w:szCs w:val="20"/>
              </w:rPr>
            </w:pPr>
            <w:r w:rsidRPr="008A2652">
              <w:rPr>
                <w:sz w:val="20"/>
                <w:szCs w:val="20"/>
              </w:rPr>
              <w:t xml:space="preserve">Pourcentage de femmes et d’hommes ayant </w:t>
            </w:r>
            <w:r>
              <w:rPr>
                <w:sz w:val="20"/>
                <w:szCs w:val="20"/>
              </w:rPr>
              <w:t>de</w:t>
            </w:r>
            <w:r w:rsidRPr="008A2652">
              <w:rPr>
                <w:sz w:val="20"/>
                <w:szCs w:val="20"/>
              </w:rPr>
              <w:t xml:space="preserve">s rapports sexuels </w:t>
            </w:r>
            <w:r>
              <w:rPr>
                <w:sz w:val="20"/>
                <w:szCs w:val="20"/>
              </w:rPr>
              <w:t xml:space="preserve">avant </w:t>
            </w:r>
            <w:r w:rsidRPr="008A2652">
              <w:rPr>
                <w:sz w:val="20"/>
                <w:szCs w:val="20"/>
              </w:rPr>
              <w:t>15</w:t>
            </w:r>
            <w:r>
              <w:rPr>
                <w:sz w:val="20"/>
                <w:szCs w:val="20"/>
              </w:rPr>
              <w:t xml:space="preserve"> ans</w:t>
            </w:r>
          </w:p>
        </w:tc>
        <w:tc>
          <w:tcPr>
            <w:tcW w:w="641" w:type="dxa"/>
          </w:tcPr>
          <w:p w14:paraId="60B8F136" w14:textId="77777777" w:rsidR="00576F81" w:rsidRPr="00AE065C" w:rsidRDefault="00576F81" w:rsidP="00AE065C">
            <w:pPr>
              <w:rPr>
                <w:sz w:val="16"/>
                <w:szCs w:val="16"/>
              </w:rPr>
            </w:pPr>
            <w:r w:rsidRPr="00AE065C">
              <w:rPr>
                <w:sz w:val="16"/>
                <w:szCs w:val="16"/>
              </w:rPr>
              <w:t>15-19</w:t>
            </w:r>
          </w:p>
        </w:tc>
        <w:tc>
          <w:tcPr>
            <w:tcW w:w="641" w:type="dxa"/>
          </w:tcPr>
          <w:p w14:paraId="320A9A08" w14:textId="77777777" w:rsidR="00576F81" w:rsidRPr="00B4797E" w:rsidRDefault="00576F81" w:rsidP="00AE065C">
            <w:pPr>
              <w:rPr>
                <w:sz w:val="20"/>
                <w:szCs w:val="20"/>
              </w:rPr>
            </w:pPr>
            <w:r>
              <w:rPr>
                <w:sz w:val="20"/>
                <w:szCs w:val="20"/>
              </w:rPr>
              <w:t>12</w:t>
            </w:r>
          </w:p>
        </w:tc>
        <w:tc>
          <w:tcPr>
            <w:tcW w:w="641" w:type="dxa"/>
          </w:tcPr>
          <w:p w14:paraId="5BC3F095" w14:textId="77777777" w:rsidR="00576F81" w:rsidRPr="00B4797E" w:rsidRDefault="00576F81" w:rsidP="00AE065C">
            <w:pPr>
              <w:rPr>
                <w:sz w:val="20"/>
                <w:szCs w:val="20"/>
              </w:rPr>
            </w:pPr>
            <w:r>
              <w:rPr>
                <w:sz w:val="20"/>
                <w:szCs w:val="20"/>
              </w:rPr>
              <w:t>7</w:t>
            </w:r>
          </w:p>
        </w:tc>
        <w:tc>
          <w:tcPr>
            <w:tcW w:w="641" w:type="dxa"/>
          </w:tcPr>
          <w:p w14:paraId="06F16F81" w14:textId="77777777" w:rsidR="00576F81" w:rsidRPr="00B4797E" w:rsidRDefault="00576F81" w:rsidP="00AE065C">
            <w:pPr>
              <w:rPr>
                <w:sz w:val="20"/>
                <w:szCs w:val="20"/>
              </w:rPr>
            </w:pPr>
            <w:r>
              <w:rPr>
                <w:sz w:val="20"/>
                <w:szCs w:val="20"/>
              </w:rPr>
              <w:t>20,5</w:t>
            </w:r>
          </w:p>
        </w:tc>
        <w:tc>
          <w:tcPr>
            <w:tcW w:w="641" w:type="dxa"/>
          </w:tcPr>
          <w:p w14:paraId="774F6680" w14:textId="77777777" w:rsidR="00576F81" w:rsidRPr="00B4797E" w:rsidRDefault="00576F81" w:rsidP="00AE065C">
            <w:pPr>
              <w:rPr>
                <w:sz w:val="20"/>
                <w:szCs w:val="20"/>
              </w:rPr>
            </w:pPr>
            <w:r>
              <w:rPr>
                <w:sz w:val="20"/>
                <w:szCs w:val="20"/>
              </w:rPr>
              <w:t>13,6</w:t>
            </w:r>
          </w:p>
        </w:tc>
        <w:tc>
          <w:tcPr>
            <w:tcW w:w="641" w:type="dxa"/>
          </w:tcPr>
          <w:p w14:paraId="3C1C3702" w14:textId="77777777" w:rsidR="00576F81" w:rsidRPr="00B4797E" w:rsidRDefault="00576F81" w:rsidP="00AE065C">
            <w:pPr>
              <w:rPr>
                <w:sz w:val="20"/>
                <w:szCs w:val="20"/>
              </w:rPr>
            </w:pPr>
            <w:r>
              <w:rPr>
                <w:sz w:val="20"/>
                <w:szCs w:val="20"/>
              </w:rPr>
              <w:t>15,1</w:t>
            </w:r>
          </w:p>
        </w:tc>
        <w:tc>
          <w:tcPr>
            <w:tcW w:w="641" w:type="dxa"/>
          </w:tcPr>
          <w:p w14:paraId="217720F8" w14:textId="77777777" w:rsidR="00576F81" w:rsidRPr="00B4797E" w:rsidRDefault="00576F81" w:rsidP="00AE065C">
            <w:pPr>
              <w:rPr>
                <w:sz w:val="20"/>
                <w:szCs w:val="20"/>
              </w:rPr>
            </w:pPr>
            <w:r>
              <w:rPr>
                <w:sz w:val="20"/>
                <w:szCs w:val="20"/>
              </w:rPr>
              <w:t>13,9</w:t>
            </w:r>
          </w:p>
        </w:tc>
      </w:tr>
      <w:tr w:rsidR="00576F81" w14:paraId="2C0AFC6E" w14:textId="77777777" w:rsidTr="00576F81">
        <w:tc>
          <w:tcPr>
            <w:tcW w:w="449" w:type="dxa"/>
            <w:vMerge/>
          </w:tcPr>
          <w:p w14:paraId="7E21A598" w14:textId="77777777" w:rsidR="00576F81" w:rsidRDefault="00576F81" w:rsidP="004F60CF">
            <w:pPr>
              <w:pStyle w:val="Paragraphedeliste"/>
              <w:numPr>
                <w:ilvl w:val="0"/>
                <w:numId w:val="2"/>
              </w:numPr>
            </w:pPr>
          </w:p>
        </w:tc>
        <w:tc>
          <w:tcPr>
            <w:tcW w:w="4018" w:type="dxa"/>
            <w:vMerge/>
          </w:tcPr>
          <w:p w14:paraId="6BDAA9E2" w14:textId="77777777" w:rsidR="00576F81" w:rsidRPr="00B4797E" w:rsidRDefault="00576F81" w:rsidP="00AE065C">
            <w:pPr>
              <w:rPr>
                <w:sz w:val="20"/>
                <w:szCs w:val="20"/>
              </w:rPr>
            </w:pPr>
          </w:p>
        </w:tc>
        <w:tc>
          <w:tcPr>
            <w:tcW w:w="641" w:type="dxa"/>
          </w:tcPr>
          <w:p w14:paraId="3EB43212" w14:textId="77777777" w:rsidR="00576F81" w:rsidRPr="00AE065C" w:rsidRDefault="00576F81" w:rsidP="00AE065C">
            <w:pPr>
              <w:rPr>
                <w:sz w:val="16"/>
                <w:szCs w:val="16"/>
              </w:rPr>
            </w:pPr>
            <w:r w:rsidRPr="00AE065C">
              <w:rPr>
                <w:sz w:val="16"/>
                <w:szCs w:val="16"/>
              </w:rPr>
              <w:t>20-24</w:t>
            </w:r>
          </w:p>
        </w:tc>
        <w:tc>
          <w:tcPr>
            <w:tcW w:w="641" w:type="dxa"/>
          </w:tcPr>
          <w:p w14:paraId="21F1B6D4" w14:textId="77777777" w:rsidR="00576F81" w:rsidRPr="00B4797E" w:rsidRDefault="00576F81" w:rsidP="00AE065C">
            <w:pPr>
              <w:rPr>
                <w:sz w:val="20"/>
                <w:szCs w:val="20"/>
              </w:rPr>
            </w:pPr>
            <w:r>
              <w:rPr>
                <w:sz w:val="20"/>
                <w:szCs w:val="20"/>
              </w:rPr>
              <w:t>10,3</w:t>
            </w:r>
          </w:p>
        </w:tc>
        <w:tc>
          <w:tcPr>
            <w:tcW w:w="641" w:type="dxa"/>
          </w:tcPr>
          <w:p w14:paraId="50FFB822" w14:textId="77777777" w:rsidR="00576F81" w:rsidRPr="00B4797E" w:rsidRDefault="00576F81" w:rsidP="00AE065C">
            <w:pPr>
              <w:rPr>
                <w:sz w:val="20"/>
                <w:szCs w:val="20"/>
              </w:rPr>
            </w:pPr>
            <w:r>
              <w:rPr>
                <w:sz w:val="20"/>
                <w:szCs w:val="20"/>
              </w:rPr>
              <w:t>7,5</w:t>
            </w:r>
          </w:p>
        </w:tc>
        <w:tc>
          <w:tcPr>
            <w:tcW w:w="641" w:type="dxa"/>
          </w:tcPr>
          <w:p w14:paraId="7D47D760" w14:textId="77777777" w:rsidR="00576F81" w:rsidRPr="00B4797E" w:rsidRDefault="00576F81" w:rsidP="00AE065C">
            <w:pPr>
              <w:rPr>
                <w:sz w:val="20"/>
                <w:szCs w:val="20"/>
              </w:rPr>
            </w:pPr>
            <w:r>
              <w:rPr>
                <w:sz w:val="20"/>
                <w:szCs w:val="20"/>
              </w:rPr>
              <w:t>22,1</w:t>
            </w:r>
          </w:p>
        </w:tc>
        <w:tc>
          <w:tcPr>
            <w:tcW w:w="641" w:type="dxa"/>
          </w:tcPr>
          <w:p w14:paraId="481E74B6" w14:textId="77777777" w:rsidR="00576F81" w:rsidRPr="00B4797E" w:rsidRDefault="00576F81" w:rsidP="00AE065C">
            <w:pPr>
              <w:rPr>
                <w:sz w:val="20"/>
                <w:szCs w:val="20"/>
              </w:rPr>
            </w:pPr>
            <w:r>
              <w:rPr>
                <w:sz w:val="20"/>
                <w:szCs w:val="20"/>
              </w:rPr>
              <w:t>11,6</w:t>
            </w:r>
          </w:p>
        </w:tc>
        <w:tc>
          <w:tcPr>
            <w:tcW w:w="641" w:type="dxa"/>
          </w:tcPr>
          <w:p w14:paraId="53704741" w14:textId="77777777" w:rsidR="00576F81" w:rsidRPr="00B4797E" w:rsidRDefault="00576F81" w:rsidP="00AE065C">
            <w:pPr>
              <w:rPr>
                <w:sz w:val="20"/>
                <w:szCs w:val="20"/>
              </w:rPr>
            </w:pPr>
            <w:r>
              <w:rPr>
                <w:sz w:val="20"/>
                <w:szCs w:val="20"/>
              </w:rPr>
              <w:t>21,5</w:t>
            </w:r>
          </w:p>
        </w:tc>
        <w:tc>
          <w:tcPr>
            <w:tcW w:w="641" w:type="dxa"/>
          </w:tcPr>
          <w:p w14:paraId="156A59FD" w14:textId="77777777" w:rsidR="00576F81" w:rsidRPr="00B4797E" w:rsidRDefault="00576F81" w:rsidP="00AE065C">
            <w:pPr>
              <w:rPr>
                <w:sz w:val="20"/>
                <w:szCs w:val="20"/>
              </w:rPr>
            </w:pPr>
            <w:r>
              <w:rPr>
                <w:sz w:val="20"/>
                <w:szCs w:val="20"/>
              </w:rPr>
              <w:t>27,4</w:t>
            </w:r>
          </w:p>
        </w:tc>
      </w:tr>
      <w:tr w:rsidR="00576F81" w14:paraId="6D997FAA" w14:textId="77777777" w:rsidTr="00576F81">
        <w:tc>
          <w:tcPr>
            <w:tcW w:w="449" w:type="dxa"/>
            <w:vMerge w:val="restart"/>
          </w:tcPr>
          <w:p w14:paraId="3C82C04F" w14:textId="77777777" w:rsidR="00576F81" w:rsidRDefault="00576F81" w:rsidP="004F60CF">
            <w:pPr>
              <w:pStyle w:val="Paragraphedeliste"/>
              <w:numPr>
                <w:ilvl w:val="0"/>
                <w:numId w:val="2"/>
              </w:numPr>
            </w:pPr>
          </w:p>
        </w:tc>
        <w:tc>
          <w:tcPr>
            <w:tcW w:w="4018" w:type="dxa"/>
            <w:vMerge w:val="restart"/>
          </w:tcPr>
          <w:p w14:paraId="7F1860F3" w14:textId="77777777" w:rsidR="00576F81" w:rsidRPr="00B4797E" w:rsidRDefault="00576F81" w:rsidP="00AE065C">
            <w:pPr>
              <w:rPr>
                <w:sz w:val="20"/>
                <w:szCs w:val="20"/>
              </w:rPr>
            </w:pPr>
            <w:r>
              <w:rPr>
                <w:sz w:val="20"/>
                <w:szCs w:val="20"/>
              </w:rPr>
              <w:t xml:space="preserve">IST (12 derniers mois) </w:t>
            </w:r>
          </w:p>
        </w:tc>
        <w:tc>
          <w:tcPr>
            <w:tcW w:w="641" w:type="dxa"/>
          </w:tcPr>
          <w:p w14:paraId="654C4AB4" w14:textId="77777777" w:rsidR="00576F81" w:rsidRPr="00AE065C" w:rsidRDefault="00576F81" w:rsidP="00AE065C">
            <w:pPr>
              <w:rPr>
                <w:sz w:val="16"/>
                <w:szCs w:val="16"/>
              </w:rPr>
            </w:pPr>
            <w:r w:rsidRPr="00AE065C">
              <w:rPr>
                <w:sz w:val="16"/>
                <w:szCs w:val="16"/>
              </w:rPr>
              <w:t>15-19</w:t>
            </w:r>
          </w:p>
        </w:tc>
        <w:tc>
          <w:tcPr>
            <w:tcW w:w="641" w:type="dxa"/>
          </w:tcPr>
          <w:p w14:paraId="3ADAC21E" w14:textId="77777777" w:rsidR="00576F81" w:rsidRPr="00B4797E" w:rsidRDefault="00576F81" w:rsidP="00AE065C">
            <w:pPr>
              <w:rPr>
                <w:sz w:val="20"/>
                <w:szCs w:val="20"/>
              </w:rPr>
            </w:pPr>
            <w:r>
              <w:rPr>
                <w:sz w:val="20"/>
                <w:szCs w:val="20"/>
              </w:rPr>
              <w:t>0,3</w:t>
            </w:r>
          </w:p>
        </w:tc>
        <w:tc>
          <w:tcPr>
            <w:tcW w:w="641" w:type="dxa"/>
          </w:tcPr>
          <w:p w14:paraId="7555D3DC" w14:textId="77777777" w:rsidR="00576F81" w:rsidRPr="00B4797E" w:rsidRDefault="00576F81" w:rsidP="00AE065C">
            <w:pPr>
              <w:rPr>
                <w:sz w:val="20"/>
                <w:szCs w:val="20"/>
              </w:rPr>
            </w:pPr>
            <w:r>
              <w:rPr>
                <w:sz w:val="20"/>
                <w:szCs w:val="20"/>
              </w:rPr>
              <w:t>1,9</w:t>
            </w:r>
          </w:p>
        </w:tc>
        <w:tc>
          <w:tcPr>
            <w:tcW w:w="641" w:type="dxa"/>
          </w:tcPr>
          <w:p w14:paraId="78AD8C64" w14:textId="77777777" w:rsidR="00576F81" w:rsidRPr="00B4797E" w:rsidRDefault="00576F81" w:rsidP="00AE065C">
            <w:pPr>
              <w:rPr>
                <w:sz w:val="20"/>
                <w:szCs w:val="20"/>
              </w:rPr>
            </w:pPr>
            <w:r>
              <w:rPr>
                <w:sz w:val="20"/>
                <w:szCs w:val="20"/>
              </w:rPr>
              <w:t>1,6</w:t>
            </w:r>
          </w:p>
        </w:tc>
        <w:tc>
          <w:tcPr>
            <w:tcW w:w="641" w:type="dxa"/>
          </w:tcPr>
          <w:p w14:paraId="34EFC0B4" w14:textId="77777777" w:rsidR="00576F81" w:rsidRPr="00B4797E" w:rsidRDefault="00576F81" w:rsidP="00AE065C">
            <w:pPr>
              <w:rPr>
                <w:sz w:val="20"/>
                <w:szCs w:val="20"/>
              </w:rPr>
            </w:pPr>
            <w:r>
              <w:rPr>
                <w:sz w:val="20"/>
                <w:szCs w:val="20"/>
              </w:rPr>
              <w:t>1,3</w:t>
            </w:r>
          </w:p>
        </w:tc>
        <w:tc>
          <w:tcPr>
            <w:tcW w:w="641" w:type="dxa"/>
          </w:tcPr>
          <w:p w14:paraId="6CC09447" w14:textId="77777777" w:rsidR="00576F81" w:rsidRPr="00B4797E" w:rsidRDefault="00576F81" w:rsidP="00AE065C">
            <w:pPr>
              <w:rPr>
                <w:sz w:val="20"/>
                <w:szCs w:val="20"/>
              </w:rPr>
            </w:pPr>
            <w:r>
              <w:rPr>
                <w:sz w:val="20"/>
                <w:szCs w:val="20"/>
              </w:rPr>
              <w:t>2,9</w:t>
            </w:r>
          </w:p>
        </w:tc>
        <w:tc>
          <w:tcPr>
            <w:tcW w:w="641" w:type="dxa"/>
          </w:tcPr>
          <w:p w14:paraId="33054E4C" w14:textId="77777777" w:rsidR="00576F81" w:rsidRPr="00B4797E" w:rsidRDefault="00576F81" w:rsidP="00AE065C">
            <w:pPr>
              <w:rPr>
                <w:sz w:val="20"/>
                <w:szCs w:val="20"/>
              </w:rPr>
            </w:pPr>
            <w:r>
              <w:rPr>
                <w:sz w:val="20"/>
                <w:szCs w:val="20"/>
              </w:rPr>
              <w:t>1,5</w:t>
            </w:r>
          </w:p>
        </w:tc>
      </w:tr>
      <w:tr w:rsidR="00576F81" w14:paraId="6510F2B3" w14:textId="77777777" w:rsidTr="00576F81">
        <w:tc>
          <w:tcPr>
            <w:tcW w:w="449" w:type="dxa"/>
            <w:vMerge/>
          </w:tcPr>
          <w:p w14:paraId="34C39698" w14:textId="77777777" w:rsidR="00576F81" w:rsidRDefault="00576F81" w:rsidP="004F60CF">
            <w:pPr>
              <w:pStyle w:val="Paragraphedeliste"/>
              <w:numPr>
                <w:ilvl w:val="0"/>
                <w:numId w:val="2"/>
              </w:numPr>
            </w:pPr>
          </w:p>
        </w:tc>
        <w:tc>
          <w:tcPr>
            <w:tcW w:w="4018" w:type="dxa"/>
            <w:vMerge/>
          </w:tcPr>
          <w:p w14:paraId="4E75062E" w14:textId="77777777" w:rsidR="00576F81" w:rsidRPr="00B4797E" w:rsidRDefault="00576F81" w:rsidP="00AE065C">
            <w:pPr>
              <w:rPr>
                <w:sz w:val="20"/>
                <w:szCs w:val="20"/>
              </w:rPr>
            </w:pPr>
          </w:p>
        </w:tc>
        <w:tc>
          <w:tcPr>
            <w:tcW w:w="641" w:type="dxa"/>
          </w:tcPr>
          <w:p w14:paraId="7A7AFF0E" w14:textId="77777777" w:rsidR="00576F81" w:rsidRPr="00AE065C" w:rsidRDefault="00576F81" w:rsidP="00AE065C">
            <w:pPr>
              <w:rPr>
                <w:sz w:val="16"/>
                <w:szCs w:val="16"/>
              </w:rPr>
            </w:pPr>
            <w:r w:rsidRPr="00AE065C">
              <w:rPr>
                <w:sz w:val="16"/>
                <w:szCs w:val="16"/>
              </w:rPr>
              <w:t>20-24</w:t>
            </w:r>
          </w:p>
        </w:tc>
        <w:tc>
          <w:tcPr>
            <w:tcW w:w="641" w:type="dxa"/>
          </w:tcPr>
          <w:p w14:paraId="5B97AEF3" w14:textId="77777777" w:rsidR="00576F81" w:rsidRPr="00B4797E" w:rsidRDefault="00576F81" w:rsidP="00AE065C">
            <w:pPr>
              <w:rPr>
                <w:sz w:val="20"/>
                <w:szCs w:val="20"/>
              </w:rPr>
            </w:pPr>
            <w:r>
              <w:rPr>
                <w:sz w:val="20"/>
                <w:szCs w:val="20"/>
              </w:rPr>
              <w:t>0,5</w:t>
            </w:r>
          </w:p>
        </w:tc>
        <w:tc>
          <w:tcPr>
            <w:tcW w:w="641" w:type="dxa"/>
          </w:tcPr>
          <w:p w14:paraId="651F8BA6" w14:textId="77777777" w:rsidR="00576F81" w:rsidRPr="00B4797E" w:rsidRDefault="00576F81" w:rsidP="00AE065C">
            <w:pPr>
              <w:rPr>
                <w:sz w:val="20"/>
                <w:szCs w:val="20"/>
              </w:rPr>
            </w:pPr>
            <w:r>
              <w:rPr>
                <w:sz w:val="20"/>
                <w:szCs w:val="20"/>
              </w:rPr>
              <w:t>2,9</w:t>
            </w:r>
          </w:p>
        </w:tc>
        <w:tc>
          <w:tcPr>
            <w:tcW w:w="641" w:type="dxa"/>
          </w:tcPr>
          <w:p w14:paraId="063D4450" w14:textId="77777777" w:rsidR="00576F81" w:rsidRDefault="00576F81" w:rsidP="00AE065C">
            <w:pPr>
              <w:rPr>
                <w:sz w:val="20"/>
                <w:szCs w:val="20"/>
              </w:rPr>
            </w:pPr>
            <w:r>
              <w:rPr>
                <w:sz w:val="20"/>
                <w:szCs w:val="20"/>
              </w:rPr>
              <w:t>2</w:t>
            </w:r>
          </w:p>
        </w:tc>
        <w:tc>
          <w:tcPr>
            <w:tcW w:w="641" w:type="dxa"/>
          </w:tcPr>
          <w:p w14:paraId="77725ED7" w14:textId="77777777" w:rsidR="00576F81" w:rsidRDefault="00576F81" w:rsidP="00AE065C">
            <w:pPr>
              <w:rPr>
                <w:sz w:val="20"/>
                <w:szCs w:val="20"/>
              </w:rPr>
            </w:pPr>
            <w:r>
              <w:rPr>
                <w:sz w:val="20"/>
                <w:szCs w:val="20"/>
              </w:rPr>
              <w:t>0,6</w:t>
            </w:r>
          </w:p>
        </w:tc>
        <w:tc>
          <w:tcPr>
            <w:tcW w:w="641" w:type="dxa"/>
          </w:tcPr>
          <w:p w14:paraId="79AD5DA1" w14:textId="77777777" w:rsidR="00576F81" w:rsidRPr="00B4797E" w:rsidRDefault="00576F81" w:rsidP="00AE065C">
            <w:pPr>
              <w:rPr>
                <w:sz w:val="20"/>
                <w:szCs w:val="20"/>
              </w:rPr>
            </w:pPr>
            <w:r>
              <w:rPr>
                <w:sz w:val="20"/>
                <w:szCs w:val="20"/>
              </w:rPr>
              <w:t>3,4</w:t>
            </w:r>
          </w:p>
        </w:tc>
        <w:tc>
          <w:tcPr>
            <w:tcW w:w="641" w:type="dxa"/>
          </w:tcPr>
          <w:p w14:paraId="0AEDEFB0" w14:textId="77777777" w:rsidR="00576F81" w:rsidRPr="00B4797E" w:rsidRDefault="00576F81" w:rsidP="00AE065C">
            <w:pPr>
              <w:rPr>
                <w:sz w:val="20"/>
                <w:szCs w:val="20"/>
              </w:rPr>
            </w:pPr>
            <w:r>
              <w:rPr>
                <w:sz w:val="20"/>
                <w:szCs w:val="20"/>
              </w:rPr>
              <w:t>1</w:t>
            </w:r>
          </w:p>
        </w:tc>
      </w:tr>
      <w:tr w:rsidR="00576F81" w14:paraId="7FFFB599" w14:textId="77777777" w:rsidTr="00576F81">
        <w:tc>
          <w:tcPr>
            <w:tcW w:w="449" w:type="dxa"/>
            <w:vMerge w:val="restart"/>
          </w:tcPr>
          <w:p w14:paraId="563BACF8" w14:textId="77777777" w:rsidR="00576F81" w:rsidRDefault="00576F81" w:rsidP="004F60CF">
            <w:pPr>
              <w:pStyle w:val="Paragraphedeliste"/>
              <w:numPr>
                <w:ilvl w:val="0"/>
                <w:numId w:val="2"/>
              </w:numPr>
            </w:pPr>
          </w:p>
        </w:tc>
        <w:tc>
          <w:tcPr>
            <w:tcW w:w="4018" w:type="dxa"/>
            <w:vMerge w:val="restart"/>
          </w:tcPr>
          <w:p w14:paraId="4A678E2B" w14:textId="77777777" w:rsidR="00576F81" w:rsidRDefault="00576F81" w:rsidP="00AE065C">
            <w:pPr>
              <w:rPr>
                <w:sz w:val="20"/>
                <w:szCs w:val="20"/>
              </w:rPr>
            </w:pPr>
            <w:r w:rsidRPr="00A87293">
              <w:rPr>
                <w:sz w:val="20"/>
                <w:szCs w:val="20"/>
              </w:rPr>
              <w:t>Pourcentage ayant eu des rapports sexuels à hauts risques au cours des 12 derniers</w:t>
            </w:r>
            <w:r>
              <w:rPr>
                <w:sz w:val="20"/>
                <w:szCs w:val="20"/>
              </w:rPr>
              <w:t xml:space="preserve"> mois</w:t>
            </w:r>
          </w:p>
        </w:tc>
        <w:tc>
          <w:tcPr>
            <w:tcW w:w="641" w:type="dxa"/>
          </w:tcPr>
          <w:p w14:paraId="01C5ECEE" w14:textId="77777777" w:rsidR="00576F81" w:rsidRPr="00AE065C" w:rsidRDefault="00576F81" w:rsidP="00AE065C">
            <w:pPr>
              <w:rPr>
                <w:sz w:val="16"/>
                <w:szCs w:val="16"/>
              </w:rPr>
            </w:pPr>
            <w:r w:rsidRPr="00AE065C">
              <w:rPr>
                <w:sz w:val="16"/>
                <w:szCs w:val="16"/>
              </w:rPr>
              <w:t>15-19</w:t>
            </w:r>
          </w:p>
        </w:tc>
        <w:tc>
          <w:tcPr>
            <w:tcW w:w="641" w:type="dxa"/>
          </w:tcPr>
          <w:p w14:paraId="211F09C1" w14:textId="77777777" w:rsidR="00576F81" w:rsidRDefault="00576F81" w:rsidP="00AE065C">
            <w:pPr>
              <w:rPr>
                <w:sz w:val="20"/>
                <w:szCs w:val="20"/>
              </w:rPr>
            </w:pPr>
          </w:p>
        </w:tc>
        <w:tc>
          <w:tcPr>
            <w:tcW w:w="641" w:type="dxa"/>
          </w:tcPr>
          <w:p w14:paraId="3EC5F9CC" w14:textId="77777777" w:rsidR="00576F81" w:rsidRDefault="00576F81" w:rsidP="00AE065C">
            <w:pPr>
              <w:rPr>
                <w:sz w:val="20"/>
                <w:szCs w:val="20"/>
              </w:rPr>
            </w:pPr>
          </w:p>
        </w:tc>
        <w:tc>
          <w:tcPr>
            <w:tcW w:w="641" w:type="dxa"/>
          </w:tcPr>
          <w:p w14:paraId="4C0CD8EE" w14:textId="77777777" w:rsidR="00576F81" w:rsidRDefault="00576F81" w:rsidP="00AE065C">
            <w:pPr>
              <w:rPr>
                <w:sz w:val="20"/>
                <w:szCs w:val="20"/>
              </w:rPr>
            </w:pPr>
            <w:r>
              <w:rPr>
                <w:sz w:val="20"/>
                <w:szCs w:val="20"/>
              </w:rPr>
              <w:t>36,8</w:t>
            </w:r>
          </w:p>
        </w:tc>
        <w:tc>
          <w:tcPr>
            <w:tcW w:w="641" w:type="dxa"/>
          </w:tcPr>
          <w:p w14:paraId="23EB09CA" w14:textId="77777777" w:rsidR="00576F81" w:rsidRDefault="00576F81" w:rsidP="00AE065C">
            <w:pPr>
              <w:rPr>
                <w:sz w:val="20"/>
                <w:szCs w:val="20"/>
              </w:rPr>
            </w:pPr>
            <w:r>
              <w:rPr>
                <w:sz w:val="20"/>
                <w:szCs w:val="20"/>
              </w:rPr>
              <w:t>97,6</w:t>
            </w:r>
          </w:p>
        </w:tc>
        <w:tc>
          <w:tcPr>
            <w:tcW w:w="641" w:type="dxa"/>
          </w:tcPr>
          <w:p w14:paraId="0AE3505F" w14:textId="77777777" w:rsidR="00576F81" w:rsidRDefault="00576F81" w:rsidP="00AE065C">
            <w:pPr>
              <w:rPr>
                <w:sz w:val="20"/>
                <w:szCs w:val="20"/>
              </w:rPr>
            </w:pPr>
          </w:p>
        </w:tc>
        <w:tc>
          <w:tcPr>
            <w:tcW w:w="641" w:type="dxa"/>
          </w:tcPr>
          <w:p w14:paraId="4D8EF2A6" w14:textId="77777777" w:rsidR="00576F81" w:rsidRDefault="00576F81" w:rsidP="00AE065C">
            <w:pPr>
              <w:rPr>
                <w:sz w:val="20"/>
                <w:szCs w:val="20"/>
              </w:rPr>
            </w:pPr>
          </w:p>
        </w:tc>
      </w:tr>
      <w:tr w:rsidR="00576F81" w14:paraId="339234AC" w14:textId="77777777" w:rsidTr="00576F81">
        <w:tc>
          <w:tcPr>
            <w:tcW w:w="449" w:type="dxa"/>
            <w:vMerge/>
          </w:tcPr>
          <w:p w14:paraId="0FE6B2FC" w14:textId="77777777" w:rsidR="00576F81" w:rsidRDefault="00576F81" w:rsidP="004F60CF">
            <w:pPr>
              <w:pStyle w:val="Paragraphedeliste"/>
              <w:numPr>
                <w:ilvl w:val="0"/>
                <w:numId w:val="2"/>
              </w:numPr>
            </w:pPr>
          </w:p>
        </w:tc>
        <w:tc>
          <w:tcPr>
            <w:tcW w:w="4018" w:type="dxa"/>
            <w:vMerge/>
          </w:tcPr>
          <w:p w14:paraId="206D1F87" w14:textId="77777777" w:rsidR="00576F81" w:rsidRDefault="00576F81" w:rsidP="00AE065C">
            <w:pPr>
              <w:rPr>
                <w:sz w:val="20"/>
                <w:szCs w:val="20"/>
              </w:rPr>
            </w:pPr>
          </w:p>
        </w:tc>
        <w:tc>
          <w:tcPr>
            <w:tcW w:w="641" w:type="dxa"/>
          </w:tcPr>
          <w:p w14:paraId="155F3771" w14:textId="77777777" w:rsidR="00576F81" w:rsidRPr="00AE065C" w:rsidRDefault="00576F81" w:rsidP="00AE065C">
            <w:pPr>
              <w:rPr>
                <w:sz w:val="16"/>
                <w:szCs w:val="16"/>
              </w:rPr>
            </w:pPr>
            <w:r w:rsidRPr="00AE065C">
              <w:rPr>
                <w:sz w:val="16"/>
                <w:szCs w:val="16"/>
              </w:rPr>
              <w:t>20-24</w:t>
            </w:r>
          </w:p>
        </w:tc>
        <w:tc>
          <w:tcPr>
            <w:tcW w:w="641" w:type="dxa"/>
          </w:tcPr>
          <w:p w14:paraId="00DEA2C7" w14:textId="77777777" w:rsidR="00576F81" w:rsidRDefault="00576F81" w:rsidP="00AE065C">
            <w:pPr>
              <w:rPr>
                <w:sz w:val="20"/>
                <w:szCs w:val="20"/>
              </w:rPr>
            </w:pPr>
          </w:p>
        </w:tc>
        <w:tc>
          <w:tcPr>
            <w:tcW w:w="641" w:type="dxa"/>
          </w:tcPr>
          <w:p w14:paraId="78174CA9" w14:textId="77777777" w:rsidR="00576F81" w:rsidRDefault="00576F81" w:rsidP="00AE065C">
            <w:pPr>
              <w:rPr>
                <w:sz w:val="20"/>
                <w:szCs w:val="20"/>
              </w:rPr>
            </w:pPr>
          </w:p>
        </w:tc>
        <w:tc>
          <w:tcPr>
            <w:tcW w:w="641" w:type="dxa"/>
          </w:tcPr>
          <w:p w14:paraId="30E4DB38" w14:textId="77777777" w:rsidR="00576F81" w:rsidRDefault="00576F81" w:rsidP="00AE065C">
            <w:pPr>
              <w:rPr>
                <w:sz w:val="20"/>
                <w:szCs w:val="20"/>
              </w:rPr>
            </w:pPr>
            <w:r>
              <w:rPr>
                <w:sz w:val="20"/>
                <w:szCs w:val="20"/>
              </w:rPr>
              <w:t>13,5</w:t>
            </w:r>
          </w:p>
        </w:tc>
        <w:tc>
          <w:tcPr>
            <w:tcW w:w="641" w:type="dxa"/>
          </w:tcPr>
          <w:p w14:paraId="56BAC10B" w14:textId="77777777" w:rsidR="00576F81" w:rsidRDefault="00576F81" w:rsidP="00AE065C">
            <w:pPr>
              <w:rPr>
                <w:sz w:val="20"/>
                <w:szCs w:val="20"/>
              </w:rPr>
            </w:pPr>
            <w:r>
              <w:rPr>
                <w:sz w:val="20"/>
                <w:szCs w:val="20"/>
              </w:rPr>
              <w:t>67,7</w:t>
            </w:r>
          </w:p>
        </w:tc>
        <w:tc>
          <w:tcPr>
            <w:tcW w:w="641" w:type="dxa"/>
          </w:tcPr>
          <w:p w14:paraId="558CAAB2" w14:textId="77777777" w:rsidR="00576F81" w:rsidRDefault="00576F81" w:rsidP="00AE065C">
            <w:pPr>
              <w:rPr>
                <w:sz w:val="20"/>
                <w:szCs w:val="20"/>
              </w:rPr>
            </w:pPr>
          </w:p>
        </w:tc>
        <w:tc>
          <w:tcPr>
            <w:tcW w:w="641" w:type="dxa"/>
          </w:tcPr>
          <w:p w14:paraId="107D577E" w14:textId="77777777" w:rsidR="00576F81" w:rsidRDefault="00576F81" w:rsidP="00AE065C">
            <w:pPr>
              <w:rPr>
                <w:sz w:val="20"/>
                <w:szCs w:val="20"/>
              </w:rPr>
            </w:pPr>
          </w:p>
        </w:tc>
      </w:tr>
      <w:tr w:rsidR="00576F81" w14:paraId="3150189B" w14:textId="77777777" w:rsidTr="00576F81">
        <w:tc>
          <w:tcPr>
            <w:tcW w:w="449" w:type="dxa"/>
            <w:vMerge w:val="restart"/>
          </w:tcPr>
          <w:p w14:paraId="0AFB714C" w14:textId="77777777" w:rsidR="00576F81" w:rsidRDefault="00576F81" w:rsidP="004F60CF">
            <w:pPr>
              <w:pStyle w:val="Paragraphedeliste"/>
              <w:numPr>
                <w:ilvl w:val="0"/>
                <w:numId w:val="2"/>
              </w:numPr>
            </w:pPr>
          </w:p>
        </w:tc>
        <w:tc>
          <w:tcPr>
            <w:tcW w:w="4018" w:type="dxa"/>
            <w:vMerge w:val="restart"/>
          </w:tcPr>
          <w:p w14:paraId="6B3616AC" w14:textId="77777777" w:rsidR="00576F81" w:rsidRDefault="00576F81" w:rsidP="00AE065C">
            <w:pPr>
              <w:rPr>
                <w:sz w:val="20"/>
                <w:szCs w:val="20"/>
              </w:rPr>
            </w:pPr>
            <w:r w:rsidRPr="00A10250">
              <w:rPr>
                <w:sz w:val="20"/>
                <w:szCs w:val="20"/>
              </w:rPr>
              <w:t>Pourcentage ayant utilisé un condom au cours des derniers rapports à</w:t>
            </w:r>
            <w:r>
              <w:rPr>
                <w:sz w:val="20"/>
                <w:szCs w:val="20"/>
              </w:rPr>
              <w:t xml:space="preserve"> haut risque</w:t>
            </w:r>
          </w:p>
        </w:tc>
        <w:tc>
          <w:tcPr>
            <w:tcW w:w="641" w:type="dxa"/>
          </w:tcPr>
          <w:p w14:paraId="1510A8D1" w14:textId="77777777" w:rsidR="00576F81" w:rsidRPr="00AE065C" w:rsidRDefault="00576F81" w:rsidP="00AE065C">
            <w:pPr>
              <w:rPr>
                <w:sz w:val="16"/>
                <w:szCs w:val="16"/>
              </w:rPr>
            </w:pPr>
            <w:r w:rsidRPr="00AE065C">
              <w:rPr>
                <w:sz w:val="16"/>
                <w:szCs w:val="16"/>
              </w:rPr>
              <w:t>15-19</w:t>
            </w:r>
          </w:p>
        </w:tc>
        <w:tc>
          <w:tcPr>
            <w:tcW w:w="641" w:type="dxa"/>
          </w:tcPr>
          <w:p w14:paraId="3B2915CB" w14:textId="77777777" w:rsidR="00576F81" w:rsidRDefault="00576F81" w:rsidP="00AE065C">
            <w:pPr>
              <w:rPr>
                <w:sz w:val="20"/>
                <w:szCs w:val="20"/>
              </w:rPr>
            </w:pPr>
          </w:p>
        </w:tc>
        <w:tc>
          <w:tcPr>
            <w:tcW w:w="641" w:type="dxa"/>
          </w:tcPr>
          <w:p w14:paraId="3235EB9B" w14:textId="77777777" w:rsidR="00576F81" w:rsidRDefault="00576F81" w:rsidP="00AE065C">
            <w:pPr>
              <w:rPr>
                <w:sz w:val="20"/>
                <w:szCs w:val="20"/>
              </w:rPr>
            </w:pPr>
          </w:p>
        </w:tc>
        <w:tc>
          <w:tcPr>
            <w:tcW w:w="641" w:type="dxa"/>
          </w:tcPr>
          <w:p w14:paraId="599C717F" w14:textId="77777777" w:rsidR="00576F81" w:rsidRDefault="00576F81" w:rsidP="00AE065C">
            <w:pPr>
              <w:rPr>
                <w:sz w:val="20"/>
                <w:szCs w:val="20"/>
              </w:rPr>
            </w:pPr>
            <w:r>
              <w:rPr>
                <w:sz w:val="20"/>
                <w:szCs w:val="20"/>
              </w:rPr>
              <w:t>46,4</w:t>
            </w:r>
          </w:p>
        </w:tc>
        <w:tc>
          <w:tcPr>
            <w:tcW w:w="641" w:type="dxa"/>
          </w:tcPr>
          <w:p w14:paraId="61BB0D52" w14:textId="77777777" w:rsidR="00576F81" w:rsidRDefault="00576F81" w:rsidP="00AE065C">
            <w:pPr>
              <w:rPr>
                <w:sz w:val="20"/>
                <w:szCs w:val="20"/>
              </w:rPr>
            </w:pPr>
            <w:r>
              <w:rPr>
                <w:sz w:val="20"/>
                <w:szCs w:val="20"/>
              </w:rPr>
              <w:t>61,6</w:t>
            </w:r>
          </w:p>
        </w:tc>
        <w:tc>
          <w:tcPr>
            <w:tcW w:w="641" w:type="dxa"/>
          </w:tcPr>
          <w:p w14:paraId="5FFAEA1D" w14:textId="77777777" w:rsidR="00576F81" w:rsidRDefault="00576F81" w:rsidP="00AE065C">
            <w:pPr>
              <w:rPr>
                <w:sz w:val="20"/>
                <w:szCs w:val="20"/>
              </w:rPr>
            </w:pPr>
            <w:r>
              <w:rPr>
                <w:sz w:val="20"/>
                <w:szCs w:val="20"/>
              </w:rPr>
              <w:t>57,3</w:t>
            </w:r>
          </w:p>
        </w:tc>
        <w:tc>
          <w:tcPr>
            <w:tcW w:w="641" w:type="dxa"/>
          </w:tcPr>
          <w:p w14:paraId="37F446E2" w14:textId="77777777" w:rsidR="00576F81" w:rsidRDefault="00576F81" w:rsidP="00AE065C">
            <w:pPr>
              <w:rPr>
                <w:sz w:val="20"/>
                <w:szCs w:val="20"/>
              </w:rPr>
            </w:pPr>
            <w:r>
              <w:rPr>
                <w:sz w:val="20"/>
                <w:szCs w:val="20"/>
              </w:rPr>
              <w:t>76,4</w:t>
            </w:r>
          </w:p>
        </w:tc>
      </w:tr>
      <w:tr w:rsidR="00576F81" w14:paraId="36EAD197" w14:textId="77777777" w:rsidTr="00576F81">
        <w:tc>
          <w:tcPr>
            <w:tcW w:w="449" w:type="dxa"/>
            <w:vMerge/>
          </w:tcPr>
          <w:p w14:paraId="68CCB73E" w14:textId="77777777" w:rsidR="00576F81" w:rsidRDefault="00576F81" w:rsidP="004F60CF">
            <w:pPr>
              <w:pStyle w:val="Paragraphedeliste"/>
              <w:numPr>
                <w:ilvl w:val="0"/>
                <w:numId w:val="2"/>
              </w:numPr>
            </w:pPr>
          </w:p>
        </w:tc>
        <w:tc>
          <w:tcPr>
            <w:tcW w:w="4018" w:type="dxa"/>
            <w:vMerge/>
          </w:tcPr>
          <w:p w14:paraId="109EA390" w14:textId="77777777" w:rsidR="00576F81" w:rsidRDefault="00576F81" w:rsidP="00AE065C">
            <w:pPr>
              <w:rPr>
                <w:sz w:val="20"/>
                <w:szCs w:val="20"/>
              </w:rPr>
            </w:pPr>
          </w:p>
        </w:tc>
        <w:tc>
          <w:tcPr>
            <w:tcW w:w="641" w:type="dxa"/>
          </w:tcPr>
          <w:p w14:paraId="30F57D37" w14:textId="77777777" w:rsidR="00576F81" w:rsidRPr="00AE065C" w:rsidRDefault="00576F81" w:rsidP="00AE065C">
            <w:pPr>
              <w:rPr>
                <w:sz w:val="16"/>
                <w:szCs w:val="16"/>
              </w:rPr>
            </w:pPr>
            <w:r w:rsidRPr="00AE065C">
              <w:rPr>
                <w:sz w:val="16"/>
                <w:szCs w:val="16"/>
              </w:rPr>
              <w:t>20-24</w:t>
            </w:r>
          </w:p>
        </w:tc>
        <w:tc>
          <w:tcPr>
            <w:tcW w:w="641" w:type="dxa"/>
          </w:tcPr>
          <w:p w14:paraId="54D17FC5" w14:textId="77777777" w:rsidR="00576F81" w:rsidRDefault="00576F81" w:rsidP="00AE065C">
            <w:pPr>
              <w:rPr>
                <w:sz w:val="20"/>
                <w:szCs w:val="20"/>
              </w:rPr>
            </w:pPr>
          </w:p>
        </w:tc>
        <w:tc>
          <w:tcPr>
            <w:tcW w:w="641" w:type="dxa"/>
          </w:tcPr>
          <w:p w14:paraId="041F8BC7" w14:textId="77777777" w:rsidR="00576F81" w:rsidRDefault="00576F81" w:rsidP="00AE065C">
            <w:pPr>
              <w:rPr>
                <w:sz w:val="20"/>
                <w:szCs w:val="20"/>
              </w:rPr>
            </w:pPr>
          </w:p>
        </w:tc>
        <w:tc>
          <w:tcPr>
            <w:tcW w:w="641" w:type="dxa"/>
          </w:tcPr>
          <w:p w14:paraId="4941F14A" w14:textId="77777777" w:rsidR="00576F81" w:rsidRDefault="00576F81" w:rsidP="00AE065C">
            <w:pPr>
              <w:rPr>
                <w:sz w:val="20"/>
                <w:szCs w:val="20"/>
              </w:rPr>
            </w:pPr>
            <w:r>
              <w:rPr>
                <w:sz w:val="20"/>
                <w:szCs w:val="20"/>
              </w:rPr>
              <w:t>67,4</w:t>
            </w:r>
          </w:p>
        </w:tc>
        <w:tc>
          <w:tcPr>
            <w:tcW w:w="641" w:type="dxa"/>
          </w:tcPr>
          <w:p w14:paraId="01D26CDE" w14:textId="77777777" w:rsidR="00576F81" w:rsidRDefault="00576F81" w:rsidP="00AE065C">
            <w:pPr>
              <w:rPr>
                <w:sz w:val="20"/>
                <w:szCs w:val="20"/>
              </w:rPr>
            </w:pPr>
            <w:r>
              <w:rPr>
                <w:sz w:val="20"/>
                <w:szCs w:val="20"/>
              </w:rPr>
              <w:t>71</w:t>
            </w:r>
          </w:p>
        </w:tc>
        <w:tc>
          <w:tcPr>
            <w:tcW w:w="641" w:type="dxa"/>
          </w:tcPr>
          <w:p w14:paraId="00A730FB" w14:textId="77777777" w:rsidR="00576F81" w:rsidRDefault="00576F81" w:rsidP="00AE065C">
            <w:pPr>
              <w:rPr>
                <w:sz w:val="20"/>
                <w:szCs w:val="20"/>
              </w:rPr>
            </w:pPr>
            <w:r>
              <w:rPr>
                <w:sz w:val="20"/>
                <w:szCs w:val="20"/>
              </w:rPr>
              <w:t>73,6</w:t>
            </w:r>
          </w:p>
        </w:tc>
        <w:tc>
          <w:tcPr>
            <w:tcW w:w="641" w:type="dxa"/>
          </w:tcPr>
          <w:p w14:paraId="290EC6BC" w14:textId="77777777" w:rsidR="00576F81" w:rsidRDefault="00576F81" w:rsidP="00AE065C">
            <w:pPr>
              <w:rPr>
                <w:sz w:val="20"/>
                <w:szCs w:val="20"/>
              </w:rPr>
            </w:pPr>
            <w:r>
              <w:rPr>
                <w:sz w:val="20"/>
                <w:szCs w:val="20"/>
              </w:rPr>
              <w:t>74,2</w:t>
            </w:r>
          </w:p>
        </w:tc>
      </w:tr>
      <w:tr w:rsidR="00576F81" w14:paraId="6BAFCE79" w14:textId="77777777" w:rsidTr="00576F81">
        <w:tc>
          <w:tcPr>
            <w:tcW w:w="449" w:type="dxa"/>
            <w:vMerge w:val="restart"/>
          </w:tcPr>
          <w:p w14:paraId="6977567F" w14:textId="77777777" w:rsidR="00576F81" w:rsidRDefault="00576F81" w:rsidP="004F60CF">
            <w:pPr>
              <w:pStyle w:val="Paragraphedeliste"/>
              <w:numPr>
                <w:ilvl w:val="0"/>
                <w:numId w:val="2"/>
              </w:numPr>
            </w:pPr>
          </w:p>
        </w:tc>
        <w:tc>
          <w:tcPr>
            <w:tcW w:w="4018" w:type="dxa"/>
            <w:vMerge w:val="restart"/>
          </w:tcPr>
          <w:p w14:paraId="223E36FB" w14:textId="77777777" w:rsidR="00576F81" w:rsidRDefault="00576F81" w:rsidP="00576F81">
            <w:pPr>
              <w:rPr>
                <w:sz w:val="20"/>
                <w:szCs w:val="20"/>
              </w:rPr>
            </w:pPr>
            <w:r>
              <w:rPr>
                <w:sz w:val="20"/>
                <w:szCs w:val="20"/>
              </w:rPr>
              <w:t>Pourcentage de femmes ayant eu des rapports sexuels avec plus d’un partenaire au cours des 12 derniers mois</w:t>
            </w:r>
          </w:p>
        </w:tc>
        <w:tc>
          <w:tcPr>
            <w:tcW w:w="641" w:type="dxa"/>
          </w:tcPr>
          <w:p w14:paraId="47D003CA" w14:textId="77777777" w:rsidR="00576F81" w:rsidRPr="00AE065C" w:rsidRDefault="00576F81" w:rsidP="00576F81">
            <w:pPr>
              <w:rPr>
                <w:sz w:val="16"/>
                <w:szCs w:val="16"/>
              </w:rPr>
            </w:pPr>
            <w:r w:rsidRPr="00AE065C">
              <w:rPr>
                <w:sz w:val="16"/>
                <w:szCs w:val="16"/>
              </w:rPr>
              <w:t>15-19</w:t>
            </w:r>
          </w:p>
        </w:tc>
        <w:tc>
          <w:tcPr>
            <w:tcW w:w="641" w:type="dxa"/>
          </w:tcPr>
          <w:p w14:paraId="122E3699" w14:textId="77777777" w:rsidR="00576F81" w:rsidRDefault="00576F81" w:rsidP="00576F81">
            <w:pPr>
              <w:rPr>
                <w:sz w:val="20"/>
                <w:szCs w:val="20"/>
              </w:rPr>
            </w:pPr>
            <w:r>
              <w:rPr>
                <w:sz w:val="20"/>
                <w:szCs w:val="20"/>
              </w:rPr>
              <w:t>2,3</w:t>
            </w:r>
          </w:p>
        </w:tc>
        <w:tc>
          <w:tcPr>
            <w:tcW w:w="641" w:type="dxa"/>
          </w:tcPr>
          <w:p w14:paraId="11F159BC" w14:textId="77777777" w:rsidR="00576F81" w:rsidRDefault="00576F81" w:rsidP="00576F81">
            <w:pPr>
              <w:rPr>
                <w:sz w:val="20"/>
                <w:szCs w:val="20"/>
              </w:rPr>
            </w:pPr>
            <w:r>
              <w:rPr>
                <w:sz w:val="20"/>
                <w:szCs w:val="20"/>
              </w:rPr>
              <w:t>11,8</w:t>
            </w:r>
          </w:p>
        </w:tc>
        <w:tc>
          <w:tcPr>
            <w:tcW w:w="641" w:type="dxa"/>
          </w:tcPr>
          <w:p w14:paraId="730C4614" w14:textId="77777777" w:rsidR="00576F81" w:rsidRDefault="00576F81" w:rsidP="00576F81">
            <w:pPr>
              <w:rPr>
                <w:sz w:val="20"/>
                <w:szCs w:val="20"/>
              </w:rPr>
            </w:pPr>
          </w:p>
        </w:tc>
        <w:tc>
          <w:tcPr>
            <w:tcW w:w="641" w:type="dxa"/>
          </w:tcPr>
          <w:p w14:paraId="38E963BA" w14:textId="77777777" w:rsidR="00576F81" w:rsidRDefault="00576F81" w:rsidP="00576F81">
            <w:pPr>
              <w:rPr>
                <w:sz w:val="20"/>
                <w:szCs w:val="20"/>
              </w:rPr>
            </w:pPr>
          </w:p>
        </w:tc>
        <w:tc>
          <w:tcPr>
            <w:tcW w:w="641" w:type="dxa"/>
          </w:tcPr>
          <w:p w14:paraId="6CA3B727" w14:textId="77777777" w:rsidR="00576F81" w:rsidRDefault="00576F81" w:rsidP="00576F81">
            <w:pPr>
              <w:rPr>
                <w:sz w:val="20"/>
                <w:szCs w:val="20"/>
              </w:rPr>
            </w:pPr>
            <w:r>
              <w:rPr>
                <w:sz w:val="20"/>
                <w:szCs w:val="20"/>
              </w:rPr>
              <w:t>0,9</w:t>
            </w:r>
          </w:p>
        </w:tc>
        <w:tc>
          <w:tcPr>
            <w:tcW w:w="641" w:type="dxa"/>
          </w:tcPr>
          <w:p w14:paraId="5FB6322D" w14:textId="77777777" w:rsidR="00576F81" w:rsidRDefault="00576F81" w:rsidP="00576F81">
            <w:pPr>
              <w:rPr>
                <w:sz w:val="20"/>
                <w:szCs w:val="20"/>
              </w:rPr>
            </w:pPr>
            <w:r>
              <w:rPr>
                <w:sz w:val="20"/>
                <w:szCs w:val="20"/>
              </w:rPr>
              <w:t>2</w:t>
            </w:r>
          </w:p>
        </w:tc>
      </w:tr>
      <w:tr w:rsidR="00576F81" w14:paraId="472C5120" w14:textId="77777777" w:rsidTr="00576F81">
        <w:tc>
          <w:tcPr>
            <w:tcW w:w="449" w:type="dxa"/>
            <w:vMerge/>
          </w:tcPr>
          <w:p w14:paraId="5290E7E6" w14:textId="77777777" w:rsidR="00576F81" w:rsidRDefault="00576F81" w:rsidP="00576F81"/>
        </w:tc>
        <w:tc>
          <w:tcPr>
            <w:tcW w:w="4018" w:type="dxa"/>
            <w:vMerge/>
          </w:tcPr>
          <w:p w14:paraId="1C1D4AC8" w14:textId="77777777" w:rsidR="00576F81" w:rsidRDefault="00576F81" w:rsidP="00576F81">
            <w:pPr>
              <w:rPr>
                <w:sz w:val="20"/>
                <w:szCs w:val="20"/>
              </w:rPr>
            </w:pPr>
          </w:p>
        </w:tc>
        <w:tc>
          <w:tcPr>
            <w:tcW w:w="641" w:type="dxa"/>
          </w:tcPr>
          <w:p w14:paraId="2ACAA789" w14:textId="77777777" w:rsidR="00576F81" w:rsidRPr="00AE065C" w:rsidRDefault="00576F81" w:rsidP="00576F81">
            <w:pPr>
              <w:rPr>
                <w:sz w:val="16"/>
                <w:szCs w:val="16"/>
              </w:rPr>
            </w:pPr>
            <w:r w:rsidRPr="00AE065C">
              <w:rPr>
                <w:sz w:val="16"/>
                <w:szCs w:val="16"/>
              </w:rPr>
              <w:t>20-24</w:t>
            </w:r>
          </w:p>
        </w:tc>
        <w:tc>
          <w:tcPr>
            <w:tcW w:w="641" w:type="dxa"/>
          </w:tcPr>
          <w:p w14:paraId="3B89F42F" w14:textId="77777777" w:rsidR="00576F81" w:rsidRDefault="00576F81" w:rsidP="00576F81">
            <w:pPr>
              <w:rPr>
                <w:sz w:val="20"/>
                <w:szCs w:val="20"/>
              </w:rPr>
            </w:pPr>
            <w:r>
              <w:rPr>
                <w:sz w:val="20"/>
                <w:szCs w:val="20"/>
              </w:rPr>
              <w:t>0,4</w:t>
            </w:r>
          </w:p>
        </w:tc>
        <w:tc>
          <w:tcPr>
            <w:tcW w:w="641" w:type="dxa"/>
          </w:tcPr>
          <w:p w14:paraId="36697881" w14:textId="77777777" w:rsidR="00576F81" w:rsidRDefault="00576F81" w:rsidP="00576F81">
            <w:pPr>
              <w:rPr>
                <w:sz w:val="20"/>
                <w:szCs w:val="20"/>
              </w:rPr>
            </w:pPr>
            <w:r>
              <w:rPr>
                <w:sz w:val="20"/>
                <w:szCs w:val="20"/>
              </w:rPr>
              <w:t>16</w:t>
            </w:r>
          </w:p>
        </w:tc>
        <w:tc>
          <w:tcPr>
            <w:tcW w:w="641" w:type="dxa"/>
          </w:tcPr>
          <w:p w14:paraId="0740C701" w14:textId="77777777" w:rsidR="00576F81" w:rsidRDefault="00576F81" w:rsidP="00576F81">
            <w:pPr>
              <w:rPr>
                <w:sz w:val="20"/>
                <w:szCs w:val="20"/>
              </w:rPr>
            </w:pPr>
          </w:p>
        </w:tc>
        <w:tc>
          <w:tcPr>
            <w:tcW w:w="641" w:type="dxa"/>
          </w:tcPr>
          <w:p w14:paraId="5B1F388B" w14:textId="77777777" w:rsidR="00576F81" w:rsidRDefault="00576F81" w:rsidP="00576F81">
            <w:pPr>
              <w:rPr>
                <w:sz w:val="20"/>
                <w:szCs w:val="20"/>
              </w:rPr>
            </w:pPr>
          </w:p>
        </w:tc>
        <w:tc>
          <w:tcPr>
            <w:tcW w:w="641" w:type="dxa"/>
          </w:tcPr>
          <w:p w14:paraId="57C91BC3" w14:textId="77777777" w:rsidR="00576F81" w:rsidRDefault="00576F81" w:rsidP="00576F81">
            <w:pPr>
              <w:rPr>
                <w:sz w:val="20"/>
                <w:szCs w:val="20"/>
              </w:rPr>
            </w:pPr>
            <w:r>
              <w:rPr>
                <w:sz w:val="20"/>
                <w:szCs w:val="20"/>
              </w:rPr>
              <w:t>0,9</w:t>
            </w:r>
          </w:p>
        </w:tc>
        <w:tc>
          <w:tcPr>
            <w:tcW w:w="641" w:type="dxa"/>
          </w:tcPr>
          <w:p w14:paraId="593AFDED" w14:textId="77777777" w:rsidR="00576F81" w:rsidRDefault="00576F81" w:rsidP="00576F81">
            <w:pPr>
              <w:rPr>
                <w:sz w:val="20"/>
                <w:szCs w:val="20"/>
              </w:rPr>
            </w:pPr>
            <w:r>
              <w:rPr>
                <w:sz w:val="20"/>
                <w:szCs w:val="20"/>
              </w:rPr>
              <w:t>11,5</w:t>
            </w:r>
          </w:p>
        </w:tc>
      </w:tr>
    </w:tbl>
    <w:p w14:paraId="167F0AB1" w14:textId="77777777" w:rsidR="002F2DCF" w:rsidRPr="001E2F3F" w:rsidRDefault="002F2DCF" w:rsidP="00843FC2">
      <w:pPr>
        <w:spacing w:before="240" w:after="0"/>
        <w:jc w:val="both"/>
        <w:rPr>
          <w:b/>
          <w:sz w:val="24"/>
          <w:szCs w:val="24"/>
        </w:rPr>
      </w:pPr>
      <w:bookmarkStart w:id="2" w:name="_Toc522532902"/>
      <w:r w:rsidRPr="001E2F3F">
        <w:rPr>
          <w:b/>
          <w:sz w:val="24"/>
          <w:szCs w:val="24"/>
        </w:rPr>
        <w:t>La pratique de rapports sexuels à haut risque et non protégés</w:t>
      </w:r>
    </w:p>
    <w:p w14:paraId="22C9ECA3" w14:textId="77777777" w:rsidR="002F2DCF" w:rsidRPr="001E2F3F" w:rsidRDefault="00DD4489" w:rsidP="00843FC2">
      <w:pPr>
        <w:spacing w:after="0"/>
        <w:jc w:val="both"/>
        <w:rPr>
          <w:sz w:val="24"/>
          <w:szCs w:val="24"/>
        </w:rPr>
      </w:pPr>
      <w:r w:rsidRPr="001E2F3F">
        <w:rPr>
          <w:sz w:val="24"/>
          <w:szCs w:val="24"/>
        </w:rPr>
        <w:t xml:space="preserve">En 1999, </w:t>
      </w:r>
      <w:r w:rsidR="00BC6E90" w:rsidRPr="001E2F3F">
        <w:rPr>
          <w:sz w:val="24"/>
          <w:szCs w:val="24"/>
        </w:rPr>
        <w:t>l</w:t>
      </w:r>
      <w:r w:rsidR="002F2DCF" w:rsidRPr="001E2F3F">
        <w:rPr>
          <w:sz w:val="24"/>
          <w:szCs w:val="24"/>
        </w:rPr>
        <w:t xml:space="preserve">e pourcentage de femmes ayant eu des rapports sexuels avec plus d’un partenaire au cours des 12 derniers mois </w:t>
      </w:r>
      <w:r w:rsidRPr="001E2F3F">
        <w:rPr>
          <w:sz w:val="24"/>
          <w:szCs w:val="24"/>
        </w:rPr>
        <w:t>éta</w:t>
      </w:r>
      <w:r w:rsidR="002F2DCF" w:rsidRPr="001E2F3F">
        <w:rPr>
          <w:sz w:val="24"/>
          <w:szCs w:val="24"/>
        </w:rPr>
        <w:t>ient de</w:t>
      </w:r>
      <w:r w:rsidR="00BC6E90" w:rsidRPr="001E2F3F">
        <w:rPr>
          <w:sz w:val="24"/>
          <w:szCs w:val="24"/>
        </w:rPr>
        <w:t xml:space="preserve"> 2,3 % pour les </w:t>
      </w:r>
      <w:r w:rsidRPr="001E2F3F">
        <w:rPr>
          <w:sz w:val="24"/>
          <w:szCs w:val="24"/>
        </w:rPr>
        <w:t>adolescent</w:t>
      </w:r>
      <w:r w:rsidR="00BC6E90" w:rsidRPr="001E2F3F">
        <w:rPr>
          <w:sz w:val="24"/>
          <w:szCs w:val="24"/>
        </w:rPr>
        <w:t>es</w:t>
      </w:r>
      <w:r w:rsidRPr="001E2F3F">
        <w:rPr>
          <w:sz w:val="24"/>
          <w:szCs w:val="24"/>
        </w:rPr>
        <w:t xml:space="preserve"> </w:t>
      </w:r>
      <w:r w:rsidR="00BC6E90" w:rsidRPr="001E2F3F">
        <w:rPr>
          <w:sz w:val="24"/>
          <w:szCs w:val="24"/>
        </w:rPr>
        <w:t xml:space="preserve">et 11,8 % pour les </w:t>
      </w:r>
      <w:r w:rsidRPr="001E2F3F">
        <w:rPr>
          <w:sz w:val="24"/>
          <w:szCs w:val="24"/>
        </w:rPr>
        <w:t>adolescents et 2010 ces proportions étaient respectivement de 0,9 et 2 %</w:t>
      </w:r>
      <w:r w:rsidR="00BC6E90" w:rsidRPr="001E2F3F">
        <w:rPr>
          <w:sz w:val="24"/>
          <w:szCs w:val="24"/>
        </w:rPr>
        <w:t xml:space="preserve">. </w:t>
      </w:r>
      <w:r w:rsidR="00597748" w:rsidRPr="001E2F3F">
        <w:rPr>
          <w:sz w:val="24"/>
          <w:szCs w:val="24"/>
        </w:rPr>
        <w:t>Dans la population des jeunes (20-24 ans), c</w:t>
      </w:r>
      <w:r w:rsidR="00BC6E90" w:rsidRPr="001E2F3F">
        <w:rPr>
          <w:sz w:val="24"/>
          <w:szCs w:val="24"/>
        </w:rPr>
        <w:t xml:space="preserve">es proportions étaient respectivement de 0,4 % et 16 % </w:t>
      </w:r>
      <w:r w:rsidR="00597748" w:rsidRPr="001E2F3F">
        <w:rPr>
          <w:sz w:val="24"/>
          <w:szCs w:val="24"/>
        </w:rPr>
        <w:t>en 1999 et de 0,9 et 11,5 % en 2010.</w:t>
      </w:r>
    </w:p>
    <w:p w14:paraId="3787F5DE" w14:textId="77777777" w:rsidR="00DB7798" w:rsidRPr="001E2F3F" w:rsidRDefault="00597748" w:rsidP="00843FC2">
      <w:pPr>
        <w:spacing w:after="0"/>
        <w:jc w:val="both"/>
        <w:rPr>
          <w:sz w:val="24"/>
          <w:szCs w:val="24"/>
        </w:rPr>
      </w:pPr>
      <w:r w:rsidRPr="001E2F3F">
        <w:rPr>
          <w:sz w:val="24"/>
          <w:szCs w:val="24"/>
        </w:rPr>
        <w:t xml:space="preserve">Parmi les 15 – 19 ans, le pourcentage des adolescents ayant utilisé un condom au cours des derniers rapports à haut risque était de </w:t>
      </w:r>
      <w:r w:rsidR="00DB7798" w:rsidRPr="001E2F3F">
        <w:rPr>
          <w:sz w:val="24"/>
          <w:szCs w:val="24"/>
        </w:rPr>
        <w:t>46,4 % pour les filles et 61,6 % pour les garçons en 2003 et de 57,3 % et 76,4 % en 2010.</w:t>
      </w:r>
      <w:r w:rsidR="00AC4F28" w:rsidRPr="001E2F3F">
        <w:rPr>
          <w:sz w:val="24"/>
          <w:szCs w:val="24"/>
        </w:rPr>
        <w:t xml:space="preserve"> </w:t>
      </w:r>
      <w:r w:rsidR="004B2318" w:rsidRPr="001E2F3F">
        <w:rPr>
          <w:sz w:val="24"/>
          <w:szCs w:val="24"/>
        </w:rPr>
        <w:t xml:space="preserve"> </w:t>
      </w:r>
      <w:r w:rsidR="00DB7798" w:rsidRPr="001E2F3F">
        <w:rPr>
          <w:sz w:val="24"/>
          <w:szCs w:val="24"/>
        </w:rPr>
        <w:t>Dans la population des 20-24 ans</w:t>
      </w:r>
      <w:r w:rsidR="00E71C47" w:rsidRPr="001E2F3F">
        <w:rPr>
          <w:sz w:val="24"/>
          <w:szCs w:val="24"/>
        </w:rPr>
        <w:t>,</w:t>
      </w:r>
      <w:r w:rsidR="00DB7798" w:rsidRPr="001E2F3F">
        <w:rPr>
          <w:sz w:val="24"/>
          <w:szCs w:val="24"/>
        </w:rPr>
        <w:t xml:space="preserve"> ces proportions étaient respectivement de 67,4 % et 71 % en 2003 et 73,6 et 74,2 % en 2010. </w:t>
      </w:r>
    </w:p>
    <w:p w14:paraId="75F01884" w14:textId="77777777" w:rsidR="00AC4F28" w:rsidRPr="001E2F3F" w:rsidRDefault="00AC4F28" w:rsidP="00843FC2">
      <w:pPr>
        <w:spacing w:after="0"/>
        <w:jc w:val="both"/>
        <w:rPr>
          <w:sz w:val="24"/>
          <w:szCs w:val="24"/>
        </w:rPr>
      </w:pPr>
      <w:r w:rsidRPr="001E2F3F">
        <w:rPr>
          <w:sz w:val="24"/>
          <w:szCs w:val="24"/>
        </w:rPr>
        <w:t>En 2010, la proportion des rapports à risque mais protégés a légèrement progressé</w:t>
      </w:r>
      <w:r w:rsidR="0039318F" w:rsidRPr="001E2F3F">
        <w:rPr>
          <w:sz w:val="24"/>
          <w:szCs w:val="24"/>
        </w:rPr>
        <w:t xml:space="preserve">. Cette progression est un peu plus chez les garçons que chez les filles où on observe </w:t>
      </w:r>
      <w:r w:rsidRPr="001E2F3F">
        <w:rPr>
          <w:sz w:val="24"/>
          <w:szCs w:val="24"/>
        </w:rPr>
        <w:t>plus de 42 % de rapports</w:t>
      </w:r>
      <w:r w:rsidR="0039318F" w:rsidRPr="001E2F3F">
        <w:rPr>
          <w:sz w:val="24"/>
          <w:szCs w:val="24"/>
        </w:rPr>
        <w:t xml:space="preserve"> sexuels à risque sans protection </w:t>
      </w:r>
      <w:r w:rsidRPr="001E2F3F">
        <w:rPr>
          <w:sz w:val="24"/>
          <w:szCs w:val="24"/>
        </w:rPr>
        <w:t xml:space="preserve">chez les 15-19 ans et </w:t>
      </w:r>
      <w:r w:rsidR="0039318F" w:rsidRPr="001E2F3F">
        <w:rPr>
          <w:sz w:val="24"/>
          <w:szCs w:val="24"/>
        </w:rPr>
        <w:t xml:space="preserve">26 % chez les 20-24 ans. </w:t>
      </w:r>
    </w:p>
    <w:p w14:paraId="16E97C1D" w14:textId="77777777" w:rsidR="00B54701" w:rsidRPr="001E2F3F" w:rsidRDefault="00B54701" w:rsidP="00843FC2">
      <w:pPr>
        <w:spacing w:after="0"/>
        <w:jc w:val="both"/>
        <w:rPr>
          <w:b/>
          <w:sz w:val="24"/>
          <w:szCs w:val="24"/>
        </w:rPr>
      </w:pPr>
      <w:r w:rsidRPr="001E2F3F">
        <w:rPr>
          <w:b/>
          <w:sz w:val="24"/>
          <w:szCs w:val="24"/>
        </w:rPr>
        <w:t>Les IST et VIH-SIDA</w:t>
      </w:r>
    </w:p>
    <w:p w14:paraId="164B1744" w14:textId="77777777" w:rsidR="00B54701" w:rsidRPr="001E2F3F" w:rsidRDefault="00B54701" w:rsidP="00843FC2">
      <w:pPr>
        <w:spacing w:after="0"/>
        <w:jc w:val="both"/>
        <w:rPr>
          <w:sz w:val="24"/>
          <w:szCs w:val="24"/>
        </w:rPr>
      </w:pPr>
      <w:r w:rsidRPr="001E2F3F">
        <w:rPr>
          <w:sz w:val="24"/>
          <w:szCs w:val="24"/>
        </w:rPr>
        <w:t>La proportion des adolescents ayant déclaré avoir fait une IST au cours des derniers 12 mois précédents l’enquête était pour les filles et les garçons de 0,3 et 1,9 % en 1999, 1,6 et 1,3 % en 2003 et 2,9 et 1,5 % en 2010. La tendance est variable chez les adolescents, mais par contre elle est croissante chez les adolescentes.</w:t>
      </w:r>
    </w:p>
    <w:p w14:paraId="59C83E0E" w14:textId="77777777" w:rsidR="00B54701" w:rsidRDefault="00B54701" w:rsidP="00843FC2">
      <w:pPr>
        <w:spacing w:after="0"/>
        <w:jc w:val="both"/>
        <w:rPr>
          <w:rFonts w:cs="Arial"/>
          <w:sz w:val="24"/>
          <w:szCs w:val="24"/>
        </w:rPr>
      </w:pPr>
      <w:r w:rsidRPr="001E2F3F">
        <w:rPr>
          <w:rFonts w:cs="Arial"/>
          <w:sz w:val="24"/>
          <w:szCs w:val="24"/>
        </w:rPr>
        <w:lastRenderedPageBreak/>
        <w:t>En 2010, la prévalence du VIH/SIDA est de 0,1% pour les filles et 0,4 pour les garçons de 15-19 ans.  Chez les 20-24 ans, elle était de 0,4 % pour les filles et de 0,5 % pour les garçons</w:t>
      </w:r>
      <w:r w:rsidRPr="001E2F3F">
        <w:rPr>
          <w:rStyle w:val="Appelnotedebasdep"/>
          <w:rFonts w:cs="Arial"/>
          <w:sz w:val="24"/>
          <w:szCs w:val="24"/>
        </w:rPr>
        <w:footnoteReference w:id="26"/>
      </w:r>
      <w:r w:rsidRPr="001E2F3F">
        <w:rPr>
          <w:rFonts w:cs="Arial"/>
          <w:sz w:val="24"/>
          <w:szCs w:val="24"/>
        </w:rPr>
        <w:t>.</w:t>
      </w:r>
    </w:p>
    <w:p w14:paraId="72017B52" w14:textId="77777777" w:rsidR="00033D18" w:rsidRPr="001E2F3F" w:rsidRDefault="00033D18" w:rsidP="00843FC2">
      <w:pPr>
        <w:jc w:val="both"/>
        <w:rPr>
          <w:sz w:val="24"/>
          <w:szCs w:val="24"/>
        </w:rPr>
      </w:pPr>
      <w:r w:rsidRPr="00033D18">
        <w:rPr>
          <w:sz w:val="24"/>
          <w:szCs w:val="24"/>
        </w:rPr>
        <w:t>En effet, la tendance globale de l’infection au VIH est à la baisse chez les populations adultes, alors qu’elle est en hausse chez les adolescent(e)s : 0.9% chez les adultes de 19-49 ans et 1.33% chez les adolescents de 15-19 ans</w:t>
      </w:r>
      <w:r w:rsidRPr="00033D18">
        <w:rPr>
          <w:rStyle w:val="Appelnotedebasdep"/>
          <w:sz w:val="24"/>
          <w:szCs w:val="24"/>
        </w:rPr>
        <w:footnoteReference w:id="27"/>
      </w:r>
      <w:r w:rsidRPr="00033D18">
        <w:rPr>
          <w:sz w:val="24"/>
          <w:szCs w:val="24"/>
        </w:rPr>
        <w:t xml:space="preserve">. </w:t>
      </w:r>
    </w:p>
    <w:p w14:paraId="3DE4E9A2" w14:textId="77777777" w:rsidR="004735F7" w:rsidRPr="001E2F3F" w:rsidRDefault="004735F7" w:rsidP="00843FC2">
      <w:pPr>
        <w:spacing w:after="0"/>
        <w:jc w:val="both"/>
        <w:rPr>
          <w:b/>
          <w:sz w:val="24"/>
          <w:szCs w:val="24"/>
        </w:rPr>
      </w:pPr>
      <w:r w:rsidRPr="001E2F3F">
        <w:rPr>
          <w:b/>
          <w:sz w:val="24"/>
          <w:szCs w:val="24"/>
        </w:rPr>
        <w:t xml:space="preserve">Grossesses non désirées et avortements clandestins </w:t>
      </w:r>
    </w:p>
    <w:p w14:paraId="11E3B49C" w14:textId="77777777" w:rsidR="004B2318" w:rsidRPr="001E2F3F" w:rsidRDefault="004735F7" w:rsidP="00843FC2">
      <w:pPr>
        <w:spacing w:after="0"/>
        <w:jc w:val="both"/>
        <w:rPr>
          <w:rFonts w:cs="Arial"/>
          <w:sz w:val="24"/>
          <w:szCs w:val="24"/>
        </w:rPr>
      </w:pPr>
      <w:r w:rsidRPr="001E2F3F">
        <w:rPr>
          <w:rFonts w:cs="Arial"/>
          <w:sz w:val="24"/>
          <w:szCs w:val="24"/>
        </w:rPr>
        <w:t>Les grossesses non désirées chez les adolescents et jeunes sont la conséquence d’une sexualité précoce, à risque non protégée et un taux d’utilisation bas de la contraception. Cette situation entraine un enchaînement de problèmes dont l</w:t>
      </w:r>
      <w:r w:rsidR="007C0E33" w:rsidRPr="001E2F3F">
        <w:rPr>
          <w:rFonts w:cs="Arial"/>
          <w:sz w:val="24"/>
          <w:szCs w:val="24"/>
        </w:rPr>
        <w:t>’</w:t>
      </w:r>
      <w:r w:rsidRPr="001E2F3F">
        <w:rPr>
          <w:rFonts w:cs="Arial"/>
          <w:sz w:val="24"/>
          <w:szCs w:val="24"/>
        </w:rPr>
        <w:t>avortement clandestin, l</w:t>
      </w:r>
      <w:r w:rsidR="007C0E33" w:rsidRPr="001E2F3F">
        <w:rPr>
          <w:rFonts w:cs="Arial"/>
          <w:sz w:val="24"/>
          <w:szCs w:val="24"/>
        </w:rPr>
        <w:t>’</w:t>
      </w:r>
      <w:r w:rsidRPr="001E2F3F">
        <w:rPr>
          <w:rFonts w:cs="Arial"/>
          <w:sz w:val="24"/>
          <w:szCs w:val="24"/>
        </w:rPr>
        <w:t>infanticide, l</w:t>
      </w:r>
      <w:r w:rsidR="007C0E33" w:rsidRPr="001E2F3F">
        <w:rPr>
          <w:rFonts w:cs="Arial"/>
          <w:sz w:val="24"/>
          <w:szCs w:val="24"/>
        </w:rPr>
        <w:t>’</w:t>
      </w:r>
      <w:r w:rsidRPr="001E2F3F">
        <w:rPr>
          <w:rFonts w:cs="Arial"/>
          <w:sz w:val="24"/>
          <w:szCs w:val="24"/>
        </w:rPr>
        <w:t>abandon scolaire et l</w:t>
      </w:r>
      <w:r w:rsidR="007C0E33" w:rsidRPr="001E2F3F">
        <w:rPr>
          <w:rFonts w:cs="Arial"/>
          <w:sz w:val="24"/>
          <w:szCs w:val="24"/>
        </w:rPr>
        <w:t>’</w:t>
      </w:r>
      <w:r w:rsidRPr="001E2F3F">
        <w:rPr>
          <w:rFonts w:cs="Arial"/>
          <w:sz w:val="24"/>
          <w:szCs w:val="24"/>
        </w:rPr>
        <w:t>exclusion familiale.</w:t>
      </w:r>
      <w:r w:rsidR="004B2318" w:rsidRPr="001E2F3F">
        <w:rPr>
          <w:rFonts w:cs="Arial"/>
          <w:sz w:val="24"/>
          <w:szCs w:val="24"/>
        </w:rPr>
        <w:t xml:space="preserve"> </w:t>
      </w:r>
    </w:p>
    <w:p w14:paraId="67948675" w14:textId="77777777" w:rsidR="00B54701" w:rsidRDefault="004B2318" w:rsidP="00843FC2">
      <w:pPr>
        <w:spacing w:after="0"/>
        <w:jc w:val="both"/>
        <w:rPr>
          <w:rFonts w:cs="OfficinaSans-Book"/>
          <w:sz w:val="24"/>
          <w:szCs w:val="24"/>
        </w:rPr>
      </w:pPr>
      <w:r w:rsidRPr="001E2F3F">
        <w:rPr>
          <w:rFonts w:cs="Arial"/>
          <w:sz w:val="24"/>
          <w:szCs w:val="24"/>
        </w:rPr>
        <w:t>En 2015, la prévalence contraceptive chez les 15-19 ans et de 12,6 et 21,6% chez les 20-24 ans</w:t>
      </w:r>
      <w:r w:rsidRPr="001E2F3F">
        <w:rPr>
          <w:rStyle w:val="Appelnotedebasdep"/>
          <w:rFonts w:cs="Arial"/>
          <w:sz w:val="24"/>
          <w:szCs w:val="24"/>
        </w:rPr>
        <w:footnoteReference w:id="28"/>
      </w:r>
      <w:r w:rsidRPr="001E2F3F">
        <w:rPr>
          <w:rFonts w:cs="Arial"/>
          <w:sz w:val="24"/>
          <w:szCs w:val="24"/>
        </w:rPr>
        <w:t>.</w:t>
      </w:r>
      <w:r w:rsidR="004735F7" w:rsidRPr="001E2F3F">
        <w:rPr>
          <w:rFonts w:cs="Arial"/>
          <w:sz w:val="24"/>
          <w:szCs w:val="24"/>
        </w:rPr>
        <w:t xml:space="preserve"> </w:t>
      </w:r>
      <w:r w:rsidR="00B54701" w:rsidRPr="001E2F3F">
        <w:rPr>
          <w:rFonts w:cs="OfficinaSans-Book"/>
          <w:sz w:val="24"/>
          <w:szCs w:val="24"/>
        </w:rPr>
        <w:t>En 2012, environ 105 000 avortements ont été pratiqués au Burkina Faso</w:t>
      </w:r>
      <w:r w:rsidR="00A54FC4">
        <w:rPr>
          <w:rFonts w:cs="OfficinaSans-Book"/>
          <w:sz w:val="24"/>
          <w:szCs w:val="24"/>
        </w:rPr>
        <w:t xml:space="preserve"> et</w:t>
      </w:r>
      <w:r w:rsidR="00B54701" w:rsidRPr="001E2F3F">
        <w:rPr>
          <w:rFonts w:cs="OfficinaSans-Book"/>
          <w:sz w:val="24"/>
          <w:szCs w:val="24"/>
        </w:rPr>
        <w:t xml:space="preserve"> le taux</w:t>
      </w:r>
      <w:r w:rsidR="00A54FC4" w:rsidRPr="00A54FC4">
        <w:rPr>
          <w:rFonts w:cs="OfficinaSans-Book"/>
          <w:sz w:val="24"/>
          <w:szCs w:val="24"/>
        </w:rPr>
        <w:t xml:space="preserve"> </w:t>
      </w:r>
      <w:r w:rsidR="00A54FC4" w:rsidRPr="001E2F3F">
        <w:rPr>
          <w:rFonts w:cs="OfficinaSans-Book"/>
          <w:sz w:val="24"/>
          <w:szCs w:val="24"/>
        </w:rPr>
        <w:t>national</w:t>
      </w:r>
      <w:r w:rsidR="00B54701" w:rsidRPr="001E2F3F">
        <w:rPr>
          <w:rFonts w:cs="OfficinaSans-Book"/>
          <w:sz w:val="24"/>
          <w:szCs w:val="24"/>
        </w:rPr>
        <w:t xml:space="preserve"> d’avortement était de 25 pour 1 000 femmes âgées de 15 à 49 ans.</w:t>
      </w:r>
    </w:p>
    <w:p w14:paraId="47F722C6" w14:textId="77777777" w:rsidR="007F450E" w:rsidRPr="007F450E" w:rsidRDefault="007F450E" w:rsidP="008D79CC">
      <w:pPr>
        <w:spacing w:after="0"/>
        <w:rPr>
          <w:sz w:val="24"/>
          <w:szCs w:val="24"/>
        </w:rPr>
      </w:pPr>
      <w:r w:rsidRPr="007F450E">
        <w:rPr>
          <w:sz w:val="24"/>
          <w:szCs w:val="24"/>
        </w:rPr>
        <w:t xml:space="preserve">La problématique des grossesses non désirées est surtout préoccupante en milieu scolaire. Au cours de l'année scolaire </w:t>
      </w:r>
      <w:r>
        <w:rPr>
          <w:sz w:val="24"/>
          <w:szCs w:val="24"/>
        </w:rPr>
        <w:t>2010-</w:t>
      </w:r>
      <w:r w:rsidRPr="007F450E">
        <w:rPr>
          <w:sz w:val="24"/>
          <w:szCs w:val="24"/>
        </w:rPr>
        <w:t>11, les DS de Ouahigouya et de Gaoua ont enregistré respectivement 119 et 276 cas de grossesses d'adolescentes dans les écoles. Dans le DS de Bobo, 27 cas de grossesses  ont été notifiés dans une classe du CM2 durant l'année scolaire 2010-11</w:t>
      </w:r>
      <w:r w:rsidRPr="007F450E">
        <w:rPr>
          <w:sz w:val="24"/>
          <w:szCs w:val="24"/>
          <w:vertAlign w:val="superscript"/>
        </w:rPr>
        <w:footnoteReference w:id="29"/>
      </w:r>
      <w:r w:rsidRPr="007F450E">
        <w:rPr>
          <w:sz w:val="24"/>
          <w:szCs w:val="24"/>
        </w:rPr>
        <w:t>.</w:t>
      </w:r>
    </w:p>
    <w:p w14:paraId="1F331B13" w14:textId="33819F0C" w:rsidR="007F450E" w:rsidRDefault="00D60C49" w:rsidP="008D79CC">
      <w:pPr>
        <w:jc w:val="both"/>
        <w:rPr>
          <w:rFonts w:cs="OfficinaSans-Book"/>
          <w:sz w:val="24"/>
          <w:szCs w:val="24"/>
        </w:rPr>
      </w:pPr>
      <w:r w:rsidRPr="001E2F3F">
        <w:rPr>
          <w:sz w:val="24"/>
          <w:szCs w:val="24"/>
        </w:rPr>
        <w:t>En 2008, 65% des femmes qui avaient eu recours à l’avortement dans les deux années précédentes avaient entre 15 et 24 ans. Six femmes sur 10 qui on</w:t>
      </w:r>
      <w:r w:rsidR="004B5BD2">
        <w:rPr>
          <w:sz w:val="24"/>
          <w:szCs w:val="24"/>
        </w:rPr>
        <w:t xml:space="preserve">t avorté n’étaient pas mariées. </w:t>
      </w:r>
      <w:r w:rsidRPr="001E2F3F">
        <w:rPr>
          <w:sz w:val="24"/>
          <w:szCs w:val="24"/>
        </w:rPr>
        <w:t xml:space="preserve">Le recours à des méthodes d’avortement sûr reste très faible au Burkina Faso et il est presque inexistant chez les femmes des zones </w:t>
      </w:r>
      <w:r w:rsidR="0003358C" w:rsidRPr="001E2F3F">
        <w:rPr>
          <w:sz w:val="24"/>
          <w:szCs w:val="24"/>
        </w:rPr>
        <w:t>rurales où</w:t>
      </w:r>
      <w:r w:rsidRPr="001E2F3F">
        <w:rPr>
          <w:sz w:val="24"/>
          <w:szCs w:val="24"/>
        </w:rPr>
        <w:t xml:space="preserve"> 97% des avortements sont à risque.</w:t>
      </w:r>
      <w:r w:rsidRPr="001E2F3F">
        <w:rPr>
          <w:rFonts w:cs="OfficinaSans-Book"/>
          <w:sz w:val="24"/>
          <w:szCs w:val="24"/>
        </w:rPr>
        <w:t xml:space="preserve"> </w:t>
      </w:r>
      <w:r w:rsidR="0003358C" w:rsidRPr="001E2F3F">
        <w:rPr>
          <w:rFonts w:cs="OfficinaSans-Book"/>
          <w:sz w:val="24"/>
          <w:szCs w:val="24"/>
        </w:rPr>
        <w:t>En 2008, e</w:t>
      </w:r>
      <w:r w:rsidRPr="001E2F3F">
        <w:rPr>
          <w:rFonts w:cs="OfficinaSans-Book"/>
          <w:sz w:val="24"/>
          <w:szCs w:val="24"/>
        </w:rPr>
        <w:t>nviron 23</w:t>
      </w:r>
      <w:r w:rsidR="0003358C" w:rsidRPr="001E2F3F">
        <w:rPr>
          <w:rFonts w:cs="OfficinaSans-Book"/>
          <w:sz w:val="24"/>
          <w:szCs w:val="24"/>
        </w:rPr>
        <w:t> </w:t>
      </w:r>
      <w:r w:rsidRPr="001E2F3F">
        <w:rPr>
          <w:rFonts w:cs="OfficinaSans-Book"/>
          <w:sz w:val="24"/>
          <w:szCs w:val="24"/>
        </w:rPr>
        <w:t>000</w:t>
      </w:r>
      <w:r w:rsidR="0003358C" w:rsidRPr="001E2F3F">
        <w:rPr>
          <w:rFonts w:cs="OfficinaSans-Book"/>
          <w:sz w:val="24"/>
          <w:szCs w:val="24"/>
        </w:rPr>
        <w:t xml:space="preserve"> </w:t>
      </w:r>
      <w:r w:rsidRPr="001E2F3F">
        <w:rPr>
          <w:rFonts w:cs="OfficinaSans-Book"/>
          <w:sz w:val="24"/>
          <w:szCs w:val="24"/>
        </w:rPr>
        <w:t>femmes ont été traitées pour complications liées à un avortement</w:t>
      </w:r>
      <w:r w:rsidR="0003358C" w:rsidRPr="001E2F3F">
        <w:rPr>
          <w:rFonts w:cs="OfficinaSans-Book"/>
          <w:sz w:val="24"/>
          <w:szCs w:val="24"/>
        </w:rPr>
        <w:t xml:space="preserve"> et </w:t>
      </w:r>
      <w:r w:rsidRPr="001E2F3F">
        <w:rPr>
          <w:rFonts w:cs="OfficinaSans-Book"/>
          <w:sz w:val="24"/>
          <w:szCs w:val="24"/>
        </w:rPr>
        <w:t>15 000 femmes ayant connu des complications sévères n’ayant pas reçu les soins dont elles avaient besoin</w:t>
      </w:r>
      <w:r w:rsidR="0003358C" w:rsidRPr="001E2F3F">
        <w:rPr>
          <w:rStyle w:val="Appelnotedebasdep"/>
          <w:rFonts w:cs="OfficinaSans-Book"/>
          <w:sz w:val="24"/>
          <w:szCs w:val="24"/>
        </w:rPr>
        <w:footnoteReference w:id="30"/>
      </w:r>
      <w:r w:rsidRPr="001E2F3F">
        <w:rPr>
          <w:rFonts w:cs="OfficinaSans-Book"/>
          <w:sz w:val="24"/>
          <w:szCs w:val="24"/>
        </w:rPr>
        <w:t>.</w:t>
      </w:r>
    </w:p>
    <w:p w14:paraId="06A25F47" w14:textId="4B003A92" w:rsidR="007F450E" w:rsidRPr="008D79CC" w:rsidRDefault="00843FC2" w:rsidP="008D79CC">
      <w:pPr>
        <w:spacing w:after="0"/>
        <w:jc w:val="both"/>
        <w:rPr>
          <w:rFonts w:cs="OfficinaSans-Book"/>
          <w:b/>
          <w:sz w:val="24"/>
          <w:szCs w:val="24"/>
        </w:rPr>
      </w:pPr>
      <w:r w:rsidRPr="008D79CC">
        <w:rPr>
          <w:rFonts w:cs="OfficinaSans-Book"/>
          <w:b/>
          <w:sz w:val="24"/>
          <w:szCs w:val="24"/>
        </w:rPr>
        <w:t>L</w:t>
      </w:r>
      <w:r w:rsidR="008D79CC" w:rsidRPr="008D79CC">
        <w:rPr>
          <w:rFonts w:cs="OfficinaSans-Book"/>
          <w:b/>
          <w:sz w:val="24"/>
          <w:szCs w:val="24"/>
        </w:rPr>
        <w:t>a malnutrition</w:t>
      </w:r>
    </w:p>
    <w:p w14:paraId="1E2DE330" w14:textId="77777777" w:rsidR="007F450E" w:rsidRPr="007F450E" w:rsidRDefault="007F450E" w:rsidP="007F450E">
      <w:pPr>
        <w:rPr>
          <w:rFonts w:eastAsia="Cambria"/>
          <w:sz w:val="23"/>
          <w:szCs w:val="23"/>
        </w:rPr>
      </w:pPr>
      <w:r w:rsidRPr="00B72473">
        <w:rPr>
          <w:rFonts w:eastAsia="Cambria"/>
          <w:sz w:val="23"/>
          <w:szCs w:val="23"/>
        </w:rPr>
        <w:t>Comme le reste de la population de nombreux adolescent(e)s souffrent de malnutrition : 23.7% des femmes de 15-19 ans souffrent de maigreur, soit une adolescente sur quatre</w:t>
      </w:r>
      <w:r w:rsidRPr="00B72473">
        <w:rPr>
          <w:rStyle w:val="Appelnotedebasdep"/>
          <w:rFonts w:eastAsia="Cambria"/>
          <w:sz w:val="23"/>
          <w:szCs w:val="23"/>
        </w:rPr>
        <w:footnoteReference w:id="31"/>
      </w:r>
      <w:r w:rsidRPr="00B72473">
        <w:rPr>
          <w:rFonts w:eastAsia="Cambria"/>
          <w:sz w:val="23"/>
          <w:szCs w:val="23"/>
        </w:rPr>
        <w:t>. Les adolescentes de 15-19 ans ont un taux d’anémie de 62%</w:t>
      </w:r>
      <w:r w:rsidRPr="00B72473">
        <w:rPr>
          <w:rStyle w:val="Appelnotedebasdep"/>
          <w:rFonts w:eastAsia="Cambria"/>
          <w:sz w:val="23"/>
          <w:szCs w:val="23"/>
        </w:rPr>
        <w:footnoteReference w:id="32"/>
      </w:r>
      <w:r w:rsidRPr="00B72473">
        <w:rPr>
          <w:rFonts w:eastAsia="Cambria"/>
          <w:sz w:val="23"/>
          <w:szCs w:val="23"/>
        </w:rPr>
        <w:t>.</w:t>
      </w:r>
    </w:p>
    <w:p w14:paraId="61716B59" w14:textId="77777777" w:rsidR="00216A1D" w:rsidRPr="001E2F3F" w:rsidRDefault="00216A1D" w:rsidP="008D79CC">
      <w:pPr>
        <w:autoSpaceDE w:val="0"/>
        <w:autoSpaceDN w:val="0"/>
        <w:adjustRightInd w:val="0"/>
        <w:spacing w:after="0"/>
        <w:jc w:val="both"/>
        <w:rPr>
          <w:rFonts w:cs="OfficinaSans-Book"/>
          <w:b/>
          <w:sz w:val="24"/>
          <w:szCs w:val="24"/>
        </w:rPr>
      </w:pPr>
      <w:r w:rsidRPr="001E2F3F">
        <w:rPr>
          <w:rFonts w:cs="Arial"/>
          <w:b/>
          <w:sz w:val="24"/>
          <w:szCs w:val="24"/>
        </w:rPr>
        <w:t>Consommation d’alcool et tabac</w:t>
      </w:r>
    </w:p>
    <w:p w14:paraId="5730170A" w14:textId="77777777" w:rsidR="004735F7" w:rsidRPr="001E2F3F" w:rsidRDefault="004735F7" w:rsidP="008D79CC">
      <w:pPr>
        <w:jc w:val="both"/>
        <w:rPr>
          <w:rFonts w:cs="Arial"/>
          <w:sz w:val="24"/>
          <w:szCs w:val="24"/>
        </w:rPr>
      </w:pPr>
      <w:r w:rsidRPr="001E2F3F">
        <w:rPr>
          <w:rFonts w:cs="Arial"/>
          <w:sz w:val="24"/>
          <w:szCs w:val="24"/>
        </w:rPr>
        <w:t xml:space="preserve">Pour la consommation d’alcool, entre 2003 et 2005, 29,2% d’individus âgés de 15 ans et plus étaient des consommateurs d’alcool (39,7% d’hommes et 18,81% de femmes). En 2012, le </w:t>
      </w:r>
      <w:r w:rsidRPr="001E2F3F">
        <w:rPr>
          <w:rFonts w:cs="Arial"/>
          <w:sz w:val="24"/>
          <w:szCs w:val="24"/>
        </w:rPr>
        <w:lastRenderedPageBreak/>
        <w:t>pourcentage de jeunes filles et garçons dont l’âge est compris entre 13 et 15 ans, ayant couramment usé du tabac est respectivement de 11,5% et 22,6%.</w:t>
      </w:r>
    </w:p>
    <w:p w14:paraId="6AF0AF13" w14:textId="77777777" w:rsidR="00216A1D" w:rsidRPr="001E2F3F" w:rsidRDefault="00216A1D" w:rsidP="008D79CC">
      <w:pPr>
        <w:spacing w:after="0"/>
        <w:jc w:val="both"/>
        <w:rPr>
          <w:rFonts w:cs="Arial"/>
          <w:sz w:val="24"/>
          <w:szCs w:val="24"/>
        </w:rPr>
      </w:pPr>
      <w:r w:rsidRPr="001E2F3F">
        <w:rPr>
          <w:rFonts w:cs="HelveticaNeue-Roman"/>
          <w:b/>
          <w:sz w:val="24"/>
          <w:szCs w:val="24"/>
        </w:rPr>
        <w:t>Les déterminants sociaux proximaux</w:t>
      </w:r>
    </w:p>
    <w:p w14:paraId="2E7960F1" w14:textId="77777777" w:rsidR="002523B6" w:rsidRPr="001E2F3F" w:rsidRDefault="002523B6" w:rsidP="008D79CC">
      <w:pPr>
        <w:spacing w:after="0"/>
        <w:jc w:val="both"/>
        <w:rPr>
          <w:sz w:val="24"/>
          <w:szCs w:val="24"/>
        </w:rPr>
      </w:pPr>
      <w:r w:rsidRPr="001E2F3F">
        <w:rPr>
          <w:sz w:val="24"/>
          <w:szCs w:val="24"/>
        </w:rPr>
        <w:t>Les d’</w:t>
      </w:r>
      <w:r w:rsidR="0039318F" w:rsidRPr="001E2F3F">
        <w:rPr>
          <w:sz w:val="24"/>
          <w:szCs w:val="24"/>
        </w:rPr>
        <w:t>une étude menée par l’OOAS en 2016</w:t>
      </w:r>
      <w:r w:rsidRPr="001E2F3F">
        <w:rPr>
          <w:sz w:val="24"/>
          <w:szCs w:val="24"/>
        </w:rPr>
        <w:t xml:space="preserve"> dans cinq pays de la CEDEAO sont alarmants</w:t>
      </w:r>
      <w:r w:rsidRPr="001E2F3F">
        <w:rPr>
          <w:rStyle w:val="Appelnotedebasdep"/>
          <w:sz w:val="24"/>
          <w:szCs w:val="24"/>
        </w:rPr>
        <w:footnoteReference w:id="33"/>
      </w:r>
      <w:r w:rsidRPr="001E2F3F">
        <w:rPr>
          <w:sz w:val="24"/>
          <w:szCs w:val="24"/>
        </w:rPr>
        <w:t>.</w:t>
      </w:r>
    </w:p>
    <w:p w14:paraId="0188CCE7" w14:textId="77777777" w:rsidR="002523B6" w:rsidRPr="001E2F3F" w:rsidRDefault="002523B6" w:rsidP="008D79CC">
      <w:pPr>
        <w:autoSpaceDE w:val="0"/>
        <w:autoSpaceDN w:val="0"/>
        <w:adjustRightInd w:val="0"/>
        <w:spacing w:after="0"/>
        <w:jc w:val="both"/>
        <w:rPr>
          <w:rFonts w:cs="HelveticaNeue-Roman"/>
          <w:sz w:val="24"/>
          <w:szCs w:val="24"/>
        </w:rPr>
      </w:pPr>
      <w:r w:rsidRPr="001E2F3F">
        <w:rPr>
          <w:rFonts w:cs="HelveticaNeue-Roman"/>
          <w:sz w:val="24"/>
          <w:szCs w:val="24"/>
        </w:rPr>
        <w:t xml:space="preserve">« Les indicateurs classiques de l’état de santé de la population des adolescents et jeunes de l’espace CEDEAO, à savoir la mortalité, la morbidité et le DALY, se situent à un niveau préoccupant. … </w:t>
      </w:r>
      <w:r w:rsidR="004B2318" w:rsidRPr="001E2F3F">
        <w:rPr>
          <w:rFonts w:cs="HelveticaNeue-Roman"/>
          <w:color w:val="111111"/>
          <w:sz w:val="24"/>
          <w:szCs w:val="24"/>
        </w:rPr>
        <w:t>Les principales causes de mortalité chez les adolescents/jeunes sont (i) Complications de la grossesse et de l’accouchement chez les adolescentes et jeunes filles, (ii) complications liées aux avortements à risque, (iii) Mortalité due au VIH, (iv) Mortalité due aux accidents de la route. </w:t>
      </w:r>
    </w:p>
    <w:p w14:paraId="78297B1A" w14:textId="77777777" w:rsidR="006435D4" w:rsidRPr="004B5BD2" w:rsidRDefault="002523B6" w:rsidP="008D79CC">
      <w:pPr>
        <w:autoSpaceDE w:val="0"/>
        <w:autoSpaceDN w:val="0"/>
        <w:adjustRightInd w:val="0"/>
        <w:jc w:val="both"/>
        <w:rPr>
          <w:rFonts w:cs="HelveticaNeue-Roman"/>
          <w:color w:val="111111"/>
          <w:sz w:val="24"/>
          <w:szCs w:val="24"/>
        </w:rPr>
      </w:pPr>
      <w:r w:rsidRPr="001E2F3F">
        <w:rPr>
          <w:rFonts w:cs="HelveticaNeue-Roman"/>
          <w:sz w:val="24"/>
          <w:szCs w:val="24"/>
        </w:rPr>
        <w:t>La plupart des adolescents et jeunes des pays de l’espace CEDEAO souffrent d’un manque crucial de bonnes et saines informations, et adoptent des comportements et un mode de vie néfastes à une bonne santé (rapports sexuels non protégés, sédentarité, consommation nocive d’alcool, de tabac et drogues, une mauvaise alimentation et surtout une addiction aux technologies de l’information et de la communication TIC)</w:t>
      </w:r>
      <w:r w:rsidR="00A54FC4" w:rsidRPr="001E2F3F">
        <w:rPr>
          <w:rFonts w:cs="HelveticaNeue-Roman"/>
          <w:sz w:val="24"/>
          <w:szCs w:val="24"/>
        </w:rPr>
        <w:t>.</w:t>
      </w:r>
      <w:r w:rsidR="00A54FC4" w:rsidRPr="001E2F3F">
        <w:rPr>
          <w:rFonts w:cs="HelveticaNeue-Roman"/>
          <w:color w:val="111111"/>
          <w:sz w:val="24"/>
          <w:szCs w:val="24"/>
        </w:rPr>
        <w:t xml:space="preserve"> »</w:t>
      </w:r>
    </w:p>
    <w:p w14:paraId="6A6495B2" w14:textId="77777777" w:rsidR="00481263" w:rsidRDefault="00481263" w:rsidP="008D79CC">
      <w:pPr>
        <w:pStyle w:val="Paragraphedeliste"/>
        <w:numPr>
          <w:ilvl w:val="2"/>
          <w:numId w:val="1"/>
        </w:numPr>
        <w:spacing w:after="0" w:line="360" w:lineRule="auto"/>
        <w:jc w:val="both"/>
        <w:rPr>
          <w:sz w:val="24"/>
          <w:szCs w:val="24"/>
        </w:rPr>
      </w:pPr>
      <w:r w:rsidRPr="00481263">
        <w:rPr>
          <w:sz w:val="24"/>
          <w:szCs w:val="24"/>
        </w:rPr>
        <w:t>SITUATION DE LA NUTRITION</w:t>
      </w:r>
    </w:p>
    <w:p w14:paraId="2FCFBFC8" w14:textId="7E91446F" w:rsidR="006435D4" w:rsidRPr="008D79CC" w:rsidRDefault="006435D4" w:rsidP="008D79CC">
      <w:pPr>
        <w:pStyle w:val="Paragraphedeliste"/>
        <w:numPr>
          <w:ilvl w:val="3"/>
          <w:numId w:val="1"/>
        </w:numPr>
        <w:spacing w:after="0"/>
        <w:rPr>
          <w:b/>
          <w:sz w:val="24"/>
          <w:szCs w:val="24"/>
        </w:rPr>
      </w:pPr>
      <w:r w:rsidRPr="008D79CC">
        <w:rPr>
          <w:b/>
          <w:sz w:val="24"/>
          <w:szCs w:val="24"/>
        </w:rPr>
        <w:t>La Malnutrition chez les enfants de moins de 5 ans</w:t>
      </w:r>
    </w:p>
    <w:p w14:paraId="4FFD27A2" w14:textId="77777777" w:rsidR="00E4248D" w:rsidRPr="00A54FC4" w:rsidRDefault="00A54FC4" w:rsidP="008D79CC">
      <w:pPr>
        <w:pStyle w:val="Default"/>
        <w:spacing w:after="240" w:line="276" w:lineRule="auto"/>
        <w:jc w:val="both"/>
        <w:rPr>
          <w:rFonts w:ascii="Calibri" w:hAnsi="Calibri"/>
          <w:bCs/>
        </w:rPr>
      </w:pPr>
      <w:r w:rsidRPr="007121A3">
        <w:rPr>
          <w:rFonts w:ascii="Calibri" w:hAnsi="Calibri"/>
          <w:bCs/>
        </w:rPr>
        <w:t xml:space="preserve">L’analyse est </w:t>
      </w:r>
      <w:r>
        <w:rPr>
          <w:rFonts w:ascii="Calibri" w:hAnsi="Calibri"/>
          <w:bCs/>
        </w:rPr>
        <w:t>faite sur base de données provenant de sources différentes, ce qui pourrait poser un problème de comparabilité. Mais les différents résultats recoupent de manière harmonieuse les données de l’OMS sur base d’estimations.</w:t>
      </w:r>
    </w:p>
    <w:p w14:paraId="3DE652BC" w14:textId="38EBB7F3" w:rsidR="00C833EB" w:rsidRPr="008A2DF6" w:rsidRDefault="00CA081E" w:rsidP="00BD7B96">
      <w:pPr>
        <w:pStyle w:val="Default"/>
        <w:rPr>
          <w:rFonts w:asciiTheme="minorHAnsi" w:hAnsiTheme="minorHAnsi"/>
          <w:b/>
          <w:bCs/>
          <w:sz w:val="20"/>
          <w:szCs w:val="20"/>
        </w:rPr>
      </w:pPr>
      <w:r>
        <w:rPr>
          <w:b/>
          <w:bCs/>
          <w:noProof/>
          <w:sz w:val="26"/>
          <w:szCs w:val="26"/>
          <w:lang w:eastAsia="fr-FR"/>
        </w:rPr>
        <w:drawing>
          <wp:inline distT="0" distB="0" distL="0" distR="0" wp14:anchorId="08CAFF31" wp14:editId="3EB5155B">
            <wp:extent cx="5766816" cy="3200400"/>
            <wp:effectExtent l="0" t="0" r="5715" b="0"/>
            <wp:docPr id="6" name="Graphique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r w:rsidR="00E209B6">
        <w:rPr>
          <w:rStyle w:val="Appelnotedebasdep"/>
          <w:b/>
          <w:bCs/>
          <w:sz w:val="26"/>
          <w:szCs w:val="26"/>
        </w:rPr>
        <w:footnoteReference w:id="34"/>
      </w:r>
      <w:r w:rsidR="008A2DF6" w:rsidRPr="008A2DF6">
        <w:rPr>
          <w:rFonts w:asciiTheme="minorHAnsi" w:hAnsiTheme="minorHAnsi"/>
          <w:b/>
          <w:bCs/>
          <w:sz w:val="20"/>
          <w:szCs w:val="20"/>
        </w:rPr>
        <w:t>Figure 6 : Evolution de la malnutrition au Burkina Faso</w:t>
      </w:r>
      <w:r w:rsidR="00BC6DD8">
        <w:rPr>
          <w:rFonts w:asciiTheme="minorHAnsi" w:hAnsiTheme="minorHAnsi"/>
          <w:b/>
          <w:bCs/>
          <w:sz w:val="20"/>
          <w:szCs w:val="20"/>
        </w:rPr>
        <w:t xml:space="preserve"> de 1999 à 2017</w:t>
      </w:r>
    </w:p>
    <w:p w14:paraId="61718991" w14:textId="77777777" w:rsidR="007121A3" w:rsidRPr="00487A94" w:rsidRDefault="007121A3" w:rsidP="00487A94">
      <w:pPr>
        <w:pStyle w:val="Default"/>
        <w:spacing w:line="276" w:lineRule="auto"/>
        <w:jc w:val="both"/>
        <w:rPr>
          <w:rFonts w:asciiTheme="minorHAnsi" w:hAnsiTheme="minorHAnsi"/>
        </w:rPr>
      </w:pPr>
      <w:r w:rsidRPr="00487A94">
        <w:rPr>
          <w:rFonts w:asciiTheme="minorHAnsi" w:hAnsiTheme="minorHAnsi"/>
          <w:bCs/>
        </w:rPr>
        <w:lastRenderedPageBreak/>
        <w:t>La tendance des indicateurs de la malnutrition (</w:t>
      </w:r>
      <w:r w:rsidRPr="00487A94">
        <w:rPr>
          <w:rFonts w:asciiTheme="minorHAnsi" w:hAnsiTheme="minorHAnsi"/>
        </w:rPr>
        <w:t>malnutrition aigüe, de la malnutrition chronique et insuffisance pondérale) est à la baisse.</w:t>
      </w:r>
    </w:p>
    <w:p w14:paraId="5BB7711E" w14:textId="77777777" w:rsidR="00607123" w:rsidRPr="00487A94" w:rsidRDefault="007121A3" w:rsidP="00487A94">
      <w:pPr>
        <w:pStyle w:val="Default"/>
        <w:spacing w:line="276" w:lineRule="auto"/>
        <w:jc w:val="both"/>
        <w:rPr>
          <w:rFonts w:asciiTheme="minorHAnsi" w:hAnsiTheme="minorHAnsi"/>
          <w:bCs/>
        </w:rPr>
      </w:pPr>
      <w:r w:rsidRPr="00487A94">
        <w:rPr>
          <w:rFonts w:asciiTheme="minorHAnsi" w:hAnsiTheme="minorHAnsi"/>
          <w:bCs/>
        </w:rPr>
        <w:t xml:space="preserve">De 1999 à 2017, la prévalence de la malnutrition chronique est passée de 39 à 21% soit une réduction de </w:t>
      </w:r>
      <w:r w:rsidR="00607123" w:rsidRPr="00487A94">
        <w:rPr>
          <w:rFonts w:asciiTheme="minorHAnsi" w:hAnsiTheme="minorHAnsi"/>
          <w:bCs/>
        </w:rPr>
        <w:t>43% et celle de l’insuffisance pondérale de 34 à16% soit une réduction de 53 %.</w:t>
      </w:r>
    </w:p>
    <w:p w14:paraId="277B65E4" w14:textId="35ECF02E" w:rsidR="00E9334F" w:rsidRDefault="00607123" w:rsidP="00487A94">
      <w:pPr>
        <w:pStyle w:val="Default"/>
        <w:spacing w:line="276" w:lineRule="auto"/>
        <w:jc w:val="both"/>
        <w:rPr>
          <w:rFonts w:asciiTheme="minorHAnsi" w:hAnsiTheme="minorHAnsi"/>
        </w:rPr>
      </w:pPr>
      <w:r w:rsidRPr="00487A94">
        <w:rPr>
          <w:rFonts w:asciiTheme="minorHAnsi" w:hAnsiTheme="minorHAnsi"/>
          <w:bCs/>
        </w:rPr>
        <w:t>Au cours de la même période la malnutrition a connu une baisse moins importante (31</w:t>
      </w:r>
      <w:r w:rsidR="00B01AF7" w:rsidRPr="00487A94">
        <w:rPr>
          <w:rFonts w:asciiTheme="minorHAnsi" w:hAnsiTheme="minorHAnsi"/>
          <w:bCs/>
        </w:rPr>
        <w:t>%) passant</w:t>
      </w:r>
      <w:r w:rsidRPr="00487A94">
        <w:rPr>
          <w:rFonts w:asciiTheme="minorHAnsi" w:hAnsiTheme="minorHAnsi"/>
          <w:bCs/>
        </w:rPr>
        <w:t xml:space="preserve"> de 13 à 9%. Cependant</w:t>
      </w:r>
      <w:r w:rsidR="00B01AF7" w:rsidRPr="00487A94">
        <w:rPr>
          <w:rFonts w:asciiTheme="minorHAnsi" w:hAnsiTheme="minorHAnsi"/>
          <w:bCs/>
        </w:rPr>
        <w:t>, la malnutrition aigüe sévère atteignait encore une prévalence de 2% en 2017.</w:t>
      </w:r>
      <w:r w:rsidRPr="00487A94">
        <w:rPr>
          <w:rFonts w:asciiTheme="minorHAnsi" w:hAnsiTheme="minorHAnsi"/>
          <w:bCs/>
        </w:rPr>
        <w:t xml:space="preserve"> </w:t>
      </w:r>
      <w:r w:rsidR="004B5BD2" w:rsidRPr="00487A94">
        <w:rPr>
          <w:rFonts w:asciiTheme="minorHAnsi" w:hAnsiTheme="minorHAnsi"/>
          <w:bCs/>
        </w:rPr>
        <w:t xml:space="preserve"> </w:t>
      </w:r>
      <w:r w:rsidR="00E9334F" w:rsidRPr="00487A94">
        <w:rPr>
          <w:rFonts w:asciiTheme="minorHAnsi" w:hAnsiTheme="minorHAnsi"/>
        </w:rPr>
        <w:t>La prévalence des carences en micronutriments (vitamine A, Iode, fer, etc.) reste également très élevée en 2014. L’anémie touche 83.4% des enfants de 6-59 mois et 89.1% des 6-23 mois. Quatre enfants de moins de 5 ans sur cinq sont anémiés entrainant des conséquences délétères sur les capacités intellectuelles, cognitives et aussi physiques</w:t>
      </w:r>
      <w:r w:rsidR="00E9334F" w:rsidRPr="00487A94">
        <w:rPr>
          <w:rStyle w:val="Appelnotedebasdep"/>
          <w:rFonts w:asciiTheme="minorHAnsi" w:hAnsiTheme="minorHAnsi"/>
        </w:rPr>
        <w:footnoteReference w:id="35"/>
      </w:r>
      <w:r w:rsidR="00E9334F" w:rsidRPr="00487A94">
        <w:rPr>
          <w:rFonts w:asciiTheme="minorHAnsi" w:hAnsiTheme="minorHAnsi"/>
        </w:rPr>
        <w:t>. Sur les 697 000 naissantes vivantes attendues en 2015, 410 000 et 123 000 sont insuffisamment protégés et non protégés contre la carence en iode, respectivement. Ces enfants sont à fort risque de subir un retard de développement mental et d’avoir une déficience mentale, entrainant des implications socio-é</w:t>
      </w:r>
      <w:r w:rsidR="004B5BD2" w:rsidRPr="00487A94">
        <w:rPr>
          <w:rFonts w:asciiTheme="minorHAnsi" w:hAnsiTheme="minorHAnsi"/>
        </w:rPr>
        <w:t>conomiques sur leur vie future.</w:t>
      </w:r>
    </w:p>
    <w:p w14:paraId="5DC6D885" w14:textId="306D4EEB" w:rsidR="008A2DF6" w:rsidRDefault="008A2DF6" w:rsidP="00487A94">
      <w:pPr>
        <w:pStyle w:val="Default"/>
        <w:spacing w:line="276" w:lineRule="auto"/>
        <w:jc w:val="both"/>
        <w:rPr>
          <w:rFonts w:asciiTheme="minorHAnsi" w:hAnsiTheme="minorHAnsi"/>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3"/>
        <w:gridCol w:w="222"/>
        <w:gridCol w:w="4067"/>
      </w:tblGrid>
      <w:tr w:rsidR="008A2DF6" w14:paraId="47156DD5" w14:textId="77777777" w:rsidTr="00BC6DD8">
        <w:tc>
          <w:tcPr>
            <w:tcW w:w="4806" w:type="dxa"/>
          </w:tcPr>
          <w:p w14:paraId="396B0A11" w14:textId="7CCC0E6F" w:rsidR="008A2DF6" w:rsidRDefault="008A2DF6" w:rsidP="00487A94">
            <w:pPr>
              <w:pStyle w:val="Default"/>
              <w:spacing w:line="276" w:lineRule="auto"/>
              <w:jc w:val="both"/>
              <w:rPr>
                <w:rFonts w:asciiTheme="minorHAnsi" w:hAnsiTheme="minorHAnsi"/>
              </w:rPr>
            </w:pPr>
            <w:r w:rsidRPr="00F013D9">
              <w:rPr>
                <w:b/>
                <w:noProof/>
                <w:u w:val="single"/>
                <w:lang w:eastAsia="fr-FR"/>
              </w:rPr>
              <w:drawing>
                <wp:inline distT="0" distB="0" distL="0" distR="0" wp14:anchorId="5D8B56A1" wp14:editId="3C5AA72C">
                  <wp:extent cx="2867025" cy="2124075"/>
                  <wp:effectExtent l="19050" t="19050" r="28575" b="28575"/>
                  <wp:docPr id="229" name="Image 2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phique 14"/>
                          <pic:cNvPicPr>
                            <a:picLocks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67025" cy="2124075"/>
                          </a:xfrm>
                          <a:prstGeom prst="rect">
                            <a:avLst/>
                          </a:prstGeom>
                          <a:noFill/>
                          <a:ln w="6350" cmpd="sng">
                            <a:solidFill>
                              <a:srgbClr val="000000"/>
                            </a:solidFill>
                            <a:miter lim="800000"/>
                            <a:headEnd/>
                            <a:tailEnd/>
                          </a:ln>
                          <a:effectLst/>
                        </pic:spPr>
                      </pic:pic>
                    </a:graphicData>
                  </a:graphic>
                </wp:inline>
              </w:drawing>
            </w:r>
          </w:p>
        </w:tc>
        <w:tc>
          <w:tcPr>
            <w:tcW w:w="236" w:type="dxa"/>
            <w:tcBorders>
              <w:right w:val="single" w:sz="4" w:space="0" w:color="auto"/>
            </w:tcBorders>
          </w:tcPr>
          <w:p w14:paraId="5A6DF236" w14:textId="77777777" w:rsidR="008A2DF6" w:rsidRDefault="008A2DF6" w:rsidP="00487A94">
            <w:pPr>
              <w:pStyle w:val="Default"/>
              <w:spacing w:line="276" w:lineRule="auto"/>
              <w:jc w:val="both"/>
              <w:rPr>
                <w:rFonts w:asciiTheme="minorHAnsi" w:hAnsiTheme="minorHAnsi"/>
              </w:rPr>
            </w:pPr>
          </w:p>
        </w:tc>
        <w:tc>
          <w:tcPr>
            <w:tcW w:w="4020" w:type="dxa"/>
            <w:tcBorders>
              <w:top w:val="single" w:sz="4" w:space="0" w:color="auto"/>
              <w:left w:val="single" w:sz="4" w:space="0" w:color="auto"/>
              <w:bottom w:val="single" w:sz="4" w:space="0" w:color="auto"/>
              <w:right w:val="single" w:sz="4" w:space="0" w:color="auto"/>
            </w:tcBorders>
          </w:tcPr>
          <w:p w14:paraId="46F1D8C2" w14:textId="6A09FE64" w:rsidR="008A2DF6" w:rsidRDefault="008A2DF6" w:rsidP="00487A94">
            <w:pPr>
              <w:pStyle w:val="Default"/>
              <w:spacing w:line="276" w:lineRule="auto"/>
              <w:jc w:val="both"/>
              <w:rPr>
                <w:rFonts w:asciiTheme="minorHAnsi" w:hAnsiTheme="minorHAnsi"/>
              </w:rPr>
            </w:pPr>
            <w:r w:rsidRPr="00F013D9">
              <w:rPr>
                <w:b/>
                <w:noProof/>
                <w:lang w:eastAsia="fr-FR"/>
              </w:rPr>
              <w:drawing>
                <wp:inline distT="0" distB="0" distL="0" distR="0" wp14:anchorId="3289D1FF" wp14:editId="58005C8D">
                  <wp:extent cx="2457450" cy="2143125"/>
                  <wp:effectExtent l="0" t="0" r="0" b="9525"/>
                  <wp:docPr id="230" name="Image 2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phique 15"/>
                          <pic:cNvPicPr>
                            <a:picLocks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457450" cy="2143125"/>
                          </a:xfrm>
                          <a:prstGeom prst="rect">
                            <a:avLst/>
                          </a:prstGeom>
                          <a:noFill/>
                          <a:ln>
                            <a:noFill/>
                          </a:ln>
                        </pic:spPr>
                      </pic:pic>
                    </a:graphicData>
                  </a:graphic>
                </wp:inline>
              </w:drawing>
            </w:r>
          </w:p>
        </w:tc>
      </w:tr>
      <w:tr w:rsidR="008A2DF6" w14:paraId="5892A3B0" w14:textId="77777777" w:rsidTr="00BC6DD8">
        <w:tc>
          <w:tcPr>
            <w:tcW w:w="4806" w:type="dxa"/>
          </w:tcPr>
          <w:p w14:paraId="1C2358AD" w14:textId="75BB761D" w:rsidR="008A2DF6" w:rsidRPr="00BC6DD8" w:rsidRDefault="008A2DF6" w:rsidP="00487A94">
            <w:pPr>
              <w:pStyle w:val="Default"/>
              <w:spacing w:line="276" w:lineRule="auto"/>
              <w:jc w:val="both"/>
              <w:rPr>
                <w:rFonts w:asciiTheme="minorHAnsi" w:hAnsiTheme="minorHAnsi"/>
                <w:b/>
                <w:sz w:val="20"/>
                <w:szCs w:val="20"/>
              </w:rPr>
            </w:pPr>
            <w:r w:rsidRPr="00BC6DD8">
              <w:rPr>
                <w:rFonts w:asciiTheme="minorHAnsi" w:hAnsiTheme="minorHAnsi"/>
                <w:b/>
                <w:sz w:val="20"/>
                <w:szCs w:val="20"/>
              </w:rPr>
              <w:t>Figure7</w:t>
            </w:r>
            <w:r w:rsidR="00BC6DD8">
              <w:rPr>
                <w:rFonts w:asciiTheme="minorHAnsi" w:hAnsiTheme="minorHAnsi"/>
                <w:b/>
                <w:sz w:val="20"/>
                <w:szCs w:val="20"/>
              </w:rPr>
              <w:t>a</w:t>
            </w:r>
            <w:r w:rsidR="00BC6DD8" w:rsidRPr="00BC6DD8">
              <w:rPr>
                <w:rFonts w:asciiTheme="minorHAnsi" w:hAnsiTheme="minorHAnsi"/>
                <w:b/>
                <w:sz w:val="20"/>
                <w:szCs w:val="20"/>
              </w:rPr>
              <w:t> : Retard de croissance par Région</w:t>
            </w:r>
          </w:p>
        </w:tc>
        <w:tc>
          <w:tcPr>
            <w:tcW w:w="236" w:type="dxa"/>
          </w:tcPr>
          <w:p w14:paraId="130DA597" w14:textId="77777777" w:rsidR="008A2DF6" w:rsidRDefault="008A2DF6" w:rsidP="00487A94">
            <w:pPr>
              <w:pStyle w:val="Default"/>
              <w:spacing w:line="276" w:lineRule="auto"/>
              <w:jc w:val="both"/>
              <w:rPr>
                <w:rFonts w:asciiTheme="minorHAnsi" w:hAnsiTheme="minorHAnsi"/>
              </w:rPr>
            </w:pPr>
          </w:p>
        </w:tc>
        <w:tc>
          <w:tcPr>
            <w:tcW w:w="4020" w:type="dxa"/>
            <w:tcBorders>
              <w:top w:val="single" w:sz="4" w:space="0" w:color="auto"/>
            </w:tcBorders>
          </w:tcPr>
          <w:p w14:paraId="0D9642F0" w14:textId="5F6E9185" w:rsidR="008A2DF6" w:rsidRPr="00BC6DD8" w:rsidRDefault="00BC6DD8" w:rsidP="00487A94">
            <w:pPr>
              <w:pStyle w:val="Default"/>
              <w:spacing w:line="276" w:lineRule="auto"/>
              <w:jc w:val="both"/>
              <w:rPr>
                <w:rFonts w:asciiTheme="minorHAnsi" w:hAnsiTheme="minorHAnsi"/>
                <w:b/>
                <w:sz w:val="20"/>
                <w:szCs w:val="20"/>
              </w:rPr>
            </w:pPr>
            <w:r w:rsidRPr="00BC6DD8">
              <w:rPr>
                <w:rFonts w:asciiTheme="minorHAnsi" w:hAnsiTheme="minorHAnsi"/>
                <w:b/>
                <w:sz w:val="20"/>
                <w:szCs w:val="20"/>
              </w:rPr>
              <w:t>Figure 7b : Malnutrition aiguë sévère par Région</w:t>
            </w:r>
          </w:p>
        </w:tc>
      </w:tr>
    </w:tbl>
    <w:p w14:paraId="5AF04502" w14:textId="77777777" w:rsidR="008A2DF6" w:rsidRPr="00487A94" w:rsidRDefault="008A2DF6" w:rsidP="00487A94">
      <w:pPr>
        <w:pStyle w:val="Default"/>
        <w:spacing w:line="276" w:lineRule="auto"/>
        <w:jc w:val="both"/>
        <w:rPr>
          <w:rFonts w:asciiTheme="minorHAnsi" w:hAnsiTheme="minorHAnsi"/>
          <w:bCs/>
        </w:rPr>
      </w:pPr>
    </w:p>
    <w:p w14:paraId="44009513" w14:textId="77777777" w:rsidR="00B01AF7" w:rsidRPr="00BC6DD8" w:rsidRDefault="00B01AF7" w:rsidP="00BC6DD8">
      <w:pPr>
        <w:pStyle w:val="Default"/>
        <w:spacing w:line="276" w:lineRule="auto"/>
        <w:jc w:val="both"/>
        <w:rPr>
          <w:rFonts w:asciiTheme="minorHAnsi" w:hAnsiTheme="minorHAnsi"/>
        </w:rPr>
      </w:pPr>
      <w:r w:rsidRPr="00BC6DD8">
        <w:rPr>
          <w:rFonts w:asciiTheme="minorHAnsi" w:hAnsiTheme="minorHAnsi"/>
        </w:rPr>
        <w:t>Avec une prévalence de 13,6% pour le Sahel et de 10 % pour les régions du Nord et de l’Est, ces 3 régions sont les plus touchées par la malnutrition aiguë (2017). Cette forte prévalence est en partie liée à la situation sécuritaire dans cette partie du pays.</w:t>
      </w:r>
    </w:p>
    <w:p w14:paraId="6563CB0C" w14:textId="53485546" w:rsidR="00E9334F" w:rsidRDefault="00E9334F" w:rsidP="00BC6DD8">
      <w:pPr>
        <w:pStyle w:val="Default"/>
        <w:spacing w:line="276" w:lineRule="auto"/>
        <w:jc w:val="both"/>
        <w:rPr>
          <w:rFonts w:asciiTheme="minorHAnsi" w:hAnsiTheme="minorHAnsi"/>
        </w:rPr>
      </w:pPr>
      <w:r w:rsidRPr="00BC6DD8">
        <w:rPr>
          <w:rFonts w:asciiTheme="minorHAnsi" w:hAnsiTheme="minorHAnsi"/>
        </w:rPr>
        <w:t>Les garçons, les enfants des ménages pauvres, ceux du milieu rural et ceux dont la mère n’est pas instruite sont les plus défavorisés en matière de survie.</w:t>
      </w:r>
    </w:p>
    <w:p w14:paraId="36E40803" w14:textId="2A0CB4CE" w:rsidR="002429C8" w:rsidRPr="00EE3B8A" w:rsidRDefault="00EE3B8A" w:rsidP="00EE3B8A">
      <w:pPr>
        <w:pStyle w:val="Default"/>
        <w:spacing w:line="276" w:lineRule="auto"/>
        <w:jc w:val="both"/>
        <w:rPr>
          <w:rFonts w:asciiTheme="minorHAnsi" w:hAnsiTheme="minorHAnsi"/>
          <w:bCs/>
        </w:rPr>
      </w:pPr>
      <w:r>
        <w:rPr>
          <w:rFonts w:asciiTheme="minorHAnsi" w:hAnsiTheme="minorHAnsi"/>
          <w:bCs/>
        </w:rPr>
        <w:t xml:space="preserve">Le retard de croissance est prédominant </w:t>
      </w:r>
      <w:r w:rsidRPr="00BC6DD8">
        <w:rPr>
          <w:rFonts w:asciiTheme="minorHAnsi" w:hAnsiTheme="minorHAnsi"/>
        </w:rPr>
        <w:t>chez les plus pauvres</w:t>
      </w:r>
      <w:r>
        <w:rPr>
          <w:rStyle w:val="Appelnotedebasdep"/>
          <w:rFonts w:asciiTheme="minorHAnsi" w:hAnsiTheme="minorHAnsi"/>
        </w:rPr>
        <w:footnoteReference w:id="36"/>
      </w:r>
      <w:r>
        <w:rPr>
          <w:rFonts w:asciiTheme="minorHAnsi" w:hAnsiTheme="minorHAnsi"/>
        </w:rPr>
        <w:t>.</w:t>
      </w:r>
      <w:bookmarkStart w:id="3" w:name="_Hlk525479335"/>
    </w:p>
    <w:bookmarkEnd w:id="3"/>
    <w:p w14:paraId="651432C1" w14:textId="7E2A78E6" w:rsidR="000B228D" w:rsidRDefault="004A33A0" w:rsidP="00EE3B8A">
      <w:pPr>
        <w:pStyle w:val="Default"/>
        <w:tabs>
          <w:tab w:val="left" w:pos="5670"/>
        </w:tabs>
        <w:spacing w:line="276" w:lineRule="auto"/>
        <w:ind w:right="-426"/>
        <w:jc w:val="both"/>
        <w:rPr>
          <w:rFonts w:ascii="Calibri" w:hAnsi="Calibri"/>
        </w:rPr>
      </w:pPr>
      <w:r w:rsidRPr="00EE3B8A">
        <w:rPr>
          <w:rFonts w:ascii="Calibri" w:hAnsi="Calibri"/>
        </w:rPr>
        <w:t>Les   régions du Sahel, des Cascades, du Sud-Ouest, de l’Est, du Centre-Est et du Nord</w:t>
      </w:r>
      <w:r w:rsidRPr="00EE3B8A" w:rsidDel="00140398">
        <w:rPr>
          <w:rFonts w:ascii="Calibri" w:hAnsi="Calibri"/>
        </w:rPr>
        <w:t xml:space="preserve"> </w:t>
      </w:r>
      <w:r w:rsidRPr="00EE3B8A">
        <w:rPr>
          <w:rFonts w:ascii="Calibri" w:hAnsi="Calibri"/>
        </w:rPr>
        <w:t xml:space="preserve">sont les plus touchées en termes </w:t>
      </w:r>
      <w:r w:rsidR="005D5AC4" w:rsidRPr="00EE3B8A">
        <w:rPr>
          <w:rFonts w:ascii="Calibri" w:hAnsi="Calibri"/>
        </w:rPr>
        <w:t>de prévalence du retard de croissance sur les</w:t>
      </w:r>
      <w:r w:rsidRPr="00EE3B8A">
        <w:rPr>
          <w:rFonts w:ascii="Calibri" w:hAnsi="Calibri"/>
        </w:rPr>
        <w:t xml:space="preserve"> trois dernières années</w:t>
      </w:r>
      <w:r w:rsidR="005D5AC4" w:rsidRPr="00EE3B8A">
        <w:rPr>
          <w:rFonts w:ascii="Calibri" w:hAnsi="Calibri"/>
        </w:rPr>
        <w:t>.</w:t>
      </w:r>
    </w:p>
    <w:p w14:paraId="3E6CFE4D" w14:textId="7664956E" w:rsidR="00EE3B8A" w:rsidRDefault="00EE3B8A" w:rsidP="00EE3B8A">
      <w:pPr>
        <w:pStyle w:val="Default"/>
        <w:tabs>
          <w:tab w:val="left" w:pos="5670"/>
        </w:tabs>
        <w:spacing w:line="276" w:lineRule="auto"/>
        <w:ind w:right="-426"/>
        <w:jc w:val="both"/>
        <w:rPr>
          <w:rFonts w:ascii="Calibri" w:hAnsi="Calibri"/>
        </w:rPr>
      </w:pPr>
    </w:p>
    <w:p w14:paraId="0BC5856A" w14:textId="77777777" w:rsidR="00EE3B8A" w:rsidRPr="00EE3B8A" w:rsidRDefault="00EE3B8A" w:rsidP="00EE3B8A">
      <w:pPr>
        <w:pStyle w:val="Default"/>
        <w:tabs>
          <w:tab w:val="left" w:pos="5670"/>
        </w:tabs>
        <w:spacing w:line="276" w:lineRule="auto"/>
        <w:ind w:right="-426"/>
        <w:jc w:val="both"/>
        <w:rPr>
          <w:rFonts w:ascii="Calibri" w:hAnsi="Calibri"/>
        </w:rPr>
      </w:pPr>
    </w:p>
    <w:p w14:paraId="52EC03E2" w14:textId="77777777" w:rsidR="006435D4" w:rsidRPr="006435D4" w:rsidRDefault="006435D4" w:rsidP="00BC6DD8">
      <w:pPr>
        <w:pStyle w:val="Paragraphedeliste"/>
        <w:numPr>
          <w:ilvl w:val="3"/>
          <w:numId w:val="1"/>
        </w:numPr>
        <w:rPr>
          <w:rFonts w:ascii="Cambria" w:hAnsi="Cambria"/>
          <w:b/>
        </w:rPr>
      </w:pPr>
      <w:r w:rsidRPr="006435D4">
        <w:rPr>
          <w:rFonts w:ascii="Cambria" w:hAnsi="Cambria"/>
          <w:b/>
        </w:rPr>
        <w:lastRenderedPageBreak/>
        <w:t>Autres indicateurs de nutrition</w:t>
      </w:r>
    </w:p>
    <w:tbl>
      <w:tblPr>
        <w:tblStyle w:val="Grilledutableau"/>
        <w:tblW w:w="0" w:type="auto"/>
        <w:tblLook w:val="04A0" w:firstRow="1" w:lastRow="0" w:firstColumn="1" w:lastColumn="0" w:noHBand="0" w:noVBand="1"/>
      </w:tblPr>
      <w:tblGrid>
        <w:gridCol w:w="421"/>
        <w:gridCol w:w="5216"/>
        <w:gridCol w:w="590"/>
        <w:gridCol w:w="708"/>
        <w:gridCol w:w="849"/>
        <w:gridCol w:w="707"/>
        <w:gridCol w:w="571"/>
      </w:tblGrid>
      <w:tr w:rsidR="000B228D" w:rsidRPr="00A54FC4" w14:paraId="01711E5F" w14:textId="77777777" w:rsidTr="00B84A2C">
        <w:tc>
          <w:tcPr>
            <w:tcW w:w="9062" w:type="dxa"/>
            <w:gridSpan w:val="7"/>
          </w:tcPr>
          <w:p w14:paraId="435DD2E9" w14:textId="52FB704E" w:rsidR="000B228D" w:rsidRPr="00A54FC4" w:rsidRDefault="000B228D" w:rsidP="00B84A2C">
            <w:pPr>
              <w:pStyle w:val="Default"/>
              <w:spacing w:line="360" w:lineRule="auto"/>
              <w:jc w:val="both"/>
              <w:rPr>
                <w:rFonts w:ascii="Calibri" w:hAnsi="Calibri"/>
                <w:b/>
                <w:sz w:val="20"/>
                <w:szCs w:val="20"/>
              </w:rPr>
            </w:pPr>
            <w:r w:rsidRPr="00A54FC4">
              <w:rPr>
                <w:rFonts w:ascii="Calibri" w:hAnsi="Calibri"/>
                <w:b/>
                <w:sz w:val="20"/>
                <w:szCs w:val="20"/>
              </w:rPr>
              <w:t xml:space="preserve">Tableau </w:t>
            </w:r>
            <w:r w:rsidR="00EE3B8A">
              <w:rPr>
                <w:rFonts w:ascii="Calibri" w:hAnsi="Calibri"/>
                <w:b/>
                <w:sz w:val="20"/>
                <w:szCs w:val="20"/>
              </w:rPr>
              <w:t>3</w:t>
            </w:r>
            <w:r w:rsidRPr="00A54FC4">
              <w:rPr>
                <w:rFonts w:ascii="Calibri" w:hAnsi="Calibri"/>
                <w:b/>
                <w:sz w:val="20"/>
                <w:szCs w:val="20"/>
              </w:rPr>
              <w:t xml:space="preserve"> : Evolution </w:t>
            </w:r>
            <w:r w:rsidR="00A54FC4" w:rsidRPr="00A54FC4">
              <w:rPr>
                <w:rFonts w:ascii="Calibri" w:hAnsi="Calibri"/>
                <w:b/>
                <w:sz w:val="20"/>
                <w:szCs w:val="20"/>
              </w:rPr>
              <w:t>d’autres indicateurs</w:t>
            </w:r>
            <w:r w:rsidRPr="00A54FC4">
              <w:rPr>
                <w:rFonts w:ascii="Calibri" w:hAnsi="Calibri"/>
                <w:b/>
                <w:sz w:val="20"/>
                <w:szCs w:val="20"/>
              </w:rPr>
              <w:t xml:space="preserve"> de nutrition </w:t>
            </w:r>
          </w:p>
        </w:tc>
      </w:tr>
      <w:tr w:rsidR="00A54FC4" w:rsidRPr="00E80BB4" w14:paraId="21D49744" w14:textId="77777777" w:rsidTr="00A54FC4">
        <w:tc>
          <w:tcPr>
            <w:tcW w:w="421" w:type="dxa"/>
          </w:tcPr>
          <w:p w14:paraId="6BA6E14D" w14:textId="77777777" w:rsidR="000B228D" w:rsidRPr="00E80BB4" w:rsidRDefault="000B228D" w:rsidP="00A54FC4">
            <w:pPr>
              <w:pStyle w:val="Default"/>
              <w:jc w:val="both"/>
              <w:rPr>
                <w:rFonts w:ascii="Calibri" w:hAnsi="Calibri"/>
                <w:b/>
                <w:sz w:val="16"/>
                <w:szCs w:val="16"/>
              </w:rPr>
            </w:pPr>
          </w:p>
        </w:tc>
        <w:tc>
          <w:tcPr>
            <w:tcW w:w="5224" w:type="dxa"/>
          </w:tcPr>
          <w:p w14:paraId="7C1E290D" w14:textId="77777777" w:rsidR="000B228D" w:rsidRPr="00E80BB4" w:rsidRDefault="000B228D" w:rsidP="00A54FC4">
            <w:pPr>
              <w:pStyle w:val="Default"/>
              <w:jc w:val="both"/>
              <w:rPr>
                <w:rFonts w:ascii="Calibri" w:hAnsi="Calibri"/>
                <w:b/>
                <w:sz w:val="20"/>
                <w:szCs w:val="20"/>
              </w:rPr>
            </w:pPr>
            <w:r w:rsidRPr="00E80BB4">
              <w:rPr>
                <w:rFonts w:ascii="Calibri" w:hAnsi="Calibri"/>
                <w:b/>
                <w:sz w:val="20"/>
                <w:szCs w:val="20"/>
              </w:rPr>
              <w:t>Type de Malnutrition</w:t>
            </w:r>
          </w:p>
        </w:tc>
        <w:tc>
          <w:tcPr>
            <w:tcW w:w="590" w:type="dxa"/>
          </w:tcPr>
          <w:p w14:paraId="2C19DAA0" w14:textId="77777777" w:rsidR="000B228D" w:rsidRPr="00E80BB4" w:rsidRDefault="000B228D" w:rsidP="00A54FC4">
            <w:pPr>
              <w:pStyle w:val="Default"/>
              <w:jc w:val="both"/>
              <w:rPr>
                <w:rFonts w:ascii="Calibri" w:hAnsi="Calibri"/>
                <w:b/>
                <w:sz w:val="16"/>
                <w:szCs w:val="16"/>
              </w:rPr>
            </w:pPr>
            <w:r w:rsidRPr="00E80BB4">
              <w:rPr>
                <w:rFonts w:ascii="Calibri" w:hAnsi="Calibri"/>
                <w:b/>
                <w:sz w:val="16"/>
                <w:szCs w:val="16"/>
              </w:rPr>
              <w:t>1988-89 (1)</w:t>
            </w:r>
          </w:p>
        </w:tc>
        <w:tc>
          <w:tcPr>
            <w:tcW w:w="708" w:type="dxa"/>
          </w:tcPr>
          <w:p w14:paraId="76E4EC30" w14:textId="77777777" w:rsidR="000B228D" w:rsidRPr="00E80BB4" w:rsidRDefault="000B228D" w:rsidP="00A54FC4">
            <w:pPr>
              <w:pStyle w:val="Default"/>
              <w:jc w:val="both"/>
              <w:rPr>
                <w:rFonts w:ascii="Calibri" w:hAnsi="Calibri"/>
                <w:b/>
                <w:sz w:val="16"/>
                <w:szCs w:val="16"/>
              </w:rPr>
            </w:pPr>
            <w:r w:rsidRPr="00E80BB4">
              <w:rPr>
                <w:rFonts w:ascii="Calibri" w:hAnsi="Calibri"/>
                <w:b/>
                <w:sz w:val="16"/>
                <w:szCs w:val="16"/>
              </w:rPr>
              <w:t xml:space="preserve"> 2003 (2)</w:t>
            </w:r>
          </w:p>
        </w:tc>
        <w:tc>
          <w:tcPr>
            <w:tcW w:w="850" w:type="dxa"/>
          </w:tcPr>
          <w:p w14:paraId="4745D2E4" w14:textId="77777777" w:rsidR="00A54FC4" w:rsidRDefault="000B228D" w:rsidP="00A54FC4">
            <w:pPr>
              <w:pStyle w:val="Default"/>
              <w:jc w:val="both"/>
              <w:rPr>
                <w:rFonts w:ascii="Calibri" w:hAnsi="Calibri"/>
                <w:b/>
                <w:sz w:val="16"/>
                <w:szCs w:val="16"/>
              </w:rPr>
            </w:pPr>
            <w:r w:rsidRPr="00E80BB4">
              <w:rPr>
                <w:rFonts w:ascii="Calibri" w:hAnsi="Calibri"/>
                <w:b/>
                <w:sz w:val="16"/>
                <w:szCs w:val="16"/>
              </w:rPr>
              <w:t>2010</w:t>
            </w:r>
          </w:p>
          <w:p w14:paraId="5CB84C91" w14:textId="77777777" w:rsidR="000B228D" w:rsidRPr="00E80BB4" w:rsidRDefault="000B228D" w:rsidP="00A54FC4">
            <w:pPr>
              <w:pStyle w:val="Default"/>
              <w:jc w:val="both"/>
              <w:rPr>
                <w:rFonts w:ascii="Calibri" w:hAnsi="Calibri"/>
                <w:b/>
                <w:sz w:val="16"/>
                <w:szCs w:val="16"/>
              </w:rPr>
            </w:pPr>
            <w:r w:rsidRPr="00E80BB4">
              <w:rPr>
                <w:rFonts w:ascii="Calibri" w:hAnsi="Calibri"/>
                <w:b/>
                <w:sz w:val="16"/>
                <w:szCs w:val="16"/>
              </w:rPr>
              <w:t xml:space="preserve"> (3)</w:t>
            </w:r>
          </w:p>
        </w:tc>
        <w:tc>
          <w:tcPr>
            <w:tcW w:w="707" w:type="dxa"/>
          </w:tcPr>
          <w:p w14:paraId="255E4B6A" w14:textId="77777777" w:rsidR="000B228D" w:rsidRPr="00E80BB4" w:rsidRDefault="000B228D" w:rsidP="00A54FC4">
            <w:pPr>
              <w:pStyle w:val="Default"/>
              <w:jc w:val="both"/>
              <w:rPr>
                <w:rFonts w:ascii="Calibri" w:hAnsi="Calibri"/>
                <w:b/>
                <w:sz w:val="16"/>
                <w:szCs w:val="16"/>
              </w:rPr>
            </w:pPr>
            <w:r w:rsidRPr="00E80BB4">
              <w:rPr>
                <w:rFonts w:ascii="Calibri" w:hAnsi="Calibri"/>
                <w:b/>
                <w:sz w:val="16"/>
                <w:szCs w:val="16"/>
              </w:rPr>
              <w:t xml:space="preserve"> 2015 (4)</w:t>
            </w:r>
          </w:p>
        </w:tc>
        <w:tc>
          <w:tcPr>
            <w:tcW w:w="562" w:type="dxa"/>
          </w:tcPr>
          <w:p w14:paraId="2D7FFB33" w14:textId="77777777" w:rsidR="000B228D" w:rsidRPr="00E80BB4" w:rsidRDefault="000B228D" w:rsidP="00A54FC4">
            <w:pPr>
              <w:pStyle w:val="Default"/>
              <w:jc w:val="both"/>
              <w:rPr>
                <w:rFonts w:ascii="Calibri" w:hAnsi="Calibri"/>
                <w:b/>
                <w:sz w:val="16"/>
                <w:szCs w:val="16"/>
              </w:rPr>
            </w:pPr>
            <w:r w:rsidRPr="00E80BB4">
              <w:rPr>
                <w:rFonts w:ascii="Calibri" w:hAnsi="Calibri"/>
                <w:b/>
                <w:sz w:val="16"/>
                <w:szCs w:val="16"/>
              </w:rPr>
              <w:t>2017 (5)</w:t>
            </w:r>
          </w:p>
        </w:tc>
      </w:tr>
      <w:tr w:rsidR="00A54FC4" w:rsidRPr="00C34A27" w14:paraId="4C80DF9C" w14:textId="77777777" w:rsidTr="00A54FC4">
        <w:tc>
          <w:tcPr>
            <w:tcW w:w="421" w:type="dxa"/>
          </w:tcPr>
          <w:p w14:paraId="73BBC6F8" w14:textId="77777777" w:rsidR="000B228D" w:rsidRPr="00C34A27" w:rsidRDefault="000B228D" w:rsidP="004F60CF">
            <w:pPr>
              <w:pStyle w:val="Default"/>
              <w:numPr>
                <w:ilvl w:val="0"/>
                <w:numId w:val="3"/>
              </w:numPr>
              <w:spacing w:line="360" w:lineRule="auto"/>
              <w:jc w:val="both"/>
              <w:rPr>
                <w:rFonts w:ascii="Calibri" w:hAnsi="Calibri"/>
                <w:sz w:val="20"/>
                <w:szCs w:val="20"/>
              </w:rPr>
            </w:pPr>
          </w:p>
        </w:tc>
        <w:tc>
          <w:tcPr>
            <w:tcW w:w="5224" w:type="dxa"/>
          </w:tcPr>
          <w:p w14:paraId="05CD0BF0" w14:textId="77777777" w:rsidR="000B228D" w:rsidRDefault="000B228D" w:rsidP="00B84A2C">
            <w:pPr>
              <w:autoSpaceDE w:val="0"/>
              <w:autoSpaceDN w:val="0"/>
              <w:adjustRightInd w:val="0"/>
              <w:rPr>
                <w:rFonts w:ascii="Times New Roman" w:hAnsi="Times New Roman" w:cs="Times New Roman"/>
              </w:rPr>
            </w:pPr>
            <w:r>
              <w:rPr>
                <w:rFonts w:ascii="Times New Roman" w:hAnsi="Times New Roman" w:cs="Times New Roman"/>
              </w:rPr>
              <w:t xml:space="preserve">Anémie chez les </w:t>
            </w:r>
            <w:r w:rsidR="00A54FC4">
              <w:rPr>
                <w:rFonts w:ascii="Times New Roman" w:hAnsi="Times New Roman" w:cs="Times New Roman"/>
              </w:rPr>
              <w:t>enfants de</w:t>
            </w:r>
            <w:r>
              <w:rPr>
                <w:rFonts w:ascii="Times New Roman" w:hAnsi="Times New Roman" w:cs="Times New Roman"/>
              </w:rPr>
              <w:t xml:space="preserve"> moins de 5 ans (%)</w:t>
            </w:r>
          </w:p>
        </w:tc>
        <w:tc>
          <w:tcPr>
            <w:tcW w:w="590" w:type="dxa"/>
          </w:tcPr>
          <w:p w14:paraId="264FA2C6" w14:textId="77777777" w:rsidR="000B228D" w:rsidRDefault="000B228D" w:rsidP="00B84A2C">
            <w:pPr>
              <w:pStyle w:val="Default"/>
              <w:spacing w:line="360" w:lineRule="auto"/>
              <w:jc w:val="both"/>
              <w:rPr>
                <w:rFonts w:ascii="Calibri" w:hAnsi="Calibri"/>
                <w:sz w:val="20"/>
                <w:szCs w:val="20"/>
              </w:rPr>
            </w:pPr>
          </w:p>
        </w:tc>
        <w:tc>
          <w:tcPr>
            <w:tcW w:w="708" w:type="dxa"/>
          </w:tcPr>
          <w:p w14:paraId="58243C54"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91,5</w:t>
            </w:r>
          </w:p>
        </w:tc>
        <w:tc>
          <w:tcPr>
            <w:tcW w:w="850" w:type="dxa"/>
          </w:tcPr>
          <w:p w14:paraId="012B376A"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87,8</w:t>
            </w:r>
          </w:p>
        </w:tc>
        <w:tc>
          <w:tcPr>
            <w:tcW w:w="707" w:type="dxa"/>
          </w:tcPr>
          <w:p w14:paraId="71F98943" w14:textId="77777777" w:rsidR="000B228D" w:rsidRDefault="000B228D" w:rsidP="00B84A2C">
            <w:pPr>
              <w:pStyle w:val="Default"/>
              <w:spacing w:line="360" w:lineRule="auto"/>
              <w:jc w:val="both"/>
              <w:rPr>
                <w:rFonts w:ascii="Calibri" w:hAnsi="Calibri"/>
                <w:sz w:val="20"/>
                <w:szCs w:val="20"/>
              </w:rPr>
            </w:pPr>
          </w:p>
        </w:tc>
        <w:tc>
          <w:tcPr>
            <w:tcW w:w="562" w:type="dxa"/>
          </w:tcPr>
          <w:p w14:paraId="0D13D28B" w14:textId="77777777" w:rsidR="000B228D" w:rsidRDefault="006435D4" w:rsidP="00B84A2C">
            <w:pPr>
              <w:pStyle w:val="Default"/>
              <w:spacing w:line="360" w:lineRule="auto"/>
              <w:jc w:val="both"/>
              <w:rPr>
                <w:rFonts w:ascii="Calibri" w:hAnsi="Calibri"/>
                <w:sz w:val="20"/>
                <w:szCs w:val="20"/>
              </w:rPr>
            </w:pPr>
            <w:r>
              <w:rPr>
                <w:rFonts w:ascii="Calibri" w:hAnsi="Calibri"/>
                <w:sz w:val="20"/>
                <w:szCs w:val="20"/>
              </w:rPr>
              <w:t>83,4</w:t>
            </w:r>
          </w:p>
        </w:tc>
      </w:tr>
      <w:tr w:rsidR="00A54FC4" w:rsidRPr="00C34A27" w14:paraId="4216F7F7" w14:textId="77777777" w:rsidTr="00A54FC4">
        <w:tc>
          <w:tcPr>
            <w:tcW w:w="421" w:type="dxa"/>
          </w:tcPr>
          <w:p w14:paraId="070F3798" w14:textId="77777777" w:rsidR="000B228D" w:rsidRPr="00C34A27" w:rsidRDefault="000B228D" w:rsidP="004F60CF">
            <w:pPr>
              <w:pStyle w:val="Default"/>
              <w:numPr>
                <w:ilvl w:val="0"/>
                <w:numId w:val="3"/>
              </w:numPr>
              <w:spacing w:line="360" w:lineRule="auto"/>
              <w:jc w:val="both"/>
              <w:rPr>
                <w:rFonts w:ascii="Calibri" w:hAnsi="Calibri"/>
                <w:sz w:val="20"/>
                <w:szCs w:val="20"/>
              </w:rPr>
            </w:pPr>
          </w:p>
        </w:tc>
        <w:tc>
          <w:tcPr>
            <w:tcW w:w="5224" w:type="dxa"/>
          </w:tcPr>
          <w:p w14:paraId="6DD4867A" w14:textId="77777777" w:rsidR="000B228D" w:rsidRDefault="000B228D" w:rsidP="00B84A2C">
            <w:pPr>
              <w:autoSpaceDE w:val="0"/>
              <w:autoSpaceDN w:val="0"/>
              <w:adjustRightInd w:val="0"/>
              <w:rPr>
                <w:rFonts w:ascii="Times New Roman" w:hAnsi="Times New Roman" w:cs="Times New Roman"/>
              </w:rPr>
            </w:pPr>
            <w:r>
              <w:rPr>
                <w:rFonts w:ascii="Times New Roman" w:hAnsi="Times New Roman" w:cs="Times New Roman"/>
              </w:rPr>
              <w:t xml:space="preserve">Anémie sévère chez les </w:t>
            </w:r>
            <w:r w:rsidR="00A54FC4">
              <w:rPr>
                <w:rFonts w:ascii="Times New Roman" w:hAnsi="Times New Roman" w:cs="Times New Roman"/>
              </w:rPr>
              <w:t>enfants de</w:t>
            </w:r>
            <w:r>
              <w:rPr>
                <w:rFonts w:ascii="Times New Roman" w:hAnsi="Times New Roman" w:cs="Times New Roman"/>
              </w:rPr>
              <w:t xml:space="preserve"> moins de 5 ans (%)</w:t>
            </w:r>
          </w:p>
        </w:tc>
        <w:tc>
          <w:tcPr>
            <w:tcW w:w="590" w:type="dxa"/>
          </w:tcPr>
          <w:p w14:paraId="0D37E25F" w14:textId="77777777" w:rsidR="000B228D" w:rsidRDefault="000B228D" w:rsidP="00B84A2C">
            <w:pPr>
              <w:pStyle w:val="Default"/>
              <w:spacing w:line="360" w:lineRule="auto"/>
              <w:jc w:val="both"/>
              <w:rPr>
                <w:rFonts w:ascii="Calibri" w:hAnsi="Calibri"/>
                <w:sz w:val="20"/>
                <w:szCs w:val="20"/>
              </w:rPr>
            </w:pPr>
          </w:p>
        </w:tc>
        <w:tc>
          <w:tcPr>
            <w:tcW w:w="708" w:type="dxa"/>
          </w:tcPr>
          <w:p w14:paraId="33F4074B"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13</w:t>
            </w:r>
          </w:p>
        </w:tc>
        <w:tc>
          <w:tcPr>
            <w:tcW w:w="850" w:type="dxa"/>
          </w:tcPr>
          <w:p w14:paraId="33C8853D"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11,1</w:t>
            </w:r>
          </w:p>
        </w:tc>
        <w:tc>
          <w:tcPr>
            <w:tcW w:w="707" w:type="dxa"/>
          </w:tcPr>
          <w:p w14:paraId="2EAC4975" w14:textId="77777777" w:rsidR="000B228D" w:rsidRDefault="000B228D" w:rsidP="00B84A2C">
            <w:pPr>
              <w:pStyle w:val="Default"/>
              <w:spacing w:line="360" w:lineRule="auto"/>
              <w:jc w:val="both"/>
              <w:rPr>
                <w:rFonts w:ascii="Calibri" w:hAnsi="Calibri"/>
                <w:sz w:val="20"/>
                <w:szCs w:val="20"/>
              </w:rPr>
            </w:pPr>
          </w:p>
        </w:tc>
        <w:tc>
          <w:tcPr>
            <w:tcW w:w="562" w:type="dxa"/>
          </w:tcPr>
          <w:p w14:paraId="228ACE3E" w14:textId="77777777" w:rsidR="000B228D" w:rsidRDefault="000B228D" w:rsidP="00B84A2C">
            <w:pPr>
              <w:pStyle w:val="Default"/>
              <w:spacing w:line="360" w:lineRule="auto"/>
              <w:jc w:val="both"/>
              <w:rPr>
                <w:rFonts w:ascii="Calibri" w:hAnsi="Calibri"/>
                <w:sz w:val="20"/>
                <w:szCs w:val="20"/>
              </w:rPr>
            </w:pPr>
          </w:p>
        </w:tc>
      </w:tr>
      <w:tr w:rsidR="00A54FC4" w:rsidRPr="00C34A27" w14:paraId="2374F762" w14:textId="77777777" w:rsidTr="00A54FC4">
        <w:tc>
          <w:tcPr>
            <w:tcW w:w="421" w:type="dxa"/>
          </w:tcPr>
          <w:p w14:paraId="06339799" w14:textId="77777777" w:rsidR="000B228D" w:rsidRPr="00C34A27" w:rsidRDefault="000B228D" w:rsidP="004F60CF">
            <w:pPr>
              <w:pStyle w:val="Default"/>
              <w:numPr>
                <w:ilvl w:val="0"/>
                <w:numId w:val="3"/>
              </w:numPr>
              <w:spacing w:line="360" w:lineRule="auto"/>
              <w:jc w:val="both"/>
              <w:rPr>
                <w:rFonts w:ascii="Calibri" w:hAnsi="Calibri"/>
                <w:sz w:val="20"/>
                <w:szCs w:val="20"/>
              </w:rPr>
            </w:pPr>
          </w:p>
        </w:tc>
        <w:tc>
          <w:tcPr>
            <w:tcW w:w="5224" w:type="dxa"/>
          </w:tcPr>
          <w:p w14:paraId="044B8C65" w14:textId="77777777" w:rsidR="000B228D" w:rsidRDefault="000B228D" w:rsidP="00B84A2C">
            <w:pPr>
              <w:autoSpaceDE w:val="0"/>
              <w:autoSpaceDN w:val="0"/>
              <w:adjustRightInd w:val="0"/>
              <w:rPr>
                <w:rFonts w:ascii="Times New Roman" w:hAnsi="Times New Roman" w:cs="Times New Roman"/>
              </w:rPr>
            </w:pPr>
            <w:r>
              <w:rPr>
                <w:rFonts w:ascii="Times New Roman" w:hAnsi="Times New Roman" w:cs="Times New Roman"/>
              </w:rPr>
              <w:t xml:space="preserve">Anémie modérée chez les </w:t>
            </w:r>
            <w:r w:rsidR="00A54FC4">
              <w:rPr>
                <w:rFonts w:ascii="Times New Roman" w:hAnsi="Times New Roman" w:cs="Times New Roman"/>
              </w:rPr>
              <w:t>enfants de</w:t>
            </w:r>
            <w:r>
              <w:rPr>
                <w:rFonts w:ascii="Times New Roman" w:hAnsi="Times New Roman" w:cs="Times New Roman"/>
              </w:rPr>
              <w:t xml:space="preserve"> moins de 5 ans</w:t>
            </w:r>
            <w:r w:rsidR="00A54FC4">
              <w:rPr>
                <w:rFonts w:ascii="Times New Roman" w:hAnsi="Times New Roman" w:cs="Times New Roman"/>
              </w:rPr>
              <w:t xml:space="preserve"> </w:t>
            </w:r>
            <w:r>
              <w:rPr>
                <w:rFonts w:ascii="Times New Roman" w:hAnsi="Times New Roman" w:cs="Times New Roman"/>
              </w:rPr>
              <w:t>(%)</w:t>
            </w:r>
          </w:p>
        </w:tc>
        <w:tc>
          <w:tcPr>
            <w:tcW w:w="590" w:type="dxa"/>
          </w:tcPr>
          <w:p w14:paraId="6155C0ED" w14:textId="77777777" w:rsidR="000B228D" w:rsidRDefault="000B228D" w:rsidP="00B84A2C">
            <w:pPr>
              <w:pStyle w:val="Default"/>
              <w:spacing w:line="360" w:lineRule="auto"/>
              <w:jc w:val="both"/>
              <w:rPr>
                <w:rFonts w:ascii="Calibri" w:hAnsi="Calibri"/>
                <w:sz w:val="20"/>
                <w:szCs w:val="20"/>
              </w:rPr>
            </w:pPr>
          </w:p>
        </w:tc>
        <w:tc>
          <w:tcPr>
            <w:tcW w:w="708" w:type="dxa"/>
          </w:tcPr>
          <w:p w14:paraId="31D733D1"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59,9</w:t>
            </w:r>
          </w:p>
        </w:tc>
        <w:tc>
          <w:tcPr>
            <w:tcW w:w="850" w:type="dxa"/>
          </w:tcPr>
          <w:p w14:paraId="27EBAC19"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58,5</w:t>
            </w:r>
          </w:p>
        </w:tc>
        <w:tc>
          <w:tcPr>
            <w:tcW w:w="707" w:type="dxa"/>
          </w:tcPr>
          <w:p w14:paraId="17360663" w14:textId="77777777" w:rsidR="000B228D" w:rsidRDefault="000B228D" w:rsidP="00B84A2C">
            <w:pPr>
              <w:pStyle w:val="Default"/>
              <w:spacing w:line="360" w:lineRule="auto"/>
              <w:jc w:val="both"/>
              <w:rPr>
                <w:rFonts w:ascii="Calibri" w:hAnsi="Calibri"/>
                <w:sz w:val="20"/>
                <w:szCs w:val="20"/>
              </w:rPr>
            </w:pPr>
          </w:p>
        </w:tc>
        <w:tc>
          <w:tcPr>
            <w:tcW w:w="562" w:type="dxa"/>
          </w:tcPr>
          <w:p w14:paraId="0E9FCC80" w14:textId="77777777" w:rsidR="000B228D" w:rsidRDefault="000B228D" w:rsidP="00B84A2C">
            <w:pPr>
              <w:pStyle w:val="Default"/>
              <w:spacing w:line="360" w:lineRule="auto"/>
              <w:jc w:val="both"/>
              <w:rPr>
                <w:rFonts w:ascii="Calibri" w:hAnsi="Calibri"/>
                <w:sz w:val="20"/>
                <w:szCs w:val="20"/>
              </w:rPr>
            </w:pPr>
          </w:p>
        </w:tc>
      </w:tr>
      <w:tr w:rsidR="00A54FC4" w:rsidRPr="00C34A27" w14:paraId="22E47072" w14:textId="77777777" w:rsidTr="00A54FC4">
        <w:tc>
          <w:tcPr>
            <w:tcW w:w="421" w:type="dxa"/>
          </w:tcPr>
          <w:p w14:paraId="59433CDF" w14:textId="77777777" w:rsidR="000B228D" w:rsidRPr="00C34A27" w:rsidRDefault="000B228D" w:rsidP="004F60CF">
            <w:pPr>
              <w:pStyle w:val="Default"/>
              <w:numPr>
                <w:ilvl w:val="0"/>
                <w:numId w:val="3"/>
              </w:numPr>
              <w:spacing w:line="360" w:lineRule="auto"/>
              <w:jc w:val="both"/>
              <w:rPr>
                <w:rFonts w:ascii="Calibri" w:hAnsi="Calibri"/>
                <w:sz w:val="20"/>
                <w:szCs w:val="20"/>
              </w:rPr>
            </w:pPr>
          </w:p>
        </w:tc>
        <w:tc>
          <w:tcPr>
            <w:tcW w:w="5224" w:type="dxa"/>
          </w:tcPr>
          <w:p w14:paraId="038321CA" w14:textId="77777777" w:rsidR="000B228D" w:rsidRPr="00A97407" w:rsidRDefault="000B228D" w:rsidP="00B84A2C">
            <w:pPr>
              <w:autoSpaceDE w:val="0"/>
              <w:autoSpaceDN w:val="0"/>
              <w:adjustRightInd w:val="0"/>
              <w:rPr>
                <w:rFonts w:ascii="Times New Roman" w:hAnsi="Times New Roman" w:cs="Times New Roman"/>
              </w:rPr>
            </w:pPr>
            <w:r>
              <w:rPr>
                <w:rFonts w:ascii="Times New Roman" w:hAnsi="Times New Roman" w:cs="Times New Roman"/>
              </w:rPr>
              <w:t>Femmes avec un IMC en-deçà du seuil critique (%)</w:t>
            </w:r>
          </w:p>
        </w:tc>
        <w:tc>
          <w:tcPr>
            <w:tcW w:w="590" w:type="dxa"/>
          </w:tcPr>
          <w:p w14:paraId="58B3EFA3"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13,3</w:t>
            </w:r>
          </w:p>
        </w:tc>
        <w:tc>
          <w:tcPr>
            <w:tcW w:w="708" w:type="dxa"/>
          </w:tcPr>
          <w:p w14:paraId="09FD3555"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20,8</w:t>
            </w:r>
          </w:p>
        </w:tc>
        <w:tc>
          <w:tcPr>
            <w:tcW w:w="850" w:type="dxa"/>
          </w:tcPr>
          <w:p w14:paraId="51F3ADAF"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15,7</w:t>
            </w:r>
          </w:p>
        </w:tc>
        <w:tc>
          <w:tcPr>
            <w:tcW w:w="707" w:type="dxa"/>
          </w:tcPr>
          <w:p w14:paraId="0C5AE812" w14:textId="77777777" w:rsidR="000B228D" w:rsidRDefault="000B228D" w:rsidP="00B84A2C">
            <w:pPr>
              <w:pStyle w:val="Default"/>
              <w:spacing w:line="360" w:lineRule="auto"/>
              <w:jc w:val="both"/>
              <w:rPr>
                <w:rFonts w:ascii="Calibri" w:hAnsi="Calibri"/>
                <w:sz w:val="20"/>
                <w:szCs w:val="20"/>
              </w:rPr>
            </w:pPr>
          </w:p>
        </w:tc>
        <w:tc>
          <w:tcPr>
            <w:tcW w:w="562" w:type="dxa"/>
          </w:tcPr>
          <w:p w14:paraId="1685B7AF" w14:textId="77777777" w:rsidR="000B228D" w:rsidRDefault="000B228D" w:rsidP="00B84A2C">
            <w:pPr>
              <w:pStyle w:val="Default"/>
              <w:spacing w:line="360" w:lineRule="auto"/>
              <w:jc w:val="both"/>
              <w:rPr>
                <w:rFonts w:ascii="Calibri" w:hAnsi="Calibri"/>
                <w:sz w:val="20"/>
                <w:szCs w:val="20"/>
              </w:rPr>
            </w:pPr>
          </w:p>
        </w:tc>
      </w:tr>
      <w:tr w:rsidR="00A54FC4" w:rsidRPr="00C34A27" w14:paraId="7FA4B5F4" w14:textId="77777777" w:rsidTr="00A54FC4">
        <w:tc>
          <w:tcPr>
            <w:tcW w:w="421" w:type="dxa"/>
          </w:tcPr>
          <w:p w14:paraId="30BA7DE9" w14:textId="77777777" w:rsidR="000B228D" w:rsidRPr="00C34A27" w:rsidRDefault="000B228D" w:rsidP="004F60CF">
            <w:pPr>
              <w:pStyle w:val="Default"/>
              <w:numPr>
                <w:ilvl w:val="0"/>
                <w:numId w:val="3"/>
              </w:numPr>
              <w:spacing w:line="360" w:lineRule="auto"/>
              <w:jc w:val="both"/>
              <w:rPr>
                <w:rFonts w:ascii="Calibri" w:hAnsi="Calibri"/>
                <w:sz w:val="20"/>
                <w:szCs w:val="20"/>
              </w:rPr>
            </w:pPr>
          </w:p>
        </w:tc>
        <w:tc>
          <w:tcPr>
            <w:tcW w:w="5224" w:type="dxa"/>
          </w:tcPr>
          <w:p w14:paraId="7D7D2BD5"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Femmes avec une maigreur sévère (%)</w:t>
            </w:r>
          </w:p>
        </w:tc>
        <w:tc>
          <w:tcPr>
            <w:tcW w:w="590" w:type="dxa"/>
          </w:tcPr>
          <w:p w14:paraId="46078290" w14:textId="77777777" w:rsidR="000B228D" w:rsidRDefault="000B228D" w:rsidP="00B84A2C">
            <w:pPr>
              <w:pStyle w:val="Default"/>
              <w:spacing w:line="360" w:lineRule="auto"/>
              <w:jc w:val="both"/>
              <w:rPr>
                <w:rFonts w:ascii="Calibri" w:hAnsi="Calibri"/>
                <w:sz w:val="20"/>
                <w:szCs w:val="20"/>
              </w:rPr>
            </w:pPr>
          </w:p>
        </w:tc>
        <w:tc>
          <w:tcPr>
            <w:tcW w:w="708" w:type="dxa"/>
          </w:tcPr>
          <w:p w14:paraId="2928B5A4"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6,9</w:t>
            </w:r>
          </w:p>
        </w:tc>
        <w:tc>
          <w:tcPr>
            <w:tcW w:w="850" w:type="dxa"/>
          </w:tcPr>
          <w:p w14:paraId="19CD1A90"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4,3</w:t>
            </w:r>
          </w:p>
        </w:tc>
        <w:tc>
          <w:tcPr>
            <w:tcW w:w="707" w:type="dxa"/>
          </w:tcPr>
          <w:p w14:paraId="6C80D2D0" w14:textId="77777777" w:rsidR="000B228D" w:rsidRDefault="000B228D" w:rsidP="00B84A2C">
            <w:pPr>
              <w:pStyle w:val="Default"/>
              <w:spacing w:line="360" w:lineRule="auto"/>
              <w:jc w:val="both"/>
              <w:rPr>
                <w:rFonts w:ascii="Calibri" w:hAnsi="Calibri"/>
                <w:sz w:val="20"/>
                <w:szCs w:val="20"/>
              </w:rPr>
            </w:pPr>
          </w:p>
        </w:tc>
        <w:tc>
          <w:tcPr>
            <w:tcW w:w="562" w:type="dxa"/>
          </w:tcPr>
          <w:p w14:paraId="252460DD" w14:textId="77777777" w:rsidR="000B228D" w:rsidRDefault="000B228D" w:rsidP="00B84A2C">
            <w:pPr>
              <w:pStyle w:val="Default"/>
              <w:spacing w:line="360" w:lineRule="auto"/>
              <w:jc w:val="both"/>
              <w:rPr>
                <w:rFonts w:ascii="Calibri" w:hAnsi="Calibri"/>
                <w:sz w:val="20"/>
                <w:szCs w:val="20"/>
              </w:rPr>
            </w:pPr>
          </w:p>
        </w:tc>
      </w:tr>
      <w:tr w:rsidR="00A54FC4" w:rsidRPr="00C34A27" w14:paraId="27481FF5" w14:textId="77777777" w:rsidTr="00A54FC4">
        <w:tc>
          <w:tcPr>
            <w:tcW w:w="421" w:type="dxa"/>
          </w:tcPr>
          <w:p w14:paraId="6CE55044" w14:textId="77777777" w:rsidR="000B228D" w:rsidRPr="00C34A27" w:rsidRDefault="000B228D" w:rsidP="004F60CF">
            <w:pPr>
              <w:pStyle w:val="Default"/>
              <w:numPr>
                <w:ilvl w:val="0"/>
                <w:numId w:val="3"/>
              </w:numPr>
              <w:spacing w:line="360" w:lineRule="auto"/>
              <w:jc w:val="both"/>
              <w:rPr>
                <w:rFonts w:ascii="Calibri" w:hAnsi="Calibri"/>
                <w:sz w:val="20"/>
                <w:szCs w:val="20"/>
              </w:rPr>
            </w:pPr>
          </w:p>
        </w:tc>
        <w:tc>
          <w:tcPr>
            <w:tcW w:w="5224" w:type="dxa"/>
          </w:tcPr>
          <w:p w14:paraId="34454002" w14:textId="77777777" w:rsidR="000B228D" w:rsidRPr="00C34A27" w:rsidRDefault="000B228D" w:rsidP="00B84A2C">
            <w:pPr>
              <w:pStyle w:val="Default"/>
              <w:spacing w:line="360" w:lineRule="auto"/>
              <w:jc w:val="both"/>
              <w:rPr>
                <w:rFonts w:ascii="Calibri" w:hAnsi="Calibri"/>
                <w:sz w:val="20"/>
                <w:szCs w:val="20"/>
              </w:rPr>
            </w:pPr>
            <w:r>
              <w:rPr>
                <w:rFonts w:ascii="Calibri" w:hAnsi="Calibri"/>
                <w:sz w:val="20"/>
                <w:szCs w:val="20"/>
              </w:rPr>
              <w:t>Anémie chez la femme de 15-49 ans</w:t>
            </w:r>
          </w:p>
        </w:tc>
        <w:tc>
          <w:tcPr>
            <w:tcW w:w="590" w:type="dxa"/>
          </w:tcPr>
          <w:p w14:paraId="5FB55794" w14:textId="77777777" w:rsidR="000B228D" w:rsidRDefault="000B228D" w:rsidP="00B84A2C">
            <w:pPr>
              <w:pStyle w:val="Default"/>
              <w:spacing w:line="360" w:lineRule="auto"/>
              <w:jc w:val="both"/>
              <w:rPr>
                <w:rFonts w:ascii="Calibri" w:hAnsi="Calibri"/>
                <w:sz w:val="20"/>
                <w:szCs w:val="20"/>
              </w:rPr>
            </w:pPr>
          </w:p>
        </w:tc>
        <w:tc>
          <w:tcPr>
            <w:tcW w:w="708" w:type="dxa"/>
          </w:tcPr>
          <w:p w14:paraId="4AEDB436"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53,7</w:t>
            </w:r>
          </w:p>
        </w:tc>
        <w:tc>
          <w:tcPr>
            <w:tcW w:w="850" w:type="dxa"/>
          </w:tcPr>
          <w:p w14:paraId="1C276797"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48,8</w:t>
            </w:r>
          </w:p>
        </w:tc>
        <w:tc>
          <w:tcPr>
            <w:tcW w:w="707" w:type="dxa"/>
          </w:tcPr>
          <w:p w14:paraId="2EBDDBE1" w14:textId="77777777" w:rsidR="000B228D" w:rsidRDefault="000B228D" w:rsidP="00B84A2C">
            <w:pPr>
              <w:pStyle w:val="Default"/>
              <w:spacing w:line="360" w:lineRule="auto"/>
              <w:jc w:val="both"/>
              <w:rPr>
                <w:rFonts w:ascii="Calibri" w:hAnsi="Calibri"/>
                <w:sz w:val="20"/>
                <w:szCs w:val="20"/>
              </w:rPr>
            </w:pPr>
          </w:p>
        </w:tc>
        <w:tc>
          <w:tcPr>
            <w:tcW w:w="562" w:type="dxa"/>
          </w:tcPr>
          <w:p w14:paraId="44A92047" w14:textId="77777777" w:rsidR="000B228D" w:rsidRDefault="000B228D" w:rsidP="00B84A2C">
            <w:pPr>
              <w:pStyle w:val="Default"/>
              <w:spacing w:line="360" w:lineRule="auto"/>
              <w:jc w:val="both"/>
              <w:rPr>
                <w:rFonts w:ascii="Calibri" w:hAnsi="Calibri"/>
                <w:sz w:val="20"/>
                <w:szCs w:val="20"/>
              </w:rPr>
            </w:pPr>
          </w:p>
        </w:tc>
      </w:tr>
      <w:tr w:rsidR="00A54FC4" w:rsidRPr="00C34A27" w14:paraId="59F7EB1D" w14:textId="77777777" w:rsidTr="00A54FC4">
        <w:tc>
          <w:tcPr>
            <w:tcW w:w="421" w:type="dxa"/>
          </w:tcPr>
          <w:p w14:paraId="14FEBD84" w14:textId="77777777" w:rsidR="000B228D" w:rsidRPr="00C34A27" w:rsidRDefault="000B228D" w:rsidP="004F60CF">
            <w:pPr>
              <w:pStyle w:val="Default"/>
              <w:numPr>
                <w:ilvl w:val="0"/>
                <w:numId w:val="3"/>
              </w:numPr>
              <w:spacing w:line="360" w:lineRule="auto"/>
              <w:jc w:val="both"/>
              <w:rPr>
                <w:rFonts w:ascii="Calibri" w:hAnsi="Calibri"/>
                <w:sz w:val="20"/>
                <w:szCs w:val="20"/>
              </w:rPr>
            </w:pPr>
          </w:p>
        </w:tc>
        <w:tc>
          <w:tcPr>
            <w:tcW w:w="5224" w:type="dxa"/>
          </w:tcPr>
          <w:p w14:paraId="0BB93DAF" w14:textId="77777777" w:rsidR="000B228D" w:rsidRPr="00C34A27" w:rsidRDefault="000B228D" w:rsidP="00B84A2C">
            <w:pPr>
              <w:pStyle w:val="Default"/>
              <w:spacing w:line="360" w:lineRule="auto"/>
              <w:jc w:val="both"/>
              <w:rPr>
                <w:rFonts w:ascii="Calibri" w:hAnsi="Calibri"/>
                <w:sz w:val="20"/>
                <w:szCs w:val="20"/>
              </w:rPr>
            </w:pPr>
            <w:r>
              <w:rPr>
                <w:rFonts w:ascii="Calibri" w:hAnsi="Calibri"/>
                <w:sz w:val="20"/>
                <w:szCs w:val="20"/>
              </w:rPr>
              <w:t>Anémie sévère chez la femme de 15-49 ans</w:t>
            </w:r>
          </w:p>
        </w:tc>
        <w:tc>
          <w:tcPr>
            <w:tcW w:w="590" w:type="dxa"/>
          </w:tcPr>
          <w:p w14:paraId="5C80160C" w14:textId="77777777" w:rsidR="000B228D" w:rsidRDefault="000B228D" w:rsidP="00B84A2C">
            <w:pPr>
              <w:pStyle w:val="Default"/>
              <w:spacing w:line="360" w:lineRule="auto"/>
              <w:jc w:val="both"/>
              <w:rPr>
                <w:rFonts w:ascii="Calibri" w:hAnsi="Calibri"/>
                <w:sz w:val="20"/>
                <w:szCs w:val="20"/>
              </w:rPr>
            </w:pPr>
          </w:p>
        </w:tc>
        <w:tc>
          <w:tcPr>
            <w:tcW w:w="708" w:type="dxa"/>
          </w:tcPr>
          <w:p w14:paraId="38DAC265"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1,1</w:t>
            </w:r>
          </w:p>
        </w:tc>
        <w:tc>
          <w:tcPr>
            <w:tcW w:w="850" w:type="dxa"/>
          </w:tcPr>
          <w:p w14:paraId="3B607615"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1,1</w:t>
            </w:r>
          </w:p>
        </w:tc>
        <w:tc>
          <w:tcPr>
            <w:tcW w:w="707" w:type="dxa"/>
          </w:tcPr>
          <w:p w14:paraId="7E9ED1DA" w14:textId="77777777" w:rsidR="000B228D" w:rsidRDefault="000B228D" w:rsidP="00B84A2C">
            <w:pPr>
              <w:pStyle w:val="Default"/>
              <w:spacing w:line="360" w:lineRule="auto"/>
              <w:jc w:val="both"/>
              <w:rPr>
                <w:rFonts w:ascii="Calibri" w:hAnsi="Calibri"/>
                <w:sz w:val="20"/>
                <w:szCs w:val="20"/>
              </w:rPr>
            </w:pPr>
          </w:p>
        </w:tc>
        <w:tc>
          <w:tcPr>
            <w:tcW w:w="562" w:type="dxa"/>
          </w:tcPr>
          <w:p w14:paraId="2DE58A50" w14:textId="77777777" w:rsidR="000B228D" w:rsidRDefault="000B228D" w:rsidP="00B84A2C">
            <w:pPr>
              <w:pStyle w:val="Default"/>
              <w:spacing w:line="360" w:lineRule="auto"/>
              <w:jc w:val="both"/>
              <w:rPr>
                <w:rFonts w:ascii="Calibri" w:hAnsi="Calibri"/>
                <w:sz w:val="20"/>
                <w:szCs w:val="20"/>
              </w:rPr>
            </w:pPr>
          </w:p>
        </w:tc>
      </w:tr>
      <w:tr w:rsidR="00A54FC4" w:rsidRPr="00C34A27" w14:paraId="3ABF9A55" w14:textId="77777777" w:rsidTr="00A54FC4">
        <w:tc>
          <w:tcPr>
            <w:tcW w:w="421" w:type="dxa"/>
          </w:tcPr>
          <w:p w14:paraId="17039F63" w14:textId="77777777" w:rsidR="000B228D" w:rsidRPr="00C34A27" w:rsidRDefault="000B228D" w:rsidP="004F60CF">
            <w:pPr>
              <w:pStyle w:val="Default"/>
              <w:numPr>
                <w:ilvl w:val="0"/>
                <w:numId w:val="3"/>
              </w:numPr>
              <w:spacing w:line="360" w:lineRule="auto"/>
              <w:jc w:val="both"/>
              <w:rPr>
                <w:rFonts w:ascii="Calibri" w:hAnsi="Calibri"/>
                <w:sz w:val="20"/>
                <w:szCs w:val="20"/>
              </w:rPr>
            </w:pPr>
          </w:p>
        </w:tc>
        <w:tc>
          <w:tcPr>
            <w:tcW w:w="5224" w:type="dxa"/>
          </w:tcPr>
          <w:p w14:paraId="0106695E" w14:textId="77777777" w:rsidR="000B228D" w:rsidRPr="00C34A27" w:rsidRDefault="000B228D" w:rsidP="00B84A2C">
            <w:pPr>
              <w:pStyle w:val="Default"/>
              <w:spacing w:line="360" w:lineRule="auto"/>
              <w:jc w:val="both"/>
              <w:rPr>
                <w:rFonts w:ascii="Calibri" w:hAnsi="Calibri"/>
                <w:sz w:val="20"/>
                <w:szCs w:val="20"/>
              </w:rPr>
            </w:pPr>
            <w:r>
              <w:rPr>
                <w:rFonts w:ascii="Calibri" w:hAnsi="Calibri"/>
                <w:sz w:val="20"/>
                <w:szCs w:val="20"/>
              </w:rPr>
              <w:t>Anémie modérée chez la femme de 15-49 ans</w:t>
            </w:r>
          </w:p>
        </w:tc>
        <w:tc>
          <w:tcPr>
            <w:tcW w:w="590" w:type="dxa"/>
          </w:tcPr>
          <w:p w14:paraId="6E04EACD" w14:textId="77777777" w:rsidR="000B228D" w:rsidRDefault="000B228D" w:rsidP="00B84A2C">
            <w:pPr>
              <w:pStyle w:val="Default"/>
              <w:spacing w:line="360" w:lineRule="auto"/>
              <w:jc w:val="both"/>
              <w:rPr>
                <w:rFonts w:ascii="Calibri" w:hAnsi="Calibri"/>
                <w:sz w:val="20"/>
                <w:szCs w:val="20"/>
              </w:rPr>
            </w:pPr>
          </w:p>
        </w:tc>
        <w:tc>
          <w:tcPr>
            <w:tcW w:w="708" w:type="dxa"/>
          </w:tcPr>
          <w:p w14:paraId="4DB0A865"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14,7</w:t>
            </w:r>
          </w:p>
        </w:tc>
        <w:tc>
          <w:tcPr>
            <w:tcW w:w="850" w:type="dxa"/>
          </w:tcPr>
          <w:p w14:paraId="0D38FBB1" w14:textId="77777777" w:rsidR="000B228D" w:rsidRDefault="000B228D" w:rsidP="00B84A2C">
            <w:pPr>
              <w:pStyle w:val="Default"/>
              <w:spacing w:line="360" w:lineRule="auto"/>
              <w:jc w:val="both"/>
              <w:rPr>
                <w:rFonts w:ascii="Calibri" w:hAnsi="Calibri"/>
                <w:sz w:val="20"/>
                <w:szCs w:val="20"/>
              </w:rPr>
            </w:pPr>
            <w:r>
              <w:rPr>
                <w:rFonts w:ascii="Calibri" w:hAnsi="Calibri"/>
                <w:sz w:val="20"/>
                <w:szCs w:val="20"/>
              </w:rPr>
              <w:t>14</w:t>
            </w:r>
          </w:p>
        </w:tc>
        <w:tc>
          <w:tcPr>
            <w:tcW w:w="707" w:type="dxa"/>
          </w:tcPr>
          <w:p w14:paraId="5E1C7656" w14:textId="77777777" w:rsidR="000B228D" w:rsidRDefault="000B228D" w:rsidP="00B84A2C">
            <w:pPr>
              <w:pStyle w:val="Default"/>
              <w:spacing w:line="360" w:lineRule="auto"/>
              <w:jc w:val="both"/>
              <w:rPr>
                <w:rFonts w:ascii="Calibri" w:hAnsi="Calibri"/>
                <w:sz w:val="20"/>
                <w:szCs w:val="20"/>
              </w:rPr>
            </w:pPr>
          </w:p>
        </w:tc>
        <w:tc>
          <w:tcPr>
            <w:tcW w:w="562" w:type="dxa"/>
          </w:tcPr>
          <w:p w14:paraId="04F4B490" w14:textId="77777777" w:rsidR="000B228D" w:rsidRDefault="000B228D" w:rsidP="00B84A2C">
            <w:pPr>
              <w:pStyle w:val="Default"/>
              <w:spacing w:line="360" w:lineRule="auto"/>
              <w:jc w:val="both"/>
              <w:rPr>
                <w:rFonts w:ascii="Calibri" w:hAnsi="Calibri"/>
                <w:sz w:val="20"/>
                <w:szCs w:val="20"/>
              </w:rPr>
            </w:pPr>
          </w:p>
        </w:tc>
      </w:tr>
      <w:tr w:rsidR="000B228D" w:rsidRPr="00C34A27" w14:paraId="492A674D" w14:textId="77777777" w:rsidTr="00A54FC4">
        <w:tc>
          <w:tcPr>
            <w:tcW w:w="421" w:type="dxa"/>
          </w:tcPr>
          <w:p w14:paraId="63907430" w14:textId="77777777" w:rsidR="000B228D" w:rsidRPr="00C34A27" w:rsidRDefault="000B228D" w:rsidP="00B84A2C">
            <w:pPr>
              <w:pStyle w:val="Default"/>
              <w:spacing w:line="360" w:lineRule="auto"/>
              <w:jc w:val="both"/>
              <w:rPr>
                <w:rFonts w:ascii="Calibri" w:hAnsi="Calibri"/>
                <w:sz w:val="20"/>
                <w:szCs w:val="20"/>
              </w:rPr>
            </w:pPr>
          </w:p>
        </w:tc>
        <w:tc>
          <w:tcPr>
            <w:tcW w:w="8641" w:type="dxa"/>
            <w:gridSpan w:val="6"/>
          </w:tcPr>
          <w:p w14:paraId="37C62FF4" w14:textId="77777777" w:rsidR="000B228D" w:rsidRPr="00A54FC4" w:rsidRDefault="000B228D" w:rsidP="00A54FC4">
            <w:pPr>
              <w:pStyle w:val="Default"/>
              <w:jc w:val="both"/>
              <w:rPr>
                <w:rFonts w:ascii="Calibri" w:hAnsi="Calibri"/>
                <w:sz w:val="16"/>
                <w:szCs w:val="16"/>
              </w:rPr>
            </w:pPr>
            <w:r w:rsidRPr="003D481D">
              <w:rPr>
                <w:rFonts w:ascii="Calibri" w:hAnsi="Calibri"/>
                <w:sz w:val="16"/>
                <w:szCs w:val="16"/>
              </w:rPr>
              <w:t>Sources :</w:t>
            </w:r>
            <w:r w:rsidR="00A54FC4">
              <w:rPr>
                <w:rFonts w:ascii="Calibri" w:hAnsi="Calibri"/>
                <w:sz w:val="16"/>
                <w:szCs w:val="16"/>
              </w:rPr>
              <w:t xml:space="preserve"> (1) </w:t>
            </w:r>
            <w:r w:rsidRPr="003D481D">
              <w:rPr>
                <w:rFonts w:ascii="Calibri" w:hAnsi="Calibri"/>
                <w:sz w:val="16"/>
                <w:szCs w:val="16"/>
              </w:rPr>
              <w:t>EDS Burkina Faso 1998-99</w:t>
            </w:r>
            <w:r w:rsidR="00A54FC4">
              <w:rPr>
                <w:rFonts w:ascii="Calibri" w:hAnsi="Calibri"/>
                <w:sz w:val="16"/>
                <w:szCs w:val="16"/>
              </w:rPr>
              <w:t xml:space="preserve">, (2) </w:t>
            </w:r>
            <w:r w:rsidRPr="003D481D">
              <w:rPr>
                <w:rFonts w:ascii="Calibri" w:hAnsi="Calibri"/>
                <w:sz w:val="16"/>
                <w:szCs w:val="16"/>
              </w:rPr>
              <w:t>EDS Burkina Faso 2003</w:t>
            </w:r>
            <w:r w:rsidR="00A54FC4">
              <w:rPr>
                <w:rFonts w:ascii="Calibri" w:hAnsi="Calibri"/>
                <w:sz w:val="16"/>
                <w:szCs w:val="16"/>
              </w:rPr>
              <w:t xml:space="preserve">, (3) </w:t>
            </w:r>
            <w:r w:rsidRPr="003D481D">
              <w:rPr>
                <w:rFonts w:ascii="Calibri" w:hAnsi="Calibri"/>
                <w:sz w:val="16"/>
                <w:szCs w:val="16"/>
              </w:rPr>
              <w:t>EDS – MICS Burkina Faso 2010</w:t>
            </w:r>
            <w:r w:rsidR="00A54FC4">
              <w:rPr>
                <w:rFonts w:ascii="Calibri" w:hAnsi="Calibri"/>
                <w:sz w:val="16"/>
                <w:szCs w:val="16"/>
              </w:rPr>
              <w:t xml:space="preserve">, (4) </w:t>
            </w:r>
            <w:r w:rsidRPr="003D481D">
              <w:rPr>
                <w:rFonts w:ascii="Calibri" w:hAnsi="Calibri"/>
                <w:sz w:val="16"/>
                <w:szCs w:val="16"/>
              </w:rPr>
              <w:t>Evaluation Mi-Parcours du PNDS 2011-20 Burkina Faso. Rapport – Ministère de la santé publique 2016</w:t>
            </w:r>
            <w:r w:rsidR="00A54FC4">
              <w:rPr>
                <w:rFonts w:ascii="Calibri" w:hAnsi="Calibri"/>
                <w:sz w:val="16"/>
                <w:szCs w:val="16"/>
              </w:rPr>
              <w:t xml:space="preserve">, (5) </w:t>
            </w:r>
            <w:r w:rsidRPr="003D481D">
              <w:rPr>
                <w:rFonts w:ascii="Calibri" w:hAnsi="Calibri"/>
                <w:sz w:val="16"/>
                <w:szCs w:val="16"/>
              </w:rPr>
              <w:t>Enquête nutritionnelle nationale SMART 2016</w:t>
            </w:r>
          </w:p>
        </w:tc>
      </w:tr>
    </w:tbl>
    <w:p w14:paraId="7AC9CFA2" w14:textId="77777777" w:rsidR="002429C8" w:rsidRPr="006435D4" w:rsidRDefault="002429C8" w:rsidP="00BC6DD8">
      <w:pPr>
        <w:widowControl w:val="0"/>
        <w:tabs>
          <w:tab w:val="left" w:pos="9498"/>
        </w:tabs>
        <w:autoSpaceDE w:val="0"/>
        <w:autoSpaceDN w:val="0"/>
        <w:adjustRightInd w:val="0"/>
        <w:spacing w:before="240" w:after="0"/>
        <w:ind w:left="-142" w:right="-20"/>
        <w:jc w:val="both"/>
        <w:rPr>
          <w:rFonts w:ascii="Calibri" w:hAnsi="Calibri"/>
          <w:sz w:val="24"/>
          <w:szCs w:val="24"/>
        </w:rPr>
      </w:pPr>
      <w:r w:rsidRPr="006435D4">
        <w:rPr>
          <w:rFonts w:ascii="Calibri" w:hAnsi="Calibri"/>
          <w:sz w:val="24"/>
          <w:szCs w:val="24"/>
        </w:rPr>
        <w:t xml:space="preserve">La prévalence de l’anémie </w:t>
      </w:r>
      <w:r w:rsidR="006435D4" w:rsidRPr="006435D4">
        <w:rPr>
          <w:rFonts w:ascii="Calibri" w:hAnsi="Calibri"/>
          <w:sz w:val="24"/>
          <w:szCs w:val="24"/>
        </w:rPr>
        <w:t xml:space="preserve">chez les enfants de moins de 5 ans </w:t>
      </w:r>
      <w:r w:rsidRPr="006435D4">
        <w:rPr>
          <w:rFonts w:ascii="Calibri" w:hAnsi="Calibri"/>
          <w:sz w:val="24"/>
          <w:szCs w:val="24"/>
        </w:rPr>
        <w:t xml:space="preserve">reste élevée </w:t>
      </w:r>
      <w:r w:rsidR="006435D4" w:rsidRPr="006435D4">
        <w:rPr>
          <w:rFonts w:ascii="Calibri" w:hAnsi="Calibri"/>
          <w:sz w:val="24"/>
          <w:szCs w:val="24"/>
        </w:rPr>
        <w:t xml:space="preserve">atteignant 92 % en 2003 et 88 % en 2010 et </w:t>
      </w:r>
      <w:r w:rsidRPr="006435D4">
        <w:rPr>
          <w:rFonts w:ascii="Calibri" w:hAnsi="Calibri"/>
          <w:sz w:val="24"/>
          <w:szCs w:val="24"/>
        </w:rPr>
        <w:t>83.4</w:t>
      </w:r>
      <w:r w:rsidR="006435D4" w:rsidRPr="006435D4">
        <w:rPr>
          <w:rFonts w:ascii="Calibri" w:hAnsi="Calibri"/>
          <w:sz w:val="24"/>
          <w:szCs w:val="24"/>
        </w:rPr>
        <w:t xml:space="preserve"> % en 2017</w:t>
      </w:r>
      <w:r w:rsidR="003F3B74">
        <w:rPr>
          <w:rFonts w:ascii="Calibri" w:hAnsi="Calibri"/>
          <w:sz w:val="24"/>
          <w:szCs w:val="24"/>
        </w:rPr>
        <w:t>.</w:t>
      </w:r>
      <w:r w:rsidRPr="006435D4">
        <w:rPr>
          <w:rFonts w:ascii="Calibri" w:hAnsi="Calibri"/>
          <w:sz w:val="24"/>
          <w:szCs w:val="24"/>
        </w:rPr>
        <w:t xml:space="preserve">Cette situation nutritionnelle chez les enfants </w:t>
      </w:r>
      <w:r w:rsidR="00A47BBC">
        <w:rPr>
          <w:rFonts w:ascii="Calibri" w:hAnsi="Calibri"/>
          <w:sz w:val="24"/>
          <w:szCs w:val="24"/>
        </w:rPr>
        <w:t>est liée à un certain nombre de</w:t>
      </w:r>
      <w:r w:rsidRPr="006435D4">
        <w:rPr>
          <w:rFonts w:ascii="Calibri" w:hAnsi="Calibri"/>
          <w:sz w:val="24"/>
          <w:szCs w:val="24"/>
        </w:rPr>
        <w:t xml:space="preserve"> </w:t>
      </w:r>
      <w:r w:rsidR="006435D4" w:rsidRPr="006435D4">
        <w:rPr>
          <w:rFonts w:ascii="Calibri" w:hAnsi="Calibri"/>
          <w:sz w:val="24"/>
          <w:szCs w:val="24"/>
        </w:rPr>
        <w:t>facteurs déterminants</w:t>
      </w:r>
      <w:r w:rsidRPr="006435D4">
        <w:rPr>
          <w:rFonts w:ascii="Calibri" w:hAnsi="Calibri"/>
          <w:sz w:val="24"/>
          <w:szCs w:val="24"/>
        </w:rPr>
        <w:t xml:space="preserve"> </w:t>
      </w:r>
      <w:r w:rsidR="00A47BBC">
        <w:rPr>
          <w:rFonts w:ascii="Calibri" w:hAnsi="Calibri"/>
          <w:sz w:val="24"/>
          <w:szCs w:val="24"/>
        </w:rPr>
        <w:t xml:space="preserve">dont notamment (i) les </w:t>
      </w:r>
      <w:r w:rsidRPr="006435D4">
        <w:rPr>
          <w:rFonts w:ascii="Calibri" w:hAnsi="Calibri"/>
          <w:sz w:val="24"/>
          <w:szCs w:val="24"/>
        </w:rPr>
        <w:t xml:space="preserve">mauvaises pratiques d’allaitement et d’alimentation de </w:t>
      </w:r>
      <w:r w:rsidR="00A47BBC">
        <w:rPr>
          <w:rFonts w:ascii="Calibri" w:hAnsi="Calibri"/>
          <w:sz w:val="24"/>
          <w:szCs w:val="24"/>
        </w:rPr>
        <w:t xml:space="preserve">complément, (ii) </w:t>
      </w:r>
      <w:r w:rsidRPr="006435D4">
        <w:rPr>
          <w:rFonts w:ascii="Calibri" w:hAnsi="Calibri"/>
          <w:sz w:val="24"/>
          <w:szCs w:val="24"/>
        </w:rPr>
        <w:t>la précarité de</w:t>
      </w:r>
      <w:r w:rsidR="00A47BBC">
        <w:rPr>
          <w:rFonts w:ascii="Calibri" w:hAnsi="Calibri"/>
          <w:sz w:val="24"/>
          <w:szCs w:val="24"/>
        </w:rPr>
        <w:t xml:space="preserve">s soins apportés aux enfants, (iii) </w:t>
      </w:r>
      <w:r w:rsidRPr="006435D4">
        <w:rPr>
          <w:rFonts w:ascii="Calibri" w:hAnsi="Calibri"/>
          <w:sz w:val="24"/>
          <w:szCs w:val="24"/>
        </w:rPr>
        <w:t>la persistance des maladies</w:t>
      </w:r>
      <w:r w:rsidRPr="006435D4">
        <w:rPr>
          <w:rFonts w:ascii="Calibri" w:eastAsia="Arial Unicode MS" w:hAnsi="Calibri"/>
          <w:sz w:val="24"/>
          <w:szCs w:val="24"/>
        </w:rPr>
        <w:t xml:space="preserve"> </w:t>
      </w:r>
      <w:r w:rsidRPr="006435D4">
        <w:rPr>
          <w:rFonts w:ascii="Calibri" w:hAnsi="Calibri"/>
          <w:sz w:val="24"/>
          <w:szCs w:val="24"/>
        </w:rPr>
        <w:t xml:space="preserve">parasitaires et </w:t>
      </w:r>
      <w:r w:rsidR="00A47BBC">
        <w:rPr>
          <w:rFonts w:ascii="Calibri" w:hAnsi="Calibri"/>
          <w:sz w:val="24"/>
          <w:szCs w:val="24"/>
        </w:rPr>
        <w:t xml:space="preserve">infectieuses, (iv) </w:t>
      </w:r>
      <w:r w:rsidR="00A47BBC" w:rsidRPr="006435D4">
        <w:rPr>
          <w:rFonts w:ascii="Calibri" w:hAnsi="Calibri"/>
          <w:sz w:val="24"/>
          <w:szCs w:val="24"/>
        </w:rPr>
        <w:t>l’insuffisance</w:t>
      </w:r>
      <w:r w:rsidRPr="006435D4">
        <w:rPr>
          <w:rFonts w:ascii="Calibri" w:hAnsi="Calibri"/>
          <w:sz w:val="24"/>
          <w:szCs w:val="24"/>
        </w:rPr>
        <w:t xml:space="preserve"> d’accès à </w:t>
      </w:r>
      <w:r w:rsidR="00A47BBC" w:rsidRPr="006435D4">
        <w:rPr>
          <w:rFonts w:ascii="Calibri" w:hAnsi="Calibri"/>
          <w:sz w:val="24"/>
          <w:szCs w:val="24"/>
        </w:rPr>
        <w:t>l’eau potable</w:t>
      </w:r>
      <w:r w:rsidR="00A47BBC">
        <w:rPr>
          <w:rFonts w:ascii="Calibri" w:hAnsi="Calibri"/>
          <w:sz w:val="24"/>
          <w:szCs w:val="24"/>
        </w:rPr>
        <w:t>, (v) les</w:t>
      </w:r>
      <w:r w:rsidRPr="006435D4">
        <w:rPr>
          <w:rFonts w:ascii="Calibri" w:hAnsi="Calibri"/>
          <w:sz w:val="24"/>
          <w:szCs w:val="24"/>
        </w:rPr>
        <w:t xml:space="preserve"> mauvaises pratiques en matière d’hygiène</w:t>
      </w:r>
      <w:r w:rsidR="00A47BBC">
        <w:rPr>
          <w:rFonts w:ascii="Calibri" w:hAnsi="Calibri"/>
          <w:sz w:val="24"/>
          <w:szCs w:val="24"/>
        </w:rPr>
        <w:t xml:space="preserve"> notamment </w:t>
      </w:r>
      <w:r w:rsidR="003624F0">
        <w:rPr>
          <w:rFonts w:ascii="Calibri" w:hAnsi="Calibri"/>
          <w:sz w:val="24"/>
          <w:szCs w:val="24"/>
        </w:rPr>
        <w:t xml:space="preserve">alimentaire </w:t>
      </w:r>
      <w:r w:rsidR="003624F0" w:rsidRPr="006435D4">
        <w:rPr>
          <w:rFonts w:ascii="Calibri" w:hAnsi="Calibri"/>
          <w:sz w:val="24"/>
          <w:szCs w:val="24"/>
        </w:rPr>
        <w:t>et</w:t>
      </w:r>
      <w:r w:rsidRPr="006435D4">
        <w:rPr>
          <w:rFonts w:ascii="Calibri" w:hAnsi="Calibri"/>
          <w:sz w:val="24"/>
          <w:szCs w:val="24"/>
        </w:rPr>
        <w:t xml:space="preserve"> </w:t>
      </w:r>
      <w:r w:rsidR="003624F0">
        <w:rPr>
          <w:rFonts w:ascii="Calibri" w:hAnsi="Calibri"/>
          <w:sz w:val="24"/>
          <w:szCs w:val="24"/>
        </w:rPr>
        <w:t xml:space="preserve">(vi) </w:t>
      </w:r>
      <w:r w:rsidRPr="006435D4">
        <w:rPr>
          <w:rFonts w:ascii="Calibri" w:hAnsi="Calibri"/>
          <w:sz w:val="24"/>
          <w:szCs w:val="24"/>
        </w:rPr>
        <w:t xml:space="preserve">à certains pesanteurs  socioculturelles.  </w:t>
      </w:r>
    </w:p>
    <w:p w14:paraId="6B3396F8" w14:textId="296D8461" w:rsidR="001800FA" w:rsidRDefault="002429C8" w:rsidP="001D484B">
      <w:pPr>
        <w:widowControl w:val="0"/>
        <w:tabs>
          <w:tab w:val="left" w:pos="9498"/>
        </w:tabs>
        <w:autoSpaceDE w:val="0"/>
        <w:autoSpaceDN w:val="0"/>
        <w:adjustRightInd w:val="0"/>
        <w:spacing w:before="32" w:after="0"/>
        <w:ind w:left="-142" w:right="-20"/>
        <w:jc w:val="both"/>
        <w:rPr>
          <w:rFonts w:ascii="Calibri" w:hAnsi="Calibri"/>
          <w:sz w:val="24"/>
          <w:szCs w:val="24"/>
        </w:rPr>
      </w:pPr>
      <w:r w:rsidRPr="00E46BB4">
        <w:rPr>
          <w:rFonts w:ascii="Calibri" w:hAnsi="Calibri"/>
          <w:sz w:val="24"/>
          <w:szCs w:val="24"/>
        </w:rPr>
        <w:t xml:space="preserve"> </w:t>
      </w:r>
      <w:r w:rsidR="001800FA">
        <w:rPr>
          <w:rFonts w:ascii="Calibri" w:hAnsi="Calibri"/>
          <w:sz w:val="24"/>
          <w:szCs w:val="24"/>
        </w:rPr>
        <w:t>L</w:t>
      </w:r>
      <w:r w:rsidRPr="00E46BB4">
        <w:rPr>
          <w:rFonts w:ascii="Calibri" w:hAnsi="Calibri"/>
          <w:sz w:val="24"/>
          <w:szCs w:val="24"/>
        </w:rPr>
        <w:t>a situation nutritionnelle des mères</w:t>
      </w:r>
      <w:r w:rsidR="001800FA">
        <w:rPr>
          <w:rFonts w:ascii="Calibri" w:hAnsi="Calibri"/>
          <w:sz w:val="24"/>
          <w:szCs w:val="24"/>
        </w:rPr>
        <w:t xml:space="preserve"> </w:t>
      </w:r>
      <w:r w:rsidRPr="00E46BB4">
        <w:rPr>
          <w:rFonts w:ascii="Calibri" w:hAnsi="Calibri"/>
          <w:sz w:val="24"/>
          <w:szCs w:val="24"/>
        </w:rPr>
        <w:t xml:space="preserve">est caractérisée </w:t>
      </w:r>
      <w:r w:rsidR="00E46BB4" w:rsidRPr="00E46BB4">
        <w:rPr>
          <w:rFonts w:ascii="Calibri" w:hAnsi="Calibri"/>
          <w:sz w:val="24"/>
          <w:szCs w:val="24"/>
        </w:rPr>
        <w:t>par une</w:t>
      </w:r>
      <w:r w:rsidRPr="00E46BB4">
        <w:rPr>
          <w:rFonts w:ascii="Calibri" w:hAnsi="Calibri"/>
          <w:sz w:val="24"/>
          <w:szCs w:val="24"/>
        </w:rPr>
        <w:t xml:space="preserve"> prévalence de la maigreur (IMC&lt;18.5) de l’ordre de 16% (EDS 2010)</w:t>
      </w:r>
      <w:r w:rsidR="001800FA">
        <w:rPr>
          <w:rFonts w:ascii="Calibri" w:hAnsi="Calibri"/>
          <w:sz w:val="24"/>
          <w:szCs w:val="24"/>
        </w:rPr>
        <w:t xml:space="preserve">, </w:t>
      </w:r>
      <w:r w:rsidRPr="00E46BB4">
        <w:rPr>
          <w:rFonts w:ascii="Calibri" w:hAnsi="Calibri"/>
          <w:sz w:val="24"/>
          <w:szCs w:val="24"/>
        </w:rPr>
        <w:t xml:space="preserve">une prévalence élevée de l’anémie chez </w:t>
      </w:r>
      <w:r w:rsidR="00E46BB4" w:rsidRPr="00E46BB4">
        <w:rPr>
          <w:rFonts w:ascii="Calibri" w:hAnsi="Calibri"/>
          <w:sz w:val="24"/>
          <w:szCs w:val="24"/>
        </w:rPr>
        <w:t>les femmes</w:t>
      </w:r>
      <w:r w:rsidRPr="00E46BB4">
        <w:rPr>
          <w:rFonts w:ascii="Calibri" w:hAnsi="Calibri"/>
          <w:sz w:val="24"/>
          <w:szCs w:val="24"/>
        </w:rPr>
        <w:t xml:space="preserve"> enceintes (72,5%)</w:t>
      </w:r>
      <w:r w:rsidR="001800FA">
        <w:rPr>
          <w:rFonts w:ascii="Calibri" w:hAnsi="Calibri"/>
          <w:sz w:val="24"/>
          <w:szCs w:val="24"/>
        </w:rPr>
        <w:t xml:space="preserve"> et </w:t>
      </w:r>
      <w:r w:rsidRPr="00E46BB4">
        <w:rPr>
          <w:rFonts w:ascii="Calibri" w:hAnsi="Calibri"/>
          <w:sz w:val="24"/>
          <w:szCs w:val="24"/>
        </w:rPr>
        <w:t xml:space="preserve">une </w:t>
      </w:r>
      <w:r w:rsidR="00E46BB4" w:rsidRPr="00E46BB4">
        <w:rPr>
          <w:rFonts w:ascii="Calibri" w:hAnsi="Calibri"/>
          <w:sz w:val="24"/>
          <w:szCs w:val="24"/>
        </w:rPr>
        <w:t>carence en</w:t>
      </w:r>
      <w:r w:rsidRPr="00E46BB4">
        <w:rPr>
          <w:rFonts w:ascii="Calibri" w:hAnsi="Calibri"/>
          <w:sz w:val="24"/>
          <w:szCs w:val="24"/>
        </w:rPr>
        <w:t xml:space="preserve"> iode marquée chez les femmes enceintes avec une concentration d’iode urinaire médiane de 74µmg/l</w:t>
      </w:r>
      <w:r w:rsidR="001800FA">
        <w:rPr>
          <w:rFonts w:ascii="Calibri" w:hAnsi="Calibri"/>
          <w:sz w:val="24"/>
          <w:szCs w:val="24"/>
        </w:rPr>
        <w:t xml:space="preserve"> (Norme </w:t>
      </w:r>
      <w:r w:rsidR="001800FA" w:rsidRPr="00E46BB4">
        <w:rPr>
          <w:rFonts w:ascii="Calibri" w:hAnsi="Calibri"/>
          <w:sz w:val="24"/>
          <w:szCs w:val="24"/>
        </w:rPr>
        <w:t>150µmg/l</w:t>
      </w:r>
      <w:r w:rsidR="001800FA">
        <w:rPr>
          <w:rFonts w:ascii="Calibri" w:hAnsi="Calibri"/>
          <w:sz w:val="24"/>
          <w:szCs w:val="24"/>
        </w:rPr>
        <w:t xml:space="preserve">) </w:t>
      </w:r>
      <w:r w:rsidR="001800FA">
        <w:rPr>
          <w:rStyle w:val="Appelnotedebasdep"/>
          <w:rFonts w:ascii="Calibri" w:hAnsi="Calibri"/>
          <w:sz w:val="24"/>
          <w:szCs w:val="24"/>
        </w:rPr>
        <w:footnoteReference w:id="37"/>
      </w:r>
      <w:r w:rsidR="001800FA">
        <w:rPr>
          <w:rFonts w:ascii="Calibri" w:hAnsi="Calibri"/>
          <w:sz w:val="24"/>
          <w:szCs w:val="24"/>
        </w:rPr>
        <w:t xml:space="preserve">. </w:t>
      </w:r>
      <w:r w:rsidRPr="00E46BB4">
        <w:rPr>
          <w:rFonts w:ascii="Calibri" w:hAnsi="Calibri"/>
          <w:sz w:val="24"/>
          <w:szCs w:val="24"/>
        </w:rPr>
        <w:t xml:space="preserve"> </w:t>
      </w:r>
    </w:p>
    <w:p w14:paraId="67DC964B" w14:textId="256D3FC1" w:rsidR="00A00341" w:rsidRDefault="00A00341" w:rsidP="001D484B">
      <w:pPr>
        <w:widowControl w:val="0"/>
        <w:tabs>
          <w:tab w:val="left" w:pos="9498"/>
        </w:tabs>
        <w:autoSpaceDE w:val="0"/>
        <w:autoSpaceDN w:val="0"/>
        <w:adjustRightInd w:val="0"/>
        <w:spacing w:before="32" w:after="0"/>
        <w:ind w:left="-142" w:right="-20"/>
        <w:jc w:val="both"/>
        <w:rPr>
          <w:rFonts w:cs="Arial"/>
          <w:sz w:val="24"/>
          <w:szCs w:val="24"/>
        </w:rPr>
      </w:pPr>
      <w:r w:rsidRPr="00A00341">
        <w:rPr>
          <w:rFonts w:cs="Arial"/>
          <w:sz w:val="24"/>
          <w:szCs w:val="24"/>
        </w:rPr>
        <w:t>Les causes immédiates des formes de malnutrition infanto-juvénile et maternelle résident dans un apport nutritionnel inadéquat et la présence de maladies qui interagissent entre eux créant un cycle vicieux d’aggravation des maladies et de dégradation progressive de l’état nutritionnel im</w:t>
      </w:r>
      <w:r w:rsidR="00626C1E">
        <w:rPr>
          <w:rFonts w:cs="Arial"/>
          <w:sz w:val="24"/>
          <w:szCs w:val="24"/>
        </w:rPr>
        <w:t xml:space="preserve">pactant la survie et </w:t>
      </w:r>
      <w:r w:rsidRPr="00A00341">
        <w:rPr>
          <w:rFonts w:cs="Arial"/>
          <w:sz w:val="24"/>
          <w:szCs w:val="24"/>
        </w:rPr>
        <w:t>le dévelo</w:t>
      </w:r>
      <w:r w:rsidR="00626C1E">
        <w:rPr>
          <w:rFonts w:cs="Arial"/>
          <w:sz w:val="24"/>
          <w:szCs w:val="24"/>
        </w:rPr>
        <w:t>ppement du jeune enfant</w:t>
      </w:r>
      <w:r w:rsidRPr="00A00341">
        <w:rPr>
          <w:rFonts w:cs="Arial"/>
          <w:sz w:val="24"/>
          <w:szCs w:val="24"/>
        </w:rPr>
        <w:t>.</w:t>
      </w:r>
    </w:p>
    <w:p w14:paraId="63A4E608" w14:textId="77777777" w:rsidR="001D484B" w:rsidRPr="001D484B" w:rsidRDefault="001D484B" w:rsidP="001D484B">
      <w:pPr>
        <w:widowControl w:val="0"/>
        <w:tabs>
          <w:tab w:val="left" w:pos="9498"/>
        </w:tabs>
        <w:autoSpaceDE w:val="0"/>
        <w:autoSpaceDN w:val="0"/>
        <w:adjustRightInd w:val="0"/>
        <w:spacing w:before="32" w:after="0"/>
        <w:ind w:left="-142" w:right="-20"/>
        <w:jc w:val="both"/>
        <w:rPr>
          <w:rFonts w:cs="Arial"/>
          <w:sz w:val="24"/>
          <w:szCs w:val="24"/>
        </w:rPr>
      </w:pPr>
    </w:p>
    <w:p w14:paraId="562E0B0F" w14:textId="059DD6E6" w:rsidR="009078FF" w:rsidRPr="001800FA" w:rsidRDefault="00A12E1A" w:rsidP="001800FA">
      <w:pPr>
        <w:pStyle w:val="Paragraphedeliste"/>
        <w:numPr>
          <w:ilvl w:val="1"/>
          <w:numId w:val="1"/>
        </w:numPr>
        <w:jc w:val="both"/>
        <w:rPr>
          <w:rFonts w:ascii="Calibri" w:hAnsi="Calibri"/>
          <w:sz w:val="28"/>
          <w:szCs w:val="28"/>
        </w:rPr>
      </w:pPr>
      <w:r w:rsidRPr="001800FA">
        <w:rPr>
          <w:rFonts w:ascii="Calibri" w:hAnsi="Calibri"/>
          <w:sz w:val="28"/>
          <w:szCs w:val="28"/>
        </w:rPr>
        <w:t xml:space="preserve">CONTINUUM DE SERVICES EN SRMNEA-N : PERFORMANCE </w:t>
      </w:r>
      <w:r w:rsidR="008C7DD7" w:rsidRPr="001800FA">
        <w:rPr>
          <w:rFonts w:ascii="Calibri" w:hAnsi="Calibri"/>
          <w:sz w:val="28"/>
          <w:szCs w:val="28"/>
        </w:rPr>
        <w:t>ET GAPS</w:t>
      </w:r>
      <w:r w:rsidR="002E3CA1" w:rsidRPr="001800FA">
        <w:rPr>
          <w:rFonts w:ascii="Calibri" w:hAnsi="Calibri"/>
          <w:sz w:val="28"/>
          <w:szCs w:val="28"/>
        </w:rPr>
        <w:t xml:space="preserve"> </w:t>
      </w:r>
    </w:p>
    <w:p w14:paraId="61873A89" w14:textId="00E955FE" w:rsidR="00164A24" w:rsidRPr="00164A24" w:rsidRDefault="00164A24" w:rsidP="00164A24">
      <w:pPr>
        <w:tabs>
          <w:tab w:val="left" w:pos="5640"/>
        </w:tabs>
        <w:spacing w:after="0"/>
        <w:jc w:val="both"/>
        <w:rPr>
          <w:sz w:val="24"/>
          <w:szCs w:val="24"/>
        </w:rPr>
      </w:pPr>
      <w:r w:rsidRPr="00164A24">
        <w:rPr>
          <w:sz w:val="24"/>
          <w:szCs w:val="24"/>
        </w:rPr>
        <w:t xml:space="preserve">L’analyse des performances des </w:t>
      </w:r>
      <w:r>
        <w:rPr>
          <w:sz w:val="24"/>
          <w:szCs w:val="24"/>
        </w:rPr>
        <w:t>interventions</w:t>
      </w:r>
      <w:r w:rsidRPr="00164A24">
        <w:rPr>
          <w:sz w:val="24"/>
          <w:szCs w:val="24"/>
        </w:rPr>
        <w:t xml:space="preserve"> de SRMNEA-N ont permis d’identifier les insuffisances de couverture dans le domaine.</w:t>
      </w:r>
    </w:p>
    <w:p w14:paraId="1BDD81ED" w14:textId="77777777" w:rsidR="00164A24" w:rsidRPr="00164A24" w:rsidRDefault="00164A24" w:rsidP="00164A24">
      <w:pPr>
        <w:tabs>
          <w:tab w:val="left" w:pos="5640"/>
        </w:tabs>
        <w:spacing w:after="0"/>
        <w:jc w:val="both"/>
        <w:rPr>
          <w:sz w:val="24"/>
          <w:szCs w:val="24"/>
        </w:rPr>
      </w:pPr>
      <w:r w:rsidRPr="00164A24">
        <w:rPr>
          <w:sz w:val="24"/>
          <w:szCs w:val="24"/>
        </w:rPr>
        <w:t xml:space="preserve">La couverture des interventions résulte d’une interdépendance entre des indicateurs dont  </w:t>
      </w:r>
    </w:p>
    <w:p w14:paraId="1BCE0F08" w14:textId="77777777" w:rsidR="00164A24" w:rsidRPr="00164A24" w:rsidRDefault="00164A24" w:rsidP="00164A24">
      <w:pPr>
        <w:spacing w:after="0"/>
        <w:jc w:val="both"/>
        <w:rPr>
          <w:sz w:val="24"/>
          <w:szCs w:val="24"/>
        </w:rPr>
      </w:pPr>
      <w:r w:rsidRPr="00164A24">
        <w:rPr>
          <w:sz w:val="24"/>
          <w:szCs w:val="24"/>
        </w:rPr>
        <w:t xml:space="preserve">La disponibilité des commodités, la disponibilité des ressources humaines, l’accessibilité géographique, l’accessibilité financière, l’acceptabilité socio-culturelle, l’utilisation initiale, la couverture adéquate (utilisation continue) et la couverture effective (prenant en compte la qualité du service offert). Par ailleurs, il faut relever que d’autres facteurs issus de </w:t>
      </w:r>
      <w:r w:rsidRPr="00164A24">
        <w:rPr>
          <w:sz w:val="24"/>
          <w:szCs w:val="24"/>
        </w:rPr>
        <w:lastRenderedPageBreak/>
        <w:t xml:space="preserve">l’environnement de la mise en œuvre interviennent également dans l’atteinte des résultats à savoir : les politiques et stratégies, les normes sociales, les conditions économiques, le système d’information, le leadership et la gouvernance. </w:t>
      </w:r>
    </w:p>
    <w:p w14:paraId="4B2366A5" w14:textId="179CB80D" w:rsidR="00164A24" w:rsidRPr="00164A24" w:rsidRDefault="00164A24" w:rsidP="00164A24">
      <w:pPr>
        <w:jc w:val="both"/>
        <w:rPr>
          <w:sz w:val="24"/>
          <w:szCs w:val="24"/>
        </w:rPr>
      </w:pPr>
      <w:r w:rsidRPr="00164A24">
        <w:rPr>
          <w:sz w:val="24"/>
          <w:szCs w:val="24"/>
        </w:rPr>
        <w:t xml:space="preserve">Cette analyse de la performance sera faite à l’aide de l’outil EQUIST en prenant en compte les gaps de couverture des interventions à haut impact sur la mortalité des nouveau-nés, enfants de moins de cinq ans, des adolescents, des mères, de la nutrition. </w:t>
      </w:r>
    </w:p>
    <w:p w14:paraId="0A7B8177" w14:textId="30B2D3A1" w:rsidR="004527CF" w:rsidRPr="001800FA" w:rsidRDefault="001800FA" w:rsidP="007A76B7">
      <w:pPr>
        <w:pStyle w:val="Paragraphedeliste"/>
        <w:numPr>
          <w:ilvl w:val="2"/>
          <w:numId w:val="1"/>
        </w:numPr>
        <w:spacing w:after="0" w:line="360" w:lineRule="auto"/>
        <w:jc w:val="both"/>
        <w:rPr>
          <w:rFonts w:cs="Arial"/>
          <w:sz w:val="24"/>
          <w:szCs w:val="24"/>
        </w:rPr>
      </w:pPr>
      <w:r w:rsidRPr="001800FA">
        <w:rPr>
          <w:rFonts w:cs="Arial"/>
          <w:sz w:val="24"/>
          <w:szCs w:val="24"/>
        </w:rPr>
        <w:t>LES SOINS PRENATALS (SPN)</w:t>
      </w:r>
    </w:p>
    <w:p w14:paraId="3F225BBE" w14:textId="77777777" w:rsidR="00744F1E" w:rsidRPr="00744F1E" w:rsidRDefault="00744F1E" w:rsidP="007A76B7">
      <w:pPr>
        <w:pStyle w:val="Paragraphedeliste"/>
        <w:numPr>
          <w:ilvl w:val="3"/>
          <w:numId w:val="1"/>
        </w:numPr>
        <w:spacing w:after="0" w:line="360" w:lineRule="auto"/>
        <w:jc w:val="both"/>
        <w:rPr>
          <w:rFonts w:cs="Arial"/>
          <w:b/>
          <w:sz w:val="24"/>
          <w:szCs w:val="24"/>
        </w:rPr>
      </w:pPr>
      <w:r>
        <w:rPr>
          <w:rFonts w:cs="Arial"/>
          <w:b/>
          <w:sz w:val="24"/>
          <w:szCs w:val="24"/>
        </w:rPr>
        <w:t xml:space="preserve">Performances </w:t>
      </w:r>
    </w:p>
    <w:p w14:paraId="242653A1" w14:textId="0CE5629A" w:rsidR="00A47BBC" w:rsidRDefault="004527CF" w:rsidP="001800FA">
      <w:pPr>
        <w:spacing w:after="0"/>
        <w:jc w:val="both"/>
        <w:rPr>
          <w:rFonts w:cs="Arial"/>
          <w:sz w:val="24"/>
          <w:szCs w:val="24"/>
        </w:rPr>
      </w:pPr>
      <w:r w:rsidRPr="003F3B74">
        <w:rPr>
          <w:rFonts w:cs="Arial"/>
          <w:sz w:val="24"/>
          <w:szCs w:val="24"/>
        </w:rPr>
        <w:t xml:space="preserve">Les résultats de l’enquête EDS/MICS 2010, montrent que 95 % des femmes ont reçu des soins prénatals au cours de leur grossesse. En 2016, </w:t>
      </w:r>
      <w:r w:rsidR="00310656" w:rsidRPr="003F3B74">
        <w:rPr>
          <w:rFonts w:cs="Arial"/>
          <w:sz w:val="24"/>
          <w:szCs w:val="24"/>
        </w:rPr>
        <w:t xml:space="preserve">la </w:t>
      </w:r>
      <w:r w:rsidRPr="003F3B74">
        <w:rPr>
          <w:rFonts w:cs="Arial"/>
          <w:sz w:val="24"/>
          <w:szCs w:val="24"/>
        </w:rPr>
        <w:t>couverture nationale de CPN1 de 81 %, 70 % pour la CPN2 et 34 % pour la CPN4</w:t>
      </w:r>
      <w:r w:rsidR="00310656" w:rsidRPr="003F3B74">
        <w:rPr>
          <w:rStyle w:val="Appelnotedebasdep"/>
          <w:rFonts w:cs="Arial"/>
          <w:sz w:val="24"/>
          <w:szCs w:val="24"/>
        </w:rPr>
        <w:footnoteReference w:id="38"/>
      </w:r>
      <w:r w:rsidRPr="003F3B74">
        <w:rPr>
          <w:rFonts w:cs="Arial"/>
          <w:sz w:val="24"/>
          <w:szCs w:val="24"/>
        </w:rPr>
        <w:t xml:space="preserve">. </w:t>
      </w:r>
      <w:r w:rsidR="002E3CA1">
        <w:rPr>
          <w:rFonts w:cs="Arial"/>
          <w:sz w:val="24"/>
          <w:szCs w:val="24"/>
        </w:rPr>
        <w:t>Malgré l</w:t>
      </w:r>
      <w:r w:rsidR="00844D73" w:rsidRPr="003F3B74">
        <w:rPr>
          <w:rFonts w:cs="Arial"/>
          <w:sz w:val="24"/>
          <w:szCs w:val="24"/>
        </w:rPr>
        <w:t xml:space="preserve">es progrès observés, avec une hausse du taux de la CPN4 passant de 34,1% en 2015 à 38% en 2017, </w:t>
      </w:r>
      <w:r w:rsidR="002F1A40">
        <w:rPr>
          <w:rFonts w:cs="Arial"/>
          <w:sz w:val="24"/>
          <w:szCs w:val="24"/>
        </w:rPr>
        <w:t xml:space="preserve">il y a un déficit de performance qui n’a pas permis d’atteindre </w:t>
      </w:r>
      <w:r w:rsidR="00844D73" w:rsidRPr="003F3B74">
        <w:rPr>
          <w:rFonts w:cs="Arial"/>
          <w:sz w:val="24"/>
          <w:szCs w:val="24"/>
        </w:rPr>
        <w:t xml:space="preserve">la cible </w:t>
      </w:r>
      <w:r w:rsidR="002F1A40">
        <w:rPr>
          <w:rFonts w:cs="Arial"/>
          <w:sz w:val="24"/>
          <w:szCs w:val="24"/>
        </w:rPr>
        <w:t xml:space="preserve">fixée </w:t>
      </w:r>
      <w:r w:rsidR="00844D73" w:rsidRPr="003F3B74">
        <w:rPr>
          <w:rFonts w:cs="Arial"/>
          <w:sz w:val="24"/>
          <w:szCs w:val="24"/>
        </w:rPr>
        <w:t xml:space="preserve">de 45% (PNDS 2011-2020). </w:t>
      </w:r>
    </w:p>
    <w:p w14:paraId="570459ED" w14:textId="77777777" w:rsidR="001800FA" w:rsidRDefault="001800FA" w:rsidP="001800FA">
      <w:pPr>
        <w:spacing w:after="0"/>
        <w:jc w:val="both"/>
        <w:rPr>
          <w:rFonts w:cs="Arial"/>
          <w:sz w:val="24"/>
          <w:szCs w:val="24"/>
        </w:rPr>
      </w:pPr>
    </w:p>
    <w:p w14:paraId="6D630587" w14:textId="434C8262" w:rsidR="00744F1E" w:rsidRPr="00744F1E" w:rsidRDefault="000F2403" w:rsidP="007A76B7">
      <w:pPr>
        <w:pStyle w:val="Paragraphedeliste"/>
        <w:numPr>
          <w:ilvl w:val="3"/>
          <w:numId w:val="1"/>
        </w:numPr>
        <w:spacing w:after="0" w:line="360" w:lineRule="auto"/>
        <w:jc w:val="both"/>
        <w:rPr>
          <w:rFonts w:cs="Arial"/>
          <w:b/>
          <w:sz w:val="24"/>
          <w:szCs w:val="24"/>
        </w:rPr>
      </w:pPr>
      <w:r>
        <w:rPr>
          <w:rFonts w:cs="Arial"/>
          <w:b/>
          <w:sz w:val="24"/>
          <w:szCs w:val="24"/>
        </w:rPr>
        <w:t>G</w:t>
      </w:r>
      <w:r w:rsidR="00164A24">
        <w:rPr>
          <w:rFonts w:cs="Arial"/>
          <w:b/>
          <w:sz w:val="24"/>
          <w:szCs w:val="24"/>
        </w:rPr>
        <w:t>aps de performance</w:t>
      </w:r>
      <w:r>
        <w:rPr>
          <w:rFonts w:cs="Arial"/>
          <w:b/>
          <w:sz w:val="24"/>
          <w:szCs w:val="24"/>
        </w:rPr>
        <w:t xml:space="preserve"> et analyse de leurs causes</w:t>
      </w:r>
    </w:p>
    <w:p w14:paraId="0AD7F52C" w14:textId="77777777" w:rsidR="00EB0903" w:rsidRPr="001C7B98" w:rsidRDefault="00EB0903" w:rsidP="00A97663">
      <w:pPr>
        <w:pStyle w:val="Paragraphedeliste"/>
        <w:numPr>
          <w:ilvl w:val="0"/>
          <w:numId w:val="20"/>
        </w:numPr>
        <w:spacing w:after="0"/>
        <w:jc w:val="both"/>
        <w:rPr>
          <w:rFonts w:ascii="Calibri" w:hAnsi="Calibri"/>
          <w:b/>
          <w:i/>
          <w:sz w:val="24"/>
          <w:szCs w:val="24"/>
        </w:rPr>
      </w:pPr>
      <w:r w:rsidRPr="001C7B98">
        <w:rPr>
          <w:rFonts w:ascii="Calibri" w:hAnsi="Calibri"/>
          <w:b/>
          <w:i/>
          <w:sz w:val="24"/>
          <w:szCs w:val="24"/>
        </w:rPr>
        <w:t>L</w:t>
      </w:r>
      <w:r w:rsidR="00C63E2B" w:rsidRPr="001C7B98">
        <w:rPr>
          <w:rFonts w:ascii="Calibri" w:hAnsi="Calibri"/>
          <w:b/>
          <w:i/>
          <w:sz w:val="24"/>
          <w:szCs w:val="24"/>
        </w:rPr>
        <w:t>’offre de</w:t>
      </w:r>
      <w:r w:rsidRPr="001C7B98">
        <w:rPr>
          <w:rFonts w:ascii="Calibri" w:hAnsi="Calibri"/>
          <w:b/>
          <w:i/>
          <w:sz w:val="24"/>
          <w:szCs w:val="24"/>
        </w:rPr>
        <w:t xml:space="preserve"> services de soins prénatals</w:t>
      </w:r>
      <w:r w:rsidR="00B5516C" w:rsidRPr="001C7B98">
        <w:rPr>
          <w:rFonts w:ascii="Calibri" w:hAnsi="Calibri"/>
          <w:b/>
          <w:i/>
          <w:sz w:val="24"/>
          <w:szCs w:val="24"/>
        </w:rPr>
        <w:t xml:space="preserve"> est </w:t>
      </w:r>
      <w:r w:rsidR="003E7067" w:rsidRPr="001C7B98">
        <w:rPr>
          <w:rFonts w:ascii="Calibri" w:hAnsi="Calibri"/>
          <w:b/>
          <w:i/>
          <w:sz w:val="24"/>
          <w:szCs w:val="24"/>
        </w:rPr>
        <w:t>inégalement répartie entre les différents niveaux de soins et entre le secteur public et le secteur privé</w:t>
      </w:r>
      <w:r w:rsidR="006E652A">
        <w:rPr>
          <w:rFonts w:ascii="Calibri" w:hAnsi="Calibri"/>
          <w:b/>
          <w:i/>
          <w:sz w:val="24"/>
          <w:szCs w:val="24"/>
        </w:rPr>
        <w:t xml:space="preserve"> et entre les régions du pays</w:t>
      </w:r>
      <w:r w:rsidR="00E06484">
        <w:rPr>
          <w:rStyle w:val="Appelnotedebasdep"/>
          <w:rFonts w:ascii="Calibri" w:hAnsi="Calibri"/>
          <w:b/>
          <w:i/>
          <w:sz w:val="24"/>
          <w:szCs w:val="24"/>
        </w:rPr>
        <w:footnoteReference w:id="39"/>
      </w:r>
    </w:p>
    <w:p w14:paraId="19E54678" w14:textId="77777777" w:rsidR="003E7067" w:rsidRPr="001C7B98" w:rsidRDefault="003E7067" w:rsidP="001800FA">
      <w:pPr>
        <w:pStyle w:val="Paragraphedeliste"/>
        <w:autoSpaceDE w:val="0"/>
        <w:autoSpaceDN w:val="0"/>
        <w:adjustRightInd w:val="0"/>
        <w:spacing w:after="0"/>
        <w:ind w:left="360"/>
        <w:jc w:val="both"/>
        <w:rPr>
          <w:rFonts w:cs="Arial"/>
          <w:color w:val="000000"/>
          <w:sz w:val="24"/>
          <w:szCs w:val="24"/>
        </w:rPr>
      </w:pPr>
      <w:r w:rsidRPr="001C7B98">
        <w:rPr>
          <w:rFonts w:cs="Arial"/>
          <w:color w:val="000000"/>
          <w:sz w:val="24"/>
          <w:szCs w:val="24"/>
        </w:rPr>
        <w:t xml:space="preserve">En 2016, l’offre de soins prénatals est de 99% dans les formations sanitaires publiques et de 39% dans le secteur privé en 2016. </w:t>
      </w:r>
    </w:p>
    <w:p w14:paraId="0BCD26E3" w14:textId="77777777" w:rsidR="003E7067" w:rsidRPr="001C7B98" w:rsidRDefault="003E7067" w:rsidP="001800FA">
      <w:pPr>
        <w:pStyle w:val="Paragraphedeliste"/>
        <w:autoSpaceDE w:val="0"/>
        <w:autoSpaceDN w:val="0"/>
        <w:adjustRightInd w:val="0"/>
        <w:spacing w:after="0"/>
        <w:ind w:left="360"/>
        <w:jc w:val="both"/>
        <w:rPr>
          <w:rFonts w:cs="Arial"/>
          <w:color w:val="000000"/>
          <w:sz w:val="24"/>
          <w:szCs w:val="24"/>
        </w:rPr>
      </w:pPr>
      <w:r w:rsidRPr="001C7B98">
        <w:rPr>
          <w:sz w:val="24"/>
          <w:szCs w:val="24"/>
        </w:rPr>
        <w:t>Les formations sanitaires du 1er échelon offrent le plus de services de CPN avec 90% contre 75% pour les CMA/Cliniques et 85% pour les hôpitaux/polycliniques</w:t>
      </w:r>
      <w:r w:rsidRPr="001C7B98">
        <w:rPr>
          <w:rFonts w:cs="Arial"/>
          <w:color w:val="000000"/>
          <w:sz w:val="24"/>
          <w:szCs w:val="24"/>
        </w:rPr>
        <w:t xml:space="preserve"> </w:t>
      </w:r>
    </w:p>
    <w:p w14:paraId="58599C45" w14:textId="77777777" w:rsidR="003E7067" w:rsidRPr="001C7B98" w:rsidRDefault="003E7067" w:rsidP="001800FA">
      <w:pPr>
        <w:pStyle w:val="Paragraphedeliste"/>
        <w:autoSpaceDE w:val="0"/>
        <w:autoSpaceDN w:val="0"/>
        <w:adjustRightInd w:val="0"/>
        <w:spacing w:after="0"/>
        <w:ind w:left="360"/>
        <w:jc w:val="both"/>
        <w:rPr>
          <w:rFonts w:cs="Arial"/>
          <w:color w:val="000000"/>
          <w:sz w:val="24"/>
          <w:szCs w:val="24"/>
        </w:rPr>
      </w:pPr>
      <w:r w:rsidRPr="001C7B98">
        <w:rPr>
          <w:rFonts w:cs="Arial"/>
          <w:color w:val="000000"/>
          <w:sz w:val="24"/>
          <w:szCs w:val="24"/>
        </w:rPr>
        <w:t xml:space="preserve">Par rapport à la moyenne nationale, la proportion des formations sanitaires qui offrent les services de CPN est plus faible dans les régions du Centre (59%) et des Hauts-Bassins (83%). </w:t>
      </w:r>
    </w:p>
    <w:p w14:paraId="00CCD9B0" w14:textId="77777777" w:rsidR="003E7067" w:rsidRPr="001C7B98" w:rsidRDefault="000F2403" w:rsidP="00A97663">
      <w:pPr>
        <w:pStyle w:val="Paragraphedeliste"/>
        <w:numPr>
          <w:ilvl w:val="0"/>
          <w:numId w:val="20"/>
        </w:numPr>
        <w:spacing w:after="0"/>
        <w:jc w:val="both"/>
        <w:rPr>
          <w:rFonts w:ascii="Calibri" w:hAnsi="Calibri" w:cs="Arial"/>
          <w:b/>
          <w:i/>
          <w:sz w:val="24"/>
          <w:szCs w:val="24"/>
        </w:rPr>
      </w:pPr>
      <w:r w:rsidRPr="001C7B98">
        <w:rPr>
          <w:rFonts w:ascii="Calibri" w:hAnsi="Calibri" w:cs="Arial"/>
          <w:b/>
          <w:i/>
          <w:sz w:val="24"/>
          <w:szCs w:val="24"/>
        </w:rPr>
        <w:t xml:space="preserve">La </w:t>
      </w:r>
      <w:r w:rsidR="002A6763" w:rsidRPr="001C7B98">
        <w:rPr>
          <w:rFonts w:ascii="Calibri" w:hAnsi="Calibri" w:cs="Arial"/>
          <w:b/>
          <w:i/>
          <w:sz w:val="24"/>
          <w:szCs w:val="24"/>
        </w:rPr>
        <w:t>capacité opérationnelle</w:t>
      </w:r>
      <w:r w:rsidRPr="001C7B98">
        <w:rPr>
          <w:rFonts w:ascii="Calibri" w:hAnsi="Calibri" w:cs="Arial"/>
          <w:b/>
          <w:i/>
          <w:sz w:val="24"/>
          <w:szCs w:val="24"/>
        </w:rPr>
        <w:t xml:space="preserve"> </w:t>
      </w:r>
      <w:r w:rsidRPr="001C7B98">
        <w:rPr>
          <w:rFonts w:ascii="Calibri" w:hAnsi="Calibri"/>
          <w:b/>
          <w:i/>
        </w:rPr>
        <w:t>des services de soins prénatals</w:t>
      </w:r>
      <w:r w:rsidR="002A6763" w:rsidRPr="001C7B98">
        <w:rPr>
          <w:rFonts w:ascii="Calibri" w:hAnsi="Calibri"/>
          <w:b/>
          <w:i/>
        </w:rPr>
        <w:t xml:space="preserve"> est entravée par le manque d’un certain nombre d’éléments traceurs.</w:t>
      </w:r>
      <w:r w:rsidRPr="001C7B98">
        <w:rPr>
          <w:rFonts w:ascii="Calibri" w:hAnsi="Calibri" w:cs="Arial"/>
          <w:b/>
          <w:i/>
          <w:sz w:val="24"/>
          <w:szCs w:val="24"/>
        </w:rPr>
        <w:t xml:space="preserve"> </w:t>
      </w:r>
    </w:p>
    <w:p w14:paraId="4DC7E783" w14:textId="77777777" w:rsidR="002A6763" w:rsidRPr="001C7B98" w:rsidRDefault="002A6763" w:rsidP="001800FA">
      <w:pPr>
        <w:pStyle w:val="Paragraphedeliste"/>
        <w:spacing w:after="0"/>
        <w:ind w:left="360"/>
        <w:jc w:val="both"/>
        <w:rPr>
          <w:rFonts w:ascii="Calibri" w:hAnsi="Calibri"/>
          <w:sz w:val="24"/>
          <w:szCs w:val="24"/>
        </w:rPr>
      </w:pPr>
      <w:r w:rsidRPr="001C7B98">
        <w:rPr>
          <w:rFonts w:ascii="Calibri" w:hAnsi="Calibri" w:cs="Arial"/>
          <w:sz w:val="24"/>
          <w:szCs w:val="24"/>
        </w:rPr>
        <w:t xml:space="preserve">La capacité opérationnelle </w:t>
      </w:r>
      <w:r w:rsidRPr="001C7B98">
        <w:rPr>
          <w:rFonts w:ascii="Calibri" w:hAnsi="Calibri"/>
          <w:sz w:val="24"/>
          <w:szCs w:val="24"/>
        </w:rPr>
        <w:t>des services de soins prénatals est évaluée sur base de la disponibilité de 10 éléments traceurs.</w:t>
      </w:r>
    </w:p>
    <w:p w14:paraId="09097DBD" w14:textId="77777777" w:rsidR="002A6763" w:rsidRDefault="002A6763" w:rsidP="001800FA">
      <w:pPr>
        <w:pStyle w:val="Paragraphedeliste"/>
        <w:spacing w:after="0"/>
        <w:ind w:left="360"/>
        <w:jc w:val="both"/>
      </w:pPr>
      <w:r w:rsidRPr="001C7B98">
        <w:rPr>
          <w:sz w:val="23"/>
          <w:szCs w:val="23"/>
        </w:rPr>
        <w:t>Au plan national, le score moyen de disponibilité des éléments indispensables pour les soins prénatals était de 65% en 2016 et moins de 1% des formations sanitaires disposaient de l’ensemble des éléments traceurs.</w:t>
      </w:r>
      <w:r w:rsidR="001C7B98" w:rsidRPr="001C7B98">
        <w:rPr>
          <w:sz w:val="23"/>
          <w:szCs w:val="23"/>
        </w:rPr>
        <w:t xml:space="preserve"> La </w:t>
      </w:r>
      <w:r w:rsidR="001C7B98" w:rsidRPr="003F3B74">
        <w:t xml:space="preserve">faible disponibilité </w:t>
      </w:r>
      <w:r w:rsidR="001C7B98">
        <w:t xml:space="preserve">du </w:t>
      </w:r>
      <w:r w:rsidR="001C7B98" w:rsidRPr="001C7B98">
        <w:rPr>
          <w:sz w:val="23"/>
          <w:szCs w:val="23"/>
        </w:rPr>
        <w:t xml:space="preserve">test d’hémoglobine (5%), </w:t>
      </w:r>
      <w:r w:rsidR="001C7B98" w:rsidRPr="003F3B74">
        <w:t xml:space="preserve">de personnel formé (seulement 46 %) </w:t>
      </w:r>
      <w:r w:rsidR="001C7B98">
        <w:t xml:space="preserve">et </w:t>
      </w:r>
      <w:r w:rsidR="001C7B98" w:rsidRPr="003F3B74">
        <w:t>des directives nationales (50 %)</w:t>
      </w:r>
      <w:r w:rsidR="001C7B98">
        <w:t xml:space="preserve"> sont les éléments qui tirent vers le bas la capacité opérationnelle</w:t>
      </w:r>
      <w:r w:rsidR="001C7B98" w:rsidRPr="003F3B74">
        <w:t>.</w:t>
      </w:r>
    </w:p>
    <w:p w14:paraId="4C295EE0" w14:textId="77777777" w:rsidR="001C7B98" w:rsidRDefault="001C7B98" w:rsidP="00A97663">
      <w:pPr>
        <w:pStyle w:val="Paragraphedeliste"/>
        <w:numPr>
          <w:ilvl w:val="0"/>
          <w:numId w:val="21"/>
        </w:numPr>
        <w:spacing w:after="0"/>
        <w:jc w:val="both"/>
        <w:rPr>
          <w:rFonts w:ascii="Calibri" w:hAnsi="Calibri" w:cs="Arial"/>
          <w:b/>
          <w:i/>
          <w:sz w:val="24"/>
          <w:szCs w:val="24"/>
        </w:rPr>
      </w:pPr>
      <w:r w:rsidRPr="001C7B98">
        <w:rPr>
          <w:rFonts w:ascii="Calibri" w:hAnsi="Calibri" w:cs="Arial"/>
          <w:b/>
          <w:i/>
          <w:sz w:val="24"/>
          <w:szCs w:val="24"/>
        </w:rPr>
        <w:t xml:space="preserve">La faible utilisation continue de la CPN </w:t>
      </w:r>
    </w:p>
    <w:p w14:paraId="59D6E414" w14:textId="7E2890C2" w:rsidR="006E652A" w:rsidRPr="00626C1E" w:rsidRDefault="001C7B98" w:rsidP="00EE3B8A">
      <w:pPr>
        <w:pStyle w:val="Paragraphedeliste"/>
        <w:spacing w:after="0"/>
        <w:ind w:left="360"/>
        <w:jc w:val="both"/>
        <w:rPr>
          <w:rFonts w:cs="Arial"/>
          <w:sz w:val="24"/>
          <w:szCs w:val="24"/>
        </w:rPr>
      </w:pPr>
      <w:r w:rsidRPr="003F3B74">
        <w:rPr>
          <w:rFonts w:cs="Arial"/>
          <w:sz w:val="24"/>
          <w:szCs w:val="24"/>
        </w:rPr>
        <w:t>En 2016, la couverture nationale de CPN1 de 81 %, 70 % pour la CPN2 et 34 % pour la CPN4</w:t>
      </w:r>
      <w:r w:rsidRPr="003F3B74">
        <w:rPr>
          <w:rStyle w:val="Appelnotedebasdep"/>
          <w:rFonts w:cs="Arial"/>
          <w:sz w:val="24"/>
          <w:szCs w:val="24"/>
        </w:rPr>
        <w:footnoteReference w:id="40"/>
      </w:r>
      <w:r>
        <w:rPr>
          <w:rFonts w:cs="Arial"/>
          <w:sz w:val="24"/>
          <w:szCs w:val="24"/>
        </w:rPr>
        <w:t>.</w:t>
      </w:r>
      <w:r w:rsidR="001800FA">
        <w:rPr>
          <w:rFonts w:cs="Arial"/>
          <w:sz w:val="24"/>
          <w:szCs w:val="24"/>
        </w:rPr>
        <w:t xml:space="preserve">  </w:t>
      </w:r>
      <w:r w:rsidR="006E652A">
        <w:rPr>
          <w:rFonts w:cs="Arial"/>
          <w:noProof/>
          <w:sz w:val="24"/>
          <w:szCs w:val="24"/>
        </w:rPr>
        <w:t>En ce qui concerne le taux de couverture en CPN4,</w:t>
      </w:r>
      <w:r w:rsidR="006E652A" w:rsidRPr="003F3B74">
        <w:rPr>
          <w:rFonts w:cs="Arial"/>
          <w:noProof/>
          <w:sz w:val="24"/>
          <w:szCs w:val="24"/>
        </w:rPr>
        <w:t xml:space="preserve"> </w:t>
      </w:r>
      <w:r w:rsidR="006E652A">
        <w:rPr>
          <w:rFonts w:cs="Arial"/>
          <w:sz w:val="24"/>
          <w:szCs w:val="24"/>
        </w:rPr>
        <w:t>s</w:t>
      </w:r>
      <w:r w:rsidR="006E652A" w:rsidRPr="003F3B74">
        <w:rPr>
          <w:rFonts w:cs="Arial"/>
          <w:sz w:val="24"/>
          <w:szCs w:val="24"/>
        </w:rPr>
        <w:t xml:space="preserve">eules deux régions (Sud-ouest et les cascades) ont atteint la cible de 45% fixée par le PNDS en 2017 et quatre régions </w:t>
      </w:r>
      <w:r w:rsidR="006E652A" w:rsidRPr="003F3B74">
        <w:rPr>
          <w:rFonts w:eastAsia="Calibri" w:cs="Arial"/>
          <w:sz w:val="24"/>
          <w:szCs w:val="24"/>
          <w:lang w:val="fr-BE"/>
        </w:rPr>
        <w:lastRenderedPageBreak/>
        <w:t xml:space="preserve">(Boucle du Mouhoun, Cascades, Centre et Centre-Est) réalisaient une performance en dessous de la moyenne nationale. </w:t>
      </w:r>
    </w:p>
    <w:p w14:paraId="19689034" w14:textId="77777777" w:rsidR="00EB0903" w:rsidRDefault="00EB0903" w:rsidP="001800FA">
      <w:pPr>
        <w:pStyle w:val="Default"/>
        <w:spacing w:line="276" w:lineRule="auto"/>
        <w:rPr>
          <w:rFonts w:ascii="Calibri" w:hAnsi="Calibri"/>
        </w:rPr>
      </w:pPr>
    </w:p>
    <w:p w14:paraId="5B70D5B5" w14:textId="77777777" w:rsidR="00667CB9" w:rsidRDefault="006E652A" w:rsidP="00EB0903">
      <w:pPr>
        <w:pStyle w:val="Default"/>
        <w:rPr>
          <w:rFonts w:ascii="Calibri" w:hAnsi="Calibri"/>
        </w:rPr>
      </w:pPr>
      <w:r>
        <w:rPr>
          <w:rFonts w:ascii="Calibri" w:hAnsi="Calibri"/>
          <w:noProof/>
          <w:lang w:eastAsia="fr-FR"/>
        </w:rPr>
        <mc:AlternateContent>
          <mc:Choice Requires="wps">
            <w:drawing>
              <wp:anchor distT="0" distB="0" distL="114300" distR="114300" simplePos="0" relativeHeight="251701248" behindDoc="0" locked="0" layoutInCell="1" allowOverlap="1" wp14:anchorId="54EB61D8" wp14:editId="6515821E">
                <wp:simplePos x="0" y="0"/>
                <wp:positionH relativeFrom="column">
                  <wp:posOffset>614680</wp:posOffset>
                </wp:positionH>
                <wp:positionV relativeFrom="paragraph">
                  <wp:posOffset>1533525</wp:posOffset>
                </wp:positionV>
                <wp:extent cx="4819650" cy="9525"/>
                <wp:effectExtent l="0" t="0" r="19050" b="28575"/>
                <wp:wrapNone/>
                <wp:docPr id="10" name="Connecteur droit 10"/>
                <wp:cNvGraphicFramePr/>
                <a:graphic xmlns:a="http://schemas.openxmlformats.org/drawingml/2006/main">
                  <a:graphicData uri="http://schemas.microsoft.com/office/word/2010/wordprocessingShape">
                    <wps:wsp>
                      <wps:cNvCnPr/>
                      <wps:spPr>
                        <a:xfrm flipH="1">
                          <a:off x="0" y="0"/>
                          <a:ext cx="4819650" cy="9525"/>
                        </a:xfrm>
                        <a:prstGeom prst="line">
                          <a:avLst/>
                        </a:prstGeo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958014D" id="Connecteur droit 10" o:spid="_x0000_s1026" style="position:absolute;flip:x;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4pt,120.75pt" to="427.9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" strokecolor="#4579b8 [3044]"/>
            </w:pict>
          </mc:Fallback>
        </mc:AlternateContent>
      </w:r>
      <w:r w:rsidR="00E9261B">
        <w:rPr>
          <w:rFonts w:ascii="Calibri" w:hAnsi="Calibri"/>
          <w:noProof/>
          <w:lang w:eastAsia="fr-FR"/>
        </w:rPr>
        <mc:AlternateContent>
          <mc:Choice Requires="wps">
            <w:drawing>
              <wp:anchor distT="0" distB="0" distL="114300" distR="114300" simplePos="0" relativeHeight="251700224" behindDoc="0" locked="0" layoutInCell="1" allowOverlap="1" wp14:anchorId="052DB343" wp14:editId="4542B634">
                <wp:simplePos x="0" y="0"/>
                <wp:positionH relativeFrom="column">
                  <wp:posOffset>671195</wp:posOffset>
                </wp:positionH>
                <wp:positionV relativeFrom="paragraph">
                  <wp:posOffset>819150</wp:posOffset>
                </wp:positionV>
                <wp:extent cx="4819650" cy="19050"/>
                <wp:effectExtent l="0" t="0" r="19050" b="19050"/>
                <wp:wrapNone/>
                <wp:docPr id="5" name="Connecteur droit 5"/>
                <wp:cNvGraphicFramePr/>
                <a:graphic xmlns:a="http://schemas.openxmlformats.org/drawingml/2006/main">
                  <a:graphicData uri="http://schemas.microsoft.com/office/word/2010/wordprocessingShape">
                    <wps:wsp>
                      <wps:cNvCnPr/>
                      <wps:spPr>
                        <a:xfrm flipH="1">
                          <a:off x="0" y="0"/>
                          <a:ext cx="4819650" cy="19050"/>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7602BF6" id="Connecteur droit 5" o:spid="_x0000_s1026" style="position:absolute;flip:x;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2.85pt,64.5pt" to="432.35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" strokecolor="red" strokeweight="1pt"/>
            </w:pict>
          </mc:Fallback>
        </mc:AlternateContent>
      </w:r>
      <w:r w:rsidR="00667CB9" w:rsidRPr="009A560F">
        <w:rPr>
          <w:rFonts w:ascii="Calibri" w:hAnsi="Calibri"/>
          <w:noProof/>
          <w:bdr w:val="single" w:sz="4" w:space="0" w:color="auto"/>
          <w:lang w:eastAsia="fr-FR"/>
        </w:rPr>
        <w:drawing>
          <wp:inline distT="0" distB="0" distL="0" distR="0" wp14:anchorId="2B54D0D1" wp14:editId="6FDBB94A">
            <wp:extent cx="5762625" cy="2829464"/>
            <wp:effectExtent l="0" t="0" r="9525" b="9525"/>
            <wp:docPr id="4" name="Graphique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12C37126" w14:textId="63CB7E10" w:rsidR="00A47BBC" w:rsidRDefault="00626C1E" w:rsidP="00626C1E">
      <w:pPr>
        <w:pStyle w:val="Default"/>
        <w:tabs>
          <w:tab w:val="left" w:pos="6855"/>
        </w:tabs>
        <w:rPr>
          <w:sz w:val="23"/>
          <w:szCs w:val="23"/>
        </w:rPr>
      </w:pPr>
      <w:r w:rsidRPr="00EE3B8A">
        <w:rPr>
          <w:b/>
          <w:sz w:val="20"/>
          <w:szCs w:val="20"/>
        </w:rPr>
        <w:t>F</w:t>
      </w:r>
      <w:r w:rsidR="003624F0" w:rsidRPr="00EE3B8A">
        <w:rPr>
          <w:b/>
          <w:sz w:val="20"/>
          <w:szCs w:val="20"/>
        </w:rPr>
        <w:t xml:space="preserve">igure </w:t>
      </w:r>
      <w:r w:rsidR="00EE3B8A">
        <w:rPr>
          <w:rFonts w:eastAsia="Times New Roman"/>
          <w:b/>
          <w:sz w:val="20"/>
          <w:szCs w:val="20"/>
        </w:rPr>
        <w:t>8</w:t>
      </w:r>
      <w:r w:rsidR="003624F0" w:rsidRPr="00EE3B8A">
        <w:rPr>
          <w:rFonts w:eastAsia="Times New Roman"/>
          <w:b/>
          <w:sz w:val="20"/>
          <w:szCs w:val="20"/>
        </w:rPr>
        <w:t xml:space="preserve"> </w:t>
      </w:r>
      <w:r w:rsidR="00A47BBC" w:rsidRPr="00EE3B8A">
        <w:rPr>
          <w:b/>
          <w:sz w:val="20"/>
          <w:szCs w:val="20"/>
        </w:rPr>
        <w:t>:</w:t>
      </w:r>
      <w:r w:rsidR="00A47BBC" w:rsidRPr="00E4251F">
        <w:rPr>
          <w:b/>
          <w:sz w:val="20"/>
          <w:szCs w:val="20"/>
        </w:rPr>
        <w:t xml:space="preserve"> Taux de couverture en CPN4 par région en 2017</w:t>
      </w:r>
      <w:r w:rsidR="003624F0">
        <w:rPr>
          <w:rStyle w:val="Appelnotedebasdep"/>
          <w:sz w:val="23"/>
          <w:szCs w:val="23"/>
        </w:rPr>
        <w:footnoteReference w:id="41"/>
      </w:r>
    </w:p>
    <w:p w14:paraId="6ED883F6" w14:textId="77777777" w:rsidR="00626C1E" w:rsidRPr="00626C1E" w:rsidRDefault="00626C1E" w:rsidP="00626C1E">
      <w:pPr>
        <w:pStyle w:val="Default"/>
        <w:tabs>
          <w:tab w:val="left" w:pos="6855"/>
        </w:tabs>
        <w:rPr>
          <w:rFonts w:ascii="Calibri" w:hAnsi="Calibri"/>
        </w:rPr>
      </w:pPr>
    </w:p>
    <w:p w14:paraId="034B6750" w14:textId="77777777" w:rsidR="006E652A" w:rsidRPr="006E652A" w:rsidRDefault="006E652A" w:rsidP="00A97663">
      <w:pPr>
        <w:pStyle w:val="Paragraphedeliste"/>
        <w:numPr>
          <w:ilvl w:val="0"/>
          <w:numId w:val="22"/>
        </w:numPr>
        <w:spacing w:after="0"/>
        <w:ind w:left="360"/>
        <w:jc w:val="both"/>
        <w:rPr>
          <w:rFonts w:cs="Arial"/>
          <w:b/>
          <w:i/>
          <w:noProof/>
          <w:sz w:val="24"/>
          <w:szCs w:val="24"/>
        </w:rPr>
      </w:pPr>
      <w:r w:rsidRPr="006E652A">
        <w:rPr>
          <w:rFonts w:cs="Arial"/>
          <w:b/>
          <w:i/>
          <w:noProof/>
          <w:sz w:val="24"/>
          <w:szCs w:val="24"/>
        </w:rPr>
        <w:t>La pauvreté influence négativement l’accès et l’utilisation des services pendant la grossesse</w:t>
      </w:r>
    </w:p>
    <w:p w14:paraId="7EC70DBF" w14:textId="77777777" w:rsidR="003F3B74" w:rsidRDefault="003F3B74" w:rsidP="00EE3B8A">
      <w:pPr>
        <w:pStyle w:val="Paragraphedeliste"/>
        <w:spacing w:after="0"/>
        <w:ind w:left="360"/>
        <w:jc w:val="both"/>
        <w:rPr>
          <w:sz w:val="24"/>
          <w:szCs w:val="24"/>
        </w:rPr>
      </w:pPr>
      <w:r w:rsidRPr="006E652A">
        <w:rPr>
          <w:sz w:val="24"/>
          <w:szCs w:val="24"/>
        </w:rPr>
        <w:t>Environ deux personnes sur cinq parmi les pauvres contre trois sur cinq parmi les non pauvres peuvent être considérées comme utilisant de façon appropriée les services de santé pendant la grossesse. L’accès et de l’utilisation des services laisse transparaître une augmentation progressive du quintile le plus pauvre (Q1) au plus riche (Q5)</w:t>
      </w:r>
      <w:r w:rsidRPr="003F3B74">
        <w:rPr>
          <w:rStyle w:val="Appelnotedebasdep"/>
          <w:sz w:val="24"/>
          <w:szCs w:val="24"/>
        </w:rPr>
        <w:footnoteReference w:id="42"/>
      </w:r>
      <w:r w:rsidRPr="006E652A">
        <w:rPr>
          <w:sz w:val="24"/>
          <w:szCs w:val="24"/>
        </w:rPr>
        <w:t>.</w:t>
      </w:r>
    </w:p>
    <w:p w14:paraId="3567669B" w14:textId="77777777" w:rsidR="006E652A" w:rsidRPr="00CF6169" w:rsidRDefault="006E652A" w:rsidP="00A97663">
      <w:pPr>
        <w:pStyle w:val="Paragraphedeliste"/>
        <w:numPr>
          <w:ilvl w:val="0"/>
          <w:numId w:val="23"/>
        </w:numPr>
        <w:spacing w:after="0"/>
        <w:ind w:left="360"/>
        <w:jc w:val="both"/>
        <w:rPr>
          <w:b/>
          <w:i/>
          <w:sz w:val="24"/>
          <w:szCs w:val="24"/>
        </w:rPr>
      </w:pPr>
      <w:r w:rsidRPr="00CF6169">
        <w:rPr>
          <w:b/>
          <w:i/>
          <w:sz w:val="24"/>
          <w:szCs w:val="24"/>
        </w:rPr>
        <w:t>La demande se heurte à un certain nombre d’obstacles</w:t>
      </w:r>
    </w:p>
    <w:p w14:paraId="5AD8096C" w14:textId="77777777" w:rsidR="00D527C5" w:rsidRPr="002F088D" w:rsidRDefault="006E652A" w:rsidP="00A97663">
      <w:pPr>
        <w:pStyle w:val="Paragraphedeliste"/>
        <w:numPr>
          <w:ilvl w:val="0"/>
          <w:numId w:val="24"/>
        </w:numPr>
        <w:spacing w:after="0"/>
        <w:jc w:val="both"/>
        <w:rPr>
          <w:i/>
          <w:sz w:val="24"/>
          <w:szCs w:val="24"/>
        </w:rPr>
      </w:pPr>
      <w:r w:rsidRPr="002F088D">
        <w:rPr>
          <w:i/>
          <w:sz w:val="24"/>
          <w:szCs w:val="24"/>
        </w:rPr>
        <w:t>Barrières géographiques </w:t>
      </w:r>
    </w:p>
    <w:p w14:paraId="2CEE4828" w14:textId="77777777" w:rsidR="006E652A" w:rsidRPr="00CF6169" w:rsidRDefault="00D527C5" w:rsidP="00EE3B8A">
      <w:pPr>
        <w:pStyle w:val="Paragraphedeliste"/>
        <w:spacing w:after="0"/>
        <w:ind w:left="360"/>
        <w:jc w:val="both"/>
        <w:rPr>
          <w:sz w:val="24"/>
          <w:szCs w:val="24"/>
        </w:rPr>
      </w:pPr>
      <w:r w:rsidRPr="00CF6169">
        <w:rPr>
          <w:sz w:val="24"/>
          <w:szCs w:val="24"/>
        </w:rPr>
        <w:t>Plus de 20% de la population parcourt au moins 10 km pour atteindre une formation sanitaire. Dans les régions de l’Est (47,2%) et du Sahel (46,2%), près de la moitié de la population habite à 10 km ou plus d’un centre de santé</w:t>
      </w:r>
      <w:r w:rsidRPr="00F80C74">
        <w:rPr>
          <w:rStyle w:val="Appelnotedebasdep"/>
          <w:sz w:val="24"/>
          <w:szCs w:val="24"/>
        </w:rPr>
        <w:footnoteReference w:id="43"/>
      </w:r>
      <w:r w:rsidRPr="00CF6169">
        <w:rPr>
          <w:sz w:val="24"/>
          <w:szCs w:val="24"/>
        </w:rPr>
        <w:t>. Avec le sous-secteur privé le Rayon moyen d’action théorique est de 6,1 en 2016</w:t>
      </w:r>
      <w:r w:rsidRPr="00F80C74">
        <w:rPr>
          <w:rStyle w:val="Appelnotedebasdep"/>
          <w:sz w:val="24"/>
          <w:szCs w:val="24"/>
        </w:rPr>
        <w:footnoteReference w:id="44"/>
      </w:r>
      <w:r w:rsidRPr="00CF6169">
        <w:rPr>
          <w:sz w:val="24"/>
          <w:szCs w:val="24"/>
        </w:rPr>
        <w:t>.</w:t>
      </w:r>
    </w:p>
    <w:p w14:paraId="4C52EACA" w14:textId="77777777" w:rsidR="00D527C5" w:rsidRPr="002F088D" w:rsidRDefault="006E652A" w:rsidP="00A97663">
      <w:pPr>
        <w:pStyle w:val="Paragraphedeliste"/>
        <w:numPr>
          <w:ilvl w:val="0"/>
          <w:numId w:val="24"/>
        </w:numPr>
        <w:spacing w:after="0"/>
        <w:jc w:val="both"/>
        <w:rPr>
          <w:i/>
          <w:sz w:val="24"/>
          <w:szCs w:val="24"/>
        </w:rPr>
      </w:pPr>
      <w:r w:rsidRPr="002F088D">
        <w:rPr>
          <w:i/>
          <w:sz w:val="24"/>
          <w:szCs w:val="24"/>
        </w:rPr>
        <w:t>Barrières</w:t>
      </w:r>
      <w:r w:rsidR="00D527C5" w:rsidRPr="002F088D">
        <w:rPr>
          <w:i/>
          <w:sz w:val="24"/>
          <w:szCs w:val="24"/>
        </w:rPr>
        <w:t xml:space="preserve"> financières </w:t>
      </w:r>
    </w:p>
    <w:p w14:paraId="2406336E" w14:textId="77777777" w:rsidR="00D527C5" w:rsidRPr="00CF6169" w:rsidRDefault="00D527C5" w:rsidP="00EE3B8A">
      <w:pPr>
        <w:pStyle w:val="Paragraphedeliste"/>
        <w:spacing w:after="0"/>
        <w:ind w:left="360"/>
        <w:jc w:val="both"/>
        <w:rPr>
          <w:sz w:val="24"/>
          <w:szCs w:val="24"/>
        </w:rPr>
      </w:pPr>
      <w:r w:rsidRPr="00CF6169">
        <w:rPr>
          <w:sz w:val="24"/>
          <w:szCs w:val="24"/>
        </w:rPr>
        <w:t xml:space="preserve">Dans le contexte de gratuité, des paiements directs ou indirects persistent : frais de transport, </w:t>
      </w:r>
    </w:p>
    <w:p w14:paraId="1CEFD9F5" w14:textId="77777777" w:rsidR="00D527C5" w:rsidRPr="002F088D" w:rsidRDefault="00D527C5" w:rsidP="00A97663">
      <w:pPr>
        <w:pStyle w:val="Paragraphedeliste"/>
        <w:numPr>
          <w:ilvl w:val="0"/>
          <w:numId w:val="24"/>
        </w:numPr>
        <w:spacing w:after="0"/>
        <w:jc w:val="both"/>
        <w:rPr>
          <w:i/>
          <w:sz w:val="24"/>
          <w:szCs w:val="24"/>
        </w:rPr>
      </w:pPr>
      <w:r w:rsidRPr="002F088D">
        <w:rPr>
          <w:i/>
          <w:sz w:val="24"/>
          <w:szCs w:val="24"/>
        </w:rPr>
        <w:t>Barrières socio-culturelles</w:t>
      </w:r>
    </w:p>
    <w:p w14:paraId="38893B0F" w14:textId="77777777" w:rsidR="00D527C5" w:rsidRPr="00CF6169" w:rsidRDefault="00D527C5" w:rsidP="00EE3B8A">
      <w:pPr>
        <w:pStyle w:val="Paragraphedeliste"/>
        <w:spacing w:after="0"/>
        <w:ind w:left="360"/>
        <w:jc w:val="both"/>
        <w:rPr>
          <w:sz w:val="24"/>
          <w:szCs w:val="24"/>
        </w:rPr>
      </w:pPr>
      <w:r w:rsidRPr="00CF6169">
        <w:rPr>
          <w:sz w:val="24"/>
          <w:szCs w:val="24"/>
        </w:rPr>
        <w:t>Faible capacité de la femme à prendre les décisions toute seule, influence de la famille, pratiques traditionnelles</w:t>
      </w:r>
    </w:p>
    <w:p w14:paraId="03AB8AFD" w14:textId="77777777" w:rsidR="00CF6169" w:rsidRPr="00CF6169" w:rsidRDefault="00D527C5" w:rsidP="00EE3B8A">
      <w:pPr>
        <w:pStyle w:val="Paragraphedeliste"/>
        <w:spacing w:after="0"/>
        <w:jc w:val="both"/>
        <w:rPr>
          <w:sz w:val="24"/>
          <w:szCs w:val="24"/>
        </w:rPr>
      </w:pPr>
      <w:r w:rsidRPr="00CF6169">
        <w:rPr>
          <w:sz w:val="24"/>
          <w:szCs w:val="24"/>
        </w:rPr>
        <w:lastRenderedPageBreak/>
        <w:t xml:space="preserve">Manque d’information sur la disponibilité et l’utilité des soins prénatals </w:t>
      </w:r>
    </w:p>
    <w:p w14:paraId="66FFCBE6" w14:textId="77777777" w:rsidR="00CF6169" w:rsidRPr="00CF6169" w:rsidRDefault="00CF6169" w:rsidP="00A97663">
      <w:pPr>
        <w:pStyle w:val="Paragraphedeliste"/>
        <w:numPr>
          <w:ilvl w:val="0"/>
          <w:numId w:val="23"/>
        </w:numPr>
        <w:spacing w:after="0"/>
        <w:jc w:val="both"/>
        <w:rPr>
          <w:b/>
          <w:i/>
          <w:sz w:val="24"/>
          <w:szCs w:val="24"/>
        </w:rPr>
      </w:pPr>
      <w:r w:rsidRPr="00CF6169">
        <w:rPr>
          <w:b/>
          <w:i/>
          <w:sz w:val="24"/>
          <w:szCs w:val="24"/>
        </w:rPr>
        <w:t>La qualité des services prénatals est faible pour les motifs suivants :</w:t>
      </w:r>
    </w:p>
    <w:p w14:paraId="7E3E1509" w14:textId="77777777" w:rsidR="00CF6169" w:rsidRPr="00CF6169" w:rsidRDefault="00CF6169" w:rsidP="00A97663">
      <w:pPr>
        <w:pStyle w:val="Paragraphedeliste"/>
        <w:numPr>
          <w:ilvl w:val="0"/>
          <w:numId w:val="25"/>
        </w:numPr>
        <w:spacing w:after="0"/>
        <w:jc w:val="both"/>
        <w:rPr>
          <w:sz w:val="24"/>
          <w:szCs w:val="24"/>
        </w:rPr>
      </w:pPr>
      <w:r w:rsidRPr="00CF6169">
        <w:rPr>
          <w:sz w:val="24"/>
          <w:szCs w:val="24"/>
        </w:rPr>
        <w:t>Mauvais accueil</w:t>
      </w:r>
    </w:p>
    <w:p w14:paraId="2EB9FC59" w14:textId="77777777" w:rsidR="00CF6169" w:rsidRPr="00CF6169" w:rsidRDefault="00CF6169" w:rsidP="00A97663">
      <w:pPr>
        <w:pStyle w:val="Paragraphedeliste"/>
        <w:numPr>
          <w:ilvl w:val="0"/>
          <w:numId w:val="25"/>
        </w:numPr>
        <w:spacing w:after="0"/>
        <w:jc w:val="both"/>
        <w:rPr>
          <w:sz w:val="24"/>
          <w:szCs w:val="24"/>
        </w:rPr>
      </w:pPr>
      <w:r w:rsidRPr="00CF6169">
        <w:rPr>
          <w:sz w:val="24"/>
          <w:szCs w:val="24"/>
        </w:rPr>
        <w:t>Non-respect des Règles de bonnes pratiques</w:t>
      </w:r>
    </w:p>
    <w:p w14:paraId="3012A266" w14:textId="77777777" w:rsidR="00CF6169" w:rsidRPr="00CF6169" w:rsidRDefault="00CF6169" w:rsidP="00A97663">
      <w:pPr>
        <w:pStyle w:val="Paragraphedeliste"/>
        <w:numPr>
          <w:ilvl w:val="0"/>
          <w:numId w:val="25"/>
        </w:numPr>
        <w:spacing w:after="0"/>
        <w:jc w:val="both"/>
        <w:rPr>
          <w:sz w:val="24"/>
          <w:szCs w:val="24"/>
        </w:rPr>
      </w:pPr>
      <w:r w:rsidRPr="00CF6169">
        <w:rPr>
          <w:sz w:val="24"/>
          <w:szCs w:val="24"/>
        </w:rPr>
        <w:t>Cadre physique ne respectant pas les normes en matière d’hygiène et assainissement</w:t>
      </w:r>
    </w:p>
    <w:p w14:paraId="55ECE225" w14:textId="77777777" w:rsidR="00CF6169" w:rsidRPr="00CF6169" w:rsidRDefault="00CF6169" w:rsidP="00A97663">
      <w:pPr>
        <w:pStyle w:val="Paragraphedeliste"/>
        <w:numPr>
          <w:ilvl w:val="0"/>
          <w:numId w:val="25"/>
        </w:numPr>
        <w:spacing w:after="0"/>
        <w:jc w:val="both"/>
        <w:rPr>
          <w:sz w:val="24"/>
          <w:szCs w:val="24"/>
        </w:rPr>
      </w:pPr>
      <w:r w:rsidRPr="00CF6169">
        <w:rPr>
          <w:sz w:val="24"/>
          <w:szCs w:val="24"/>
        </w:rPr>
        <w:t>Normes relatives à la Sécurité du patient souvent non respectées</w:t>
      </w:r>
    </w:p>
    <w:p w14:paraId="7BAC7D07" w14:textId="4C4DC685" w:rsidR="006E652A" w:rsidRPr="00716082" w:rsidRDefault="00CF6169" w:rsidP="00A97663">
      <w:pPr>
        <w:pStyle w:val="Paragraphedeliste"/>
        <w:numPr>
          <w:ilvl w:val="0"/>
          <w:numId w:val="23"/>
        </w:numPr>
        <w:jc w:val="both"/>
        <w:rPr>
          <w:b/>
          <w:i/>
          <w:sz w:val="24"/>
          <w:szCs w:val="24"/>
        </w:rPr>
      </w:pPr>
      <w:r w:rsidRPr="00CF6169">
        <w:rPr>
          <w:b/>
          <w:i/>
          <w:sz w:val="24"/>
          <w:szCs w:val="24"/>
        </w:rPr>
        <w:t xml:space="preserve">Quelques </w:t>
      </w:r>
      <w:r w:rsidR="00164A24">
        <w:rPr>
          <w:b/>
          <w:i/>
          <w:sz w:val="24"/>
          <w:szCs w:val="24"/>
        </w:rPr>
        <w:t xml:space="preserve">gaps </w:t>
      </w:r>
      <w:r w:rsidRPr="00CF6169">
        <w:rPr>
          <w:b/>
          <w:i/>
          <w:sz w:val="24"/>
          <w:szCs w:val="24"/>
        </w:rPr>
        <w:t>liés à l’environnement systémique et aux déterminants de la santé</w:t>
      </w:r>
      <w:r w:rsidR="00716082">
        <w:rPr>
          <w:b/>
          <w:i/>
          <w:sz w:val="24"/>
          <w:szCs w:val="24"/>
        </w:rPr>
        <w:t xml:space="preserve"> : </w:t>
      </w:r>
      <w:r w:rsidRPr="00716082">
        <w:rPr>
          <w:sz w:val="24"/>
          <w:szCs w:val="24"/>
        </w:rPr>
        <w:t>Disponibilité des équipements, des outils de communication et des intrants</w:t>
      </w:r>
      <w:r w:rsidR="00716082">
        <w:rPr>
          <w:sz w:val="24"/>
          <w:szCs w:val="24"/>
        </w:rPr>
        <w:t xml:space="preserve">, </w:t>
      </w:r>
      <w:r w:rsidRPr="00716082">
        <w:rPr>
          <w:sz w:val="24"/>
          <w:szCs w:val="24"/>
        </w:rPr>
        <w:t>Diffusion et utilisation des directives</w:t>
      </w:r>
      <w:r w:rsidR="00716082">
        <w:rPr>
          <w:sz w:val="24"/>
          <w:szCs w:val="24"/>
        </w:rPr>
        <w:t xml:space="preserve">, </w:t>
      </w:r>
      <w:r w:rsidRPr="00716082">
        <w:rPr>
          <w:sz w:val="24"/>
          <w:szCs w:val="24"/>
        </w:rPr>
        <w:t>Pauvreté</w:t>
      </w:r>
      <w:r w:rsidR="00716082">
        <w:rPr>
          <w:sz w:val="24"/>
          <w:szCs w:val="24"/>
        </w:rPr>
        <w:t xml:space="preserve">, </w:t>
      </w:r>
      <w:r w:rsidRPr="00716082">
        <w:rPr>
          <w:sz w:val="24"/>
          <w:szCs w:val="24"/>
        </w:rPr>
        <w:t>Education</w:t>
      </w:r>
    </w:p>
    <w:p w14:paraId="234582B6" w14:textId="77777777" w:rsidR="00716082" w:rsidRPr="00716082" w:rsidRDefault="00716082" w:rsidP="00EE3B8A">
      <w:pPr>
        <w:pStyle w:val="Paragraphedeliste"/>
        <w:ind w:left="0"/>
        <w:jc w:val="both"/>
        <w:rPr>
          <w:b/>
          <w:i/>
          <w:sz w:val="24"/>
          <w:szCs w:val="24"/>
        </w:rPr>
      </w:pPr>
    </w:p>
    <w:p w14:paraId="3CB43BB0" w14:textId="6238B31F" w:rsidR="003B59D3" w:rsidRPr="00EE3B8A" w:rsidRDefault="00EE3B8A" w:rsidP="00EE3B8A">
      <w:pPr>
        <w:pStyle w:val="Paragraphedeliste"/>
        <w:numPr>
          <w:ilvl w:val="2"/>
          <w:numId w:val="1"/>
        </w:numPr>
        <w:spacing w:after="0"/>
        <w:jc w:val="both"/>
        <w:rPr>
          <w:rFonts w:eastAsia="Calibri"/>
          <w:caps/>
          <w:sz w:val="24"/>
          <w:szCs w:val="24"/>
        </w:rPr>
      </w:pPr>
      <w:bookmarkStart w:id="4" w:name="_Toc522532881"/>
      <w:r w:rsidRPr="00EE3B8A">
        <w:rPr>
          <w:rFonts w:eastAsia="Calibri"/>
          <w:sz w:val="24"/>
          <w:szCs w:val="24"/>
        </w:rPr>
        <w:t xml:space="preserve">LES SOINS OBSTETRICAUX ET NEONATAUX D’URGENCES  </w:t>
      </w:r>
      <w:bookmarkEnd w:id="4"/>
    </w:p>
    <w:p w14:paraId="696291EC" w14:textId="77777777" w:rsidR="002F18CC" w:rsidRDefault="00A82B4F" w:rsidP="00EE3B8A">
      <w:pPr>
        <w:spacing w:after="0"/>
        <w:jc w:val="both"/>
        <w:rPr>
          <w:rFonts w:cs="Arial"/>
          <w:bCs/>
          <w:sz w:val="24"/>
          <w:szCs w:val="24"/>
        </w:rPr>
      </w:pPr>
      <w:r w:rsidRPr="000E01BC">
        <w:rPr>
          <w:rFonts w:cs="Arial"/>
          <w:bCs/>
          <w:sz w:val="24"/>
          <w:szCs w:val="24"/>
        </w:rPr>
        <w:t>Les SONU repose sur 2 composantes, les SONUB et les SONUC.</w:t>
      </w:r>
      <w:r w:rsidR="00B639C9">
        <w:rPr>
          <w:rFonts w:cs="Arial"/>
          <w:bCs/>
          <w:sz w:val="24"/>
          <w:szCs w:val="24"/>
        </w:rPr>
        <w:t xml:space="preserve"> </w:t>
      </w:r>
    </w:p>
    <w:p w14:paraId="0584F36A" w14:textId="77777777" w:rsidR="00B639C9" w:rsidRPr="000E01BC" w:rsidRDefault="00B639C9" w:rsidP="00EE3B8A">
      <w:pPr>
        <w:jc w:val="both"/>
        <w:rPr>
          <w:rFonts w:cs="Arial"/>
          <w:bCs/>
          <w:sz w:val="24"/>
          <w:szCs w:val="24"/>
        </w:rPr>
      </w:pPr>
      <w:r>
        <w:rPr>
          <w:rFonts w:cs="Arial"/>
          <w:bCs/>
          <w:sz w:val="24"/>
          <w:szCs w:val="24"/>
        </w:rPr>
        <w:t>L’analyse portera aussi sur deux autres interventions intimement liées aux SONU : L’assistance des accouchements par du personnel qualifié et les soins après avortement.</w:t>
      </w:r>
    </w:p>
    <w:p w14:paraId="587AD377" w14:textId="77777777" w:rsidR="004B5BD2" w:rsidRPr="00C21AB1" w:rsidRDefault="004B5BD2" w:rsidP="00EE3B8A">
      <w:pPr>
        <w:pStyle w:val="Paragraphedeliste"/>
        <w:numPr>
          <w:ilvl w:val="3"/>
          <w:numId w:val="1"/>
        </w:numPr>
        <w:spacing w:after="0"/>
        <w:jc w:val="both"/>
        <w:rPr>
          <w:b/>
        </w:rPr>
      </w:pPr>
      <w:r w:rsidRPr="00C21AB1">
        <w:rPr>
          <w:b/>
        </w:rPr>
        <w:t>Performance</w:t>
      </w:r>
      <w:r w:rsidR="002F088D" w:rsidRPr="00C21AB1">
        <w:rPr>
          <w:b/>
        </w:rPr>
        <w:t>s</w:t>
      </w:r>
      <w:r w:rsidRPr="00C21AB1">
        <w:rPr>
          <w:b/>
        </w:rPr>
        <w:t xml:space="preserve"> des SONU</w:t>
      </w:r>
    </w:p>
    <w:p w14:paraId="7B0F71A4" w14:textId="77777777" w:rsidR="00676455" w:rsidRPr="00155AC9" w:rsidRDefault="00676455" w:rsidP="00EE3B8A">
      <w:pPr>
        <w:spacing w:after="0"/>
        <w:jc w:val="both"/>
        <w:rPr>
          <w:rFonts w:cs="Arial"/>
          <w:sz w:val="24"/>
          <w:szCs w:val="24"/>
        </w:rPr>
      </w:pPr>
      <w:r w:rsidRPr="00155AC9">
        <w:rPr>
          <w:color w:val="000000"/>
          <w:sz w:val="24"/>
          <w:szCs w:val="24"/>
        </w:rPr>
        <w:t>Le Taux d’accouchements assistés par du personnel qualifié (%) est passé de 76 % en 2010 à 83,4 % en 2015 (Cible PNDS 2011-2020 = 85%)</w:t>
      </w:r>
      <w:r w:rsidR="00E9261B">
        <w:rPr>
          <w:color w:val="000000"/>
          <w:sz w:val="24"/>
          <w:szCs w:val="24"/>
        </w:rPr>
        <w:t>.</w:t>
      </w:r>
    </w:p>
    <w:p w14:paraId="1A87929F" w14:textId="77777777" w:rsidR="00676455" w:rsidRPr="00155AC9" w:rsidRDefault="00676455" w:rsidP="00EE3B8A">
      <w:pPr>
        <w:spacing w:after="0"/>
        <w:jc w:val="both"/>
        <w:rPr>
          <w:rFonts w:cs="Arial"/>
          <w:sz w:val="24"/>
          <w:szCs w:val="24"/>
        </w:rPr>
      </w:pPr>
      <w:r w:rsidRPr="00155AC9">
        <w:rPr>
          <w:rFonts w:cs="Arial"/>
          <w:sz w:val="24"/>
          <w:szCs w:val="24"/>
        </w:rPr>
        <w:t xml:space="preserve">Le </w:t>
      </w:r>
      <w:r w:rsidRPr="00155AC9">
        <w:rPr>
          <w:color w:val="000000"/>
          <w:sz w:val="24"/>
          <w:szCs w:val="24"/>
        </w:rPr>
        <w:t>Taux de césarienne</w:t>
      </w:r>
      <w:r w:rsidR="00361331">
        <w:rPr>
          <w:color w:val="000000"/>
          <w:sz w:val="24"/>
          <w:szCs w:val="24"/>
        </w:rPr>
        <w:t>s</w:t>
      </w:r>
      <w:r w:rsidRPr="00155AC9">
        <w:rPr>
          <w:color w:val="000000"/>
          <w:sz w:val="24"/>
          <w:szCs w:val="24"/>
        </w:rPr>
        <w:t xml:space="preserve"> parmi les naissances attendues (%) est passé de 1,6 % en 2010 à 2,4 </w:t>
      </w:r>
      <w:r w:rsidR="00155AC9" w:rsidRPr="00155AC9">
        <w:rPr>
          <w:color w:val="000000"/>
          <w:sz w:val="24"/>
          <w:szCs w:val="24"/>
        </w:rPr>
        <w:t>% en</w:t>
      </w:r>
      <w:r w:rsidRPr="00155AC9">
        <w:rPr>
          <w:color w:val="000000"/>
          <w:sz w:val="24"/>
          <w:szCs w:val="24"/>
        </w:rPr>
        <w:t xml:space="preserve"> 2015 (</w:t>
      </w:r>
      <w:r w:rsidR="00155AC9" w:rsidRPr="00155AC9">
        <w:rPr>
          <w:color w:val="000000"/>
          <w:sz w:val="24"/>
          <w:szCs w:val="24"/>
        </w:rPr>
        <w:t xml:space="preserve">Cible PNDS 2011-2020 = </w:t>
      </w:r>
      <w:r w:rsidRPr="00155AC9">
        <w:rPr>
          <w:color w:val="000000"/>
          <w:sz w:val="24"/>
          <w:szCs w:val="24"/>
        </w:rPr>
        <w:t>5%)</w:t>
      </w:r>
      <w:r w:rsidR="00155AC9">
        <w:rPr>
          <w:rFonts w:cs="Arial"/>
          <w:sz w:val="24"/>
          <w:szCs w:val="24"/>
        </w:rPr>
        <w:t>.</w:t>
      </w:r>
    </w:p>
    <w:p w14:paraId="5E10A2EB" w14:textId="77777777" w:rsidR="002F088D" w:rsidRDefault="00E91ADA" w:rsidP="00EE3B8A">
      <w:pPr>
        <w:spacing w:after="0"/>
        <w:jc w:val="both"/>
        <w:rPr>
          <w:rFonts w:cs="Arial"/>
          <w:sz w:val="23"/>
          <w:szCs w:val="23"/>
        </w:rPr>
      </w:pPr>
      <w:r w:rsidRPr="00155AC9">
        <w:rPr>
          <w:rFonts w:cs="Arial"/>
          <w:sz w:val="23"/>
          <w:szCs w:val="23"/>
        </w:rPr>
        <w:t>La proportion des naissances qui ont lieu dans les établissements offrant des SONU a légèrement augmenté, passant de 4,5% en 2010 et en 2014 à 6,4% en 2016.</w:t>
      </w:r>
      <w:r w:rsidR="00E9261B">
        <w:rPr>
          <w:rFonts w:cs="Arial"/>
          <w:sz w:val="23"/>
          <w:szCs w:val="23"/>
        </w:rPr>
        <w:t xml:space="preserve"> </w:t>
      </w:r>
      <w:r w:rsidRPr="00155AC9">
        <w:rPr>
          <w:rFonts w:cs="Arial"/>
          <w:sz w:val="23"/>
          <w:szCs w:val="23"/>
        </w:rPr>
        <w:t>La proportion de complications obstétricales directes étaient reçues et traitées dans les établissements SONU était de 12,3% en 2010, 17,1% en 2014 et 15,3% en 2016.</w:t>
      </w:r>
      <w:r w:rsidR="002F088D">
        <w:rPr>
          <w:rFonts w:cs="Arial"/>
          <w:sz w:val="23"/>
          <w:szCs w:val="23"/>
        </w:rPr>
        <w:t xml:space="preserve"> </w:t>
      </w:r>
    </w:p>
    <w:p w14:paraId="3F470450" w14:textId="77777777" w:rsidR="00716082" w:rsidRDefault="00716082" w:rsidP="00EE3B8A">
      <w:pPr>
        <w:spacing w:after="0"/>
        <w:jc w:val="both"/>
        <w:rPr>
          <w:rFonts w:cs="Arial"/>
          <w:sz w:val="23"/>
          <w:szCs w:val="23"/>
        </w:rPr>
      </w:pPr>
      <w:r w:rsidRPr="007E4DAC">
        <w:rPr>
          <w:rFonts w:cs="Arial"/>
          <w:sz w:val="24"/>
          <w:szCs w:val="24"/>
        </w:rPr>
        <w:t>Dans les structures sanitaires</w:t>
      </w:r>
      <w:r>
        <w:rPr>
          <w:rFonts w:eastAsia="Times New Roman" w:cs="Arial"/>
          <w:sz w:val="24"/>
          <w:szCs w:val="24"/>
        </w:rPr>
        <w:t xml:space="preserve">, </w:t>
      </w:r>
      <w:r w:rsidRPr="007E4DAC">
        <w:rPr>
          <w:rFonts w:eastAsia="Times New Roman" w:cs="Arial"/>
          <w:sz w:val="24"/>
          <w:szCs w:val="24"/>
        </w:rPr>
        <w:t xml:space="preserve">le taux de mortalité maternelle intra hospitalière pour 100 000 parturientes </w:t>
      </w:r>
      <w:r>
        <w:rPr>
          <w:rFonts w:eastAsia="Times New Roman" w:cs="Arial"/>
          <w:sz w:val="24"/>
          <w:szCs w:val="24"/>
        </w:rPr>
        <w:t xml:space="preserve">a </w:t>
      </w:r>
      <w:r w:rsidRPr="007E4DAC">
        <w:rPr>
          <w:rFonts w:eastAsia="Times New Roman" w:cs="Arial"/>
          <w:sz w:val="24"/>
          <w:szCs w:val="24"/>
        </w:rPr>
        <w:t>évolu</w:t>
      </w:r>
      <w:r>
        <w:rPr>
          <w:rFonts w:eastAsia="Times New Roman" w:cs="Arial"/>
          <w:sz w:val="24"/>
          <w:szCs w:val="24"/>
        </w:rPr>
        <w:t>é</w:t>
      </w:r>
      <w:r w:rsidRPr="007E4DAC">
        <w:rPr>
          <w:rFonts w:eastAsia="Times New Roman" w:cs="Arial"/>
          <w:sz w:val="24"/>
          <w:szCs w:val="24"/>
        </w:rPr>
        <w:t xml:space="preserve"> en dents de scie</w:t>
      </w:r>
      <w:r>
        <w:rPr>
          <w:rFonts w:eastAsia="Times New Roman" w:cs="Arial"/>
          <w:sz w:val="24"/>
          <w:szCs w:val="24"/>
        </w:rPr>
        <w:t xml:space="preserve"> : </w:t>
      </w:r>
      <w:r w:rsidRPr="007E4DAC">
        <w:rPr>
          <w:rFonts w:eastAsia="Times New Roman" w:cs="Arial"/>
          <w:sz w:val="24"/>
          <w:szCs w:val="24"/>
        </w:rPr>
        <w:t>109,9% en 2015, 135,49% en 2016%, et 119,3% en 2017</w:t>
      </w:r>
      <w:r>
        <w:rPr>
          <w:rStyle w:val="Appelnotedebasdep"/>
          <w:rFonts w:eastAsia="Times New Roman" w:cs="Arial"/>
          <w:sz w:val="24"/>
          <w:szCs w:val="24"/>
        </w:rPr>
        <w:footnoteReference w:id="45"/>
      </w:r>
      <w:r>
        <w:rPr>
          <w:rFonts w:eastAsia="Times New Roman" w:cs="Arial"/>
          <w:sz w:val="24"/>
          <w:szCs w:val="24"/>
        </w:rPr>
        <w:t>.</w:t>
      </w:r>
    </w:p>
    <w:p w14:paraId="227D3CF8" w14:textId="77777777" w:rsidR="00155AC9" w:rsidRDefault="00155AC9" w:rsidP="00EE3B8A">
      <w:pPr>
        <w:jc w:val="both"/>
        <w:rPr>
          <w:color w:val="000000"/>
          <w:sz w:val="24"/>
          <w:szCs w:val="24"/>
        </w:rPr>
      </w:pPr>
      <w:r>
        <w:rPr>
          <w:rFonts w:cs="Arial"/>
          <w:sz w:val="23"/>
          <w:szCs w:val="23"/>
        </w:rPr>
        <w:t xml:space="preserve">Les progrès sont réels mais insuffisants pour atteindre la cible du PNDS </w:t>
      </w:r>
      <w:r w:rsidR="00A30C8C">
        <w:rPr>
          <w:color w:val="000000"/>
          <w:sz w:val="24"/>
          <w:szCs w:val="24"/>
        </w:rPr>
        <w:t>2011-2020.</w:t>
      </w:r>
    </w:p>
    <w:p w14:paraId="3998A9A5" w14:textId="171DE828" w:rsidR="00A30C8C" w:rsidRPr="00C21AB1" w:rsidRDefault="002F088D" w:rsidP="00EE3B8A">
      <w:pPr>
        <w:pStyle w:val="Paragraphedeliste"/>
        <w:numPr>
          <w:ilvl w:val="3"/>
          <w:numId w:val="1"/>
        </w:numPr>
        <w:spacing w:after="0"/>
        <w:jc w:val="both"/>
        <w:rPr>
          <w:rFonts w:cs="Arial"/>
          <w:b/>
          <w:sz w:val="23"/>
          <w:szCs w:val="23"/>
        </w:rPr>
      </w:pPr>
      <w:r w:rsidRPr="00C21AB1">
        <w:rPr>
          <w:rFonts w:cs="Arial"/>
          <w:b/>
          <w:sz w:val="23"/>
          <w:szCs w:val="23"/>
        </w:rPr>
        <w:t>G</w:t>
      </w:r>
      <w:r w:rsidR="00164A24" w:rsidRPr="00C21AB1">
        <w:rPr>
          <w:rFonts w:cs="Arial"/>
          <w:b/>
          <w:sz w:val="23"/>
          <w:szCs w:val="23"/>
        </w:rPr>
        <w:t>aps de performance</w:t>
      </w:r>
      <w:r w:rsidRPr="00C21AB1">
        <w:rPr>
          <w:rFonts w:cs="Arial"/>
          <w:b/>
          <w:sz w:val="23"/>
          <w:szCs w:val="23"/>
        </w:rPr>
        <w:t xml:space="preserve"> et leurs causes</w:t>
      </w:r>
    </w:p>
    <w:p w14:paraId="30B0F795" w14:textId="77777777" w:rsidR="000E01BC" w:rsidRPr="000E01BC" w:rsidRDefault="000E01BC" w:rsidP="00A97663">
      <w:pPr>
        <w:pStyle w:val="Paragraphedeliste"/>
        <w:numPr>
          <w:ilvl w:val="0"/>
          <w:numId w:val="5"/>
        </w:numPr>
        <w:spacing w:after="0"/>
        <w:ind w:left="360"/>
        <w:jc w:val="both"/>
        <w:rPr>
          <w:rFonts w:cs="Arial"/>
          <w:bCs/>
          <w:i/>
          <w:sz w:val="23"/>
          <w:szCs w:val="23"/>
        </w:rPr>
      </w:pPr>
      <w:r w:rsidRPr="000E01BC">
        <w:rPr>
          <w:rFonts w:cs="Arial"/>
          <w:bCs/>
          <w:i/>
          <w:sz w:val="23"/>
          <w:szCs w:val="23"/>
        </w:rPr>
        <w:t>Une couverture insuffisante en formations sanitaires offrant le paquet SONU.</w:t>
      </w:r>
    </w:p>
    <w:p w14:paraId="1016E467" w14:textId="77777777" w:rsidR="00B639C9" w:rsidRPr="00744F1E" w:rsidRDefault="00A30C8C" w:rsidP="00EE3B8A">
      <w:pPr>
        <w:pStyle w:val="Paragraphedeliste"/>
        <w:spacing w:after="0"/>
        <w:ind w:left="360"/>
        <w:jc w:val="both"/>
        <w:rPr>
          <w:rFonts w:cs="Arial"/>
          <w:sz w:val="23"/>
          <w:szCs w:val="23"/>
        </w:rPr>
      </w:pPr>
      <w:r w:rsidRPr="00740953">
        <w:rPr>
          <w:rFonts w:cs="Arial"/>
          <w:bCs/>
          <w:sz w:val="23"/>
          <w:szCs w:val="23"/>
        </w:rPr>
        <w:t>L</w:t>
      </w:r>
      <w:r w:rsidRPr="00740953">
        <w:rPr>
          <w:rFonts w:cs="Arial"/>
          <w:sz w:val="23"/>
          <w:szCs w:val="23"/>
        </w:rPr>
        <w:t>a disponibilité des formations sanitaires offrant le paquet de SONU/ 500 000 habitants reste en deçà des normes</w:t>
      </w:r>
      <w:r w:rsidRPr="00A30C8C">
        <w:rPr>
          <w:rFonts w:cs="Arial"/>
          <w:sz w:val="23"/>
          <w:szCs w:val="23"/>
        </w:rPr>
        <w:t xml:space="preserve"> </w:t>
      </w:r>
      <w:r w:rsidRPr="00E575B8">
        <w:t>(cinq structures offrant des SONU dont au moins une assurant des soins complets/500 000 habitants).</w:t>
      </w:r>
      <w:r w:rsidRPr="00A30C8C">
        <w:rPr>
          <w:rFonts w:cs="Arial"/>
          <w:sz w:val="23"/>
          <w:szCs w:val="23"/>
        </w:rPr>
        <w:t xml:space="preserve">  Le nombre de formations sanitaires offrant des SONU était de 0,8 en 2010 et 0,9/500 000 habitants en 2016.</w:t>
      </w:r>
    </w:p>
    <w:p w14:paraId="5944EBA7" w14:textId="2BD50783" w:rsidR="0037619B" w:rsidRPr="00744829" w:rsidRDefault="000E01BC" w:rsidP="00A97663">
      <w:pPr>
        <w:pStyle w:val="Paragraphedeliste"/>
        <w:numPr>
          <w:ilvl w:val="0"/>
          <w:numId w:val="5"/>
        </w:numPr>
        <w:spacing w:after="0"/>
        <w:ind w:left="360"/>
        <w:jc w:val="both"/>
        <w:rPr>
          <w:rFonts w:cs="Arial"/>
          <w:bCs/>
          <w:i/>
          <w:sz w:val="24"/>
          <w:szCs w:val="24"/>
        </w:rPr>
      </w:pPr>
      <w:r w:rsidRPr="00744829">
        <w:rPr>
          <w:rFonts w:eastAsia="Calibri" w:cs="Arial"/>
          <w:i/>
          <w:sz w:val="24"/>
          <w:szCs w:val="24"/>
          <w:lang w:val="fr-BE"/>
        </w:rPr>
        <w:t>La disponibilité moyenne des</w:t>
      </w:r>
      <w:r w:rsidR="00DA750F" w:rsidRPr="00744829">
        <w:rPr>
          <w:rFonts w:eastAsia="Calibri" w:cs="Arial"/>
          <w:i/>
          <w:sz w:val="24"/>
          <w:szCs w:val="24"/>
          <w:lang w:val="fr-BE"/>
        </w:rPr>
        <w:t xml:space="preserve"> SONUB</w:t>
      </w:r>
      <w:r w:rsidRPr="00744829">
        <w:rPr>
          <w:rFonts w:eastAsia="Calibri" w:cs="Arial"/>
          <w:i/>
          <w:sz w:val="24"/>
          <w:szCs w:val="24"/>
          <w:lang w:val="fr-BE"/>
        </w:rPr>
        <w:t xml:space="preserve"> </w:t>
      </w:r>
      <w:r w:rsidR="00DA750F" w:rsidRPr="00744829">
        <w:rPr>
          <w:rFonts w:eastAsia="Calibri" w:cs="Arial"/>
          <w:i/>
          <w:sz w:val="24"/>
          <w:szCs w:val="24"/>
          <w:lang w:val="fr-BE"/>
        </w:rPr>
        <w:t xml:space="preserve">est </w:t>
      </w:r>
      <w:r w:rsidR="006A071B" w:rsidRPr="00744829">
        <w:rPr>
          <w:rFonts w:eastAsia="Calibri" w:cs="Arial"/>
          <w:i/>
          <w:sz w:val="24"/>
          <w:szCs w:val="24"/>
          <w:lang w:val="fr-BE"/>
        </w:rPr>
        <w:t xml:space="preserve">insuffisante </w:t>
      </w:r>
      <w:r w:rsidR="00DA750F" w:rsidRPr="00744829">
        <w:rPr>
          <w:rFonts w:eastAsia="Calibri" w:cs="Arial"/>
          <w:i/>
          <w:sz w:val="24"/>
          <w:szCs w:val="24"/>
          <w:lang w:val="fr-BE"/>
        </w:rPr>
        <w:t xml:space="preserve">pour la composante </w:t>
      </w:r>
      <w:r w:rsidRPr="00744829">
        <w:rPr>
          <w:rFonts w:eastAsia="Calibri" w:cs="Arial"/>
          <w:i/>
          <w:sz w:val="24"/>
          <w:szCs w:val="24"/>
          <w:lang w:val="fr-BE"/>
        </w:rPr>
        <w:t xml:space="preserve">soins néonataux </w:t>
      </w:r>
      <w:r w:rsidR="00A759A3" w:rsidRPr="00744829">
        <w:rPr>
          <w:rFonts w:eastAsia="Calibri" w:cs="Arial"/>
          <w:i/>
          <w:sz w:val="24"/>
          <w:szCs w:val="24"/>
          <w:lang w:val="fr-BE"/>
        </w:rPr>
        <w:t>d’urgence et</w:t>
      </w:r>
      <w:r w:rsidR="00DA750F" w:rsidRPr="00744829">
        <w:rPr>
          <w:rFonts w:eastAsia="Calibri" w:cs="Arial"/>
          <w:i/>
          <w:sz w:val="24"/>
          <w:szCs w:val="24"/>
          <w:lang w:val="fr-BE"/>
        </w:rPr>
        <w:t xml:space="preserve"> moyenne pour les soins obstétricaux d’urgence</w:t>
      </w:r>
      <w:r w:rsidR="00A759A3" w:rsidRPr="00744829">
        <w:rPr>
          <w:rStyle w:val="Appelnotedebasdep"/>
          <w:rFonts w:eastAsia="Calibri" w:cs="Arial"/>
          <w:i/>
          <w:sz w:val="24"/>
          <w:szCs w:val="24"/>
          <w:lang w:val="fr-BE"/>
        </w:rPr>
        <w:footnoteReference w:id="46"/>
      </w:r>
    </w:p>
    <w:p w14:paraId="44115443" w14:textId="0E16ACB8" w:rsidR="00DA750F" w:rsidRPr="00744829" w:rsidRDefault="00DA750F" w:rsidP="00EE3B8A">
      <w:pPr>
        <w:spacing w:after="0"/>
        <w:ind w:left="360"/>
        <w:jc w:val="both"/>
        <w:rPr>
          <w:rFonts w:eastAsia="Calibri" w:cs="Arial"/>
          <w:b/>
          <w:sz w:val="24"/>
          <w:szCs w:val="24"/>
          <w:lang w:val="fr-BE"/>
        </w:rPr>
      </w:pPr>
      <w:r w:rsidRPr="00744829">
        <w:rPr>
          <w:rFonts w:cs="Arial"/>
          <w:bCs/>
          <w:i/>
          <w:sz w:val="24"/>
          <w:szCs w:val="24"/>
        </w:rPr>
        <w:t xml:space="preserve"> </w:t>
      </w:r>
      <w:r w:rsidRPr="00744829">
        <w:rPr>
          <w:rFonts w:eastAsia="Calibri" w:cs="Arial"/>
          <w:sz w:val="24"/>
          <w:szCs w:val="24"/>
          <w:lang w:val="fr-BE"/>
        </w:rPr>
        <w:t>La disponibilité moyenne des soins néonataux d’urgence était de 39 % en 2016</w:t>
      </w:r>
      <w:r w:rsidR="00160A77" w:rsidRPr="00744829">
        <w:rPr>
          <w:rFonts w:eastAsia="Calibri" w:cs="Arial"/>
          <w:sz w:val="24"/>
          <w:szCs w:val="24"/>
          <w:lang w:val="fr-BE"/>
        </w:rPr>
        <w:t>.</w:t>
      </w:r>
      <w:r w:rsidRPr="00744829">
        <w:rPr>
          <w:rFonts w:eastAsia="Calibri" w:cs="Arial"/>
          <w:sz w:val="24"/>
          <w:szCs w:val="24"/>
          <w:lang w:val="fr-BE"/>
        </w:rPr>
        <w:t xml:space="preserve"> </w:t>
      </w:r>
    </w:p>
    <w:p w14:paraId="1B38DDF5" w14:textId="0BB559EE" w:rsidR="00160A77" w:rsidRPr="00744829" w:rsidRDefault="00160A77" w:rsidP="00EE3B8A">
      <w:pPr>
        <w:spacing w:after="0"/>
        <w:ind w:left="360"/>
        <w:jc w:val="both"/>
        <w:rPr>
          <w:rFonts w:cs="Arial"/>
          <w:bCs/>
          <w:sz w:val="24"/>
          <w:szCs w:val="24"/>
        </w:rPr>
      </w:pPr>
      <w:r w:rsidRPr="00744829">
        <w:rPr>
          <w:rFonts w:cs="Arial"/>
          <w:bCs/>
          <w:sz w:val="24"/>
          <w:szCs w:val="24"/>
        </w:rPr>
        <w:t xml:space="preserve">Si le pourcentage des établissements offrant l’allaitement immédiat et exclusif, les soins d’hygiène du cordon et la protection thermique dépassait 85%, il y avait encore </w:t>
      </w:r>
      <w:r w:rsidRPr="00744829">
        <w:rPr>
          <w:rFonts w:cs="Arial"/>
          <w:bCs/>
          <w:sz w:val="24"/>
          <w:szCs w:val="24"/>
        </w:rPr>
        <w:lastRenderedPageBreak/>
        <w:t>respectivement 26% et 34% des établissements qui n’offraient des antibiotiques aux prématurés ou rupture prématurée des membranes prolongée et la méthode kangourou pour prématurées ou nouveaux nés.</w:t>
      </w:r>
    </w:p>
    <w:p w14:paraId="4747C5F8" w14:textId="42A34EE6" w:rsidR="00A759A3" w:rsidRPr="00744829" w:rsidRDefault="00A759A3" w:rsidP="00EE3B8A">
      <w:pPr>
        <w:spacing w:after="0"/>
        <w:ind w:left="360"/>
        <w:jc w:val="both"/>
        <w:rPr>
          <w:rFonts w:cs="Arial"/>
          <w:bCs/>
          <w:sz w:val="24"/>
          <w:szCs w:val="24"/>
        </w:rPr>
      </w:pPr>
      <w:r w:rsidRPr="00744829">
        <w:rPr>
          <w:rFonts w:cs="Arial"/>
          <w:bCs/>
          <w:sz w:val="24"/>
          <w:szCs w:val="24"/>
        </w:rPr>
        <w:t xml:space="preserve">Mais le déficit est particulièrement profond pour le pourcentage des établissements </w:t>
      </w:r>
      <w:r w:rsidRPr="00744829">
        <w:rPr>
          <w:rFonts w:eastAsia="Calibri" w:cs="Arial"/>
          <w:sz w:val="24"/>
          <w:szCs w:val="24"/>
          <w:lang w:val="fr-BE"/>
        </w:rPr>
        <w:t>offrant des antibiotiques injectables pour la septicémie néonatale ne dépasse pas 43% et 34% pour la réanimation néonatale.</w:t>
      </w:r>
    </w:p>
    <w:p w14:paraId="67DA6C13" w14:textId="77777777" w:rsidR="00DA750F" w:rsidRDefault="00DA750F" w:rsidP="00EE3B8A">
      <w:pPr>
        <w:pStyle w:val="Paragraphedeliste"/>
        <w:ind w:left="360"/>
        <w:jc w:val="both"/>
        <w:rPr>
          <w:sz w:val="23"/>
          <w:szCs w:val="23"/>
        </w:rPr>
      </w:pPr>
      <w:r>
        <w:rPr>
          <w:rFonts w:eastAsia="Calibri" w:cs="Arial"/>
          <w:sz w:val="23"/>
          <w:szCs w:val="23"/>
          <w:lang w:val="fr-BE"/>
        </w:rPr>
        <w:t>L</w:t>
      </w:r>
      <w:r w:rsidRPr="00C43256">
        <w:rPr>
          <w:rFonts w:eastAsia="Calibri" w:cs="Arial"/>
          <w:sz w:val="23"/>
          <w:szCs w:val="23"/>
          <w:lang w:val="fr-BE"/>
        </w:rPr>
        <w:t xml:space="preserve">a disponibilité moyenne </w:t>
      </w:r>
      <w:r>
        <w:rPr>
          <w:rFonts w:eastAsia="Calibri" w:cs="Arial"/>
          <w:sz w:val="23"/>
          <w:szCs w:val="23"/>
          <w:lang w:val="fr-BE"/>
        </w:rPr>
        <w:t xml:space="preserve">des soins obstétricaux </w:t>
      </w:r>
      <w:r w:rsidRPr="00C43256">
        <w:rPr>
          <w:rFonts w:eastAsia="Calibri" w:cs="Arial"/>
          <w:sz w:val="23"/>
          <w:szCs w:val="23"/>
          <w:lang w:val="fr-BE"/>
        </w:rPr>
        <w:t xml:space="preserve">était </w:t>
      </w:r>
      <w:r>
        <w:rPr>
          <w:rFonts w:eastAsia="Calibri" w:cs="Arial"/>
          <w:sz w:val="23"/>
          <w:szCs w:val="23"/>
          <w:lang w:val="fr-BE"/>
        </w:rPr>
        <w:t xml:space="preserve">de </w:t>
      </w:r>
      <w:r w:rsidRPr="00C43256">
        <w:rPr>
          <w:rFonts w:eastAsia="Calibri" w:cs="Arial"/>
          <w:sz w:val="23"/>
          <w:szCs w:val="23"/>
          <w:lang w:val="fr-BE"/>
        </w:rPr>
        <w:t>60 %</w:t>
      </w:r>
      <w:r>
        <w:rPr>
          <w:rFonts w:eastAsia="Calibri" w:cs="Arial"/>
          <w:sz w:val="23"/>
          <w:szCs w:val="23"/>
          <w:lang w:val="fr-BE"/>
        </w:rPr>
        <w:t xml:space="preserve"> en 2016, avec des proportions particulièrement basses pour </w:t>
      </w:r>
      <w:r w:rsidRPr="00C43256">
        <w:rPr>
          <w:sz w:val="23"/>
          <w:szCs w:val="23"/>
        </w:rPr>
        <w:t>les services relatifs à l’administration parentérale d’anticonvulsivants</w:t>
      </w:r>
      <w:r>
        <w:rPr>
          <w:sz w:val="23"/>
          <w:szCs w:val="23"/>
        </w:rPr>
        <w:t xml:space="preserve"> (26%), Corticostéroïdes en travail prématuré et </w:t>
      </w:r>
      <w:r w:rsidRPr="00C43256">
        <w:rPr>
          <w:sz w:val="23"/>
          <w:szCs w:val="23"/>
        </w:rPr>
        <w:t>l’évacuati</w:t>
      </w:r>
      <w:r>
        <w:rPr>
          <w:sz w:val="23"/>
          <w:szCs w:val="23"/>
        </w:rPr>
        <w:t>on utérine après accouchement (</w:t>
      </w:r>
      <w:r w:rsidRPr="00C43256">
        <w:rPr>
          <w:sz w:val="23"/>
          <w:szCs w:val="23"/>
        </w:rPr>
        <w:t>18%</w:t>
      </w:r>
      <w:r>
        <w:rPr>
          <w:sz w:val="23"/>
          <w:szCs w:val="23"/>
        </w:rPr>
        <w:t>).</w:t>
      </w:r>
    </w:p>
    <w:tbl>
      <w:tblPr>
        <w:tblStyle w:val="Grilledutableau"/>
        <w:tblW w:w="0" w:type="auto"/>
        <w:tblInd w:w="704" w:type="dxa"/>
        <w:tblLook w:val="04A0" w:firstRow="1" w:lastRow="0" w:firstColumn="1" w:lastColumn="0" w:noHBand="0" w:noVBand="1"/>
      </w:tblPr>
      <w:tblGrid>
        <w:gridCol w:w="8358"/>
      </w:tblGrid>
      <w:tr w:rsidR="00DA750F" w14:paraId="25D9D14F" w14:textId="77777777" w:rsidTr="00DA750F">
        <w:tc>
          <w:tcPr>
            <w:tcW w:w="8358" w:type="dxa"/>
          </w:tcPr>
          <w:p w14:paraId="4170F7A8" w14:textId="77777777" w:rsidR="00DA750F" w:rsidRDefault="00DA750F" w:rsidP="00DA750F">
            <w:pPr>
              <w:spacing w:after="160" w:line="360" w:lineRule="auto"/>
              <w:contextualSpacing/>
              <w:jc w:val="center"/>
              <w:rPr>
                <w:rFonts w:eastAsia="Calibri" w:cs="Arial"/>
                <w:sz w:val="23"/>
                <w:szCs w:val="23"/>
                <w:lang w:val="fr-BE"/>
              </w:rPr>
            </w:pPr>
            <w:r w:rsidRPr="00CF6E45">
              <w:rPr>
                <w:rFonts w:eastAsia="Calibri" w:cs="Arial"/>
                <w:noProof/>
                <w:sz w:val="23"/>
                <w:szCs w:val="23"/>
                <w:lang w:eastAsia="fr-FR"/>
              </w:rPr>
              <w:drawing>
                <wp:inline distT="0" distB="0" distL="0" distR="0" wp14:anchorId="5B604424" wp14:editId="7428F442">
                  <wp:extent cx="5172075" cy="2938778"/>
                  <wp:effectExtent l="0" t="0" r="0" b="0"/>
                  <wp:docPr id="225" name="Imag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84873" cy="2946050"/>
                          </a:xfrm>
                          <a:prstGeom prst="rect">
                            <a:avLst/>
                          </a:prstGeom>
                          <a:noFill/>
                          <a:ln>
                            <a:noFill/>
                          </a:ln>
                        </pic:spPr>
                      </pic:pic>
                    </a:graphicData>
                  </a:graphic>
                </wp:inline>
              </w:drawing>
            </w:r>
          </w:p>
        </w:tc>
      </w:tr>
      <w:tr w:rsidR="00DA750F" w14:paraId="0EF99D72" w14:textId="77777777" w:rsidTr="00DA750F">
        <w:tc>
          <w:tcPr>
            <w:tcW w:w="8358" w:type="dxa"/>
          </w:tcPr>
          <w:p w14:paraId="303F7F0B" w14:textId="4A0E15D6" w:rsidR="00DA750F" w:rsidRPr="00613E13" w:rsidRDefault="00DA750F" w:rsidP="00DA750F">
            <w:pPr>
              <w:spacing w:after="160" w:line="360" w:lineRule="auto"/>
              <w:contextualSpacing/>
              <w:jc w:val="both"/>
              <w:rPr>
                <w:rFonts w:eastAsia="Calibri" w:cs="Arial"/>
                <w:b/>
                <w:sz w:val="20"/>
                <w:szCs w:val="20"/>
                <w:lang w:val="fr-BE"/>
              </w:rPr>
            </w:pPr>
            <w:r w:rsidRPr="00613E13">
              <w:rPr>
                <w:rFonts w:eastAsia="Calibri" w:cs="Arial"/>
                <w:b/>
                <w:sz w:val="20"/>
                <w:szCs w:val="20"/>
                <w:lang w:val="fr-BE"/>
              </w:rPr>
              <w:t xml:space="preserve">Figure </w:t>
            </w:r>
            <w:r w:rsidR="00C21AB1">
              <w:rPr>
                <w:rFonts w:eastAsia="Calibri" w:cs="Arial"/>
                <w:b/>
                <w:sz w:val="20"/>
                <w:szCs w:val="20"/>
                <w:lang w:val="fr-BE"/>
              </w:rPr>
              <w:t>9</w:t>
            </w:r>
            <w:r w:rsidRPr="00613E13">
              <w:rPr>
                <w:rFonts w:eastAsia="Calibri" w:cs="Arial"/>
                <w:b/>
                <w:sz w:val="20"/>
                <w:szCs w:val="20"/>
                <w:lang w:val="fr-BE"/>
              </w:rPr>
              <w:t> : Proportion des formations sanitaires offrant les services essentielles de SONU</w:t>
            </w:r>
            <w:r w:rsidRPr="00613E13">
              <w:rPr>
                <w:rStyle w:val="Appelnotedebasdep"/>
                <w:rFonts w:eastAsia="Calibri" w:cs="Arial"/>
                <w:b/>
                <w:sz w:val="20"/>
                <w:szCs w:val="20"/>
                <w:lang w:val="fr-BE"/>
              </w:rPr>
              <w:footnoteReference w:id="47"/>
            </w:r>
          </w:p>
        </w:tc>
      </w:tr>
    </w:tbl>
    <w:p w14:paraId="1919C6BA" w14:textId="77777777" w:rsidR="00DA750F" w:rsidRPr="00DA750F" w:rsidRDefault="00DA750F" w:rsidP="00DA750F">
      <w:pPr>
        <w:pStyle w:val="Paragraphedeliste"/>
        <w:spacing w:after="0" w:line="360" w:lineRule="auto"/>
        <w:ind w:left="360"/>
        <w:jc w:val="both"/>
        <w:rPr>
          <w:rFonts w:cs="Arial"/>
          <w:bCs/>
          <w:sz w:val="23"/>
          <w:szCs w:val="23"/>
        </w:rPr>
      </w:pPr>
      <w:r w:rsidRPr="00C43256">
        <w:rPr>
          <w:sz w:val="23"/>
          <w:szCs w:val="23"/>
        </w:rPr>
        <w:t xml:space="preserve"> </w:t>
      </w:r>
    </w:p>
    <w:p w14:paraId="0CE99CC6" w14:textId="77777777" w:rsidR="00BD7F7B" w:rsidRPr="00DA750F" w:rsidRDefault="00DA750F" w:rsidP="00A97663">
      <w:pPr>
        <w:pStyle w:val="Paragraphedeliste"/>
        <w:numPr>
          <w:ilvl w:val="0"/>
          <w:numId w:val="5"/>
        </w:numPr>
        <w:spacing w:after="0"/>
        <w:ind w:left="360"/>
        <w:jc w:val="both"/>
        <w:rPr>
          <w:rFonts w:cs="Arial"/>
          <w:bCs/>
          <w:i/>
          <w:sz w:val="23"/>
          <w:szCs w:val="23"/>
        </w:rPr>
      </w:pPr>
      <w:r>
        <w:rPr>
          <w:rFonts w:eastAsia="Calibri" w:cs="Arial"/>
          <w:i/>
          <w:sz w:val="23"/>
          <w:szCs w:val="23"/>
          <w:lang w:val="fr-BE"/>
        </w:rPr>
        <w:t>L</w:t>
      </w:r>
      <w:r w:rsidR="000E01BC" w:rsidRPr="000E01BC">
        <w:rPr>
          <w:rFonts w:eastAsia="Calibri" w:cs="Arial"/>
          <w:i/>
          <w:sz w:val="23"/>
          <w:szCs w:val="23"/>
          <w:lang w:val="fr-BE"/>
        </w:rPr>
        <w:t xml:space="preserve">a </w:t>
      </w:r>
      <w:r w:rsidR="000E01BC" w:rsidRPr="000E01BC">
        <w:rPr>
          <w:i/>
          <w:sz w:val="24"/>
          <w:szCs w:val="24"/>
        </w:rPr>
        <w:t xml:space="preserve">capacité opérationnelle des établissements à fournir des SONUB </w:t>
      </w:r>
      <w:r w:rsidR="000E01BC">
        <w:rPr>
          <w:i/>
          <w:sz w:val="24"/>
          <w:szCs w:val="24"/>
        </w:rPr>
        <w:t xml:space="preserve">nécessite des améliorations </w:t>
      </w:r>
      <w:r w:rsidR="00142284">
        <w:rPr>
          <w:i/>
          <w:sz w:val="24"/>
          <w:szCs w:val="24"/>
        </w:rPr>
        <w:t>y compris dans leur distribution par régions</w:t>
      </w:r>
      <w:r>
        <w:rPr>
          <w:i/>
          <w:sz w:val="24"/>
          <w:szCs w:val="24"/>
        </w:rPr>
        <w:t>.</w:t>
      </w:r>
      <w:r w:rsidR="00B24DD6" w:rsidRPr="00DA750F">
        <w:rPr>
          <w:sz w:val="23"/>
          <w:szCs w:val="23"/>
        </w:rPr>
        <w:t xml:space="preserve"> </w:t>
      </w:r>
    </w:p>
    <w:p w14:paraId="79300B2D" w14:textId="77777777" w:rsidR="00804E55" w:rsidRDefault="00804E55" w:rsidP="00C21AB1">
      <w:pPr>
        <w:pStyle w:val="Paragraphedeliste"/>
        <w:spacing w:after="160"/>
        <w:ind w:left="0"/>
        <w:jc w:val="both"/>
        <w:rPr>
          <w:sz w:val="24"/>
          <w:szCs w:val="24"/>
        </w:rPr>
      </w:pPr>
      <w:r>
        <w:rPr>
          <w:sz w:val="24"/>
          <w:szCs w:val="24"/>
        </w:rPr>
        <w:t xml:space="preserve">En termes, de </w:t>
      </w:r>
      <w:r w:rsidR="00AC2046" w:rsidRPr="00C43256">
        <w:rPr>
          <w:sz w:val="24"/>
          <w:szCs w:val="24"/>
        </w:rPr>
        <w:t>capacité opérationnelle des établissements à fournir des SONUB</w:t>
      </w:r>
    </w:p>
    <w:p w14:paraId="4329C6D7" w14:textId="77777777" w:rsidR="000B441B" w:rsidRDefault="00804E55" w:rsidP="00C21AB1">
      <w:pPr>
        <w:pStyle w:val="Paragraphedeliste"/>
        <w:spacing w:after="160"/>
        <w:ind w:left="0"/>
        <w:jc w:val="both"/>
        <w:rPr>
          <w:sz w:val="24"/>
          <w:szCs w:val="24"/>
        </w:rPr>
      </w:pPr>
      <w:r>
        <w:rPr>
          <w:sz w:val="24"/>
          <w:szCs w:val="24"/>
        </w:rPr>
        <w:t>(</w:t>
      </w:r>
      <w:r w:rsidR="00142284" w:rsidRPr="00C43256">
        <w:rPr>
          <w:sz w:val="24"/>
          <w:szCs w:val="24"/>
        </w:rPr>
        <w:t>Disponibilité</w:t>
      </w:r>
      <w:r w:rsidR="00572A4A">
        <w:rPr>
          <w:sz w:val="24"/>
          <w:szCs w:val="24"/>
        </w:rPr>
        <w:t xml:space="preserve"> des 21 éléments traceurs), en </w:t>
      </w:r>
      <w:r w:rsidR="00572A4A" w:rsidRPr="00C43256">
        <w:rPr>
          <w:sz w:val="23"/>
          <w:szCs w:val="23"/>
        </w:rPr>
        <w:t xml:space="preserve">moyenne </w:t>
      </w:r>
      <w:r w:rsidR="00572A4A" w:rsidRPr="00C43256">
        <w:rPr>
          <w:sz w:val="24"/>
          <w:szCs w:val="24"/>
        </w:rPr>
        <w:t>moins de</w:t>
      </w:r>
      <w:r w:rsidR="00572A4A">
        <w:t xml:space="preserve"> </w:t>
      </w:r>
      <w:r w:rsidR="00572A4A" w:rsidRPr="00C43256">
        <w:rPr>
          <w:sz w:val="24"/>
          <w:szCs w:val="24"/>
        </w:rPr>
        <w:t>1% pour l’ensemble des établissements de soins</w:t>
      </w:r>
      <w:r w:rsidR="00572A4A">
        <w:rPr>
          <w:sz w:val="24"/>
          <w:szCs w:val="24"/>
        </w:rPr>
        <w:t xml:space="preserve"> disposait de tous les éléments traceurs et </w:t>
      </w:r>
      <w:r w:rsidR="000C67C0" w:rsidRPr="00C43256">
        <w:rPr>
          <w:sz w:val="24"/>
          <w:szCs w:val="24"/>
        </w:rPr>
        <w:t xml:space="preserve">en moyenne les </w:t>
      </w:r>
      <w:r w:rsidR="00400BB4" w:rsidRPr="00C43256">
        <w:rPr>
          <w:sz w:val="24"/>
          <w:szCs w:val="24"/>
        </w:rPr>
        <w:t>formation</w:t>
      </w:r>
      <w:r w:rsidR="000C67C0" w:rsidRPr="00C43256">
        <w:rPr>
          <w:sz w:val="24"/>
          <w:szCs w:val="24"/>
        </w:rPr>
        <w:t>s</w:t>
      </w:r>
      <w:r w:rsidR="00400BB4" w:rsidRPr="00C43256">
        <w:rPr>
          <w:sz w:val="24"/>
          <w:szCs w:val="24"/>
        </w:rPr>
        <w:t xml:space="preserve"> sanitaire</w:t>
      </w:r>
      <w:r w:rsidR="000C67C0" w:rsidRPr="00C43256">
        <w:rPr>
          <w:sz w:val="24"/>
          <w:szCs w:val="24"/>
        </w:rPr>
        <w:t>s</w:t>
      </w:r>
      <w:r w:rsidR="00400BB4" w:rsidRPr="00C43256">
        <w:rPr>
          <w:sz w:val="24"/>
          <w:szCs w:val="24"/>
        </w:rPr>
        <w:t xml:space="preserve"> dispos</w:t>
      </w:r>
      <w:r w:rsidR="00572A4A">
        <w:rPr>
          <w:sz w:val="24"/>
          <w:szCs w:val="24"/>
        </w:rPr>
        <w:t>ai</w:t>
      </w:r>
      <w:r w:rsidR="00400BB4" w:rsidRPr="00C43256">
        <w:rPr>
          <w:sz w:val="24"/>
          <w:szCs w:val="24"/>
        </w:rPr>
        <w:t>e</w:t>
      </w:r>
      <w:r w:rsidR="000C67C0" w:rsidRPr="00C43256">
        <w:rPr>
          <w:sz w:val="24"/>
          <w:szCs w:val="24"/>
        </w:rPr>
        <w:t>nt</w:t>
      </w:r>
      <w:r w:rsidR="00400BB4" w:rsidRPr="00C43256">
        <w:rPr>
          <w:sz w:val="24"/>
          <w:szCs w:val="24"/>
        </w:rPr>
        <w:t xml:space="preserve"> de 64% des 21 éléments.</w:t>
      </w:r>
      <w:r w:rsidR="000C67C0" w:rsidRPr="00C43256">
        <w:rPr>
          <w:sz w:val="24"/>
          <w:szCs w:val="24"/>
        </w:rPr>
        <w:t xml:space="preserve"> </w:t>
      </w:r>
    </w:p>
    <w:p w14:paraId="34BE0BEF" w14:textId="77777777" w:rsidR="000B441B" w:rsidRPr="000B441B" w:rsidRDefault="000B441B" w:rsidP="00A97663">
      <w:pPr>
        <w:pStyle w:val="Paragraphedeliste"/>
        <w:numPr>
          <w:ilvl w:val="0"/>
          <w:numId w:val="5"/>
        </w:numPr>
        <w:spacing w:after="160"/>
        <w:jc w:val="both"/>
        <w:rPr>
          <w:i/>
          <w:sz w:val="24"/>
          <w:szCs w:val="24"/>
        </w:rPr>
      </w:pPr>
      <w:r w:rsidRPr="000B441B">
        <w:rPr>
          <w:i/>
          <w:sz w:val="24"/>
          <w:szCs w:val="24"/>
        </w:rPr>
        <w:t>Le manque ou les ruptures de stock en intrants.</w:t>
      </w:r>
    </w:p>
    <w:p w14:paraId="79DCA3E4" w14:textId="77777777" w:rsidR="00177856" w:rsidRDefault="0013238F" w:rsidP="00C21AB1">
      <w:pPr>
        <w:pStyle w:val="Paragraphedeliste"/>
        <w:spacing w:after="160"/>
        <w:ind w:left="0"/>
        <w:jc w:val="both"/>
        <w:rPr>
          <w:sz w:val="24"/>
          <w:szCs w:val="24"/>
        </w:rPr>
      </w:pPr>
      <w:r>
        <w:rPr>
          <w:sz w:val="24"/>
          <w:szCs w:val="24"/>
        </w:rPr>
        <w:t xml:space="preserve"> </w:t>
      </w:r>
      <w:r w:rsidR="00177856">
        <w:rPr>
          <w:sz w:val="24"/>
          <w:szCs w:val="24"/>
        </w:rPr>
        <w:t xml:space="preserve">Les gaps sont observés au </w:t>
      </w:r>
      <w:r>
        <w:rPr>
          <w:sz w:val="24"/>
          <w:szCs w:val="24"/>
        </w:rPr>
        <w:t>niveau :</w:t>
      </w:r>
    </w:p>
    <w:p w14:paraId="20885A64" w14:textId="77777777" w:rsidR="00177856" w:rsidRDefault="00177856" w:rsidP="00A97663">
      <w:pPr>
        <w:pStyle w:val="Paragraphedeliste"/>
        <w:numPr>
          <w:ilvl w:val="0"/>
          <w:numId w:val="7"/>
        </w:numPr>
        <w:spacing w:after="160"/>
        <w:jc w:val="both"/>
        <w:rPr>
          <w:sz w:val="24"/>
          <w:szCs w:val="24"/>
        </w:rPr>
      </w:pPr>
      <w:r>
        <w:rPr>
          <w:sz w:val="24"/>
          <w:szCs w:val="24"/>
        </w:rPr>
        <w:t>Des directives et du personnel : directives (54%), personnel formé aux SONUB (53%).</w:t>
      </w:r>
    </w:p>
    <w:p w14:paraId="2A006BD9" w14:textId="77777777" w:rsidR="00177856" w:rsidRDefault="00177856" w:rsidP="00A97663">
      <w:pPr>
        <w:pStyle w:val="Paragraphedeliste"/>
        <w:numPr>
          <w:ilvl w:val="0"/>
          <w:numId w:val="7"/>
        </w:numPr>
        <w:spacing w:after="160"/>
        <w:jc w:val="both"/>
        <w:rPr>
          <w:sz w:val="24"/>
          <w:szCs w:val="24"/>
        </w:rPr>
      </w:pPr>
      <w:r>
        <w:rPr>
          <w:sz w:val="24"/>
          <w:szCs w:val="24"/>
        </w:rPr>
        <w:t>Des équipements : Lampes d’examen (59%), Appareil d’aspiration (36%), Matériel de stérilisation (21%), Ballons et masques (18%), Ventouse obstétricale manuelle (7%).</w:t>
      </w:r>
    </w:p>
    <w:p w14:paraId="6D361C2D" w14:textId="77777777" w:rsidR="000B441B" w:rsidRDefault="00177856" w:rsidP="00A97663">
      <w:pPr>
        <w:pStyle w:val="Paragraphedeliste"/>
        <w:numPr>
          <w:ilvl w:val="0"/>
          <w:numId w:val="7"/>
        </w:numPr>
        <w:spacing w:after="160"/>
        <w:jc w:val="both"/>
        <w:rPr>
          <w:sz w:val="24"/>
          <w:szCs w:val="24"/>
        </w:rPr>
      </w:pPr>
      <w:r>
        <w:rPr>
          <w:sz w:val="24"/>
          <w:szCs w:val="24"/>
        </w:rPr>
        <w:t>Des médicaments et produits médicaux : Sulfate de Magnésium (38%)</w:t>
      </w:r>
      <w:r w:rsidR="00F81055" w:rsidRPr="000B441B">
        <w:rPr>
          <w:sz w:val="24"/>
          <w:szCs w:val="24"/>
        </w:rPr>
        <w:t xml:space="preserve"> </w:t>
      </w:r>
    </w:p>
    <w:p w14:paraId="4FE3DAF7" w14:textId="77777777" w:rsidR="00F20C6F" w:rsidRPr="000B441B" w:rsidRDefault="0013238F" w:rsidP="00C21AB1">
      <w:pPr>
        <w:spacing w:after="160"/>
        <w:jc w:val="both"/>
        <w:rPr>
          <w:sz w:val="24"/>
          <w:szCs w:val="24"/>
        </w:rPr>
      </w:pPr>
      <w:r w:rsidRPr="000B441B">
        <w:rPr>
          <w:sz w:val="24"/>
          <w:szCs w:val="24"/>
        </w:rPr>
        <w:lastRenderedPageBreak/>
        <w:t>En termes de répartition</w:t>
      </w:r>
      <w:r w:rsidR="000C67C0" w:rsidRPr="000B441B">
        <w:rPr>
          <w:sz w:val="24"/>
          <w:szCs w:val="24"/>
        </w:rPr>
        <w:t xml:space="preserve"> régional</w:t>
      </w:r>
      <w:r w:rsidRPr="000B441B">
        <w:rPr>
          <w:sz w:val="24"/>
          <w:szCs w:val="24"/>
        </w:rPr>
        <w:t>e</w:t>
      </w:r>
      <w:r w:rsidR="000C67C0" w:rsidRPr="000B441B">
        <w:rPr>
          <w:sz w:val="24"/>
          <w:szCs w:val="24"/>
        </w:rPr>
        <w:t>, les formations sanitaires dans 7 régions n’atteignent pas la moyenne nationale : Centre, Centre-Ouest et hauts-Bassins avec 62%, Centre-Sud et Plateau Central avec 59%, Centre-Est et Cascades avec 57%.</w:t>
      </w:r>
      <w:r w:rsidR="007C0112" w:rsidRPr="000B441B">
        <w:rPr>
          <w:sz w:val="24"/>
          <w:szCs w:val="24"/>
        </w:rPr>
        <w:t xml:space="preserve"> </w:t>
      </w:r>
    </w:p>
    <w:p w14:paraId="73540FDE" w14:textId="77777777" w:rsidR="00400BB4" w:rsidRDefault="00F20C6F" w:rsidP="00C21AB1">
      <w:pPr>
        <w:pStyle w:val="Paragraphedeliste"/>
        <w:spacing w:after="160"/>
        <w:ind w:left="0"/>
        <w:jc w:val="both"/>
        <w:rPr>
          <w:sz w:val="24"/>
          <w:szCs w:val="24"/>
        </w:rPr>
      </w:pPr>
      <w:r w:rsidRPr="000E01BC">
        <w:rPr>
          <w:sz w:val="24"/>
          <w:szCs w:val="24"/>
        </w:rPr>
        <w:t xml:space="preserve">Seuls 54% et 53% des établissements de santé remplissaient les critères par rapport aux </w:t>
      </w:r>
      <w:r w:rsidR="00AC2046" w:rsidRPr="000E01BC">
        <w:rPr>
          <w:sz w:val="24"/>
          <w:szCs w:val="24"/>
        </w:rPr>
        <w:t>éléments traceurs Directives et Personnel</w:t>
      </w:r>
      <w:r w:rsidR="00E3098C">
        <w:rPr>
          <w:sz w:val="24"/>
          <w:szCs w:val="24"/>
        </w:rPr>
        <w:t>.</w:t>
      </w:r>
    </w:p>
    <w:p w14:paraId="7AF1A531" w14:textId="77777777" w:rsidR="00142284" w:rsidRPr="00142284" w:rsidRDefault="00142284" w:rsidP="00A97663">
      <w:pPr>
        <w:pStyle w:val="Paragraphedeliste"/>
        <w:numPr>
          <w:ilvl w:val="0"/>
          <w:numId w:val="5"/>
        </w:numPr>
        <w:spacing w:after="160"/>
        <w:ind w:left="360"/>
        <w:jc w:val="both"/>
        <w:rPr>
          <w:i/>
          <w:sz w:val="24"/>
          <w:szCs w:val="24"/>
        </w:rPr>
      </w:pPr>
      <w:r w:rsidRPr="00142284">
        <w:rPr>
          <w:i/>
          <w:sz w:val="24"/>
          <w:szCs w:val="24"/>
        </w:rPr>
        <w:t xml:space="preserve">La disponibilité et la capacité opérationnelle des services de SONUC </w:t>
      </w:r>
      <w:r w:rsidR="00DA750F">
        <w:rPr>
          <w:i/>
          <w:sz w:val="24"/>
          <w:szCs w:val="24"/>
        </w:rPr>
        <w:t xml:space="preserve">y compris la transfusion </w:t>
      </w:r>
      <w:r w:rsidR="00E3098C">
        <w:rPr>
          <w:i/>
          <w:sz w:val="24"/>
          <w:szCs w:val="24"/>
        </w:rPr>
        <w:t>sont</w:t>
      </w:r>
      <w:r w:rsidRPr="00142284">
        <w:rPr>
          <w:i/>
          <w:sz w:val="24"/>
          <w:szCs w:val="24"/>
        </w:rPr>
        <w:t xml:space="preserve"> basse</w:t>
      </w:r>
      <w:r w:rsidR="00E3098C">
        <w:rPr>
          <w:i/>
          <w:sz w:val="24"/>
          <w:szCs w:val="24"/>
        </w:rPr>
        <w:t>s</w:t>
      </w:r>
    </w:p>
    <w:p w14:paraId="235B3839" w14:textId="77777777" w:rsidR="00F81055" w:rsidRPr="00142284" w:rsidRDefault="003F0F60" w:rsidP="00C21AB1">
      <w:pPr>
        <w:pStyle w:val="Paragraphedeliste"/>
        <w:spacing w:after="160"/>
        <w:ind w:left="360"/>
        <w:jc w:val="both"/>
        <w:rPr>
          <w:rFonts w:cs="Arial"/>
          <w:sz w:val="24"/>
          <w:szCs w:val="24"/>
        </w:rPr>
      </w:pPr>
      <w:r w:rsidRPr="000E01BC">
        <w:rPr>
          <w:sz w:val="24"/>
          <w:szCs w:val="24"/>
        </w:rPr>
        <w:t>L</w:t>
      </w:r>
      <w:r w:rsidR="000013DC" w:rsidRPr="000E01BC">
        <w:rPr>
          <w:sz w:val="24"/>
          <w:szCs w:val="24"/>
        </w:rPr>
        <w:t xml:space="preserve">a disponibilité </w:t>
      </w:r>
      <w:r w:rsidRPr="000E01BC">
        <w:rPr>
          <w:sz w:val="24"/>
          <w:szCs w:val="24"/>
        </w:rPr>
        <w:t>d</w:t>
      </w:r>
      <w:r w:rsidR="007C0112" w:rsidRPr="000E01BC">
        <w:rPr>
          <w:sz w:val="24"/>
          <w:szCs w:val="24"/>
        </w:rPr>
        <w:t>es services de SONUC</w:t>
      </w:r>
      <w:r w:rsidR="007C0112" w:rsidRPr="000E01BC">
        <w:rPr>
          <w:rStyle w:val="Appelnotedebasdep"/>
          <w:sz w:val="24"/>
          <w:szCs w:val="24"/>
        </w:rPr>
        <w:footnoteReference w:id="48"/>
      </w:r>
      <w:r w:rsidR="007C0112" w:rsidRPr="000E01BC">
        <w:rPr>
          <w:sz w:val="24"/>
          <w:szCs w:val="24"/>
        </w:rPr>
        <w:t xml:space="preserve"> étaient</w:t>
      </w:r>
      <w:r w:rsidR="000013DC" w:rsidRPr="000E01BC">
        <w:rPr>
          <w:sz w:val="24"/>
          <w:szCs w:val="24"/>
        </w:rPr>
        <w:t xml:space="preserve"> en moyenne de 58</w:t>
      </w:r>
      <w:r w:rsidR="00DA750F" w:rsidRPr="000E01BC">
        <w:rPr>
          <w:sz w:val="24"/>
          <w:szCs w:val="24"/>
        </w:rPr>
        <w:t>% (</w:t>
      </w:r>
      <w:r w:rsidR="000013DC" w:rsidRPr="000E01BC">
        <w:rPr>
          <w:sz w:val="24"/>
          <w:szCs w:val="24"/>
        </w:rPr>
        <w:t>80% des structures publiques et 28% des structures privées</w:t>
      </w:r>
      <w:r w:rsidR="007C0112" w:rsidRPr="000E01BC">
        <w:rPr>
          <w:sz w:val="24"/>
          <w:szCs w:val="24"/>
        </w:rPr>
        <w:t>)</w:t>
      </w:r>
      <w:r w:rsidR="000013DC" w:rsidRPr="000E01BC">
        <w:rPr>
          <w:sz w:val="24"/>
          <w:szCs w:val="24"/>
        </w:rPr>
        <w:t>. Les écarts entre régions sont très grands allant de 15% dans la région du Centre-Nord à 100% dans celle de la Boucle du Mouhoun.</w:t>
      </w:r>
      <w:r w:rsidR="00142284">
        <w:rPr>
          <w:sz w:val="24"/>
          <w:szCs w:val="24"/>
        </w:rPr>
        <w:t xml:space="preserve"> </w:t>
      </w:r>
      <w:r w:rsidRPr="00142284">
        <w:rPr>
          <w:sz w:val="24"/>
          <w:szCs w:val="24"/>
        </w:rPr>
        <w:t xml:space="preserve">En termes de </w:t>
      </w:r>
      <w:r w:rsidR="007544D4" w:rsidRPr="00142284">
        <w:rPr>
          <w:sz w:val="24"/>
          <w:szCs w:val="24"/>
        </w:rPr>
        <w:t>capacité opérationnelle des services (</w:t>
      </w:r>
      <w:r w:rsidR="007544D4" w:rsidRPr="00142284">
        <w:rPr>
          <w:rFonts w:cs="Calibri"/>
          <w:sz w:val="24"/>
          <w:szCs w:val="24"/>
        </w:rPr>
        <w:t>directives et personnel, équipement, capacité de diagnostic, médicament</w:t>
      </w:r>
      <w:r w:rsidRPr="00142284">
        <w:rPr>
          <w:rFonts w:cs="Calibri"/>
          <w:sz w:val="24"/>
          <w:szCs w:val="24"/>
        </w:rPr>
        <w:t xml:space="preserve">s et produits), </w:t>
      </w:r>
      <w:r w:rsidR="00F20C6F" w:rsidRPr="00142284">
        <w:rPr>
          <w:rFonts w:cs="Calibri"/>
          <w:sz w:val="24"/>
          <w:szCs w:val="24"/>
        </w:rPr>
        <w:t xml:space="preserve">seulement </w:t>
      </w:r>
      <w:r w:rsidR="007544D4" w:rsidRPr="00142284">
        <w:rPr>
          <w:sz w:val="24"/>
          <w:szCs w:val="24"/>
        </w:rPr>
        <w:t>57% des structures disposaient de l’ensemble des éléments en 2016</w:t>
      </w:r>
      <w:r w:rsidR="007544D4" w:rsidRPr="00142284">
        <w:rPr>
          <w:rFonts w:cs="Calibri"/>
          <w:sz w:val="24"/>
          <w:szCs w:val="24"/>
        </w:rPr>
        <w:t xml:space="preserve">. </w:t>
      </w:r>
      <w:r w:rsidR="00AB0B0C" w:rsidRPr="00142284">
        <w:rPr>
          <w:sz w:val="24"/>
          <w:szCs w:val="24"/>
        </w:rPr>
        <w:t xml:space="preserve">La proportion </w:t>
      </w:r>
      <w:r w:rsidRPr="00142284">
        <w:rPr>
          <w:sz w:val="24"/>
          <w:szCs w:val="24"/>
        </w:rPr>
        <w:t>des CMA qui offrent des prestations SONUC était de</w:t>
      </w:r>
      <w:r w:rsidR="00F81055" w:rsidRPr="00142284">
        <w:rPr>
          <w:sz w:val="24"/>
          <w:szCs w:val="24"/>
        </w:rPr>
        <w:t xml:space="preserve"> 51% en 2016. </w:t>
      </w:r>
    </w:p>
    <w:p w14:paraId="7D889A13" w14:textId="1AB4569B" w:rsidR="002D2A65" w:rsidRPr="00C21AB1" w:rsidRDefault="002D2A65" w:rsidP="003078DD">
      <w:pPr>
        <w:spacing w:after="0" w:line="360" w:lineRule="auto"/>
        <w:jc w:val="both"/>
        <w:rPr>
          <w:b/>
          <w:sz w:val="20"/>
          <w:szCs w:val="20"/>
        </w:rPr>
      </w:pPr>
      <w:r>
        <w:rPr>
          <w:noProof/>
          <w:sz w:val="23"/>
          <w:szCs w:val="23"/>
          <w:lang w:eastAsia="fr-FR"/>
        </w:rPr>
        <w:drawing>
          <wp:inline distT="0" distB="0" distL="0" distR="0" wp14:anchorId="35E18F9C" wp14:editId="294F1C6E">
            <wp:extent cx="5895975" cy="2867025"/>
            <wp:effectExtent l="0" t="0" r="9525" b="9525"/>
            <wp:docPr id="20" name="Graphique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rsidRPr="003078DD">
        <w:rPr>
          <w:rStyle w:val="Appelnotedebasdep"/>
          <w:sz w:val="24"/>
          <w:szCs w:val="24"/>
        </w:rPr>
        <w:footnoteReference w:id="49"/>
      </w:r>
      <w:r w:rsidR="00C21AB1">
        <w:rPr>
          <w:sz w:val="24"/>
          <w:szCs w:val="24"/>
        </w:rPr>
        <w:t xml:space="preserve"> </w:t>
      </w:r>
      <w:r w:rsidR="00C21AB1" w:rsidRPr="00C21AB1">
        <w:rPr>
          <w:b/>
          <w:sz w:val="20"/>
          <w:szCs w:val="20"/>
        </w:rPr>
        <w:t>Figure 10 : Disponibilité des SONUC par région</w:t>
      </w:r>
    </w:p>
    <w:p w14:paraId="7C8BD405" w14:textId="77777777" w:rsidR="00E9261B" w:rsidRPr="00DA750F" w:rsidRDefault="00E9261B" w:rsidP="00C21AB1">
      <w:pPr>
        <w:spacing w:after="160"/>
        <w:jc w:val="both"/>
        <w:rPr>
          <w:rFonts w:cs="Arial"/>
          <w:sz w:val="24"/>
          <w:szCs w:val="24"/>
        </w:rPr>
      </w:pPr>
      <w:r w:rsidRPr="00DA750F">
        <w:rPr>
          <w:sz w:val="24"/>
          <w:szCs w:val="24"/>
        </w:rPr>
        <w:t>Soixante-seize (76) % des établissements de santé offraient des services de transfusion sanguine en 2016. Cette disponibilité varie de 33% dans la région des cascades à 100% dans les régions de la Boucle du Mouhoun, de l’Est, du Centre Nord et du Sud-Ouest.</w:t>
      </w:r>
    </w:p>
    <w:p w14:paraId="1B51AD3E" w14:textId="77777777" w:rsidR="00C6715A" w:rsidRDefault="002B3A14" w:rsidP="00C21AB1">
      <w:pPr>
        <w:autoSpaceDE w:val="0"/>
        <w:autoSpaceDN w:val="0"/>
        <w:adjustRightInd w:val="0"/>
        <w:spacing w:after="0"/>
        <w:jc w:val="both"/>
        <w:rPr>
          <w:sz w:val="24"/>
          <w:szCs w:val="24"/>
        </w:rPr>
      </w:pPr>
      <w:r w:rsidRPr="00C6715A">
        <w:t>En 2016,</w:t>
      </w:r>
      <w:r w:rsidR="00C6715A">
        <w:t xml:space="preserve"> seulement </w:t>
      </w:r>
      <w:r w:rsidR="00C6715A" w:rsidRPr="00C6715A">
        <w:t>6</w:t>
      </w:r>
      <w:r w:rsidRPr="00C6715A">
        <w:t xml:space="preserve">% des établissements de santé disposaient de tous les éléments traceurs pour la transfusion sanguine </w:t>
      </w:r>
      <w:r w:rsidR="00510F75" w:rsidRPr="00C6715A">
        <w:t xml:space="preserve">(Personnel et directives, </w:t>
      </w:r>
      <w:r w:rsidR="00510F75" w:rsidRPr="00DA750F">
        <w:rPr>
          <w:bCs/>
        </w:rPr>
        <w:t>Equipement, Capacité de diagnostic, Médicaments et produits)</w:t>
      </w:r>
      <w:r w:rsidR="00C6715A">
        <w:t xml:space="preserve">. </w:t>
      </w:r>
      <w:r w:rsidR="00C6715A" w:rsidRPr="00510F75">
        <w:t>Le score mo</w:t>
      </w:r>
      <w:r w:rsidR="00C6715A">
        <w:t>yen de disponibilité est de 55%</w:t>
      </w:r>
      <w:r w:rsidR="00E2355E">
        <w:t xml:space="preserve"> avec 2 régions défavorisées</w:t>
      </w:r>
      <w:r w:rsidR="00C6715A">
        <w:t xml:space="preserve">. Trente-un </w:t>
      </w:r>
      <w:r w:rsidR="00C6715A" w:rsidRPr="00DA750F">
        <w:rPr>
          <w:sz w:val="23"/>
          <w:szCs w:val="23"/>
        </w:rPr>
        <w:t>% des CMA et cliniques ne pouvaient pas réaliser la transfusion sanguine dans le cadre des SONUC.</w:t>
      </w:r>
      <w:r w:rsidR="00C6715A" w:rsidRPr="00DA750F">
        <w:rPr>
          <w:sz w:val="24"/>
          <w:szCs w:val="24"/>
        </w:rPr>
        <w:t xml:space="preserve"> La satisfaction des besoins d’approvisionnement en sang est faible (30%).</w:t>
      </w:r>
    </w:p>
    <w:p w14:paraId="276FECE1" w14:textId="77777777" w:rsidR="000B441B" w:rsidRDefault="000B441B" w:rsidP="00A97663">
      <w:pPr>
        <w:pStyle w:val="Paragraphedeliste"/>
        <w:numPr>
          <w:ilvl w:val="0"/>
          <w:numId w:val="5"/>
        </w:numPr>
        <w:autoSpaceDE w:val="0"/>
        <w:autoSpaceDN w:val="0"/>
        <w:adjustRightInd w:val="0"/>
        <w:spacing w:after="0"/>
        <w:jc w:val="both"/>
        <w:rPr>
          <w:i/>
          <w:sz w:val="24"/>
          <w:szCs w:val="24"/>
        </w:rPr>
      </w:pPr>
      <w:r w:rsidRPr="000B441B">
        <w:rPr>
          <w:i/>
          <w:sz w:val="24"/>
          <w:szCs w:val="24"/>
        </w:rPr>
        <w:lastRenderedPageBreak/>
        <w:t xml:space="preserve">La demande est bridée par </w:t>
      </w:r>
    </w:p>
    <w:p w14:paraId="0BDF46EA" w14:textId="77777777" w:rsidR="000B441B" w:rsidRPr="000B441B" w:rsidRDefault="000B441B" w:rsidP="00A97663">
      <w:pPr>
        <w:pStyle w:val="Paragraphedeliste"/>
        <w:numPr>
          <w:ilvl w:val="0"/>
          <w:numId w:val="26"/>
        </w:numPr>
        <w:spacing w:after="0"/>
        <w:jc w:val="both"/>
        <w:rPr>
          <w:rFonts w:cs="Arial"/>
          <w:sz w:val="24"/>
          <w:szCs w:val="24"/>
        </w:rPr>
      </w:pPr>
      <w:r w:rsidRPr="000B441B">
        <w:rPr>
          <w:rFonts w:cs="Arial"/>
          <w:sz w:val="24"/>
          <w:szCs w:val="24"/>
        </w:rPr>
        <w:t xml:space="preserve">Barrières géographiques (Rayon moyen d’action, </w:t>
      </w:r>
      <w:r w:rsidRPr="000B441B">
        <w:rPr>
          <w:sz w:val="24"/>
          <w:szCs w:val="24"/>
        </w:rPr>
        <w:t>disparité régionale</w:t>
      </w:r>
      <w:r w:rsidRPr="000B441B">
        <w:rPr>
          <w:rFonts w:cs="Arial"/>
          <w:sz w:val="24"/>
          <w:szCs w:val="24"/>
        </w:rPr>
        <w:t xml:space="preserve">) </w:t>
      </w:r>
    </w:p>
    <w:p w14:paraId="0FB023F3" w14:textId="77777777" w:rsidR="000B441B" w:rsidRPr="000B441B" w:rsidRDefault="000B441B" w:rsidP="00A97663">
      <w:pPr>
        <w:pStyle w:val="Paragraphedeliste"/>
        <w:numPr>
          <w:ilvl w:val="0"/>
          <w:numId w:val="26"/>
        </w:numPr>
        <w:spacing w:after="0"/>
        <w:jc w:val="both"/>
        <w:rPr>
          <w:rFonts w:cs="Arial"/>
          <w:sz w:val="24"/>
          <w:szCs w:val="24"/>
        </w:rPr>
      </w:pPr>
      <w:r w:rsidRPr="000B441B">
        <w:rPr>
          <w:rFonts w:cs="Arial"/>
          <w:sz w:val="24"/>
          <w:szCs w:val="24"/>
        </w:rPr>
        <w:t xml:space="preserve">Barrières financières (paiements indirects malgré la gratuité y compris des </w:t>
      </w:r>
      <w:r w:rsidRPr="000B441B">
        <w:rPr>
          <w:sz w:val="24"/>
          <w:szCs w:val="24"/>
        </w:rPr>
        <w:t>produits sanguins, achat de médicaments non disponibles, du transport du domicile vers la FS</w:t>
      </w:r>
      <w:r w:rsidRPr="000B441B">
        <w:rPr>
          <w:rFonts w:cs="Arial"/>
          <w:sz w:val="24"/>
          <w:szCs w:val="24"/>
        </w:rPr>
        <w:t>)</w:t>
      </w:r>
    </w:p>
    <w:p w14:paraId="735FE9CE" w14:textId="77777777" w:rsidR="000B441B" w:rsidRPr="000B441B" w:rsidRDefault="000B441B" w:rsidP="00A97663">
      <w:pPr>
        <w:pStyle w:val="Paragraphedeliste"/>
        <w:numPr>
          <w:ilvl w:val="0"/>
          <w:numId w:val="26"/>
        </w:numPr>
        <w:spacing w:after="0"/>
        <w:jc w:val="both"/>
        <w:rPr>
          <w:rFonts w:cs="Arial"/>
          <w:sz w:val="24"/>
          <w:szCs w:val="24"/>
        </w:rPr>
      </w:pPr>
      <w:r w:rsidRPr="000B441B">
        <w:rPr>
          <w:rFonts w:cs="Arial"/>
          <w:sz w:val="24"/>
          <w:szCs w:val="24"/>
        </w:rPr>
        <w:t>Information, non-connaissance</w:t>
      </w:r>
    </w:p>
    <w:p w14:paraId="41997D72" w14:textId="77777777" w:rsidR="000B441B" w:rsidRPr="000B441B" w:rsidRDefault="000B441B" w:rsidP="00A97663">
      <w:pPr>
        <w:pStyle w:val="Paragraphedeliste"/>
        <w:numPr>
          <w:ilvl w:val="0"/>
          <w:numId w:val="26"/>
        </w:numPr>
        <w:spacing w:after="0"/>
        <w:jc w:val="both"/>
        <w:rPr>
          <w:rFonts w:cs="Arial"/>
          <w:sz w:val="24"/>
          <w:szCs w:val="24"/>
        </w:rPr>
      </w:pPr>
      <w:r w:rsidRPr="000B441B">
        <w:rPr>
          <w:rFonts w:cs="Arial"/>
          <w:sz w:val="24"/>
          <w:szCs w:val="24"/>
        </w:rPr>
        <w:t>Barrières socio-culturelles (pouvoir de décision de la femme limité, influence sur la décision du mari, belle-mère, …)</w:t>
      </w:r>
    </w:p>
    <w:p w14:paraId="386E50C3" w14:textId="77777777" w:rsidR="000B441B" w:rsidRPr="000B441B" w:rsidRDefault="000B441B" w:rsidP="00C21AB1">
      <w:pPr>
        <w:pStyle w:val="Paragraphedeliste"/>
        <w:autoSpaceDE w:val="0"/>
        <w:autoSpaceDN w:val="0"/>
        <w:adjustRightInd w:val="0"/>
        <w:spacing w:after="0"/>
        <w:jc w:val="both"/>
        <w:rPr>
          <w:i/>
          <w:sz w:val="24"/>
          <w:szCs w:val="24"/>
        </w:rPr>
      </w:pPr>
    </w:p>
    <w:p w14:paraId="7B1D1437" w14:textId="77AE7BA0" w:rsidR="00597284" w:rsidRPr="00C21AB1" w:rsidRDefault="00C21AB1" w:rsidP="00C21AB1">
      <w:pPr>
        <w:pStyle w:val="Paragraphedeliste"/>
        <w:numPr>
          <w:ilvl w:val="2"/>
          <w:numId w:val="1"/>
        </w:numPr>
        <w:autoSpaceDE w:val="0"/>
        <w:autoSpaceDN w:val="0"/>
        <w:adjustRightInd w:val="0"/>
        <w:spacing w:after="0"/>
        <w:jc w:val="both"/>
        <w:rPr>
          <w:rFonts w:eastAsia="Calibri"/>
          <w:caps/>
          <w:sz w:val="24"/>
          <w:szCs w:val="24"/>
        </w:rPr>
      </w:pPr>
      <w:r w:rsidRPr="00C21AB1">
        <w:rPr>
          <w:rFonts w:eastAsia="Calibri"/>
          <w:sz w:val="24"/>
          <w:szCs w:val="24"/>
        </w:rPr>
        <w:t>ACCOUCHEMENTS ASSISTES PAR DU PERSONNEL QUALIFIE </w:t>
      </w:r>
    </w:p>
    <w:p w14:paraId="259D77D8" w14:textId="77777777" w:rsidR="00597284" w:rsidRPr="00FE4C2D" w:rsidRDefault="00597284" w:rsidP="00C21AB1">
      <w:pPr>
        <w:pStyle w:val="Paragraphedeliste"/>
        <w:numPr>
          <w:ilvl w:val="3"/>
          <w:numId w:val="1"/>
        </w:numPr>
        <w:autoSpaceDE w:val="0"/>
        <w:autoSpaceDN w:val="0"/>
        <w:adjustRightInd w:val="0"/>
        <w:spacing w:after="0"/>
        <w:jc w:val="both"/>
        <w:rPr>
          <w:b/>
          <w:sz w:val="23"/>
          <w:szCs w:val="23"/>
        </w:rPr>
      </w:pPr>
      <w:r>
        <w:rPr>
          <w:b/>
          <w:sz w:val="23"/>
          <w:szCs w:val="23"/>
        </w:rPr>
        <w:t>Performance</w:t>
      </w:r>
    </w:p>
    <w:p w14:paraId="250B68AC" w14:textId="77777777" w:rsidR="00597284" w:rsidRDefault="00597284" w:rsidP="00C21AB1">
      <w:pPr>
        <w:autoSpaceDE w:val="0"/>
        <w:autoSpaceDN w:val="0"/>
        <w:adjustRightInd w:val="0"/>
        <w:spacing w:after="180"/>
        <w:jc w:val="both"/>
        <w:rPr>
          <w:rFonts w:cs="Times New Roman"/>
          <w:sz w:val="24"/>
          <w:szCs w:val="24"/>
        </w:rPr>
      </w:pPr>
      <w:r w:rsidRPr="005C2CE2">
        <w:rPr>
          <w:rFonts w:cs="Arial"/>
          <w:sz w:val="24"/>
          <w:szCs w:val="24"/>
        </w:rPr>
        <w:t xml:space="preserve">La proportion des accouchements assistés par du personnel qualifié est allée de 86,2% en 2014 à 83,9% en 2017. </w:t>
      </w:r>
      <w:r>
        <w:rPr>
          <w:rFonts w:cs="Arial"/>
          <w:sz w:val="24"/>
          <w:szCs w:val="24"/>
        </w:rPr>
        <w:t xml:space="preserve">Cette </w:t>
      </w:r>
      <w:r w:rsidRPr="005C2CE2">
        <w:rPr>
          <w:rFonts w:cs="Arial"/>
          <w:sz w:val="24"/>
          <w:szCs w:val="24"/>
        </w:rPr>
        <w:t xml:space="preserve">proportion </w:t>
      </w:r>
      <w:r>
        <w:rPr>
          <w:rFonts w:cs="Arial"/>
          <w:sz w:val="24"/>
          <w:szCs w:val="24"/>
        </w:rPr>
        <w:t xml:space="preserve">a connu </w:t>
      </w:r>
      <w:r w:rsidRPr="005C2CE2">
        <w:rPr>
          <w:rFonts w:cs="Arial"/>
          <w:sz w:val="24"/>
          <w:szCs w:val="24"/>
        </w:rPr>
        <w:t xml:space="preserve">un léger recul avec une inflexion de presque 6 points en 2016 (80,9 %). </w:t>
      </w:r>
      <w:r>
        <w:rPr>
          <w:rFonts w:cs="Arial"/>
          <w:sz w:val="24"/>
          <w:szCs w:val="24"/>
        </w:rPr>
        <w:t xml:space="preserve">Entre 2005 et 2015, la </w:t>
      </w:r>
      <w:r w:rsidRPr="00B72473">
        <w:rPr>
          <w:rFonts w:cs="TimesNewRoman"/>
          <w:sz w:val="23"/>
          <w:szCs w:val="23"/>
        </w:rPr>
        <w:t xml:space="preserve">proportion d’accouchements assistés </w:t>
      </w:r>
      <w:r>
        <w:rPr>
          <w:rFonts w:cs="TimesNewRoman"/>
          <w:sz w:val="23"/>
          <w:szCs w:val="23"/>
        </w:rPr>
        <w:t xml:space="preserve">par du personnel qualifié </w:t>
      </w:r>
      <w:r w:rsidRPr="00B72473">
        <w:rPr>
          <w:rFonts w:cs="TimesNewRoman"/>
          <w:sz w:val="23"/>
          <w:szCs w:val="23"/>
        </w:rPr>
        <w:t>a plus que doublé</w:t>
      </w:r>
      <w:r>
        <w:rPr>
          <w:rFonts w:cs="TimesNewRoman"/>
          <w:sz w:val="23"/>
          <w:szCs w:val="23"/>
        </w:rPr>
        <w:t>, passant de 37.7% à 83,4%</w:t>
      </w:r>
      <w:r w:rsidRPr="00B72473">
        <w:rPr>
          <w:rFonts w:cs="TimesNewRoman"/>
          <w:sz w:val="23"/>
          <w:szCs w:val="23"/>
        </w:rPr>
        <w:t xml:space="preserve"> </w:t>
      </w:r>
      <w:r>
        <w:rPr>
          <w:rFonts w:cs="TimesNewRoman"/>
          <w:sz w:val="23"/>
          <w:szCs w:val="23"/>
        </w:rPr>
        <w:t xml:space="preserve">entre 2005 (37.7%). </w:t>
      </w:r>
      <w:r>
        <w:rPr>
          <w:rFonts w:cs="Times New Roman"/>
          <w:sz w:val="24"/>
          <w:szCs w:val="24"/>
        </w:rPr>
        <w:t>L</w:t>
      </w:r>
      <w:r w:rsidRPr="00896852">
        <w:rPr>
          <w:rFonts w:cs="Times New Roman"/>
          <w:sz w:val="24"/>
          <w:szCs w:val="24"/>
        </w:rPr>
        <w:t>a quasi-totalité des femmes qui ont accouché dans un établissement de santé ont bénéficié d’une</w:t>
      </w:r>
      <w:r>
        <w:rPr>
          <w:rFonts w:cs="Times New Roman"/>
          <w:sz w:val="24"/>
          <w:szCs w:val="24"/>
        </w:rPr>
        <w:t xml:space="preserve"> assistance </w:t>
      </w:r>
      <w:r w:rsidRPr="00896852">
        <w:rPr>
          <w:rFonts w:cs="Times New Roman"/>
          <w:sz w:val="24"/>
          <w:szCs w:val="24"/>
        </w:rPr>
        <w:t xml:space="preserve">par un prestataire de santé formé (99,6 %). </w:t>
      </w:r>
    </w:p>
    <w:p w14:paraId="41BB41BC" w14:textId="77777777" w:rsidR="00597284" w:rsidRDefault="00597284" w:rsidP="00C21AB1">
      <w:pPr>
        <w:autoSpaceDE w:val="0"/>
        <w:autoSpaceDN w:val="0"/>
        <w:adjustRightInd w:val="0"/>
        <w:spacing w:after="180"/>
        <w:jc w:val="both"/>
        <w:rPr>
          <w:rFonts w:cs="Arial"/>
          <w:sz w:val="24"/>
          <w:szCs w:val="24"/>
        </w:rPr>
      </w:pPr>
      <w:r>
        <w:rPr>
          <w:rFonts w:cs="TimesNewRoman"/>
          <w:sz w:val="23"/>
          <w:szCs w:val="23"/>
        </w:rPr>
        <w:t xml:space="preserve">Mais cette </w:t>
      </w:r>
      <w:r w:rsidRPr="005C2CE2">
        <w:rPr>
          <w:rFonts w:cs="Arial"/>
          <w:sz w:val="24"/>
          <w:szCs w:val="24"/>
        </w:rPr>
        <w:t xml:space="preserve">performance reste insuffisante par rapport à la cible de 85% d’accouchement assistés par du personnel </w:t>
      </w:r>
      <w:r w:rsidR="00DA750F" w:rsidRPr="005C2CE2">
        <w:rPr>
          <w:rFonts w:cs="Arial"/>
          <w:sz w:val="24"/>
          <w:szCs w:val="24"/>
        </w:rPr>
        <w:t>qualifié (</w:t>
      </w:r>
      <w:r w:rsidRPr="005C2CE2">
        <w:rPr>
          <w:rFonts w:cs="Arial"/>
          <w:sz w:val="24"/>
          <w:szCs w:val="24"/>
        </w:rPr>
        <w:t>PNDS 2011-2020)</w:t>
      </w:r>
      <w:r w:rsidRPr="005C2CE2">
        <w:rPr>
          <w:rStyle w:val="Appelnotedebasdep"/>
          <w:rFonts w:cs="Arial"/>
          <w:sz w:val="24"/>
          <w:szCs w:val="24"/>
        </w:rPr>
        <w:footnoteReference w:id="50"/>
      </w:r>
      <w:r w:rsidRPr="005C2CE2">
        <w:rPr>
          <w:rFonts w:cs="Arial"/>
          <w:sz w:val="24"/>
          <w:szCs w:val="24"/>
        </w:rPr>
        <w:t>.</w:t>
      </w:r>
    </w:p>
    <w:p w14:paraId="47D5AC6D" w14:textId="33E5D484" w:rsidR="00597284" w:rsidRPr="00E34656" w:rsidRDefault="00C21AB1" w:rsidP="00C21AB1">
      <w:pPr>
        <w:pStyle w:val="Paragraphedeliste"/>
        <w:numPr>
          <w:ilvl w:val="3"/>
          <w:numId w:val="1"/>
        </w:numPr>
        <w:autoSpaceDE w:val="0"/>
        <w:autoSpaceDN w:val="0"/>
        <w:adjustRightInd w:val="0"/>
        <w:spacing w:after="180"/>
        <w:jc w:val="both"/>
        <w:rPr>
          <w:rFonts w:cs="Arial"/>
          <w:b/>
          <w:sz w:val="24"/>
          <w:szCs w:val="24"/>
        </w:rPr>
      </w:pPr>
      <w:r>
        <w:rPr>
          <w:rFonts w:cs="Arial"/>
          <w:b/>
          <w:sz w:val="24"/>
          <w:szCs w:val="24"/>
        </w:rPr>
        <w:t>Gaps de performance</w:t>
      </w:r>
      <w:r w:rsidR="00DA750F">
        <w:rPr>
          <w:rFonts w:cs="Arial"/>
          <w:b/>
          <w:sz w:val="24"/>
          <w:szCs w:val="24"/>
        </w:rPr>
        <w:t xml:space="preserve"> et leurs c</w:t>
      </w:r>
      <w:r w:rsidR="00597284" w:rsidRPr="00E34656">
        <w:rPr>
          <w:rFonts w:cs="Arial"/>
          <w:b/>
          <w:sz w:val="24"/>
          <w:szCs w:val="24"/>
        </w:rPr>
        <w:t xml:space="preserve">auses </w:t>
      </w:r>
    </w:p>
    <w:p w14:paraId="6B44B759" w14:textId="77777777" w:rsidR="005B6238" w:rsidRDefault="001178BB" w:rsidP="00A97663">
      <w:pPr>
        <w:pStyle w:val="Paragraphedeliste"/>
        <w:numPr>
          <w:ilvl w:val="0"/>
          <w:numId w:val="27"/>
        </w:numPr>
        <w:autoSpaceDE w:val="0"/>
        <w:autoSpaceDN w:val="0"/>
        <w:adjustRightInd w:val="0"/>
        <w:spacing w:after="0"/>
        <w:jc w:val="both"/>
        <w:rPr>
          <w:rFonts w:cs="Times New Roman"/>
          <w:i/>
          <w:sz w:val="24"/>
          <w:szCs w:val="24"/>
        </w:rPr>
      </w:pPr>
      <w:r>
        <w:rPr>
          <w:rFonts w:cs="Times New Roman"/>
          <w:i/>
          <w:sz w:val="24"/>
          <w:szCs w:val="24"/>
        </w:rPr>
        <w:t>Le manque ou l’insuffisance d’intrants</w:t>
      </w:r>
      <w:r w:rsidR="005B6238">
        <w:rPr>
          <w:rFonts w:cs="Times New Roman"/>
          <w:i/>
          <w:sz w:val="24"/>
          <w:szCs w:val="24"/>
        </w:rPr>
        <w:t> :</w:t>
      </w:r>
    </w:p>
    <w:p w14:paraId="463AC4CC" w14:textId="77777777" w:rsidR="001178BB" w:rsidRPr="005B6238" w:rsidRDefault="00111454" w:rsidP="00A97663">
      <w:pPr>
        <w:pStyle w:val="Paragraphedeliste"/>
        <w:numPr>
          <w:ilvl w:val="0"/>
          <w:numId w:val="6"/>
        </w:numPr>
        <w:autoSpaceDE w:val="0"/>
        <w:autoSpaceDN w:val="0"/>
        <w:adjustRightInd w:val="0"/>
        <w:spacing w:after="0"/>
        <w:jc w:val="both"/>
        <w:rPr>
          <w:rFonts w:cs="Times New Roman"/>
          <w:sz w:val="24"/>
          <w:szCs w:val="24"/>
        </w:rPr>
      </w:pPr>
      <w:r w:rsidRPr="005B6238">
        <w:rPr>
          <w:rFonts w:cs="Times New Roman"/>
          <w:sz w:val="24"/>
          <w:szCs w:val="24"/>
        </w:rPr>
        <w:t>L’insuffisance du personnel qualifié, directement opérationnel dès la sortie des écoles de formation.</w:t>
      </w:r>
      <w:r w:rsidR="005B6238" w:rsidRPr="005B6238">
        <w:rPr>
          <w:rFonts w:cs="Times New Roman"/>
          <w:sz w:val="24"/>
          <w:szCs w:val="24"/>
        </w:rPr>
        <w:t xml:space="preserve"> </w:t>
      </w:r>
      <w:r w:rsidR="001178BB" w:rsidRPr="005B6238">
        <w:rPr>
          <w:rFonts w:ascii="Calibri" w:hAnsi="Calibri"/>
          <w:sz w:val="24"/>
          <w:szCs w:val="24"/>
        </w:rPr>
        <w:t xml:space="preserve">La densité de professionnel de santé (7 professionnels de santé pour 10 000 habitants) est considérablement inférieure aux 23 travailleurs de la santé préconisés par l’OMS. </w:t>
      </w:r>
      <w:r w:rsidR="005B6238" w:rsidRPr="005B6238">
        <w:rPr>
          <w:rFonts w:ascii="Calibri" w:hAnsi="Calibri"/>
          <w:sz w:val="24"/>
          <w:szCs w:val="24"/>
        </w:rPr>
        <w:t xml:space="preserve"> </w:t>
      </w:r>
      <w:r w:rsidR="005B6238" w:rsidRPr="00B12FB8">
        <w:rPr>
          <w:rFonts w:cs="TimesNewRoman"/>
          <w:sz w:val="24"/>
          <w:szCs w:val="24"/>
        </w:rPr>
        <w:t>Plus d’une femme sur dix accouche avec l’assistance d’une a</w:t>
      </w:r>
      <w:r w:rsidR="005B6238">
        <w:rPr>
          <w:rFonts w:cs="TimesNewRoman"/>
          <w:sz w:val="24"/>
          <w:szCs w:val="24"/>
        </w:rPr>
        <w:t>ccoucheuse traditionnelle</w:t>
      </w:r>
      <w:r w:rsidR="005B6238" w:rsidRPr="00B12FB8">
        <w:rPr>
          <w:rFonts w:cs="TimesNewRoman"/>
          <w:sz w:val="24"/>
          <w:szCs w:val="24"/>
        </w:rPr>
        <w:t xml:space="preserve">. </w:t>
      </w:r>
      <w:r w:rsidR="001178BB" w:rsidRPr="005B6238">
        <w:rPr>
          <w:rFonts w:ascii="Calibri" w:hAnsi="Calibri"/>
          <w:sz w:val="24"/>
          <w:szCs w:val="24"/>
        </w:rPr>
        <w:t>Les écarts entre régions sont considérables allant de 1,83 pour la Région du Nord à 12,22 pour 10 000 habitants pour la région du Centre.</w:t>
      </w:r>
    </w:p>
    <w:p w14:paraId="579C9C80" w14:textId="28F18691" w:rsidR="005B6238" w:rsidRDefault="005B6238" w:rsidP="00A97663">
      <w:pPr>
        <w:pStyle w:val="Paragraphedeliste"/>
        <w:numPr>
          <w:ilvl w:val="0"/>
          <w:numId w:val="29"/>
        </w:numPr>
        <w:jc w:val="both"/>
        <w:rPr>
          <w:rFonts w:cs="Arial"/>
          <w:sz w:val="24"/>
          <w:szCs w:val="24"/>
        </w:rPr>
      </w:pPr>
      <w:r w:rsidRPr="005B6238">
        <w:rPr>
          <w:rFonts w:cs="Times New Roman"/>
          <w:sz w:val="24"/>
          <w:szCs w:val="24"/>
        </w:rPr>
        <w:t xml:space="preserve">Insuffisance ou rupture de stock d’autres intrants : </w:t>
      </w:r>
      <w:r w:rsidRPr="005B6238">
        <w:rPr>
          <w:rFonts w:cs="Arial"/>
          <w:sz w:val="24"/>
          <w:szCs w:val="24"/>
        </w:rPr>
        <w:t xml:space="preserve">Directives, Matériel </w:t>
      </w:r>
      <w:r w:rsidRPr="005B6238">
        <w:rPr>
          <w:sz w:val="24"/>
          <w:szCs w:val="24"/>
        </w:rPr>
        <w:t>médicotechnique</w:t>
      </w:r>
      <w:r w:rsidRPr="005B6238">
        <w:rPr>
          <w:rFonts w:cs="Arial"/>
          <w:sz w:val="24"/>
          <w:szCs w:val="24"/>
        </w:rPr>
        <w:t xml:space="preserve"> spécifique (</w:t>
      </w:r>
      <w:r w:rsidRPr="005B6238">
        <w:rPr>
          <w:sz w:val="24"/>
          <w:szCs w:val="24"/>
        </w:rPr>
        <w:t>Ventouse, forceps)</w:t>
      </w:r>
      <w:r w:rsidRPr="005B6238">
        <w:rPr>
          <w:rFonts w:cs="Arial"/>
          <w:sz w:val="24"/>
          <w:szCs w:val="24"/>
        </w:rPr>
        <w:t xml:space="preserve"> </w:t>
      </w:r>
    </w:p>
    <w:p w14:paraId="54C424B1" w14:textId="77777777" w:rsidR="00C21AB1" w:rsidRPr="005B6238" w:rsidRDefault="00C21AB1" w:rsidP="00C21AB1">
      <w:pPr>
        <w:pStyle w:val="Paragraphedeliste"/>
        <w:ind w:left="360"/>
        <w:jc w:val="both"/>
        <w:rPr>
          <w:rFonts w:cs="Arial"/>
          <w:sz w:val="24"/>
          <w:szCs w:val="24"/>
        </w:rPr>
      </w:pPr>
    </w:p>
    <w:p w14:paraId="2E2CC4E6" w14:textId="77777777" w:rsidR="001178BB" w:rsidRPr="005B6238" w:rsidRDefault="001178BB" w:rsidP="00A97663">
      <w:pPr>
        <w:pStyle w:val="Paragraphedeliste"/>
        <w:numPr>
          <w:ilvl w:val="0"/>
          <w:numId w:val="27"/>
        </w:numPr>
        <w:autoSpaceDE w:val="0"/>
        <w:autoSpaceDN w:val="0"/>
        <w:adjustRightInd w:val="0"/>
        <w:spacing w:before="240" w:after="0"/>
        <w:jc w:val="both"/>
        <w:rPr>
          <w:rFonts w:cs="Times New Roman"/>
          <w:i/>
          <w:sz w:val="24"/>
          <w:szCs w:val="24"/>
        </w:rPr>
      </w:pPr>
      <w:r w:rsidRPr="005B6238">
        <w:rPr>
          <w:rFonts w:ascii="Calibri" w:hAnsi="Calibri"/>
          <w:i/>
          <w:sz w:val="24"/>
          <w:szCs w:val="24"/>
        </w:rPr>
        <w:t xml:space="preserve">Une couverture insuffisante par rapport à la cible avec plus de la moitié des régions se situant sous la moyenne nationale. </w:t>
      </w:r>
    </w:p>
    <w:p w14:paraId="068A82B3" w14:textId="77777777" w:rsidR="001178BB" w:rsidRDefault="001178BB" w:rsidP="00A97663">
      <w:pPr>
        <w:pStyle w:val="Paragraphedeliste"/>
        <w:numPr>
          <w:ilvl w:val="0"/>
          <w:numId w:val="28"/>
        </w:numPr>
        <w:spacing w:after="40"/>
        <w:jc w:val="both"/>
        <w:rPr>
          <w:rFonts w:eastAsia="Times New Roman" w:cs="Arial"/>
          <w:sz w:val="23"/>
          <w:szCs w:val="23"/>
        </w:rPr>
      </w:pPr>
      <w:r w:rsidRPr="00E34656">
        <w:rPr>
          <w:rFonts w:eastAsia="Times New Roman" w:cs="Arial"/>
          <w:sz w:val="23"/>
          <w:szCs w:val="23"/>
        </w:rPr>
        <w:t xml:space="preserve">Six régions ont réalisé une performance en dessous de la moyenne : Est (83,54%), Centre Sud (82,50%), Centre Ouest (80,96%), Centre Nord (79,63%), Centre Est (78,29%), Centre (76,77%), Cascades (74,46%) et Boucle du Mouhoun (69,92%). </w:t>
      </w:r>
    </w:p>
    <w:p w14:paraId="0AC4CA06" w14:textId="77777777" w:rsidR="001178BB" w:rsidRDefault="001178BB" w:rsidP="001178BB">
      <w:pPr>
        <w:pStyle w:val="Paragraphedeliste"/>
        <w:spacing w:after="40" w:line="360" w:lineRule="auto"/>
        <w:ind w:left="360"/>
        <w:jc w:val="both"/>
        <w:rPr>
          <w:rFonts w:eastAsia="Times New Roman" w:cs="Arial"/>
          <w:sz w:val="23"/>
          <w:szCs w:val="23"/>
        </w:rPr>
      </w:pPr>
      <w:r w:rsidRPr="00B72473">
        <w:rPr>
          <w:rFonts w:eastAsia="Times New Roman"/>
          <w:noProof/>
          <w:sz w:val="23"/>
          <w:szCs w:val="23"/>
          <w:lang w:eastAsia="fr-FR"/>
        </w:rPr>
        <w:lastRenderedPageBreak/>
        <w:drawing>
          <wp:inline distT="0" distB="0" distL="0" distR="0" wp14:anchorId="5B0269BF" wp14:editId="069FB0A9">
            <wp:extent cx="5486400" cy="2259330"/>
            <wp:effectExtent l="0" t="0" r="0" b="7620"/>
            <wp:docPr id="25" name="Graphique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3A86F61D" w14:textId="727E3B47" w:rsidR="001178BB" w:rsidRPr="001178BB" w:rsidRDefault="001178BB" w:rsidP="001178BB">
      <w:pPr>
        <w:spacing w:line="360" w:lineRule="auto"/>
        <w:ind w:left="708"/>
        <w:jc w:val="both"/>
        <w:rPr>
          <w:rFonts w:eastAsia="Times New Roman" w:cs="Arial"/>
          <w:b/>
          <w:sz w:val="23"/>
          <w:szCs w:val="23"/>
        </w:rPr>
      </w:pPr>
      <w:r w:rsidRPr="001178BB">
        <w:rPr>
          <w:rFonts w:eastAsia="Times New Roman" w:cs="Arial"/>
          <w:b/>
          <w:sz w:val="23"/>
          <w:szCs w:val="23"/>
        </w:rPr>
        <w:t xml:space="preserve">Figure </w:t>
      </w:r>
      <w:r w:rsidR="00266310">
        <w:rPr>
          <w:rFonts w:eastAsia="Times New Roman" w:cs="Arial"/>
          <w:b/>
          <w:sz w:val="23"/>
          <w:szCs w:val="23"/>
        </w:rPr>
        <w:t>11</w:t>
      </w:r>
      <w:r w:rsidRPr="001178BB">
        <w:rPr>
          <w:rFonts w:eastAsia="Times New Roman" w:cs="Arial"/>
          <w:b/>
          <w:sz w:val="23"/>
          <w:szCs w:val="23"/>
        </w:rPr>
        <w:t>: Taux d’accouchements assistés par région en 2017</w:t>
      </w:r>
      <w:r w:rsidRPr="001178BB">
        <w:rPr>
          <w:rStyle w:val="Appelnotedebasdep"/>
          <w:rFonts w:eastAsia="Times New Roman" w:cs="Arial"/>
          <w:b/>
          <w:sz w:val="23"/>
          <w:szCs w:val="23"/>
        </w:rPr>
        <w:footnoteReference w:id="51"/>
      </w:r>
    </w:p>
    <w:p w14:paraId="669C7745" w14:textId="5676A0C3" w:rsidR="001178BB" w:rsidRPr="00C53392" w:rsidRDefault="00C53392" w:rsidP="00A97663">
      <w:pPr>
        <w:pStyle w:val="Paragraphedeliste"/>
        <w:numPr>
          <w:ilvl w:val="0"/>
          <w:numId w:val="27"/>
        </w:numPr>
        <w:spacing w:after="40"/>
        <w:jc w:val="both"/>
        <w:rPr>
          <w:rFonts w:eastAsia="Times New Roman" w:cs="Arial"/>
          <w:i/>
          <w:sz w:val="23"/>
          <w:szCs w:val="23"/>
        </w:rPr>
      </w:pPr>
      <w:r w:rsidRPr="00C53392">
        <w:rPr>
          <w:rFonts w:eastAsia="Times New Roman" w:cs="Arial"/>
          <w:i/>
          <w:sz w:val="23"/>
          <w:szCs w:val="23"/>
        </w:rPr>
        <w:t>Les conditions socio-économiques</w:t>
      </w:r>
      <w:r w:rsidR="005B6238" w:rsidRPr="00C53392">
        <w:rPr>
          <w:rFonts w:eastAsia="Times New Roman" w:cs="Arial"/>
          <w:i/>
          <w:sz w:val="23"/>
          <w:szCs w:val="23"/>
        </w:rPr>
        <w:t xml:space="preserve"> défavorable</w:t>
      </w:r>
      <w:r w:rsidR="00FA1407">
        <w:rPr>
          <w:rFonts w:eastAsia="Times New Roman" w:cs="Arial"/>
          <w:i/>
          <w:sz w:val="23"/>
          <w:szCs w:val="23"/>
        </w:rPr>
        <w:t>s</w:t>
      </w:r>
    </w:p>
    <w:p w14:paraId="1B988FE0" w14:textId="0607389A" w:rsidR="001178BB" w:rsidRDefault="00C53392" w:rsidP="00A97663">
      <w:pPr>
        <w:pStyle w:val="Paragraphedeliste"/>
        <w:numPr>
          <w:ilvl w:val="0"/>
          <w:numId w:val="30"/>
        </w:numPr>
        <w:autoSpaceDE w:val="0"/>
        <w:autoSpaceDN w:val="0"/>
        <w:adjustRightInd w:val="0"/>
        <w:jc w:val="both"/>
        <w:rPr>
          <w:rFonts w:cs="Times New Roman"/>
          <w:sz w:val="24"/>
          <w:szCs w:val="24"/>
        </w:rPr>
      </w:pPr>
      <w:r>
        <w:rPr>
          <w:rFonts w:cs="Times New Roman"/>
          <w:sz w:val="24"/>
          <w:szCs w:val="24"/>
        </w:rPr>
        <w:t>L</w:t>
      </w:r>
      <w:r w:rsidRPr="00B12FB8">
        <w:rPr>
          <w:rFonts w:cs="Times New Roman"/>
          <w:sz w:val="24"/>
          <w:szCs w:val="24"/>
        </w:rPr>
        <w:t>es femmes</w:t>
      </w:r>
      <w:r>
        <w:rPr>
          <w:rFonts w:cs="Times New Roman"/>
          <w:sz w:val="24"/>
          <w:szCs w:val="24"/>
        </w:rPr>
        <w:t xml:space="preserve"> du milieu rural (62 %)</w:t>
      </w:r>
      <w:r w:rsidRPr="00E34656">
        <w:rPr>
          <w:rFonts w:cs="Times New Roman"/>
          <w:sz w:val="24"/>
          <w:szCs w:val="24"/>
        </w:rPr>
        <w:t xml:space="preserve"> </w:t>
      </w:r>
      <w:r w:rsidRPr="00B12FB8">
        <w:rPr>
          <w:rFonts w:cs="Times New Roman"/>
          <w:sz w:val="24"/>
          <w:szCs w:val="24"/>
        </w:rPr>
        <w:t>et celles vivant dans un ménage classé dans le quintile le plus pauvre (47 %) sont celles dont l’accouchement s’est le plus fréquemment déroulé sans l’assistance de personnel de santé formé. Ce sont aussi ces femmes qui accouchent le plus fréquemment à la maison</w:t>
      </w:r>
      <w:r w:rsidRPr="00896852">
        <w:rPr>
          <w:rStyle w:val="Appelnotedebasdep"/>
          <w:rFonts w:cs="Times New Roman"/>
          <w:sz w:val="24"/>
          <w:szCs w:val="24"/>
        </w:rPr>
        <w:footnoteReference w:id="52"/>
      </w:r>
      <w:r>
        <w:rPr>
          <w:rFonts w:cs="Times New Roman"/>
          <w:sz w:val="24"/>
          <w:szCs w:val="24"/>
        </w:rPr>
        <w:t>.</w:t>
      </w:r>
      <w:r w:rsidRPr="00B12FB8">
        <w:rPr>
          <w:rFonts w:cs="Times New Roman"/>
          <w:sz w:val="24"/>
          <w:szCs w:val="24"/>
        </w:rPr>
        <w:t xml:space="preserve"> </w:t>
      </w:r>
    </w:p>
    <w:p w14:paraId="5E1313F5" w14:textId="77777777" w:rsidR="00266310" w:rsidRPr="00C53392" w:rsidRDefault="00266310" w:rsidP="00266310">
      <w:pPr>
        <w:pStyle w:val="Paragraphedeliste"/>
        <w:autoSpaceDE w:val="0"/>
        <w:autoSpaceDN w:val="0"/>
        <w:adjustRightInd w:val="0"/>
        <w:ind w:left="360"/>
        <w:jc w:val="both"/>
        <w:rPr>
          <w:rFonts w:cs="Times New Roman"/>
          <w:sz w:val="24"/>
          <w:szCs w:val="24"/>
        </w:rPr>
      </w:pPr>
    </w:p>
    <w:p w14:paraId="46D436E0" w14:textId="547DBB35" w:rsidR="00597284" w:rsidRPr="00C21AB1" w:rsidRDefault="00C21AB1" w:rsidP="00266310">
      <w:pPr>
        <w:pStyle w:val="Paragraphedeliste"/>
        <w:numPr>
          <w:ilvl w:val="2"/>
          <w:numId w:val="1"/>
        </w:numPr>
        <w:autoSpaceDE w:val="0"/>
        <w:autoSpaceDN w:val="0"/>
        <w:adjustRightInd w:val="0"/>
        <w:spacing w:after="0"/>
        <w:jc w:val="both"/>
        <w:rPr>
          <w:rFonts w:cs="Arial"/>
          <w:bCs/>
          <w:sz w:val="24"/>
          <w:szCs w:val="24"/>
        </w:rPr>
      </w:pPr>
      <w:bookmarkStart w:id="5" w:name="_Toc522532884"/>
      <w:r w:rsidRPr="00C21AB1">
        <w:rPr>
          <w:rFonts w:eastAsia="Calibri"/>
          <w:sz w:val="24"/>
          <w:szCs w:val="24"/>
        </w:rPr>
        <w:t>SOINS APRES AVORTEMENT </w:t>
      </w:r>
      <w:bookmarkEnd w:id="5"/>
    </w:p>
    <w:p w14:paraId="564A198C" w14:textId="77777777" w:rsidR="0080596D" w:rsidRPr="0080596D" w:rsidRDefault="0080596D" w:rsidP="00C21AB1">
      <w:pPr>
        <w:spacing w:after="0"/>
        <w:jc w:val="both"/>
        <w:rPr>
          <w:b/>
          <w:sz w:val="23"/>
          <w:szCs w:val="23"/>
        </w:rPr>
      </w:pPr>
      <w:r w:rsidRPr="0080596D">
        <w:rPr>
          <w:b/>
          <w:sz w:val="23"/>
          <w:szCs w:val="23"/>
        </w:rPr>
        <w:t>1.1.4.1. Situation actuelle</w:t>
      </w:r>
    </w:p>
    <w:p w14:paraId="73C2F875" w14:textId="77777777" w:rsidR="00DA4412" w:rsidRDefault="0080596D" w:rsidP="00C21AB1">
      <w:pPr>
        <w:spacing w:after="0"/>
        <w:jc w:val="both"/>
        <w:rPr>
          <w:rFonts w:cs="OfficinaSans-Book"/>
          <w:sz w:val="24"/>
          <w:szCs w:val="24"/>
        </w:rPr>
      </w:pPr>
      <w:r>
        <w:t>En 2017</w:t>
      </w:r>
      <w:r w:rsidR="00DA4412">
        <w:t>, 41 000 avortements dont 120 thérapeutiques ont été notifiés par les formations sanitaires. Ces avortements représentent 37,9 p. 1000 grossesses attendues. Cette proportion était de 36,6 p.1000 en 2016 soit une hausse de 1,3 point. Les régions du Centre (58,9p. 1000), des Hauts Bassins (48,6 p. 1000) et des Cascades (48,4 p. 1000) enregistrent les plus forts taux d’avortement.</w:t>
      </w:r>
    </w:p>
    <w:p w14:paraId="19C2903A" w14:textId="77777777" w:rsidR="00597284" w:rsidRPr="001E2F3F" w:rsidRDefault="00597284" w:rsidP="00C21AB1">
      <w:pPr>
        <w:autoSpaceDE w:val="0"/>
        <w:autoSpaceDN w:val="0"/>
        <w:adjustRightInd w:val="0"/>
        <w:spacing w:after="0"/>
        <w:jc w:val="both"/>
        <w:rPr>
          <w:rFonts w:cs="OfficinaSans-Book"/>
          <w:sz w:val="24"/>
          <w:szCs w:val="24"/>
        </w:rPr>
      </w:pPr>
      <w:r w:rsidRPr="001E2F3F">
        <w:rPr>
          <w:sz w:val="24"/>
          <w:szCs w:val="24"/>
        </w:rPr>
        <w:t>Le recours à des méthodes d’avortement sûr reste très faible au Burkina Faso et il est presque inexistant chez les femmes des zones rurales où 97% des avortements sont à risque.</w:t>
      </w:r>
      <w:r w:rsidRPr="001E2F3F">
        <w:rPr>
          <w:rFonts w:cs="OfficinaSans-Book"/>
          <w:sz w:val="24"/>
          <w:szCs w:val="24"/>
        </w:rPr>
        <w:t xml:space="preserve"> </w:t>
      </w:r>
    </w:p>
    <w:p w14:paraId="5823ADF4" w14:textId="77777777" w:rsidR="00597284" w:rsidRPr="00EB2626" w:rsidRDefault="00597284" w:rsidP="00C21AB1">
      <w:pPr>
        <w:autoSpaceDE w:val="0"/>
        <w:autoSpaceDN w:val="0"/>
        <w:adjustRightInd w:val="0"/>
        <w:spacing w:after="0"/>
        <w:jc w:val="both"/>
        <w:rPr>
          <w:rFonts w:cs="OfficinaSans-Book"/>
          <w:sz w:val="24"/>
          <w:szCs w:val="24"/>
        </w:rPr>
      </w:pPr>
      <w:r w:rsidRPr="001E2F3F">
        <w:rPr>
          <w:rFonts w:cs="OfficinaSans-Book"/>
          <w:sz w:val="24"/>
          <w:szCs w:val="24"/>
        </w:rPr>
        <w:t>En 2008, environ 23 000 femmes ont été traitées pour complications liées à un avortement et 15 000 femmes ayant connu des complications sévères n’ayant pas reçu les soins dont elles avaient besoin</w:t>
      </w:r>
      <w:r w:rsidRPr="001E2F3F">
        <w:rPr>
          <w:rStyle w:val="Appelnotedebasdep"/>
          <w:rFonts w:cs="OfficinaSans-Book"/>
          <w:sz w:val="24"/>
          <w:szCs w:val="24"/>
        </w:rPr>
        <w:footnoteReference w:id="53"/>
      </w:r>
      <w:r w:rsidRPr="001E2F3F">
        <w:rPr>
          <w:rFonts w:cs="OfficinaSans-Book"/>
          <w:sz w:val="24"/>
          <w:szCs w:val="24"/>
        </w:rPr>
        <w:t>.</w:t>
      </w:r>
    </w:p>
    <w:p w14:paraId="6BD53BE9" w14:textId="57B96A88" w:rsidR="0080596D" w:rsidRPr="0080596D" w:rsidRDefault="0080596D" w:rsidP="00C21AB1">
      <w:pPr>
        <w:spacing w:after="0"/>
        <w:jc w:val="both"/>
        <w:rPr>
          <w:rFonts w:eastAsia="Times New Roman"/>
          <w:b/>
          <w:sz w:val="23"/>
          <w:szCs w:val="23"/>
        </w:rPr>
      </w:pPr>
      <w:r w:rsidRPr="0080596D">
        <w:rPr>
          <w:rFonts w:eastAsia="Times New Roman"/>
          <w:b/>
          <w:sz w:val="23"/>
          <w:szCs w:val="23"/>
        </w:rPr>
        <w:t xml:space="preserve">1.1.4.2. </w:t>
      </w:r>
      <w:r w:rsidR="00C53392">
        <w:rPr>
          <w:rFonts w:eastAsia="Times New Roman"/>
          <w:b/>
          <w:sz w:val="23"/>
          <w:szCs w:val="23"/>
        </w:rPr>
        <w:t>G</w:t>
      </w:r>
      <w:r w:rsidR="00266310">
        <w:rPr>
          <w:rFonts w:eastAsia="Times New Roman"/>
          <w:b/>
          <w:sz w:val="23"/>
          <w:szCs w:val="23"/>
        </w:rPr>
        <w:t>aps de performance</w:t>
      </w:r>
      <w:r w:rsidR="00C53392">
        <w:rPr>
          <w:rFonts w:eastAsia="Times New Roman"/>
          <w:b/>
          <w:sz w:val="23"/>
          <w:szCs w:val="23"/>
        </w:rPr>
        <w:t xml:space="preserve"> et leurs causes</w:t>
      </w:r>
    </w:p>
    <w:p w14:paraId="6E68446A" w14:textId="77777777" w:rsidR="0080596D" w:rsidRPr="00C53392" w:rsidRDefault="00C53392" w:rsidP="00C21AB1">
      <w:pPr>
        <w:spacing w:after="0"/>
        <w:jc w:val="both"/>
        <w:rPr>
          <w:rFonts w:eastAsia="Times New Roman"/>
          <w:i/>
          <w:sz w:val="23"/>
          <w:szCs w:val="23"/>
        </w:rPr>
      </w:pPr>
      <w:r w:rsidRPr="00C53392">
        <w:rPr>
          <w:rFonts w:eastAsia="Times New Roman"/>
          <w:i/>
          <w:sz w:val="23"/>
          <w:szCs w:val="23"/>
        </w:rPr>
        <w:t>a. I</w:t>
      </w:r>
      <w:r w:rsidR="00597284" w:rsidRPr="00C53392">
        <w:rPr>
          <w:rFonts w:eastAsia="Times New Roman"/>
          <w:i/>
          <w:sz w:val="23"/>
          <w:szCs w:val="23"/>
        </w:rPr>
        <w:t>nsuffisance dans l’offre et la disponibilité des services de soins après avortement</w:t>
      </w:r>
      <w:r w:rsidRPr="00C53392">
        <w:rPr>
          <w:rStyle w:val="Appelnotedebasdep"/>
          <w:rFonts w:eastAsia="Times New Roman"/>
          <w:i/>
          <w:sz w:val="23"/>
          <w:szCs w:val="23"/>
        </w:rPr>
        <w:footnoteReference w:id="54"/>
      </w:r>
      <w:r w:rsidR="00597284" w:rsidRPr="00C53392">
        <w:rPr>
          <w:rFonts w:eastAsia="Times New Roman"/>
          <w:i/>
          <w:sz w:val="23"/>
          <w:szCs w:val="23"/>
        </w:rPr>
        <w:t xml:space="preserve">. </w:t>
      </w:r>
    </w:p>
    <w:p w14:paraId="31159091" w14:textId="77777777" w:rsidR="00C53392" w:rsidRDefault="00C53392" w:rsidP="00A97663">
      <w:pPr>
        <w:pStyle w:val="Paragraphedeliste"/>
        <w:numPr>
          <w:ilvl w:val="0"/>
          <w:numId w:val="31"/>
        </w:numPr>
        <w:spacing w:after="0"/>
        <w:jc w:val="both"/>
        <w:rPr>
          <w:rFonts w:eastAsia="Times New Roman"/>
          <w:sz w:val="23"/>
          <w:szCs w:val="23"/>
        </w:rPr>
      </w:pPr>
      <w:r w:rsidRPr="00C53392">
        <w:rPr>
          <w:rFonts w:eastAsia="Times New Roman"/>
          <w:sz w:val="23"/>
          <w:szCs w:val="23"/>
        </w:rPr>
        <w:t xml:space="preserve">Vingt-huit </w:t>
      </w:r>
      <w:r w:rsidR="00597284" w:rsidRPr="00C53392">
        <w:rPr>
          <w:rFonts w:eastAsia="Times New Roman"/>
          <w:sz w:val="23"/>
          <w:szCs w:val="23"/>
        </w:rPr>
        <w:t>% des décès maternels dans les formations sanitaires sont cau</w:t>
      </w:r>
      <w:r w:rsidR="0080596D" w:rsidRPr="00C53392">
        <w:rPr>
          <w:rFonts w:eastAsia="Times New Roman"/>
          <w:sz w:val="23"/>
          <w:szCs w:val="23"/>
        </w:rPr>
        <w:t>sés par un avortement compliqué.</w:t>
      </w:r>
    </w:p>
    <w:p w14:paraId="2357E079" w14:textId="77777777" w:rsidR="00C53392" w:rsidRDefault="00C53392" w:rsidP="00A97663">
      <w:pPr>
        <w:pStyle w:val="Paragraphedeliste"/>
        <w:numPr>
          <w:ilvl w:val="0"/>
          <w:numId w:val="31"/>
        </w:numPr>
        <w:spacing w:after="0"/>
        <w:jc w:val="both"/>
        <w:rPr>
          <w:rFonts w:eastAsia="Times New Roman"/>
          <w:sz w:val="23"/>
          <w:szCs w:val="23"/>
        </w:rPr>
      </w:pPr>
      <w:r w:rsidRPr="00C53392">
        <w:rPr>
          <w:rFonts w:eastAsia="Times New Roman"/>
          <w:sz w:val="23"/>
          <w:szCs w:val="23"/>
        </w:rPr>
        <w:t>Trente-trois % des formations sanitaires n’avaient pas réalisé d’extraction des produits résiduels dans les trois derniers mois précédent l’enquête par manque de formation, de fournitures et d’équipements.</w:t>
      </w:r>
    </w:p>
    <w:p w14:paraId="7D4B349B" w14:textId="77777777" w:rsidR="00C53392" w:rsidRDefault="00C53392" w:rsidP="00C21AB1">
      <w:pPr>
        <w:spacing w:after="0"/>
        <w:jc w:val="both"/>
        <w:rPr>
          <w:rFonts w:eastAsia="Times New Roman"/>
          <w:i/>
          <w:sz w:val="23"/>
          <w:szCs w:val="23"/>
        </w:rPr>
      </w:pPr>
      <w:r w:rsidRPr="00C53392">
        <w:rPr>
          <w:rFonts w:eastAsia="Times New Roman"/>
          <w:i/>
          <w:sz w:val="23"/>
          <w:szCs w:val="23"/>
        </w:rPr>
        <w:t>b. Insuffisance ou rupture de stock d’intrants</w:t>
      </w:r>
    </w:p>
    <w:p w14:paraId="492E166B" w14:textId="77777777" w:rsidR="00E468BF" w:rsidRDefault="00E468BF" w:rsidP="00A97663">
      <w:pPr>
        <w:pStyle w:val="Paragraphedeliste"/>
        <w:numPr>
          <w:ilvl w:val="0"/>
          <w:numId w:val="31"/>
        </w:numPr>
        <w:spacing w:after="0"/>
        <w:jc w:val="both"/>
        <w:rPr>
          <w:rFonts w:eastAsia="Times New Roman"/>
          <w:sz w:val="23"/>
          <w:szCs w:val="23"/>
        </w:rPr>
      </w:pPr>
      <w:r w:rsidRPr="00C53392">
        <w:rPr>
          <w:rFonts w:eastAsia="Times New Roman"/>
          <w:sz w:val="23"/>
          <w:szCs w:val="23"/>
        </w:rPr>
        <w:lastRenderedPageBreak/>
        <w:t xml:space="preserve">Les Manuels/Protocoles sur les SAA n’étaient disponibles que dans 49% des formations sanitaires. </w:t>
      </w:r>
    </w:p>
    <w:p w14:paraId="081EE74F" w14:textId="77777777" w:rsidR="00E468BF" w:rsidRPr="00E468BF" w:rsidRDefault="00E468BF" w:rsidP="00A97663">
      <w:pPr>
        <w:pStyle w:val="Paragraphedeliste"/>
        <w:numPr>
          <w:ilvl w:val="0"/>
          <w:numId w:val="31"/>
        </w:numPr>
        <w:spacing w:after="0"/>
        <w:jc w:val="both"/>
        <w:rPr>
          <w:rFonts w:eastAsia="Times New Roman"/>
          <w:sz w:val="23"/>
          <w:szCs w:val="23"/>
        </w:rPr>
      </w:pPr>
      <w:r>
        <w:rPr>
          <w:rFonts w:eastAsia="Times New Roman"/>
          <w:sz w:val="23"/>
          <w:szCs w:val="23"/>
        </w:rPr>
        <w:t xml:space="preserve">Disponibilité du matériel médico-technique : </w:t>
      </w:r>
      <w:r w:rsidRPr="005D4AFF">
        <w:rPr>
          <w:sz w:val="20"/>
          <w:szCs w:val="20"/>
        </w:rPr>
        <w:t>seringues d’aspiration,</w:t>
      </w:r>
      <w:r>
        <w:rPr>
          <w:sz w:val="20"/>
          <w:szCs w:val="20"/>
        </w:rPr>
        <w:t>…</w:t>
      </w:r>
    </w:p>
    <w:p w14:paraId="249C6C69" w14:textId="77777777" w:rsidR="00C53392" w:rsidRPr="00C53392" w:rsidRDefault="00C53392" w:rsidP="00C21AB1">
      <w:pPr>
        <w:spacing w:after="0"/>
        <w:jc w:val="both"/>
        <w:rPr>
          <w:rFonts w:eastAsia="Times New Roman"/>
          <w:i/>
          <w:sz w:val="23"/>
          <w:szCs w:val="23"/>
        </w:rPr>
      </w:pPr>
      <w:r w:rsidRPr="00C53392">
        <w:rPr>
          <w:rFonts w:eastAsia="Times New Roman"/>
          <w:i/>
          <w:sz w:val="23"/>
          <w:szCs w:val="23"/>
        </w:rPr>
        <w:t xml:space="preserve">c. Insuffisance de compétences des prestataires </w:t>
      </w:r>
    </w:p>
    <w:p w14:paraId="1FF7C027" w14:textId="77777777" w:rsidR="00C53392" w:rsidRPr="00C53392" w:rsidRDefault="00C53392" w:rsidP="00C21AB1">
      <w:pPr>
        <w:spacing w:after="0"/>
        <w:jc w:val="both"/>
        <w:rPr>
          <w:rFonts w:eastAsia="Times New Roman"/>
          <w:sz w:val="23"/>
          <w:szCs w:val="23"/>
        </w:rPr>
      </w:pPr>
      <w:r>
        <w:rPr>
          <w:rFonts w:eastAsia="Times New Roman"/>
          <w:sz w:val="23"/>
          <w:szCs w:val="23"/>
        </w:rPr>
        <w:t>S</w:t>
      </w:r>
      <w:r w:rsidRPr="00C53392">
        <w:rPr>
          <w:rFonts w:eastAsia="Times New Roman"/>
          <w:sz w:val="23"/>
          <w:szCs w:val="23"/>
        </w:rPr>
        <w:t>eulement 0,3% des prestataires ont pu identifier l’ensemble des 9 traitements en cas de complications d’avortement incomplet ou à risque et seulement 5% ont pu identifier l’ensemble des six éléments d’information en SAA.</w:t>
      </w:r>
    </w:p>
    <w:p w14:paraId="7E9360FF" w14:textId="77777777" w:rsidR="0080596D" w:rsidRPr="00C53392" w:rsidRDefault="0080596D" w:rsidP="00A97663">
      <w:pPr>
        <w:pStyle w:val="Paragraphedeliste"/>
        <w:numPr>
          <w:ilvl w:val="0"/>
          <w:numId w:val="31"/>
        </w:numPr>
        <w:spacing w:after="0"/>
        <w:jc w:val="both"/>
        <w:rPr>
          <w:rFonts w:eastAsia="Times New Roman"/>
          <w:sz w:val="23"/>
          <w:szCs w:val="23"/>
        </w:rPr>
      </w:pPr>
      <w:r w:rsidRPr="00C53392">
        <w:rPr>
          <w:rFonts w:eastAsia="Times New Roman"/>
          <w:sz w:val="23"/>
          <w:szCs w:val="23"/>
        </w:rPr>
        <w:t xml:space="preserve">Les </w:t>
      </w:r>
      <w:r w:rsidR="00597284" w:rsidRPr="00C53392">
        <w:rPr>
          <w:rFonts w:eastAsia="Times New Roman"/>
          <w:sz w:val="23"/>
          <w:szCs w:val="23"/>
        </w:rPr>
        <w:t>Manuels/Protocoles sur les SAA</w:t>
      </w:r>
      <w:r w:rsidRPr="00C53392">
        <w:rPr>
          <w:rFonts w:eastAsia="Times New Roman"/>
          <w:sz w:val="23"/>
          <w:szCs w:val="23"/>
        </w:rPr>
        <w:t xml:space="preserve"> n’étaient disponibles que dans 49% des formations sanitaires. </w:t>
      </w:r>
    </w:p>
    <w:p w14:paraId="76FD05C1" w14:textId="77777777" w:rsidR="005E655F" w:rsidRDefault="00744F1E" w:rsidP="00A97663">
      <w:pPr>
        <w:pStyle w:val="Paragraphedeliste"/>
        <w:numPr>
          <w:ilvl w:val="0"/>
          <w:numId w:val="31"/>
        </w:numPr>
        <w:jc w:val="both"/>
        <w:rPr>
          <w:rFonts w:eastAsia="Times New Roman"/>
          <w:sz w:val="23"/>
          <w:szCs w:val="23"/>
        </w:rPr>
      </w:pPr>
      <w:r w:rsidRPr="00C53392">
        <w:rPr>
          <w:rFonts w:eastAsia="Times New Roman"/>
          <w:sz w:val="23"/>
          <w:szCs w:val="23"/>
        </w:rPr>
        <w:t xml:space="preserve">Au plan des compétences des prestataires, </w:t>
      </w:r>
      <w:r w:rsidR="00597284" w:rsidRPr="00C53392">
        <w:rPr>
          <w:rFonts w:eastAsia="Times New Roman"/>
          <w:sz w:val="23"/>
          <w:szCs w:val="23"/>
        </w:rPr>
        <w:t>seulement 0,3% des prestataires ont pu identifier l’ensemble des 9 traitements en cas de complications d’avortement incomplet ou à risque et seulement 5% ont pu identifier l’ensemble des six</w:t>
      </w:r>
      <w:r w:rsidR="005D4AFF" w:rsidRPr="00C53392">
        <w:rPr>
          <w:rFonts w:eastAsia="Times New Roman"/>
          <w:sz w:val="23"/>
          <w:szCs w:val="23"/>
        </w:rPr>
        <w:t xml:space="preserve"> éléments d’information en SAA.</w:t>
      </w:r>
    </w:p>
    <w:p w14:paraId="63D2A556" w14:textId="77777777" w:rsidR="00B13B10" w:rsidRPr="00B13B10" w:rsidRDefault="00B13B10" w:rsidP="00C21AB1">
      <w:pPr>
        <w:pStyle w:val="Paragraphedeliste"/>
        <w:ind w:left="360"/>
        <w:jc w:val="both"/>
        <w:rPr>
          <w:rFonts w:eastAsia="Times New Roman"/>
          <w:sz w:val="23"/>
          <w:szCs w:val="23"/>
        </w:rPr>
      </w:pPr>
    </w:p>
    <w:p w14:paraId="231DC78F" w14:textId="4286C01B" w:rsidR="00404A72" w:rsidRPr="00266310" w:rsidRDefault="00266310" w:rsidP="00C21AB1">
      <w:pPr>
        <w:pStyle w:val="Paragraphedeliste"/>
        <w:numPr>
          <w:ilvl w:val="2"/>
          <w:numId w:val="1"/>
        </w:numPr>
        <w:spacing w:before="240" w:after="0"/>
        <w:jc w:val="both"/>
        <w:rPr>
          <w:sz w:val="24"/>
          <w:szCs w:val="24"/>
        </w:rPr>
      </w:pPr>
      <w:r w:rsidRPr="00266310">
        <w:rPr>
          <w:sz w:val="24"/>
          <w:szCs w:val="24"/>
        </w:rPr>
        <w:t>CONSULTATION POSTNATALE</w:t>
      </w:r>
    </w:p>
    <w:p w14:paraId="487D8154" w14:textId="77777777" w:rsidR="00B82D55" w:rsidRDefault="00A55F26" w:rsidP="00C21AB1">
      <w:pPr>
        <w:pStyle w:val="Paragraphedeliste"/>
        <w:autoSpaceDE w:val="0"/>
        <w:autoSpaceDN w:val="0"/>
        <w:adjustRightInd w:val="0"/>
        <w:spacing w:after="0"/>
        <w:ind w:left="0"/>
        <w:jc w:val="both"/>
        <w:rPr>
          <w:sz w:val="23"/>
          <w:szCs w:val="23"/>
        </w:rPr>
      </w:pPr>
      <w:r w:rsidRPr="00A55F26">
        <w:rPr>
          <w:sz w:val="23"/>
          <w:szCs w:val="23"/>
        </w:rPr>
        <w:t>La Consultation postnatale constitue une opportunité pour développer trois composantes que sont la vaccination, le suivi anthropométrique et la nutrition. Le volet nutritionnel couvre aussi bien les conseils alimentaires que les démonstrations culinaires.</w:t>
      </w:r>
    </w:p>
    <w:p w14:paraId="11D75F31" w14:textId="77777777" w:rsidR="00A55F26" w:rsidRPr="00B82D55" w:rsidRDefault="00A55F26" w:rsidP="00C21AB1">
      <w:pPr>
        <w:pStyle w:val="Paragraphedeliste"/>
        <w:numPr>
          <w:ilvl w:val="3"/>
          <w:numId w:val="1"/>
        </w:numPr>
        <w:autoSpaceDE w:val="0"/>
        <w:autoSpaceDN w:val="0"/>
        <w:adjustRightInd w:val="0"/>
        <w:spacing w:after="0"/>
        <w:jc w:val="both"/>
        <w:rPr>
          <w:sz w:val="23"/>
          <w:szCs w:val="23"/>
        </w:rPr>
      </w:pPr>
      <w:r w:rsidRPr="00A55F26">
        <w:rPr>
          <w:b/>
          <w:sz w:val="23"/>
          <w:szCs w:val="23"/>
        </w:rPr>
        <w:t>Performance</w:t>
      </w:r>
    </w:p>
    <w:p w14:paraId="0E6B8EF4" w14:textId="77777777" w:rsidR="00FE2CF3" w:rsidRDefault="00FE2CF3" w:rsidP="00C21AB1">
      <w:pPr>
        <w:autoSpaceDE w:val="0"/>
        <w:autoSpaceDN w:val="0"/>
        <w:adjustRightInd w:val="0"/>
        <w:spacing w:after="0"/>
        <w:jc w:val="both"/>
        <w:rPr>
          <w:sz w:val="23"/>
          <w:szCs w:val="23"/>
        </w:rPr>
      </w:pPr>
      <w:r>
        <w:t>Au cours de l’année 2017, 59,1% des femmes avaient bénéficié d’une consultation postnatale (CPoN) de la 6-8</w:t>
      </w:r>
      <w:r>
        <w:rPr>
          <w:sz w:val="14"/>
          <w:szCs w:val="14"/>
        </w:rPr>
        <w:t xml:space="preserve">ème </w:t>
      </w:r>
      <w:r>
        <w:t>jour, soit un recul de 3,9 points par rapport à 2016.  Pour la CPoN de la 6-8</w:t>
      </w:r>
      <w:r>
        <w:rPr>
          <w:sz w:val="14"/>
          <w:szCs w:val="14"/>
        </w:rPr>
        <w:t xml:space="preserve">ème </w:t>
      </w:r>
      <w:r>
        <w:t xml:space="preserve">semaine, la proportion de femmes vues était de 46,3%, soit une hausse de 3,1 </w:t>
      </w:r>
      <w:r w:rsidR="005143F0">
        <w:t>points par</w:t>
      </w:r>
      <w:r>
        <w:t xml:space="preserve"> rapport à 2016.</w:t>
      </w:r>
    </w:p>
    <w:p w14:paraId="4F57EA4D" w14:textId="377BA949" w:rsidR="00A55F26" w:rsidRPr="00A55F26" w:rsidRDefault="00B82D55" w:rsidP="00C21AB1">
      <w:pPr>
        <w:pStyle w:val="Paragraphedeliste"/>
        <w:numPr>
          <w:ilvl w:val="3"/>
          <w:numId w:val="1"/>
        </w:numPr>
        <w:autoSpaceDE w:val="0"/>
        <w:autoSpaceDN w:val="0"/>
        <w:adjustRightInd w:val="0"/>
        <w:spacing w:after="0"/>
        <w:jc w:val="both"/>
        <w:rPr>
          <w:b/>
          <w:sz w:val="23"/>
          <w:szCs w:val="23"/>
        </w:rPr>
      </w:pPr>
      <w:r>
        <w:rPr>
          <w:b/>
          <w:sz w:val="23"/>
          <w:szCs w:val="23"/>
        </w:rPr>
        <w:t xml:space="preserve"> </w:t>
      </w:r>
      <w:r w:rsidR="00B13B10">
        <w:rPr>
          <w:b/>
          <w:sz w:val="23"/>
          <w:szCs w:val="23"/>
        </w:rPr>
        <w:t>G</w:t>
      </w:r>
      <w:r w:rsidR="00266310">
        <w:rPr>
          <w:b/>
          <w:sz w:val="23"/>
          <w:szCs w:val="23"/>
        </w:rPr>
        <w:t>ap de performance</w:t>
      </w:r>
      <w:r w:rsidR="00B13B10">
        <w:rPr>
          <w:b/>
          <w:sz w:val="23"/>
          <w:szCs w:val="23"/>
        </w:rPr>
        <w:t xml:space="preserve"> et leurs causes</w:t>
      </w:r>
    </w:p>
    <w:p w14:paraId="7AC466A2" w14:textId="77777777" w:rsidR="005143F0" w:rsidRDefault="005143F0" w:rsidP="00A97663">
      <w:pPr>
        <w:pStyle w:val="Paragraphedeliste"/>
        <w:numPr>
          <w:ilvl w:val="0"/>
          <w:numId w:val="8"/>
        </w:numPr>
        <w:autoSpaceDE w:val="0"/>
        <w:autoSpaceDN w:val="0"/>
        <w:adjustRightInd w:val="0"/>
        <w:spacing w:after="0"/>
        <w:jc w:val="both"/>
        <w:rPr>
          <w:sz w:val="24"/>
          <w:szCs w:val="24"/>
        </w:rPr>
      </w:pPr>
      <w:r>
        <w:rPr>
          <w:sz w:val="24"/>
          <w:szCs w:val="24"/>
        </w:rPr>
        <w:t xml:space="preserve">Faible couverture au niveau nationale avec plusieurs régions dont la performance est en deçà de la moyenne nationale  </w:t>
      </w:r>
    </w:p>
    <w:p w14:paraId="5BA24CCF" w14:textId="77777777" w:rsidR="00A55F26" w:rsidRPr="00B83BE7" w:rsidRDefault="00A55F26" w:rsidP="00A97663">
      <w:pPr>
        <w:pStyle w:val="Paragraphedeliste"/>
        <w:numPr>
          <w:ilvl w:val="0"/>
          <w:numId w:val="8"/>
        </w:numPr>
        <w:autoSpaceDE w:val="0"/>
        <w:autoSpaceDN w:val="0"/>
        <w:adjustRightInd w:val="0"/>
        <w:spacing w:after="0"/>
        <w:jc w:val="both"/>
        <w:rPr>
          <w:sz w:val="24"/>
          <w:szCs w:val="24"/>
        </w:rPr>
      </w:pPr>
      <w:r w:rsidRPr="00B83BE7">
        <w:rPr>
          <w:sz w:val="24"/>
          <w:szCs w:val="24"/>
        </w:rPr>
        <w:t>Une faible contribution d</w:t>
      </w:r>
      <w:r w:rsidR="004527CF" w:rsidRPr="00B83BE7">
        <w:rPr>
          <w:sz w:val="24"/>
          <w:szCs w:val="24"/>
        </w:rPr>
        <w:t xml:space="preserve">u niveau hospitalier avec 20 % et 23 %. </w:t>
      </w:r>
    </w:p>
    <w:p w14:paraId="7C699A0E" w14:textId="77777777" w:rsidR="004527CF" w:rsidRPr="00B83BE7" w:rsidRDefault="00806411" w:rsidP="00A97663">
      <w:pPr>
        <w:pStyle w:val="Paragraphedeliste"/>
        <w:numPr>
          <w:ilvl w:val="0"/>
          <w:numId w:val="8"/>
        </w:numPr>
        <w:autoSpaceDE w:val="0"/>
        <w:autoSpaceDN w:val="0"/>
        <w:adjustRightInd w:val="0"/>
        <w:spacing w:after="0"/>
        <w:jc w:val="both"/>
        <w:rPr>
          <w:sz w:val="24"/>
          <w:szCs w:val="24"/>
        </w:rPr>
      </w:pPr>
      <w:r w:rsidRPr="00B83BE7">
        <w:rPr>
          <w:sz w:val="24"/>
          <w:szCs w:val="24"/>
        </w:rPr>
        <w:t>La faible disponibilité des directives de surveillance de la croissance (38 %) et des balances pour enfants (55 %) diminue les performances du suivi et de la promotion de la croissance des enfants</w:t>
      </w:r>
      <w:r w:rsidRPr="00B83BE7">
        <w:rPr>
          <w:rStyle w:val="Appelnotedebasdep"/>
          <w:sz w:val="24"/>
          <w:szCs w:val="24"/>
        </w:rPr>
        <w:footnoteReference w:id="55"/>
      </w:r>
      <w:r w:rsidRPr="00B83BE7">
        <w:rPr>
          <w:sz w:val="24"/>
          <w:szCs w:val="24"/>
        </w:rPr>
        <w:t xml:space="preserve">. </w:t>
      </w:r>
    </w:p>
    <w:p w14:paraId="7A480AC3" w14:textId="77777777" w:rsidR="00806411" w:rsidRPr="00B83BE7" w:rsidRDefault="00806411" w:rsidP="00A97663">
      <w:pPr>
        <w:pStyle w:val="Paragraphedeliste"/>
        <w:numPr>
          <w:ilvl w:val="0"/>
          <w:numId w:val="8"/>
        </w:numPr>
        <w:autoSpaceDE w:val="0"/>
        <w:autoSpaceDN w:val="0"/>
        <w:adjustRightInd w:val="0"/>
        <w:spacing w:after="0"/>
        <w:jc w:val="both"/>
        <w:rPr>
          <w:sz w:val="24"/>
          <w:szCs w:val="24"/>
        </w:rPr>
      </w:pPr>
      <w:r w:rsidRPr="00B83BE7">
        <w:rPr>
          <w:sz w:val="24"/>
          <w:szCs w:val="24"/>
        </w:rPr>
        <w:t>Les facteurs socio-culturels ont une influence sur la fréquentation des soins postnatals dans les délais. La femme du milieu rural, peu instruite et pauvre est la plus défavorisée.</w:t>
      </w:r>
    </w:p>
    <w:p w14:paraId="38D1C876" w14:textId="77777777" w:rsidR="00D90125" w:rsidRPr="005143F0" w:rsidRDefault="00806411" w:rsidP="00A97663">
      <w:pPr>
        <w:pStyle w:val="Paragraphedeliste"/>
        <w:numPr>
          <w:ilvl w:val="0"/>
          <w:numId w:val="8"/>
        </w:numPr>
        <w:autoSpaceDE w:val="0"/>
        <w:autoSpaceDN w:val="0"/>
        <w:adjustRightInd w:val="0"/>
        <w:spacing w:after="0"/>
        <w:jc w:val="both"/>
        <w:rPr>
          <w:sz w:val="24"/>
          <w:szCs w:val="24"/>
        </w:rPr>
      </w:pPr>
      <w:r w:rsidRPr="00B83BE7">
        <w:rPr>
          <w:sz w:val="24"/>
          <w:szCs w:val="24"/>
        </w:rPr>
        <w:t xml:space="preserve">La disponibilité et la fréquentation des services postnatals est inégalement répartition au niveau régional. La région du Sud-Ouest </w:t>
      </w:r>
      <w:r w:rsidR="00B83BE7" w:rsidRPr="00B83BE7">
        <w:rPr>
          <w:sz w:val="24"/>
          <w:szCs w:val="24"/>
        </w:rPr>
        <w:t xml:space="preserve">accuse la proportion la plus faible </w:t>
      </w:r>
      <w:r w:rsidR="00B83BE7">
        <w:rPr>
          <w:sz w:val="24"/>
          <w:szCs w:val="24"/>
        </w:rPr>
        <w:t>(</w:t>
      </w:r>
      <w:r w:rsidR="00B83BE7" w:rsidRPr="00B83BE7">
        <w:rPr>
          <w:sz w:val="24"/>
          <w:szCs w:val="24"/>
        </w:rPr>
        <w:t>48%</w:t>
      </w:r>
      <w:r w:rsidRPr="00B83BE7">
        <w:rPr>
          <w:sz w:val="24"/>
          <w:szCs w:val="24"/>
        </w:rPr>
        <w:t xml:space="preserve"> </w:t>
      </w:r>
      <w:r w:rsidR="00B83BE7" w:rsidRPr="00B83BE7">
        <w:rPr>
          <w:rFonts w:cs="Times New Roman"/>
          <w:sz w:val="24"/>
          <w:szCs w:val="24"/>
        </w:rPr>
        <w:t>contre un maximum de 91 % dans le Centre-Sud)</w:t>
      </w:r>
      <w:r w:rsidR="00B83BE7">
        <w:rPr>
          <w:rFonts w:cs="Times New Roman"/>
          <w:sz w:val="24"/>
          <w:szCs w:val="24"/>
        </w:rPr>
        <w:t xml:space="preserve"> de femmes qui ont reçu les soins postnatals dans les délais recommandés</w:t>
      </w:r>
      <w:r w:rsidR="00B83BE7">
        <w:rPr>
          <w:rStyle w:val="Appelnotedebasdep"/>
          <w:rFonts w:cs="Times New Roman"/>
          <w:sz w:val="24"/>
          <w:szCs w:val="24"/>
        </w:rPr>
        <w:footnoteReference w:id="56"/>
      </w:r>
      <w:r w:rsidR="00B83BE7">
        <w:rPr>
          <w:rFonts w:cs="Times New Roman"/>
          <w:sz w:val="24"/>
          <w:szCs w:val="24"/>
        </w:rPr>
        <w:t>.</w:t>
      </w:r>
    </w:p>
    <w:p w14:paraId="630426D0" w14:textId="42FAE3D9" w:rsidR="005143F0" w:rsidRPr="00B259D6" w:rsidRDefault="00BE7A19" w:rsidP="00D90125">
      <w:pPr>
        <w:autoSpaceDE w:val="0"/>
        <w:autoSpaceDN w:val="0"/>
        <w:adjustRightInd w:val="0"/>
        <w:spacing w:after="0" w:line="360" w:lineRule="auto"/>
        <w:jc w:val="both"/>
        <w:rPr>
          <w:b/>
          <w:sz w:val="20"/>
          <w:szCs w:val="20"/>
        </w:rPr>
      </w:pPr>
      <w:r>
        <w:rPr>
          <w:noProof/>
          <w:sz w:val="24"/>
          <w:szCs w:val="24"/>
          <w:lang w:eastAsia="fr-FR"/>
        </w:rPr>
        <w:lastRenderedPageBreak/>
        <mc:AlternateContent>
          <mc:Choice Requires="wps">
            <w:drawing>
              <wp:anchor distT="0" distB="0" distL="114300" distR="114300" simplePos="0" relativeHeight="251703296" behindDoc="0" locked="0" layoutInCell="1" allowOverlap="1" wp14:anchorId="374908EE" wp14:editId="07E85B85">
                <wp:simplePos x="0" y="0"/>
                <wp:positionH relativeFrom="column">
                  <wp:posOffset>134835</wp:posOffset>
                </wp:positionH>
                <wp:positionV relativeFrom="paragraph">
                  <wp:posOffset>632748</wp:posOffset>
                </wp:positionV>
                <wp:extent cx="5218981" cy="25879"/>
                <wp:effectExtent l="0" t="0" r="20320" b="31750"/>
                <wp:wrapNone/>
                <wp:docPr id="16" name="Connecteur droit 16"/>
                <wp:cNvGraphicFramePr/>
                <a:graphic xmlns:a="http://schemas.openxmlformats.org/drawingml/2006/main">
                  <a:graphicData uri="http://schemas.microsoft.com/office/word/2010/wordprocessingShape">
                    <wps:wsp>
                      <wps:cNvCnPr/>
                      <wps:spPr>
                        <a:xfrm flipH="1">
                          <a:off x="0" y="0"/>
                          <a:ext cx="5218981" cy="25879"/>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C36B616" id="Connecteur droit 16" o:spid="_x0000_s1026" style="position:absolute;flip:x;z-index:251703296;visibility:visible;mso-wrap-style:square;mso-wrap-distance-left:9pt;mso-wrap-distance-top:0;mso-wrap-distance-right:9pt;mso-wrap-distance-bottom:0;mso-position-horizontal:absolute;mso-position-horizontal-relative:text;mso-position-vertical:absolute;mso-position-vertical-relative:text" from="10.6pt,49.8pt" to="421.55pt,5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" strokecolor="#4579b8 [3044]"/>
            </w:pict>
          </mc:Fallback>
        </mc:AlternateContent>
      </w:r>
      <w:r>
        <w:rPr>
          <w:noProof/>
          <w:sz w:val="24"/>
          <w:szCs w:val="24"/>
          <w:lang w:eastAsia="fr-FR"/>
        </w:rPr>
        <mc:AlternateContent>
          <mc:Choice Requires="wps">
            <w:drawing>
              <wp:anchor distT="0" distB="0" distL="114300" distR="114300" simplePos="0" relativeHeight="251702272" behindDoc="0" locked="0" layoutInCell="1" allowOverlap="1" wp14:anchorId="780BB49C" wp14:editId="741CC6D2">
                <wp:simplePos x="0" y="0"/>
                <wp:positionH relativeFrom="column">
                  <wp:posOffset>152137</wp:posOffset>
                </wp:positionH>
                <wp:positionV relativeFrom="paragraph">
                  <wp:posOffset>753349</wp:posOffset>
                </wp:positionV>
                <wp:extent cx="5305246" cy="43132"/>
                <wp:effectExtent l="0" t="0" r="10160" b="33655"/>
                <wp:wrapNone/>
                <wp:docPr id="11" name="Connecteur droit 11"/>
                <wp:cNvGraphicFramePr/>
                <a:graphic xmlns:a="http://schemas.openxmlformats.org/drawingml/2006/main">
                  <a:graphicData uri="http://schemas.microsoft.com/office/word/2010/wordprocessingShape">
                    <wps:wsp>
                      <wps:cNvCnPr/>
                      <wps:spPr>
                        <a:xfrm flipH="1">
                          <a:off x="0" y="0"/>
                          <a:ext cx="5305246" cy="43132"/>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419BDCF" id="Connecteur droit 11" o:spid="_x0000_s1026" style="position:absolute;flip:x;z-index:251702272;visibility:visible;mso-wrap-style:square;mso-wrap-distance-left:9pt;mso-wrap-distance-top:0;mso-wrap-distance-right:9pt;mso-wrap-distance-bottom:0;mso-position-horizontal:absolute;mso-position-horizontal-relative:text;mso-position-vertical:absolute;mso-position-vertical-relative:text" from="12pt,59.3pt" to="429.75pt,6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" strokecolor="#bc4542 [3045]"/>
            </w:pict>
          </mc:Fallback>
        </mc:AlternateContent>
      </w:r>
      <w:r>
        <w:rPr>
          <w:noProof/>
          <w:sz w:val="24"/>
          <w:szCs w:val="24"/>
          <w:lang w:eastAsia="fr-FR"/>
        </w:rPr>
        <mc:AlternateContent>
          <mc:Choice Requires="wps">
            <w:drawing>
              <wp:anchor distT="0" distB="0" distL="114300" distR="114300" simplePos="0" relativeHeight="251704320" behindDoc="0" locked="0" layoutInCell="1" allowOverlap="1" wp14:anchorId="0F0453C3" wp14:editId="340E21DA">
                <wp:simplePos x="0" y="0"/>
                <wp:positionH relativeFrom="column">
                  <wp:posOffset>5979</wp:posOffset>
                </wp:positionH>
                <wp:positionV relativeFrom="paragraph">
                  <wp:posOffset>2101060</wp:posOffset>
                </wp:positionV>
                <wp:extent cx="5780860" cy="0"/>
                <wp:effectExtent l="0" t="0" r="29845" b="19050"/>
                <wp:wrapNone/>
                <wp:docPr id="19" name="Connecteur droit 19"/>
                <wp:cNvGraphicFramePr/>
                <a:graphic xmlns:a="http://schemas.openxmlformats.org/drawingml/2006/main">
                  <a:graphicData uri="http://schemas.microsoft.com/office/word/2010/wordprocessingShape">
                    <wps:wsp>
                      <wps:cNvCnPr/>
                      <wps:spPr>
                        <a:xfrm>
                          <a:off x="0" y="0"/>
                          <a:ext cx="57808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991D458" id="Connecteur droit 19" o:spid="_x0000_s1026" style="position:absolute;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pt,165.45pt" to="455.65pt,16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" strokecolor="#4579b8 [3044]"/>
            </w:pict>
          </mc:Fallback>
        </mc:AlternateContent>
      </w:r>
      <w:r w:rsidR="005143F0">
        <w:rPr>
          <w:noProof/>
          <w:sz w:val="24"/>
          <w:szCs w:val="24"/>
          <w:lang w:eastAsia="fr-FR"/>
        </w:rPr>
        <mc:AlternateContent>
          <mc:Choice Requires="wps">
            <w:drawing>
              <wp:anchor distT="0" distB="0" distL="114300" distR="114300" simplePos="0" relativeHeight="251705344" behindDoc="0" locked="0" layoutInCell="1" allowOverlap="1" wp14:anchorId="1D358303" wp14:editId="28EFC343">
                <wp:simplePos x="0" y="0"/>
                <wp:positionH relativeFrom="column">
                  <wp:posOffset>5766699</wp:posOffset>
                </wp:positionH>
                <wp:positionV relativeFrom="paragraph">
                  <wp:posOffset>5979</wp:posOffset>
                </wp:positionV>
                <wp:extent cx="18415" cy="2122098"/>
                <wp:effectExtent l="0" t="0" r="19685" b="31115"/>
                <wp:wrapNone/>
                <wp:docPr id="24" name="Connecteur droit 24"/>
                <wp:cNvGraphicFramePr/>
                <a:graphic xmlns:a="http://schemas.openxmlformats.org/drawingml/2006/main">
                  <a:graphicData uri="http://schemas.microsoft.com/office/word/2010/wordprocessingShape">
                    <wps:wsp>
                      <wps:cNvCnPr/>
                      <wps:spPr>
                        <a:xfrm>
                          <a:off x="0" y="0"/>
                          <a:ext cx="18415" cy="2122098"/>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E52796D" id="Connecteur droit 24" o:spid="_x0000_s1026" style="position:absolute;z-index:251705344;visibility:visible;mso-wrap-style:square;mso-wrap-distance-left:9pt;mso-wrap-distance-top:0;mso-wrap-distance-right:9pt;mso-wrap-distance-bottom:0;mso-position-horizontal:absolute;mso-position-horizontal-relative:text;mso-position-vertical:absolute;mso-position-vertical-relative:text" from="454.05pt,.45pt" to="455.5pt,16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" strokecolor="#4579b8 [3044]"/>
            </w:pict>
          </mc:Fallback>
        </mc:AlternateContent>
      </w:r>
      <w:r w:rsidR="005143F0" w:rsidRPr="005143F0">
        <w:rPr>
          <w:noProof/>
          <w:sz w:val="24"/>
          <w:szCs w:val="24"/>
          <w:bdr w:val="single" w:sz="4" w:space="0" w:color="auto"/>
          <w:lang w:eastAsia="fr-FR"/>
        </w:rPr>
        <w:drawing>
          <wp:inline distT="0" distB="0" distL="0" distR="0" wp14:anchorId="1122AB86" wp14:editId="7A1AE069">
            <wp:extent cx="5760597" cy="3053751"/>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77258" cy="3062583"/>
                    </a:xfrm>
                    <a:prstGeom prst="rect">
                      <a:avLst/>
                    </a:prstGeom>
                    <a:noFill/>
                    <a:ln>
                      <a:noFill/>
                    </a:ln>
                  </pic:spPr>
                </pic:pic>
              </a:graphicData>
            </a:graphic>
          </wp:inline>
        </w:drawing>
      </w:r>
      <w:r w:rsidR="005143F0" w:rsidRPr="00B259D6">
        <w:rPr>
          <w:b/>
          <w:sz w:val="20"/>
          <w:szCs w:val="20"/>
        </w:rPr>
        <w:t>Figure</w:t>
      </w:r>
      <w:r w:rsidR="00266310">
        <w:rPr>
          <w:b/>
          <w:sz w:val="20"/>
          <w:szCs w:val="20"/>
        </w:rPr>
        <w:t xml:space="preserve"> 1</w:t>
      </w:r>
      <w:r w:rsidR="00651794">
        <w:rPr>
          <w:b/>
          <w:sz w:val="20"/>
          <w:szCs w:val="20"/>
        </w:rPr>
        <w:t>2</w:t>
      </w:r>
      <w:r w:rsidR="005143F0" w:rsidRPr="00B259D6">
        <w:rPr>
          <w:b/>
          <w:sz w:val="20"/>
          <w:szCs w:val="20"/>
        </w:rPr>
        <w:t xml:space="preserve"> : </w:t>
      </w:r>
      <w:r w:rsidR="00B259D6" w:rsidRPr="00B259D6">
        <w:rPr>
          <w:b/>
          <w:sz w:val="20"/>
          <w:szCs w:val="20"/>
        </w:rPr>
        <w:t>Couverture CPoN1 et CPoN2 au niveau national et régional</w:t>
      </w:r>
    </w:p>
    <w:p w14:paraId="574D78FF" w14:textId="55C17BDF" w:rsidR="00141591" w:rsidRPr="005C01B3" w:rsidRDefault="00B13B10" w:rsidP="005C01B3">
      <w:pPr>
        <w:autoSpaceDE w:val="0"/>
        <w:autoSpaceDN w:val="0"/>
        <w:adjustRightInd w:val="0"/>
        <w:spacing w:after="0"/>
        <w:jc w:val="both"/>
        <w:rPr>
          <w:sz w:val="24"/>
          <w:szCs w:val="24"/>
        </w:rPr>
      </w:pPr>
      <w:r w:rsidRPr="00266310">
        <w:rPr>
          <w:sz w:val="24"/>
          <w:szCs w:val="24"/>
        </w:rPr>
        <w:t xml:space="preserve">La demande est entravée par </w:t>
      </w:r>
      <w:r w:rsidR="005C01B3">
        <w:rPr>
          <w:sz w:val="24"/>
          <w:szCs w:val="24"/>
        </w:rPr>
        <w:t>(i) d</w:t>
      </w:r>
      <w:r w:rsidRPr="005C01B3">
        <w:rPr>
          <w:rFonts w:cs="Arial"/>
          <w:sz w:val="24"/>
          <w:szCs w:val="24"/>
        </w:rPr>
        <w:t>es barrières géographiques (Rayon moyen d’action</w:t>
      </w:r>
      <w:r w:rsidR="00B82D55" w:rsidRPr="005C01B3">
        <w:rPr>
          <w:rFonts w:cs="Arial"/>
          <w:sz w:val="24"/>
          <w:szCs w:val="24"/>
        </w:rPr>
        <w:t xml:space="preserve"> théorique</w:t>
      </w:r>
      <w:r w:rsidRPr="005C01B3">
        <w:rPr>
          <w:rFonts w:cs="Arial"/>
          <w:sz w:val="24"/>
          <w:szCs w:val="24"/>
        </w:rPr>
        <w:t>,</w:t>
      </w:r>
      <w:r w:rsidR="00B82D55" w:rsidRPr="005C01B3">
        <w:rPr>
          <w:rFonts w:cs="Arial"/>
          <w:sz w:val="24"/>
          <w:szCs w:val="24"/>
        </w:rPr>
        <w:t>…)</w:t>
      </w:r>
      <w:r w:rsidR="005C01B3">
        <w:rPr>
          <w:rFonts w:cs="Arial"/>
          <w:sz w:val="24"/>
          <w:szCs w:val="24"/>
        </w:rPr>
        <w:t>, (ii) d</w:t>
      </w:r>
      <w:r w:rsidR="00B82D55" w:rsidRPr="005C01B3">
        <w:rPr>
          <w:rFonts w:cs="Arial"/>
          <w:sz w:val="24"/>
          <w:szCs w:val="24"/>
        </w:rPr>
        <w:t>es barrières financières (Paiements indirects malgré la gratuité (Déplacements)</w:t>
      </w:r>
      <w:r w:rsidR="005C01B3">
        <w:rPr>
          <w:rFonts w:cs="Arial"/>
          <w:sz w:val="24"/>
          <w:szCs w:val="24"/>
        </w:rPr>
        <w:t xml:space="preserve">, (iii) </w:t>
      </w:r>
      <w:r w:rsidR="00B82D55" w:rsidRPr="005C01B3">
        <w:rPr>
          <w:rFonts w:cs="Arial"/>
          <w:sz w:val="24"/>
          <w:szCs w:val="24"/>
        </w:rPr>
        <w:t>Insuffisance de l’i</w:t>
      </w:r>
      <w:r w:rsidRPr="005C01B3">
        <w:rPr>
          <w:rFonts w:cs="Arial"/>
          <w:sz w:val="24"/>
          <w:szCs w:val="24"/>
        </w:rPr>
        <w:t>nformation</w:t>
      </w:r>
      <w:r w:rsidR="005C01B3">
        <w:rPr>
          <w:sz w:val="24"/>
          <w:szCs w:val="24"/>
        </w:rPr>
        <w:t xml:space="preserve">, (iv) </w:t>
      </w:r>
      <w:r w:rsidRPr="005C01B3">
        <w:rPr>
          <w:rFonts w:cs="Arial"/>
          <w:sz w:val="24"/>
          <w:szCs w:val="24"/>
        </w:rPr>
        <w:t>Barrières socio-culturelles (influence sur la décision du mari, belle-mère, …)</w:t>
      </w:r>
    </w:p>
    <w:p w14:paraId="52DFC60B" w14:textId="77777777" w:rsidR="00266310" w:rsidRPr="00266310" w:rsidRDefault="00266310" w:rsidP="00266310">
      <w:pPr>
        <w:pStyle w:val="Paragraphedeliste"/>
        <w:spacing w:after="0"/>
        <w:ind w:left="1080"/>
        <w:jc w:val="both"/>
        <w:rPr>
          <w:rFonts w:cs="Arial"/>
          <w:sz w:val="24"/>
          <w:szCs w:val="24"/>
        </w:rPr>
      </w:pPr>
    </w:p>
    <w:p w14:paraId="5227A567" w14:textId="11F96143" w:rsidR="00EF7771" w:rsidRPr="00266310" w:rsidRDefault="00266310" w:rsidP="00266310">
      <w:pPr>
        <w:pStyle w:val="Paragraphedeliste"/>
        <w:numPr>
          <w:ilvl w:val="2"/>
          <w:numId w:val="1"/>
        </w:numPr>
        <w:spacing w:before="240" w:after="0"/>
        <w:jc w:val="both"/>
        <w:rPr>
          <w:rFonts w:eastAsia="Times New Roman"/>
          <w:sz w:val="24"/>
          <w:szCs w:val="24"/>
        </w:rPr>
      </w:pPr>
      <w:r w:rsidRPr="00266310">
        <w:rPr>
          <w:rFonts w:eastAsia="Times New Roman"/>
          <w:sz w:val="24"/>
          <w:szCs w:val="24"/>
        </w:rPr>
        <w:t>LES CANCERS DE LA FEMME</w:t>
      </w:r>
    </w:p>
    <w:p w14:paraId="5601474B" w14:textId="329BC7C0" w:rsidR="004527CF" w:rsidRPr="00266310" w:rsidRDefault="00266310" w:rsidP="00266310">
      <w:pPr>
        <w:spacing w:after="0"/>
        <w:jc w:val="both"/>
        <w:rPr>
          <w:rFonts w:eastAsia="Times New Roman"/>
          <w:sz w:val="24"/>
          <w:szCs w:val="24"/>
        </w:rPr>
      </w:pPr>
      <w:r w:rsidRPr="00266310">
        <w:rPr>
          <w:rFonts w:eastAsia="Times New Roman"/>
          <w:sz w:val="24"/>
          <w:szCs w:val="24"/>
        </w:rPr>
        <w:t>A</w:t>
      </w:r>
      <w:r w:rsidR="004527CF" w:rsidRPr="00266310">
        <w:rPr>
          <w:rFonts w:eastAsia="Times New Roman"/>
          <w:sz w:val="24"/>
          <w:szCs w:val="24"/>
        </w:rPr>
        <w:t>u Burkina Faso, les cancers du sein (13,39 %) et du col de l’utérus (12,46%) sont plus fréquents chez les adultes. Selon la même source l’incidence du cancer en 2012 était de 7760 cas de cancers dont 5012 chez les femmes. Des 7 760 cas 6 215 sont décédés, soit une mortalité de 80% en 2012 En 2015, l’incidence du cancer était de 8167 cas de cancers dont 5242 chez les femmes et le taux de mortalité se chiffrait à 70%</w:t>
      </w:r>
      <w:r w:rsidR="009C67A0" w:rsidRPr="00266310">
        <w:rPr>
          <w:rStyle w:val="Appelnotedebasdep"/>
          <w:rFonts w:eastAsia="Times New Roman"/>
          <w:sz w:val="24"/>
          <w:szCs w:val="24"/>
        </w:rPr>
        <w:footnoteReference w:id="57"/>
      </w:r>
      <w:r w:rsidR="004527CF" w:rsidRPr="00266310">
        <w:rPr>
          <w:rFonts w:eastAsia="Times New Roman"/>
          <w:sz w:val="24"/>
          <w:szCs w:val="24"/>
        </w:rPr>
        <w:t>.</w:t>
      </w:r>
    </w:p>
    <w:p w14:paraId="0A18F126" w14:textId="0254E4EF" w:rsidR="00EF7771" w:rsidRPr="00266310" w:rsidRDefault="004527CF" w:rsidP="00266310">
      <w:pPr>
        <w:spacing w:after="0"/>
        <w:jc w:val="both"/>
        <w:rPr>
          <w:rFonts w:eastAsia="Times New Roman"/>
          <w:sz w:val="24"/>
          <w:szCs w:val="24"/>
        </w:rPr>
      </w:pPr>
      <w:r w:rsidRPr="00266310">
        <w:rPr>
          <w:rFonts w:eastAsia="Times New Roman"/>
          <w:sz w:val="24"/>
          <w:szCs w:val="24"/>
        </w:rPr>
        <w:t xml:space="preserve">Le cancer du col de l’utérus est l’un des cancers sexuellement transmissibles parce qu’il est dû dans près de 98% des cas à un virus appelé HPV, le virus papilloma humain. </w:t>
      </w:r>
      <w:r w:rsidR="009C67A0" w:rsidRPr="00266310">
        <w:rPr>
          <w:rFonts w:eastAsia="Times New Roman"/>
          <w:sz w:val="24"/>
          <w:szCs w:val="24"/>
        </w:rPr>
        <w:t>La disponibilité d’un vaccin efficace est susceptible de modifier  la prise en charge de ce cancer.</w:t>
      </w:r>
      <w:bookmarkStart w:id="6" w:name="_Toc522532887"/>
    </w:p>
    <w:p w14:paraId="79E7FDAB" w14:textId="54579FEB" w:rsidR="004527CF" w:rsidRPr="00266310" w:rsidRDefault="00266310" w:rsidP="00B82D55">
      <w:pPr>
        <w:pStyle w:val="Paragraphedeliste"/>
        <w:numPr>
          <w:ilvl w:val="2"/>
          <w:numId w:val="1"/>
        </w:numPr>
        <w:spacing w:before="240" w:after="0" w:line="360" w:lineRule="auto"/>
        <w:jc w:val="both"/>
        <w:rPr>
          <w:rFonts w:eastAsia="Times New Roman"/>
          <w:sz w:val="23"/>
          <w:szCs w:val="23"/>
        </w:rPr>
      </w:pPr>
      <w:r w:rsidRPr="00266310">
        <w:rPr>
          <w:rFonts w:eastAsia="Calibri"/>
        </w:rPr>
        <w:t>PLANIFICATION FAMILIALE</w:t>
      </w:r>
      <w:bookmarkEnd w:id="6"/>
    </w:p>
    <w:p w14:paraId="53FB722B" w14:textId="7BF1E513" w:rsidR="004527CF" w:rsidRPr="00266310" w:rsidRDefault="00EB2626" w:rsidP="00266310">
      <w:pPr>
        <w:spacing w:after="0"/>
        <w:jc w:val="both"/>
        <w:rPr>
          <w:sz w:val="24"/>
          <w:szCs w:val="24"/>
        </w:rPr>
      </w:pPr>
      <w:r w:rsidRPr="00266310">
        <w:rPr>
          <w:bCs/>
          <w:sz w:val="24"/>
          <w:szCs w:val="24"/>
        </w:rPr>
        <w:t>L</w:t>
      </w:r>
      <w:r w:rsidR="004527CF" w:rsidRPr="00266310">
        <w:rPr>
          <w:bCs/>
          <w:sz w:val="24"/>
          <w:szCs w:val="24"/>
        </w:rPr>
        <w:t xml:space="preserve">e plan national d’accélération de la planification familiale (PNAPF) </w:t>
      </w:r>
      <w:r w:rsidRPr="00266310">
        <w:rPr>
          <w:bCs/>
          <w:sz w:val="24"/>
          <w:szCs w:val="24"/>
        </w:rPr>
        <w:t xml:space="preserve">2017-2020 </w:t>
      </w:r>
      <w:r w:rsidR="004527CF" w:rsidRPr="00266310">
        <w:rPr>
          <w:bCs/>
          <w:sz w:val="24"/>
          <w:szCs w:val="24"/>
        </w:rPr>
        <w:t xml:space="preserve">se fixe comme objectif de porter le taux de prévalence contraceptive moderne (TPCm) de 22,5% en 2015 à </w:t>
      </w:r>
      <w:r w:rsidR="004527CF" w:rsidRPr="00266310">
        <w:rPr>
          <w:sz w:val="24"/>
          <w:szCs w:val="24"/>
        </w:rPr>
        <w:t xml:space="preserve">32% en 2020. </w:t>
      </w:r>
    </w:p>
    <w:p w14:paraId="7057CEEF" w14:textId="77777777" w:rsidR="002C0A20" w:rsidRPr="00266310" w:rsidRDefault="002C0A20" w:rsidP="00266310">
      <w:pPr>
        <w:jc w:val="both"/>
        <w:rPr>
          <w:sz w:val="24"/>
          <w:szCs w:val="24"/>
        </w:rPr>
      </w:pPr>
      <w:r w:rsidRPr="00266310">
        <w:rPr>
          <w:sz w:val="24"/>
          <w:szCs w:val="24"/>
        </w:rPr>
        <w:t>Pour améliorer l’offre de services PF, le gouvernement a pris (i) l’engagement de réduire de 50% les prix des contraceptifs, de consacrer une ligne budgétaire de 500 millions de francs CFA   pour l’achat des produits contraceptifs et (iii) d’assurer la gratuité de la planification familiale.</w:t>
      </w:r>
    </w:p>
    <w:p w14:paraId="73AA9591" w14:textId="77777777" w:rsidR="009E3BA0" w:rsidRPr="00B82D55" w:rsidRDefault="009E3BA0" w:rsidP="00B82D55">
      <w:pPr>
        <w:pStyle w:val="Paragraphedeliste"/>
        <w:numPr>
          <w:ilvl w:val="3"/>
          <w:numId w:val="1"/>
        </w:numPr>
        <w:spacing w:after="0" w:line="360" w:lineRule="auto"/>
        <w:jc w:val="both"/>
        <w:rPr>
          <w:b/>
          <w:sz w:val="24"/>
          <w:szCs w:val="24"/>
        </w:rPr>
      </w:pPr>
      <w:r w:rsidRPr="00B82D55">
        <w:rPr>
          <w:b/>
          <w:sz w:val="24"/>
          <w:szCs w:val="24"/>
        </w:rPr>
        <w:lastRenderedPageBreak/>
        <w:t>Performance</w:t>
      </w:r>
      <w:r w:rsidR="004C012F">
        <w:rPr>
          <w:rStyle w:val="Appelnotedebasdep"/>
          <w:b/>
          <w:sz w:val="24"/>
          <w:szCs w:val="24"/>
        </w:rPr>
        <w:footnoteReference w:id="58"/>
      </w:r>
    </w:p>
    <w:p w14:paraId="7238C77F" w14:textId="77777777" w:rsidR="009E3BA0" w:rsidRPr="00266310" w:rsidRDefault="009E3BA0" w:rsidP="00266310">
      <w:pPr>
        <w:spacing w:after="0"/>
        <w:jc w:val="both"/>
        <w:rPr>
          <w:sz w:val="24"/>
          <w:szCs w:val="24"/>
        </w:rPr>
      </w:pPr>
      <w:r w:rsidRPr="00266310">
        <w:rPr>
          <w:sz w:val="24"/>
          <w:szCs w:val="24"/>
        </w:rPr>
        <w:t>En 2017, 1,3 millions d’utilisatrices de méthodes contraceptives ont été enregistrées, soit un taux d’utilisation de 27,5%. Ce taux en baisse par rapport à l’année 2016 (31,7%) pourrait s’expliquer</w:t>
      </w:r>
      <w:r w:rsidR="004C012F" w:rsidRPr="00266310">
        <w:rPr>
          <w:sz w:val="24"/>
          <w:szCs w:val="24"/>
        </w:rPr>
        <w:t xml:space="preserve"> par l’application effective de la définition « nouvelles et ancienn</w:t>
      </w:r>
      <w:r w:rsidR="002C0A20" w:rsidRPr="00266310">
        <w:rPr>
          <w:sz w:val="24"/>
          <w:szCs w:val="24"/>
        </w:rPr>
        <w:t>es utilisatrices »</w:t>
      </w:r>
      <w:r w:rsidRPr="00266310">
        <w:rPr>
          <w:sz w:val="24"/>
          <w:szCs w:val="24"/>
        </w:rPr>
        <w:t>.</w:t>
      </w:r>
    </w:p>
    <w:p w14:paraId="074A3BAA" w14:textId="77777777" w:rsidR="004A6882" w:rsidRPr="00266310" w:rsidRDefault="009E3BA0" w:rsidP="00266310">
      <w:pPr>
        <w:pStyle w:val="Default"/>
        <w:spacing w:after="240" w:line="276" w:lineRule="auto"/>
        <w:jc w:val="both"/>
        <w:rPr>
          <w:rFonts w:asciiTheme="minorHAnsi" w:hAnsiTheme="minorHAnsi"/>
        </w:rPr>
      </w:pPr>
      <w:r w:rsidRPr="00266310">
        <w:rPr>
          <w:rFonts w:asciiTheme="minorHAnsi" w:hAnsiTheme="minorHAnsi"/>
        </w:rPr>
        <w:t xml:space="preserve">Les nouvelles utilisatrices enregistrées au cours de l’année 2017 sont au nombre de 424 000 contre 450 000 pour l’année 2016 ; soit une baisse de 6,1%. </w:t>
      </w:r>
    </w:p>
    <w:p w14:paraId="45DFAB38" w14:textId="0B913420" w:rsidR="004A6882" w:rsidRDefault="004A6882" w:rsidP="009E3BA0">
      <w:pPr>
        <w:pStyle w:val="Default"/>
        <w:spacing w:line="360" w:lineRule="auto"/>
        <w:jc w:val="both"/>
        <w:rPr>
          <w:rFonts w:asciiTheme="minorHAnsi" w:hAnsiTheme="minorHAnsi"/>
        </w:rPr>
      </w:pPr>
      <w:r>
        <w:rPr>
          <w:noProof/>
          <w:lang w:eastAsia="fr-FR"/>
        </w:rPr>
        <w:drawing>
          <wp:inline distT="0" distB="0" distL="0" distR="0" wp14:anchorId="742006D7" wp14:editId="20E68A3D">
            <wp:extent cx="5477510" cy="2061714"/>
            <wp:effectExtent l="0" t="0" r="8890" b="15240"/>
            <wp:docPr id="26" name="Graphique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5C896340" w14:textId="62968B43" w:rsidR="00266310" w:rsidRPr="005C01B3" w:rsidRDefault="00266310" w:rsidP="009E3BA0">
      <w:pPr>
        <w:pStyle w:val="Default"/>
        <w:spacing w:line="360" w:lineRule="auto"/>
        <w:jc w:val="both"/>
        <w:rPr>
          <w:rFonts w:asciiTheme="minorHAnsi" w:hAnsiTheme="minorHAnsi"/>
          <w:b/>
          <w:sz w:val="20"/>
          <w:szCs w:val="20"/>
        </w:rPr>
      </w:pPr>
      <w:r w:rsidRPr="005C01B3">
        <w:rPr>
          <w:rFonts w:asciiTheme="minorHAnsi" w:hAnsiTheme="minorHAnsi"/>
          <w:b/>
          <w:sz w:val="20"/>
          <w:szCs w:val="20"/>
        </w:rPr>
        <w:t>Figure 1</w:t>
      </w:r>
      <w:r w:rsidR="00651794">
        <w:rPr>
          <w:rFonts w:asciiTheme="minorHAnsi" w:hAnsiTheme="minorHAnsi"/>
          <w:b/>
          <w:sz w:val="20"/>
          <w:szCs w:val="20"/>
        </w:rPr>
        <w:t>3</w:t>
      </w:r>
      <w:r w:rsidRPr="005C01B3">
        <w:rPr>
          <w:rFonts w:asciiTheme="minorHAnsi" w:hAnsiTheme="minorHAnsi"/>
          <w:b/>
          <w:sz w:val="20"/>
          <w:szCs w:val="20"/>
        </w:rPr>
        <w:t xml:space="preserve"> : </w:t>
      </w:r>
      <w:r w:rsidR="005C01B3" w:rsidRPr="005C01B3">
        <w:rPr>
          <w:rFonts w:asciiTheme="minorHAnsi" w:hAnsiTheme="minorHAnsi"/>
          <w:b/>
          <w:sz w:val="20"/>
          <w:szCs w:val="20"/>
        </w:rPr>
        <w:t>Taux d’utilisation de méthodes contraceptives</w:t>
      </w:r>
    </w:p>
    <w:p w14:paraId="30B8619B" w14:textId="6F45A8A4" w:rsidR="009E3BA0" w:rsidRPr="009E3BA0" w:rsidRDefault="009E3BA0" w:rsidP="005C01B3">
      <w:pPr>
        <w:pStyle w:val="Default"/>
        <w:spacing w:line="276" w:lineRule="auto"/>
        <w:jc w:val="both"/>
        <w:rPr>
          <w:rFonts w:asciiTheme="minorHAnsi" w:hAnsiTheme="minorHAnsi"/>
        </w:rPr>
      </w:pPr>
      <w:r w:rsidRPr="009E3BA0">
        <w:rPr>
          <w:rFonts w:asciiTheme="minorHAnsi" w:hAnsiTheme="minorHAnsi"/>
        </w:rPr>
        <w:t xml:space="preserve">Les méthodes les plus utilisées sont le </w:t>
      </w:r>
      <w:r w:rsidRPr="009E3BA0">
        <w:rPr>
          <w:rFonts w:asciiTheme="minorHAnsi" w:hAnsiTheme="minorHAnsi"/>
          <w:i/>
          <w:iCs/>
        </w:rPr>
        <w:t xml:space="preserve">Depo-provéra </w:t>
      </w:r>
      <w:r w:rsidRPr="009E3BA0">
        <w:rPr>
          <w:rFonts w:asciiTheme="minorHAnsi" w:hAnsiTheme="minorHAnsi"/>
        </w:rPr>
        <w:t xml:space="preserve">avec une proportion de 34,2% et la méthode </w:t>
      </w:r>
      <w:r w:rsidR="005C01B3">
        <w:rPr>
          <w:rFonts w:asciiTheme="minorHAnsi" w:hAnsiTheme="minorHAnsi"/>
          <w:i/>
          <w:iCs/>
        </w:rPr>
        <w:t>J</w:t>
      </w:r>
      <w:r w:rsidRPr="009E3BA0">
        <w:rPr>
          <w:rFonts w:asciiTheme="minorHAnsi" w:hAnsiTheme="minorHAnsi"/>
          <w:i/>
          <w:iCs/>
        </w:rPr>
        <w:t xml:space="preserve">adelle </w:t>
      </w:r>
      <w:r w:rsidRPr="009E3BA0">
        <w:rPr>
          <w:rFonts w:asciiTheme="minorHAnsi" w:hAnsiTheme="minorHAnsi"/>
        </w:rPr>
        <w:t xml:space="preserve">avec une proportion de 34,1%. </w:t>
      </w:r>
    </w:p>
    <w:p w14:paraId="2C853E1E" w14:textId="77777777" w:rsidR="009E3BA0" w:rsidRDefault="009E3BA0" w:rsidP="005C01B3">
      <w:pPr>
        <w:spacing w:after="0"/>
        <w:jc w:val="both"/>
        <w:rPr>
          <w:sz w:val="24"/>
          <w:szCs w:val="24"/>
        </w:rPr>
      </w:pPr>
      <w:r w:rsidRPr="009E3BA0">
        <w:rPr>
          <w:sz w:val="24"/>
          <w:szCs w:val="24"/>
        </w:rPr>
        <w:t>Les méthodes chirurgicales sont en hausse par rapport à 2016. En effet, il a été enregistré 317 ligatures des trompes contre 63 en 2016 et 37 vasectomies contre 03 en 2016.</w:t>
      </w:r>
    </w:p>
    <w:p w14:paraId="0EACD154" w14:textId="77777777" w:rsidR="004C012F" w:rsidRPr="004C012F" w:rsidRDefault="004C012F" w:rsidP="005C01B3">
      <w:pPr>
        <w:pStyle w:val="Default"/>
        <w:spacing w:line="276" w:lineRule="auto"/>
        <w:jc w:val="both"/>
        <w:rPr>
          <w:rFonts w:asciiTheme="minorHAnsi" w:hAnsiTheme="minorHAnsi"/>
        </w:rPr>
      </w:pPr>
      <w:r w:rsidRPr="004C012F">
        <w:rPr>
          <w:rFonts w:asciiTheme="minorHAnsi" w:hAnsiTheme="minorHAnsi"/>
        </w:rPr>
        <w:t xml:space="preserve">En 2017, 1 311 000 couples années protection ont été comptabilisés. </w:t>
      </w:r>
    </w:p>
    <w:p w14:paraId="16E7417C" w14:textId="77777777" w:rsidR="004C012F" w:rsidRDefault="004C012F" w:rsidP="005C01B3">
      <w:pPr>
        <w:spacing w:after="0"/>
        <w:jc w:val="both"/>
        <w:rPr>
          <w:sz w:val="24"/>
          <w:szCs w:val="24"/>
        </w:rPr>
      </w:pPr>
      <w:r w:rsidRPr="004C012F">
        <w:rPr>
          <w:sz w:val="24"/>
          <w:szCs w:val="24"/>
        </w:rPr>
        <w:t>De 2013 à 2017, cet indicateur a connu une hausse de 84,6% en passant de 710 000 à 1 311 000 couples années protection.</w:t>
      </w:r>
    </w:p>
    <w:p w14:paraId="40C7EDD7" w14:textId="77777777" w:rsidR="002C0A20" w:rsidRPr="005C01B3" w:rsidRDefault="00495D42" w:rsidP="005C01B3">
      <w:pPr>
        <w:jc w:val="both"/>
        <w:rPr>
          <w:sz w:val="24"/>
          <w:szCs w:val="24"/>
        </w:rPr>
      </w:pPr>
      <w:r>
        <w:rPr>
          <w:sz w:val="24"/>
          <w:szCs w:val="24"/>
        </w:rPr>
        <w:t xml:space="preserve">Même si la baisse du </w:t>
      </w:r>
      <w:r w:rsidRPr="009E3BA0">
        <w:rPr>
          <w:sz w:val="24"/>
          <w:szCs w:val="24"/>
        </w:rPr>
        <w:t xml:space="preserve">taux </w:t>
      </w:r>
      <w:r>
        <w:rPr>
          <w:sz w:val="24"/>
          <w:szCs w:val="24"/>
        </w:rPr>
        <w:t xml:space="preserve">d’utilisation de méthodes contraceptives de 2017 (27,5%) </w:t>
      </w:r>
      <w:r w:rsidRPr="009E3BA0">
        <w:rPr>
          <w:sz w:val="24"/>
          <w:szCs w:val="24"/>
        </w:rPr>
        <w:t>en baisse par rapport à l’année 2016 (31,7%)</w:t>
      </w:r>
      <w:r>
        <w:rPr>
          <w:sz w:val="24"/>
          <w:szCs w:val="24"/>
        </w:rPr>
        <w:t xml:space="preserve"> pourrait s’expliquer par </w:t>
      </w:r>
      <w:r>
        <w:t xml:space="preserve">l’application effective de la définition </w:t>
      </w:r>
      <w:r w:rsidRPr="005C01B3">
        <w:rPr>
          <w:sz w:val="24"/>
          <w:szCs w:val="24"/>
        </w:rPr>
        <w:t xml:space="preserve">« nouvelles et anciennes utilisatrices », la courbe n’affiche pas une progression nette. </w:t>
      </w:r>
    </w:p>
    <w:p w14:paraId="50FC28FF" w14:textId="16AFF9B3" w:rsidR="002C0A20" w:rsidRDefault="00B82D55" w:rsidP="005C01B3">
      <w:pPr>
        <w:pStyle w:val="Paragraphedeliste"/>
        <w:numPr>
          <w:ilvl w:val="3"/>
          <w:numId w:val="1"/>
        </w:numPr>
        <w:spacing w:after="0"/>
        <w:jc w:val="both"/>
        <w:rPr>
          <w:b/>
          <w:sz w:val="24"/>
          <w:szCs w:val="24"/>
        </w:rPr>
      </w:pPr>
      <w:r>
        <w:rPr>
          <w:b/>
          <w:sz w:val="24"/>
          <w:szCs w:val="24"/>
        </w:rPr>
        <w:t>G</w:t>
      </w:r>
      <w:r w:rsidR="00266310">
        <w:rPr>
          <w:b/>
          <w:sz w:val="24"/>
          <w:szCs w:val="24"/>
        </w:rPr>
        <w:t>aps de performances</w:t>
      </w:r>
      <w:r>
        <w:rPr>
          <w:b/>
          <w:sz w:val="24"/>
          <w:szCs w:val="24"/>
        </w:rPr>
        <w:t xml:space="preserve"> et leurs causes</w:t>
      </w:r>
    </w:p>
    <w:p w14:paraId="74BD9AF2" w14:textId="77777777" w:rsidR="002C0A20" w:rsidRPr="00B82D55" w:rsidRDefault="002C0A20" w:rsidP="00A97663">
      <w:pPr>
        <w:pStyle w:val="Paragraphedeliste"/>
        <w:numPr>
          <w:ilvl w:val="0"/>
          <w:numId w:val="32"/>
        </w:numPr>
        <w:spacing w:after="0"/>
        <w:ind w:left="360"/>
        <w:jc w:val="both"/>
        <w:rPr>
          <w:i/>
          <w:sz w:val="24"/>
          <w:szCs w:val="24"/>
        </w:rPr>
      </w:pPr>
      <w:r w:rsidRPr="00B82D55">
        <w:rPr>
          <w:i/>
          <w:sz w:val="24"/>
          <w:szCs w:val="24"/>
        </w:rPr>
        <w:t>La persistance d’une demande non satisfaite</w:t>
      </w:r>
    </w:p>
    <w:p w14:paraId="28EE2DBA" w14:textId="77777777" w:rsidR="00CA029D" w:rsidRPr="00B82D55" w:rsidRDefault="00CA029D" w:rsidP="005C01B3">
      <w:pPr>
        <w:pStyle w:val="Paragraphedeliste"/>
        <w:spacing w:after="0"/>
        <w:ind w:left="360"/>
        <w:jc w:val="both"/>
        <w:rPr>
          <w:sz w:val="24"/>
          <w:szCs w:val="24"/>
        </w:rPr>
      </w:pPr>
      <w:r w:rsidRPr="00B82D55">
        <w:rPr>
          <w:sz w:val="24"/>
          <w:szCs w:val="24"/>
        </w:rPr>
        <w:t>De 2003 à 2010, L’augmentation des connaissances des hommes et des femmes en matière planification familiale a connu une bonne progression en passant de 91,7% à 98% des femmes en union et de 95,6% à 99,5% des hommes en union qui ont déclaré connaître au moins une méthode contraceptive</w:t>
      </w:r>
    </w:p>
    <w:p w14:paraId="545CFD21" w14:textId="77777777" w:rsidR="00C229C9" w:rsidRPr="00B82D55" w:rsidRDefault="00CA029D" w:rsidP="005C01B3">
      <w:pPr>
        <w:pStyle w:val="Paragraphedeliste"/>
        <w:spacing w:after="0"/>
        <w:ind w:left="360"/>
        <w:jc w:val="both"/>
        <w:rPr>
          <w:sz w:val="24"/>
          <w:szCs w:val="24"/>
        </w:rPr>
      </w:pPr>
      <w:r w:rsidRPr="00B82D55">
        <w:rPr>
          <w:sz w:val="24"/>
          <w:szCs w:val="24"/>
        </w:rPr>
        <w:t xml:space="preserve">Mais sur une </w:t>
      </w:r>
      <w:r w:rsidR="002C0A20" w:rsidRPr="00B82D55">
        <w:rPr>
          <w:sz w:val="24"/>
          <w:szCs w:val="24"/>
        </w:rPr>
        <w:t>demande de PF chez les femmes actuellement en union de 43,3%</w:t>
      </w:r>
      <w:r w:rsidRPr="00B82D55">
        <w:rPr>
          <w:sz w:val="24"/>
          <w:szCs w:val="24"/>
        </w:rPr>
        <w:t xml:space="preserve">, </w:t>
      </w:r>
      <w:r w:rsidR="002C0A20" w:rsidRPr="00B82D55">
        <w:rPr>
          <w:sz w:val="24"/>
          <w:szCs w:val="24"/>
        </w:rPr>
        <w:t>seuls 22,5% des femmes en union utilisent des contraceptifs, ce qui signifie que 19,4% des femmes actuellement en union ont un besoin non satisfait en PF (EDS 2010).</w:t>
      </w:r>
    </w:p>
    <w:p w14:paraId="0E67BC8C" w14:textId="6D88DCD0" w:rsidR="00C229C9" w:rsidRPr="00B82D55" w:rsidRDefault="00F76A62" w:rsidP="00A97663">
      <w:pPr>
        <w:pStyle w:val="Paragraphedeliste"/>
        <w:numPr>
          <w:ilvl w:val="0"/>
          <w:numId w:val="32"/>
        </w:numPr>
        <w:spacing w:after="0"/>
        <w:ind w:left="360"/>
        <w:jc w:val="both"/>
        <w:rPr>
          <w:i/>
        </w:rPr>
      </w:pPr>
      <w:r w:rsidRPr="00B82D55">
        <w:rPr>
          <w:i/>
        </w:rPr>
        <w:t>Une o</w:t>
      </w:r>
      <w:r w:rsidR="00C229C9" w:rsidRPr="00B82D55">
        <w:rPr>
          <w:i/>
        </w:rPr>
        <w:t xml:space="preserve">ffre et un accès aux Services en matière de </w:t>
      </w:r>
      <w:r w:rsidR="005C01B3">
        <w:rPr>
          <w:i/>
        </w:rPr>
        <w:t>PF</w:t>
      </w:r>
      <w:r w:rsidR="00C229C9" w:rsidRPr="00B82D55">
        <w:rPr>
          <w:i/>
        </w:rPr>
        <w:t xml:space="preserve"> </w:t>
      </w:r>
      <w:r w:rsidRPr="00B82D55">
        <w:rPr>
          <w:i/>
        </w:rPr>
        <w:t>avec encore</w:t>
      </w:r>
      <w:r w:rsidR="00C229C9" w:rsidRPr="00B82D55">
        <w:rPr>
          <w:i/>
        </w:rPr>
        <w:t xml:space="preserve"> des points faibles.</w:t>
      </w:r>
    </w:p>
    <w:p w14:paraId="2242A611" w14:textId="77A569EB" w:rsidR="00F76A62" w:rsidRPr="00BF3126" w:rsidRDefault="00F76A62" w:rsidP="00BF3126">
      <w:pPr>
        <w:pStyle w:val="Paragraphedeliste"/>
        <w:spacing w:after="0"/>
        <w:ind w:left="360"/>
        <w:jc w:val="both"/>
        <w:rPr>
          <w:sz w:val="23"/>
          <w:szCs w:val="23"/>
        </w:rPr>
      </w:pPr>
      <w:r w:rsidRPr="00B82D55">
        <w:rPr>
          <w:sz w:val="23"/>
          <w:szCs w:val="23"/>
        </w:rPr>
        <w:lastRenderedPageBreak/>
        <w:t xml:space="preserve">Quatre-vingt-quinze pourcent (99.5%) des centres de santé publics offrent certains services de PF, mais seulement </w:t>
      </w:r>
      <w:r w:rsidRPr="00B82D55">
        <w:rPr>
          <w:bCs/>
          <w:sz w:val="23"/>
          <w:szCs w:val="23"/>
        </w:rPr>
        <w:t>30,1%</w:t>
      </w:r>
      <w:r w:rsidRPr="00B82D55">
        <w:rPr>
          <w:sz w:val="23"/>
          <w:szCs w:val="23"/>
        </w:rPr>
        <w:t xml:space="preserve"> des points de prestations disposent de toute la gamme complète de contraceptifs. </w:t>
      </w:r>
      <w:r w:rsidRPr="00BF3126">
        <w:rPr>
          <w:sz w:val="23"/>
          <w:szCs w:val="23"/>
        </w:rPr>
        <w:t xml:space="preserve">Le secteur public joue un rôle important dans l’approvisionnement des femmes en méthodes de contraception (74% en 2010), principalement dans les centres de santé et de promotion sociale (CSPS), avec un taux d’approvisionnement de 58 % pour l’ensemble des méthodes. Comme le graphique 10 l’indique, le secteur public fournit 97,3% des injectables, 97,8% des implants, 84,2% des pilules et 94,4% des stérilisations féminines Toutefois, il ne fournit que 9% des condoms masculins. Cela demande un restockage plus fréquent et entraine plus facilement des ruptures de stock. Pour les condoms masculins, les sources alternatives d’approvisionnement constituent le taux le plus élevé avec 51%. </w:t>
      </w:r>
    </w:p>
    <w:p w14:paraId="71E9A89F" w14:textId="77777777" w:rsidR="00F76A62" w:rsidRPr="005C01B3" w:rsidRDefault="00F76A62" w:rsidP="00A97663">
      <w:pPr>
        <w:pStyle w:val="Paragraphedeliste"/>
        <w:numPr>
          <w:ilvl w:val="0"/>
          <w:numId w:val="32"/>
        </w:numPr>
        <w:spacing w:after="0"/>
        <w:ind w:left="360"/>
        <w:jc w:val="both"/>
        <w:rPr>
          <w:i/>
          <w:sz w:val="24"/>
          <w:szCs w:val="24"/>
        </w:rPr>
      </w:pPr>
      <w:r w:rsidRPr="005C01B3">
        <w:rPr>
          <w:i/>
          <w:sz w:val="24"/>
          <w:szCs w:val="24"/>
        </w:rPr>
        <w:t>La Sécurisation des produits contraceptifs de planification familiale est incomplète</w:t>
      </w:r>
    </w:p>
    <w:p w14:paraId="2BF6E2C9" w14:textId="77777777" w:rsidR="00F76A62" w:rsidRDefault="00F76A62" w:rsidP="005C01B3">
      <w:pPr>
        <w:spacing w:after="0"/>
        <w:ind w:left="360"/>
        <w:jc w:val="both"/>
        <w:rPr>
          <w:sz w:val="23"/>
          <w:szCs w:val="23"/>
        </w:rPr>
      </w:pPr>
      <w:r w:rsidRPr="00B72473">
        <w:rPr>
          <w:sz w:val="23"/>
          <w:szCs w:val="23"/>
        </w:rPr>
        <w:t>La demande totale en PF en 2015 est de 43,3% et seulement 55,3% de la demande est satisfaite. Les besoins non satisfaits sont toujours élevés à 19%</w:t>
      </w:r>
      <w:r w:rsidRPr="00B72473">
        <w:rPr>
          <w:rStyle w:val="Appelnotedebasdep"/>
          <w:sz w:val="23"/>
          <w:szCs w:val="23"/>
        </w:rPr>
        <w:footnoteReference w:id="59"/>
      </w:r>
      <w:r w:rsidRPr="00B72473">
        <w:rPr>
          <w:sz w:val="23"/>
          <w:szCs w:val="23"/>
        </w:rPr>
        <w:t xml:space="preserve">. </w:t>
      </w:r>
    </w:p>
    <w:p w14:paraId="3966F8C9" w14:textId="3CC985AB" w:rsidR="00D906B1" w:rsidRPr="00D906B1" w:rsidRDefault="008134F5" w:rsidP="00A97663">
      <w:pPr>
        <w:pStyle w:val="Default"/>
        <w:numPr>
          <w:ilvl w:val="0"/>
          <w:numId w:val="33"/>
        </w:numPr>
        <w:spacing w:line="276" w:lineRule="auto"/>
        <w:jc w:val="both"/>
        <w:rPr>
          <w:rFonts w:asciiTheme="minorHAnsi" w:hAnsiTheme="minorHAnsi"/>
          <w:bCs/>
          <w:i/>
        </w:rPr>
      </w:pPr>
      <w:r w:rsidRPr="00D906B1">
        <w:rPr>
          <w:rFonts w:asciiTheme="minorHAnsi" w:hAnsiTheme="minorHAnsi"/>
          <w:i/>
        </w:rPr>
        <w:t xml:space="preserve">La </w:t>
      </w:r>
      <w:r w:rsidRPr="00D906B1">
        <w:rPr>
          <w:rFonts w:asciiTheme="minorHAnsi" w:hAnsiTheme="minorHAnsi"/>
          <w:bCs/>
          <w:i/>
        </w:rPr>
        <w:t>Capacité opérationnelle des services de PF sur base de 7 éléments traceurs</w:t>
      </w:r>
      <w:r w:rsidR="00D906B1" w:rsidRPr="00D906B1">
        <w:rPr>
          <w:rFonts w:asciiTheme="minorHAnsi" w:hAnsiTheme="minorHAnsi"/>
          <w:bCs/>
          <w:i/>
        </w:rPr>
        <w:t xml:space="preserve"> est basse</w:t>
      </w:r>
    </w:p>
    <w:p w14:paraId="3E630099" w14:textId="77777777" w:rsidR="00D906B1" w:rsidRPr="00D906B1" w:rsidRDefault="00D906B1" w:rsidP="005C01B3">
      <w:pPr>
        <w:pStyle w:val="Default"/>
        <w:spacing w:line="276" w:lineRule="auto"/>
        <w:ind w:left="360"/>
        <w:jc w:val="both"/>
        <w:rPr>
          <w:rFonts w:asciiTheme="minorHAnsi" w:hAnsiTheme="minorHAnsi"/>
          <w:bCs/>
        </w:rPr>
      </w:pPr>
      <w:r w:rsidRPr="00D906B1">
        <w:rPr>
          <w:rFonts w:asciiTheme="minorHAnsi" w:hAnsiTheme="minorHAnsi"/>
        </w:rPr>
        <w:t xml:space="preserve">La </w:t>
      </w:r>
      <w:r w:rsidRPr="00D906B1">
        <w:rPr>
          <w:rFonts w:asciiTheme="minorHAnsi" w:hAnsiTheme="minorHAnsi"/>
          <w:bCs/>
        </w:rPr>
        <w:t>Capacité opérationnelle des services de PF évaluée sur base de 7 éléments traceurs</w:t>
      </w:r>
    </w:p>
    <w:p w14:paraId="771AD5A8" w14:textId="77777777" w:rsidR="008134F5" w:rsidRPr="00D906B1" w:rsidRDefault="008134F5" w:rsidP="005C01B3">
      <w:pPr>
        <w:pStyle w:val="Default"/>
        <w:spacing w:line="276" w:lineRule="auto"/>
        <w:ind w:left="360"/>
        <w:jc w:val="both"/>
        <w:rPr>
          <w:rFonts w:asciiTheme="minorHAnsi" w:hAnsiTheme="minorHAnsi" w:cs="Symbol"/>
        </w:rPr>
      </w:pPr>
      <w:r w:rsidRPr="00D906B1">
        <w:rPr>
          <w:rFonts w:asciiTheme="minorHAnsi" w:hAnsiTheme="minorHAnsi"/>
          <w:bCs/>
        </w:rPr>
        <w:t>(</w:t>
      </w:r>
      <w:r w:rsidRPr="00D906B1">
        <w:rPr>
          <w:rFonts w:asciiTheme="minorHAnsi" w:hAnsiTheme="minorHAnsi" w:cs="Symbol"/>
        </w:rPr>
        <w:t>Directives nationales en matière de PF, Personnel formé à la PF aux cours des deux années passées, Liste de contrôle ou autres aides à la PF,</w:t>
      </w:r>
      <w:r w:rsidRPr="00D906B1">
        <w:rPr>
          <w:rFonts w:asciiTheme="minorHAnsi" w:hAnsiTheme="minorHAnsi"/>
        </w:rPr>
        <w:t xml:space="preserve"> Tensiomètre, Pilules contraceptives orales combinées, Contraceptifs injectables, Préservatifs </w:t>
      </w:r>
      <w:r w:rsidR="00D906B1" w:rsidRPr="00D906B1">
        <w:rPr>
          <w:rFonts w:asciiTheme="minorHAnsi" w:hAnsiTheme="minorHAnsi"/>
        </w:rPr>
        <w:t>masculins)</w:t>
      </w:r>
      <w:r w:rsidR="00D906B1">
        <w:rPr>
          <w:rFonts w:asciiTheme="minorHAnsi" w:hAnsiTheme="minorHAnsi"/>
        </w:rPr>
        <w:t xml:space="preserve"> est basse et en baisse.</w:t>
      </w:r>
    </w:p>
    <w:p w14:paraId="5B837355" w14:textId="3587FB89" w:rsidR="008134F5" w:rsidRPr="00D906B1" w:rsidRDefault="008134F5" w:rsidP="005C01B3">
      <w:pPr>
        <w:pStyle w:val="Paragraphedeliste"/>
        <w:ind w:left="360"/>
        <w:jc w:val="both"/>
        <w:rPr>
          <w:sz w:val="24"/>
          <w:szCs w:val="24"/>
        </w:rPr>
      </w:pPr>
      <w:r w:rsidRPr="00D906B1">
        <w:rPr>
          <w:sz w:val="24"/>
          <w:szCs w:val="24"/>
        </w:rPr>
        <w:t>La proportion des établissements de santé qui disposent de tous les sept (07) éléments est de 24% en 2016 contre 54% en 2014 et 51% en 2012. Cette baisse s’explique</w:t>
      </w:r>
      <w:r w:rsidR="005C01B3">
        <w:rPr>
          <w:sz w:val="24"/>
          <w:szCs w:val="24"/>
        </w:rPr>
        <w:t xml:space="preserve"> </w:t>
      </w:r>
      <w:r w:rsidRPr="00D906B1">
        <w:rPr>
          <w:sz w:val="24"/>
          <w:szCs w:val="24"/>
        </w:rPr>
        <w:t>par la non disponibilité des directives dans plus de la moitié des formations sanitaires. Le score de disponibilité globale est de 81% contre 90% en 2014 et 88% en 2012</w:t>
      </w:r>
      <w:r w:rsidRPr="00D906B1">
        <w:rPr>
          <w:rStyle w:val="Appelnotedebasdep"/>
          <w:sz w:val="24"/>
          <w:szCs w:val="24"/>
        </w:rPr>
        <w:footnoteReference w:id="60"/>
      </w:r>
      <w:r w:rsidRPr="00D906B1">
        <w:rPr>
          <w:sz w:val="24"/>
          <w:szCs w:val="24"/>
        </w:rPr>
        <w:t>.</w:t>
      </w:r>
    </w:p>
    <w:p w14:paraId="5CEC73E5" w14:textId="77777777" w:rsidR="00ED5286" w:rsidRPr="00D906B1" w:rsidRDefault="00ED5286" w:rsidP="00A97663">
      <w:pPr>
        <w:pStyle w:val="Paragraphedeliste"/>
        <w:numPr>
          <w:ilvl w:val="0"/>
          <w:numId w:val="33"/>
        </w:numPr>
        <w:spacing w:after="0"/>
        <w:jc w:val="both"/>
        <w:rPr>
          <w:i/>
          <w:sz w:val="23"/>
          <w:szCs w:val="23"/>
        </w:rPr>
      </w:pPr>
      <w:r w:rsidRPr="00D906B1">
        <w:rPr>
          <w:i/>
          <w:sz w:val="23"/>
          <w:szCs w:val="23"/>
        </w:rPr>
        <w:t>Une répartition inégale des performances au niveau des régions</w:t>
      </w:r>
    </w:p>
    <w:p w14:paraId="7627073B" w14:textId="64BCC3B8" w:rsidR="00ED5286" w:rsidRPr="00D906B1" w:rsidRDefault="00ED5286" w:rsidP="005C01B3">
      <w:pPr>
        <w:pStyle w:val="Paragraphedeliste"/>
        <w:ind w:left="360"/>
        <w:jc w:val="both"/>
        <w:rPr>
          <w:sz w:val="23"/>
          <w:szCs w:val="23"/>
        </w:rPr>
      </w:pPr>
      <w:r w:rsidRPr="00D906B1">
        <w:rPr>
          <w:sz w:val="23"/>
          <w:szCs w:val="23"/>
        </w:rPr>
        <w:t>En 2017, le taux d’utilisation le plus élevé est observé dans l</w:t>
      </w:r>
      <w:r w:rsidR="00BF3126">
        <w:rPr>
          <w:sz w:val="23"/>
          <w:szCs w:val="23"/>
        </w:rPr>
        <w:t>e</w:t>
      </w:r>
      <w:r w:rsidRPr="00D906B1">
        <w:rPr>
          <w:sz w:val="23"/>
          <w:szCs w:val="23"/>
        </w:rPr>
        <w:t xml:space="preserve"> Sud-Ouest (34,7%) et le plus bas dans la région du Centre-Est (16,6%) soit une différence de 18,1 points. Six régions sur 13 </w:t>
      </w:r>
      <w:r w:rsidR="00FC5915" w:rsidRPr="00D906B1">
        <w:rPr>
          <w:sz w:val="23"/>
          <w:szCs w:val="23"/>
        </w:rPr>
        <w:t>(Centre</w:t>
      </w:r>
      <w:r w:rsidRPr="00D906B1">
        <w:rPr>
          <w:sz w:val="23"/>
          <w:szCs w:val="23"/>
        </w:rPr>
        <w:t xml:space="preserve">-Est, Cascades, Centre, Sahel, Centre-Ouest, </w:t>
      </w:r>
      <w:r w:rsidR="00FC5915" w:rsidRPr="00D906B1">
        <w:rPr>
          <w:sz w:val="23"/>
          <w:szCs w:val="23"/>
        </w:rPr>
        <w:t>Hauts-Bassins) n’atteignent</w:t>
      </w:r>
      <w:r w:rsidRPr="00D906B1">
        <w:rPr>
          <w:sz w:val="23"/>
          <w:szCs w:val="23"/>
        </w:rPr>
        <w:t xml:space="preserve"> pas la moyenne nationale.</w:t>
      </w:r>
    </w:p>
    <w:p w14:paraId="2FFC4381" w14:textId="1A36EB93" w:rsidR="005C01B3" w:rsidRPr="00BF3126" w:rsidRDefault="00ED5286" w:rsidP="00BF3126">
      <w:pPr>
        <w:spacing w:after="0" w:line="360" w:lineRule="auto"/>
        <w:jc w:val="both"/>
        <w:rPr>
          <w:sz w:val="23"/>
          <w:szCs w:val="23"/>
        </w:rPr>
      </w:pPr>
      <w:r>
        <w:rPr>
          <w:noProof/>
          <w:sz w:val="23"/>
          <w:szCs w:val="23"/>
          <w:lang w:eastAsia="fr-FR"/>
        </w:rPr>
        <mc:AlternateContent>
          <mc:Choice Requires="wps">
            <w:drawing>
              <wp:anchor distT="0" distB="0" distL="114300" distR="114300" simplePos="0" relativeHeight="251706368" behindDoc="0" locked="0" layoutInCell="1" allowOverlap="1" wp14:anchorId="7A6ECD34" wp14:editId="07C34705">
                <wp:simplePos x="0" y="0"/>
                <wp:positionH relativeFrom="column">
                  <wp:posOffset>161254</wp:posOffset>
                </wp:positionH>
                <wp:positionV relativeFrom="paragraph">
                  <wp:posOffset>563173</wp:posOffset>
                </wp:positionV>
                <wp:extent cx="5244860" cy="8627"/>
                <wp:effectExtent l="0" t="0" r="13335" b="29845"/>
                <wp:wrapNone/>
                <wp:docPr id="28" name="Connecteur droit 28"/>
                <wp:cNvGraphicFramePr/>
                <a:graphic xmlns:a="http://schemas.openxmlformats.org/drawingml/2006/main">
                  <a:graphicData uri="http://schemas.microsoft.com/office/word/2010/wordprocessingShape">
                    <wps:wsp>
                      <wps:cNvCnPr/>
                      <wps:spPr>
                        <a:xfrm flipH="1" flipV="1">
                          <a:off x="0" y="0"/>
                          <a:ext cx="5244860" cy="8627"/>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9523ABE" id="Connecteur droit 28" o:spid="_x0000_s1026" style="position:absolute;flip:x y;z-index:251706368;visibility:visible;mso-wrap-style:square;mso-wrap-distance-left:9pt;mso-wrap-distance-top:0;mso-wrap-distance-right:9pt;mso-wrap-distance-bottom:0;mso-position-horizontal:absolute;mso-position-horizontal-relative:text;mso-position-vertical:absolute;mso-position-vertical-relative:text" from="12.7pt,44.35pt" to="425.7pt,4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" strokecolor="#bc4542 [3045]"/>
            </w:pict>
          </mc:Fallback>
        </mc:AlternateContent>
      </w:r>
      <w:r w:rsidRPr="00ED5286">
        <w:rPr>
          <w:noProof/>
          <w:sz w:val="23"/>
          <w:szCs w:val="23"/>
          <w:lang w:eastAsia="fr-FR"/>
        </w:rPr>
        <w:drawing>
          <wp:inline distT="0" distB="0" distL="0" distR="0" wp14:anchorId="6988397F" wp14:editId="526FD079">
            <wp:extent cx="5525063" cy="2231183"/>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542130" cy="2238075"/>
                    </a:xfrm>
                    <a:prstGeom prst="rect">
                      <a:avLst/>
                    </a:prstGeom>
                    <a:noFill/>
                    <a:ln>
                      <a:noFill/>
                    </a:ln>
                  </pic:spPr>
                </pic:pic>
              </a:graphicData>
            </a:graphic>
          </wp:inline>
        </w:drawing>
      </w:r>
      <w:r w:rsidR="005C01B3" w:rsidRPr="005C01B3">
        <w:rPr>
          <w:b/>
          <w:sz w:val="20"/>
          <w:szCs w:val="20"/>
        </w:rPr>
        <w:t>Figure 1</w:t>
      </w:r>
      <w:r w:rsidR="00651794">
        <w:rPr>
          <w:b/>
          <w:sz w:val="20"/>
          <w:szCs w:val="20"/>
        </w:rPr>
        <w:t>4</w:t>
      </w:r>
      <w:r w:rsidR="005C01B3" w:rsidRPr="005C01B3">
        <w:rPr>
          <w:b/>
          <w:sz w:val="20"/>
          <w:szCs w:val="20"/>
        </w:rPr>
        <w:t> : Taux d’utilisation de méthodes contraceptives par Régions</w:t>
      </w:r>
    </w:p>
    <w:p w14:paraId="7EE78C49" w14:textId="10AF4BD1" w:rsidR="00D906B1" w:rsidRPr="005C01B3" w:rsidRDefault="00D906B1" w:rsidP="00A97663">
      <w:pPr>
        <w:pStyle w:val="Paragraphedeliste"/>
        <w:numPr>
          <w:ilvl w:val="0"/>
          <w:numId w:val="33"/>
        </w:numPr>
        <w:spacing w:after="0"/>
        <w:jc w:val="both"/>
        <w:rPr>
          <w:i/>
          <w:sz w:val="23"/>
          <w:szCs w:val="23"/>
        </w:rPr>
      </w:pPr>
      <w:r w:rsidRPr="005C01B3">
        <w:rPr>
          <w:i/>
          <w:sz w:val="23"/>
          <w:szCs w:val="23"/>
        </w:rPr>
        <w:lastRenderedPageBreak/>
        <w:t xml:space="preserve">Insuffisance ou rupture de stock en intrants : </w:t>
      </w:r>
      <w:r w:rsidRPr="005C01B3">
        <w:rPr>
          <w:sz w:val="23"/>
          <w:szCs w:val="23"/>
        </w:rPr>
        <w:t xml:space="preserve">Personnel formé, Kits d’insertion et de retrait, </w:t>
      </w:r>
    </w:p>
    <w:p w14:paraId="13FDBF03" w14:textId="77777777" w:rsidR="00D906B1" w:rsidRPr="00912392" w:rsidRDefault="00D906B1" w:rsidP="00A97663">
      <w:pPr>
        <w:pStyle w:val="Paragraphedeliste"/>
        <w:numPr>
          <w:ilvl w:val="0"/>
          <w:numId w:val="33"/>
        </w:numPr>
        <w:spacing w:after="0"/>
        <w:jc w:val="both"/>
        <w:rPr>
          <w:i/>
          <w:sz w:val="23"/>
          <w:szCs w:val="23"/>
        </w:rPr>
      </w:pPr>
      <w:r w:rsidRPr="00912392">
        <w:rPr>
          <w:i/>
          <w:sz w:val="23"/>
          <w:szCs w:val="23"/>
        </w:rPr>
        <w:t>Insuffisance de l’offre au niveau communautaire (délégation des taches, auto-injection)</w:t>
      </w:r>
    </w:p>
    <w:p w14:paraId="08959E8D" w14:textId="77777777" w:rsidR="00D906B1" w:rsidRPr="00912392" w:rsidRDefault="00D906B1" w:rsidP="00A97663">
      <w:pPr>
        <w:pStyle w:val="Paragraphedeliste"/>
        <w:numPr>
          <w:ilvl w:val="0"/>
          <w:numId w:val="33"/>
        </w:numPr>
        <w:spacing w:after="0"/>
        <w:jc w:val="both"/>
        <w:rPr>
          <w:i/>
          <w:sz w:val="23"/>
          <w:szCs w:val="23"/>
        </w:rPr>
      </w:pPr>
      <w:r w:rsidRPr="00912392">
        <w:rPr>
          <w:i/>
          <w:sz w:val="23"/>
          <w:szCs w:val="23"/>
        </w:rPr>
        <w:t>La qualité des prestations souffre d’insuffisance au niveau de</w:t>
      </w:r>
    </w:p>
    <w:p w14:paraId="6EF02D22" w14:textId="77777777" w:rsidR="00912392" w:rsidRDefault="00912392" w:rsidP="00A97663">
      <w:pPr>
        <w:pStyle w:val="Paragraphedeliste"/>
        <w:numPr>
          <w:ilvl w:val="0"/>
          <w:numId w:val="34"/>
        </w:numPr>
        <w:spacing w:after="0"/>
        <w:jc w:val="both"/>
        <w:rPr>
          <w:sz w:val="23"/>
          <w:szCs w:val="23"/>
        </w:rPr>
      </w:pPr>
      <w:r>
        <w:rPr>
          <w:sz w:val="23"/>
          <w:szCs w:val="23"/>
        </w:rPr>
        <w:t>Respect des normes et protocoles</w:t>
      </w:r>
    </w:p>
    <w:p w14:paraId="0F006E1C" w14:textId="77777777" w:rsidR="00912392" w:rsidRDefault="00912392" w:rsidP="00A97663">
      <w:pPr>
        <w:pStyle w:val="Paragraphedeliste"/>
        <w:numPr>
          <w:ilvl w:val="0"/>
          <w:numId w:val="34"/>
        </w:numPr>
        <w:spacing w:after="0"/>
        <w:jc w:val="both"/>
        <w:rPr>
          <w:sz w:val="23"/>
          <w:szCs w:val="23"/>
        </w:rPr>
      </w:pPr>
      <w:r>
        <w:rPr>
          <w:sz w:val="23"/>
          <w:szCs w:val="23"/>
        </w:rPr>
        <w:t>Sécurité du patient, gestion des déchets biomédicaux</w:t>
      </w:r>
    </w:p>
    <w:p w14:paraId="1E8CEC49" w14:textId="77777777" w:rsidR="00912392" w:rsidRDefault="00912392" w:rsidP="00A97663">
      <w:pPr>
        <w:pStyle w:val="Paragraphedeliste"/>
        <w:numPr>
          <w:ilvl w:val="0"/>
          <w:numId w:val="34"/>
        </w:numPr>
        <w:spacing w:after="0"/>
        <w:jc w:val="both"/>
        <w:rPr>
          <w:sz w:val="23"/>
          <w:szCs w:val="23"/>
        </w:rPr>
      </w:pPr>
      <w:r>
        <w:rPr>
          <w:sz w:val="23"/>
          <w:szCs w:val="23"/>
        </w:rPr>
        <w:t xml:space="preserve">Conditions de conservation et stockage des produits </w:t>
      </w:r>
    </w:p>
    <w:p w14:paraId="1F516445" w14:textId="77777777" w:rsidR="00912392" w:rsidRPr="00912392" w:rsidRDefault="00912392" w:rsidP="00A97663">
      <w:pPr>
        <w:pStyle w:val="Paragraphedeliste"/>
        <w:numPr>
          <w:ilvl w:val="0"/>
          <w:numId w:val="33"/>
        </w:numPr>
        <w:spacing w:after="0"/>
        <w:jc w:val="both"/>
        <w:rPr>
          <w:i/>
          <w:sz w:val="23"/>
          <w:szCs w:val="23"/>
        </w:rPr>
      </w:pPr>
      <w:r w:rsidRPr="00912392">
        <w:rPr>
          <w:i/>
          <w:sz w:val="23"/>
          <w:szCs w:val="23"/>
        </w:rPr>
        <w:t>La demande est entravée par</w:t>
      </w:r>
    </w:p>
    <w:p w14:paraId="108063F1" w14:textId="77777777" w:rsidR="00912392" w:rsidRDefault="00912392" w:rsidP="00A97663">
      <w:pPr>
        <w:pStyle w:val="Paragraphedeliste"/>
        <w:numPr>
          <w:ilvl w:val="0"/>
          <w:numId w:val="35"/>
        </w:numPr>
        <w:spacing w:after="0"/>
        <w:jc w:val="both"/>
        <w:rPr>
          <w:sz w:val="23"/>
          <w:szCs w:val="23"/>
        </w:rPr>
      </w:pPr>
      <w:r>
        <w:rPr>
          <w:sz w:val="23"/>
          <w:szCs w:val="23"/>
        </w:rPr>
        <w:t>Insuffisance de l’information</w:t>
      </w:r>
    </w:p>
    <w:p w14:paraId="2886C2DC" w14:textId="77777777" w:rsidR="00912392" w:rsidRPr="000B5A16" w:rsidRDefault="00912392" w:rsidP="00A97663">
      <w:pPr>
        <w:pStyle w:val="Paragraphedeliste"/>
        <w:numPr>
          <w:ilvl w:val="0"/>
          <w:numId w:val="35"/>
        </w:numPr>
        <w:spacing w:after="0"/>
        <w:jc w:val="both"/>
        <w:rPr>
          <w:sz w:val="23"/>
          <w:szCs w:val="23"/>
        </w:rPr>
      </w:pPr>
      <w:r w:rsidRPr="000B5A16">
        <w:rPr>
          <w:sz w:val="23"/>
          <w:szCs w:val="23"/>
        </w:rPr>
        <w:t>Accessibilité géogra</w:t>
      </w:r>
      <w:r>
        <w:rPr>
          <w:sz w:val="23"/>
          <w:szCs w:val="23"/>
        </w:rPr>
        <w:t>phique</w:t>
      </w:r>
      <w:r w:rsidRPr="000B5A16">
        <w:rPr>
          <w:sz w:val="23"/>
          <w:szCs w:val="23"/>
        </w:rPr>
        <w:t xml:space="preserve"> </w:t>
      </w:r>
      <w:r>
        <w:rPr>
          <w:sz w:val="23"/>
          <w:szCs w:val="23"/>
        </w:rPr>
        <w:t>(disparité régionale)</w:t>
      </w:r>
    </w:p>
    <w:p w14:paraId="54EE2F23" w14:textId="77777777" w:rsidR="00912392" w:rsidRDefault="00912392" w:rsidP="00A97663">
      <w:pPr>
        <w:pStyle w:val="Paragraphedeliste"/>
        <w:numPr>
          <w:ilvl w:val="0"/>
          <w:numId w:val="35"/>
        </w:numPr>
        <w:spacing w:after="0"/>
        <w:jc w:val="both"/>
        <w:rPr>
          <w:sz w:val="23"/>
          <w:szCs w:val="23"/>
        </w:rPr>
      </w:pPr>
      <w:r>
        <w:rPr>
          <w:sz w:val="23"/>
          <w:szCs w:val="23"/>
        </w:rPr>
        <w:t>Pesanteur des croyances socio-culturelles (Réticences des conjoints et belles-mères)</w:t>
      </w:r>
    </w:p>
    <w:p w14:paraId="50933AEA" w14:textId="77777777" w:rsidR="00912392" w:rsidRDefault="00912392" w:rsidP="00A97663">
      <w:pPr>
        <w:pStyle w:val="Paragraphedeliste"/>
        <w:numPr>
          <w:ilvl w:val="0"/>
          <w:numId w:val="35"/>
        </w:numPr>
        <w:spacing w:after="0"/>
        <w:jc w:val="both"/>
        <w:rPr>
          <w:sz w:val="23"/>
          <w:szCs w:val="23"/>
        </w:rPr>
      </w:pPr>
      <w:r>
        <w:rPr>
          <w:sz w:val="23"/>
          <w:szCs w:val="23"/>
        </w:rPr>
        <w:t>Accessibilité financière (coûts indirects,)</w:t>
      </w:r>
    </w:p>
    <w:p w14:paraId="3B47FDBF" w14:textId="77777777" w:rsidR="002C0A20" w:rsidRDefault="00912392" w:rsidP="00A97663">
      <w:pPr>
        <w:pStyle w:val="Paragraphedeliste"/>
        <w:numPr>
          <w:ilvl w:val="0"/>
          <w:numId w:val="35"/>
        </w:numPr>
        <w:spacing w:after="0"/>
        <w:jc w:val="both"/>
        <w:rPr>
          <w:sz w:val="23"/>
          <w:szCs w:val="23"/>
        </w:rPr>
      </w:pPr>
      <w:r>
        <w:rPr>
          <w:sz w:val="23"/>
          <w:szCs w:val="23"/>
        </w:rPr>
        <w:t>La faible implication de l’homme</w:t>
      </w:r>
    </w:p>
    <w:p w14:paraId="53DE60F3" w14:textId="77777777" w:rsidR="00987FCC" w:rsidRPr="00912392" w:rsidRDefault="00987FCC" w:rsidP="00987FCC">
      <w:pPr>
        <w:pStyle w:val="Paragraphedeliste"/>
        <w:spacing w:after="180"/>
        <w:jc w:val="both"/>
        <w:rPr>
          <w:sz w:val="23"/>
          <w:szCs w:val="23"/>
        </w:rPr>
      </w:pPr>
    </w:p>
    <w:p w14:paraId="153A3EF2" w14:textId="77777777" w:rsidR="004527CF" w:rsidRPr="00F26721" w:rsidRDefault="004527CF" w:rsidP="00987FCC">
      <w:pPr>
        <w:pStyle w:val="Paragraphedeliste"/>
        <w:numPr>
          <w:ilvl w:val="2"/>
          <w:numId w:val="1"/>
        </w:numPr>
        <w:spacing w:before="240" w:after="0" w:line="360" w:lineRule="auto"/>
        <w:jc w:val="both"/>
        <w:rPr>
          <w:rFonts w:eastAsia="Calibri"/>
          <w:caps/>
          <w:sz w:val="24"/>
          <w:szCs w:val="24"/>
        </w:rPr>
      </w:pPr>
      <w:bookmarkStart w:id="7" w:name="_Toc522532888"/>
      <w:r w:rsidRPr="00F26721">
        <w:rPr>
          <w:rFonts w:eastAsia="Calibri"/>
          <w:caps/>
          <w:sz w:val="24"/>
          <w:szCs w:val="24"/>
        </w:rPr>
        <w:t>Elimination de la transmission mère-enfant du VIH</w:t>
      </w:r>
      <w:bookmarkEnd w:id="7"/>
    </w:p>
    <w:p w14:paraId="768D7645" w14:textId="77777777" w:rsidR="006F4B4E" w:rsidRPr="00987FCC" w:rsidRDefault="006F4B4E" w:rsidP="005C01B3">
      <w:pPr>
        <w:pStyle w:val="Paragraphedeliste"/>
        <w:numPr>
          <w:ilvl w:val="3"/>
          <w:numId w:val="1"/>
        </w:numPr>
        <w:spacing w:after="0"/>
        <w:jc w:val="both"/>
        <w:rPr>
          <w:rFonts w:cs="Gisha"/>
          <w:b/>
          <w:sz w:val="23"/>
          <w:szCs w:val="23"/>
        </w:rPr>
      </w:pPr>
      <w:r w:rsidRPr="00987FCC">
        <w:rPr>
          <w:rFonts w:cs="Gisha"/>
          <w:b/>
          <w:sz w:val="23"/>
          <w:szCs w:val="23"/>
        </w:rPr>
        <w:t>Performances</w:t>
      </w:r>
    </w:p>
    <w:p w14:paraId="2BFF234A" w14:textId="77777777" w:rsidR="00AF54F2" w:rsidRDefault="00AF54F2" w:rsidP="004527CF">
      <w:pPr>
        <w:spacing w:line="360" w:lineRule="auto"/>
        <w:jc w:val="both"/>
        <w:rPr>
          <w:rFonts w:cs="Gisha"/>
          <w:sz w:val="23"/>
          <w:szCs w:val="23"/>
        </w:rPr>
      </w:pPr>
      <w:r w:rsidRPr="00AF54F2">
        <w:rPr>
          <w:rFonts w:cs="Gisha"/>
          <w:sz w:val="23"/>
          <w:szCs w:val="23"/>
        </w:rPr>
        <w:t xml:space="preserve">Entre 201 et 2017, </w:t>
      </w:r>
      <w:r>
        <w:rPr>
          <w:rFonts w:cs="Gisha"/>
          <w:sz w:val="23"/>
          <w:szCs w:val="23"/>
        </w:rPr>
        <w:t>l</w:t>
      </w:r>
      <w:r w:rsidRPr="00AF54F2">
        <w:rPr>
          <w:rFonts w:cs="Gisha"/>
          <w:sz w:val="23"/>
          <w:szCs w:val="23"/>
        </w:rPr>
        <w:t>es indicateurs</w:t>
      </w:r>
      <w:r>
        <w:rPr>
          <w:rFonts w:cs="Gisha"/>
          <w:sz w:val="23"/>
          <w:szCs w:val="23"/>
        </w:rPr>
        <w:t xml:space="preserve"> de la PTME ont dans l’ensemble con</w:t>
      </w:r>
      <w:r w:rsidR="00BD4A65">
        <w:rPr>
          <w:rFonts w:cs="Gisha"/>
          <w:sz w:val="23"/>
          <w:szCs w:val="23"/>
        </w:rPr>
        <w:t>nu une progression qui va de 2</w:t>
      </w:r>
      <w:r>
        <w:rPr>
          <w:rFonts w:cs="Gisha"/>
          <w:sz w:val="23"/>
          <w:szCs w:val="23"/>
        </w:rPr>
        <w:t xml:space="preserve"> à 28 points.</w:t>
      </w:r>
    </w:p>
    <w:p w14:paraId="75F988D9" w14:textId="4B080FD0" w:rsidR="00534D6A" w:rsidRPr="00B72473" w:rsidRDefault="00534D6A" w:rsidP="00534D6A">
      <w:pPr>
        <w:spacing w:after="0" w:line="360" w:lineRule="auto"/>
        <w:jc w:val="both"/>
        <w:rPr>
          <w:rFonts w:cs="Gisha"/>
          <w:sz w:val="23"/>
          <w:szCs w:val="23"/>
        </w:rPr>
      </w:pPr>
      <w:r w:rsidRPr="00B72473">
        <w:rPr>
          <w:rFonts w:cs="Gisha"/>
          <w:b/>
          <w:sz w:val="23"/>
          <w:szCs w:val="23"/>
        </w:rPr>
        <w:t xml:space="preserve">Tableau </w:t>
      </w:r>
      <w:r w:rsidRPr="00A331E9">
        <w:rPr>
          <w:rFonts w:eastAsia="Times New Roman"/>
          <w:b/>
          <w:bCs/>
          <w:sz w:val="23"/>
          <w:szCs w:val="23"/>
        </w:rPr>
        <w:t>n°</w:t>
      </w:r>
      <w:r w:rsidR="00BF3126">
        <w:rPr>
          <w:rFonts w:eastAsia="Times New Roman"/>
          <w:b/>
          <w:bCs/>
          <w:sz w:val="23"/>
          <w:szCs w:val="23"/>
        </w:rPr>
        <w:t>4</w:t>
      </w:r>
      <w:r w:rsidRPr="00A331E9">
        <w:rPr>
          <w:rFonts w:eastAsia="Times New Roman"/>
          <w:b/>
          <w:bCs/>
          <w:sz w:val="23"/>
          <w:szCs w:val="23"/>
        </w:rPr>
        <w:t> </w:t>
      </w:r>
      <w:r w:rsidRPr="00B72473">
        <w:rPr>
          <w:rFonts w:cs="Gisha"/>
          <w:b/>
          <w:sz w:val="23"/>
          <w:szCs w:val="23"/>
        </w:rPr>
        <w:t>: Evolution des indicateurs de la PTME de 2010 à 2016 au Burkina Faso</w:t>
      </w:r>
    </w:p>
    <w:p w14:paraId="0103EB2A" w14:textId="77777777" w:rsidR="00534D6A" w:rsidRPr="00B72473" w:rsidRDefault="00534D6A" w:rsidP="00534D6A">
      <w:pPr>
        <w:spacing w:after="160"/>
        <w:contextualSpacing/>
        <w:rPr>
          <w:rFonts w:ascii="Gisha" w:hAnsi="Gisha" w:cs="Gisha"/>
          <w:sz w:val="6"/>
          <w:szCs w:val="28"/>
        </w:rPr>
      </w:pPr>
    </w:p>
    <w:tbl>
      <w:tblPr>
        <w:tblW w:w="9106" w:type="dxa"/>
        <w:tblCellMar>
          <w:left w:w="6" w:type="dxa"/>
          <w:right w:w="6" w:type="dxa"/>
        </w:tblCellMar>
        <w:tblLook w:val="04A0" w:firstRow="1" w:lastRow="0" w:firstColumn="1" w:lastColumn="0" w:noHBand="0" w:noVBand="1"/>
      </w:tblPr>
      <w:tblGrid>
        <w:gridCol w:w="4797"/>
        <w:gridCol w:w="426"/>
        <w:gridCol w:w="709"/>
        <w:gridCol w:w="567"/>
        <w:gridCol w:w="850"/>
        <w:gridCol w:w="443"/>
        <w:gridCol w:w="435"/>
        <w:gridCol w:w="435"/>
        <w:gridCol w:w="444"/>
      </w:tblGrid>
      <w:tr w:rsidR="00534D6A" w:rsidRPr="00534D6A" w14:paraId="20BB861A" w14:textId="77777777" w:rsidTr="00534D6A">
        <w:trPr>
          <w:trHeight w:val="300"/>
          <w:tblHeader/>
        </w:trPr>
        <w:tc>
          <w:tcPr>
            <w:tcW w:w="4797" w:type="dxa"/>
            <w:tcBorders>
              <w:top w:val="single" w:sz="18" w:space="0" w:color="auto"/>
              <w:left w:val="single" w:sz="18" w:space="0" w:color="auto"/>
              <w:bottom w:val="single" w:sz="18" w:space="0" w:color="auto"/>
              <w:right w:val="single" w:sz="8" w:space="0" w:color="auto"/>
            </w:tcBorders>
            <w:shd w:val="clear" w:color="auto" w:fill="D9D9D9" w:themeFill="background1" w:themeFillShade="D9"/>
            <w:noWrap/>
            <w:vAlign w:val="center"/>
            <w:hideMark/>
          </w:tcPr>
          <w:p w14:paraId="0E616754" w14:textId="77777777" w:rsidR="00534D6A" w:rsidRPr="00534D6A" w:rsidRDefault="00534D6A" w:rsidP="00534D6A">
            <w:pPr>
              <w:spacing w:after="0"/>
              <w:jc w:val="center"/>
              <w:rPr>
                <w:rFonts w:eastAsia="Times New Roman" w:cs="Gisha"/>
                <w:b/>
                <w:bCs/>
                <w:sz w:val="20"/>
                <w:szCs w:val="20"/>
              </w:rPr>
            </w:pPr>
            <w:r w:rsidRPr="00534D6A">
              <w:rPr>
                <w:rFonts w:eastAsia="Times New Roman" w:cs="Gisha"/>
                <w:b/>
                <w:bCs/>
                <w:sz w:val="20"/>
                <w:szCs w:val="20"/>
              </w:rPr>
              <w:t>INDICATEURS</w:t>
            </w:r>
          </w:p>
        </w:tc>
        <w:tc>
          <w:tcPr>
            <w:tcW w:w="425" w:type="dxa"/>
            <w:tcBorders>
              <w:top w:val="single" w:sz="18" w:space="0" w:color="auto"/>
              <w:left w:val="nil"/>
              <w:bottom w:val="single" w:sz="18" w:space="0" w:color="auto"/>
              <w:right w:val="single" w:sz="8" w:space="0" w:color="auto"/>
            </w:tcBorders>
            <w:shd w:val="clear" w:color="auto" w:fill="D9D9D9" w:themeFill="background1" w:themeFillShade="D9"/>
            <w:noWrap/>
            <w:vAlign w:val="center"/>
            <w:hideMark/>
          </w:tcPr>
          <w:p w14:paraId="49C5B66A" w14:textId="77777777" w:rsidR="00534D6A" w:rsidRPr="00534D6A" w:rsidRDefault="00534D6A" w:rsidP="00534D6A">
            <w:pPr>
              <w:spacing w:after="0"/>
              <w:jc w:val="center"/>
              <w:rPr>
                <w:rFonts w:eastAsia="Times New Roman" w:cs="Gisha"/>
                <w:b/>
                <w:bCs/>
                <w:sz w:val="20"/>
                <w:szCs w:val="20"/>
              </w:rPr>
            </w:pPr>
            <w:r w:rsidRPr="00534D6A">
              <w:rPr>
                <w:rFonts w:eastAsia="Times New Roman" w:cs="Gisha"/>
                <w:b/>
                <w:bCs/>
                <w:sz w:val="20"/>
                <w:szCs w:val="20"/>
              </w:rPr>
              <w:t>2010</w:t>
            </w:r>
          </w:p>
        </w:tc>
        <w:tc>
          <w:tcPr>
            <w:tcW w:w="709" w:type="dxa"/>
            <w:tcBorders>
              <w:top w:val="single" w:sz="18" w:space="0" w:color="auto"/>
              <w:left w:val="nil"/>
              <w:bottom w:val="single" w:sz="18" w:space="0" w:color="auto"/>
              <w:right w:val="single" w:sz="8" w:space="0" w:color="auto"/>
            </w:tcBorders>
            <w:shd w:val="clear" w:color="auto" w:fill="D9D9D9" w:themeFill="background1" w:themeFillShade="D9"/>
            <w:noWrap/>
            <w:vAlign w:val="center"/>
            <w:hideMark/>
          </w:tcPr>
          <w:p w14:paraId="40F3EEFD" w14:textId="77777777" w:rsidR="00534D6A" w:rsidRPr="00534D6A" w:rsidRDefault="00534D6A" w:rsidP="00534D6A">
            <w:pPr>
              <w:spacing w:after="0"/>
              <w:jc w:val="center"/>
              <w:rPr>
                <w:rFonts w:eastAsia="Times New Roman" w:cs="Gisha"/>
                <w:b/>
                <w:bCs/>
                <w:sz w:val="20"/>
                <w:szCs w:val="20"/>
              </w:rPr>
            </w:pPr>
            <w:r w:rsidRPr="00534D6A">
              <w:rPr>
                <w:rFonts w:eastAsia="Times New Roman" w:cs="Gisha"/>
                <w:b/>
                <w:bCs/>
                <w:sz w:val="20"/>
                <w:szCs w:val="20"/>
              </w:rPr>
              <w:t>2011</w:t>
            </w:r>
          </w:p>
        </w:tc>
        <w:tc>
          <w:tcPr>
            <w:tcW w:w="567" w:type="dxa"/>
            <w:tcBorders>
              <w:top w:val="single" w:sz="18" w:space="0" w:color="auto"/>
              <w:left w:val="nil"/>
              <w:bottom w:val="single" w:sz="18" w:space="0" w:color="auto"/>
              <w:right w:val="single" w:sz="8" w:space="0" w:color="auto"/>
            </w:tcBorders>
            <w:shd w:val="clear" w:color="auto" w:fill="D9D9D9" w:themeFill="background1" w:themeFillShade="D9"/>
            <w:noWrap/>
            <w:vAlign w:val="center"/>
            <w:hideMark/>
          </w:tcPr>
          <w:p w14:paraId="69244669" w14:textId="77777777" w:rsidR="00534D6A" w:rsidRPr="00534D6A" w:rsidRDefault="00534D6A" w:rsidP="00534D6A">
            <w:pPr>
              <w:spacing w:after="0"/>
              <w:jc w:val="center"/>
              <w:rPr>
                <w:rFonts w:eastAsia="Times New Roman" w:cs="Gisha"/>
                <w:b/>
                <w:bCs/>
                <w:sz w:val="20"/>
                <w:szCs w:val="20"/>
              </w:rPr>
            </w:pPr>
            <w:r w:rsidRPr="00534D6A">
              <w:rPr>
                <w:rFonts w:eastAsia="Times New Roman" w:cs="Gisha"/>
                <w:b/>
                <w:bCs/>
                <w:sz w:val="20"/>
                <w:szCs w:val="20"/>
              </w:rPr>
              <w:t>2012</w:t>
            </w:r>
          </w:p>
        </w:tc>
        <w:tc>
          <w:tcPr>
            <w:tcW w:w="850" w:type="dxa"/>
            <w:tcBorders>
              <w:top w:val="single" w:sz="18" w:space="0" w:color="auto"/>
              <w:left w:val="nil"/>
              <w:bottom w:val="single" w:sz="18" w:space="0" w:color="auto"/>
              <w:right w:val="single" w:sz="8" w:space="0" w:color="auto"/>
            </w:tcBorders>
            <w:shd w:val="clear" w:color="auto" w:fill="D9D9D9" w:themeFill="background1" w:themeFillShade="D9"/>
            <w:noWrap/>
            <w:vAlign w:val="center"/>
            <w:hideMark/>
          </w:tcPr>
          <w:p w14:paraId="2FAE1691" w14:textId="77777777" w:rsidR="00534D6A" w:rsidRPr="00534D6A" w:rsidRDefault="00534D6A" w:rsidP="00534D6A">
            <w:pPr>
              <w:spacing w:after="0"/>
              <w:jc w:val="center"/>
              <w:rPr>
                <w:rFonts w:eastAsia="Times New Roman" w:cs="Gisha"/>
                <w:b/>
                <w:bCs/>
                <w:sz w:val="20"/>
                <w:szCs w:val="20"/>
              </w:rPr>
            </w:pPr>
            <w:r w:rsidRPr="00534D6A">
              <w:rPr>
                <w:rFonts w:eastAsia="Times New Roman" w:cs="Gisha"/>
                <w:b/>
                <w:bCs/>
                <w:sz w:val="20"/>
                <w:szCs w:val="20"/>
              </w:rPr>
              <w:t>2013</w:t>
            </w:r>
          </w:p>
        </w:tc>
        <w:tc>
          <w:tcPr>
            <w:tcW w:w="443" w:type="dxa"/>
            <w:tcBorders>
              <w:top w:val="single" w:sz="18" w:space="0" w:color="auto"/>
              <w:left w:val="nil"/>
              <w:bottom w:val="single" w:sz="18" w:space="0" w:color="auto"/>
              <w:right w:val="single" w:sz="8" w:space="0" w:color="auto"/>
            </w:tcBorders>
            <w:shd w:val="clear" w:color="auto" w:fill="D9D9D9" w:themeFill="background1" w:themeFillShade="D9"/>
            <w:noWrap/>
            <w:vAlign w:val="center"/>
            <w:hideMark/>
          </w:tcPr>
          <w:p w14:paraId="44A48C25" w14:textId="77777777" w:rsidR="00534D6A" w:rsidRPr="00534D6A" w:rsidRDefault="00534D6A" w:rsidP="00534D6A">
            <w:pPr>
              <w:spacing w:after="0"/>
              <w:jc w:val="center"/>
              <w:rPr>
                <w:rFonts w:eastAsia="Times New Roman" w:cs="Gisha"/>
                <w:b/>
                <w:bCs/>
                <w:sz w:val="20"/>
                <w:szCs w:val="20"/>
              </w:rPr>
            </w:pPr>
            <w:r w:rsidRPr="00534D6A">
              <w:rPr>
                <w:rFonts w:eastAsia="Times New Roman" w:cs="Gisha"/>
                <w:b/>
                <w:bCs/>
                <w:sz w:val="20"/>
                <w:szCs w:val="20"/>
              </w:rPr>
              <w:t>2014</w:t>
            </w:r>
          </w:p>
        </w:tc>
        <w:tc>
          <w:tcPr>
            <w:tcW w:w="435" w:type="dxa"/>
            <w:tcBorders>
              <w:top w:val="single" w:sz="18" w:space="0" w:color="auto"/>
              <w:left w:val="nil"/>
              <w:bottom w:val="single" w:sz="18" w:space="0" w:color="auto"/>
              <w:right w:val="single" w:sz="8" w:space="0" w:color="auto"/>
            </w:tcBorders>
            <w:shd w:val="clear" w:color="auto" w:fill="D9D9D9" w:themeFill="background1" w:themeFillShade="D9"/>
            <w:noWrap/>
            <w:vAlign w:val="center"/>
            <w:hideMark/>
          </w:tcPr>
          <w:p w14:paraId="77A14E9D" w14:textId="77777777" w:rsidR="00534D6A" w:rsidRPr="00534D6A" w:rsidRDefault="00534D6A" w:rsidP="00534D6A">
            <w:pPr>
              <w:spacing w:after="0"/>
              <w:jc w:val="center"/>
              <w:rPr>
                <w:rFonts w:eastAsia="Times New Roman" w:cs="Gisha"/>
                <w:b/>
                <w:bCs/>
                <w:sz w:val="20"/>
                <w:szCs w:val="20"/>
              </w:rPr>
            </w:pPr>
            <w:r w:rsidRPr="00534D6A">
              <w:rPr>
                <w:rFonts w:eastAsia="Times New Roman" w:cs="Gisha"/>
                <w:b/>
                <w:bCs/>
                <w:sz w:val="20"/>
                <w:szCs w:val="20"/>
              </w:rPr>
              <w:t>2015</w:t>
            </w:r>
          </w:p>
        </w:tc>
        <w:tc>
          <w:tcPr>
            <w:tcW w:w="435" w:type="dxa"/>
            <w:tcBorders>
              <w:top w:val="single" w:sz="18" w:space="0" w:color="auto"/>
              <w:left w:val="single" w:sz="8" w:space="0" w:color="auto"/>
              <w:bottom w:val="single" w:sz="18" w:space="0" w:color="auto"/>
              <w:right w:val="single" w:sz="6" w:space="0" w:color="auto"/>
            </w:tcBorders>
            <w:shd w:val="clear" w:color="auto" w:fill="D9D9D9" w:themeFill="background1" w:themeFillShade="D9"/>
            <w:noWrap/>
            <w:vAlign w:val="center"/>
            <w:hideMark/>
          </w:tcPr>
          <w:p w14:paraId="0251E1D0" w14:textId="77777777" w:rsidR="00534D6A" w:rsidRPr="00534D6A" w:rsidRDefault="00534D6A" w:rsidP="00534D6A">
            <w:pPr>
              <w:spacing w:after="0"/>
              <w:jc w:val="center"/>
              <w:rPr>
                <w:rFonts w:eastAsia="Times New Roman" w:cs="Gisha"/>
                <w:b/>
                <w:bCs/>
                <w:sz w:val="20"/>
                <w:szCs w:val="20"/>
              </w:rPr>
            </w:pPr>
            <w:r w:rsidRPr="00534D6A">
              <w:rPr>
                <w:rFonts w:eastAsia="Times New Roman" w:cs="Gisha"/>
                <w:b/>
                <w:bCs/>
                <w:sz w:val="20"/>
                <w:szCs w:val="20"/>
              </w:rPr>
              <w:t>2016</w:t>
            </w:r>
          </w:p>
        </w:tc>
        <w:tc>
          <w:tcPr>
            <w:tcW w:w="445" w:type="dxa"/>
            <w:tcBorders>
              <w:top w:val="single" w:sz="18" w:space="0" w:color="auto"/>
              <w:left w:val="single" w:sz="6" w:space="0" w:color="auto"/>
              <w:bottom w:val="single" w:sz="18" w:space="0" w:color="auto"/>
              <w:right w:val="single" w:sz="18" w:space="0" w:color="auto"/>
            </w:tcBorders>
            <w:shd w:val="clear" w:color="auto" w:fill="D9D9D9" w:themeFill="background1" w:themeFillShade="D9"/>
          </w:tcPr>
          <w:p w14:paraId="1A5096F2" w14:textId="77777777" w:rsidR="00534D6A" w:rsidRPr="00534D6A" w:rsidRDefault="00534D6A" w:rsidP="00534D6A">
            <w:pPr>
              <w:spacing w:after="0"/>
              <w:jc w:val="center"/>
              <w:rPr>
                <w:rFonts w:eastAsia="Times New Roman" w:cs="Gisha"/>
                <w:b/>
                <w:bCs/>
                <w:sz w:val="20"/>
                <w:szCs w:val="20"/>
              </w:rPr>
            </w:pPr>
            <w:r w:rsidRPr="00534D6A">
              <w:rPr>
                <w:rFonts w:eastAsia="Times New Roman" w:cs="Gisha"/>
                <w:b/>
                <w:bCs/>
                <w:sz w:val="20"/>
                <w:szCs w:val="20"/>
              </w:rPr>
              <w:t>2017</w:t>
            </w:r>
          </w:p>
        </w:tc>
      </w:tr>
      <w:tr w:rsidR="00534D6A" w:rsidRPr="00534D6A" w14:paraId="580B5E14" w14:textId="77777777" w:rsidTr="00534D6A">
        <w:trPr>
          <w:trHeight w:val="60"/>
        </w:trPr>
        <w:tc>
          <w:tcPr>
            <w:tcW w:w="4797" w:type="dxa"/>
            <w:tcBorders>
              <w:top w:val="single" w:sz="18" w:space="0" w:color="auto"/>
              <w:left w:val="single" w:sz="18" w:space="0" w:color="auto"/>
              <w:bottom w:val="single" w:sz="4" w:space="0" w:color="auto"/>
              <w:right w:val="single" w:sz="4" w:space="0" w:color="auto"/>
            </w:tcBorders>
            <w:shd w:val="clear" w:color="auto" w:fill="auto"/>
            <w:vAlign w:val="center"/>
            <w:hideMark/>
          </w:tcPr>
          <w:p w14:paraId="5514692A" w14:textId="77777777" w:rsidR="00534D6A" w:rsidRPr="00534D6A" w:rsidRDefault="00534D6A" w:rsidP="00534D6A">
            <w:pPr>
              <w:spacing w:after="0"/>
              <w:rPr>
                <w:rFonts w:eastAsia="Times New Roman" w:cs="Gisha"/>
                <w:sz w:val="20"/>
                <w:szCs w:val="20"/>
              </w:rPr>
            </w:pPr>
            <w:r w:rsidRPr="00534D6A">
              <w:rPr>
                <w:rFonts w:eastAsia="Times New Roman" w:cs="Gisha"/>
                <w:sz w:val="20"/>
                <w:szCs w:val="20"/>
              </w:rPr>
              <w:t>Proportion d’enfants ayant reçu le traitement ARV pour la prévention (%)</w:t>
            </w:r>
          </w:p>
        </w:tc>
        <w:tc>
          <w:tcPr>
            <w:tcW w:w="425" w:type="dxa"/>
            <w:tcBorders>
              <w:top w:val="single" w:sz="18" w:space="0" w:color="auto"/>
              <w:left w:val="nil"/>
              <w:bottom w:val="single" w:sz="4" w:space="0" w:color="auto"/>
              <w:right w:val="single" w:sz="4" w:space="0" w:color="auto"/>
            </w:tcBorders>
            <w:shd w:val="clear" w:color="auto" w:fill="auto"/>
            <w:tcMar>
              <w:right w:w="28" w:type="dxa"/>
            </w:tcMar>
            <w:vAlign w:val="center"/>
            <w:hideMark/>
          </w:tcPr>
          <w:p w14:paraId="0B13424F"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93</w:t>
            </w:r>
          </w:p>
        </w:tc>
        <w:tc>
          <w:tcPr>
            <w:tcW w:w="709" w:type="dxa"/>
            <w:tcBorders>
              <w:top w:val="single" w:sz="18" w:space="0" w:color="auto"/>
              <w:left w:val="nil"/>
              <w:bottom w:val="single" w:sz="4" w:space="0" w:color="auto"/>
              <w:right w:val="single" w:sz="4" w:space="0" w:color="auto"/>
            </w:tcBorders>
            <w:shd w:val="clear" w:color="auto" w:fill="auto"/>
            <w:tcMar>
              <w:right w:w="28" w:type="dxa"/>
            </w:tcMar>
            <w:vAlign w:val="center"/>
            <w:hideMark/>
          </w:tcPr>
          <w:p w14:paraId="7CE38033"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94</w:t>
            </w:r>
          </w:p>
        </w:tc>
        <w:tc>
          <w:tcPr>
            <w:tcW w:w="567" w:type="dxa"/>
            <w:tcBorders>
              <w:top w:val="single" w:sz="18" w:space="0" w:color="auto"/>
              <w:left w:val="nil"/>
              <w:bottom w:val="single" w:sz="4" w:space="0" w:color="auto"/>
              <w:right w:val="single" w:sz="4" w:space="0" w:color="auto"/>
            </w:tcBorders>
            <w:shd w:val="clear" w:color="auto" w:fill="auto"/>
            <w:tcMar>
              <w:right w:w="28" w:type="dxa"/>
            </w:tcMar>
            <w:vAlign w:val="center"/>
            <w:hideMark/>
          </w:tcPr>
          <w:p w14:paraId="3EBA2AE0"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63</w:t>
            </w:r>
          </w:p>
        </w:tc>
        <w:tc>
          <w:tcPr>
            <w:tcW w:w="850" w:type="dxa"/>
            <w:tcBorders>
              <w:top w:val="single" w:sz="18" w:space="0" w:color="auto"/>
              <w:left w:val="nil"/>
              <w:bottom w:val="single" w:sz="4" w:space="0" w:color="auto"/>
              <w:right w:val="single" w:sz="4" w:space="0" w:color="auto"/>
            </w:tcBorders>
            <w:shd w:val="clear" w:color="auto" w:fill="auto"/>
            <w:tcMar>
              <w:right w:w="28" w:type="dxa"/>
            </w:tcMar>
            <w:vAlign w:val="center"/>
            <w:hideMark/>
          </w:tcPr>
          <w:p w14:paraId="070BA114"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59</w:t>
            </w:r>
          </w:p>
        </w:tc>
        <w:tc>
          <w:tcPr>
            <w:tcW w:w="443" w:type="dxa"/>
            <w:tcBorders>
              <w:top w:val="single" w:sz="18" w:space="0" w:color="auto"/>
              <w:left w:val="nil"/>
              <w:bottom w:val="single" w:sz="4" w:space="0" w:color="auto"/>
              <w:right w:val="single" w:sz="4" w:space="0" w:color="auto"/>
            </w:tcBorders>
            <w:shd w:val="clear" w:color="auto" w:fill="auto"/>
            <w:tcMar>
              <w:right w:w="28" w:type="dxa"/>
            </w:tcMar>
            <w:vAlign w:val="center"/>
            <w:hideMark/>
          </w:tcPr>
          <w:p w14:paraId="642F3D9A"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66</w:t>
            </w:r>
          </w:p>
        </w:tc>
        <w:tc>
          <w:tcPr>
            <w:tcW w:w="435" w:type="dxa"/>
            <w:tcBorders>
              <w:top w:val="single" w:sz="18" w:space="0" w:color="auto"/>
              <w:left w:val="nil"/>
              <w:bottom w:val="single" w:sz="4" w:space="0" w:color="auto"/>
              <w:right w:val="single" w:sz="4" w:space="0" w:color="auto"/>
            </w:tcBorders>
            <w:shd w:val="clear" w:color="auto" w:fill="auto"/>
            <w:tcMar>
              <w:right w:w="28" w:type="dxa"/>
            </w:tcMar>
            <w:vAlign w:val="center"/>
            <w:hideMark/>
          </w:tcPr>
          <w:p w14:paraId="035B25C6"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74</w:t>
            </w:r>
          </w:p>
        </w:tc>
        <w:tc>
          <w:tcPr>
            <w:tcW w:w="435" w:type="dxa"/>
            <w:tcBorders>
              <w:top w:val="single" w:sz="18" w:space="0" w:color="auto"/>
              <w:left w:val="nil"/>
              <w:bottom w:val="single" w:sz="4" w:space="0" w:color="auto"/>
              <w:right w:val="single" w:sz="6" w:space="0" w:color="auto"/>
            </w:tcBorders>
            <w:shd w:val="clear" w:color="auto" w:fill="auto"/>
            <w:tcMar>
              <w:right w:w="28" w:type="dxa"/>
            </w:tcMar>
            <w:vAlign w:val="center"/>
            <w:hideMark/>
          </w:tcPr>
          <w:p w14:paraId="5AC4D4D3"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89</w:t>
            </w:r>
          </w:p>
        </w:tc>
        <w:tc>
          <w:tcPr>
            <w:tcW w:w="445" w:type="dxa"/>
            <w:tcBorders>
              <w:top w:val="single" w:sz="18" w:space="0" w:color="auto"/>
              <w:left w:val="single" w:sz="6" w:space="0" w:color="auto"/>
              <w:bottom w:val="single" w:sz="4" w:space="0" w:color="auto"/>
              <w:right w:val="single" w:sz="18" w:space="0" w:color="auto"/>
            </w:tcBorders>
            <w:vAlign w:val="center"/>
          </w:tcPr>
          <w:p w14:paraId="4C258FD3"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93</w:t>
            </w:r>
          </w:p>
        </w:tc>
      </w:tr>
      <w:tr w:rsidR="00534D6A" w:rsidRPr="00534D6A" w14:paraId="47587F92" w14:textId="77777777" w:rsidTr="00534D6A">
        <w:trPr>
          <w:trHeight w:val="60"/>
        </w:trPr>
        <w:tc>
          <w:tcPr>
            <w:tcW w:w="4797" w:type="dxa"/>
            <w:tcBorders>
              <w:top w:val="single" w:sz="4" w:space="0" w:color="auto"/>
              <w:left w:val="single" w:sz="18" w:space="0" w:color="auto"/>
              <w:bottom w:val="single" w:sz="4" w:space="0" w:color="auto"/>
              <w:right w:val="single" w:sz="4" w:space="0" w:color="auto"/>
            </w:tcBorders>
            <w:shd w:val="clear" w:color="auto" w:fill="EAF1DD" w:themeFill="accent3" w:themeFillTint="33"/>
            <w:vAlign w:val="center"/>
            <w:hideMark/>
          </w:tcPr>
          <w:p w14:paraId="47250998" w14:textId="77777777" w:rsidR="00534D6A" w:rsidRPr="00534D6A" w:rsidRDefault="00534D6A" w:rsidP="00534D6A">
            <w:pPr>
              <w:spacing w:after="0"/>
              <w:rPr>
                <w:rFonts w:eastAsia="Times New Roman" w:cs="Gisha"/>
                <w:sz w:val="20"/>
                <w:szCs w:val="20"/>
              </w:rPr>
            </w:pPr>
            <w:r w:rsidRPr="00534D6A">
              <w:rPr>
                <w:rFonts w:eastAsia="Times New Roman" w:cs="Gisha"/>
                <w:sz w:val="20"/>
                <w:szCs w:val="20"/>
              </w:rPr>
              <w:t>% de formations sanitaires offrant des services PTME </w:t>
            </w:r>
          </w:p>
        </w:tc>
        <w:tc>
          <w:tcPr>
            <w:tcW w:w="425"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72EDEE5F"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92</w:t>
            </w:r>
          </w:p>
        </w:tc>
        <w:tc>
          <w:tcPr>
            <w:tcW w:w="709"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2CDEB0C4"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97</w:t>
            </w:r>
          </w:p>
        </w:tc>
        <w:tc>
          <w:tcPr>
            <w:tcW w:w="567"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76302B96"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97</w:t>
            </w:r>
          </w:p>
        </w:tc>
        <w:tc>
          <w:tcPr>
            <w:tcW w:w="850"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31051846"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98</w:t>
            </w:r>
          </w:p>
        </w:tc>
        <w:tc>
          <w:tcPr>
            <w:tcW w:w="443"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2B80F5CB"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98</w:t>
            </w:r>
          </w:p>
        </w:tc>
        <w:tc>
          <w:tcPr>
            <w:tcW w:w="435"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0D6247B6"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98</w:t>
            </w:r>
          </w:p>
        </w:tc>
        <w:tc>
          <w:tcPr>
            <w:tcW w:w="435" w:type="dxa"/>
            <w:tcBorders>
              <w:top w:val="single" w:sz="4" w:space="0" w:color="auto"/>
              <w:left w:val="nil"/>
              <w:bottom w:val="single" w:sz="4" w:space="0" w:color="auto"/>
              <w:right w:val="single" w:sz="6" w:space="0" w:color="auto"/>
            </w:tcBorders>
            <w:shd w:val="clear" w:color="auto" w:fill="EAF1DD" w:themeFill="accent3" w:themeFillTint="33"/>
            <w:tcMar>
              <w:right w:w="28" w:type="dxa"/>
            </w:tcMar>
            <w:vAlign w:val="center"/>
            <w:hideMark/>
          </w:tcPr>
          <w:p w14:paraId="0E65D83A"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98</w:t>
            </w:r>
          </w:p>
        </w:tc>
        <w:tc>
          <w:tcPr>
            <w:tcW w:w="445" w:type="dxa"/>
            <w:tcBorders>
              <w:top w:val="single" w:sz="4" w:space="0" w:color="auto"/>
              <w:left w:val="single" w:sz="6" w:space="0" w:color="auto"/>
              <w:bottom w:val="single" w:sz="4" w:space="0" w:color="auto"/>
              <w:right w:val="single" w:sz="18" w:space="0" w:color="auto"/>
            </w:tcBorders>
            <w:shd w:val="clear" w:color="auto" w:fill="EAF1DD" w:themeFill="accent3" w:themeFillTint="33"/>
            <w:vAlign w:val="center"/>
          </w:tcPr>
          <w:p w14:paraId="7424EB01"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98</w:t>
            </w:r>
          </w:p>
        </w:tc>
      </w:tr>
      <w:tr w:rsidR="00534D6A" w:rsidRPr="00534D6A" w14:paraId="7B8AF184" w14:textId="77777777" w:rsidTr="00534D6A">
        <w:trPr>
          <w:trHeight w:val="60"/>
        </w:trPr>
        <w:tc>
          <w:tcPr>
            <w:tcW w:w="4797" w:type="dxa"/>
            <w:tcBorders>
              <w:top w:val="single" w:sz="4" w:space="0" w:color="auto"/>
              <w:left w:val="single" w:sz="18" w:space="0" w:color="auto"/>
              <w:bottom w:val="single" w:sz="4" w:space="0" w:color="auto"/>
              <w:right w:val="single" w:sz="4" w:space="0" w:color="auto"/>
            </w:tcBorders>
            <w:shd w:val="clear" w:color="auto" w:fill="EAF1DD" w:themeFill="accent3" w:themeFillTint="33"/>
            <w:vAlign w:val="center"/>
            <w:hideMark/>
          </w:tcPr>
          <w:p w14:paraId="2922E7C5" w14:textId="77777777" w:rsidR="00534D6A" w:rsidRPr="00534D6A" w:rsidRDefault="00534D6A" w:rsidP="00534D6A">
            <w:pPr>
              <w:spacing w:after="0"/>
              <w:rPr>
                <w:rFonts w:eastAsia="Times New Roman" w:cs="Gisha"/>
                <w:sz w:val="20"/>
                <w:szCs w:val="20"/>
              </w:rPr>
            </w:pPr>
            <w:r w:rsidRPr="00534D6A">
              <w:rPr>
                <w:rFonts w:eastAsia="Times New Roman" w:cs="Gisha"/>
                <w:sz w:val="20"/>
                <w:szCs w:val="20"/>
              </w:rPr>
              <w:t>Taux de transmission résiduelle du VIH (TME) de la mère à l’enfant (%)</w:t>
            </w:r>
          </w:p>
        </w:tc>
        <w:tc>
          <w:tcPr>
            <w:tcW w:w="425"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3B224157"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8</w:t>
            </w:r>
          </w:p>
        </w:tc>
        <w:tc>
          <w:tcPr>
            <w:tcW w:w="709"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2C31791A"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ND</w:t>
            </w:r>
          </w:p>
        </w:tc>
        <w:tc>
          <w:tcPr>
            <w:tcW w:w="567"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00FFB3C4"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6</w:t>
            </w:r>
          </w:p>
        </w:tc>
        <w:tc>
          <w:tcPr>
            <w:tcW w:w="850"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6CA00718"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6</w:t>
            </w:r>
          </w:p>
        </w:tc>
        <w:tc>
          <w:tcPr>
            <w:tcW w:w="443"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523D19F5"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5</w:t>
            </w:r>
          </w:p>
        </w:tc>
        <w:tc>
          <w:tcPr>
            <w:tcW w:w="435"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0D19A326"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6</w:t>
            </w:r>
          </w:p>
        </w:tc>
        <w:tc>
          <w:tcPr>
            <w:tcW w:w="435" w:type="dxa"/>
            <w:tcBorders>
              <w:top w:val="single" w:sz="4" w:space="0" w:color="auto"/>
              <w:left w:val="nil"/>
              <w:bottom w:val="single" w:sz="4" w:space="0" w:color="auto"/>
              <w:right w:val="single" w:sz="6" w:space="0" w:color="auto"/>
            </w:tcBorders>
            <w:shd w:val="clear" w:color="auto" w:fill="EAF1DD" w:themeFill="accent3" w:themeFillTint="33"/>
            <w:tcMar>
              <w:right w:w="28" w:type="dxa"/>
            </w:tcMar>
            <w:vAlign w:val="center"/>
            <w:hideMark/>
          </w:tcPr>
          <w:p w14:paraId="2B94A5CC"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8</w:t>
            </w:r>
          </w:p>
        </w:tc>
        <w:tc>
          <w:tcPr>
            <w:tcW w:w="445" w:type="dxa"/>
            <w:tcBorders>
              <w:top w:val="single" w:sz="4" w:space="0" w:color="auto"/>
              <w:left w:val="single" w:sz="6" w:space="0" w:color="auto"/>
              <w:bottom w:val="single" w:sz="4" w:space="0" w:color="auto"/>
              <w:right w:val="single" w:sz="18" w:space="0" w:color="auto"/>
            </w:tcBorders>
            <w:shd w:val="clear" w:color="auto" w:fill="EAF1DD" w:themeFill="accent3" w:themeFillTint="33"/>
            <w:vAlign w:val="center"/>
          </w:tcPr>
          <w:p w14:paraId="00A95768"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6</w:t>
            </w:r>
          </w:p>
        </w:tc>
      </w:tr>
      <w:tr w:rsidR="00534D6A" w:rsidRPr="00534D6A" w14:paraId="6F353CA8" w14:textId="77777777" w:rsidTr="00534D6A">
        <w:trPr>
          <w:trHeight w:val="60"/>
        </w:trPr>
        <w:tc>
          <w:tcPr>
            <w:tcW w:w="4797" w:type="dxa"/>
            <w:tcBorders>
              <w:top w:val="single" w:sz="4" w:space="0" w:color="auto"/>
              <w:left w:val="single" w:sz="18" w:space="0" w:color="auto"/>
              <w:bottom w:val="single" w:sz="4" w:space="0" w:color="auto"/>
              <w:right w:val="single" w:sz="4" w:space="0" w:color="auto"/>
            </w:tcBorders>
            <w:shd w:val="clear" w:color="auto" w:fill="auto"/>
            <w:vAlign w:val="center"/>
            <w:hideMark/>
          </w:tcPr>
          <w:p w14:paraId="1C6052C3" w14:textId="77777777" w:rsidR="00534D6A" w:rsidRPr="00534D6A" w:rsidRDefault="00534D6A" w:rsidP="00534D6A">
            <w:pPr>
              <w:spacing w:after="0"/>
              <w:rPr>
                <w:rFonts w:eastAsia="Times New Roman" w:cs="Gisha"/>
                <w:sz w:val="20"/>
                <w:szCs w:val="20"/>
              </w:rPr>
            </w:pPr>
            <w:r w:rsidRPr="00534D6A">
              <w:rPr>
                <w:rFonts w:eastAsia="Times New Roman" w:cs="Gisha"/>
                <w:sz w:val="20"/>
                <w:szCs w:val="20"/>
              </w:rPr>
              <w:t>% de femmes enceintes vues en CPN qui ont fait le dépistage</w:t>
            </w:r>
          </w:p>
        </w:tc>
        <w:tc>
          <w:tcPr>
            <w:tcW w:w="425" w:type="dxa"/>
            <w:tcBorders>
              <w:top w:val="single" w:sz="4" w:space="0" w:color="auto"/>
              <w:left w:val="nil"/>
              <w:bottom w:val="single" w:sz="4" w:space="0" w:color="auto"/>
              <w:right w:val="single" w:sz="4" w:space="0" w:color="auto"/>
            </w:tcBorders>
            <w:shd w:val="clear" w:color="000000" w:fill="FFFFFF"/>
            <w:tcMar>
              <w:right w:w="28" w:type="dxa"/>
            </w:tcMar>
            <w:vAlign w:val="center"/>
            <w:hideMark/>
          </w:tcPr>
          <w:p w14:paraId="3653C0F5"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56</w:t>
            </w:r>
          </w:p>
        </w:tc>
        <w:tc>
          <w:tcPr>
            <w:tcW w:w="709" w:type="dxa"/>
            <w:tcBorders>
              <w:top w:val="single" w:sz="4" w:space="0" w:color="auto"/>
              <w:left w:val="nil"/>
              <w:bottom w:val="single" w:sz="4" w:space="0" w:color="auto"/>
              <w:right w:val="single" w:sz="4" w:space="0" w:color="auto"/>
            </w:tcBorders>
            <w:shd w:val="clear" w:color="auto" w:fill="auto"/>
            <w:tcMar>
              <w:right w:w="28" w:type="dxa"/>
            </w:tcMar>
            <w:vAlign w:val="center"/>
            <w:hideMark/>
          </w:tcPr>
          <w:p w14:paraId="461E40BC"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67</w:t>
            </w:r>
          </w:p>
        </w:tc>
        <w:tc>
          <w:tcPr>
            <w:tcW w:w="567" w:type="dxa"/>
            <w:tcBorders>
              <w:top w:val="single" w:sz="4" w:space="0" w:color="auto"/>
              <w:left w:val="nil"/>
              <w:bottom w:val="single" w:sz="4" w:space="0" w:color="auto"/>
              <w:right w:val="single" w:sz="4" w:space="0" w:color="auto"/>
            </w:tcBorders>
            <w:shd w:val="clear" w:color="auto" w:fill="auto"/>
            <w:tcMar>
              <w:right w:w="28" w:type="dxa"/>
            </w:tcMar>
            <w:vAlign w:val="center"/>
            <w:hideMark/>
          </w:tcPr>
          <w:p w14:paraId="11A63BF3"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71</w:t>
            </w:r>
          </w:p>
        </w:tc>
        <w:tc>
          <w:tcPr>
            <w:tcW w:w="850" w:type="dxa"/>
            <w:tcBorders>
              <w:top w:val="single" w:sz="4" w:space="0" w:color="auto"/>
              <w:left w:val="nil"/>
              <w:bottom w:val="single" w:sz="4" w:space="0" w:color="auto"/>
              <w:right w:val="single" w:sz="4" w:space="0" w:color="auto"/>
            </w:tcBorders>
            <w:shd w:val="clear" w:color="auto" w:fill="auto"/>
            <w:tcMar>
              <w:right w:w="28" w:type="dxa"/>
            </w:tcMar>
            <w:vAlign w:val="center"/>
            <w:hideMark/>
          </w:tcPr>
          <w:p w14:paraId="31568FFA"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82</w:t>
            </w:r>
          </w:p>
        </w:tc>
        <w:tc>
          <w:tcPr>
            <w:tcW w:w="443" w:type="dxa"/>
            <w:tcBorders>
              <w:top w:val="single" w:sz="4" w:space="0" w:color="auto"/>
              <w:left w:val="nil"/>
              <w:bottom w:val="single" w:sz="4" w:space="0" w:color="auto"/>
              <w:right w:val="single" w:sz="4" w:space="0" w:color="auto"/>
            </w:tcBorders>
            <w:shd w:val="clear" w:color="auto" w:fill="auto"/>
            <w:tcMar>
              <w:right w:w="28" w:type="dxa"/>
            </w:tcMar>
            <w:vAlign w:val="center"/>
            <w:hideMark/>
          </w:tcPr>
          <w:p w14:paraId="60DE3439"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86</w:t>
            </w:r>
          </w:p>
        </w:tc>
        <w:tc>
          <w:tcPr>
            <w:tcW w:w="435" w:type="dxa"/>
            <w:tcBorders>
              <w:top w:val="single" w:sz="4" w:space="0" w:color="auto"/>
              <w:left w:val="nil"/>
              <w:bottom w:val="single" w:sz="4" w:space="0" w:color="auto"/>
              <w:right w:val="single" w:sz="4" w:space="0" w:color="auto"/>
            </w:tcBorders>
            <w:shd w:val="clear" w:color="000000" w:fill="FFFFFF"/>
            <w:tcMar>
              <w:right w:w="28" w:type="dxa"/>
            </w:tcMar>
            <w:vAlign w:val="center"/>
            <w:hideMark/>
          </w:tcPr>
          <w:p w14:paraId="478656B5"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86</w:t>
            </w:r>
          </w:p>
        </w:tc>
        <w:tc>
          <w:tcPr>
            <w:tcW w:w="435" w:type="dxa"/>
            <w:tcBorders>
              <w:top w:val="single" w:sz="4" w:space="0" w:color="auto"/>
              <w:left w:val="nil"/>
              <w:bottom w:val="single" w:sz="4" w:space="0" w:color="auto"/>
              <w:right w:val="single" w:sz="6" w:space="0" w:color="auto"/>
            </w:tcBorders>
            <w:shd w:val="clear" w:color="auto" w:fill="auto"/>
            <w:tcMar>
              <w:right w:w="28" w:type="dxa"/>
            </w:tcMar>
            <w:vAlign w:val="center"/>
            <w:hideMark/>
          </w:tcPr>
          <w:p w14:paraId="07B93C18"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85</w:t>
            </w:r>
          </w:p>
        </w:tc>
        <w:tc>
          <w:tcPr>
            <w:tcW w:w="445" w:type="dxa"/>
            <w:tcBorders>
              <w:top w:val="single" w:sz="4" w:space="0" w:color="auto"/>
              <w:left w:val="single" w:sz="6" w:space="0" w:color="auto"/>
              <w:bottom w:val="single" w:sz="4" w:space="0" w:color="auto"/>
              <w:right w:val="single" w:sz="18" w:space="0" w:color="auto"/>
            </w:tcBorders>
            <w:vAlign w:val="center"/>
          </w:tcPr>
          <w:p w14:paraId="68430C21"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84</w:t>
            </w:r>
          </w:p>
        </w:tc>
      </w:tr>
      <w:tr w:rsidR="00534D6A" w:rsidRPr="00534D6A" w14:paraId="76FF812E" w14:textId="77777777" w:rsidTr="00534D6A">
        <w:trPr>
          <w:trHeight w:val="60"/>
        </w:trPr>
        <w:tc>
          <w:tcPr>
            <w:tcW w:w="4797" w:type="dxa"/>
            <w:tcBorders>
              <w:top w:val="single" w:sz="4" w:space="0" w:color="auto"/>
              <w:left w:val="single" w:sz="18" w:space="0" w:color="auto"/>
              <w:bottom w:val="single" w:sz="4" w:space="0" w:color="auto"/>
              <w:right w:val="single" w:sz="4" w:space="0" w:color="auto"/>
            </w:tcBorders>
            <w:shd w:val="clear" w:color="auto" w:fill="EAF1DD" w:themeFill="accent3" w:themeFillTint="33"/>
            <w:vAlign w:val="center"/>
            <w:hideMark/>
          </w:tcPr>
          <w:p w14:paraId="6864DDBC" w14:textId="77777777" w:rsidR="00534D6A" w:rsidRPr="00534D6A" w:rsidRDefault="00534D6A" w:rsidP="00534D6A">
            <w:pPr>
              <w:spacing w:after="0"/>
              <w:rPr>
                <w:rFonts w:eastAsia="Times New Roman" w:cs="Gisha"/>
                <w:sz w:val="20"/>
                <w:szCs w:val="20"/>
              </w:rPr>
            </w:pPr>
            <w:r w:rsidRPr="00534D6A">
              <w:rPr>
                <w:rFonts w:eastAsia="Times New Roman" w:cs="Gisha"/>
                <w:sz w:val="20"/>
                <w:szCs w:val="20"/>
              </w:rPr>
              <w:t>Proportion de femmes enceintes dépistées séropositives qui ont bénéficié d’un comptage de CD4  (%)</w:t>
            </w:r>
          </w:p>
        </w:tc>
        <w:tc>
          <w:tcPr>
            <w:tcW w:w="425"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009B53EF"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20</w:t>
            </w:r>
          </w:p>
        </w:tc>
        <w:tc>
          <w:tcPr>
            <w:tcW w:w="709"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61EFBB1C"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16</w:t>
            </w:r>
          </w:p>
        </w:tc>
        <w:tc>
          <w:tcPr>
            <w:tcW w:w="567"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44E9FF5C"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14</w:t>
            </w:r>
          </w:p>
        </w:tc>
        <w:tc>
          <w:tcPr>
            <w:tcW w:w="850"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5FF637B9"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16</w:t>
            </w:r>
          </w:p>
        </w:tc>
        <w:tc>
          <w:tcPr>
            <w:tcW w:w="443"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03C4A31B"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22</w:t>
            </w:r>
          </w:p>
        </w:tc>
        <w:tc>
          <w:tcPr>
            <w:tcW w:w="435" w:type="dxa"/>
            <w:tcBorders>
              <w:top w:val="single" w:sz="4" w:space="0" w:color="auto"/>
              <w:left w:val="nil"/>
              <w:bottom w:val="single" w:sz="4" w:space="0" w:color="auto"/>
              <w:right w:val="single" w:sz="4" w:space="0" w:color="auto"/>
            </w:tcBorders>
            <w:shd w:val="clear" w:color="auto" w:fill="EAF1DD" w:themeFill="accent3" w:themeFillTint="33"/>
            <w:tcMar>
              <w:right w:w="28" w:type="dxa"/>
            </w:tcMar>
            <w:vAlign w:val="center"/>
            <w:hideMark/>
          </w:tcPr>
          <w:p w14:paraId="29B1EFB1"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51</w:t>
            </w:r>
          </w:p>
        </w:tc>
        <w:tc>
          <w:tcPr>
            <w:tcW w:w="435" w:type="dxa"/>
            <w:tcBorders>
              <w:top w:val="single" w:sz="4" w:space="0" w:color="auto"/>
              <w:left w:val="nil"/>
              <w:bottom w:val="single" w:sz="4" w:space="0" w:color="auto"/>
              <w:right w:val="single" w:sz="6" w:space="0" w:color="auto"/>
            </w:tcBorders>
            <w:shd w:val="clear" w:color="auto" w:fill="EAF1DD" w:themeFill="accent3" w:themeFillTint="33"/>
            <w:tcMar>
              <w:right w:w="28" w:type="dxa"/>
            </w:tcMar>
            <w:vAlign w:val="center"/>
            <w:hideMark/>
          </w:tcPr>
          <w:p w14:paraId="2A452B93"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11</w:t>
            </w:r>
          </w:p>
        </w:tc>
        <w:tc>
          <w:tcPr>
            <w:tcW w:w="445" w:type="dxa"/>
            <w:tcBorders>
              <w:top w:val="single" w:sz="4" w:space="0" w:color="auto"/>
              <w:left w:val="single" w:sz="6" w:space="0" w:color="auto"/>
              <w:bottom w:val="single" w:sz="4" w:space="0" w:color="auto"/>
              <w:right w:val="single" w:sz="18" w:space="0" w:color="auto"/>
            </w:tcBorders>
            <w:shd w:val="clear" w:color="auto" w:fill="EAF1DD" w:themeFill="accent3" w:themeFillTint="33"/>
            <w:vAlign w:val="center"/>
          </w:tcPr>
          <w:p w14:paraId="3AA56AD0"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17</w:t>
            </w:r>
          </w:p>
        </w:tc>
      </w:tr>
      <w:tr w:rsidR="00534D6A" w:rsidRPr="00534D6A" w14:paraId="7E64774C" w14:textId="77777777" w:rsidTr="00534D6A">
        <w:trPr>
          <w:trHeight w:val="60"/>
        </w:trPr>
        <w:tc>
          <w:tcPr>
            <w:tcW w:w="4797" w:type="dxa"/>
            <w:tcBorders>
              <w:top w:val="single" w:sz="4" w:space="0" w:color="auto"/>
              <w:left w:val="single" w:sz="18" w:space="0" w:color="auto"/>
              <w:bottom w:val="single" w:sz="18" w:space="0" w:color="auto"/>
              <w:right w:val="single" w:sz="4" w:space="0" w:color="auto"/>
            </w:tcBorders>
            <w:shd w:val="clear" w:color="auto" w:fill="auto"/>
            <w:vAlign w:val="center"/>
            <w:hideMark/>
          </w:tcPr>
          <w:p w14:paraId="430BB6D3" w14:textId="77777777" w:rsidR="00534D6A" w:rsidRPr="00534D6A" w:rsidRDefault="00534D6A" w:rsidP="00534D6A">
            <w:pPr>
              <w:spacing w:after="0"/>
              <w:rPr>
                <w:rFonts w:eastAsia="Times New Roman" w:cs="Gisha"/>
                <w:sz w:val="20"/>
                <w:szCs w:val="20"/>
              </w:rPr>
            </w:pPr>
            <w:r w:rsidRPr="00534D6A">
              <w:rPr>
                <w:rFonts w:eastAsia="Times New Roman" w:cs="Gisha"/>
                <w:sz w:val="20"/>
                <w:szCs w:val="20"/>
              </w:rPr>
              <w:t xml:space="preserve">% de femmes enceintes séropositives à qui on a administré des ARV pour réduire le risque de transmission mère-enfant </w:t>
            </w:r>
          </w:p>
        </w:tc>
        <w:tc>
          <w:tcPr>
            <w:tcW w:w="425" w:type="dxa"/>
            <w:tcBorders>
              <w:top w:val="single" w:sz="4" w:space="0" w:color="auto"/>
              <w:left w:val="nil"/>
              <w:bottom w:val="single" w:sz="18" w:space="0" w:color="auto"/>
              <w:right w:val="single" w:sz="4" w:space="0" w:color="auto"/>
            </w:tcBorders>
            <w:shd w:val="clear" w:color="000000" w:fill="FFFFFF"/>
            <w:tcMar>
              <w:right w:w="28" w:type="dxa"/>
            </w:tcMar>
            <w:vAlign w:val="center"/>
            <w:hideMark/>
          </w:tcPr>
          <w:p w14:paraId="337192E5"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90</w:t>
            </w:r>
          </w:p>
        </w:tc>
        <w:tc>
          <w:tcPr>
            <w:tcW w:w="709" w:type="dxa"/>
            <w:tcBorders>
              <w:top w:val="single" w:sz="4" w:space="0" w:color="auto"/>
              <w:left w:val="nil"/>
              <w:bottom w:val="single" w:sz="18" w:space="0" w:color="auto"/>
              <w:right w:val="single" w:sz="4" w:space="0" w:color="auto"/>
            </w:tcBorders>
            <w:shd w:val="clear" w:color="auto" w:fill="auto"/>
            <w:tcMar>
              <w:right w:w="28" w:type="dxa"/>
            </w:tcMar>
            <w:vAlign w:val="center"/>
            <w:hideMark/>
          </w:tcPr>
          <w:p w14:paraId="271D37A8"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91</w:t>
            </w:r>
          </w:p>
        </w:tc>
        <w:tc>
          <w:tcPr>
            <w:tcW w:w="567" w:type="dxa"/>
            <w:tcBorders>
              <w:top w:val="single" w:sz="4" w:space="0" w:color="auto"/>
              <w:left w:val="nil"/>
              <w:bottom w:val="single" w:sz="18" w:space="0" w:color="auto"/>
              <w:right w:val="single" w:sz="4" w:space="0" w:color="auto"/>
            </w:tcBorders>
            <w:shd w:val="clear" w:color="auto" w:fill="auto"/>
            <w:tcMar>
              <w:right w:w="28" w:type="dxa"/>
            </w:tcMar>
            <w:vAlign w:val="center"/>
            <w:hideMark/>
          </w:tcPr>
          <w:p w14:paraId="26ECE10E"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93</w:t>
            </w:r>
          </w:p>
        </w:tc>
        <w:tc>
          <w:tcPr>
            <w:tcW w:w="850" w:type="dxa"/>
            <w:tcBorders>
              <w:top w:val="single" w:sz="4" w:space="0" w:color="auto"/>
              <w:left w:val="nil"/>
              <w:bottom w:val="single" w:sz="18" w:space="0" w:color="auto"/>
              <w:right w:val="single" w:sz="4" w:space="0" w:color="auto"/>
            </w:tcBorders>
            <w:shd w:val="clear" w:color="auto" w:fill="auto"/>
            <w:tcMar>
              <w:right w:w="28" w:type="dxa"/>
            </w:tcMar>
            <w:vAlign w:val="center"/>
            <w:hideMark/>
          </w:tcPr>
          <w:p w14:paraId="68829253"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88</w:t>
            </w:r>
          </w:p>
        </w:tc>
        <w:tc>
          <w:tcPr>
            <w:tcW w:w="443" w:type="dxa"/>
            <w:tcBorders>
              <w:top w:val="single" w:sz="4" w:space="0" w:color="auto"/>
              <w:left w:val="nil"/>
              <w:bottom w:val="single" w:sz="18" w:space="0" w:color="auto"/>
              <w:right w:val="single" w:sz="4" w:space="0" w:color="auto"/>
            </w:tcBorders>
            <w:shd w:val="clear" w:color="auto" w:fill="auto"/>
            <w:tcMar>
              <w:right w:w="28" w:type="dxa"/>
            </w:tcMar>
            <w:vAlign w:val="center"/>
            <w:hideMark/>
          </w:tcPr>
          <w:p w14:paraId="74347BDA"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92</w:t>
            </w:r>
          </w:p>
        </w:tc>
        <w:tc>
          <w:tcPr>
            <w:tcW w:w="435" w:type="dxa"/>
            <w:tcBorders>
              <w:top w:val="single" w:sz="4" w:space="0" w:color="auto"/>
              <w:left w:val="nil"/>
              <w:bottom w:val="single" w:sz="18" w:space="0" w:color="auto"/>
              <w:right w:val="single" w:sz="4" w:space="0" w:color="auto"/>
            </w:tcBorders>
            <w:shd w:val="clear" w:color="000000" w:fill="FFFFFF"/>
            <w:tcMar>
              <w:right w:w="28" w:type="dxa"/>
            </w:tcMar>
            <w:vAlign w:val="center"/>
            <w:hideMark/>
          </w:tcPr>
          <w:p w14:paraId="1C804425" w14:textId="77777777" w:rsidR="00534D6A" w:rsidRPr="00534D6A" w:rsidRDefault="00534D6A" w:rsidP="00534D6A">
            <w:pPr>
              <w:spacing w:after="0"/>
              <w:jc w:val="center"/>
              <w:rPr>
                <w:rFonts w:eastAsia="Times New Roman" w:cs="Gisha"/>
                <w:bCs/>
                <w:sz w:val="20"/>
                <w:szCs w:val="20"/>
              </w:rPr>
            </w:pPr>
            <w:r w:rsidRPr="00534D6A">
              <w:rPr>
                <w:rFonts w:eastAsia="Times New Roman" w:cs="Gisha"/>
                <w:bCs/>
                <w:sz w:val="20"/>
                <w:szCs w:val="20"/>
              </w:rPr>
              <w:t>67</w:t>
            </w:r>
          </w:p>
        </w:tc>
        <w:tc>
          <w:tcPr>
            <w:tcW w:w="435" w:type="dxa"/>
            <w:tcBorders>
              <w:top w:val="single" w:sz="4" w:space="0" w:color="auto"/>
              <w:left w:val="nil"/>
              <w:bottom w:val="single" w:sz="18" w:space="0" w:color="auto"/>
              <w:right w:val="single" w:sz="6" w:space="0" w:color="auto"/>
            </w:tcBorders>
            <w:shd w:val="clear" w:color="auto" w:fill="auto"/>
            <w:tcMar>
              <w:right w:w="28" w:type="dxa"/>
            </w:tcMar>
            <w:vAlign w:val="center"/>
            <w:hideMark/>
          </w:tcPr>
          <w:p w14:paraId="7FC31348"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92</w:t>
            </w:r>
          </w:p>
        </w:tc>
        <w:tc>
          <w:tcPr>
            <w:tcW w:w="445" w:type="dxa"/>
            <w:tcBorders>
              <w:top w:val="single" w:sz="4" w:space="0" w:color="auto"/>
              <w:left w:val="single" w:sz="6" w:space="0" w:color="auto"/>
              <w:bottom w:val="single" w:sz="18" w:space="0" w:color="auto"/>
              <w:right w:val="single" w:sz="18" w:space="0" w:color="auto"/>
            </w:tcBorders>
            <w:vAlign w:val="center"/>
          </w:tcPr>
          <w:p w14:paraId="79C7BB2C" w14:textId="77777777" w:rsidR="00534D6A" w:rsidRPr="00534D6A" w:rsidRDefault="00534D6A" w:rsidP="00534D6A">
            <w:pPr>
              <w:spacing w:after="0"/>
              <w:jc w:val="center"/>
              <w:rPr>
                <w:rFonts w:eastAsia="Times New Roman" w:cs="Gisha"/>
                <w:sz w:val="20"/>
                <w:szCs w:val="20"/>
              </w:rPr>
            </w:pPr>
            <w:r w:rsidRPr="00534D6A">
              <w:rPr>
                <w:rFonts w:eastAsia="Times New Roman" w:cs="Gisha"/>
                <w:sz w:val="20"/>
                <w:szCs w:val="20"/>
              </w:rPr>
              <w:t>110</w:t>
            </w:r>
          </w:p>
        </w:tc>
      </w:tr>
    </w:tbl>
    <w:p w14:paraId="6F41A999" w14:textId="77777777" w:rsidR="00534D6A" w:rsidRDefault="00534D6A" w:rsidP="004527CF">
      <w:pPr>
        <w:spacing w:line="360" w:lineRule="auto"/>
        <w:jc w:val="both"/>
        <w:rPr>
          <w:rFonts w:cs="Gisha"/>
          <w:sz w:val="23"/>
          <w:szCs w:val="23"/>
        </w:rPr>
      </w:pPr>
    </w:p>
    <w:p w14:paraId="451450B0" w14:textId="39BD5AF0" w:rsidR="002F48B8" w:rsidRPr="002F48B8" w:rsidRDefault="00912392" w:rsidP="00BF3126">
      <w:pPr>
        <w:pStyle w:val="Paragraphedeliste"/>
        <w:numPr>
          <w:ilvl w:val="3"/>
          <w:numId w:val="1"/>
        </w:numPr>
        <w:spacing w:after="0" w:line="360" w:lineRule="auto"/>
        <w:jc w:val="both"/>
        <w:rPr>
          <w:rFonts w:cs="Gisha"/>
          <w:b/>
          <w:sz w:val="23"/>
          <w:szCs w:val="23"/>
        </w:rPr>
      </w:pPr>
      <w:r>
        <w:rPr>
          <w:rFonts w:cs="Gisha"/>
          <w:b/>
          <w:sz w:val="23"/>
          <w:szCs w:val="23"/>
        </w:rPr>
        <w:t>G</w:t>
      </w:r>
      <w:r w:rsidR="00BF3126">
        <w:rPr>
          <w:rFonts w:cs="Gisha"/>
          <w:b/>
          <w:sz w:val="23"/>
          <w:szCs w:val="23"/>
        </w:rPr>
        <w:t xml:space="preserve">aps de performance </w:t>
      </w:r>
      <w:r>
        <w:rPr>
          <w:rFonts w:cs="Gisha"/>
          <w:b/>
          <w:sz w:val="23"/>
          <w:szCs w:val="23"/>
        </w:rPr>
        <w:t>et leurs causes</w:t>
      </w:r>
    </w:p>
    <w:p w14:paraId="37683E63" w14:textId="77777777" w:rsidR="001C76BC" w:rsidRDefault="00960A33" w:rsidP="00BF3126">
      <w:pPr>
        <w:jc w:val="both"/>
        <w:rPr>
          <w:rFonts w:ascii="Calibri" w:hAnsi="Calibri" w:cs="Gisha"/>
          <w:sz w:val="23"/>
          <w:szCs w:val="23"/>
        </w:rPr>
      </w:pPr>
      <w:r>
        <w:rPr>
          <w:rFonts w:cs="Gisha"/>
          <w:sz w:val="23"/>
          <w:szCs w:val="23"/>
        </w:rPr>
        <w:t xml:space="preserve">Les principales causes sont le manque de formation suffisante </w:t>
      </w:r>
      <w:r w:rsidRPr="00960A33">
        <w:rPr>
          <w:rFonts w:ascii="Calibri" w:hAnsi="Calibri" w:cs="Gisha"/>
          <w:sz w:val="23"/>
          <w:szCs w:val="23"/>
        </w:rPr>
        <w:t>des</w:t>
      </w:r>
      <w:r w:rsidR="004527CF" w:rsidRPr="00960A33">
        <w:rPr>
          <w:rFonts w:ascii="Calibri" w:hAnsi="Calibri" w:cs="Gisha"/>
          <w:sz w:val="23"/>
          <w:szCs w:val="23"/>
        </w:rPr>
        <w:t xml:space="preserve"> </w:t>
      </w:r>
      <w:r>
        <w:rPr>
          <w:rFonts w:ascii="Calibri" w:hAnsi="Calibri" w:cs="Gisha"/>
          <w:sz w:val="23"/>
          <w:szCs w:val="23"/>
        </w:rPr>
        <w:t>prestataires en matière de PTME, la faible couverture de la CPN4</w:t>
      </w:r>
      <w:r>
        <w:rPr>
          <w:rFonts w:cs="Gisha"/>
          <w:sz w:val="23"/>
          <w:szCs w:val="23"/>
        </w:rPr>
        <w:t>, l</w:t>
      </w:r>
      <w:r>
        <w:rPr>
          <w:rFonts w:ascii="Calibri" w:hAnsi="Calibri" w:cs="Gisha"/>
          <w:sz w:val="23"/>
          <w:szCs w:val="23"/>
        </w:rPr>
        <w:t>es insuffisances dans le dépistage</w:t>
      </w:r>
      <w:r>
        <w:rPr>
          <w:rFonts w:cs="Gisha"/>
          <w:sz w:val="23"/>
          <w:szCs w:val="23"/>
        </w:rPr>
        <w:t>, dans l</w:t>
      </w:r>
      <w:r w:rsidRPr="00960A33">
        <w:rPr>
          <w:rFonts w:ascii="Calibri" w:hAnsi="Calibri" w:cs="Gisha"/>
          <w:sz w:val="23"/>
          <w:szCs w:val="23"/>
        </w:rPr>
        <w:t>a</w:t>
      </w:r>
      <w:r w:rsidR="004527CF" w:rsidRPr="00960A33">
        <w:rPr>
          <w:rFonts w:ascii="Calibri" w:hAnsi="Calibri" w:cs="Gisha"/>
          <w:sz w:val="23"/>
          <w:szCs w:val="23"/>
        </w:rPr>
        <w:t xml:space="preserve"> qualité des soins offerts,</w:t>
      </w:r>
      <w:r>
        <w:rPr>
          <w:rFonts w:cs="Gisha"/>
          <w:sz w:val="23"/>
          <w:szCs w:val="23"/>
        </w:rPr>
        <w:t xml:space="preserve"> </w:t>
      </w:r>
      <w:r>
        <w:rPr>
          <w:rFonts w:ascii="Calibri" w:hAnsi="Calibri" w:cs="Gisha"/>
          <w:sz w:val="23"/>
          <w:szCs w:val="23"/>
        </w:rPr>
        <w:t xml:space="preserve">le </w:t>
      </w:r>
      <w:r w:rsidR="00BD4A65">
        <w:rPr>
          <w:rFonts w:ascii="Calibri" w:hAnsi="Calibri" w:cs="Gisha"/>
          <w:sz w:val="23"/>
          <w:szCs w:val="23"/>
        </w:rPr>
        <w:t xml:space="preserve">suivi </w:t>
      </w:r>
      <w:r w:rsidR="00BD4A65" w:rsidRPr="00960A33">
        <w:rPr>
          <w:rFonts w:ascii="Calibri" w:hAnsi="Calibri" w:cs="Gisha"/>
          <w:sz w:val="23"/>
          <w:szCs w:val="23"/>
        </w:rPr>
        <w:t>du</w:t>
      </w:r>
      <w:r w:rsidR="004527CF" w:rsidRPr="00960A33">
        <w:rPr>
          <w:rFonts w:ascii="Calibri" w:hAnsi="Calibri" w:cs="Gisha"/>
          <w:sz w:val="23"/>
          <w:szCs w:val="23"/>
        </w:rPr>
        <w:t xml:space="preserve"> couple mère </w:t>
      </w:r>
      <w:r w:rsidR="00BD4A65" w:rsidRPr="00960A33">
        <w:rPr>
          <w:rFonts w:ascii="Calibri" w:hAnsi="Calibri" w:cs="Gisha"/>
          <w:sz w:val="23"/>
          <w:szCs w:val="23"/>
        </w:rPr>
        <w:t>enfant</w:t>
      </w:r>
      <w:r w:rsidR="00BD4A65">
        <w:rPr>
          <w:rFonts w:ascii="Calibri" w:hAnsi="Calibri" w:cs="Gisha"/>
          <w:sz w:val="23"/>
          <w:szCs w:val="23"/>
        </w:rPr>
        <w:t>,</w:t>
      </w:r>
      <w:r w:rsidR="00BD4A65" w:rsidRPr="00960A33">
        <w:rPr>
          <w:rFonts w:ascii="Calibri" w:hAnsi="Calibri" w:cs="Gisha"/>
          <w:sz w:val="23"/>
          <w:szCs w:val="23"/>
        </w:rPr>
        <w:t xml:space="preserve"> l’observance</w:t>
      </w:r>
      <w:r>
        <w:rPr>
          <w:rFonts w:ascii="Calibri" w:hAnsi="Calibri" w:cs="Gisha"/>
          <w:sz w:val="23"/>
          <w:szCs w:val="23"/>
        </w:rPr>
        <w:t xml:space="preserve"> du traitement et </w:t>
      </w:r>
      <w:r w:rsidR="004527CF" w:rsidRPr="00960A33">
        <w:rPr>
          <w:rFonts w:ascii="Calibri" w:hAnsi="Calibri" w:cs="Gisha"/>
          <w:sz w:val="23"/>
          <w:szCs w:val="23"/>
        </w:rPr>
        <w:t xml:space="preserve">dans le suivi/supervision des activités mises en œuvre dans le domaine de la PTME.  </w:t>
      </w:r>
    </w:p>
    <w:p w14:paraId="352E3CA0" w14:textId="6417C8E3" w:rsidR="001C76BC" w:rsidRPr="00BF3126" w:rsidRDefault="001C76BC" w:rsidP="00A97663">
      <w:pPr>
        <w:pStyle w:val="Paragraphedeliste"/>
        <w:numPr>
          <w:ilvl w:val="0"/>
          <w:numId w:val="30"/>
        </w:numPr>
        <w:spacing w:after="0"/>
        <w:jc w:val="both"/>
        <w:rPr>
          <w:rFonts w:ascii="Calibri" w:hAnsi="Calibri" w:cs="Gisha"/>
          <w:i/>
          <w:sz w:val="23"/>
          <w:szCs w:val="23"/>
        </w:rPr>
      </w:pPr>
      <w:r w:rsidRPr="00BF3126">
        <w:rPr>
          <w:rFonts w:ascii="Calibri" w:hAnsi="Calibri" w:cs="Gisha"/>
          <w:i/>
          <w:sz w:val="23"/>
          <w:szCs w:val="23"/>
        </w:rPr>
        <w:lastRenderedPageBreak/>
        <w:t>Des améliorations nécessaires au ni</w:t>
      </w:r>
      <w:r w:rsidR="004D2B1F" w:rsidRPr="00BF3126">
        <w:rPr>
          <w:rFonts w:ascii="Calibri" w:hAnsi="Calibri" w:cs="Gisha"/>
          <w:i/>
          <w:sz w:val="23"/>
          <w:szCs w:val="23"/>
        </w:rPr>
        <w:t xml:space="preserve">veau des </w:t>
      </w:r>
      <w:r w:rsidR="00223463" w:rsidRPr="00BF3126">
        <w:rPr>
          <w:rFonts w:ascii="Calibri" w:hAnsi="Calibri" w:cs="Gisha"/>
          <w:i/>
          <w:sz w:val="23"/>
          <w:szCs w:val="23"/>
        </w:rPr>
        <w:t xml:space="preserve">formations sanitaires offrant des </w:t>
      </w:r>
      <w:r w:rsidR="004D2B1F" w:rsidRPr="00BF3126">
        <w:rPr>
          <w:rFonts w:ascii="Calibri" w:hAnsi="Calibri" w:cs="Gisha"/>
          <w:i/>
          <w:sz w:val="23"/>
          <w:szCs w:val="23"/>
        </w:rPr>
        <w:t>services de CPN, porte</w:t>
      </w:r>
      <w:r w:rsidRPr="00BF3126">
        <w:rPr>
          <w:rFonts w:ascii="Calibri" w:hAnsi="Calibri" w:cs="Gisha"/>
          <w:i/>
          <w:sz w:val="23"/>
          <w:szCs w:val="23"/>
        </w:rPr>
        <w:t xml:space="preserve"> d’entrée</w:t>
      </w:r>
      <w:r w:rsidR="004D2B1F" w:rsidRPr="00BF3126">
        <w:rPr>
          <w:rFonts w:ascii="Calibri" w:hAnsi="Calibri" w:cs="Gisha"/>
          <w:i/>
          <w:sz w:val="23"/>
          <w:szCs w:val="23"/>
        </w:rPr>
        <w:t xml:space="preserve"> à l’ETME du VIH</w:t>
      </w:r>
      <w:r w:rsidR="00442FE1">
        <w:rPr>
          <w:rStyle w:val="Appelnotedebasdep"/>
          <w:rFonts w:ascii="Calibri" w:hAnsi="Calibri" w:cs="Gisha"/>
          <w:i/>
          <w:sz w:val="23"/>
          <w:szCs w:val="23"/>
        </w:rPr>
        <w:footnoteReference w:id="61"/>
      </w:r>
    </w:p>
    <w:p w14:paraId="49D885BD" w14:textId="77777777" w:rsidR="004527CF" w:rsidRPr="00223463" w:rsidRDefault="001C76BC" w:rsidP="00A97663">
      <w:pPr>
        <w:pStyle w:val="Paragraphedeliste"/>
        <w:numPr>
          <w:ilvl w:val="0"/>
          <w:numId w:val="87"/>
        </w:numPr>
        <w:spacing w:after="0"/>
        <w:jc w:val="both"/>
        <w:rPr>
          <w:rFonts w:ascii="Calibri" w:hAnsi="Calibri" w:cs="Gisha"/>
          <w:sz w:val="23"/>
          <w:szCs w:val="23"/>
        </w:rPr>
      </w:pPr>
      <w:r w:rsidRPr="00223463">
        <w:rPr>
          <w:rFonts w:ascii="Calibri" w:hAnsi="Calibri" w:cs="Gisha"/>
          <w:sz w:val="23"/>
          <w:szCs w:val="23"/>
        </w:rPr>
        <w:t xml:space="preserve">Au niveau de l’accessibilité, 42% de la population cible </w:t>
      </w:r>
      <w:r w:rsidRPr="00223463">
        <w:rPr>
          <w:rFonts w:eastAsia="Times New Roman" w:cs="Gisha"/>
          <w:sz w:val="23"/>
          <w:szCs w:val="23"/>
        </w:rPr>
        <w:t>habitent dans un rayon qui dépasse 5 km autour d’une formation sanitaire</w:t>
      </w:r>
      <w:r w:rsidRPr="00223463">
        <w:rPr>
          <w:rFonts w:ascii="Calibri" w:hAnsi="Calibri" w:cs="Gisha"/>
          <w:sz w:val="23"/>
          <w:szCs w:val="23"/>
        </w:rPr>
        <w:t xml:space="preserve"> offrant des services de CPN</w:t>
      </w:r>
      <w:r w:rsidR="004D2B1F" w:rsidRPr="00223463">
        <w:rPr>
          <w:rFonts w:ascii="Calibri" w:hAnsi="Calibri" w:cs="Gisha"/>
          <w:sz w:val="23"/>
          <w:szCs w:val="23"/>
        </w:rPr>
        <w:t>.</w:t>
      </w:r>
    </w:p>
    <w:p w14:paraId="128F85AB" w14:textId="77777777" w:rsidR="004D2B1F" w:rsidRPr="00223463" w:rsidRDefault="004D2B1F" w:rsidP="00A97663">
      <w:pPr>
        <w:pStyle w:val="Paragraphedeliste"/>
        <w:numPr>
          <w:ilvl w:val="0"/>
          <w:numId w:val="87"/>
        </w:numPr>
        <w:spacing w:after="0"/>
        <w:jc w:val="both"/>
        <w:rPr>
          <w:rFonts w:eastAsia="Times New Roman" w:cs="Gisha"/>
          <w:sz w:val="23"/>
          <w:szCs w:val="23"/>
        </w:rPr>
      </w:pPr>
      <w:r w:rsidRPr="00223463">
        <w:rPr>
          <w:rFonts w:eastAsia="Times New Roman" w:cs="Gisha"/>
          <w:sz w:val="23"/>
          <w:szCs w:val="23"/>
        </w:rPr>
        <w:t>Soixante-neuf % des femmes enceintes ne viennent pas au premier trimestre de la grossesse, occasionnant un retard par rapport au dépistage et à la mise éventuelle sous traitement ARV.</w:t>
      </w:r>
    </w:p>
    <w:p w14:paraId="2707BB14" w14:textId="77777777" w:rsidR="004D2B1F" w:rsidRPr="00223463" w:rsidRDefault="004D2B1F" w:rsidP="00A97663">
      <w:pPr>
        <w:pStyle w:val="Paragraphedeliste"/>
        <w:numPr>
          <w:ilvl w:val="0"/>
          <w:numId w:val="87"/>
        </w:numPr>
        <w:spacing w:after="0"/>
        <w:jc w:val="both"/>
        <w:rPr>
          <w:rFonts w:eastAsia="Times New Roman" w:cs="Gisha"/>
          <w:sz w:val="23"/>
          <w:szCs w:val="23"/>
        </w:rPr>
      </w:pPr>
      <w:r w:rsidRPr="00223463">
        <w:rPr>
          <w:rFonts w:eastAsia="Times New Roman" w:cs="Gisha"/>
          <w:sz w:val="23"/>
          <w:szCs w:val="23"/>
        </w:rPr>
        <w:t>Soixante-six% des femmes enceintes n’ont pas réalisé les 4 CPN. Ceci constitue une contrainte majeure pour le suivi des femmes enceintes séropositives.</w:t>
      </w:r>
    </w:p>
    <w:p w14:paraId="6EA0AC74" w14:textId="77777777" w:rsidR="004D2B1F" w:rsidRPr="00B72473" w:rsidRDefault="004D2B1F" w:rsidP="00BF3126">
      <w:pPr>
        <w:spacing w:after="0"/>
        <w:ind w:left="360"/>
        <w:contextualSpacing/>
        <w:jc w:val="both"/>
        <w:rPr>
          <w:rFonts w:eastAsia="Times New Roman" w:cs="Gisha"/>
          <w:sz w:val="23"/>
          <w:szCs w:val="23"/>
        </w:rPr>
      </w:pPr>
      <w:r w:rsidRPr="00B72473">
        <w:rPr>
          <w:rFonts w:eastAsia="Times New Roman" w:cs="Gisha"/>
          <w:sz w:val="23"/>
          <w:szCs w:val="23"/>
        </w:rPr>
        <w:t>Les</w:t>
      </w:r>
      <w:r>
        <w:rPr>
          <w:rFonts w:eastAsia="Times New Roman" w:cs="Gisha"/>
          <w:sz w:val="23"/>
          <w:szCs w:val="23"/>
        </w:rPr>
        <w:t xml:space="preserve"> causes sous-jacentes sont (i) les</w:t>
      </w:r>
      <w:r w:rsidRPr="00B72473">
        <w:rPr>
          <w:rFonts w:eastAsia="Times New Roman" w:cs="Gisha"/>
          <w:sz w:val="23"/>
          <w:szCs w:val="23"/>
        </w:rPr>
        <w:t xml:space="preserve"> croyances socio culturelles qui n’autorisent pas certaines fe</w:t>
      </w:r>
      <w:r>
        <w:rPr>
          <w:rFonts w:eastAsia="Times New Roman" w:cs="Gisha"/>
          <w:sz w:val="23"/>
          <w:szCs w:val="23"/>
        </w:rPr>
        <w:t>mmes à annoncer leur grossesse, (ii) l</w:t>
      </w:r>
      <w:r w:rsidRPr="00B72473">
        <w:rPr>
          <w:rFonts w:eastAsia="Times New Roman" w:cs="Gisha"/>
          <w:sz w:val="23"/>
          <w:szCs w:val="23"/>
        </w:rPr>
        <w:t>’insuffisance de connaissan</w:t>
      </w:r>
      <w:r>
        <w:rPr>
          <w:rFonts w:eastAsia="Times New Roman" w:cs="Gisha"/>
          <w:sz w:val="23"/>
          <w:szCs w:val="23"/>
        </w:rPr>
        <w:t>ce sur les avantages de la CPN, (iii) l</w:t>
      </w:r>
      <w:r w:rsidRPr="00B72473">
        <w:rPr>
          <w:rFonts w:eastAsia="Times New Roman" w:cs="Gisha"/>
          <w:sz w:val="23"/>
          <w:szCs w:val="23"/>
        </w:rPr>
        <w:t>’influence du milieu</w:t>
      </w:r>
      <w:r>
        <w:rPr>
          <w:rFonts w:eastAsia="Times New Roman" w:cs="Gisha"/>
          <w:sz w:val="23"/>
          <w:szCs w:val="23"/>
        </w:rPr>
        <w:t xml:space="preserve"> familial (du mari, belle-mère) et l</w:t>
      </w:r>
      <w:r w:rsidRPr="00B72473">
        <w:rPr>
          <w:rFonts w:eastAsia="Times New Roman" w:cs="Gisha"/>
          <w:sz w:val="23"/>
          <w:szCs w:val="23"/>
        </w:rPr>
        <w:t xml:space="preserve">’insuffisance dans la mise en œuvre des interventions communautaires. </w:t>
      </w:r>
    </w:p>
    <w:p w14:paraId="2504D534" w14:textId="77777777" w:rsidR="00223463" w:rsidRPr="00BF3126" w:rsidRDefault="00223463" w:rsidP="00A97663">
      <w:pPr>
        <w:pStyle w:val="Paragraphedeliste"/>
        <w:numPr>
          <w:ilvl w:val="0"/>
          <w:numId w:val="30"/>
        </w:numPr>
        <w:spacing w:after="0"/>
        <w:jc w:val="both"/>
        <w:rPr>
          <w:rFonts w:ascii="Calibri" w:hAnsi="Calibri" w:cs="Gisha"/>
          <w:i/>
          <w:sz w:val="23"/>
          <w:szCs w:val="23"/>
        </w:rPr>
      </w:pPr>
      <w:r w:rsidRPr="00BF3126">
        <w:rPr>
          <w:rFonts w:ascii="Calibri" w:hAnsi="Calibri" w:cs="Gisha"/>
          <w:i/>
          <w:sz w:val="23"/>
          <w:szCs w:val="23"/>
        </w:rPr>
        <w:t>Des goulots d’étranglement à lever au niveau des formations sanitaires offrant des services de Planification familiale, porte d’entrée à l’ETME du VIH</w:t>
      </w:r>
      <w:r w:rsidR="00442FE1">
        <w:rPr>
          <w:rStyle w:val="Appelnotedebasdep"/>
          <w:rFonts w:ascii="Calibri" w:hAnsi="Calibri" w:cs="Gisha"/>
          <w:i/>
          <w:sz w:val="23"/>
          <w:szCs w:val="23"/>
        </w:rPr>
        <w:footnoteReference w:id="62"/>
      </w:r>
      <w:r w:rsidRPr="00BF3126">
        <w:rPr>
          <w:rFonts w:ascii="Calibri" w:hAnsi="Calibri" w:cs="Gisha"/>
          <w:i/>
          <w:sz w:val="23"/>
          <w:szCs w:val="23"/>
        </w:rPr>
        <w:t>.</w:t>
      </w:r>
    </w:p>
    <w:p w14:paraId="4573F77E" w14:textId="77777777" w:rsidR="00223463" w:rsidRPr="00223463" w:rsidRDefault="00223463" w:rsidP="00A97663">
      <w:pPr>
        <w:pStyle w:val="Paragraphedeliste"/>
        <w:numPr>
          <w:ilvl w:val="0"/>
          <w:numId w:val="88"/>
        </w:numPr>
        <w:jc w:val="both"/>
        <w:rPr>
          <w:rFonts w:eastAsia="Times New Roman" w:cs="Gisha"/>
          <w:sz w:val="23"/>
          <w:szCs w:val="23"/>
        </w:rPr>
      </w:pPr>
      <w:r w:rsidRPr="00223463">
        <w:rPr>
          <w:rFonts w:eastAsia="Times New Roman" w:cs="Gisha"/>
          <w:sz w:val="23"/>
          <w:szCs w:val="23"/>
        </w:rPr>
        <w:t>Trente-trois % des structures de santé qui offrent des services de PF ont connu des ruptures de stock en contraceptifs pendant les trois derniers mois.</w:t>
      </w:r>
    </w:p>
    <w:p w14:paraId="0CEA812E" w14:textId="77777777" w:rsidR="00223463" w:rsidRPr="00223463" w:rsidRDefault="00223463" w:rsidP="00A97663">
      <w:pPr>
        <w:pStyle w:val="Paragraphedeliste"/>
        <w:numPr>
          <w:ilvl w:val="0"/>
          <w:numId w:val="88"/>
        </w:numPr>
        <w:spacing w:after="0"/>
        <w:jc w:val="both"/>
        <w:rPr>
          <w:rFonts w:eastAsia="Times New Roman" w:cs="Gisha"/>
          <w:sz w:val="23"/>
          <w:szCs w:val="23"/>
        </w:rPr>
      </w:pPr>
      <w:r w:rsidRPr="00223463">
        <w:rPr>
          <w:rFonts w:eastAsia="Times New Roman" w:cs="Gisha"/>
          <w:sz w:val="23"/>
          <w:szCs w:val="23"/>
        </w:rPr>
        <w:t>Soixante-seize % des femmes mariées et célibataires sexuellement actives (âgées de 15-49 ans) n’utilisent pas une méthode contraceptive.</w:t>
      </w:r>
    </w:p>
    <w:p w14:paraId="1B6A8479" w14:textId="77777777" w:rsidR="00223463" w:rsidRDefault="00223463" w:rsidP="00BF3126">
      <w:pPr>
        <w:ind w:left="360"/>
        <w:jc w:val="both"/>
        <w:rPr>
          <w:rFonts w:eastAsia="Times New Roman" w:cs="Gisha"/>
          <w:sz w:val="23"/>
          <w:szCs w:val="23"/>
        </w:rPr>
      </w:pPr>
      <w:r w:rsidRPr="00B72473">
        <w:rPr>
          <w:rFonts w:eastAsia="Times New Roman" w:cs="Gisha"/>
          <w:sz w:val="23"/>
          <w:szCs w:val="23"/>
        </w:rPr>
        <w:t>Les causes liées à cet</w:t>
      </w:r>
      <w:r>
        <w:rPr>
          <w:rFonts w:eastAsia="Times New Roman" w:cs="Gisha"/>
          <w:sz w:val="23"/>
          <w:szCs w:val="23"/>
        </w:rPr>
        <w:t>te situation sont entre autres (i) l</w:t>
      </w:r>
      <w:r w:rsidRPr="00B72473">
        <w:rPr>
          <w:rFonts w:eastAsia="Times New Roman" w:cs="Gisha"/>
          <w:sz w:val="23"/>
          <w:szCs w:val="23"/>
        </w:rPr>
        <w:t>’insuffisance de compétences d</w:t>
      </w:r>
      <w:r>
        <w:rPr>
          <w:rFonts w:eastAsia="Times New Roman" w:cs="Gisha"/>
          <w:sz w:val="23"/>
          <w:szCs w:val="23"/>
        </w:rPr>
        <w:t>es acteurs en gestion de stock, (ii) l</w:t>
      </w:r>
      <w:r w:rsidRPr="00B72473">
        <w:rPr>
          <w:rFonts w:eastAsia="Times New Roman" w:cs="Gisha"/>
          <w:sz w:val="23"/>
          <w:szCs w:val="23"/>
        </w:rPr>
        <w:t>a rupture des méthodes cont</w:t>
      </w:r>
      <w:r>
        <w:rPr>
          <w:rFonts w:eastAsia="Times New Roman" w:cs="Gisha"/>
          <w:sz w:val="23"/>
          <w:szCs w:val="23"/>
        </w:rPr>
        <w:t>raceptives au niveau DRD/CAMEG, (iii) le retard dans la livraison et (iv) l</w:t>
      </w:r>
      <w:r w:rsidRPr="00B72473">
        <w:rPr>
          <w:rFonts w:eastAsia="Times New Roman" w:cs="Gisha"/>
          <w:sz w:val="23"/>
          <w:szCs w:val="23"/>
        </w:rPr>
        <w:t>a non mise à jour des outils de gestions.</w:t>
      </w:r>
    </w:p>
    <w:p w14:paraId="6068E9BA" w14:textId="77777777" w:rsidR="00442FE1" w:rsidRPr="00BF3126" w:rsidRDefault="00442FE1" w:rsidP="00A97663">
      <w:pPr>
        <w:pStyle w:val="Paragraphedeliste"/>
        <w:numPr>
          <w:ilvl w:val="0"/>
          <w:numId w:val="30"/>
        </w:numPr>
        <w:spacing w:after="0"/>
        <w:jc w:val="both"/>
        <w:rPr>
          <w:rFonts w:eastAsia="Times New Roman" w:cs="Gisha"/>
          <w:i/>
          <w:sz w:val="23"/>
          <w:szCs w:val="23"/>
        </w:rPr>
      </w:pPr>
      <w:r w:rsidRPr="00BF3126">
        <w:rPr>
          <w:rFonts w:eastAsia="Times New Roman" w:cs="Gisha"/>
          <w:i/>
          <w:sz w:val="23"/>
          <w:szCs w:val="23"/>
        </w:rPr>
        <w:t xml:space="preserve">Des goulots d’étranglement à lever au niveau </w:t>
      </w:r>
      <w:r w:rsidR="00A60A80" w:rsidRPr="00BF3126">
        <w:rPr>
          <w:rFonts w:eastAsia="Times New Roman" w:cs="Gisha"/>
          <w:i/>
          <w:sz w:val="23"/>
          <w:szCs w:val="23"/>
        </w:rPr>
        <w:t>du dépistage précoce</w:t>
      </w:r>
      <w:r w:rsidR="00A60A80">
        <w:rPr>
          <w:rStyle w:val="Appelnotedebasdep"/>
          <w:rFonts w:eastAsia="Times New Roman" w:cs="Gisha"/>
          <w:i/>
          <w:sz w:val="23"/>
          <w:szCs w:val="23"/>
        </w:rPr>
        <w:footnoteReference w:id="63"/>
      </w:r>
    </w:p>
    <w:p w14:paraId="33DB6142" w14:textId="77777777" w:rsidR="00442FE1" w:rsidRPr="00A60A80" w:rsidRDefault="00442FE1" w:rsidP="00A97663">
      <w:pPr>
        <w:pStyle w:val="Paragraphedeliste"/>
        <w:numPr>
          <w:ilvl w:val="0"/>
          <w:numId w:val="89"/>
        </w:numPr>
        <w:spacing w:after="0"/>
        <w:jc w:val="both"/>
        <w:rPr>
          <w:rFonts w:eastAsia="SimSun" w:cs="Gisha"/>
          <w:snapToGrid w:val="0"/>
          <w:sz w:val="23"/>
          <w:szCs w:val="23"/>
        </w:rPr>
      </w:pPr>
      <w:r w:rsidRPr="00A60A80">
        <w:rPr>
          <w:rFonts w:eastAsia="SimSun" w:cs="Gisha"/>
          <w:snapToGrid w:val="0"/>
          <w:sz w:val="23"/>
          <w:szCs w:val="23"/>
        </w:rPr>
        <w:t xml:space="preserve">Au niveau de l’utilisation initiale, 47 % des nourrissons exposés n’ont pas été testés au VIH à l’âge de 12 mois.  </w:t>
      </w:r>
    </w:p>
    <w:p w14:paraId="022EEEE8" w14:textId="77777777" w:rsidR="00442FE1" w:rsidRPr="00A60A80" w:rsidRDefault="00442FE1" w:rsidP="00A97663">
      <w:pPr>
        <w:pStyle w:val="Paragraphedeliste"/>
        <w:numPr>
          <w:ilvl w:val="0"/>
          <w:numId w:val="89"/>
        </w:numPr>
        <w:spacing w:after="0"/>
        <w:jc w:val="both"/>
        <w:rPr>
          <w:rFonts w:eastAsia="SimSun" w:cs="Gisha"/>
          <w:snapToGrid w:val="0"/>
          <w:sz w:val="23"/>
          <w:szCs w:val="23"/>
        </w:rPr>
      </w:pPr>
      <w:r w:rsidRPr="00A60A80">
        <w:rPr>
          <w:rFonts w:eastAsia="SimSun" w:cs="Gisha"/>
          <w:snapToGrid w:val="0"/>
          <w:sz w:val="23"/>
          <w:szCs w:val="23"/>
        </w:rPr>
        <w:t>Au niveau de l’utilisation continue, 47 % des enfants n’ont pas été testés au cours des deux premiers mois de la naissance.</w:t>
      </w:r>
    </w:p>
    <w:p w14:paraId="5D8FEA29" w14:textId="77777777" w:rsidR="00442FE1" w:rsidRDefault="00442FE1" w:rsidP="00BF3126">
      <w:pPr>
        <w:spacing w:after="0"/>
        <w:ind w:left="360"/>
        <w:jc w:val="both"/>
        <w:rPr>
          <w:rFonts w:eastAsia="SimSun" w:cs="Gisha"/>
          <w:snapToGrid w:val="0"/>
          <w:sz w:val="23"/>
          <w:szCs w:val="23"/>
        </w:rPr>
      </w:pPr>
      <w:r w:rsidRPr="00B72473">
        <w:rPr>
          <w:rFonts w:eastAsia="SimSun" w:cs="Gisha"/>
          <w:snapToGrid w:val="0"/>
          <w:sz w:val="23"/>
          <w:szCs w:val="23"/>
        </w:rPr>
        <w:t xml:space="preserve">Les causes évoquées </w:t>
      </w:r>
      <w:r>
        <w:rPr>
          <w:rFonts w:eastAsia="SimSun" w:cs="Gisha"/>
          <w:snapToGrid w:val="0"/>
          <w:sz w:val="23"/>
          <w:szCs w:val="23"/>
        </w:rPr>
        <w:t>sont entre autres (i) l’i</w:t>
      </w:r>
      <w:r w:rsidRPr="00B72473">
        <w:rPr>
          <w:rFonts w:eastAsia="SimSun" w:cs="Gisha"/>
          <w:snapToGrid w:val="0"/>
          <w:sz w:val="23"/>
          <w:szCs w:val="23"/>
        </w:rPr>
        <w:t>nsuffisance dans</w:t>
      </w:r>
      <w:r>
        <w:rPr>
          <w:rFonts w:eastAsia="SimSun" w:cs="Gisha"/>
          <w:snapToGrid w:val="0"/>
          <w:sz w:val="23"/>
          <w:szCs w:val="23"/>
        </w:rPr>
        <w:t xml:space="preserve"> le suivi des enfants exposés, (ii) l’i</w:t>
      </w:r>
      <w:r w:rsidRPr="00B72473">
        <w:rPr>
          <w:rFonts w:eastAsia="SimSun" w:cs="Gisha"/>
          <w:snapToGrid w:val="0"/>
          <w:sz w:val="23"/>
          <w:szCs w:val="23"/>
        </w:rPr>
        <w:t>nsuffisance de compétences des agents d</w:t>
      </w:r>
      <w:r>
        <w:rPr>
          <w:rFonts w:eastAsia="SimSun" w:cs="Gisha"/>
          <w:snapToGrid w:val="0"/>
          <w:sz w:val="23"/>
          <w:szCs w:val="23"/>
        </w:rPr>
        <w:t xml:space="preserve">e santé pour réaliser les DBS, </w:t>
      </w:r>
      <w:r w:rsidR="00A60A80">
        <w:rPr>
          <w:rFonts w:eastAsia="SimSun" w:cs="Gisha"/>
          <w:snapToGrid w:val="0"/>
          <w:sz w:val="23"/>
          <w:szCs w:val="23"/>
        </w:rPr>
        <w:t>(iii) l’</w:t>
      </w:r>
      <w:r w:rsidR="00A60A80" w:rsidRPr="00B72473">
        <w:rPr>
          <w:rFonts w:eastAsia="SimSun" w:cs="Gisha"/>
          <w:snapToGrid w:val="0"/>
          <w:sz w:val="23"/>
          <w:szCs w:val="23"/>
        </w:rPr>
        <w:t>insuffisance de</w:t>
      </w:r>
      <w:r w:rsidRPr="00B72473">
        <w:rPr>
          <w:rFonts w:eastAsia="SimSun" w:cs="Gisha"/>
          <w:snapToGrid w:val="0"/>
          <w:sz w:val="23"/>
          <w:szCs w:val="23"/>
        </w:rPr>
        <w:t xml:space="preserve"> </w:t>
      </w:r>
      <w:r w:rsidR="00A60A80" w:rsidRPr="00B72473">
        <w:rPr>
          <w:rFonts w:eastAsia="SimSun" w:cs="Gisha"/>
          <w:snapToGrid w:val="0"/>
          <w:sz w:val="23"/>
          <w:szCs w:val="23"/>
        </w:rPr>
        <w:t>restitution des</w:t>
      </w:r>
      <w:r w:rsidRPr="00B72473">
        <w:rPr>
          <w:rFonts w:eastAsia="SimSun" w:cs="Gisha"/>
          <w:snapToGrid w:val="0"/>
          <w:sz w:val="23"/>
          <w:szCs w:val="23"/>
        </w:rPr>
        <w:t xml:space="preserve"> résultats de la PCR par</w:t>
      </w:r>
      <w:r w:rsidR="00A60A80">
        <w:rPr>
          <w:rFonts w:eastAsia="SimSun" w:cs="Gisha"/>
          <w:snapToGrid w:val="0"/>
          <w:sz w:val="23"/>
          <w:szCs w:val="23"/>
        </w:rPr>
        <w:t xml:space="preserve"> les laboratoires de référence et (iv) le </w:t>
      </w:r>
      <w:r w:rsidRPr="00B72473">
        <w:rPr>
          <w:rFonts w:eastAsia="SimSun" w:cs="Gisha"/>
          <w:snapToGrid w:val="0"/>
          <w:sz w:val="23"/>
          <w:szCs w:val="23"/>
        </w:rPr>
        <w:t xml:space="preserve">Paiement tardif des frais relatifs </w:t>
      </w:r>
      <w:r w:rsidR="00A60A80" w:rsidRPr="00B72473">
        <w:rPr>
          <w:rFonts w:eastAsia="SimSun" w:cs="Gisha"/>
          <w:snapToGrid w:val="0"/>
          <w:sz w:val="23"/>
          <w:szCs w:val="23"/>
        </w:rPr>
        <w:t>aux examens</w:t>
      </w:r>
      <w:r w:rsidRPr="00B72473">
        <w:rPr>
          <w:rFonts w:eastAsia="SimSun" w:cs="Gisha"/>
          <w:snapToGrid w:val="0"/>
          <w:sz w:val="23"/>
          <w:szCs w:val="23"/>
        </w:rPr>
        <w:t xml:space="preserve"> de laboratoires. </w:t>
      </w:r>
    </w:p>
    <w:p w14:paraId="7517035B" w14:textId="77777777" w:rsidR="00A60A80" w:rsidRPr="00BF3126" w:rsidRDefault="00A60A80" w:rsidP="00A97663">
      <w:pPr>
        <w:pStyle w:val="Paragraphedeliste"/>
        <w:numPr>
          <w:ilvl w:val="0"/>
          <w:numId w:val="30"/>
        </w:numPr>
        <w:spacing w:after="0"/>
        <w:jc w:val="both"/>
        <w:rPr>
          <w:rFonts w:eastAsia="Times New Roman" w:cs="Gisha"/>
          <w:i/>
          <w:sz w:val="23"/>
          <w:szCs w:val="23"/>
        </w:rPr>
      </w:pPr>
      <w:r w:rsidRPr="00BF3126">
        <w:rPr>
          <w:rFonts w:eastAsia="Times New Roman" w:cs="Gisha"/>
          <w:i/>
          <w:sz w:val="23"/>
          <w:szCs w:val="23"/>
        </w:rPr>
        <w:t>Des goulots d’étranglement à lever au niveau de l’offre des ARV maternels</w:t>
      </w:r>
      <w:r>
        <w:rPr>
          <w:rStyle w:val="Appelnotedebasdep"/>
          <w:rFonts w:eastAsia="Times New Roman" w:cs="Gisha"/>
          <w:i/>
          <w:sz w:val="23"/>
          <w:szCs w:val="23"/>
        </w:rPr>
        <w:footnoteReference w:id="64"/>
      </w:r>
    </w:p>
    <w:p w14:paraId="0EE8B073" w14:textId="0A2CD8A2" w:rsidR="00A60A80" w:rsidRDefault="00A60A80" w:rsidP="00BF3126">
      <w:pPr>
        <w:spacing w:after="0"/>
        <w:ind w:left="360"/>
        <w:jc w:val="both"/>
        <w:rPr>
          <w:rFonts w:eastAsia="Times New Roman" w:cs="Gisha"/>
          <w:sz w:val="23"/>
          <w:szCs w:val="23"/>
        </w:rPr>
      </w:pPr>
      <w:r w:rsidRPr="00A60A80">
        <w:rPr>
          <w:rFonts w:eastAsia="Times New Roman" w:cs="Gisha"/>
          <w:sz w:val="23"/>
          <w:szCs w:val="23"/>
        </w:rPr>
        <w:t xml:space="preserve">Au niveau de la demande vingt-huit </w:t>
      </w:r>
      <w:r w:rsidR="00442FE1" w:rsidRPr="00A60A80">
        <w:rPr>
          <w:rFonts w:eastAsia="Times New Roman" w:cs="Gisha"/>
          <w:sz w:val="23"/>
          <w:szCs w:val="23"/>
        </w:rPr>
        <w:t>% du nombre estimé de femmes enceintes vivant avec le VIH</w:t>
      </w:r>
      <w:r w:rsidR="00442FE1" w:rsidRPr="00B72473">
        <w:rPr>
          <w:rFonts w:eastAsia="Times New Roman" w:cs="Gisha"/>
          <w:sz w:val="23"/>
          <w:szCs w:val="23"/>
        </w:rPr>
        <w:t xml:space="preserve"> n’ont pas été dépistées pour le VIH et 46 % des femmes enceintes vivant avec le VIH n’ont pas initié le traitement ARV. </w:t>
      </w:r>
    </w:p>
    <w:p w14:paraId="0FC5DEF5" w14:textId="77777777" w:rsidR="00A60A80" w:rsidRDefault="00442FE1" w:rsidP="00BF3126">
      <w:pPr>
        <w:spacing w:after="0"/>
        <w:ind w:left="360"/>
        <w:jc w:val="both"/>
        <w:rPr>
          <w:rFonts w:eastAsia="Times New Roman" w:cs="Gisha"/>
          <w:sz w:val="23"/>
          <w:szCs w:val="23"/>
        </w:rPr>
      </w:pPr>
      <w:r w:rsidRPr="00B72473">
        <w:rPr>
          <w:rFonts w:eastAsia="Times New Roman" w:cs="Gisha"/>
          <w:sz w:val="23"/>
          <w:szCs w:val="23"/>
        </w:rPr>
        <w:t>En termes de qualité, 74% des enfants nés de mères VIH+ n’ont pas reçu la prophylaxie ARV à la naissance.</w:t>
      </w:r>
    </w:p>
    <w:p w14:paraId="350712CE" w14:textId="77777777" w:rsidR="00442FE1" w:rsidRDefault="00A60A80" w:rsidP="00BF3126">
      <w:pPr>
        <w:spacing w:after="0"/>
        <w:jc w:val="both"/>
        <w:rPr>
          <w:rFonts w:eastAsia="Times New Roman" w:cs="Gisha"/>
          <w:sz w:val="23"/>
          <w:szCs w:val="23"/>
        </w:rPr>
      </w:pPr>
      <w:r w:rsidRPr="00A60A80">
        <w:rPr>
          <w:rFonts w:eastAsia="Times New Roman" w:cs="Gisha"/>
          <w:sz w:val="23"/>
          <w:szCs w:val="23"/>
        </w:rPr>
        <w:lastRenderedPageBreak/>
        <w:t xml:space="preserve">Les causes sont (i) les </w:t>
      </w:r>
      <w:r w:rsidR="00442FE1" w:rsidRPr="00A60A80">
        <w:rPr>
          <w:rFonts w:eastAsia="Times New Roman" w:cs="Gisha"/>
          <w:sz w:val="23"/>
          <w:szCs w:val="23"/>
        </w:rPr>
        <w:t>rupture</w:t>
      </w:r>
      <w:r w:rsidRPr="00A60A80">
        <w:rPr>
          <w:rFonts w:eastAsia="Times New Roman" w:cs="Gisha"/>
          <w:sz w:val="23"/>
          <w:szCs w:val="23"/>
        </w:rPr>
        <w:t>s de stock</w:t>
      </w:r>
      <w:r w:rsidR="00442FE1" w:rsidRPr="00A60A80">
        <w:rPr>
          <w:rFonts w:eastAsia="Times New Roman" w:cs="Gisha"/>
          <w:sz w:val="23"/>
          <w:szCs w:val="23"/>
        </w:rPr>
        <w:t xml:space="preserve"> d'intrants PTME surtout pour les intrants de dépistage, les ARV pédiatriques pour la prophylaxie des enfa</w:t>
      </w:r>
      <w:r w:rsidRPr="00A60A80">
        <w:rPr>
          <w:rFonts w:eastAsia="Times New Roman" w:cs="Gisha"/>
          <w:sz w:val="23"/>
          <w:szCs w:val="23"/>
        </w:rPr>
        <w:t xml:space="preserve">nts nés de mères séropositives, (ii) les </w:t>
      </w:r>
      <w:r w:rsidR="00442FE1" w:rsidRPr="00A60A80">
        <w:rPr>
          <w:rFonts w:eastAsia="Times New Roman" w:cs="Gisha"/>
          <w:sz w:val="23"/>
          <w:szCs w:val="23"/>
        </w:rPr>
        <w:t>difficulté</w:t>
      </w:r>
      <w:r w:rsidRPr="00A60A80">
        <w:rPr>
          <w:rFonts w:eastAsia="Times New Roman" w:cs="Gisha"/>
          <w:sz w:val="23"/>
          <w:szCs w:val="23"/>
        </w:rPr>
        <w:t>s</w:t>
      </w:r>
      <w:r w:rsidR="00442FE1" w:rsidRPr="00A60A80">
        <w:rPr>
          <w:rFonts w:eastAsia="Times New Roman" w:cs="Gisha"/>
          <w:sz w:val="23"/>
          <w:szCs w:val="23"/>
        </w:rPr>
        <w:t xml:space="preserve"> d'identification du statut sérologique des femmes VIH+ en salle d'accouchement,</w:t>
      </w:r>
      <w:r w:rsidRPr="00A60A80">
        <w:rPr>
          <w:rFonts w:eastAsia="Times New Roman" w:cs="Gisha"/>
          <w:sz w:val="23"/>
          <w:szCs w:val="23"/>
        </w:rPr>
        <w:t xml:space="preserve"> (iii) l’</w:t>
      </w:r>
      <w:r w:rsidR="00442FE1" w:rsidRPr="00A60A80">
        <w:rPr>
          <w:rFonts w:eastAsia="Times New Roman" w:cs="Gisha"/>
          <w:sz w:val="23"/>
          <w:szCs w:val="23"/>
        </w:rPr>
        <w:t>insuffisance dans le suivi du couple mère-enfant,</w:t>
      </w:r>
      <w:r w:rsidRPr="00A60A80">
        <w:rPr>
          <w:rFonts w:eastAsia="Times New Roman" w:cs="Gisha"/>
          <w:sz w:val="23"/>
          <w:szCs w:val="23"/>
        </w:rPr>
        <w:t xml:space="preserve"> (iv) </w:t>
      </w:r>
      <w:r w:rsidR="00442FE1" w:rsidRPr="00A60A80">
        <w:rPr>
          <w:rFonts w:eastAsia="Times New Roman" w:cs="Gisha"/>
          <w:sz w:val="23"/>
          <w:szCs w:val="23"/>
        </w:rPr>
        <w:t xml:space="preserve">toutes les femmes enceintes ne sont pas vues en CPN, </w:t>
      </w:r>
      <w:r w:rsidRPr="00A60A80">
        <w:rPr>
          <w:rFonts w:eastAsia="Times New Roman" w:cs="Gisha"/>
          <w:sz w:val="23"/>
          <w:szCs w:val="23"/>
        </w:rPr>
        <w:t xml:space="preserve">(v) la </w:t>
      </w:r>
      <w:r w:rsidR="00442FE1" w:rsidRPr="00A60A80">
        <w:rPr>
          <w:rFonts w:eastAsia="Times New Roman" w:cs="Gisha"/>
          <w:sz w:val="23"/>
          <w:szCs w:val="23"/>
        </w:rPr>
        <w:t>faible proposition de réalisation du test de dé</w:t>
      </w:r>
      <w:r w:rsidRPr="00A60A80">
        <w:rPr>
          <w:rFonts w:eastAsia="Times New Roman" w:cs="Gisha"/>
          <w:sz w:val="23"/>
          <w:szCs w:val="23"/>
        </w:rPr>
        <w:t xml:space="preserve">pistage VIH en per/post parut et (vi) la </w:t>
      </w:r>
      <w:r w:rsidR="00442FE1" w:rsidRPr="00A60A80">
        <w:rPr>
          <w:rFonts w:eastAsia="Times New Roman" w:cs="Gisha"/>
          <w:sz w:val="23"/>
          <w:szCs w:val="23"/>
        </w:rPr>
        <w:t>faible adhésion des partenaires à la PTME.</w:t>
      </w:r>
    </w:p>
    <w:p w14:paraId="6B692C58" w14:textId="77777777" w:rsidR="004527CF" w:rsidRPr="002B4127" w:rsidRDefault="00A60A80" w:rsidP="00BF3126">
      <w:pPr>
        <w:jc w:val="both"/>
        <w:rPr>
          <w:rFonts w:eastAsia="Times New Roman" w:cs="Gisha"/>
          <w:i/>
          <w:sz w:val="23"/>
          <w:szCs w:val="23"/>
        </w:rPr>
      </w:pPr>
      <w:r w:rsidRPr="00A60A80">
        <w:rPr>
          <w:rFonts w:eastAsia="Times New Roman" w:cs="Gisha"/>
          <w:i/>
          <w:sz w:val="23"/>
          <w:szCs w:val="23"/>
        </w:rPr>
        <w:t>Une couverture géographique qui montre des disparités au niveau régional</w:t>
      </w:r>
    </w:p>
    <w:p w14:paraId="3CD71F0F" w14:textId="77777777" w:rsidR="004527CF" w:rsidRPr="002B4127" w:rsidRDefault="004527CF" w:rsidP="002B4127">
      <w:pPr>
        <w:rPr>
          <w:rFonts w:ascii="Gisha" w:eastAsia="SimSun" w:hAnsi="Gisha" w:cs="Gisha"/>
          <w:snapToGrid w:val="0"/>
          <w:sz w:val="24"/>
          <w:szCs w:val="24"/>
        </w:rPr>
      </w:pPr>
      <w:r w:rsidRPr="00B72473">
        <w:rPr>
          <w:rFonts w:ascii="Gisha" w:eastAsia="SimSun" w:hAnsi="Gisha" w:cs="Gisha"/>
          <w:noProof/>
          <w:snapToGrid w:val="0"/>
          <w:sz w:val="24"/>
          <w:szCs w:val="24"/>
          <w:lang w:eastAsia="fr-FR"/>
        </w:rPr>
        <w:drawing>
          <wp:inline distT="0" distB="0" distL="0" distR="0" wp14:anchorId="27255BC3" wp14:editId="5F3DFE16">
            <wp:extent cx="5693134" cy="2449195"/>
            <wp:effectExtent l="0" t="0" r="3175" b="8255"/>
            <wp:docPr id="21" name="Graphiqu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14:paraId="23CF5C4A" w14:textId="16CE7E57" w:rsidR="004527CF" w:rsidRPr="00FC6CA2" w:rsidRDefault="00BF3126" w:rsidP="004527CF">
      <w:pPr>
        <w:spacing w:line="360" w:lineRule="auto"/>
        <w:jc w:val="both"/>
        <w:rPr>
          <w:b/>
          <w:sz w:val="23"/>
          <w:szCs w:val="23"/>
        </w:rPr>
      </w:pPr>
      <w:r>
        <w:rPr>
          <w:b/>
          <w:sz w:val="23"/>
          <w:szCs w:val="23"/>
        </w:rPr>
        <w:t>Figur</w:t>
      </w:r>
      <w:r w:rsidR="00BE7A19">
        <w:rPr>
          <w:b/>
          <w:sz w:val="23"/>
          <w:szCs w:val="23"/>
        </w:rPr>
        <w:t>e 1</w:t>
      </w:r>
      <w:r w:rsidR="00651794">
        <w:rPr>
          <w:b/>
          <w:sz w:val="23"/>
          <w:szCs w:val="23"/>
        </w:rPr>
        <w:t>5</w:t>
      </w:r>
      <w:r w:rsidR="00BE7A19">
        <w:rPr>
          <w:b/>
          <w:sz w:val="23"/>
          <w:szCs w:val="23"/>
        </w:rPr>
        <w:t> : B</w:t>
      </w:r>
      <w:r w:rsidR="004527CF" w:rsidRPr="00FC6CA2">
        <w:rPr>
          <w:b/>
          <w:sz w:val="23"/>
          <w:szCs w:val="23"/>
        </w:rPr>
        <w:t>esoins non couverts selon les régions et selon l’intervention</w:t>
      </w:r>
    </w:p>
    <w:p w14:paraId="6514548D" w14:textId="77777777" w:rsidR="002B4127" w:rsidRPr="002B4127" w:rsidRDefault="002B4127" w:rsidP="00A97663">
      <w:pPr>
        <w:pStyle w:val="Paragraphedeliste"/>
        <w:numPr>
          <w:ilvl w:val="0"/>
          <w:numId w:val="9"/>
        </w:numPr>
        <w:spacing w:before="100" w:beforeAutospacing="1" w:after="0"/>
        <w:jc w:val="both"/>
        <w:rPr>
          <w:rFonts w:eastAsia="SimSun" w:cs="Gisha"/>
          <w:snapToGrid w:val="0"/>
          <w:sz w:val="23"/>
          <w:szCs w:val="23"/>
        </w:rPr>
      </w:pPr>
      <w:r w:rsidRPr="002B4127">
        <w:rPr>
          <w:rFonts w:eastAsia="SimSun" w:cs="Gisha"/>
          <w:snapToGrid w:val="0"/>
          <w:sz w:val="23"/>
          <w:szCs w:val="23"/>
        </w:rPr>
        <w:t>Neuf</w:t>
      </w:r>
      <w:r w:rsidR="004527CF" w:rsidRPr="002B4127">
        <w:rPr>
          <w:rFonts w:eastAsia="SimSun" w:cs="Gisha"/>
          <w:snapToGrid w:val="0"/>
          <w:sz w:val="23"/>
          <w:szCs w:val="23"/>
        </w:rPr>
        <w:t xml:space="preserve"> régions (Centre- Centre Est- Centre Nord- centre ouest-centre sud- DRS Est-Haut Bassin-DRS Nord- Sahel) ont les plus grands besoins non couverts entre 20% et 60%</w:t>
      </w:r>
      <w:r w:rsidRPr="002B4127">
        <w:rPr>
          <w:rFonts w:eastAsia="SimSun" w:cs="Gisha"/>
          <w:snapToGrid w:val="0"/>
          <w:sz w:val="23"/>
          <w:szCs w:val="23"/>
        </w:rPr>
        <w:t xml:space="preserve"> en matière d’offre des ARV pour le traitement de la mère et la prévention du VIH chez le bébé</w:t>
      </w:r>
      <w:r w:rsidR="004527CF" w:rsidRPr="002B4127">
        <w:rPr>
          <w:rFonts w:eastAsia="SimSun" w:cs="Gisha"/>
          <w:snapToGrid w:val="0"/>
          <w:sz w:val="23"/>
          <w:szCs w:val="23"/>
        </w:rPr>
        <w:t>.</w:t>
      </w:r>
      <w:r w:rsidR="00A60A80" w:rsidRPr="002B4127">
        <w:rPr>
          <w:rFonts w:eastAsia="SimSun" w:cs="Gisha"/>
          <w:snapToGrid w:val="0"/>
          <w:sz w:val="23"/>
          <w:szCs w:val="23"/>
        </w:rPr>
        <w:t xml:space="preserve"> </w:t>
      </w:r>
    </w:p>
    <w:p w14:paraId="57FCA4F9" w14:textId="77777777" w:rsidR="002B4127" w:rsidRDefault="004527CF" w:rsidP="00A97663">
      <w:pPr>
        <w:pStyle w:val="Paragraphedeliste"/>
        <w:numPr>
          <w:ilvl w:val="0"/>
          <w:numId w:val="9"/>
        </w:numPr>
        <w:spacing w:before="100" w:beforeAutospacing="1" w:after="100" w:afterAutospacing="1"/>
        <w:jc w:val="both"/>
        <w:rPr>
          <w:rFonts w:eastAsia="SimSun" w:cs="Gisha"/>
          <w:snapToGrid w:val="0"/>
          <w:sz w:val="23"/>
          <w:szCs w:val="23"/>
        </w:rPr>
      </w:pPr>
      <w:r w:rsidRPr="002B4127">
        <w:rPr>
          <w:rFonts w:eastAsia="SimSun" w:cs="Gisha"/>
          <w:snapToGrid w:val="0"/>
          <w:sz w:val="23"/>
          <w:szCs w:val="23"/>
        </w:rPr>
        <w:t>Concernant le dépistage,</w:t>
      </w:r>
      <w:r w:rsidR="002B4127" w:rsidRPr="002B4127">
        <w:rPr>
          <w:rFonts w:eastAsia="SimSun" w:cs="Gisha"/>
          <w:snapToGrid w:val="0"/>
          <w:sz w:val="23"/>
          <w:szCs w:val="23"/>
        </w:rPr>
        <w:t xml:space="preserve"> 20% à 35% des besoins non couverts sont concentrés au niveau de</w:t>
      </w:r>
      <w:r w:rsidRPr="002B4127">
        <w:rPr>
          <w:rFonts w:eastAsia="SimSun" w:cs="Gisha"/>
          <w:snapToGrid w:val="0"/>
          <w:sz w:val="23"/>
          <w:szCs w:val="23"/>
        </w:rPr>
        <w:t xml:space="preserve"> 7 régions (Boucle du Mouhoun- Centre – Centre Est- Centre Ouest- Centre Sud – Plateau central). </w:t>
      </w:r>
    </w:p>
    <w:p w14:paraId="69006D1C" w14:textId="106489E7" w:rsidR="00401175" w:rsidRDefault="004527CF" w:rsidP="00A97663">
      <w:pPr>
        <w:pStyle w:val="Paragraphedeliste"/>
        <w:numPr>
          <w:ilvl w:val="0"/>
          <w:numId w:val="9"/>
        </w:numPr>
        <w:spacing w:after="0"/>
        <w:jc w:val="both"/>
        <w:rPr>
          <w:rFonts w:eastAsia="SimSun" w:cs="Gisha"/>
          <w:snapToGrid w:val="0"/>
          <w:sz w:val="23"/>
          <w:szCs w:val="23"/>
        </w:rPr>
      </w:pPr>
      <w:r w:rsidRPr="002B4127">
        <w:rPr>
          <w:rFonts w:eastAsia="SimSun" w:cs="Gisha"/>
          <w:snapToGrid w:val="0"/>
          <w:sz w:val="23"/>
          <w:szCs w:val="23"/>
        </w:rPr>
        <w:t>Pour la première consultation prénatale</w:t>
      </w:r>
      <w:r w:rsidR="00BE7A19">
        <w:rPr>
          <w:rFonts w:eastAsia="SimSun" w:cs="Gisha"/>
          <w:snapToGrid w:val="0"/>
          <w:sz w:val="23"/>
          <w:szCs w:val="23"/>
        </w:rPr>
        <w:t xml:space="preserve"> 5 régions (Boucle du Mouhoun-</w:t>
      </w:r>
      <w:r w:rsidRPr="002B4127">
        <w:rPr>
          <w:rFonts w:eastAsia="SimSun" w:cs="Gisha"/>
          <w:snapToGrid w:val="0"/>
          <w:sz w:val="23"/>
          <w:szCs w:val="23"/>
        </w:rPr>
        <w:t xml:space="preserve">Centre Est- Centre Ouest- Centre Sud – Plateau central) </w:t>
      </w:r>
      <w:r w:rsidR="00960A33" w:rsidRPr="002B4127">
        <w:rPr>
          <w:rFonts w:eastAsia="SimSun" w:cs="Gisha"/>
          <w:snapToGrid w:val="0"/>
          <w:sz w:val="23"/>
          <w:szCs w:val="23"/>
        </w:rPr>
        <w:t>représentent entre</w:t>
      </w:r>
      <w:r w:rsidRPr="002B4127">
        <w:rPr>
          <w:rFonts w:eastAsia="SimSun" w:cs="Gisha"/>
          <w:snapToGrid w:val="0"/>
          <w:sz w:val="23"/>
          <w:szCs w:val="23"/>
        </w:rPr>
        <w:t xml:space="preserve"> 22% à 35% de besoins non couverts.</w:t>
      </w:r>
    </w:p>
    <w:p w14:paraId="7C0B16FD" w14:textId="77777777" w:rsidR="00BF3126" w:rsidRPr="00BF3126" w:rsidRDefault="00BF3126" w:rsidP="00BF3126">
      <w:pPr>
        <w:pStyle w:val="Paragraphedeliste"/>
        <w:spacing w:after="0"/>
        <w:ind w:left="360"/>
        <w:jc w:val="both"/>
        <w:rPr>
          <w:rFonts w:eastAsia="SimSun" w:cs="Gisha"/>
          <w:snapToGrid w:val="0"/>
          <w:sz w:val="23"/>
          <w:szCs w:val="23"/>
        </w:rPr>
      </w:pPr>
    </w:p>
    <w:p w14:paraId="5066BD83" w14:textId="6140A596" w:rsidR="004527CF" w:rsidRDefault="004527CF" w:rsidP="00BF3126">
      <w:pPr>
        <w:pStyle w:val="Paragraphedeliste"/>
        <w:numPr>
          <w:ilvl w:val="2"/>
          <w:numId w:val="1"/>
        </w:numPr>
        <w:spacing w:after="0" w:line="360" w:lineRule="auto"/>
        <w:jc w:val="both"/>
        <w:rPr>
          <w:rFonts w:eastAsia="Calibri"/>
          <w:caps/>
          <w:sz w:val="24"/>
          <w:szCs w:val="24"/>
        </w:rPr>
      </w:pPr>
      <w:bookmarkStart w:id="8" w:name="_Toc522532897"/>
      <w:r w:rsidRPr="00F26721">
        <w:rPr>
          <w:rFonts w:eastAsia="Calibri"/>
          <w:caps/>
          <w:sz w:val="24"/>
          <w:szCs w:val="24"/>
        </w:rPr>
        <w:t>vaccina</w:t>
      </w:r>
      <w:r w:rsidR="00C35792">
        <w:rPr>
          <w:rFonts w:eastAsia="Calibri"/>
          <w:caps/>
          <w:sz w:val="24"/>
          <w:szCs w:val="24"/>
        </w:rPr>
        <w:t>TION</w:t>
      </w:r>
      <w:r w:rsidRPr="00F26721">
        <w:rPr>
          <w:rFonts w:eastAsia="Calibri"/>
          <w:caps/>
          <w:sz w:val="24"/>
          <w:szCs w:val="24"/>
        </w:rPr>
        <w:t xml:space="preserve"> des enfants</w:t>
      </w:r>
      <w:bookmarkEnd w:id="8"/>
    </w:p>
    <w:p w14:paraId="10812B7A" w14:textId="26AF9BA2" w:rsidR="00A27901" w:rsidRDefault="00A27901" w:rsidP="00420280">
      <w:pPr>
        <w:pStyle w:val="Paragraphedeliste"/>
        <w:numPr>
          <w:ilvl w:val="3"/>
          <w:numId w:val="1"/>
        </w:numPr>
        <w:rPr>
          <w:b/>
        </w:rPr>
      </w:pPr>
      <w:r w:rsidRPr="00420280">
        <w:rPr>
          <w:b/>
        </w:rPr>
        <w:t>Performances</w:t>
      </w:r>
    </w:p>
    <w:p w14:paraId="793EFE60" w14:textId="77777777" w:rsidR="009C79D1" w:rsidRPr="009C79D1" w:rsidRDefault="009C79D1" w:rsidP="009C79D1">
      <w:pPr>
        <w:jc w:val="both"/>
        <w:rPr>
          <w:bCs/>
          <w:sz w:val="24"/>
          <w:szCs w:val="24"/>
        </w:rPr>
      </w:pPr>
      <w:r w:rsidRPr="009C79D1">
        <w:rPr>
          <w:bCs/>
          <w:sz w:val="24"/>
          <w:szCs w:val="24"/>
        </w:rPr>
        <w:t>Les couvertures vaccinales nationales sont passées de 99% à 107% pour le Pentavalent 3(DTC-Hep B-HiB), de 74% à 106% pour le PCV 3 et de 74% à 106% pour le Rota3. Le pourcentage de districts ayant un taux de Pentavalent 3 supérieur ou égal à 80% était de 98% en 2011, 100% en 2012, 100% en 2013, 100% en 2014 et 100% en 2015 (cible de 99%3).</w:t>
      </w:r>
    </w:p>
    <w:p w14:paraId="39F2650D" w14:textId="7F8F64A1" w:rsidR="009C79D1" w:rsidRPr="009C79D1" w:rsidRDefault="009C79D1" w:rsidP="009C79D1">
      <w:pPr>
        <w:jc w:val="both"/>
      </w:pPr>
      <w:r w:rsidRPr="009C79D1">
        <w:rPr>
          <w:bCs/>
          <w:sz w:val="24"/>
          <w:szCs w:val="24"/>
        </w:rPr>
        <w:t>Malgré ces très bonnes performances, l’approche « Atteindre</w:t>
      </w:r>
      <w:r>
        <w:t xml:space="preserve"> chaque district (ACD) avec pour objectif l’atteinte d’une couverture d’au moins 80% de tous les Antigènes dans au moins 80% des districts (OMS) » n’est pas atteint.  </w:t>
      </w:r>
    </w:p>
    <w:p w14:paraId="466D957A" w14:textId="5A335D4E" w:rsidR="00A27901" w:rsidRPr="009C79D1" w:rsidRDefault="00A27901" w:rsidP="00A27901">
      <w:pPr>
        <w:rPr>
          <w:b/>
        </w:rPr>
      </w:pPr>
      <w:r w:rsidRPr="009C79D1">
        <w:rPr>
          <w:rFonts w:ascii="Bookman Old Style" w:hAnsi="Bookman Old Style" w:cs="Bookman Old Style"/>
          <w:b/>
          <w:color w:val="000000"/>
          <w:sz w:val="20"/>
          <w:szCs w:val="20"/>
        </w:rPr>
        <w:lastRenderedPageBreak/>
        <w:t>Tableau</w:t>
      </w:r>
      <w:r w:rsidR="009C79D1" w:rsidRPr="009C79D1">
        <w:rPr>
          <w:rFonts w:ascii="Bookman Old Style" w:hAnsi="Bookman Old Style" w:cs="Bookman Old Style"/>
          <w:b/>
          <w:color w:val="000000"/>
          <w:sz w:val="20"/>
          <w:szCs w:val="20"/>
        </w:rPr>
        <w:t xml:space="preserve"> 5 : </w:t>
      </w:r>
      <w:r w:rsidRPr="009C79D1">
        <w:rPr>
          <w:rFonts w:ascii="Bookman Old Style" w:hAnsi="Bookman Old Style" w:cs="Bookman Old Style"/>
          <w:b/>
          <w:color w:val="000000"/>
          <w:sz w:val="20"/>
          <w:szCs w:val="20"/>
        </w:rPr>
        <w:t>Couvertures (%) vaccinales de 2013 à 2017</w:t>
      </w:r>
      <w:r w:rsidR="009F7816" w:rsidRPr="009C79D1">
        <w:rPr>
          <w:rStyle w:val="Appelnotedebasdep"/>
          <w:rFonts w:ascii="Bookman Old Style" w:hAnsi="Bookman Old Style" w:cs="Bookman Old Style"/>
          <w:b/>
          <w:color w:val="000000"/>
          <w:sz w:val="20"/>
          <w:szCs w:val="20"/>
        </w:rPr>
        <w:footnoteReference w:id="65"/>
      </w:r>
    </w:p>
    <w:tbl>
      <w:tblPr>
        <w:tblW w:w="960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47"/>
        <w:gridCol w:w="992"/>
        <w:gridCol w:w="993"/>
        <w:gridCol w:w="992"/>
        <w:gridCol w:w="850"/>
        <w:gridCol w:w="851"/>
        <w:gridCol w:w="1276"/>
      </w:tblGrid>
      <w:tr w:rsidR="00A27901" w:rsidRPr="00A27901" w14:paraId="0E2AE043" w14:textId="77777777" w:rsidTr="00A27901">
        <w:trPr>
          <w:trHeight w:val="190"/>
        </w:trPr>
        <w:tc>
          <w:tcPr>
            <w:tcW w:w="3647" w:type="dxa"/>
            <w:shd w:val="clear" w:color="auto" w:fill="C6D9F1" w:themeFill="text2" w:themeFillTint="33"/>
          </w:tcPr>
          <w:p w14:paraId="750C3EF6"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18"/>
                <w:szCs w:val="18"/>
              </w:rPr>
            </w:pPr>
            <w:r w:rsidRPr="00A27901">
              <w:rPr>
                <w:rFonts w:ascii="Bookman Old Style" w:hAnsi="Bookman Old Style" w:cs="Bookman Old Style"/>
                <w:b/>
                <w:bCs/>
                <w:color w:val="000000"/>
                <w:sz w:val="18"/>
                <w:szCs w:val="18"/>
              </w:rPr>
              <w:t xml:space="preserve">ANTIGÈNES </w:t>
            </w:r>
          </w:p>
        </w:tc>
        <w:tc>
          <w:tcPr>
            <w:tcW w:w="992" w:type="dxa"/>
            <w:shd w:val="clear" w:color="auto" w:fill="C6D9F1" w:themeFill="text2" w:themeFillTint="33"/>
          </w:tcPr>
          <w:p w14:paraId="71D854CE"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18"/>
                <w:szCs w:val="18"/>
              </w:rPr>
            </w:pPr>
            <w:r w:rsidRPr="00A27901">
              <w:rPr>
                <w:rFonts w:ascii="Bookman Old Style" w:hAnsi="Bookman Old Style" w:cs="Bookman Old Style"/>
                <w:b/>
                <w:bCs/>
                <w:color w:val="000000"/>
                <w:sz w:val="18"/>
                <w:szCs w:val="18"/>
              </w:rPr>
              <w:t xml:space="preserve">2013 </w:t>
            </w:r>
          </w:p>
        </w:tc>
        <w:tc>
          <w:tcPr>
            <w:tcW w:w="993" w:type="dxa"/>
            <w:shd w:val="clear" w:color="auto" w:fill="C6D9F1" w:themeFill="text2" w:themeFillTint="33"/>
          </w:tcPr>
          <w:p w14:paraId="133A6357"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18"/>
                <w:szCs w:val="18"/>
              </w:rPr>
            </w:pPr>
            <w:r w:rsidRPr="00A27901">
              <w:rPr>
                <w:rFonts w:ascii="Bookman Old Style" w:hAnsi="Bookman Old Style" w:cs="Bookman Old Style"/>
                <w:b/>
                <w:bCs/>
                <w:color w:val="000000"/>
                <w:sz w:val="18"/>
                <w:szCs w:val="18"/>
              </w:rPr>
              <w:t xml:space="preserve">2014 </w:t>
            </w:r>
          </w:p>
        </w:tc>
        <w:tc>
          <w:tcPr>
            <w:tcW w:w="992" w:type="dxa"/>
            <w:shd w:val="clear" w:color="auto" w:fill="C6D9F1" w:themeFill="text2" w:themeFillTint="33"/>
          </w:tcPr>
          <w:p w14:paraId="4201C7DD" w14:textId="77777777" w:rsidR="00A27901" w:rsidRPr="00A27901" w:rsidRDefault="00A27901" w:rsidP="00A27901">
            <w:pPr>
              <w:autoSpaceDE w:val="0"/>
              <w:autoSpaceDN w:val="0"/>
              <w:adjustRightInd w:val="0"/>
              <w:spacing w:after="0" w:line="240" w:lineRule="auto"/>
              <w:rPr>
                <w:rFonts w:ascii="Calibri" w:hAnsi="Calibri" w:cs="Calibri"/>
                <w:color w:val="000000"/>
                <w:sz w:val="18"/>
                <w:szCs w:val="18"/>
              </w:rPr>
            </w:pPr>
            <w:r w:rsidRPr="00A27901">
              <w:rPr>
                <w:rFonts w:ascii="Calibri" w:hAnsi="Calibri" w:cs="Calibri"/>
                <w:b/>
                <w:bCs/>
                <w:color w:val="000000"/>
                <w:sz w:val="18"/>
                <w:szCs w:val="18"/>
              </w:rPr>
              <w:t xml:space="preserve">2015 </w:t>
            </w:r>
          </w:p>
        </w:tc>
        <w:tc>
          <w:tcPr>
            <w:tcW w:w="850" w:type="dxa"/>
            <w:shd w:val="clear" w:color="auto" w:fill="C6D9F1" w:themeFill="text2" w:themeFillTint="33"/>
          </w:tcPr>
          <w:p w14:paraId="595D3928"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18"/>
                <w:szCs w:val="18"/>
              </w:rPr>
            </w:pPr>
            <w:r w:rsidRPr="00A27901">
              <w:rPr>
                <w:rFonts w:ascii="Bookman Old Style" w:hAnsi="Bookman Old Style" w:cs="Bookman Old Style"/>
                <w:b/>
                <w:bCs/>
                <w:color w:val="000000"/>
                <w:sz w:val="18"/>
                <w:szCs w:val="18"/>
              </w:rPr>
              <w:t xml:space="preserve">2016 </w:t>
            </w:r>
          </w:p>
        </w:tc>
        <w:tc>
          <w:tcPr>
            <w:tcW w:w="851" w:type="dxa"/>
            <w:shd w:val="clear" w:color="auto" w:fill="C6D9F1" w:themeFill="text2" w:themeFillTint="33"/>
          </w:tcPr>
          <w:p w14:paraId="6866A57F"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18"/>
                <w:szCs w:val="18"/>
              </w:rPr>
            </w:pPr>
            <w:r w:rsidRPr="00A27901">
              <w:rPr>
                <w:rFonts w:ascii="Bookman Old Style" w:hAnsi="Bookman Old Style" w:cs="Bookman Old Style"/>
                <w:b/>
                <w:bCs/>
                <w:color w:val="000000"/>
                <w:sz w:val="18"/>
                <w:szCs w:val="18"/>
              </w:rPr>
              <w:t xml:space="preserve">2017 </w:t>
            </w:r>
          </w:p>
        </w:tc>
        <w:tc>
          <w:tcPr>
            <w:tcW w:w="1276" w:type="dxa"/>
            <w:shd w:val="clear" w:color="auto" w:fill="C6D9F1" w:themeFill="text2" w:themeFillTint="33"/>
          </w:tcPr>
          <w:p w14:paraId="44E7DD8A"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18"/>
                <w:szCs w:val="18"/>
              </w:rPr>
            </w:pPr>
            <w:r w:rsidRPr="00A27901">
              <w:rPr>
                <w:rFonts w:ascii="Bookman Old Style" w:hAnsi="Bookman Old Style" w:cs="Bookman Old Style"/>
                <w:b/>
                <w:bCs/>
                <w:color w:val="000000"/>
                <w:sz w:val="18"/>
                <w:szCs w:val="18"/>
              </w:rPr>
              <w:t xml:space="preserve">Cible 2017 </w:t>
            </w:r>
          </w:p>
        </w:tc>
      </w:tr>
      <w:tr w:rsidR="00A27901" w:rsidRPr="00A27901" w14:paraId="2EE267C8" w14:textId="77777777" w:rsidTr="00A27901">
        <w:trPr>
          <w:trHeight w:val="85"/>
        </w:trPr>
        <w:tc>
          <w:tcPr>
            <w:tcW w:w="3647" w:type="dxa"/>
          </w:tcPr>
          <w:p w14:paraId="1DEA17C0"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b/>
                <w:bCs/>
                <w:color w:val="000000"/>
                <w:sz w:val="20"/>
                <w:szCs w:val="20"/>
              </w:rPr>
              <w:t xml:space="preserve">BCG </w:t>
            </w:r>
          </w:p>
        </w:tc>
        <w:tc>
          <w:tcPr>
            <w:tcW w:w="992" w:type="dxa"/>
          </w:tcPr>
          <w:p w14:paraId="389DD713"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106 </w:t>
            </w:r>
          </w:p>
        </w:tc>
        <w:tc>
          <w:tcPr>
            <w:tcW w:w="993" w:type="dxa"/>
          </w:tcPr>
          <w:p w14:paraId="1A50C1D5"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105,8 </w:t>
            </w:r>
          </w:p>
        </w:tc>
        <w:tc>
          <w:tcPr>
            <w:tcW w:w="992" w:type="dxa"/>
          </w:tcPr>
          <w:p w14:paraId="2728B843"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104,0 </w:t>
            </w:r>
          </w:p>
        </w:tc>
        <w:tc>
          <w:tcPr>
            <w:tcW w:w="850" w:type="dxa"/>
          </w:tcPr>
          <w:p w14:paraId="60319870"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103,0 </w:t>
            </w:r>
          </w:p>
        </w:tc>
        <w:tc>
          <w:tcPr>
            <w:tcW w:w="851" w:type="dxa"/>
          </w:tcPr>
          <w:p w14:paraId="69B1E012"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103,0 </w:t>
            </w:r>
          </w:p>
        </w:tc>
        <w:tc>
          <w:tcPr>
            <w:tcW w:w="1276" w:type="dxa"/>
          </w:tcPr>
          <w:p w14:paraId="67EDF525"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100 </w:t>
            </w:r>
          </w:p>
        </w:tc>
      </w:tr>
      <w:tr w:rsidR="00A27901" w:rsidRPr="00A27901" w14:paraId="1F06AB89" w14:textId="77777777" w:rsidTr="009F7816">
        <w:trPr>
          <w:trHeight w:val="85"/>
        </w:trPr>
        <w:tc>
          <w:tcPr>
            <w:tcW w:w="3647" w:type="dxa"/>
            <w:shd w:val="clear" w:color="auto" w:fill="C6D9F1" w:themeFill="text2" w:themeFillTint="33"/>
          </w:tcPr>
          <w:p w14:paraId="3EB4273E"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b/>
                <w:bCs/>
                <w:color w:val="000000"/>
                <w:sz w:val="20"/>
                <w:szCs w:val="20"/>
              </w:rPr>
              <w:t xml:space="preserve">VPO 3 </w:t>
            </w:r>
          </w:p>
        </w:tc>
        <w:tc>
          <w:tcPr>
            <w:tcW w:w="992" w:type="dxa"/>
            <w:shd w:val="clear" w:color="auto" w:fill="C6D9F1" w:themeFill="text2" w:themeFillTint="33"/>
          </w:tcPr>
          <w:p w14:paraId="20524938"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101 </w:t>
            </w:r>
          </w:p>
        </w:tc>
        <w:tc>
          <w:tcPr>
            <w:tcW w:w="993" w:type="dxa"/>
            <w:shd w:val="clear" w:color="auto" w:fill="C6D9F1" w:themeFill="text2" w:themeFillTint="33"/>
          </w:tcPr>
          <w:p w14:paraId="0FCFBF11"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105,8 </w:t>
            </w:r>
          </w:p>
        </w:tc>
        <w:tc>
          <w:tcPr>
            <w:tcW w:w="992" w:type="dxa"/>
            <w:shd w:val="clear" w:color="auto" w:fill="C6D9F1" w:themeFill="text2" w:themeFillTint="33"/>
          </w:tcPr>
          <w:p w14:paraId="2FE19ADC"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104,0 </w:t>
            </w:r>
          </w:p>
        </w:tc>
        <w:tc>
          <w:tcPr>
            <w:tcW w:w="850" w:type="dxa"/>
            <w:shd w:val="clear" w:color="auto" w:fill="C6D9F1" w:themeFill="text2" w:themeFillTint="33"/>
          </w:tcPr>
          <w:p w14:paraId="7CFEBFC9"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103,0 </w:t>
            </w:r>
          </w:p>
        </w:tc>
        <w:tc>
          <w:tcPr>
            <w:tcW w:w="851" w:type="dxa"/>
            <w:shd w:val="clear" w:color="auto" w:fill="C6D9F1" w:themeFill="text2" w:themeFillTint="33"/>
          </w:tcPr>
          <w:p w14:paraId="5410885D"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104,6 </w:t>
            </w:r>
          </w:p>
        </w:tc>
        <w:tc>
          <w:tcPr>
            <w:tcW w:w="1276" w:type="dxa"/>
            <w:shd w:val="clear" w:color="auto" w:fill="C6D9F1" w:themeFill="text2" w:themeFillTint="33"/>
          </w:tcPr>
          <w:p w14:paraId="194C4BDA"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100 </w:t>
            </w:r>
          </w:p>
        </w:tc>
      </w:tr>
      <w:tr w:rsidR="00A27901" w:rsidRPr="00A27901" w14:paraId="462B1E45" w14:textId="77777777" w:rsidTr="00A27901">
        <w:trPr>
          <w:trHeight w:val="85"/>
        </w:trPr>
        <w:tc>
          <w:tcPr>
            <w:tcW w:w="3647" w:type="dxa"/>
          </w:tcPr>
          <w:p w14:paraId="5DEF693B"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b/>
                <w:bCs/>
                <w:color w:val="000000"/>
                <w:sz w:val="20"/>
                <w:szCs w:val="20"/>
              </w:rPr>
              <w:t xml:space="preserve">Penta 3 </w:t>
            </w:r>
          </w:p>
        </w:tc>
        <w:tc>
          <w:tcPr>
            <w:tcW w:w="992" w:type="dxa"/>
          </w:tcPr>
          <w:p w14:paraId="44A4DAB2"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101 </w:t>
            </w:r>
          </w:p>
        </w:tc>
        <w:tc>
          <w:tcPr>
            <w:tcW w:w="993" w:type="dxa"/>
          </w:tcPr>
          <w:p w14:paraId="0366A57A"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103,0 </w:t>
            </w:r>
          </w:p>
        </w:tc>
        <w:tc>
          <w:tcPr>
            <w:tcW w:w="992" w:type="dxa"/>
          </w:tcPr>
          <w:p w14:paraId="13E6DF63"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105,3 </w:t>
            </w:r>
          </w:p>
        </w:tc>
        <w:tc>
          <w:tcPr>
            <w:tcW w:w="850" w:type="dxa"/>
          </w:tcPr>
          <w:p w14:paraId="1B1496EF"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102,9 </w:t>
            </w:r>
          </w:p>
        </w:tc>
        <w:tc>
          <w:tcPr>
            <w:tcW w:w="851" w:type="dxa"/>
          </w:tcPr>
          <w:p w14:paraId="7FEF0A9D"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106,1 </w:t>
            </w:r>
          </w:p>
        </w:tc>
        <w:tc>
          <w:tcPr>
            <w:tcW w:w="1276" w:type="dxa"/>
          </w:tcPr>
          <w:p w14:paraId="1077274B"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100 </w:t>
            </w:r>
          </w:p>
        </w:tc>
      </w:tr>
      <w:tr w:rsidR="00A27901" w:rsidRPr="00A27901" w14:paraId="7D9913CD" w14:textId="77777777" w:rsidTr="009F7816">
        <w:trPr>
          <w:trHeight w:val="85"/>
        </w:trPr>
        <w:tc>
          <w:tcPr>
            <w:tcW w:w="3647" w:type="dxa"/>
            <w:shd w:val="clear" w:color="auto" w:fill="C6D9F1" w:themeFill="text2" w:themeFillTint="33"/>
          </w:tcPr>
          <w:p w14:paraId="7F35157A"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b/>
                <w:bCs/>
                <w:color w:val="000000"/>
                <w:sz w:val="20"/>
                <w:szCs w:val="20"/>
              </w:rPr>
              <w:t xml:space="preserve">Pneumo1 </w:t>
            </w:r>
          </w:p>
        </w:tc>
        <w:tc>
          <w:tcPr>
            <w:tcW w:w="992" w:type="dxa"/>
            <w:shd w:val="clear" w:color="auto" w:fill="C6D9F1" w:themeFill="text2" w:themeFillTint="33"/>
          </w:tcPr>
          <w:p w14:paraId="3285F669"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 </w:t>
            </w:r>
          </w:p>
        </w:tc>
        <w:tc>
          <w:tcPr>
            <w:tcW w:w="993" w:type="dxa"/>
            <w:shd w:val="clear" w:color="auto" w:fill="C6D9F1" w:themeFill="text2" w:themeFillTint="33"/>
          </w:tcPr>
          <w:p w14:paraId="584AF52E"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103,1 </w:t>
            </w:r>
          </w:p>
        </w:tc>
        <w:tc>
          <w:tcPr>
            <w:tcW w:w="992" w:type="dxa"/>
            <w:shd w:val="clear" w:color="auto" w:fill="C6D9F1" w:themeFill="text2" w:themeFillTint="33"/>
          </w:tcPr>
          <w:p w14:paraId="4EACDA26"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105,3 </w:t>
            </w:r>
          </w:p>
        </w:tc>
        <w:tc>
          <w:tcPr>
            <w:tcW w:w="850" w:type="dxa"/>
            <w:shd w:val="clear" w:color="auto" w:fill="C6D9F1" w:themeFill="text2" w:themeFillTint="33"/>
          </w:tcPr>
          <w:p w14:paraId="5839C7FC"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103,0 </w:t>
            </w:r>
          </w:p>
        </w:tc>
        <w:tc>
          <w:tcPr>
            <w:tcW w:w="851" w:type="dxa"/>
            <w:shd w:val="clear" w:color="auto" w:fill="C6D9F1" w:themeFill="text2" w:themeFillTint="33"/>
          </w:tcPr>
          <w:p w14:paraId="3BB9E2C4"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108,4 </w:t>
            </w:r>
          </w:p>
        </w:tc>
        <w:tc>
          <w:tcPr>
            <w:tcW w:w="1276" w:type="dxa"/>
            <w:shd w:val="clear" w:color="auto" w:fill="C6D9F1" w:themeFill="text2" w:themeFillTint="33"/>
          </w:tcPr>
          <w:p w14:paraId="653D5956"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100 </w:t>
            </w:r>
          </w:p>
        </w:tc>
      </w:tr>
      <w:tr w:rsidR="00A27901" w:rsidRPr="00A27901" w14:paraId="5AB1840A" w14:textId="77777777" w:rsidTr="00A27901">
        <w:trPr>
          <w:trHeight w:val="85"/>
        </w:trPr>
        <w:tc>
          <w:tcPr>
            <w:tcW w:w="3647" w:type="dxa"/>
          </w:tcPr>
          <w:p w14:paraId="74999E53"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b/>
                <w:bCs/>
                <w:color w:val="000000"/>
                <w:sz w:val="20"/>
                <w:szCs w:val="20"/>
              </w:rPr>
              <w:t xml:space="preserve">Pneumo3 </w:t>
            </w:r>
          </w:p>
        </w:tc>
        <w:tc>
          <w:tcPr>
            <w:tcW w:w="992" w:type="dxa"/>
          </w:tcPr>
          <w:p w14:paraId="445BC3EC"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 </w:t>
            </w:r>
          </w:p>
        </w:tc>
        <w:tc>
          <w:tcPr>
            <w:tcW w:w="993" w:type="dxa"/>
          </w:tcPr>
          <w:p w14:paraId="0F78129F"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104,0 </w:t>
            </w:r>
          </w:p>
        </w:tc>
        <w:tc>
          <w:tcPr>
            <w:tcW w:w="992" w:type="dxa"/>
          </w:tcPr>
          <w:p w14:paraId="0C6F2818"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108,4 </w:t>
            </w:r>
          </w:p>
        </w:tc>
        <w:tc>
          <w:tcPr>
            <w:tcW w:w="850" w:type="dxa"/>
          </w:tcPr>
          <w:p w14:paraId="1F61DB64"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106,4 </w:t>
            </w:r>
          </w:p>
        </w:tc>
        <w:tc>
          <w:tcPr>
            <w:tcW w:w="851" w:type="dxa"/>
          </w:tcPr>
          <w:p w14:paraId="082A476D"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106,1 </w:t>
            </w:r>
          </w:p>
        </w:tc>
        <w:tc>
          <w:tcPr>
            <w:tcW w:w="1276" w:type="dxa"/>
          </w:tcPr>
          <w:p w14:paraId="5902C7A2"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100 </w:t>
            </w:r>
          </w:p>
        </w:tc>
      </w:tr>
      <w:tr w:rsidR="00A27901" w:rsidRPr="00A27901" w14:paraId="77F5931B" w14:textId="77777777" w:rsidTr="009F7816">
        <w:trPr>
          <w:trHeight w:val="85"/>
        </w:trPr>
        <w:tc>
          <w:tcPr>
            <w:tcW w:w="3647" w:type="dxa"/>
            <w:shd w:val="clear" w:color="auto" w:fill="C6D9F1" w:themeFill="text2" w:themeFillTint="33"/>
          </w:tcPr>
          <w:p w14:paraId="67236CF1"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b/>
                <w:bCs/>
                <w:color w:val="000000"/>
                <w:sz w:val="20"/>
                <w:szCs w:val="20"/>
              </w:rPr>
              <w:t xml:space="preserve">Rota1 </w:t>
            </w:r>
          </w:p>
        </w:tc>
        <w:tc>
          <w:tcPr>
            <w:tcW w:w="992" w:type="dxa"/>
            <w:shd w:val="clear" w:color="auto" w:fill="C6D9F1" w:themeFill="text2" w:themeFillTint="33"/>
          </w:tcPr>
          <w:p w14:paraId="55173650"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 </w:t>
            </w:r>
          </w:p>
        </w:tc>
        <w:tc>
          <w:tcPr>
            <w:tcW w:w="993" w:type="dxa"/>
            <w:shd w:val="clear" w:color="auto" w:fill="C6D9F1" w:themeFill="text2" w:themeFillTint="33"/>
          </w:tcPr>
          <w:p w14:paraId="768B6FF4"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88,7 </w:t>
            </w:r>
          </w:p>
        </w:tc>
        <w:tc>
          <w:tcPr>
            <w:tcW w:w="992" w:type="dxa"/>
            <w:shd w:val="clear" w:color="auto" w:fill="C6D9F1" w:themeFill="text2" w:themeFillTint="33"/>
          </w:tcPr>
          <w:p w14:paraId="5E52DC20"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104,5 </w:t>
            </w:r>
          </w:p>
        </w:tc>
        <w:tc>
          <w:tcPr>
            <w:tcW w:w="850" w:type="dxa"/>
            <w:shd w:val="clear" w:color="auto" w:fill="C6D9F1" w:themeFill="text2" w:themeFillTint="33"/>
          </w:tcPr>
          <w:p w14:paraId="2BD39476"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102,8 </w:t>
            </w:r>
          </w:p>
        </w:tc>
        <w:tc>
          <w:tcPr>
            <w:tcW w:w="851" w:type="dxa"/>
            <w:shd w:val="clear" w:color="auto" w:fill="C6D9F1" w:themeFill="text2" w:themeFillTint="33"/>
          </w:tcPr>
          <w:p w14:paraId="6EF34EBA"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102,8 </w:t>
            </w:r>
          </w:p>
        </w:tc>
        <w:tc>
          <w:tcPr>
            <w:tcW w:w="1276" w:type="dxa"/>
            <w:shd w:val="clear" w:color="auto" w:fill="C6D9F1" w:themeFill="text2" w:themeFillTint="33"/>
          </w:tcPr>
          <w:p w14:paraId="072029F0"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100 </w:t>
            </w:r>
          </w:p>
        </w:tc>
      </w:tr>
      <w:tr w:rsidR="00A27901" w:rsidRPr="00A27901" w14:paraId="7CC9293D" w14:textId="77777777" w:rsidTr="00A27901">
        <w:trPr>
          <w:trHeight w:val="85"/>
        </w:trPr>
        <w:tc>
          <w:tcPr>
            <w:tcW w:w="3647" w:type="dxa"/>
          </w:tcPr>
          <w:p w14:paraId="2319787C"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b/>
                <w:bCs/>
                <w:color w:val="000000"/>
                <w:sz w:val="20"/>
                <w:szCs w:val="20"/>
              </w:rPr>
              <w:t xml:space="preserve">Rota3 </w:t>
            </w:r>
          </w:p>
        </w:tc>
        <w:tc>
          <w:tcPr>
            <w:tcW w:w="992" w:type="dxa"/>
          </w:tcPr>
          <w:p w14:paraId="232FE253"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 </w:t>
            </w:r>
          </w:p>
        </w:tc>
        <w:tc>
          <w:tcPr>
            <w:tcW w:w="993" w:type="dxa"/>
          </w:tcPr>
          <w:p w14:paraId="7F0A433F"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103,0 </w:t>
            </w:r>
          </w:p>
        </w:tc>
        <w:tc>
          <w:tcPr>
            <w:tcW w:w="992" w:type="dxa"/>
          </w:tcPr>
          <w:p w14:paraId="47C2B176"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108,0 </w:t>
            </w:r>
          </w:p>
        </w:tc>
        <w:tc>
          <w:tcPr>
            <w:tcW w:w="850" w:type="dxa"/>
          </w:tcPr>
          <w:p w14:paraId="131ED329"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106,3 </w:t>
            </w:r>
          </w:p>
        </w:tc>
        <w:tc>
          <w:tcPr>
            <w:tcW w:w="851" w:type="dxa"/>
          </w:tcPr>
          <w:p w14:paraId="209796D3"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100,6 </w:t>
            </w:r>
          </w:p>
        </w:tc>
        <w:tc>
          <w:tcPr>
            <w:tcW w:w="1276" w:type="dxa"/>
          </w:tcPr>
          <w:p w14:paraId="7281E8B4"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100 </w:t>
            </w:r>
          </w:p>
        </w:tc>
      </w:tr>
      <w:tr w:rsidR="00A27901" w:rsidRPr="00A27901" w14:paraId="1111A2E1" w14:textId="77777777" w:rsidTr="009F7816">
        <w:trPr>
          <w:trHeight w:val="85"/>
        </w:trPr>
        <w:tc>
          <w:tcPr>
            <w:tcW w:w="3647" w:type="dxa"/>
            <w:shd w:val="clear" w:color="auto" w:fill="C6D9F1" w:themeFill="text2" w:themeFillTint="33"/>
          </w:tcPr>
          <w:p w14:paraId="4C400012"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b/>
                <w:bCs/>
                <w:color w:val="000000"/>
                <w:sz w:val="20"/>
                <w:szCs w:val="20"/>
              </w:rPr>
              <w:t xml:space="preserve">VAR1/RR1 </w:t>
            </w:r>
          </w:p>
        </w:tc>
        <w:tc>
          <w:tcPr>
            <w:tcW w:w="992" w:type="dxa"/>
            <w:shd w:val="clear" w:color="auto" w:fill="C6D9F1" w:themeFill="text2" w:themeFillTint="33"/>
          </w:tcPr>
          <w:p w14:paraId="4E4F9691"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100 </w:t>
            </w:r>
          </w:p>
        </w:tc>
        <w:tc>
          <w:tcPr>
            <w:tcW w:w="993" w:type="dxa"/>
            <w:shd w:val="clear" w:color="auto" w:fill="C6D9F1" w:themeFill="text2" w:themeFillTint="33"/>
          </w:tcPr>
          <w:p w14:paraId="5E502552"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99,7 </w:t>
            </w:r>
          </w:p>
        </w:tc>
        <w:tc>
          <w:tcPr>
            <w:tcW w:w="992" w:type="dxa"/>
            <w:shd w:val="clear" w:color="auto" w:fill="C6D9F1" w:themeFill="text2" w:themeFillTint="33"/>
          </w:tcPr>
          <w:p w14:paraId="43B4A32A"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104,2 </w:t>
            </w:r>
          </w:p>
        </w:tc>
        <w:tc>
          <w:tcPr>
            <w:tcW w:w="850" w:type="dxa"/>
            <w:shd w:val="clear" w:color="auto" w:fill="C6D9F1" w:themeFill="text2" w:themeFillTint="33"/>
          </w:tcPr>
          <w:p w14:paraId="03E45D13"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102,8 </w:t>
            </w:r>
          </w:p>
        </w:tc>
        <w:tc>
          <w:tcPr>
            <w:tcW w:w="851" w:type="dxa"/>
            <w:shd w:val="clear" w:color="auto" w:fill="C6D9F1" w:themeFill="text2" w:themeFillTint="33"/>
          </w:tcPr>
          <w:p w14:paraId="6AD35B12"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101,0 </w:t>
            </w:r>
          </w:p>
        </w:tc>
        <w:tc>
          <w:tcPr>
            <w:tcW w:w="1276" w:type="dxa"/>
            <w:shd w:val="clear" w:color="auto" w:fill="C6D9F1" w:themeFill="text2" w:themeFillTint="33"/>
          </w:tcPr>
          <w:p w14:paraId="4959B215"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100 </w:t>
            </w:r>
          </w:p>
        </w:tc>
      </w:tr>
      <w:tr w:rsidR="00A27901" w:rsidRPr="00A27901" w14:paraId="6C52DD97" w14:textId="77777777" w:rsidTr="00A27901">
        <w:trPr>
          <w:trHeight w:val="111"/>
        </w:trPr>
        <w:tc>
          <w:tcPr>
            <w:tcW w:w="3647" w:type="dxa"/>
          </w:tcPr>
          <w:p w14:paraId="6CA23DA5"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b/>
                <w:bCs/>
                <w:color w:val="000000"/>
                <w:sz w:val="20"/>
                <w:szCs w:val="20"/>
              </w:rPr>
              <w:t xml:space="preserve">VAR2/RR2 </w:t>
            </w:r>
          </w:p>
        </w:tc>
        <w:tc>
          <w:tcPr>
            <w:tcW w:w="992" w:type="dxa"/>
          </w:tcPr>
          <w:p w14:paraId="2723CDB7" w14:textId="77777777" w:rsidR="00A27901" w:rsidRPr="00A27901" w:rsidRDefault="00A27901" w:rsidP="00A27901">
            <w:pPr>
              <w:autoSpaceDE w:val="0"/>
              <w:autoSpaceDN w:val="0"/>
              <w:adjustRightInd w:val="0"/>
              <w:spacing w:after="0" w:line="240" w:lineRule="auto"/>
              <w:rPr>
                <w:rFonts w:ascii="Calibri" w:hAnsi="Calibri" w:cs="Calibri"/>
                <w:color w:val="000000"/>
                <w:sz w:val="20"/>
                <w:szCs w:val="20"/>
              </w:rPr>
            </w:pPr>
            <w:r w:rsidRPr="00A27901">
              <w:rPr>
                <w:rFonts w:ascii="Calibri" w:hAnsi="Calibri" w:cs="Calibri"/>
                <w:color w:val="000000"/>
                <w:sz w:val="20"/>
                <w:szCs w:val="20"/>
              </w:rPr>
              <w:t xml:space="preserve">- </w:t>
            </w:r>
          </w:p>
        </w:tc>
        <w:tc>
          <w:tcPr>
            <w:tcW w:w="993" w:type="dxa"/>
          </w:tcPr>
          <w:p w14:paraId="2397B92D"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16,8 </w:t>
            </w:r>
          </w:p>
        </w:tc>
        <w:tc>
          <w:tcPr>
            <w:tcW w:w="992" w:type="dxa"/>
          </w:tcPr>
          <w:p w14:paraId="0EA7C912"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103,5 </w:t>
            </w:r>
          </w:p>
        </w:tc>
        <w:tc>
          <w:tcPr>
            <w:tcW w:w="850" w:type="dxa"/>
          </w:tcPr>
          <w:p w14:paraId="55D96339"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99,9 </w:t>
            </w:r>
          </w:p>
        </w:tc>
        <w:tc>
          <w:tcPr>
            <w:tcW w:w="851" w:type="dxa"/>
          </w:tcPr>
          <w:p w14:paraId="0FC05794"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80,0 </w:t>
            </w:r>
          </w:p>
        </w:tc>
        <w:tc>
          <w:tcPr>
            <w:tcW w:w="1276" w:type="dxa"/>
          </w:tcPr>
          <w:p w14:paraId="60EC8262"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100 </w:t>
            </w:r>
          </w:p>
        </w:tc>
      </w:tr>
      <w:tr w:rsidR="00A27901" w:rsidRPr="00A27901" w14:paraId="394E5E4A" w14:textId="77777777" w:rsidTr="009F7816">
        <w:trPr>
          <w:trHeight w:val="85"/>
        </w:trPr>
        <w:tc>
          <w:tcPr>
            <w:tcW w:w="3647" w:type="dxa"/>
            <w:shd w:val="clear" w:color="auto" w:fill="C6D9F1" w:themeFill="text2" w:themeFillTint="33"/>
          </w:tcPr>
          <w:p w14:paraId="420BCA97"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b/>
                <w:bCs/>
                <w:color w:val="000000"/>
                <w:sz w:val="20"/>
                <w:szCs w:val="20"/>
              </w:rPr>
              <w:t xml:space="preserve">VAA </w:t>
            </w:r>
          </w:p>
        </w:tc>
        <w:tc>
          <w:tcPr>
            <w:tcW w:w="992" w:type="dxa"/>
            <w:shd w:val="clear" w:color="auto" w:fill="C6D9F1" w:themeFill="text2" w:themeFillTint="33"/>
          </w:tcPr>
          <w:p w14:paraId="5967C983"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100 </w:t>
            </w:r>
          </w:p>
        </w:tc>
        <w:tc>
          <w:tcPr>
            <w:tcW w:w="993" w:type="dxa"/>
            <w:shd w:val="clear" w:color="auto" w:fill="C6D9F1" w:themeFill="text2" w:themeFillTint="33"/>
          </w:tcPr>
          <w:p w14:paraId="7DAA8B71"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99,7 </w:t>
            </w:r>
          </w:p>
        </w:tc>
        <w:tc>
          <w:tcPr>
            <w:tcW w:w="992" w:type="dxa"/>
            <w:shd w:val="clear" w:color="auto" w:fill="C6D9F1" w:themeFill="text2" w:themeFillTint="33"/>
          </w:tcPr>
          <w:p w14:paraId="12B45AA0"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65,2 </w:t>
            </w:r>
          </w:p>
        </w:tc>
        <w:tc>
          <w:tcPr>
            <w:tcW w:w="850" w:type="dxa"/>
            <w:shd w:val="clear" w:color="auto" w:fill="C6D9F1" w:themeFill="text2" w:themeFillTint="33"/>
          </w:tcPr>
          <w:p w14:paraId="2C05673F"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74,0 </w:t>
            </w:r>
          </w:p>
        </w:tc>
        <w:tc>
          <w:tcPr>
            <w:tcW w:w="851" w:type="dxa"/>
            <w:shd w:val="clear" w:color="auto" w:fill="C6D9F1" w:themeFill="text2" w:themeFillTint="33"/>
          </w:tcPr>
          <w:p w14:paraId="66569B6D"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45,6 </w:t>
            </w:r>
          </w:p>
        </w:tc>
        <w:tc>
          <w:tcPr>
            <w:tcW w:w="1276" w:type="dxa"/>
            <w:shd w:val="clear" w:color="auto" w:fill="C6D9F1" w:themeFill="text2" w:themeFillTint="33"/>
          </w:tcPr>
          <w:p w14:paraId="23957FA3"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100 </w:t>
            </w:r>
          </w:p>
        </w:tc>
      </w:tr>
      <w:tr w:rsidR="00A27901" w:rsidRPr="00A27901" w14:paraId="24EA041F" w14:textId="77777777" w:rsidTr="00A27901">
        <w:trPr>
          <w:trHeight w:val="85"/>
        </w:trPr>
        <w:tc>
          <w:tcPr>
            <w:tcW w:w="3647" w:type="dxa"/>
          </w:tcPr>
          <w:p w14:paraId="0E842111"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b/>
                <w:bCs/>
                <w:color w:val="000000"/>
                <w:sz w:val="20"/>
                <w:szCs w:val="20"/>
              </w:rPr>
              <w:t xml:space="preserve">Men A </w:t>
            </w:r>
          </w:p>
        </w:tc>
        <w:tc>
          <w:tcPr>
            <w:tcW w:w="992" w:type="dxa"/>
          </w:tcPr>
          <w:p w14:paraId="7DF53707"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 </w:t>
            </w:r>
          </w:p>
        </w:tc>
        <w:tc>
          <w:tcPr>
            <w:tcW w:w="993" w:type="dxa"/>
          </w:tcPr>
          <w:p w14:paraId="434D0E0A"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 </w:t>
            </w:r>
          </w:p>
        </w:tc>
        <w:tc>
          <w:tcPr>
            <w:tcW w:w="992" w:type="dxa"/>
          </w:tcPr>
          <w:p w14:paraId="7E207144"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 </w:t>
            </w:r>
          </w:p>
        </w:tc>
        <w:tc>
          <w:tcPr>
            <w:tcW w:w="850" w:type="dxa"/>
          </w:tcPr>
          <w:p w14:paraId="3DA64387"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 </w:t>
            </w:r>
          </w:p>
        </w:tc>
        <w:tc>
          <w:tcPr>
            <w:tcW w:w="851" w:type="dxa"/>
          </w:tcPr>
          <w:p w14:paraId="2E795568"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68,0 </w:t>
            </w:r>
          </w:p>
        </w:tc>
        <w:tc>
          <w:tcPr>
            <w:tcW w:w="1276" w:type="dxa"/>
          </w:tcPr>
          <w:p w14:paraId="7FCE3591"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70 </w:t>
            </w:r>
          </w:p>
        </w:tc>
      </w:tr>
      <w:tr w:rsidR="00A27901" w:rsidRPr="00A27901" w14:paraId="24EB6F9D" w14:textId="77777777" w:rsidTr="009F7816">
        <w:trPr>
          <w:trHeight w:val="85"/>
        </w:trPr>
        <w:tc>
          <w:tcPr>
            <w:tcW w:w="3647" w:type="dxa"/>
            <w:shd w:val="clear" w:color="auto" w:fill="C6D9F1" w:themeFill="text2" w:themeFillTint="33"/>
          </w:tcPr>
          <w:p w14:paraId="40ACEA42"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b/>
                <w:bCs/>
                <w:color w:val="000000"/>
                <w:sz w:val="20"/>
                <w:szCs w:val="20"/>
              </w:rPr>
              <w:t xml:space="preserve">VAT2+ </w:t>
            </w:r>
          </w:p>
        </w:tc>
        <w:tc>
          <w:tcPr>
            <w:tcW w:w="992" w:type="dxa"/>
            <w:shd w:val="clear" w:color="auto" w:fill="C6D9F1" w:themeFill="text2" w:themeFillTint="33"/>
          </w:tcPr>
          <w:p w14:paraId="44A3CD61"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88 </w:t>
            </w:r>
          </w:p>
        </w:tc>
        <w:tc>
          <w:tcPr>
            <w:tcW w:w="993" w:type="dxa"/>
            <w:shd w:val="clear" w:color="auto" w:fill="C6D9F1" w:themeFill="text2" w:themeFillTint="33"/>
          </w:tcPr>
          <w:p w14:paraId="5B0ACF30"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81,8 </w:t>
            </w:r>
          </w:p>
        </w:tc>
        <w:tc>
          <w:tcPr>
            <w:tcW w:w="992" w:type="dxa"/>
            <w:shd w:val="clear" w:color="auto" w:fill="C6D9F1" w:themeFill="text2" w:themeFillTint="33"/>
          </w:tcPr>
          <w:p w14:paraId="48BB532E"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103,0 </w:t>
            </w:r>
          </w:p>
        </w:tc>
        <w:tc>
          <w:tcPr>
            <w:tcW w:w="850" w:type="dxa"/>
            <w:shd w:val="clear" w:color="auto" w:fill="C6D9F1" w:themeFill="text2" w:themeFillTint="33"/>
          </w:tcPr>
          <w:p w14:paraId="5572F762"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56,8 </w:t>
            </w:r>
          </w:p>
        </w:tc>
        <w:tc>
          <w:tcPr>
            <w:tcW w:w="851" w:type="dxa"/>
            <w:shd w:val="clear" w:color="auto" w:fill="C6D9F1" w:themeFill="text2" w:themeFillTint="33"/>
          </w:tcPr>
          <w:p w14:paraId="3689451E"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95,4 </w:t>
            </w:r>
          </w:p>
        </w:tc>
        <w:tc>
          <w:tcPr>
            <w:tcW w:w="1276" w:type="dxa"/>
            <w:shd w:val="clear" w:color="auto" w:fill="C6D9F1" w:themeFill="text2" w:themeFillTint="33"/>
          </w:tcPr>
          <w:p w14:paraId="4B2D538F"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95 </w:t>
            </w:r>
          </w:p>
        </w:tc>
      </w:tr>
      <w:tr w:rsidR="00A27901" w:rsidRPr="00A27901" w14:paraId="34FB6C64" w14:textId="77777777" w:rsidTr="00A27901">
        <w:trPr>
          <w:trHeight w:val="194"/>
        </w:trPr>
        <w:tc>
          <w:tcPr>
            <w:tcW w:w="3647" w:type="dxa"/>
          </w:tcPr>
          <w:p w14:paraId="7725ABA1"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b/>
                <w:bCs/>
                <w:color w:val="000000"/>
                <w:sz w:val="20"/>
                <w:szCs w:val="20"/>
              </w:rPr>
              <w:t xml:space="preserve">Taux d’abandon Penta1/Penta 3 </w:t>
            </w:r>
          </w:p>
        </w:tc>
        <w:tc>
          <w:tcPr>
            <w:tcW w:w="992" w:type="dxa"/>
          </w:tcPr>
          <w:p w14:paraId="7B363845"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3,3 </w:t>
            </w:r>
          </w:p>
        </w:tc>
        <w:tc>
          <w:tcPr>
            <w:tcW w:w="993" w:type="dxa"/>
          </w:tcPr>
          <w:p w14:paraId="6A19A7C6"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3,4 </w:t>
            </w:r>
          </w:p>
        </w:tc>
        <w:tc>
          <w:tcPr>
            <w:tcW w:w="992" w:type="dxa"/>
          </w:tcPr>
          <w:p w14:paraId="754648BE"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5,2 </w:t>
            </w:r>
          </w:p>
        </w:tc>
        <w:tc>
          <w:tcPr>
            <w:tcW w:w="850" w:type="dxa"/>
          </w:tcPr>
          <w:p w14:paraId="24619DDB"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3,2 </w:t>
            </w:r>
          </w:p>
        </w:tc>
        <w:tc>
          <w:tcPr>
            <w:tcW w:w="851" w:type="dxa"/>
          </w:tcPr>
          <w:p w14:paraId="4FF1A5B6"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3,3 </w:t>
            </w:r>
          </w:p>
        </w:tc>
        <w:tc>
          <w:tcPr>
            <w:tcW w:w="1276" w:type="dxa"/>
          </w:tcPr>
          <w:p w14:paraId="046F1814"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 5 </w:t>
            </w:r>
          </w:p>
        </w:tc>
      </w:tr>
      <w:tr w:rsidR="00A27901" w:rsidRPr="00A27901" w14:paraId="1B8F45AD" w14:textId="77777777" w:rsidTr="009F7816">
        <w:trPr>
          <w:trHeight w:val="191"/>
        </w:trPr>
        <w:tc>
          <w:tcPr>
            <w:tcW w:w="3647" w:type="dxa"/>
            <w:shd w:val="clear" w:color="auto" w:fill="C6D9F1" w:themeFill="text2" w:themeFillTint="33"/>
          </w:tcPr>
          <w:p w14:paraId="2C7A09DA" w14:textId="77777777" w:rsidR="00A27901" w:rsidRPr="00A27901" w:rsidRDefault="00A27901" w:rsidP="00A27901">
            <w:pPr>
              <w:autoSpaceDE w:val="0"/>
              <w:autoSpaceDN w:val="0"/>
              <w:adjustRightInd w:val="0"/>
              <w:spacing w:after="0" w:line="240" w:lineRule="auto"/>
              <w:rPr>
                <w:rFonts w:ascii="Calibri" w:hAnsi="Calibri" w:cs="Calibri"/>
                <w:color w:val="000000"/>
                <w:sz w:val="20"/>
                <w:szCs w:val="20"/>
              </w:rPr>
            </w:pPr>
            <w:r w:rsidRPr="00A27901">
              <w:rPr>
                <w:rFonts w:ascii="Bookman Old Style" w:hAnsi="Bookman Old Style" w:cs="Bookman Old Style"/>
                <w:b/>
                <w:bCs/>
                <w:color w:val="000000"/>
                <w:sz w:val="20"/>
                <w:szCs w:val="20"/>
              </w:rPr>
              <w:t xml:space="preserve">Taux d’abandon BCG/VAR </w:t>
            </w:r>
          </w:p>
        </w:tc>
        <w:tc>
          <w:tcPr>
            <w:tcW w:w="992" w:type="dxa"/>
            <w:shd w:val="clear" w:color="auto" w:fill="C6D9F1" w:themeFill="text2" w:themeFillTint="33"/>
          </w:tcPr>
          <w:p w14:paraId="60D8BBA5"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12,8 </w:t>
            </w:r>
          </w:p>
        </w:tc>
        <w:tc>
          <w:tcPr>
            <w:tcW w:w="993" w:type="dxa"/>
            <w:shd w:val="clear" w:color="auto" w:fill="C6D9F1" w:themeFill="text2" w:themeFillTint="33"/>
          </w:tcPr>
          <w:p w14:paraId="75A3A5C5"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12,7 </w:t>
            </w:r>
          </w:p>
        </w:tc>
        <w:tc>
          <w:tcPr>
            <w:tcW w:w="992" w:type="dxa"/>
            <w:shd w:val="clear" w:color="auto" w:fill="C6D9F1" w:themeFill="text2" w:themeFillTint="33"/>
          </w:tcPr>
          <w:p w14:paraId="221B67EF"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13,6 </w:t>
            </w:r>
          </w:p>
        </w:tc>
        <w:tc>
          <w:tcPr>
            <w:tcW w:w="850" w:type="dxa"/>
            <w:shd w:val="clear" w:color="auto" w:fill="C6D9F1" w:themeFill="text2" w:themeFillTint="33"/>
          </w:tcPr>
          <w:p w14:paraId="106F0EEC"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10,1 </w:t>
            </w:r>
          </w:p>
        </w:tc>
        <w:tc>
          <w:tcPr>
            <w:tcW w:w="851" w:type="dxa"/>
            <w:shd w:val="clear" w:color="auto" w:fill="C6D9F1" w:themeFill="text2" w:themeFillTint="33"/>
          </w:tcPr>
          <w:p w14:paraId="0F9C3812"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13,6 </w:t>
            </w:r>
          </w:p>
        </w:tc>
        <w:tc>
          <w:tcPr>
            <w:tcW w:w="1276" w:type="dxa"/>
            <w:shd w:val="clear" w:color="auto" w:fill="C6D9F1" w:themeFill="text2" w:themeFillTint="33"/>
          </w:tcPr>
          <w:p w14:paraId="771FD730" w14:textId="77777777" w:rsidR="00A27901" w:rsidRPr="00A27901" w:rsidRDefault="00A27901" w:rsidP="00A27901">
            <w:pPr>
              <w:autoSpaceDE w:val="0"/>
              <w:autoSpaceDN w:val="0"/>
              <w:adjustRightInd w:val="0"/>
              <w:spacing w:after="0" w:line="240" w:lineRule="auto"/>
              <w:rPr>
                <w:rFonts w:ascii="Bookman Old Style" w:hAnsi="Bookman Old Style" w:cs="Bookman Old Style"/>
                <w:color w:val="000000"/>
                <w:sz w:val="20"/>
                <w:szCs w:val="20"/>
              </w:rPr>
            </w:pPr>
            <w:r w:rsidRPr="00A27901">
              <w:rPr>
                <w:rFonts w:ascii="Bookman Old Style" w:hAnsi="Bookman Old Style" w:cs="Bookman Old Style"/>
                <w:color w:val="000000"/>
                <w:sz w:val="20"/>
                <w:szCs w:val="20"/>
              </w:rPr>
              <w:t xml:space="preserve">≤ 12 </w:t>
            </w:r>
          </w:p>
        </w:tc>
      </w:tr>
    </w:tbl>
    <w:p w14:paraId="6270AD6D" w14:textId="77777777" w:rsidR="00A27901" w:rsidRPr="00A27901" w:rsidRDefault="00A27901" w:rsidP="00A27901"/>
    <w:p w14:paraId="2CD23FAE" w14:textId="7E02E2ED" w:rsidR="000F73E9" w:rsidRPr="00987FCC" w:rsidRDefault="00987FCC" w:rsidP="00420280">
      <w:pPr>
        <w:pStyle w:val="Paragraphedeliste"/>
        <w:numPr>
          <w:ilvl w:val="3"/>
          <w:numId w:val="1"/>
        </w:numPr>
        <w:rPr>
          <w:b/>
          <w:sz w:val="24"/>
          <w:szCs w:val="24"/>
        </w:rPr>
      </w:pPr>
      <w:r w:rsidRPr="00987FCC">
        <w:rPr>
          <w:b/>
          <w:sz w:val="24"/>
          <w:szCs w:val="24"/>
        </w:rPr>
        <w:t>G</w:t>
      </w:r>
      <w:r w:rsidR="009C79D1">
        <w:rPr>
          <w:b/>
          <w:sz w:val="24"/>
          <w:szCs w:val="24"/>
        </w:rPr>
        <w:t>aps de performances</w:t>
      </w:r>
      <w:r w:rsidRPr="00987FCC">
        <w:rPr>
          <w:b/>
          <w:sz w:val="24"/>
          <w:szCs w:val="24"/>
        </w:rPr>
        <w:t xml:space="preserve"> et leurs causes</w:t>
      </w:r>
    </w:p>
    <w:p w14:paraId="18E1B946" w14:textId="77777777" w:rsidR="00987FCC" w:rsidRPr="00987FCC" w:rsidRDefault="00987FCC" w:rsidP="00A97663">
      <w:pPr>
        <w:pStyle w:val="Paragraphedeliste"/>
        <w:numPr>
          <w:ilvl w:val="0"/>
          <w:numId w:val="10"/>
        </w:numPr>
        <w:jc w:val="both"/>
        <w:rPr>
          <w:i/>
          <w:sz w:val="24"/>
          <w:szCs w:val="24"/>
        </w:rPr>
      </w:pPr>
      <w:r w:rsidRPr="00987FCC">
        <w:rPr>
          <w:i/>
          <w:sz w:val="24"/>
          <w:szCs w:val="24"/>
        </w:rPr>
        <w:t xml:space="preserve">Une couverture vaccinale incomplète </w:t>
      </w:r>
    </w:p>
    <w:p w14:paraId="268D7BB6" w14:textId="77777777" w:rsidR="009B686A" w:rsidRDefault="009B686A" w:rsidP="00A97663">
      <w:pPr>
        <w:pStyle w:val="Paragraphedeliste"/>
        <w:numPr>
          <w:ilvl w:val="0"/>
          <w:numId w:val="36"/>
        </w:numPr>
        <w:jc w:val="both"/>
        <w:rPr>
          <w:sz w:val="24"/>
          <w:szCs w:val="24"/>
        </w:rPr>
      </w:pPr>
      <w:r w:rsidRPr="007A4F88">
        <w:rPr>
          <w:sz w:val="24"/>
          <w:szCs w:val="24"/>
        </w:rPr>
        <w:t>La faible couverture vaccinale en VAA dans les districts qui ne dépasse pas 45,6% pour une cible de 100%.</w:t>
      </w:r>
    </w:p>
    <w:p w14:paraId="1CCFC152" w14:textId="77777777" w:rsidR="00B42D95" w:rsidRDefault="00035CFF" w:rsidP="00A97663">
      <w:pPr>
        <w:pStyle w:val="Paragraphedeliste"/>
        <w:numPr>
          <w:ilvl w:val="0"/>
          <w:numId w:val="36"/>
        </w:numPr>
        <w:spacing w:after="180"/>
        <w:jc w:val="both"/>
        <w:rPr>
          <w:rFonts w:eastAsia="Calibri"/>
          <w:sz w:val="24"/>
          <w:szCs w:val="24"/>
        </w:rPr>
      </w:pPr>
      <w:r>
        <w:rPr>
          <w:rFonts w:eastAsia="Calibri"/>
          <w:sz w:val="24"/>
          <w:szCs w:val="24"/>
        </w:rPr>
        <w:t>Une proportion encore élevée (16</w:t>
      </w:r>
      <w:r w:rsidR="00B42D95">
        <w:rPr>
          <w:rFonts w:eastAsia="Calibri"/>
          <w:sz w:val="24"/>
          <w:szCs w:val="24"/>
        </w:rPr>
        <w:t xml:space="preserve"> </w:t>
      </w:r>
      <w:r w:rsidR="00B42D95" w:rsidRPr="00B42D95">
        <w:rPr>
          <w:rFonts w:eastAsia="Calibri"/>
          <w:sz w:val="24"/>
          <w:szCs w:val="24"/>
        </w:rPr>
        <w:t>%</w:t>
      </w:r>
      <w:r>
        <w:rPr>
          <w:rFonts w:eastAsia="Calibri"/>
          <w:sz w:val="24"/>
          <w:szCs w:val="24"/>
        </w:rPr>
        <w:t>) d’</w:t>
      </w:r>
      <w:r w:rsidR="00B42D95" w:rsidRPr="00B42D95">
        <w:rPr>
          <w:rFonts w:eastAsia="Calibri"/>
          <w:sz w:val="24"/>
          <w:szCs w:val="24"/>
        </w:rPr>
        <w:t xml:space="preserve">enfants âgés de 12 à 23 mois </w:t>
      </w:r>
      <w:r>
        <w:rPr>
          <w:rFonts w:eastAsia="Calibri"/>
          <w:sz w:val="24"/>
          <w:szCs w:val="24"/>
        </w:rPr>
        <w:t xml:space="preserve">qui </w:t>
      </w:r>
      <w:r w:rsidR="00B42D95" w:rsidRPr="00B42D95">
        <w:rPr>
          <w:rFonts w:eastAsia="Calibri"/>
          <w:sz w:val="24"/>
          <w:szCs w:val="24"/>
        </w:rPr>
        <w:t>ne bénéficient pas d’une protection complète contre les maladies évitables par la vaccination (poliomyélite, rougeole, fièvre jaune, diphtérie, coqueluche, méningite à Hib, hépatite virale B et infections à Haemophilus influenzae)</w:t>
      </w:r>
      <w:r w:rsidR="00B42D95" w:rsidRPr="00F26721">
        <w:rPr>
          <w:rStyle w:val="Appelnotedebasdep"/>
          <w:rFonts w:eastAsia="Calibri"/>
          <w:sz w:val="24"/>
          <w:szCs w:val="24"/>
        </w:rPr>
        <w:footnoteReference w:id="66"/>
      </w:r>
      <w:r w:rsidR="00B42D95" w:rsidRPr="00B42D95">
        <w:rPr>
          <w:rFonts w:eastAsia="Calibri"/>
          <w:sz w:val="24"/>
          <w:szCs w:val="24"/>
        </w:rPr>
        <w:t xml:space="preserve">. </w:t>
      </w:r>
    </w:p>
    <w:p w14:paraId="69383636" w14:textId="77777777" w:rsidR="009B686A" w:rsidRPr="00B905D7" w:rsidRDefault="009B686A" w:rsidP="00A97663">
      <w:pPr>
        <w:pStyle w:val="Paragraphedeliste"/>
        <w:numPr>
          <w:ilvl w:val="0"/>
          <w:numId w:val="36"/>
        </w:numPr>
        <w:spacing w:after="180"/>
        <w:jc w:val="both"/>
        <w:rPr>
          <w:rFonts w:eastAsia="Calibri"/>
          <w:sz w:val="24"/>
          <w:szCs w:val="24"/>
        </w:rPr>
      </w:pPr>
      <w:r w:rsidRPr="00B905D7">
        <w:rPr>
          <w:sz w:val="24"/>
          <w:szCs w:val="24"/>
        </w:rPr>
        <w:t xml:space="preserve">En 2017, seulement 13 districts sanitaires sur les 70 ont atteint </w:t>
      </w:r>
      <w:r w:rsidR="00B905D7" w:rsidRPr="00B905D7">
        <w:rPr>
          <w:sz w:val="24"/>
          <w:szCs w:val="24"/>
        </w:rPr>
        <w:t xml:space="preserve">une couverture d’au moins 95% pour les deux doses de VAR dans chaque district, nécessaire pour aller vers l’élimination de la Rougeole(OMS). </w:t>
      </w:r>
      <w:r w:rsidR="00B905D7">
        <w:rPr>
          <w:sz w:val="24"/>
          <w:szCs w:val="24"/>
        </w:rPr>
        <w:t xml:space="preserve">EN 2016, seulement </w:t>
      </w:r>
      <w:r w:rsidRPr="00B905D7">
        <w:rPr>
          <w:sz w:val="24"/>
          <w:szCs w:val="24"/>
        </w:rPr>
        <w:t>9</w:t>
      </w:r>
      <w:r w:rsidR="00B905D7">
        <w:rPr>
          <w:sz w:val="24"/>
          <w:szCs w:val="24"/>
        </w:rPr>
        <w:t xml:space="preserve"> avaient atteint cette performance.</w:t>
      </w:r>
    </w:p>
    <w:p w14:paraId="2C84A423" w14:textId="77777777" w:rsidR="00987FCC" w:rsidRDefault="00FB47EF" w:rsidP="00A97663">
      <w:pPr>
        <w:pStyle w:val="Paragraphedeliste"/>
        <w:numPr>
          <w:ilvl w:val="0"/>
          <w:numId w:val="10"/>
        </w:numPr>
        <w:jc w:val="both"/>
        <w:rPr>
          <w:bCs/>
          <w:sz w:val="24"/>
          <w:szCs w:val="24"/>
        </w:rPr>
      </w:pPr>
      <w:r w:rsidRPr="00987FCC">
        <w:rPr>
          <w:bCs/>
          <w:i/>
          <w:sz w:val="24"/>
          <w:szCs w:val="24"/>
        </w:rPr>
        <w:t>La Gestion des approvisionnements en vaccins n’est pas satisfaisante</w:t>
      </w:r>
      <w:r w:rsidRPr="00987FCC">
        <w:rPr>
          <w:bCs/>
          <w:sz w:val="24"/>
          <w:szCs w:val="24"/>
        </w:rPr>
        <w:t xml:space="preserve"> avec des péremptions </w:t>
      </w:r>
      <w:r w:rsidR="00987FCC" w:rsidRPr="00987FCC">
        <w:rPr>
          <w:bCs/>
          <w:sz w:val="24"/>
          <w:szCs w:val="24"/>
        </w:rPr>
        <w:t xml:space="preserve">et </w:t>
      </w:r>
      <w:r w:rsidR="00987FCC" w:rsidRPr="00987FCC">
        <w:rPr>
          <w:sz w:val="24"/>
          <w:szCs w:val="24"/>
        </w:rPr>
        <w:t xml:space="preserve">rupture de stock </w:t>
      </w:r>
    </w:p>
    <w:p w14:paraId="7799A97B" w14:textId="77777777" w:rsidR="007A4F88" w:rsidRPr="00987FCC" w:rsidRDefault="00987FCC" w:rsidP="009C79D1">
      <w:pPr>
        <w:pStyle w:val="Paragraphedeliste"/>
        <w:ind w:left="360"/>
        <w:jc w:val="both"/>
        <w:rPr>
          <w:bCs/>
          <w:sz w:val="24"/>
          <w:szCs w:val="24"/>
        </w:rPr>
      </w:pPr>
      <w:r>
        <w:rPr>
          <w:bCs/>
          <w:sz w:val="24"/>
          <w:szCs w:val="24"/>
        </w:rPr>
        <w:t>E</w:t>
      </w:r>
      <w:r w:rsidR="00FB47EF" w:rsidRPr="00987FCC">
        <w:rPr>
          <w:bCs/>
          <w:sz w:val="24"/>
          <w:szCs w:val="24"/>
        </w:rPr>
        <w:t xml:space="preserve">n </w:t>
      </w:r>
      <w:r w:rsidR="00FB47EF" w:rsidRPr="00987FCC">
        <w:rPr>
          <w:sz w:val="24"/>
          <w:szCs w:val="24"/>
        </w:rPr>
        <w:t xml:space="preserve">2015, 17% du stock national </w:t>
      </w:r>
      <w:r w:rsidR="00FB47EF" w:rsidRPr="00987FCC">
        <w:rPr>
          <w:bCs/>
          <w:sz w:val="24"/>
          <w:szCs w:val="24"/>
        </w:rPr>
        <w:t>de vaccin Pentavalent</w:t>
      </w:r>
      <w:r>
        <w:rPr>
          <w:bCs/>
          <w:sz w:val="24"/>
          <w:szCs w:val="24"/>
        </w:rPr>
        <w:t xml:space="preserve"> périmé</w:t>
      </w:r>
      <w:r w:rsidR="00FB47EF" w:rsidRPr="007A4F88">
        <w:rPr>
          <w:rStyle w:val="Appelnotedebasdep"/>
          <w:bCs/>
          <w:sz w:val="24"/>
          <w:szCs w:val="24"/>
        </w:rPr>
        <w:footnoteReference w:id="67"/>
      </w:r>
      <w:r>
        <w:rPr>
          <w:bCs/>
          <w:sz w:val="24"/>
          <w:szCs w:val="24"/>
        </w:rPr>
        <w:t xml:space="preserve"> et en 2017, </w:t>
      </w:r>
      <w:r w:rsidR="007A4F88" w:rsidRPr="00987FCC">
        <w:rPr>
          <w:sz w:val="24"/>
          <w:szCs w:val="24"/>
        </w:rPr>
        <w:t xml:space="preserve">rupture de stock </w:t>
      </w:r>
      <w:r>
        <w:rPr>
          <w:sz w:val="24"/>
          <w:szCs w:val="24"/>
        </w:rPr>
        <w:t>de l’</w:t>
      </w:r>
      <w:r w:rsidR="007A4F88" w:rsidRPr="00987FCC">
        <w:rPr>
          <w:sz w:val="24"/>
          <w:szCs w:val="24"/>
        </w:rPr>
        <w:t xml:space="preserve">Antigène VAA </w:t>
      </w:r>
      <w:r w:rsidR="007A4F88" w:rsidRPr="007A4F88">
        <w:rPr>
          <w:rStyle w:val="Appelnotedebasdep"/>
          <w:sz w:val="24"/>
          <w:szCs w:val="24"/>
        </w:rPr>
        <w:footnoteReference w:id="68"/>
      </w:r>
      <w:r w:rsidR="007A4F88" w:rsidRPr="00987FCC">
        <w:rPr>
          <w:sz w:val="24"/>
          <w:szCs w:val="24"/>
        </w:rPr>
        <w:t>.</w:t>
      </w:r>
    </w:p>
    <w:p w14:paraId="5D07BA8F" w14:textId="297D80D9" w:rsidR="006465A1" w:rsidRPr="009C79D1" w:rsidRDefault="007A4F88" w:rsidP="00A97663">
      <w:pPr>
        <w:pStyle w:val="Paragraphedeliste"/>
        <w:numPr>
          <w:ilvl w:val="0"/>
          <w:numId w:val="10"/>
        </w:numPr>
        <w:jc w:val="both"/>
        <w:rPr>
          <w:bCs/>
          <w:i/>
          <w:sz w:val="24"/>
          <w:szCs w:val="24"/>
        </w:rPr>
      </w:pPr>
      <w:r w:rsidRPr="00987FCC">
        <w:rPr>
          <w:rFonts w:eastAsia="Calibri" w:cs="ArialMT"/>
          <w:i/>
          <w:sz w:val="24"/>
          <w:szCs w:val="24"/>
        </w:rPr>
        <w:t>L</w:t>
      </w:r>
      <w:r w:rsidR="004527CF" w:rsidRPr="00987FCC">
        <w:rPr>
          <w:rFonts w:eastAsia="Calibri" w:cs="ArialMT"/>
          <w:i/>
          <w:sz w:val="24"/>
          <w:szCs w:val="24"/>
        </w:rPr>
        <w:t>es inégalités dans la distribution de la couverture vaccina</w:t>
      </w:r>
      <w:r w:rsidRPr="00987FCC">
        <w:rPr>
          <w:rFonts w:eastAsia="Calibri" w:cs="ArialMT"/>
          <w:i/>
          <w:sz w:val="24"/>
          <w:szCs w:val="24"/>
        </w:rPr>
        <w:t>le varient suivant les régions.</w:t>
      </w:r>
    </w:p>
    <w:p w14:paraId="6F7FF699" w14:textId="77777777" w:rsidR="009C79D1" w:rsidRDefault="009C79D1" w:rsidP="00A97663">
      <w:pPr>
        <w:pStyle w:val="Paragraphedeliste"/>
        <w:numPr>
          <w:ilvl w:val="0"/>
          <w:numId w:val="10"/>
        </w:numPr>
        <w:jc w:val="both"/>
        <w:rPr>
          <w:rFonts w:eastAsia="Calibri" w:cs="ArialMT"/>
          <w:sz w:val="24"/>
          <w:szCs w:val="24"/>
        </w:rPr>
      </w:pPr>
      <w:r w:rsidRPr="007A4F88">
        <w:rPr>
          <w:rFonts w:eastAsia="Calibri" w:cs="ArialMT"/>
          <w:sz w:val="24"/>
          <w:szCs w:val="24"/>
        </w:rPr>
        <w:t>La région du Sahel apparaît comme celle qui tire les indicateurs nationaux vers le bas avec une couverture de 67.9% de DTCoq-Heb Hib3 et seulement 56.8% d'enfants de 12-23 mois entièrement vaccinés, suivi des Hauts-Bassins et du Centre-Nord qui se rapprochent sensiblement de la moyenne nationale.</w:t>
      </w:r>
      <w:r>
        <w:rPr>
          <w:rFonts w:eastAsia="Calibri" w:cs="ArialMT"/>
          <w:sz w:val="24"/>
          <w:szCs w:val="24"/>
        </w:rPr>
        <w:t xml:space="preserve"> </w:t>
      </w:r>
      <w:r>
        <w:rPr>
          <w:rFonts w:eastAsia="Calibri"/>
          <w:sz w:val="24"/>
          <w:szCs w:val="24"/>
        </w:rPr>
        <w:t>P</w:t>
      </w:r>
      <w:r w:rsidRPr="00B42D95">
        <w:rPr>
          <w:rFonts w:eastAsia="Calibri"/>
          <w:sz w:val="24"/>
          <w:szCs w:val="24"/>
        </w:rPr>
        <w:t xml:space="preserve">armi les enfants âgés de 12 à 23 mois de la région </w:t>
      </w:r>
      <w:r w:rsidRPr="00B42D95">
        <w:rPr>
          <w:rFonts w:eastAsia="Calibri"/>
          <w:sz w:val="24"/>
          <w:szCs w:val="24"/>
        </w:rPr>
        <w:lastRenderedPageBreak/>
        <w:t>du Sahel, 43.2% ne sont pas complètement vaccinés et 5.6% n’ont reçu aucun vaccin</w:t>
      </w:r>
      <w:r w:rsidRPr="00F26721">
        <w:rPr>
          <w:rStyle w:val="Appelnotedebasdep"/>
          <w:rFonts w:eastAsia="Calibri"/>
          <w:sz w:val="24"/>
          <w:szCs w:val="24"/>
        </w:rPr>
        <w:footnoteReference w:id="69"/>
      </w:r>
      <w:r w:rsidRPr="00B42D95">
        <w:rPr>
          <w:rFonts w:eastAsia="Calibri"/>
          <w:sz w:val="24"/>
          <w:szCs w:val="24"/>
        </w:rPr>
        <w:t>.</w:t>
      </w:r>
      <w:r w:rsidRPr="008D1DB8">
        <w:rPr>
          <w:rFonts w:eastAsia="Calibri" w:cs="ArialMT"/>
          <w:sz w:val="24"/>
          <w:szCs w:val="24"/>
        </w:rPr>
        <w:t xml:space="preserve"> </w:t>
      </w:r>
      <w:r w:rsidRPr="00F26721">
        <w:rPr>
          <w:rFonts w:eastAsia="Calibri" w:cs="ArialMT"/>
          <w:sz w:val="24"/>
          <w:szCs w:val="24"/>
        </w:rPr>
        <w:t xml:space="preserve">Les régions où la proportion d’enfants non-atteints est élevée sont celles des Hauts Bassins, du Plateau Central et du Sahel. Parmi les enfants n’ayant pas une vaccination complète, plus de 40% n’ont reçu aucune des trois vaccinations. </w:t>
      </w:r>
      <w:r>
        <w:rPr>
          <w:rFonts w:eastAsia="Calibri" w:cs="ArialMT"/>
          <w:sz w:val="24"/>
          <w:szCs w:val="24"/>
        </w:rPr>
        <w:t>L</w:t>
      </w:r>
      <w:r w:rsidRPr="00F26721">
        <w:rPr>
          <w:rFonts w:eastAsia="Calibri" w:cs="ArialMT"/>
          <w:sz w:val="24"/>
          <w:szCs w:val="24"/>
        </w:rPr>
        <w:t>’efficacité actuel</w:t>
      </w:r>
      <w:r>
        <w:rPr>
          <w:rFonts w:eastAsia="Calibri" w:cs="ArialMT"/>
          <w:sz w:val="24"/>
          <w:szCs w:val="24"/>
        </w:rPr>
        <w:t>le</w:t>
      </w:r>
      <w:r w:rsidRPr="00F26721">
        <w:rPr>
          <w:rFonts w:eastAsia="Calibri" w:cs="ArialMT"/>
          <w:sz w:val="24"/>
          <w:szCs w:val="24"/>
        </w:rPr>
        <w:t xml:space="preserve"> des prestations </w:t>
      </w:r>
      <w:r>
        <w:rPr>
          <w:rFonts w:eastAsia="Calibri" w:cs="ArialMT"/>
          <w:sz w:val="24"/>
          <w:szCs w:val="24"/>
        </w:rPr>
        <w:t xml:space="preserve">nécessite des améliorations </w:t>
      </w:r>
      <w:r w:rsidRPr="00F26721">
        <w:rPr>
          <w:rFonts w:eastAsia="Calibri" w:cs="ArialMT"/>
          <w:sz w:val="24"/>
          <w:szCs w:val="24"/>
        </w:rPr>
        <w:t>pour garantir la complétude des vaccinations réalisées.</w:t>
      </w:r>
    </w:p>
    <w:p w14:paraId="4EC4D082" w14:textId="77777777" w:rsidR="009C79D1" w:rsidRPr="009C79D1" w:rsidRDefault="009C79D1" w:rsidP="009C79D1">
      <w:pPr>
        <w:pStyle w:val="Paragraphedeliste"/>
        <w:ind w:left="360"/>
        <w:jc w:val="both"/>
        <w:rPr>
          <w:bCs/>
          <w:sz w:val="24"/>
          <w:szCs w:val="24"/>
        </w:rPr>
      </w:pPr>
    </w:p>
    <w:tbl>
      <w:tblPr>
        <w:tblStyle w:val="Grilledutableau"/>
        <w:tblW w:w="0" w:type="auto"/>
        <w:tblInd w:w="360" w:type="dxa"/>
        <w:tblLook w:val="04A0" w:firstRow="1" w:lastRow="0" w:firstColumn="1" w:lastColumn="0" w:noHBand="0" w:noVBand="1"/>
      </w:tblPr>
      <w:tblGrid>
        <w:gridCol w:w="8702"/>
      </w:tblGrid>
      <w:tr w:rsidR="006465A1" w14:paraId="14D091EF" w14:textId="77777777" w:rsidTr="00B42D95">
        <w:tc>
          <w:tcPr>
            <w:tcW w:w="8702" w:type="dxa"/>
          </w:tcPr>
          <w:p w14:paraId="0C8CE8ED" w14:textId="77777777" w:rsidR="006465A1" w:rsidRDefault="006465A1" w:rsidP="006465A1">
            <w:pPr>
              <w:pStyle w:val="Paragraphedeliste"/>
              <w:spacing w:line="360" w:lineRule="auto"/>
              <w:ind w:left="0"/>
              <w:jc w:val="center"/>
              <w:rPr>
                <w:rFonts w:eastAsia="Calibri" w:cs="ArialMT"/>
                <w:sz w:val="24"/>
                <w:szCs w:val="24"/>
              </w:rPr>
            </w:pPr>
            <w:r w:rsidRPr="00F26721">
              <w:rPr>
                <w:noProof/>
                <w:sz w:val="24"/>
                <w:szCs w:val="24"/>
                <w:lang w:eastAsia="fr-FR"/>
              </w:rPr>
              <w:drawing>
                <wp:inline distT="0" distB="0" distL="0" distR="0" wp14:anchorId="68497F4F" wp14:editId="66A5FA6D">
                  <wp:extent cx="4545965" cy="2575611"/>
                  <wp:effectExtent l="0" t="0" r="6985" b="0"/>
                  <wp:docPr id="7" name="Image 9" descr="C:\Users\hp Probook 4540s\Desktop\cartes UNICEF\Vaccination2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hp Probook 4540s\Desktop\cartes UNICEF\Vaccination2014.pn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662092" cy="2641405"/>
                          </a:xfrm>
                          <a:prstGeom prst="rect">
                            <a:avLst/>
                          </a:prstGeom>
                          <a:noFill/>
                          <a:ln>
                            <a:noFill/>
                          </a:ln>
                        </pic:spPr>
                      </pic:pic>
                    </a:graphicData>
                  </a:graphic>
                </wp:inline>
              </w:drawing>
            </w:r>
          </w:p>
        </w:tc>
      </w:tr>
      <w:tr w:rsidR="006465A1" w14:paraId="32C89581" w14:textId="77777777" w:rsidTr="00B42D95">
        <w:tc>
          <w:tcPr>
            <w:tcW w:w="8702" w:type="dxa"/>
          </w:tcPr>
          <w:p w14:paraId="207B3C64" w14:textId="249E3748" w:rsidR="006465A1" w:rsidRPr="006465A1" w:rsidRDefault="006465A1" w:rsidP="006465A1">
            <w:pPr>
              <w:pStyle w:val="Paragraphedeliste"/>
              <w:spacing w:line="360" w:lineRule="auto"/>
              <w:ind w:left="0"/>
              <w:jc w:val="both"/>
              <w:rPr>
                <w:rFonts w:eastAsia="Calibri" w:cs="ArialMT"/>
                <w:b/>
                <w:sz w:val="20"/>
                <w:szCs w:val="20"/>
              </w:rPr>
            </w:pPr>
            <w:r w:rsidRPr="006465A1">
              <w:rPr>
                <w:rFonts w:eastAsia="Calibri" w:cs="ArialMT"/>
                <w:b/>
                <w:sz w:val="20"/>
                <w:szCs w:val="20"/>
              </w:rPr>
              <w:t>Figure</w:t>
            </w:r>
            <w:r w:rsidR="009C79D1">
              <w:rPr>
                <w:rFonts w:eastAsia="Calibri" w:cs="ArialMT"/>
                <w:b/>
                <w:sz w:val="20"/>
                <w:szCs w:val="20"/>
              </w:rPr>
              <w:t xml:space="preserve"> 1</w:t>
            </w:r>
            <w:r w:rsidR="00651794">
              <w:rPr>
                <w:rFonts w:eastAsia="Calibri" w:cs="ArialMT"/>
                <w:b/>
                <w:sz w:val="20"/>
                <w:szCs w:val="20"/>
              </w:rPr>
              <w:t>6</w:t>
            </w:r>
            <w:r w:rsidR="009C79D1">
              <w:rPr>
                <w:rFonts w:eastAsia="Calibri" w:cs="ArialMT"/>
                <w:b/>
                <w:sz w:val="20"/>
                <w:szCs w:val="20"/>
              </w:rPr>
              <w:t xml:space="preserve"> </w:t>
            </w:r>
            <w:r w:rsidRPr="006465A1">
              <w:rPr>
                <w:rFonts w:eastAsia="Calibri" w:cs="ArialMT"/>
                <w:b/>
                <w:sz w:val="20"/>
                <w:szCs w:val="20"/>
              </w:rPr>
              <w:t>:  Proportion d’enfants de 12-23 mois entièrement vaccinés (%)</w:t>
            </w:r>
            <w:r>
              <w:rPr>
                <w:rStyle w:val="Appelnotedebasdep"/>
                <w:rFonts w:eastAsia="Calibri" w:cs="ArialMT"/>
                <w:b/>
                <w:sz w:val="20"/>
                <w:szCs w:val="20"/>
              </w:rPr>
              <w:footnoteReference w:id="70"/>
            </w:r>
          </w:p>
        </w:tc>
      </w:tr>
    </w:tbl>
    <w:p w14:paraId="5211D371" w14:textId="51DCAFCB" w:rsidR="004527CF" w:rsidRPr="009C79D1" w:rsidRDefault="009C79D1" w:rsidP="00420280">
      <w:pPr>
        <w:pStyle w:val="Paragraphedeliste"/>
        <w:numPr>
          <w:ilvl w:val="2"/>
          <w:numId w:val="1"/>
        </w:numPr>
        <w:spacing w:before="240" w:after="0" w:line="360" w:lineRule="auto"/>
        <w:jc w:val="both"/>
        <w:rPr>
          <w:rFonts w:eastAsia="Calibri"/>
          <w:sz w:val="24"/>
          <w:szCs w:val="24"/>
        </w:rPr>
      </w:pPr>
      <w:bookmarkStart w:id="9" w:name="_Toc522532898"/>
      <w:r w:rsidRPr="009C79D1">
        <w:rPr>
          <w:rFonts w:eastAsia="Calibri"/>
          <w:sz w:val="24"/>
          <w:szCs w:val="24"/>
        </w:rPr>
        <w:t>PRISE EN CHARGE INTEGREE DES MALADIES DE L’ENFANT (PCIME)</w:t>
      </w:r>
      <w:bookmarkEnd w:id="9"/>
    </w:p>
    <w:p w14:paraId="10E97FA1" w14:textId="77777777" w:rsidR="007D4D60" w:rsidRPr="00420280" w:rsidRDefault="007D4D60" w:rsidP="00420280">
      <w:pPr>
        <w:pStyle w:val="Paragraphedeliste"/>
        <w:numPr>
          <w:ilvl w:val="3"/>
          <w:numId w:val="1"/>
        </w:numPr>
        <w:spacing w:after="0" w:line="360" w:lineRule="auto"/>
        <w:jc w:val="both"/>
        <w:rPr>
          <w:b/>
          <w:sz w:val="23"/>
          <w:szCs w:val="23"/>
        </w:rPr>
      </w:pPr>
      <w:r w:rsidRPr="00420280">
        <w:rPr>
          <w:b/>
          <w:sz w:val="23"/>
          <w:szCs w:val="23"/>
        </w:rPr>
        <w:t>Performance</w:t>
      </w:r>
    </w:p>
    <w:p w14:paraId="68D1F457" w14:textId="77777777" w:rsidR="007D4D60" w:rsidRDefault="004527CF" w:rsidP="009C79D1">
      <w:pPr>
        <w:spacing w:after="0"/>
        <w:jc w:val="both"/>
        <w:rPr>
          <w:sz w:val="23"/>
          <w:szCs w:val="23"/>
        </w:rPr>
      </w:pPr>
      <w:r w:rsidRPr="00B72473">
        <w:rPr>
          <w:sz w:val="23"/>
          <w:szCs w:val="23"/>
        </w:rPr>
        <w:t>La proportion d’enfants pris en charge est passée de 23.64</w:t>
      </w:r>
      <w:r w:rsidR="007D4D60" w:rsidRPr="00B72473">
        <w:rPr>
          <w:sz w:val="23"/>
          <w:szCs w:val="23"/>
        </w:rPr>
        <w:t>%</w:t>
      </w:r>
      <w:r w:rsidRPr="00B72473">
        <w:rPr>
          <w:sz w:val="23"/>
          <w:szCs w:val="23"/>
        </w:rPr>
        <w:t xml:space="preserve"> en 2014 à 58,5</w:t>
      </w:r>
      <w:r w:rsidR="007D4D60" w:rsidRPr="00B72473">
        <w:rPr>
          <w:sz w:val="23"/>
          <w:szCs w:val="23"/>
        </w:rPr>
        <w:t>%</w:t>
      </w:r>
      <w:r w:rsidRPr="00B72473">
        <w:rPr>
          <w:sz w:val="23"/>
          <w:szCs w:val="23"/>
        </w:rPr>
        <w:t xml:space="preserve"> en 2017. Ce taux est inférieur à la cible de 70% </w:t>
      </w:r>
      <w:r w:rsidR="007D4D60">
        <w:rPr>
          <w:sz w:val="23"/>
          <w:szCs w:val="23"/>
        </w:rPr>
        <w:t xml:space="preserve">fixée par le </w:t>
      </w:r>
      <w:r w:rsidRPr="00B72473">
        <w:rPr>
          <w:sz w:val="23"/>
          <w:szCs w:val="23"/>
        </w:rPr>
        <w:t>PNDS</w:t>
      </w:r>
      <w:r w:rsidR="007D4D60">
        <w:rPr>
          <w:sz w:val="23"/>
          <w:szCs w:val="23"/>
        </w:rPr>
        <w:t xml:space="preserve"> 2011-2020</w:t>
      </w:r>
      <w:r w:rsidRPr="00B72473">
        <w:rPr>
          <w:sz w:val="23"/>
          <w:szCs w:val="23"/>
        </w:rPr>
        <w:t>.</w:t>
      </w:r>
    </w:p>
    <w:p w14:paraId="599797ED" w14:textId="77777777" w:rsidR="007D4D60" w:rsidRDefault="007D4D60" w:rsidP="009C79D1">
      <w:pPr>
        <w:spacing w:after="0"/>
        <w:jc w:val="both"/>
        <w:rPr>
          <w:sz w:val="23"/>
          <w:szCs w:val="23"/>
        </w:rPr>
      </w:pPr>
      <w:r>
        <w:rPr>
          <w:sz w:val="23"/>
          <w:szCs w:val="23"/>
        </w:rPr>
        <w:t>Fin 2017, l</w:t>
      </w:r>
      <w:r w:rsidRPr="00B72473">
        <w:rPr>
          <w:sz w:val="23"/>
          <w:szCs w:val="23"/>
        </w:rPr>
        <w:t xml:space="preserve">’introduction du Registre électronique de consultation (REC) </w:t>
      </w:r>
      <w:r>
        <w:rPr>
          <w:sz w:val="23"/>
          <w:szCs w:val="23"/>
        </w:rPr>
        <w:t xml:space="preserve">est effective </w:t>
      </w:r>
      <w:r w:rsidRPr="00B72473">
        <w:rPr>
          <w:sz w:val="23"/>
          <w:szCs w:val="23"/>
        </w:rPr>
        <w:t>dans 604 CSPS</w:t>
      </w:r>
      <w:r w:rsidR="00DF5EB5">
        <w:rPr>
          <w:sz w:val="23"/>
          <w:szCs w:val="23"/>
        </w:rPr>
        <w:t xml:space="preserve"> </w:t>
      </w:r>
      <w:r w:rsidR="00DF5EB5" w:rsidRPr="00B72473">
        <w:rPr>
          <w:sz w:val="23"/>
          <w:szCs w:val="23"/>
        </w:rPr>
        <w:t>de 16 Districts sanitaires</w:t>
      </w:r>
      <w:r w:rsidR="00DF5EB5">
        <w:rPr>
          <w:sz w:val="23"/>
          <w:szCs w:val="23"/>
        </w:rPr>
        <w:t xml:space="preserve"> répartis dans quatre régions : Nord, Boucle du Mouhoun, Sahel et Est.</w:t>
      </w:r>
      <w:r w:rsidRPr="00B72473">
        <w:rPr>
          <w:sz w:val="23"/>
          <w:szCs w:val="23"/>
        </w:rPr>
        <w:t xml:space="preserve"> </w:t>
      </w:r>
      <w:r w:rsidR="00DF5EB5">
        <w:rPr>
          <w:sz w:val="23"/>
          <w:szCs w:val="23"/>
        </w:rPr>
        <w:t xml:space="preserve">A l’échelle du pays, il s’agit d’une couverture de 30%.   </w:t>
      </w:r>
      <w:r w:rsidRPr="00B72473">
        <w:rPr>
          <w:sz w:val="23"/>
          <w:szCs w:val="23"/>
        </w:rPr>
        <w:t xml:space="preserve">En termes </w:t>
      </w:r>
      <w:r w:rsidR="00DF5EB5" w:rsidRPr="00B72473">
        <w:rPr>
          <w:sz w:val="23"/>
          <w:szCs w:val="23"/>
        </w:rPr>
        <w:t>de résultats</w:t>
      </w:r>
      <w:r w:rsidRPr="00B72473">
        <w:rPr>
          <w:sz w:val="23"/>
          <w:szCs w:val="23"/>
        </w:rPr>
        <w:t xml:space="preserve"> obtenus, on peut </w:t>
      </w:r>
      <w:r w:rsidR="00DF5EB5" w:rsidRPr="00B72473">
        <w:rPr>
          <w:sz w:val="23"/>
          <w:szCs w:val="23"/>
        </w:rPr>
        <w:t>noter plus</w:t>
      </w:r>
      <w:r w:rsidRPr="00B72473">
        <w:rPr>
          <w:sz w:val="23"/>
          <w:szCs w:val="23"/>
        </w:rPr>
        <w:t xml:space="preserve"> 180.000 consultations/mois et 1,5 million d’enfants vus représentant </w:t>
      </w:r>
      <w:r w:rsidRPr="00B72473">
        <w:rPr>
          <w:iCs/>
          <w:sz w:val="23"/>
          <w:szCs w:val="23"/>
        </w:rPr>
        <w:t>7,5% de la population totale</w:t>
      </w:r>
      <w:r w:rsidRPr="00B72473">
        <w:rPr>
          <w:sz w:val="23"/>
          <w:szCs w:val="23"/>
        </w:rPr>
        <w:t>.</w:t>
      </w:r>
    </w:p>
    <w:p w14:paraId="27AC55A3" w14:textId="77777777" w:rsidR="00DF5EB5" w:rsidRPr="00B72473" w:rsidRDefault="00DF5EB5" w:rsidP="009C79D1">
      <w:pPr>
        <w:spacing w:after="0"/>
        <w:jc w:val="both"/>
        <w:rPr>
          <w:sz w:val="23"/>
          <w:szCs w:val="23"/>
        </w:rPr>
      </w:pPr>
      <w:r>
        <w:rPr>
          <w:sz w:val="23"/>
          <w:szCs w:val="23"/>
        </w:rPr>
        <w:t>L</w:t>
      </w:r>
      <w:r w:rsidRPr="00B72473">
        <w:rPr>
          <w:sz w:val="23"/>
          <w:szCs w:val="23"/>
        </w:rPr>
        <w:t>e paquet complet de la PCIME communautaire et les soins du nouveau-né à domicile so</w:t>
      </w:r>
      <w:r>
        <w:rPr>
          <w:sz w:val="23"/>
          <w:szCs w:val="23"/>
        </w:rPr>
        <w:t>nt mis en œuvre dans 5 régions (</w:t>
      </w:r>
      <w:r w:rsidRPr="00B72473">
        <w:rPr>
          <w:sz w:val="23"/>
          <w:szCs w:val="23"/>
        </w:rPr>
        <w:t>Boucle du Mouhoun, Est, Sahel, Nord et Centre-nord) sanitaires soit 40% des districts sanitaires du pays.</w:t>
      </w:r>
    </w:p>
    <w:p w14:paraId="195E0F55" w14:textId="77777777" w:rsidR="00DF5EB5" w:rsidRDefault="002650E2" w:rsidP="009C79D1">
      <w:pPr>
        <w:spacing w:after="0"/>
        <w:jc w:val="both"/>
        <w:rPr>
          <w:sz w:val="23"/>
          <w:szCs w:val="23"/>
        </w:rPr>
      </w:pPr>
      <w:r>
        <w:rPr>
          <w:sz w:val="23"/>
          <w:szCs w:val="23"/>
        </w:rPr>
        <w:t>Cette performance est insuffisante pour atteindre l’objectif de</w:t>
      </w:r>
      <w:r w:rsidRPr="00B72473">
        <w:rPr>
          <w:sz w:val="23"/>
          <w:szCs w:val="23"/>
        </w:rPr>
        <w:t xml:space="preserve"> l’objectif de 75% d’enfants pris en charge selon l’approche PCIME </w:t>
      </w:r>
      <w:r>
        <w:rPr>
          <w:sz w:val="23"/>
          <w:szCs w:val="23"/>
        </w:rPr>
        <w:t xml:space="preserve">en </w:t>
      </w:r>
      <w:r w:rsidRPr="00B72473">
        <w:rPr>
          <w:sz w:val="23"/>
          <w:szCs w:val="23"/>
        </w:rPr>
        <w:t>2020</w:t>
      </w:r>
      <w:r>
        <w:rPr>
          <w:sz w:val="23"/>
          <w:szCs w:val="23"/>
        </w:rPr>
        <w:t xml:space="preserve"> (PNDS 2011-2020). </w:t>
      </w:r>
    </w:p>
    <w:p w14:paraId="487EDD6F" w14:textId="2AEB747A" w:rsidR="002650E2" w:rsidRPr="004F5D8E" w:rsidRDefault="00420280" w:rsidP="00420280">
      <w:pPr>
        <w:pStyle w:val="Paragraphedeliste"/>
        <w:numPr>
          <w:ilvl w:val="3"/>
          <w:numId w:val="1"/>
        </w:numPr>
        <w:spacing w:after="0" w:line="360" w:lineRule="auto"/>
        <w:jc w:val="both"/>
        <w:rPr>
          <w:b/>
          <w:sz w:val="23"/>
          <w:szCs w:val="23"/>
        </w:rPr>
      </w:pPr>
      <w:r>
        <w:rPr>
          <w:b/>
          <w:sz w:val="23"/>
          <w:szCs w:val="23"/>
        </w:rPr>
        <w:t>G</w:t>
      </w:r>
      <w:r w:rsidR="009C79D1">
        <w:rPr>
          <w:b/>
          <w:sz w:val="23"/>
          <w:szCs w:val="23"/>
        </w:rPr>
        <w:t>ap</w:t>
      </w:r>
      <w:r>
        <w:rPr>
          <w:b/>
          <w:sz w:val="23"/>
          <w:szCs w:val="23"/>
        </w:rPr>
        <w:t>s d</w:t>
      </w:r>
      <w:r w:rsidR="009C79D1">
        <w:rPr>
          <w:b/>
          <w:sz w:val="23"/>
          <w:szCs w:val="23"/>
        </w:rPr>
        <w:t>e performances</w:t>
      </w:r>
      <w:r>
        <w:rPr>
          <w:b/>
          <w:sz w:val="23"/>
          <w:szCs w:val="23"/>
        </w:rPr>
        <w:t xml:space="preserve"> et leurs </w:t>
      </w:r>
      <w:r w:rsidR="002650E2" w:rsidRPr="004F5D8E">
        <w:rPr>
          <w:b/>
          <w:sz w:val="23"/>
          <w:szCs w:val="23"/>
        </w:rPr>
        <w:t>Causes</w:t>
      </w:r>
    </w:p>
    <w:p w14:paraId="4601D5F2" w14:textId="77777777" w:rsidR="00420280" w:rsidRPr="00420280" w:rsidRDefault="002650E2" w:rsidP="00A97663">
      <w:pPr>
        <w:pStyle w:val="Paragraphedeliste"/>
        <w:numPr>
          <w:ilvl w:val="0"/>
          <w:numId w:val="11"/>
        </w:numPr>
        <w:spacing w:line="360" w:lineRule="auto"/>
        <w:jc w:val="both"/>
        <w:rPr>
          <w:i/>
          <w:sz w:val="23"/>
          <w:szCs w:val="23"/>
        </w:rPr>
      </w:pPr>
      <w:r w:rsidRPr="00420280">
        <w:rPr>
          <w:i/>
          <w:sz w:val="23"/>
          <w:szCs w:val="23"/>
        </w:rPr>
        <w:t xml:space="preserve">La couverture de l’offre est insuffisante </w:t>
      </w:r>
    </w:p>
    <w:p w14:paraId="4F7990F6" w14:textId="77777777" w:rsidR="00420280" w:rsidRPr="009C79D1" w:rsidRDefault="00420280" w:rsidP="009C79D1">
      <w:pPr>
        <w:pStyle w:val="Paragraphedeliste"/>
        <w:ind w:left="360"/>
        <w:jc w:val="both"/>
        <w:rPr>
          <w:sz w:val="24"/>
          <w:szCs w:val="24"/>
        </w:rPr>
      </w:pPr>
      <w:r w:rsidRPr="009C79D1">
        <w:rPr>
          <w:sz w:val="24"/>
          <w:szCs w:val="24"/>
        </w:rPr>
        <w:lastRenderedPageBreak/>
        <w:t xml:space="preserve">La couverture de l’offre est insuffisante avec 60% des districts non couverts pour la PCIME communautaire-PECADO et 70% pour la PCIME. </w:t>
      </w:r>
    </w:p>
    <w:p w14:paraId="05BB045D" w14:textId="77777777" w:rsidR="004F5D8E" w:rsidRPr="009C79D1" w:rsidRDefault="004F5D8E" w:rsidP="00A97663">
      <w:pPr>
        <w:pStyle w:val="Paragraphedeliste"/>
        <w:numPr>
          <w:ilvl w:val="0"/>
          <w:numId w:val="11"/>
        </w:numPr>
        <w:jc w:val="both"/>
        <w:rPr>
          <w:sz w:val="24"/>
          <w:szCs w:val="24"/>
        </w:rPr>
      </w:pPr>
      <w:r w:rsidRPr="009C79D1">
        <w:rPr>
          <w:i/>
          <w:sz w:val="24"/>
          <w:szCs w:val="24"/>
        </w:rPr>
        <w:t>Les activités sont ralenties par les fréquentes ruptures de stock en intrants</w:t>
      </w:r>
      <w:r w:rsidRPr="009C79D1">
        <w:rPr>
          <w:sz w:val="24"/>
          <w:szCs w:val="24"/>
        </w:rPr>
        <w:t xml:space="preserve"> (fiches de prise en charge, les livrets des tableaux, …).</w:t>
      </w:r>
    </w:p>
    <w:p w14:paraId="72A312D6" w14:textId="77777777" w:rsidR="004F5D8E" w:rsidRPr="009C79D1" w:rsidRDefault="004F5D8E" w:rsidP="00A97663">
      <w:pPr>
        <w:pStyle w:val="Paragraphedeliste"/>
        <w:numPr>
          <w:ilvl w:val="0"/>
          <w:numId w:val="11"/>
        </w:numPr>
        <w:jc w:val="both"/>
        <w:rPr>
          <w:sz w:val="24"/>
          <w:szCs w:val="24"/>
        </w:rPr>
      </w:pPr>
      <w:r w:rsidRPr="009C79D1">
        <w:rPr>
          <w:i/>
          <w:sz w:val="24"/>
          <w:szCs w:val="24"/>
        </w:rPr>
        <w:t>La qualité des activités de mise en œuvre de la PCIME est basse</w:t>
      </w:r>
      <w:r w:rsidRPr="009C79D1">
        <w:rPr>
          <w:sz w:val="24"/>
          <w:szCs w:val="24"/>
        </w:rPr>
        <w:t xml:space="preserve"> </w:t>
      </w:r>
      <w:r w:rsidR="0038299D" w:rsidRPr="009C79D1">
        <w:rPr>
          <w:sz w:val="24"/>
          <w:szCs w:val="24"/>
        </w:rPr>
        <w:t>à cause</w:t>
      </w:r>
      <w:r w:rsidRPr="009C79D1">
        <w:rPr>
          <w:sz w:val="24"/>
          <w:szCs w:val="24"/>
        </w:rPr>
        <w:t xml:space="preserve"> de la faiblesse des activités de supervision. </w:t>
      </w:r>
    </w:p>
    <w:p w14:paraId="75169EA4" w14:textId="77777777" w:rsidR="00420280" w:rsidRPr="009C79D1" w:rsidRDefault="00420280" w:rsidP="00A97663">
      <w:pPr>
        <w:pStyle w:val="Paragraphedeliste"/>
        <w:numPr>
          <w:ilvl w:val="0"/>
          <w:numId w:val="11"/>
        </w:numPr>
        <w:jc w:val="both"/>
        <w:rPr>
          <w:i/>
          <w:sz w:val="24"/>
          <w:szCs w:val="24"/>
        </w:rPr>
      </w:pPr>
      <w:r w:rsidRPr="009C79D1">
        <w:rPr>
          <w:i/>
          <w:sz w:val="24"/>
          <w:szCs w:val="24"/>
        </w:rPr>
        <w:t>Le financement insuffisant</w:t>
      </w:r>
    </w:p>
    <w:p w14:paraId="7FD0E000" w14:textId="77777777" w:rsidR="004F5D8E" w:rsidRPr="009C79D1" w:rsidRDefault="004F5D8E" w:rsidP="009C79D1">
      <w:pPr>
        <w:pStyle w:val="Paragraphedeliste"/>
        <w:ind w:left="360"/>
        <w:jc w:val="both"/>
        <w:rPr>
          <w:sz w:val="24"/>
          <w:szCs w:val="24"/>
        </w:rPr>
      </w:pPr>
      <w:r w:rsidRPr="009C79D1">
        <w:rPr>
          <w:sz w:val="24"/>
          <w:szCs w:val="24"/>
        </w:rPr>
        <w:t xml:space="preserve">Faute de financement, les activités de </w:t>
      </w:r>
      <w:r w:rsidR="0038299D" w:rsidRPr="009C79D1">
        <w:rPr>
          <w:sz w:val="24"/>
          <w:szCs w:val="24"/>
        </w:rPr>
        <w:t xml:space="preserve">suivi de la </w:t>
      </w:r>
      <w:r w:rsidRPr="009C79D1">
        <w:rPr>
          <w:sz w:val="24"/>
          <w:szCs w:val="24"/>
        </w:rPr>
        <w:t xml:space="preserve">mise en œuvre de la PCIME </w:t>
      </w:r>
      <w:r w:rsidR="0038299D" w:rsidRPr="009C79D1">
        <w:rPr>
          <w:sz w:val="24"/>
          <w:szCs w:val="24"/>
        </w:rPr>
        <w:t>y compris les autres stratégies de survie de l’enfant sont en souffrance dans huit régions : Hauts Bassins, Cascades, Centre-Ouest, Centre-Sud, Centre-Est, Plateau Central, Sud-Ouest.</w:t>
      </w:r>
    </w:p>
    <w:p w14:paraId="0B2E6BE5" w14:textId="77777777" w:rsidR="0038299D" w:rsidRPr="009C79D1" w:rsidRDefault="0038299D" w:rsidP="00A97663">
      <w:pPr>
        <w:pStyle w:val="Paragraphedeliste"/>
        <w:numPr>
          <w:ilvl w:val="0"/>
          <w:numId w:val="11"/>
        </w:numPr>
        <w:jc w:val="both"/>
        <w:rPr>
          <w:sz w:val="24"/>
          <w:szCs w:val="24"/>
        </w:rPr>
      </w:pPr>
      <w:r w:rsidRPr="009C79D1">
        <w:rPr>
          <w:i/>
          <w:sz w:val="24"/>
          <w:szCs w:val="24"/>
        </w:rPr>
        <w:t>La performance de la PCIME communautaire et les soins du nouveau-né à domicile est ralentie par les ruptures fréquentes de stocks d’intrants</w:t>
      </w:r>
      <w:r w:rsidRPr="009C79D1">
        <w:rPr>
          <w:sz w:val="24"/>
          <w:szCs w:val="24"/>
        </w:rPr>
        <w:t xml:space="preserve"> (ACT, Cotrimoxazole, SRO, Zinc, Carte conseils, Cartes de la mère et du bébé, …)</w:t>
      </w:r>
    </w:p>
    <w:p w14:paraId="0EEDE877" w14:textId="77777777" w:rsidR="00420280" w:rsidRPr="009C79D1" w:rsidRDefault="00420280" w:rsidP="009C79D1">
      <w:pPr>
        <w:pStyle w:val="Paragraphedeliste"/>
        <w:ind w:left="360"/>
        <w:jc w:val="both"/>
        <w:rPr>
          <w:sz w:val="24"/>
          <w:szCs w:val="24"/>
        </w:rPr>
      </w:pPr>
    </w:p>
    <w:p w14:paraId="57FBE084" w14:textId="4F064ACD" w:rsidR="004527CF" w:rsidRPr="009C79D1" w:rsidRDefault="009C79D1" w:rsidP="009C79D1">
      <w:pPr>
        <w:pStyle w:val="Paragraphedeliste"/>
        <w:numPr>
          <w:ilvl w:val="2"/>
          <w:numId w:val="1"/>
        </w:numPr>
        <w:spacing w:before="240"/>
        <w:jc w:val="both"/>
        <w:rPr>
          <w:rFonts w:eastAsia="Calibri"/>
          <w:caps/>
          <w:sz w:val="24"/>
          <w:szCs w:val="24"/>
        </w:rPr>
      </w:pPr>
      <w:bookmarkStart w:id="10" w:name="_Toc522532899"/>
      <w:r w:rsidRPr="009C79D1">
        <w:rPr>
          <w:rFonts w:eastAsia="Calibri"/>
          <w:sz w:val="24"/>
          <w:szCs w:val="24"/>
        </w:rPr>
        <w:t>LE TRI EVALUATION ET TRAITEMENT DES URGENCES (TETU)</w:t>
      </w:r>
      <w:bookmarkEnd w:id="10"/>
    </w:p>
    <w:p w14:paraId="74E10623" w14:textId="77777777" w:rsidR="006C72EF" w:rsidRPr="009C79D1" w:rsidRDefault="006C72EF" w:rsidP="009C79D1">
      <w:pPr>
        <w:spacing w:after="0"/>
        <w:jc w:val="both"/>
        <w:rPr>
          <w:rFonts w:eastAsia="Calibri"/>
          <w:b/>
          <w:caps/>
          <w:sz w:val="24"/>
          <w:szCs w:val="24"/>
        </w:rPr>
      </w:pPr>
      <w:r w:rsidRPr="009C79D1">
        <w:rPr>
          <w:sz w:val="24"/>
          <w:szCs w:val="24"/>
        </w:rPr>
        <w:t xml:space="preserve">Dans le cadre du projet d’accélération de la réduction de la mortalité maternelle et infanto juvénile, la stratégie TETU a été mise en œuvre dans les régions du Nord et du Centre-nord entre 2008-2012. Trois cent soixante-neuf agents de santé des CMA et CHR de ces régions ont été formés. En 2014, au moins deux agents de santé de neuf CHR ont bénéficié d’une formation. </w:t>
      </w:r>
    </w:p>
    <w:p w14:paraId="77B552EA" w14:textId="77777777" w:rsidR="00A17219" w:rsidRPr="009C79D1" w:rsidRDefault="00A17219" w:rsidP="009C79D1">
      <w:pPr>
        <w:pStyle w:val="Paragraphedeliste"/>
        <w:numPr>
          <w:ilvl w:val="3"/>
          <w:numId w:val="1"/>
        </w:numPr>
        <w:spacing w:after="0"/>
        <w:jc w:val="both"/>
        <w:rPr>
          <w:rFonts w:eastAsia="Calibri"/>
          <w:b/>
          <w:sz w:val="24"/>
          <w:szCs w:val="24"/>
        </w:rPr>
      </w:pPr>
      <w:r w:rsidRPr="009C79D1">
        <w:rPr>
          <w:rFonts w:eastAsia="Calibri"/>
          <w:b/>
          <w:caps/>
          <w:sz w:val="24"/>
          <w:szCs w:val="24"/>
        </w:rPr>
        <w:t>P</w:t>
      </w:r>
      <w:r w:rsidRPr="009C79D1">
        <w:rPr>
          <w:rFonts w:eastAsia="Calibri"/>
          <w:b/>
          <w:sz w:val="24"/>
          <w:szCs w:val="24"/>
        </w:rPr>
        <w:t>erformance</w:t>
      </w:r>
    </w:p>
    <w:p w14:paraId="023AD1EC" w14:textId="77777777" w:rsidR="006C72EF" w:rsidRPr="009C79D1" w:rsidRDefault="00A17219" w:rsidP="009C79D1">
      <w:pPr>
        <w:jc w:val="both"/>
        <w:rPr>
          <w:sz w:val="24"/>
          <w:szCs w:val="24"/>
        </w:rPr>
      </w:pPr>
      <w:r w:rsidRPr="009C79D1">
        <w:rPr>
          <w:sz w:val="24"/>
          <w:szCs w:val="24"/>
        </w:rPr>
        <w:t>Les enfants pris en charge selon l'approche TETU sont respectivement 46938 en 2016 et 75346 en 2017</w:t>
      </w:r>
      <w:r w:rsidRPr="009C79D1">
        <w:rPr>
          <w:rStyle w:val="Appelnotedebasdep"/>
          <w:sz w:val="24"/>
          <w:szCs w:val="24"/>
        </w:rPr>
        <w:footnoteReference w:id="71"/>
      </w:r>
      <w:r w:rsidRPr="009C79D1">
        <w:rPr>
          <w:sz w:val="24"/>
          <w:szCs w:val="24"/>
        </w:rPr>
        <w:t>.</w:t>
      </w:r>
    </w:p>
    <w:p w14:paraId="25940867" w14:textId="2FCC4D33" w:rsidR="006C72EF" w:rsidRPr="009C79D1" w:rsidRDefault="006C72EF" w:rsidP="009C79D1">
      <w:pPr>
        <w:pStyle w:val="Paragraphedeliste"/>
        <w:numPr>
          <w:ilvl w:val="3"/>
          <w:numId w:val="1"/>
        </w:numPr>
        <w:spacing w:after="0"/>
        <w:jc w:val="both"/>
        <w:rPr>
          <w:b/>
          <w:sz w:val="24"/>
          <w:szCs w:val="24"/>
        </w:rPr>
      </w:pPr>
      <w:r w:rsidRPr="009C79D1">
        <w:rPr>
          <w:b/>
          <w:sz w:val="24"/>
          <w:szCs w:val="24"/>
        </w:rPr>
        <w:t>G</w:t>
      </w:r>
      <w:r w:rsidR="009C79D1">
        <w:rPr>
          <w:b/>
          <w:sz w:val="24"/>
          <w:szCs w:val="24"/>
        </w:rPr>
        <w:t>ap</w:t>
      </w:r>
      <w:r w:rsidRPr="009C79D1">
        <w:rPr>
          <w:b/>
          <w:sz w:val="24"/>
          <w:szCs w:val="24"/>
        </w:rPr>
        <w:t>s d</w:t>
      </w:r>
      <w:r w:rsidR="009C79D1">
        <w:rPr>
          <w:b/>
          <w:sz w:val="24"/>
          <w:szCs w:val="24"/>
        </w:rPr>
        <w:t>e performances</w:t>
      </w:r>
      <w:r w:rsidRPr="009C79D1">
        <w:rPr>
          <w:b/>
          <w:sz w:val="24"/>
          <w:szCs w:val="24"/>
        </w:rPr>
        <w:t xml:space="preserve"> et leurs causes</w:t>
      </w:r>
    </w:p>
    <w:p w14:paraId="3B131DB4" w14:textId="77777777" w:rsidR="006C72EF" w:rsidRPr="009C79D1" w:rsidRDefault="006C72EF" w:rsidP="009C79D1">
      <w:pPr>
        <w:spacing w:after="0"/>
        <w:jc w:val="both"/>
        <w:rPr>
          <w:i/>
          <w:sz w:val="24"/>
          <w:szCs w:val="24"/>
        </w:rPr>
      </w:pPr>
      <w:r w:rsidRPr="009C79D1">
        <w:rPr>
          <w:i/>
          <w:sz w:val="24"/>
          <w:szCs w:val="24"/>
        </w:rPr>
        <w:t>La disponibilité insuffisante de personnel formé</w:t>
      </w:r>
    </w:p>
    <w:p w14:paraId="67675B67" w14:textId="77777777" w:rsidR="006C72EF" w:rsidRPr="009C79D1" w:rsidRDefault="006C72EF" w:rsidP="009C79D1">
      <w:pPr>
        <w:spacing w:after="0"/>
        <w:jc w:val="both"/>
        <w:rPr>
          <w:sz w:val="24"/>
          <w:szCs w:val="24"/>
        </w:rPr>
      </w:pPr>
      <w:r w:rsidRPr="009C79D1">
        <w:rPr>
          <w:sz w:val="24"/>
          <w:szCs w:val="24"/>
        </w:rPr>
        <w:t xml:space="preserve">En 2018, le rapport de suivi de routine montre qu’aucun CHR ne dispose d’agents formés sur les TETU et </w:t>
      </w:r>
      <w:r w:rsidR="008A3E9E" w:rsidRPr="009C79D1">
        <w:rPr>
          <w:sz w:val="24"/>
          <w:szCs w:val="24"/>
        </w:rPr>
        <w:t>l</w:t>
      </w:r>
      <w:r w:rsidRPr="009C79D1">
        <w:rPr>
          <w:sz w:val="24"/>
          <w:szCs w:val="24"/>
        </w:rPr>
        <w:t>es compétences disponibles dans les CMA sont variables selon les régions</w:t>
      </w:r>
      <w:r w:rsidR="008A3E9E" w:rsidRPr="009C79D1">
        <w:rPr>
          <w:sz w:val="24"/>
          <w:szCs w:val="24"/>
        </w:rPr>
        <w:t>.</w:t>
      </w:r>
    </w:p>
    <w:p w14:paraId="032A7688" w14:textId="77777777" w:rsidR="008A3E9E" w:rsidRPr="009C79D1" w:rsidRDefault="008A3E9E" w:rsidP="009C79D1">
      <w:pPr>
        <w:jc w:val="both"/>
        <w:rPr>
          <w:i/>
          <w:sz w:val="24"/>
          <w:szCs w:val="24"/>
        </w:rPr>
      </w:pPr>
      <w:r w:rsidRPr="009C79D1">
        <w:rPr>
          <w:i/>
          <w:sz w:val="24"/>
          <w:szCs w:val="24"/>
        </w:rPr>
        <w:t>La faible disponibilité des équipements et consommables nécessaires à la mise en œuvre.</w:t>
      </w:r>
    </w:p>
    <w:p w14:paraId="0F11F967" w14:textId="03283E5D" w:rsidR="009078FF" w:rsidRPr="009C79D1" w:rsidRDefault="009C79D1" w:rsidP="009C79D1">
      <w:pPr>
        <w:pStyle w:val="Paragraphedeliste"/>
        <w:numPr>
          <w:ilvl w:val="2"/>
          <w:numId w:val="1"/>
        </w:numPr>
        <w:spacing w:before="240" w:after="0"/>
        <w:jc w:val="both"/>
        <w:rPr>
          <w:rFonts w:ascii="Calibri" w:hAnsi="Calibri"/>
          <w:sz w:val="24"/>
          <w:szCs w:val="24"/>
        </w:rPr>
      </w:pPr>
      <w:r w:rsidRPr="009C79D1">
        <w:rPr>
          <w:rFonts w:ascii="Calibri" w:hAnsi="Calibri"/>
          <w:sz w:val="24"/>
          <w:szCs w:val="24"/>
        </w:rPr>
        <w:t>INTERVENTIONS EN FAVEUR DE LA SANTE DU JEUNE ENFANT, DE L’ADOLESCENT ET DU JEUNE.</w:t>
      </w:r>
    </w:p>
    <w:p w14:paraId="3F99AE86" w14:textId="77777777" w:rsidR="00046EEC" w:rsidRPr="009C79D1" w:rsidRDefault="00046EEC" w:rsidP="009C79D1">
      <w:pPr>
        <w:spacing w:after="0"/>
        <w:jc w:val="both"/>
        <w:rPr>
          <w:rFonts w:eastAsia="Calibri" w:cs="Arial"/>
          <w:sz w:val="24"/>
          <w:szCs w:val="24"/>
        </w:rPr>
      </w:pPr>
      <w:r w:rsidRPr="009C79D1">
        <w:rPr>
          <w:rFonts w:eastAsia="Calibri" w:cs="Arial"/>
          <w:sz w:val="24"/>
          <w:szCs w:val="24"/>
        </w:rPr>
        <w:t xml:space="preserve">Pour améliorer la santé sexuelle et reproductive des adolescents et des jeunes, le pays a mis en place un cadre stratégique et opérationnel, créé un service dédié au sein au sein de la Direction de la Santé Familiale et développé un plaidoyer actif pour la mobilisation de ressources.  </w:t>
      </w:r>
    </w:p>
    <w:p w14:paraId="05C92DD0" w14:textId="77777777" w:rsidR="00046EEC" w:rsidRPr="009C79D1" w:rsidRDefault="00046EEC" w:rsidP="009C79D1">
      <w:pPr>
        <w:pStyle w:val="Paragraphedeliste"/>
        <w:numPr>
          <w:ilvl w:val="3"/>
          <w:numId w:val="1"/>
        </w:numPr>
        <w:spacing w:after="0"/>
        <w:jc w:val="both"/>
        <w:rPr>
          <w:rFonts w:eastAsia="Calibri" w:cs="Arial"/>
          <w:b/>
          <w:sz w:val="24"/>
          <w:szCs w:val="24"/>
        </w:rPr>
      </w:pPr>
      <w:r w:rsidRPr="009C79D1">
        <w:rPr>
          <w:rFonts w:eastAsia="Calibri" w:cs="Arial"/>
          <w:b/>
          <w:sz w:val="24"/>
          <w:szCs w:val="24"/>
        </w:rPr>
        <w:t xml:space="preserve">Performances/réalisations </w:t>
      </w:r>
    </w:p>
    <w:p w14:paraId="11EF43F4" w14:textId="77777777" w:rsidR="002A3DE5" w:rsidRPr="009C79D1" w:rsidRDefault="002A3DE5" w:rsidP="00A97663">
      <w:pPr>
        <w:pStyle w:val="Paragraphedeliste"/>
        <w:numPr>
          <w:ilvl w:val="0"/>
          <w:numId w:val="12"/>
        </w:numPr>
        <w:jc w:val="both"/>
        <w:rPr>
          <w:rFonts w:eastAsia="Calibri" w:cs="Arial"/>
          <w:sz w:val="24"/>
          <w:szCs w:val="24"/>
        </w:rPr>
      </w:pPr>
      <w:r w:rsidRPr="009C79D1">
        <w:rPr>
          <w:rFonts w:eastAsia="Calibri" w:cs="Arial"/>
          <w:sz w:val="24"/>
          <w:szCs w:val="24"/>
        </w:rPr>
        <w:t>Mise en place du cadre institutionnel, stratégique et opérationnel avec la création d’un service dédié, l’élaboration de documents de stratégie et de plans opérationnels.</w:t>
      </w:r>
    </w:p>
    <w:p w14:paraId="230EB4BE" w14:textId="77777777" w:rsidR="002A3DE5" w:rsidRPr="009C79D1" w:rsidRDefault="002A3DE5" w:rsidP="00A97663">
      <w:pPr>
        <w:pStyle w:val="Paragraphedeliste"/>
        <w:numPr>
          <w:ilvl w:val="0"/>
          <w:numId w:val="12"/>
        </w:numPr>
        <w:jc w:val="both"/>
        <w:rPr>
          <w:rFonts w:eastAsia="Calibri" w:cs="Arial"/>
          <w:sz w:val="24"/>
          <w:szCs w:val="24"/>
        </w:rPr>
      </w:pPr>
      <w:r w:rsidRPr="009C79D1">
        <w:rPr>
          <w:rFonts w:eastAsia="Calibri" w:cs="Arial"/>
          <w:sz w:val="24"/>
          <w:szCs w:val="24"/>
        </w:rPr>
        <w:lastRenderedPageBreak/>
        <w:t xml:space="preserve">Les activités de promotion des bonnes pratiques, comportements et attitudes au sein des adolescents et des jeunes particulièrement dans le domaine du VIH et de la planification familiale. </w:t>
      </w:r>
    </w:p>
    <w:p w14:paraId="0638B358" w14:textId="77777777" w:rsidR="002A3DE5" w:rsidRPr="009C79D1" w:rsidRDefault="002A3DE5" w:rsidP="00A97663">
      <w:pPr>
        <w:pStyle w:val="Paragraphedeliste"/>
        <w:numPr>
          <w:ilvl w:val="0"/>
          <w:numId w:val="12"/>
        </w:numPr>
        <w:jc w:val="both"/>
        <w:rPr>
          <w:rFonts w:eastAsia="Calibri" w:cs="Arial"/>
          <w:sz w:val="24"/>
          <w:szCs w:val="24"/>
        </w:rPr>
      </w:pPr>
      <w:r w:rsidRPr="009C79D1">
        <w:rPr>
          <w:rFonts w:eastAsia="Calibri" w:cs="Arial"/>
          <w:sz w:val="24"/>
          <w:szCs w:val="24"/>
        </w:rPr>
        <w:t>La surveillance des grossesses non désirées en milieu scolaire et la mise en place de clubs SRAJ dans les écoles et des espaces dénommés espaces sûrs pour la promotion d’une vie sexuelle et reproductive saine.</w:t>
      </w:r>
    </w:p>
    <w:p w14:paraId="4844F409" w14:textId="77777777" w:rsidR="002A3DE5" w:rsidRPr="009C79D1" w:rsidRDefault="002A3DE5" w:rsidP="00A97663">
      <w:pPr>
        <w:pStyle w:val="Paragraphedeliste"/>
        <w:numPr>
          <w:ilvl w:val="0"/>
          <w:numId w:val="12"/>
        </w:numPr>
        <w:jc w:val="both"/>
        <w:rPr>
          <w:rFonts w:eastAsia="Calibri" w:cs="Arial"/>
          <w:sz w:val="24"/>
          <w:szCs w:val="24"/>
        </w:rPr>
      </w:pPr>
      <w:r w:rsidRPr="009C79D1">
        <w:rPr>
          <w:rFonts w:eastAsia="Calibri" w:cs="Arial"/>
          <w:sz w:val="24"/>
          <w:szCs w:val="24"/>
        </w:rPr>
        <w:t>La mise en place d’une plateforme interactive sur internet dénommée QG jeunes. Cette plateforme intègre d’autres thématiques notamment la gestion de l’environnement, la prévention et la gestion des conflits.</w:t>
      </w:r>
    </w:p>
    <w:p w14:paraId="1852D889" w14:textId="2C217BB5" w:rsidR="002A3DE5" w:rsidRPr="009C79D1" w:rsidRDefault="002A3DE5" w:rsidP="009C79D1">
      <w:pPr>
        <w:pStyle w:val="Paragraphedeliste"/>
        <w:numPr>
          <w:ilvl w:val="3"/>
          <w:numId w:val="1"/>
        </w:numPr>
        <w:spacing w:after="0"/>
        <w:jc w:val="both"/>
        <w:rPr>
          <w:rFonts w:eastAsia="Calibri" w:cs="Arial"/>
          <w:b/>
          <w:sz w:val="24"/>
          <w:szCs w:val="24"/>
        </w:rPr>
      </w:pPr>
      <w:r w:rsidRPr="009C79D1">
        <w:rPr>
          <w:rFonts w:eastAsia="Calibri" w:cs="Arial"/>
          <w:b/>
          <w:sz w:val="24"/>
          <w:szCs w:val="24"/>
        </w:rPr>
        <w:t>G</w:t>
      </w:r>
      <w:r w:rsidR="009C79D1">
        <w:rPr>
          <w:rFonts w:eastAsia="Calibri" w:cs="Arial"/>
          <w:b/>
          <w:sz w:val="24"/>
          <w:szCs w:val="24"/>
        </w:rPr>
        <w:t>aps de performances</w:t>
      </w:r>
      <w:r w:rsidRPr="009C79D1">
        <w:rPr>
          <w:rFonts w:eastAsia="Calibri" w:cs="Arial"/>
          <w:b/>
          <w:sz w:val="24"/>
          <w:szCs w:val="24"/>
        </w:rPr>
        <w:t xml:space="preserve"> et leurs causes</w:t>
      </w:r>
    </w:p>
    <w:p w14:paraId="3D49BC63" w14:textId="77777777" w:rsidR="002A3DE5" w:rsidRPr="009C79D1" w:rsidRDefault="004C430E" w:rsidP="00A97663">
      <w:pPr>
        <w:pStyle w:val="Paragraphedeliste"/>
        <w:numPr>
          <w:ilvl w:val="0"/>
          <w:numId w:val="37"/>
        </w:numPr>
        <w:spacing w:after="0"/>
        <w:jc w:val="both"/>
        <w:rPr>
          <w:rFonts w:eastAsia="Calibri" w:cs="Arial"/>
          <w:i/>
          <w:sz w:val="24"/>
          <w:szCs w:val="24"/>
        </w:rPr>
      </w:pPr>
      <w:r w:rsidRPr="009C79D1">
        <w:rPr>
          <w:rFonts w:eastAsia="Calibri" w:cs="Arial"/>
          <w:i/>
          <w:sz w:val="24"/>
          <w:szCs w:val="24"/>
        </w:rPr>
        <w:t>L’offre de services ciblant la santé reproductive, des adolescents et des jeunes reste insuffisante.</w:t>
      </w:r>
    </w:p>
    <w:p w14:paraId="50CCF9C8" w14:textId="77777777" w:rsidR="004C430E" w:rsidRPr="009C79D1" w:rsidRDefault="004C430E" w:rsidP="00A97663">
      <w:pPr>
        <w:pStyle w:val="Paragraphedeliste"/>
        <w:numPr>
          <w:ilvl w:val="0"/>
          <w:numId w:val="38"/>
        </w:numPr>
        <w:spacing w:after="240"/>
        <w:jc w:val="both"/>
        <w:rPr>
          <w:rFonts w:cs="Arial"/>
          <w:sz w:val="24"/>
          <w:szCs w:val="24"/>
        </w:rPr>
      </w:pPr>
      <w:r w:rsidRPr="009C79D1">
        <w:rPr>
          <w:rFonts w:cs="Arial"/>
          <w:sz w:val="24"/>
          <w:szCs w:val="24"/>
        </w:rPr>
        <w:t>La disponibilité d’infrastructures et d’équipements pour l’offre de services de santé répondant aux besoins des adolescents et des jeunes dans les centres jeunes, Formations Sanitaires et infirmeries scolaires est insuffisante ;</w:t>
      </w:r>
    </w:p>
    <w:p w14:paraId="629742FF" w14:textId="77777777" w:rsidR="004C430E" w:rsidRPr="009C79D1" w:rsidRDefault="004C430E" w:rsidP="00A97663">
      <w:pPr>
        <w:pStyle w:val="Paragraphedeliste"/>
        <w:numPr>
          <w:ilvl w:val="0"/>
          <w:numId w:val="38"/>
        </w:numPr>
        <w:spacing w:after="240"/>
        <w:jc w:val="both"/>
        <w:rPr>
          <w:rFonts w:cs="Arial"/>
          <w:sz w:val="24"/>
          <w:szCs w:val="24"/>
        </w:rPr>
      </w:pPr>
      <w:r w:rsidRPr="009C79D1">
        <w:rPr>
          <w:rFonts w:cs="Arial"/>
          <w:sz w:val="24"/>
          <w:szCs w:val="24"/>
        </w:rPr>
        <w:t>La qualité des services offerts aux adolescents</w:t>
      </w:r>
      <w:r w:rsidR="000F2728" w:rsidRPr="009C79D1">
        <w:rPr>
          <w:rFonts w:cs="Arial"/>
          <w:sz w:val="24"/>
          <w:szCs w:val="24"/>
        </w:rPr>
        <w:t>/</w:t>
      </w:r>
      <w:r w:rsidRPr="009C79D1">
        <w:rPr>
          <w:rFonts w:cs="Arial"/>
          <w:sz w:val="24"/>
          <w:szCs w:val="24"/>
        </w:rPr>
        <w:t>jeunes liée à l’insuffisance de compétences du personnel en santé sexuelle et reproductive des adolescents et des jeunes.</w:t>
      </w:r>
    </w:p>
    <w:p w14:paraId="5FF22C91" w14:textId="77777777" w:rsidR="004C430E" w:rsidRPr="009C79D1" w:rsidRDefault="004C430E" w:rsidP="00A97663">
      <w:pPr>
        <w:pStyle w:val="Paragraphedeliste"/>
        <w:numPr>
          <w:ilvl w:val="0"/>
          <w:numId w:val="38"/>
        </w:numPr>
        <w:spacing w:after="240"/>
        <w:jc w:val="both"/>
        <w:rPr>
          <w:rFonts w:cs="Arial"/>
          <w:sz w:val="24"/>
          <w:szCs w:val="24"/>
        </w:rPr>
      </w:pPr>
      <w:r w:rsidRPr="009C79D1">
        <w:rPr>
          <w:rFonts w:cs="Arial"/>
          <w:sz w:val="24"/>
          <w:szCs w:val="24"/>
        </w:rPr>
        <w:t>La disponibilité de personnel compétent pour l’offre de services en santé sexuelle et reproductive des adolescents et des jeunes est faible</w:t>
      </w:r>
    </w:p>
    <w:p w14:paraId="68A4A126" w14:textId="77777777" w:rsidR="004C430E" w:rsidRPr="009C79D1" w:rsidRDefault="004C430E" w:rsidP="00A97663">
      <w:pPr>
        <w:pStyle w:val="Paragraphedeliste"/>
        <w:numPr>
          <w:ilvl w:val="0"/>
          <w:numId w:val="38"/>
        </w:numPr>
        <w:spacing w:after="240"/>
        <w:jc w:val="both"/>
        <w:rPr>
          <w:rFonts w:cs="Arial"/>
          <w:sz w:val="24"/>
          <w:szCs w:val="24"/>
        </w:rPr>
      </w:pPr>
      <w:r w:rsidRPr="009C79D1">
        <w:rPr>
          <w:rFonts w:cs="Arial"/>
          <w:sz w:val="24"/>
          <w:szCs w:val="24"/>
        </w:rPr>
        <w:t xml:space="preserve">Les financements pour l’opérationnalisation des plans relatifs à la SSRAJ sont limités et insuffisants. </w:t>
      </w:r>
    </w:p>
    <w:p w14:paraId="0EC70CEB" w14:textId="77777777" w:rsidR="004C430E" w:rsidRPr="009C79D1" w:rsidRDefault="004C430E" w:rsidP="00A97663">
      <w:pPr>
        <w:pStyle w:val="Paragraphedeliste"/>
        <w:numPr>
          <w:ilvl w:val="0"/>
          <w:numId w:val="38"/>
        </w:numPr>
        <w:spacing w:after="240"/>
        <w:jc w:val="both"/>
        <w:rPr>
          <w:rFonts w:cs="Arial"/>
          <w:sz w:val="24"/>
          <w:szCs w:val="24"/>
        </w:rPr>
      </w:pPr>
      <w:r w:rsidRPr="009C79D1">
        <w:rPr>
          <w:rFonts w:cs="Arial"/>
          <w:sz w:val="24"/>
          <w:szCs w:val="24"/>
        </w:rPr>
        <w:t>L’insuffisance faible qualité des services offerts aux adolescents et aux jeunes liée</w:t>
      </w:r>
      <w:r w:rsidR="00C517FD" w:rsidRPr="009C79D1">
        <w:rPr>
          <w:rFonts w:cs="Arial"/>
          <w:sz w:val="24"/>
          <w:szCs w:val="24"/>
        </w:rPr>
        <w:t xml:space="preserve"> </w:t>
      </w:r>
      <w:r w:rsidRPr="009C79D1">
        <w:rPr>
          <w:rFonts w:cs="Arial"/>
          <w:sz w:val="24"/>
          <w:szCs w:val="24"/>
        </w:rPr>
        <w:t>à l’insuffisance de compétences du personnel en santé sexuelle et reproductive des adolescents et des jeunes.</w:t>
      </w:r>
    </w:p>
    <w:p w14:paraId="05474C3F" w14:textId="77777777" w:rsidR="00C517FD" w:rsidRPr="009C79D1" w:rsidRDefault="00C517FD" w:rsidP="00A97663">
      <w:pPr>
        <w:pStyle w:val="Paragraphedeliste"/>
        <w:numPr>
          <w:ilvl w:val="0"/>
          <w:numId w:val="37"/>
        </w:numPr>
        <w:spacing w:after="0"/>
        <w:jc w:val="both"/>
        <w:rPr>
          <w:rFonts w:cs="Arial"/>
          <w:i/>
          <w:sz w:val="24"/>
          <w:szCs w:val="24"/>
        </w:rPr>
      </w:pPr>
      <w:r w:rsidRPr="009C79D1">
        <w:rPr>
          <w:rFonts w:cs="Arial"/>
          <w:i/>
          <w:sz w:val="24"/>
          <w:szCs w:val="24"/>
        </w:rPr>
        <w:t>Les barrières géographiques, financières et socio-culturelles entravent l’accessibilité et l’utilisation des services de santé sexuelle et reproductive des adolescents et jeunes.</w:t>
      </w:r>
    </w:p>
    <w:p w14:paraId="1B44BB32" w14:textId="77777777" w:rsidR="00C517FD" w:rsidRPr="009C79D1" w:rsidRDefault="00C517FD" w:rsidP="00A97663">
      <w:pPr>
        <w:pStyle w:val="Paragraphedeliste"/>
        <w:numPr>
          <w:ilvl w:val="0"/>
          <w:numId w:val="39"/>
        </w:numPr>
        <w:spacing w:after="0"/>
        <w:jc w:val="both"/>
        <w:rPr>
          <w:rFonts w:eastAsia="Calibri" w:cs="Arial"/>
          <w:sz w:val="24"/>
          <w:szCs w:val="24"/>
        </w:rPr>
      </w:pPr>
      <w:r w:rsidRPr="009C79D1">
        <w:rPr>
          <w:rFonts w:eastAsia="Calibri" w:cs="Arial"/>
          <w:sz w:val="24"/>
          <w:szCs w:val="24"/>
        </w:rPr>
        <w:t>L’accessibilité géographique des jeunes aux services de SSRAJ reste faible du fait notamment du rayon moyen d’action théorique élevé (6,4 Km).</w:t>
      </w:r>
    </w:p>
    <w:p w14:paraId="36CE2A62" w14:textId="77777777" w:rsidR="00C517FD" w:rsidRPr="009C79D1" w:rsidRDefault="00C517FD" w:rsidP="00A97663">
      <w:pPr>
        <w:pStyle w:val="Paragraphedeliste"/>
        <w:numPr>
          <w:ilvl w:val="0"/>
          <w:numId w:val="39"/>
        </w:numPr>
        <w:spacing w:after="0"/>
        <w:jc w:val="both"/>
        <w:rPr>
          <w:rFonts w:eastAsia="Calibri" w:cs="Arial"/>
          <w:sz w:val="24"/>
          <w:szCs w:val="24"/>
        </w:rPr>
      </w:pPr>
      <w:r w:rsidRPr="009C79D1">
        <w:rPr>
          <w:rFonts w:eastAsia="Calibri" w:cs="Arial"/>
          <w:sz w:val="24"/>
          <w:szCs w:val="24"/>
        </w:rPr>
        <w:t>L’accessibilité financière des adolescents et des jeunes aux services de santé est entravée par les payements directs et indirects des services,</w:t>
      </w:r>
      <w:r w:rsidR="000B74A6" w:rsidRPr="009C79D1">
        <w:rPr>
          <w:rFonts w:eastAsia="Calibri" w:cs="Arial"/>
          <w:sz w:val="24"/>
          <w:szCs w:val="24"/>
        </w:rPr>
        <w:t xml:space="preserve"> le faible pouvoir d’achats des adolescents et même des jeunes</w:t>
      </w:r>
      <w:r w:rsidRPr="009C79D1">
        <w:rPr>
          <w:rFonts w:eastAsia="Calibri" w:cs="Arial"/>
          <w:sz w:val="24"/>
          <w:szCs w:val="24"/>
        </w:rPr>
        <w:t xml:space="preserve"> </w:t>
      </w:r>
      <w:r w:rsidR="000B74A6" w:rsidRPr="009C79D1">
        <w:rPr>
          <w:rFonts w:eastAsia="Calibri" w:cs="Arial"/>
          <w:sz w:val="24"/>
          <w:szCs w:val="24"/>
        </w:rPr>
        <w:t xml:space="preserve">entre une forte </w:t>
      </w:r>
      <w:r w:rsidRPr="009C79D1">
        <w:rPr>
          <w:rFonts w:eastAsia="Calibri" w:cs="Arial"/>
          <w:sz w:val="24"/>
          <w:szCs w:val="24"/>
        </w:rPr>
        <w:t>dépendance financière des adolescents et jeunes vis-à-vis des parents et autres tuteurs,</w:t>
      </w:r>
      <w:r w:rsidR="000B74A6" w:rsidRPr="009C79D1">
        <w:rPr>
          <w:rFonts w:eastAsia="Calibri" w:cs="Arial"/>
          <w:sz w:val="24"/>
          <w:szCs w:val="24"/>
        </w:rPr>
        <w:t xml:space="preserve"> la compétition sur des ressources déjà très limitée par d’autres besoins « prioritaires » (</w:t>
      </w:r>
      <w:r w:rsidR="000B74A6" w:rsidRPr="009C79D1">
        <w:rPr>
          <w:rFonts w:cs="Times New Roman"/>
          <w:sz w:val="24"/>
          <w:szCs w:val="24"/>
        </w:rPr>
        <w:t>Smartphone, vêtements de marque, moto, produits de beauté et autres produits illicites</w:t>
      </w:r>
      <w:r w:rsidR="000B74A6" w:rsidRPr="009C79D1">
        <w:rPr>
          <w:rFonts w:eastAsia="Calibri" w:cs="Arial"/>
          <w:sz w:val="24"/>
          <w:szCs w:val="24"/>
        </w:rPr>
        <w:t>)</w:t>
      </w:r>
      <w:r w:rsidRPr="009C79D1">
        <w:rPr>
          <w:rFonts w:eastAsia="Calibri" w:cs="Arial"/>
          <w:sz w:val="24"/>
          <w:szCs w:val="24"/>
        </w:rPr>
        <w:t xml:space="preserve">. </w:t>
      </w:r>
    </w:p>
    <w:p w14:paraId="1E3CB471" w14:textId="77777777" w:rsidR="000B74A6" w:rsidRPr="009C79D1" w:rsidRDefault="000B74A6" w:rsidP="00A97663">
      <w:pPr>
        <w:pStyle w:val="Paragraphedeliste"/>
        <w:numPr>
          <w:ilvl w:val="0"/>
          <w:numId w:val="39"/>
        </w:numPr>
        <w:spacing w:after="0"/>
        <w:jc w:val="both"/>
        <w:rPr>
          <w:rFonts w:cs="Arial"/>
          <w:i/>
          <w:sz w:val="24"/>
          <w:szCs w:val="24"/>
        </w:rPr>
      </w:pPr>
      <w:r w:rsidRPr="009C79D1">
        <w:rPr>
          <w:rFonts w:eastAsia="Calibri" w:cs="Arial"/>
          <w:sz w:val="24"/>
          <w:szCs w:val="24"/>
        </w:rPr>
        <w:t>Une information limitée sur les risques liés à certains comportements et pratiques et la disponibilité d’une offre de services.</w:t>
      </w:r>
    </w:p>
    <w:p w14:paraId="19E3076E" w14:textId="77777777" w:rsidR="000B74A6" w:rsidRPr="009C79D1" w:rsidRDefault="000B74A6" w:rsidP="00A97663">
      <w:pPr>
        <w:pStyle w:val="Paragraphedeliste"/>
        <w:numPr>
          <w:ilvl w:val="0"/>
          <w:numId w:val="40"/>
        </w:numPr>
        <w:spacing w:after="0"/>
        <w:jc w:val="both"/>
        <w:rPr>
          <w:rFonts w:cs="Arial"/>
          <w:i/>
          <w:sz w:val="24"/>
          <w:szCs w:val="24"/>
        </w:rPr>
      </w:pPr>
      <w:r w:rsidRPr="009C79D1">
        <w:rPr>
          <w:rFonts w:eastAsia="Calibri" w:cs="Arial"/>
          <w:sz w:val="24"/>
          <w:szCs w:val="24"/>
        </w:rPr>
        <w:t>Les barrières socio-culturelles (mariage</w:t>
      </w:r>
      <w:r w:rsidRPr="009C79D1">
        <w:rPr>
          <w:sz w:val="24"/>
          <w:szCs w:val="24"/>
        </w:rPr>
        <w:t xml:space="preserve"> des enfants, </w:t>
      </w:r>
      <w:r w:rsidR="00FB462B" w:rsidRPr="009C79D1">
        <w:rPr>
          <w:sz w:val="24"/>
          <w:szCs w:val="24"/>
        </w:rPr>
        <w:t>sexualité tabou, effritement</w:t>
      </w:r>
      <w:r w:rsidRPr="009C79D1">
        <w:rPr>
          <w:rFonts w:cs="Times New Roman"/>
          <w:sz w:val="24"/>
          <w:szCs w:val="24"/>
        </w:rPr>
        <w:t xml:space="preserve"> des relations sociales, séparation, démission ou désengagement des parents, monoparentalité, concubinage, adoption, responsabilisation précoce des </w:t>
      </w:r>
      <w:r w:rsidR="00FB462B" w:rsidRPr="009C79D1">
        <w:rPr>
          <w:rFonts w:cs="Times New Roman"/>
          <w:sz w:val="24"/>
          <w:szCs w:val="24"/>
        </w:rPr>
        <w:t xml:space="preserve">enfants, violences sexuelles, </w:t>
      </w:r>
      <w:r w:rsidRPr="009C79D1">
        <w:rPr>
          <w:rFonts w:cs="Times New Roman"/>
          <w:sz w:val="24"/>
          <w:szCs w:val="24"/>
        </w:rPr>
        <w:t>physiques et psycholo</w:t>
      </w:r>
      <w:r w:rsidR="00FB462B" w:rsidRPr="009C79D1">
        <w:rPr>
          <w:rFonts w:cs="Times New Roman"/>
          <w:sz w:val="24"/>
          <w:szCs w:val="24"/>
        </w:rPr>
        <w:t>giques</w:t>
      </w:r>
      <w:r w:rsidRPr="009C79D1">
        <w:rPr>
          <w:rFonts w:cs="Times New Roman"/>
          <w:sz w:val="24"/>
          <w:szCs w:val="24"/>
        </w:rPr>
        <w:t>.</w:t>
      </w:r>
    </w:p>
    <w:p w14:paraId="35A0B92A" w14:textId="4D5DB400" w:rsidR="004C430E" w:rsidRPr="009C79D1" w:rsidRDefault="00FB462B" w:rsidP="00A97663">
      <w:pPr>
        <w:pStyle w:val="Paragraphedeliste"/>
        <w:numPr>
          <w:ilvl w:val="0"/>
          <w:numId w:val="37"/>
        </w:numPr>
        <w:spacing w:after="0"/>
        <w:jc w:val="both"/>
        <w:rPr>
          <w:rFonts w:eastAsia="Calibri" w:cs="Arial"/>
          <w:i/>
          <w:sz w:val="24"/>
          <w:szCs w:val="24"/>
        </w:rPr>
      </w:pPr>
      <w:r w:rsidRPr="009C79D1">
        <w:rPr>
          <w:rFonts w:eastAsia="Calibri" w:cs="Arial"/>
          <w:i/>
          <w:sz w:val="24"/>
          <w:szCs w:val="24"/>
        </w:rPr>
        <w:lastRenderedPageBreak/>
        <w:t xml:space="preserve">L’exposition précoce des adolescents et jeunes à des pratiques et comportement à risques (tabagisme, sexualité précoce, substances illicites) à travers les médias, les bandes d’adolescents et jeunes, </w:t>
      </w:r>
      <w:r w:rsidR="009C79D1" w:rsidRPr="009C79D1">
        <w:rPr>
          <w:rFonts w:eastAsia="Calibri" w:cs="Arial"/>
          <w:i/>
          <w:sz w:val="24"/>
          <w:szCs w:val="24"/>
        </w:rPr>
        <w:t>….</w:t>
      </w:r>
      <w:r w:rsidRPr="009C79D1">
        <w:rPr>
          <w:rFonts w:eastAsia="Calibri" w:cs="Arial"/>
          <w:i/>
          <w:sz w:val="24"/>
          <w:szCs w:val="24"/>
        </w:rPr>
        <w:t xml:space="preserve"> </w:t>
      </w:r>
    </w:p>
    <w:p w14:paraId="71EC4E8E" w14:textId="77777777" w:rsidR="00FB462B" w:rsidRPr="009C79D1" w:rsidRDefault="00FB462B" w:rsidP="00A97663">
      <w:pPr>
        <w:pStyle w:val="Paragraphedeliste"/>
        <w:numPr>
          <w:ilvl w:val="0"/>
          <w:numId w:val="37"/>
        </w:numPr>
        <w:spacing w:before="100" w:beforeAutospacing="1" w:after="0"/>
        <w:jc w:val="both"/>
        <w:rPr>
          <w:rFonts w:cs="Arial"/>
          <w:i/>
          <w:sz w:val="24"/>
          <w:szCs w:val="24"/>
        </w:rPr>
      </w:pPr>
      <w:r w:rsidRPr="009C79D1">
        <w:rPr>
          <w:rFonts w:cs="Arial"/>
          <w:i/>
          <w:sz w:val="24"/>
          <w:szCs w:val="24"/>
        </w:rPr>
        <w:t>La coordination insuffisante des acteurs</w:t>
      </w:r>
    </w:p>
    <w:p w14:paraId="118E96AC" w14:textId="77777777" w:rsidR="000F2728" w:rsidRPr="009C79D1" w:rsidRDefault="00FB462B" w:rsidP="00A97663">
      <w:pPr>
        <w:pStyle w:val="Paragraphedeliste"/>
        <w:numPr>
          <w:ilvl w:val="0"/>
          <w:numId w:val="41"/>
        </w:numPr>
        <w:jc w:val="both"/>
        <w:rPr>
          <w:rFonts w:eastAsia="Calibri" w:cs="Arial"/>
          <w:sz w:val="24"/>
          <w:szCs w:val="24"/>
        </w:rPr>
      </w:pPr>
      <w:r w:rsidRPr="009C79D1">
        <w:rPr>
          <w:rFonts w:eastAsia="Calibri" w:cs="Arial"/>
          <w:sz w:val="24"/>
          <w:szCs w:val="24"/>
        </w:rPr>
        <w:t>Plusieurs acteurs (PTF, ONG et Associations) interviennent en santé sexuelle et reproductive des adolescents et des jeunes mais ces interventions sont disparates et très peu coordonnées. Une mutualisation des efforts ainsi qu’un partage d’expérience sont nécessaires. Les cadres de concertations planifiés dans le plan stratégique santé des adolescents et des jeunes n’ont pas encore connu de financement.</w:t>
      </w:r>
    </w:p>
    <w:p w14:paraId="26370C58" w14:textId="77777777" w:rsidR="00FB462B" w:rsidRPr="009C79D1" w:rsidRDefault="00FB462B" w:rsidP="009C79D1">
      <w:pPr>
        <w:pStyle w:val="Paragraphedeliste"/>
        <w:jc w:val="both"/>
        <w:rPr>
          <w:rFonts w:eastAsia="Calibri" w:cs="Arial"/>
          <w:sz w:val="24"/>
          <w:szCs w:val="24"/>
        </w:rPr>
      </w:pPr>
      <w:r w:rsidRPr="009C79D1">
        <w:rPr>
          <w:rFonts w:eastAsia="Calibri" w:cs="Arial"/>
          <w:sz w:val="24"/>
          <w:szCs w:val="24"/>
        </w:rPr>
        <w:t xml:space="preserve"> </w:t>
      </w:r>
    </w:p>
    <w:p w14:paraId="28E146DD" w14:textId="70F43171" w:rsidR="0096111C" w:rsidRPr="009C79D1" w:rsidRDefault="009C79D1" w:rsidP="009C79D1">
      <w:pPr>
        <w:pStyle w:val="Paragraphedeliste"/>
        <w:numPr>
          <w:ilvl w:val="2"/>
          <w:numId w:val="1"/>
        </w:numPr>
        <w:spacing w:before="240" w:after="0"/>
        <w:jc w:val="both"/>
        <w:rPr>
          <w:rFonts w:ascii="Calibri" w:hAnsi="Calibri"/>
          <w:bCs/>
          <w:sz w:val="24"/>
          <w:szCs w:val="24"/>
        </w:rPr>
      </w:pPr>
      <w:r w:rsidRPr="009C79D1">
        <w:rPr>
          <w:rFonts w:ascii="Calibri" w:hAnsi="Calibri"/>
          <w:bCs/>
          <w:sz w:val="24"/>
          <w:szCs w:val="24"/>
        </w:rPr>
        <w:t xml:space="preserve">LES INTERVENTIONS A HAUT IMPACT DE NUTRITION </w:t>
      </w:r>
    </w:p>
    <w:p w14:paraId="65685D48" w14:textId="2D8779DB" w:rsidR="006B1A20" w:rsidRPr="009C79D1" w:rsidRDefault="003A69F6" w:rsidP="009C79D1">
      <w:pPr>
        <w:spacing w:after="0"/>
        <w:jc w:val="both"/>
        <w:rPr>
          <w:rFonts w:ascii="Calibri" w:hAnsi="Calibri"/>
          <w:sz w:val="24"/>
          <w:szCs w:val="24"/>
        </w:rPr>
      </w:pPr>
      <w:r w:rsidRPr="009C79D1">
        <w:rPr>
          <w:rFonts w:ascii="Calibri" w:hAnsi="Calibri"/>
          <w:sz w:val="24"/>
          <w:szCs w:val="24"/>
        </w:rPr>
        <w:t>Les interventions essentielles</w:t>
      </w:r>
      <w:r w:rsidR="006B1A20" w:rsidRPr="009C79D1">
        <w:rPr>
          <w:rFonts w:ascii="Calibri" w:hAnsi="Calibri"/>
          <w:sz w:val="24"/>
          <w:szCs w:val="24"/>
        </w:rPr>
        <w:t>,</w:t>
      </w:r>
      <w:r w:rsidRPr="009C79D1">
        <w:rPr>
          <w:rFonts w:ascii="Calibri" w:hAnsi="Calibri"/>
          <w:sz w:val="24"/>
          <w:szCs w:val="24"/>
        </w:rPr>
        <w:t xml:space="preserve"> </w:t>
      </w:r>
      <w:r w:rsidR="009C79D1" w:rsidRPr="009C79D1">
        <w:rPr>
          <w:rFonts w:ascii="Calibri" w:hAnsi="Calibri"/>
          <w:sz w:val="24"/>
          <w:szCs w:val="24"/>
        </w:rPr>
        <w:t>ciblant la nutrition</w:t>
      </w:r>
      <w:r w:rsidR="006B1A20" w:rsidRPr="009C79D1">
        <w:rPr>
          <w:rFonts w:ascii="Calibri" w:hAnsi="Calibri"/>
          <w:sz w:val="24"/>
          <w:szCs w:val="24"/>
        </w:rPr>
        <w:t xml:space="preserve"> </w:t>
      </w:r>
      <w:r w:rsidR="00104798" w:rsidRPr="009C79D1">
        <w:rPr>
          <w:rFonts w:ascii="Calibri" w:hAnsi="Calibri"/>
          <w:sz w:val="24"/>
          <w:szCs w:val="24"/>
        </w:rPr>
        <w:t>maternelle et</w:t>
      </w:r>
      <w:r w:rsidRPr="009C79D1">
        <w:rPr>
          <w:rFonts w:ascii="Calibri" w:hAnsi="Calibri"/>
          <w:sz w:val="24"/>
          <w:szCs w:val="24"/>
        </w:rPr>
        <w:t xml:space="preserve"> la</w:t>
      </w:r>
      <w:r w:rsidR="006B1A20" w:rsidRPr="009C79D1">
        <w:rPr>
          <w:rFonts w:ascii="Calibri" w:hAnsi="Calibri"/>
          <w:sz w:val="24"/>
          <w:szCs w:val="24"/>
        </w:rPr>
        <w:t xml:space="preserve"> promotion de l’alimentation du Nourrisson et de jeune enfant </w:t>
      </w:r>
      <w:r w:rsidRPr="009C79D1">
        <w:rPr>
          <w:rFonts w:ascii="Calibri" w:hAnsi="Calibri"/>
          <w:sz w:val="24"/>
          <w:szCs w:val="24"/>
        </w:rPr>
        <w:t xml:space="preserve">sont (i) </w:t>
      </w:r>
      <w:r w:rsidRPr="009C79D1">
        <w:rPr>
          <w:rFonts w:cs="Arial"/>
          <w:sz w:val="24"/>
          <w:szCs w:val="24"/>
        </w:rPr>
        <w:t xml:space="preserve">l’alimentation adéquate de la femme enceinte et de la femme allaitante, l’initiation à l’allaitement précoce, </w:t>
      </w:r>
      <w:r w:rsidRPr="009C79D1">
        <w:rPr>
          <w:rFonts w:cs="Arial"/>
          <w:noProof/>
          <w:sz w:val="24"/>
          <w:szCs w:val="24"/>
          <w:lang w:eastAsia="fr-FR"/>
        </w:rPr>
        <mc:AlternateContent>
          <mc:Choice Requires="wps">
            <w:drawing>
              <wp:anchor distT="0" distB="0" distL="114300" distR="114300" simplePos="0" relativeHeight="251708416" behindDoc="0" locked="0" layoutInCell="1" allowOverlap="1" wp14:anchorId="088503B0" wp14:editId="71EB337A">
                <wp:simplePos x="0" y="0"/>
                <wp:positionH relativeFrom="column">
                  <wp:posOffset>-2987675</wp:posOffset>
                </wp:positionH>
                <wp:positionV relativeFrom="paragraph">
                  <wp:posOffset>226695</wp:posOffset>
                </wp:positionV>
                <wp:extent cx="941070" cy="157480"/>
                <wp:effectExtent l="0" t="0" r="3810" b="4445"/>
                <wp:wrapNone/>
                <wp:docPr id="15" name="Zone de texte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1070" cy="157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ED61851" w14:textId="77777777" w:rsidR="00520196" w:rsidRPr="00C004B7" w:rsidRDefault="00520196" w:rsidP="003A69F6">
                            <w:pPr>
                              <w:rPr>
                                <w:b/>
                                <w:sz w:val="10"/>
                              </w:rPr>
                            </w:pPr>
                            <w:r w:rsidRPr="00C004B7">
                              <w:rPr>
                                <w:b/>
                                <w:sz w:val="10"/>
                              </w:rPr>
                              <w:t>Source : ENN 2017</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088503B0" id="_x0000_t202" coordsize="21600,21600" o:spt="202" path="m,l,21600r21600,l21600,xe">
                <v:stroke joinstyle="miter"/>
                <v:path gradientshapeok="t" o:connecttype="rect"/>
              </v:shapetype>
              <v:shape id="Zone de texte 15" o:spid="_x0000_s1035" type="#_x0000_t202" style="position:absolute;left:0;text-align:left;margin-left:-235.25pt;margin-top:17.85pt;width:74.1pt;height:12.4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" stroked="f">
                <v:textbox>
                  <w:txbxContent>
                    <w:p w14:paraId="3ED61851" w14:textId="77777777" w:rsidR="00520196" w:rsidRPr="00C004B7" w:rsidRDefault="00520196" w:rsidP="003A69F6">
                      <w:pPr>
                        <w:rPr>
                          <w:b/>
                          <w:sz w:val="10"/>
                        </w:rPr>
                      </w:pPr>
                      <w:r w:rsidRPr="00C004B7">
                        <w:rPr>
                          <w:b/>
                          <w:sz w:val="10"/>
                        </w:rPr>
                        <w:t>Source : ENN 2017</w:t>
                      </w:r>
                    </w:p>
                  </w:txbxContent>
                </v:textbox>
              </v:shape>
            </w:pict>
          </mc:Fallback>
        </mc:AlternateContent>
      </w:r>
      <w:r w:rsidRPr="009C79D1">
        <w:rPr>
          <w:rFonts w:cs="Arial"/>
          <w:sz w:val="24"/>
          <w:szCs w:val="24"/>
        </w:rPr>
        <w:t>l’allaitement Maternel Exclusif, la supplémentation en Vitamine A des enfants de moins de 5 ans, l’alimentation de complément des enfants de 6-24 mois.</w:t>
      </w:r>
      <w:r w:rsidRPr="009C79D1">
        <w:rPr>
          <w:rFonts w:cs="Arial"/>
          <w:b/>
          <w:sz w:val="24"/>
          <w:szCs w:val="24"/>
        </w:rPr>
        <w:t xml:space="preserve"> </w:t>
      </w:r>
    </w:p>
    <w:p w14:paraId="6FCF7A8E" w14:textId="77777777" w:rsidR="00CD63A2" w:rsidRPr="009C79D1" w:rsidRDefault="00CD63A2" w:rsidP="009C79D1">
      <w:pPr>
        <w:pStyle w:val="Paragraphedeliste"/>
        <w:numPr>
          <w:ilvl w:val="3"/>
          <w:numId w:val="1"/>
        </w:numPr>
        <w:spacing w:after="0"/>
        <w:jc w:val="both"/>
        <w:rPr>
          <w:rFonts w:ascii="Calibri" w:hAnsi="Calibri"/>
          <w:b/>
          <w:bCs/>
          <w:sz w:val="24"/>
          <w:szCs w:val="24"/>
        </w:rPr>
      </w:pPr>
      <w:r w:rsidRPr="009C79D1">
        <w:rPr>
          <w:rFonts w:ascii="Calibri" w:hAnsi="Calibri"/>
          <w:b/>
          <w:bCs/>
          <w:sz w:val="24"/>
          <w:szCs w:val="24"/>
        </w:rPr>
        <w:t>Performance</w:t>
      </w:r>
    </w:p>
    <w:p w14:paraId="059D8CE8" w14:textId="77777777" w:rsidR="007B486A" w:rsidRPr="009C79D1" w:rsidRDefault="007B486A" w:rsidP="009C79D1">
      <w:pPr>
        <w:spacing w:after="0"/>
        <w:jc w:val="both"/>
        <w:rPr>
          <w:rFonts w:cs="Arial"/>
          <w:sz w:val="24"/>
          <w:szCs w:val="24"/>
        </w:rPr>
      </w:pPr>
      <w:r w:rsidRPr="009C79D1">
        <w:rPr>
          <w:sz w:val="24"/>
          <w:szCs w:val="24"/>
        </w:rPr>
        <w:t>En rapport avec l’</w:t>
      </w:r>
      <w:r w:rsidRPr="009C79D1">
        <w:rPr>
          <w:rFonts w:cs="Arial"/>
          <w:sz w:val="24"/>
          <w:szCs w:val="24"/>
        </w:rPr>
        <w:t xml:space="preserve">alimentation adéquate de la femme enceinte et de la femme allaitante, </w:t>
      </w:r>
      <w:r w:rsidRPr="009C79D1">
        <w:rPr>
          <w:sz w:val="24"/>
          <w:szCs w:val="24"/>
        </w:rPr>
        <w:t>la couverture actuelle de la diversité alimentaire est de 20,3%</w:t>
      </w:r>
      <w:r w:rsidRPr="009C79D1">
        <w:rPr>
          <w:rStyle w:val="Appelnotedebasdep"/>
          <w:sz w:val="24"/>
          <w:szCs w:val="24"/>
        </w:rPr>
        <w:footnoteReference w:id="72"/>
      </w:r>
      <w:r w:rsidRPr="009C79D1">
        <w:rPr>
          <w:sz w:val="24"/>
          <w:szCs w:val="24"/>
        </w:rPr>
        <w:t xml:space="preserve">. </w:t>
      </w:r>
      <w:r w:rsidRPr="009C79D1">
        <w:rPr>
          <w:rFonts w:cs="Arial"/>
          <w:sz w:val="24"/>
          <w:szCs w:val="24"/>
        </w:rPr>
        <w:t xml:space="preserve"> </w:t>
      </w:r>
    </w:p>
    <w:p w14:paraId="08334261" w14:textId="77777777" w:rsidR="00926BD4" w:rsidRPr="009C79D1" w:rsidRDefault="00926BD4" w:rsidP="009C79D1">
      <w:pPr>
        <w:spacing w:after="0"/>
        <w:jc w:val="both"/>
        <w:rPr>
          <w:sz w:val="24"/>
          <w:szCs w:val="24"/>
        </w:rPr>
      </w:pPr>
      <w:r w:rsidRPr="009C79D1">
        <w:rPr>
          <w:sz w:val="24"/>
          <w:szCs w:val="24"/>
        </w:rPr>
        <w:t>La proportion d’enfants ayant consommé au moins 4 groupes d’aliments</w:t>
      </w:r>
      <w:r w:rsidR="00032C2F" w:rsidRPr="009C79D1">
        <w:rPr>
          <w:sz w:val="24"/>
          <w:szCs w:val="24"/>
        </w:rPr>
        <w:t xml:space="preserve"> sur les 7 prévus (Diversité alimentaire)</w:t>
      </w:r>
      <w:r w:rsidR="00B26C6E" w:rsidRPr="009C79D1">
        <w:rPr>
          <w:sz w:val="24"/>
          <w:szCs w:val="24"/>
        </w:rPr>
        <w:t xml:space="preserve"> était croissante de 2013 </w:t>
      </w:r>
      <w:r w:rsidR="00032C2F" w:rsidRPr="009C79D1">
        <w:rPr>
          <w:sz w:val="24"/>
          <w:szCs w:val="24"/>
        </w:rPr>
        <w:t>à 2016 (9% en 2013, 13% en 2014</w:t>
      </w:r>
      <w:r w:rsidR="00B26C6E" w:rsidRPr="009C79D1">
        <w:rPr>
          <w:sz w:val="24"/>
          <w:szCs w:val="24"/>
        </w:rPr>
        <w:t>, 17% en 2015 et 24</w:t>
      </w:r>
      <w:r w:rsidR="00032C2F" w:rsidRPr="009C79D1">
        <w:rPr>
          <w:sz w:val="24"/>
          <w:szCs w:val="24"/>
        </w:rPr>
        <w:t>% en 2016) avant de tomber à 18% en 2017</w:t>
      </w:r>
      <w:r w:rsidR="00354F6F" w:rsidRPr="009C79D1">
        <w:rPr>
          <w:sz w:val="24"/>
          <w:szCs w:val="24"/>
        </w:rPr>
        <w:t>.</w:t>
      </w:r>
    </w:p>
    <w:p w14:paraId="31862927" w14:textId="77777777" w:rsidR="00354F6F" w:rsidRPr="009C79D1" w:rsidRDefault="000077E3" w:rsidP="009C79D1">
      <w:pPr>
        <w:spacing w:after="0"/>
        <w:jc w:val="both"/>
        <w:rPr>
          <w:rFonts w:cs="Arial"/>
          <w:sz w:val="24"/>
          <w:szCs w:val="24"/>
        </w:rPr>
      </w:pPr>
      <w:r w:rsidRPr="009C79D1">
        <w:rPr>
          <w:rFonts w:cs="Arial"/>
          <w:sz w:val="24"/>
          <w:szCs w:val="24"/>
        </w:rPr>
        <w:t xml:space="preserve">La proportion </w:t>
      </w:r>
      <w:r w:rsidR="00354F6F" w:rsidRPr="009C79D1">
        <w:rPr>
          <w:rFonts w:cs="Arial"/>
          <w:sz w:val="24"/>
          <w:szCs w:val="24"/>
        </w:rPr>
        <w:t xml:space="preserve">42% des </w:t>
      </w:r>
      <w:r w:rsidR="00734A9A" w:rsidRPr="009C79D1">
        <w:rPr>
          <w:rFonts w:cs="Arial"/>
          <w:sz w:val="24"/>
          <w:szCs w:val="24"/>
        </w:rPr>
        <w:t xml:space="preserve">enfants </w:t>
      </w:r>
      <w:r w:rsidRPr="009C79D1">
        <w:rPr>
          <w:rFonts w:cs="Arial"/>
          <w:sz w:val="24"/>
          <w:szCs w:val="24"/>
        </w:rPr>
        <w:t>de 0-23 mois mis</w:t>
      </w:r>
      <w:r w:rsidR="005B4927" w:rsidRPr="009C79D1">
        <w:rPr>
          <w:rFonts w:cs="Arial"/>
          <w:sz w:val="24"/>
          <w:szCs w:val="24"/>
        </w:rPr>
        <w:t xml:space="preserve"> au sein dans l’heure suivant la naissance </w:t>
      </w:r>
      <w:r w:rsidRPr="009C79D1">
        <w:rPr>
          <w:rFonts w:cs="Arial"/>
          <w:sz w:val="24"/>
          <w:szCs w:val="24"/>
        </w:rPr>
        <w:t xml:space="preserve">était de 46,6% en 2016. Elle était de 42% </w:t>
      </w:r>
      <w:r w:rsidR="00354F6F" w:rsidRPr="009C79D1">
        <w:rPr>
          <w:rFonts w:cs="Arial"/>
          <w:sz w:val="24"/>
          <w:szCs w:val="24"/>
        </w:rPr>
        <w:t>en 2010</w:t>
      </w:r>
      <w:r w:rsidRPr="009C79D1">
        <w:rPr>
          <w:rStyle w:val="Appelnotedebasdep"/>
          <w:rFonts w:cs="Arial"/>
          <w:sz w:val="24"/>
          <w:szCs w:val="24"/>
        </w:rPr>
        <w:footnoteReference w:id="73"/>
      </w:r>
      <w:r w:rsidR="00354F6F" w:rsidRPr="009C79D1">
        <w:rPr>
          <w:rFonts w:cs="Arial"/>
          <w:sz w:val="24"/>
          <w:szCs w:val="24"/>
        </w:rPr>
        <w:t>.</w:t>
      </w:r>
    </w:p>
    <w:p w14:paraId="02E59390" w14:textId="77777777" w:rsidR="00CD76CD" w:rsidRPr="009C79D1" w:rsidRDefault="00CD76CD" w:rsidP="009C79D1">
      <w:pPr>
        <w:spacing w:after="0"/>
        <w:jc w:val="both"/>
        <w:rPr>
          <w:rFonts w:cs="Arial"/>
          <w:sz w:val="24"/>
          <w:szCs w:val="24"/>
        </w:rPr>
      </w:pPr>
      <w:r w:rsidRPr="009C79D1">
        <w:rPr>
          <w:sz w:val="24"/>
          <w:szCs w:val="24"/>
        </w:rPr>
        <w:t xml:space="preserve">Le taux d’allaitement exclusif chez les enfants de 0 à 5 mois évolue en dents de scie </w:t>
      </w:r>
      <w:r w:rsidR="000F033D" w:rsidRPr="009C79D1">
        <w:rPr>
          <w:sz w:val="24"/>
          <w:szCs w:val="24"/>
        </w:rPr>
        <w:t>entre 47</w:t>
      </w:r>
      <w:r w:rsidRPr="009C79D1">
        <w:rPr>
          <w:sz w:val="24"/>
          <w:szCs w:val="24"/>
        </w:rPr>
        <w:t>% (2013)</w:t>
      </w:r>
      <w:r w:rsidR="000F033D" w:rsidRPr="009C79D1">
        <w:rPr>
          <w:sz w:val="24"/>
          <w:szCs w:val="24"/>
        </w:rPr>
        <w:t>, 50% (2014), 47% (2015), 55% (2016)</w:t>
      </w:r>
      <w:r w:rsidRPr="009C79D1">
        <w:rPr>
          <w:sz w:val="24"/>
          <w:szCs w:val="24"/>
        </w:rPr>
        <w:t xml:space="preserve"> et </w:t>
      </w:r>
      <w:r w:rsidR="000F033D" w:rsidRPr="009C79D1">
        <w:rPr>
          <w:sz w:val="24"/>
          <w:szCs w:val="24"/>
        </w:rPr>
        <w:t>48% (</w:t>
      </w:r>
      <w:r w:rsidRPr="009C79D1">
        <w:rPr>
          <w:sz w:val="24"/>
          <w:szCs w:val="24"/>
        </w:rPr>
        <w:t>2017</w:t>
      </w:r>
      <w:r w:rsidR="000F033D" w:rsidRPr="009C79D1">
        <w:rPr>
          <w:sz w:val="24"/>
          <w:szCs w:val="24"/>
        </w:rPr>
        <w:t>) avec une moyenne de 49</w:t>
      </w:r>
      <w:r w:rsidRPr="009C79D1">
        <w:rPr>
          <w:sz w:val="24"/>
          <w:szCs w:val="24"/>
        </w:rPr>
        <w:t>%</w:t>
      </w:r>
      <w:r w:rsidR="000F033D" w:rsidRPr="009C79D1">
        <w:rPr>
          <w:rStyle w:val="Appelnotedebasdep"/>
          <w:sz w:val="24"/>
          <w:szCs w:val="24"/>
        </w:rPr>
        <w:footnoteReference w:id="74"/>
      </w:r>
      <w:r w:rsidRPr="009C79D1">
        <w:rPr>
          <w:sz w:val="24"/>
          <w:szCs w:val="24"/>
        </w:rPr>
        <w:t>.</w:t>
      </w:r>
    </w:p>
    <w:p w14:paraId="3C5ABF59" w14:textId="77777777" w:rsidR="00CD63A2" w:rsidRPr="009C79D1" w:rsidRDefault="00BD572F" w:rsidP="009C79D1">
      <w:pPr>
        <w:spacing w:after="0"/>
        <w:jc w:val="both"/>
        <w:rPr>
          <w:sz w:val="24"/>
          <w:szCs w:val="24"/>
        </w:rPr>
      </w:pPr>
      <w:r w:rsidRPr="009C79D1">
        <w:rPr>
          <w:sz w:val="24"/>
          <w:szCs w:val="24"/>
        </w:rPr>
        <w:t>En 2017, la prévalence de la malnutrition aiguë globale est de 8,6% dont 2,0% pour la forme sévère. Elle est en hausse de 1 point par rapport au niveau enregistré en 2016. Sur la période de 2013 à 2017 la prévalence moyenne de la MAG est de 8,7%. Toujours en 2017, le taux de guérison est de 93%, le taux de décès de 0,2% et le taux d’abandon de 6,8% pour la malnutrition aiguë modérée</w:t>
      </w:r>
      <w:r w:rsidR="00CD76CD" w:rsidRPr="009C79D1">
        <w:rPr>
          <w:rStyle w:val="Appelnotedebasdep"/>
          <w:sz w:val="24"/>
          <w:szCs w:val="24"/>
        </w:rPr>
        <w:footnoteReference w:id="75"/>
      </w:r>
      <w:r w:rsidRPr="009C79D1">
        <w:rPr>
          <w:sz w:val="24"/>
          <w:szCs w:val="24"/>
        </w:rPr>
        <w:t>.</w:t>
      </w:r>
    </w:p>
    <w:p w14:paraId="006B907B" w14:textId="77777777" w:rsidR="007B486A" w:rsidRPr="009C79D1" w:rsidRDefault="00616482" w:rsidP="009C79D1">
      <w:pPr>
        <w:spacing w:after="0"/>
        <w:jc w:val="both"/>
        <w:rPr>
          <w:sz w:val="24"/>
          <w:szCs w:val="24"/>
        </w:rPr>
      </w:pPr>
      <w:r w:rsidRPr="009C79D1">
        <w:rPr>
          <w:sz w:val="24"/>
          <w:szCs w:val="24"/>
        </w:rPr>
        <w:t>En 2017, la</w:t>
      </w:r>
      <w:r w:rsidR="007B486A" w:rsidRPr="009C79D1">
        <w:rPr>
          <w:sz w:val="24"/>
          <w:szCs w:val="24"/>
        </w:rPr>
        <w:t xml:space="preserve"> prévalence de la surcharge pondérale de 1,7% dont 1,1% de surpo</w:t>
      </w:r>
      <w:r w:rsidRPr="009C79D1">
        <w:rPr>
          <w:sz w:val="24"/>
          <w:szCs w:val="24"/>
        </w:rPr>
        <w:t>ids et 0,6% d’obésité. L</w:t>
      </w:r>
      <w:r w:rsidR="007B486A" w:rsidRPr="009C79D1">
        <w:rPr>
          <w:sz w:val="24"/>
          <w:szCs w:val="24"/>
        </w:rPr>
        <w:t>a prévalence de la surcharge pondérale était de 1,2%</w:t>
      </w:r>
      <w:r w:rsidRPr="009C79D1">
        <w:rPr>
          <w:sz w:val="24"/>
          <w:szCs w:val="24"/>
        </w:rPr>
        <w:t xml:space="preserve"> en 2016</w:t>
      </w:r>
      <w:r w:rsidR="007B486A" w:rsidRPr="009C79D1">
        <w:rPr>
          <w:sz w:val="24"/>
          <w:szCs w:val="24"/>
        </w:rPr>
        <w:t xml:space="preserve">. </w:t>
      </w:r>
      <w:r w:rsidRPr="009C79D1">
        <w:rPr>
          <w:sz w:val="24"/>
          <w:szCs w:val="24"/>
        </w:rPr>
        <w:t xml:space="preserve">Les écarts au niveau régional vont </w:t>
      </w:r>
      <w:r w:rsidR="007B486A" w:rsidRPr="009C79D1">
        <w:rPr>
          <w:sz w:val="24"/>
          <w:szCs w:val="24"/>
        </w:rPr>
        <w:t>de 0,3% dans la région du Centre Ouest à 3,3% dans la région du Centre</w:t>
      </w:r>
      <w:r w:rsidRPr="009C79D1">
        <w:rPr>
          <w:rStyle w:val="Appelnotedebasdep"/>
          <w:sz w:val="24"/>
          <w:szCs w:val="24"/>
        </w:rPr>
        <w:footnoteReference w:id="76"/>
      </w:r>
      <w:r w:rsidR="007B486A" w:rsidRPr="009C79D1">
        <w:rPr>
          <w:sz w:val="24"/>
          <w:szCs w:val="24"/>
        </w:rPr>
        <w:t>.</w:t>
      </w:r>
    </w:p>
    <w:p w14:paraId="39926C51" w14:textId="3314B5B3" w:rsidR="00F83BD5" w:rsidRDefault="00F83BD5" w:rsidP="007B486A">
      <w:pPr>
        <w:spacing w:after="0" w:line="360" w:lineRule="auto"/>
        <w:jc w:val="both"/>
        <w:rPr>
          <w:sz w:val="24"/>
          <w:szCs w:val="24"/>
        </w:rPr>
      </w:pPr>
      <w:r w:rsidRPr="00F83BD5">
        <w:rPr>
          <w:noProof/>
          <w:sz w:val="24"/>
          <w:szCs w:val="24"/>
          <w:lang w:eastAsia="fr-FR"/>
        </w:rPr>
        <w:lastRenderedPageBreak/>
        <w:drawing>
          <wp:inline distT="0" distB="0" distL="0" distR="0" wp14:anchorId="6722C687" wp14:editId="3C2728F2">
            <wp:extent cx="5760720" cy="2853163"/>
            <wp:effectExtent l="0" t="0" r="0" b="4445"/>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60720" cy="2853163"/>
                    </a:xfrm>
                    <a:prstGeom prst="rect">
                      <a:avLst/>
                    </a:prstGeom>
                    <a:noFill/>
                    <a:ln>
                      <a:noFill/>
                    </a:ln>
                  </pic:spPr>
                </pic:pic>
              </a:graphicData>
            </a:graphic>
          </wp:inline>
        </w:drawing>
      </w:r>
    </w:p>
    <w:p w14:paraId="3C8B50DF" w14:textId="0C0BF71B" w:rsidR="009C79D1" w:rsidRPr="00C47E18" w:rsidRDefault="009C79D1" w:rsidP="007B486A">
      <w:pPr>
        <w:spacing w:after="0" w:line="360" w:lineRule="auto"/>
        <w:jc w:val="both"/>
        <w:rPr>
          <w:b/>
          <w:sz w:val="20"/>
          <w:szCs w:val="20"/>
        </w:rPr>
      </w:pPr>
      <w:r w:rsidRPr="00C47E18">
        <w:rPr>
          <w:b/>
          <w:sz w:val="20"/>
          <w:szCs w:val="20"/>
        </w:rPr>
        <w:t>Figure 1</w:t>
      </w:r>
      <w:r w:rsidR="00651794">
        <w:rPr>
          <w:b/>
          <w:sz w:val="20"/>
          <w:szCs w:val="20"/>
        </w:rPr>
        <w:t>7</w:t>
      </w:r>
      <w:r w:rsidRPr="00C47E18">
        <w:rPr>
          <w:b/>
          <w:sz w:val="20"/>
          <w:szCs w:val="20"/>
        </w:rPr>
        <w:t> : Evolution des indicateurs ANJE de 201</w:t>
      </w:r>
      <w:r w:rsidR="00C47E18" w:rsidRPr="00C47E18">
        <w:rPr>
          <w:b/>
          <w:sz w:val="20"/>
          <w:szCs w:val="20"/>
        </w:rPr>
        <w:t>2 à 2016</w:t>
      </w:r>
    </w:p>
    <w:p w14:paraId="41522AA8" w14:textId="4528F7B2" w:rsidR="0096111C" w:rsidRPr="00C47E18" w:rsidRDefault="00354F6F" w:rsidP="009C79D1">
      <w:pPr>
        <w:pStyle w:val="Paragraphedeliste"/>
        <w:numPr>
          <w:ilvl w:val="3"/>
          <w:numId w:val="1"/>
        </w:numPr>
        <w:spacing w:after="0"/>
        <w:jc w:val="both"/>
        <w:rPr>
          <w:rFonts w:ascii="Calibri" w:hAnsi="Calibri"/>
          <w:b/>
          <w:bCs/>
          <w:sz w:val="24"/>
          <w:szCs w:val="24"/>
        </w:rPr>
      </w:pPr>
      <w:r w:rsidRPr="00C47E18">
        <w:rPr>
          <w:rFonts w:ascii="Calibri" w:hAnsi="Calibri"/>
          <w:b/>
          <w:bCs/>
          <w:sz w:val="24"/>
          <w:szCs w:val="24"/>
        </w:rPr>
        <w:t>G</w:t>
      </w:r>
      <w:r w:rsidR="009C79D1" w:rsidRPr="00C47E18">
        <w:rPr>
          <w:rFonts w:ascii="Calibri" w:hAnsi="Calibri"/>
          <w:b/>
          <w:bCs/>
          <w:sz w:val="24"/>
          <w:szCs w:val="24"/>
        </w:rPr>
        <w:t>aps de performances</w:t>
      </w:r>
      <w:r w:rsidRPr="00C47E18">
        <w:rPr>
          <w:rFonts w:ascii="Calibri" w:hAnsi="Calibri"/>
          <w:b/>
          <w:bCs/>
          <w:sz w:val="24"/>
          <w:szCs w:val="24"/>
        </w:rPr>
        <w:t xml:space="preserve"> et leurs causes</w:t>
      </w:r>
    </w:p>
    <w:p w14:paraId="083B3C10" w14:textId="31D2E4F6" w:rsidR="0068623E" w:rsidRDefault="00F83BD5" w:rsidP="00A97663">
      <w:pPr>
        <w:pStyle w:val="Default"/>
        <w:numPr>
          <w:ilvl w:val="0"/>
          <w:numId w:val="42"/>
        </w:numPr>
        <w:spacing w:line="276" w:lineRule="auto"/>
        <w:jc w:val="both"/>
        <w:outlineLvl w:val="1"/>
        <w:rPr>
          <w:rFonts w:ascii="Calibri" w:hAnsi="Calibri"/>
          <w:bCs/>
          <w:i/>
        </w:rPr>
      </w:pPr>
      <w:r>
        <w:rPr>
          <w:rFonts w:ascii="Calibri" w:hAnsi="Calibri"/>
          <w:bCs/>
          <w:i/>
        </w:rPr>
        <w:t>L’offre du paquet de services ANJE</w:t>
      </w:r>
      <w:r w:rsidR="005B4927">
        <w:rPr>
          <w:rFonts w:ascii="Calibri" w:hAnsi="Calibri"/>
          <w:bCs/>
          <w:i/>
        </w:rPr>
        <w:t xml:space="preserve"> est</w:t>
      </w:r>
      <w:r>
        <w:rPr>
          <w:rFonts w:ascii="Calibri" w:hAnsi="Calibri"/>
          <w:bCs/>
          <w:i/>
        </w:rPr>
        <w:t xml:space="preserve"> insuffisante </w:t>
      </w:r>
      <w:r w:rsidR="0068623E" w:rsidRPr="0068623E">
        <w:rPr>
          <w:rFonts w:ascii="Calibri" w:hAnsi="Calibri"/>
          <w:bCs/>
          <w:i/>
        </w:rPr>
        <w:t xml:space="preserve">en termes de </w:t>
      </w:r>
      <w:r w:rsidR="005B4927">
        <w:rPr>
          <w:rFonts w:ascii="Calibri" w:hAnsi="Calibri"/>
          <w:bCs/>
          <w:i/>
        </w:rPr>
        <w:t>complétude</w:t>
      </w:r>
      <w:r w:rsidR="002054EA">
        <w:rPr>
          <w:rFonts w:ascii="Calibri" w:hAnsi="Calibri"/>
          <w:bCs/>
          <w:i/>
        </w:rPr>
        <w:t xml:space="preserve"> et </w:t>
      </w:r>
      <w:r w:rsidR="009817B8">
        <w:rPr>
          <w:rFonts w:ascii="Calibri" w:hAnsi="Calibri"/>
          <w:bCs/>
          <w:i/>
        </w:rPr>
        <w:t>continuité du</w:t>
      </w:r>
      <w:r w:rsidR="005B4927">
        <w:rPr>
          <w:rFonts w:ascii="Calibri" w:hAnsi="Calibri"/>
          <w:bCs/>
          <w:i/>
        </w:rPr>
        <w:t xml:space="preserve"> paquet ANJE</w:t>
      </w:r>
      <w:r>
        <w:rPr>
          <w:rFonts w:ascii="Calibri" w:hAnsi="Calibri"/>
          <w:bCs/>
          <w:i/>
        </w:rPr>
        <w:t xml:space="preserve"> souffre d’une répartition inégale sur le territoire national.</w:t>
      </w:r>
      <w:r w:rsidR="005B4927">
        <w:rPr>
          <w:rFonts w:ascii="Calibri" w:hAnsi="Calibri"/>
          <w:bCs/>
          <w:i/>
        </w:rPr>
        <w:t xml:space="preserve"> </w:t>
      </w:r>
    </w:p>
    <w:p w14:paraId="637BDACC" w14:textId="77777777" w:rsidR="0068623E" w:rsidRDefault="0068623E" w:rsidP="00A97663">
      <w:pPr>
        <w:pStyle w:val="Default"/>
        <w:numPr>
          <w:ilvl w:val="0"/>
          <w:numId w:val="43"/>
        </w:numPr>
        <w:spacing w:line="276" w:lineRule="auto"/>
        <w:jc w:val="both"/>
        <w:outlineLvl w:val="1"/>
        <w:rPr>
          <w:rFonts w:ascii="Calibri" w:hAnsi="Calibri"/>
          <w:bCs/>
        </w:rPr>
      </w:pPr>
      <w:r w:rsidRPr="0068623E">
        <w:rPr>
          <w:rFonts w:ascii="Calibri" w:hAnsi="Calibri"/>
          <w:bCs/>
        </w:rPr>
        <w:t xml:space="preserve">Tout le paquet d’interventions de la stratégie </w:t>
      </w:r>
      <w:r>
        <w:rPr>
          <w:rFonts w:ascii="Calibri" w:hAnsi="Calibri"/>
          <w:bCs/>
        </w:rPr>
        <w:t xml:space="preserve">ANJE </w:t>
      </w:r>
      <w:r w:rsidRPr="0068623E">
        <w:rPr>
          <w:rFonts w:ascii="Calibri" w:hAnsi="Calibri"/>
          <w:bCs/>
        </w:rPr>
        <w:t xml:space="preserve">n’est pas systématiquement mis en œuvre dans sa totalité. </w:t>
      </w:r>
    </w:p>
    <w:p w14:paraId="2185ABAA" w14:textId="77777777" w:rsidR="00F83BD5" w:rsidRDefault="00F83BD5" w:rsidP="00A97663">
      <w:pPr>
        <w:pStyle w:val="Default"/>
        <w:numPr>
          <w:ilvl w:val="0"/>
          <w:numId w:val="43"/>
        </w:numPr>
        <w:spacing w:line="276" w:lineRule="auto"/>
        <w:jc w:val="both"/>
        <w:outlineLvl w:val="1"/>
        <w:rPr>
          <w:rFonts w:ascii="Calibri" w:hAnsi="Calibri"/>
        </w:rPr>
      </w:pPr>
      <w:r>
        <w:rPr>
          <w:rFonts w:ascii="Calibri" w:hAnsi="Calibri"/>
          <w:bCs/>
        </w:rPr>
        <w:t>Pour la prise en charge de la malnutrition aigüe modérée, 10 régions ne sont pas couvertes de manière continue :</w:t>
      </w:r>
      <w:r w:rsidRPr="00F83BD5">
        <w:rPr>
          <w:rFonts w:ascii="Calibri" w:hAnsi="Calibri"/>
        </w:rPr>
        <w:t xml:space="preserve"> </w:t>
      </w:r>
      <w:r>
        <w:rPr>
          <w:rFonts w:ascii="Calibri" w:hAnsi="Calibri"/>
        </w:rPr>
        <w:t>Hauts-Bassins, Centre, Plateau Central, Centre-Est, Centre-Sud, Sud-Ouest, Centre-Ouest, Boucle du Mouhoun, Cascades, Centre-Nord</w:t>
      </w:r>
      <w:r w:rsidR="002054EA">
        <w:rPr>
          <w:rFonts w:ascii="Calibri" w:hAnsi="Calibri"/>
        </w:rPr>
        <w:t>.</w:t>
      </w:r>
    </w:p>
    <w:p w14:paraId="20174D49" w14:textId="77777777" w:rsidR="00993504" w:rsidRDefault="00993504" w:rsidP="00A97663">
      <w:pPr>
        <w:pStyle w:val="Paragraphedeliste"/>
        <w:numPr>
          <w:ilvl w:val="0"/>
          <w:numId w:val="43"/>
        </w:numPr>
        <w:jc w:val="both"/>
        <w:rPr>
          <w:rFonts w:ascii="Calibri" w:hAnsi="Calibri"/>
          <w:sz w:val="24"/>
          <w:szCs w:val="24"/>
        </w:rPr>
      </w:pPr>
      <w:r>
        <w:rPr>
          <w:rFonts w:ascii="Calibri" w:hAnsi="Calibri"/>
          <w:sz w:val="24"/>
          <w:szCs w:val="24"/>
        </w:rPr>
        <w:t xml:space="preserve">Rupture de stock d’intrants : </w:t>
      </w:r>
      <w:bookmarkStart w:id="11" w:name="_Hlk527463799"/>
      <w:r>
        <w:rPr>
          <w:rFonts w:ascii="Calibri" w:hAnsi="Calibri"/>
          <w:sz w:val="24"/>
          <w:szCs w:val="24"/>
        </w:rPr>
        <w:t>aliments thérapeutiques prêts à l’emploi, Vitamines A, Fer, Acide folique, consommables, farines enrichies.</w:t>
      </w:r>
      <w:bookmarkEnd w:id="11"/>
    </w:p>
    <w:p w14:paraId="38FCA9A9" w14:textId="77777777" w:rsidR="00993504" w:rsidRDefault="00993504" w:rsidP="00A97663">
      <w:pPr>
        <w:pStyle w:val="Paragraphedeliste"/>
        <w:numPr>
          <w:ilvl w:val="0"/>
          <w:numId w:val="44"/>
        </w:numPr>
        <w:jc w:val="both"/>
        <w:rPr>
          <w:rFonts w:ascii="Calibri" w:hAnsi="Calibri"/>
          <w:sz w:val="24"/>
          <w:szCs w:val="24"/>
        </w:rPr>
      </w:pPr>
      <w:r>
        <w:rPr>
          <w:rFonts w:ascii="Calibri" w:hAnsi="Calibri"/>
          <w:sz w:val="24"/>
          <w:szCs w:val="24"/>
        </w:rPr>
        <w:t>Faible disponibilité du personnel formé pour la mise en œuvre du Paquet ANJE</w:t>
      </w:r>
      <w:r w:rsidR="00666088">
        <w:rPr>
          <w:rFonts w:ascii="Calibri" w:hAnsi="Calibri"/>
          <w:sz w:val="24"/>
          <w:szCs w:val="24"/>
        </w:rPr>
        <w:t xml:space="preserve"> et en particulier pour </w:t>
      </w:r>
      <w:bookmarkStart w:id="12" w:name="_Hlk527465172"/>
      <w:r w:rsidR="00666088">
        <w:rPr>
          <w:rFonts w:ascii="Calibri" w:hAnsi="Calibri"/>
          <w:sz w:val="24"/>
          <w:szCs w:val="24"/>
        </w:rPr>
        <w:t>la prise en charge de la malnutrition aigüe et la PEC des complications</w:t>
      </w:r>
      <w:bookmarkEnd w:id="12"/>
      <w:r w:rsidR="00666088">
        <w:rPr>
          <w:rFonts w:ascii="Calibri" w:hAnsi="Calibri"/>
          <w:sz w:val="24"/>
          <w:szCs w:val="24"/>
        </w:rPr>
        <w:t> </w:t>
      </w:r>
    </w:p>
    <w:p w14:paraId="50057E74" w14:textId="77777777" w:rsidR="002054EA" w:rsidRPr="002054EA" w:rsidRDefault="002054EA" w:rsidP="00A97663">
      <w:pPr>
        <w:pStyle w:val="Paragraphedeliste"/>
        <w:numPr>
          <w:ilvl w:val="0"/>
          <w:numId w:val="44"/>
        </w:numPr>
        <w:jc w:val="both"/>
        <w:rPr>
          <w:rFonts w:ascii="Calibri" w:hAnsi="Calibri"/>
          <w:sz w:val="24"/>
          <w:szCs w:val="24"/>
        </w:rPr>
      </w:pPr>
      <w:r w:rsidRPr="002054EA">
        <w:rPr>
          <w:rFonts w:ascii="Calibri" w:hAnsi="Calibri"/>
          <w:sz w:val="24"/>
          <w:szCs w:val="24"/>
        </w:rPr>
        <w:t>Insuffisance de supports et de certains documents de référence ou boîtes à images</w:t>
      </w:r>
    </w:p>
    <w:p w14:paraId="7DD0FB9B" w14:textId="77777777" w:rsidR="00734A9A" w:rsidRPr="00734A9A" w:rsidRDefault="002054EA" w:rsidP="00A97663">
      <w:pPr>
        <w:pStyle w:val="Paragraphedeliste"/>
        <w:numPr>
          <w:ilvl w:val="0"/>
          <w:numId w:val="44"/>
        </w:numPr>
        <w:jc w:val="both"/>
        <w:rPr>
          <w:rFonts w:ascii="Calibri" w:hAnsi="Calibri"/>
          <w:sz w:val="24"/>
          <w:szCs w:val="24"/>
        </w:rPr>
      </w:pPr>
      <w:r w:rsidRPr="002054EA">
        <w:rPr>
          <w:rFonts w:ascii="Calibri" w:hAnsi="Calibri"/>
          <w:sz w:val="24"/>
          <w:szCs w:val="24"/>
        </w:rPr>
        <w:t>Insuffisance dans le passage à échelle de la stratégie ANJE surtout au niveau communautaire</w:t>
      </w:r>
      <w:r>
        <w:rPr>
          <w:rFonts w:ascii="Calibri" w:hAnsi="Calibri"/>
          <w:sz w:val="24"/>
          <w:szCs w:val="24"/>
        </w:rPr>
        <w:t>.</w:t>
      </w:r>
    </w:p>
    <w:tbl>
      <w:tblPr>
        <w:tblStyle w:val="Grilledutableau"/>
        <w:tblW w:w="0" w:type="auto"/>
        <w:tblLook w:val="04A0" w:firstRow="1" w:lastRow="0" w:firstColumn="1" w:lastColumn="0" w:noHBand="0" w:noVBand="1"/>
      </w:tblPr>
      <w:tblGrid>
        <w:gridCol w:w="9062"/>
      </w:tblGrid>
      <w:tr w:rsidR="00734A9A" w14:paraId="31494151" w14:textId="77777777" w:rsidTr="00734A9A">
        <w:tc>
          <w:tcPr>
            <w:tcW w:w="9062" w:type="dxa"/>
          </w:tcPr>
          <w:p w14:paraId="555176D9" w14:textId="01F640CC" w:rsidR="00734A9A" w:rsidRDefault="000077E3" w:rsidP="00734A9A">
            <w:pPr>
              <w:jc w:val="both"/>
              <w:rPr>
                <w:rFonts w:ascii="Calibri" w:hAnsi="Calibri"/>
                <w:sz w:val="24"/>
                <w:szCs w:val="24"/>
              </w:rPr>
            </w:pPr>
            <w:r w:rsidRPr="00C47E18">
              <w:rPr>
                <w:rFonts w:ascii="Calibri" w:hAnsi="Calibri" w:cs="Arial"/>
                <w:b/>
              </w:rPr>
              <w:t>Figure</w:t>
            </w:r>
            <w:r w:rsidR="00C47E18">
              <w:rPr>
                <w:rFonts w:ascii="Calibri" w:hAnsi="Calibri" w:cs="Arial"/>
                <w:b/>
              </w:rPr>
              <w:t xml:space="preserve"> 1</w:t>
            </w:r>
            <w:r w:rsidR="00651794">
              <w:rPr>
                <w:rFonts w:ascii="Calibri" w:hAnsi="Calibri" w:cs="Arial"/>
                <w:b/>
              </w:rPr>
              <w:t>8</w:t>
            </w:r>
            <w:r w:rsidRPr="00C47E18">
              <w:rPr>
                <w:rFonts w:ascii="Calibri" w:hAnsi="Calibri" w:cs="Arial"/>
                <w:b/>
              </w:rPr>
              <w:t> :</w:t>
            </w:r>
            <w:r w:rsidRPr="00D94534">
              <w:rPr>
                <w:rFonts w:ascii="Calibri" w:hAnsi="Calibri" w:cs="Arial"/>
                <w:b/>
              </w:rPr>
              <w:t xml:space="preserve"> Analyse de la performance des services  de nutrition à l’aide de l’outil PHCPI (Gaps)</w:t>
            </w:r>
            <w:r w:rsidR="00734A9A" w:rsidRPr="00D94534">
              <w:rPr>
                <w:rFonts w:ascii="Calibri" w:hAnsi="Calibri"/>
                <w:b/>
                <w:noProof/>
                <w:highlight w:val="yellow"/>
                <w:lang w:eastAsia="fr-FR"/>
              </w:rPr>
              <w:drawing>
                <wp:anchor distT="11240" distB="8946" distL="125360" distR="126828" simplePos="0" relativeHeight="251712512" behindDoc="1" locked="0" layoutInCell="1" allowOverlap="1" wp14:anchorId="455AA813" wp14:editId="41EECAC7">
                  <wp:simplePos x="0" y="0"/>
                  <wp:positionH relativeFrom="margin">
                    <wp:posOffset>28575</wp:posOffset>
                  </wp:positionH>
                  <wp:positionV relativeFrom="margin">
                    <wp:posOffset>16510</wp:posOffset>
                  </wp:positionV>
                  <wp:extent cx="5417185" cy="1483360"/>
                  <wp:effectExtent l="0" t="0" r="12065" b="2540"/>
                  <wp:wrapThrough wrapText="bothSides">
                    <wp:wrapPolygon edited="0">
                      <wp:start x="0" y="0"/>
                      <wp:lineTo x="0" y="21360"/>
                      <wp:lineTo x="21572" y="21360"/>
                      <wp:lineTo x="21572" y="0"/>
                      <wp:lineTo x="0" y="0"/>
                    </wp:wrapPolygon>
                  </wp:wrapThrough>
                  <wp:docPr id="22" name="Graphique 2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14:sizeRelH relativeFrom="page">
                    <wp14:pctWidth>0</wp14:pctWidth>
                  </wp14:sizeRelH>
                  <wp14:sizeRelV relativeFrom="page">
                    <wp14:pctHeight>0</wp14:pctHeight>
                  </wp14:sizeRelV>
                </wp:anchor>
              </w:drawing>
            </w:r>
          </w:p>
        </w:tc>
      </w:tr>
    </w:tbl>
    <w:p w14:paraId="625B9C23" w14:textId="77777777" w:rsidR="002054EA" w:rsidRPr="000F2728" w:rsidRDefault="002054EA" w:rsidP="00A97663">
      <w:pPr>
        <w:pStyle w:val="Paragraphedeliste"/>
        <w:numPr>
          <w:ilvl w:val="0"/>
          <w:numId w:val="42"/>
        </w:numPr>
        <w:spacing w:before="240" w:after="0"/>
        <w:jc w:val="both"/>
        <w:rPr>
          <w:rFonts w:ascii="Calibri" w:hAnsi="Calibri"/>
          <w:i/>
          <w:sz w:val="24"/>
          <w:szCs w:val="24"/>
        </w:rPr>
      </w:pPr>
      <w:r w:rsidRPr="000F2728">
        <w:rPr>
          <w:rFonts w:ascii="Calibri" w:hAnsi="Calibri"/>
          <w:i/>
          <w:sz w:val="24"/>
          <w:szCs w:val="24"/>
        </w:rPr>
        <w:t>La demande est entravée par un certain nombre de barrières</w:t>
      </w:r>
    </w:p>
    <w:p w14:paraId="6F81D124" w14:textId="77777777" w:rsidR="002054EA" w:rsidRDefault="002054EA" w:rsidP="00A97663">
      <w:pPr>
        <w:pStyle w:val="Paragraphedeliste"/>
        <w:numPr>
          <w:ilvl w:val="0"/>
          <w:numId w:val="45"/>
        </w:numPr>
        <w:jc w:val="both"/>
        <w:rPr>
          <w:rFonts w:ascii="Calibri" w:hAnsi="Calibri"/>
          <w:sz w:val="24"/>
          <w:szCs w:val="24"/>
        </w:rPr>
      </w:pPr>
      <w:r>
        <w:rPr>
          <w:rFonts w:ascii="Calibri" w:hAnsi="Calibri"/>
          <w:sz w:val="24"/>
          <w:szCs w:val="24"/>
        </w:rPr>
        <w:t>Obstacle géographique (insuffisance des centres dans un rayon de 5 Km</w:t>
      </w:r>
    </w:p>
    <w:p w14:paraId="62413787" w14:textId="77777777" w:rsidR="00993504" w:rsidRDefault="00993504" w:rsidP="00A97663">
      <w:pPr>
        <w:pStyle w:val="Paragraphedeliste"/>
        <w:numPr>
          <w:ilvl w:val="0"/>
          <w:numId w:val="45"/>
        </w:numPr>
        <w:jc w:val="both"/>
        <w:rPr>
          <w:rFonts w:ascii="Calibri" w:hAnsi="Calibri"/>
          <w:sz w:val="24"/>
          <w:szCs w:val="24"/>
        </w:rPr>
      </w:pPr>
      <w:r>
        <w:rPr>
          <w:rFonts w:ascii="Calibri" w:hAnsi="Calibri"/>
          <w:sz w:val="24"/>
          <w:szCs w:val="24"/>
        </w:rPr>
        <w:lastRenderedPageBreak/>
        <w:t xml:space="preserve">Opportunité ratées à cause du faible taux de CPN4 et </w:t>
      </w:r>
    </w:p>
    <w:p w14:paraId="7AFC3425" w14:textId="77777777" w:rsidR="002054EA" w:rsidRPr="002054EA" w:rsidRDefault="002054EA" w:rsidP="00A97663">
      <w:pPr>
        <w:pStyle w:val="Paragraphedeliste"/>
        <w:numPr>
          <w:ilvl w:val="0"/>
          <w:numId w:val="45"/>
        </w:numPr>
        <w:jc w:val="both"/>
        <w:rPr>
          <w:rFonts w:ascii="Calibri" w:hAnsi="Calibri"/>
          <w:sz w:val="24"/>
          <w:szCs w:val="24"/>
        </w:rPr>
      </w:pPr>
      <w:r>
        <w:rPr>
          <w:rFonts w:ascii="Calibri" w:hAnsi="Calibri"/>
          <w:sz w:val="24"/>
          <w:szCs w:val="24"/>
        </w:rPr>
        <w:t>Barrières financières : paiements indirects, coût des déplacements</w:t>
      </w:r>
    </w:p>
    <w:p w14:paraId="3869642E" w14:textId="77777777" w:rsidR="002054EA" w:rsidRDefault="002054EA" w:rsidP="00A97663">
      <w:pPr>
        <w:pStyle w:val="Paragraphedeliste"/>
        <w:numPr>
          <w:ilvl w:val="0"/>
          <w:numId w:val="45"/>
        </w:numPr>
        <w:jc w:val="both"/>
        <w:rPr>
          <w:rFonts w:ascii="Calibri" w:hAnsi="Calibri"/>
          <w:sz w:val="24"/>
          <w:szCs w:val="24"/>
        </w:rPr>
      </w:pPr>
      <w:r>
        <w:rPr>
          <w:rFonts w:ascii="Calibri" w:hAnsi="Calibri"/>
          <w:sz w:val="24"/>
          <w:szCs w:val="24"/>
        </w:rPr>
        <w:t>Information insuffisante sur la disponibilité et l’utilité des services ANJE</w:t>
      </w:r>
    </w:p>
    <w:p w14:paraId="3E35128D" w14:textId="77777777" w:rsidR="00993504" w:rsidRDefault="00993504" w:rsidP="00A97663">
      <w:pPr>
        <w:pStyle w:val="Paragraphedeliste"/>
        <w:numPr>
          <w:ilvl w:val="0"/>
          <w:numId w:val="45"/>
        </w:numPr>
        <w:jc w:val="both"/>
        <w:rPr>
          <w:rFonts w:ascii="Calibri" w:hAnsi="Calibri"/>
          <w:sz w:val="24"/>
          <w:szCs w:val="24"/>
        </w:rPr>
      </w:pPr>
      <w:r>
        <w:rPr>
          <w:rFonts w:ascii="Calibri" w:hAnsi="Calibri"/>
          <w:sz w:val="24"/>
          <w:szCs w:val="24"/>
        </w:rPr>
        <w:t>Barrières socio-culturelles : pouvoir de décision limité de la mère pour envoyer l’enfant, eau /tisanes de bienvenue au lieu de l’AME, Rejet du colostrum, exclusion de certains aliments (Œuf)</w:t>
      </w:r>
    </w:p>
    <w:p w14:paraId="15157CE6" w14:textId="77777777" w:rsidR="002054EA" w:rsidRDefault="002054EA" w:rsidP="00A97663">
      <w:pPr>
        <w:pStyle w:val="Paragraphedeliste"/>
        <w:numPr>
          <w:ilvl w:val="0"/>
          <w:numId w:val="45"/>
        </w:numPr>
        <w:jc w:val="both"/>
        <w:rPr>
          <w:rFonts w:ascii="Calibri" w:hAnsi="Calibri"/>
          <w:sz w:val="24"/>
          <w:szCs w:val="24"/>
        </w:rPr>
      </w:pPr>
      <w:r>
        <w:rPr>
          <w:rFonts w:ascii="Calibri" w:hAnsi="Calibri"/>
          <w:sz w:val="24"/>
          <w:szCs w:val="24"/>
        </w:rPr>
        <w:t>Taux d’abandon élevé</w:t>
      </w:r>
    </w:p>
    <w:p w14:paraId="74653694" w14:textId="77777777" w:rsidR="00993504" w:rsidRPr="00993504" w:rsidRDefault="00993504" w:rsidP="00A97663">
      <w:pPr>
        <w:pStyle w:val="Paragraphedeliste"/>
        <w:numPr>
          <w:ilvl w:val="0"/>
          <w:numId w:val="45"/>
        </w:numPr>
        <w:spacing w:after="0"/>
        <w:jc w:val="both"/>
        <w:rPr>
          <w:sz w:val="24"/>
          <w:szCs w:val="24"/>
        </w:rPr>
      </w:pPr>
      <w:r w:rsidRPr="00993504">
        <w:rPr>
          <w:sz w:val="24"/>
          <w:szCs w:val="24"/>
        </w:rPr>
        <w:t>Les niveaux faibles de couverture faible en CPN4 (38%) et celui des GASPA, constituent autant d’opportunités manquées de promotion.</w:t>
      </w:r>
    </w:p>
    <w:p w14:paraId="69EBC05A" w14:textId="77777777" w:rsidR="00993504" w:rsidRPr="000F2728" w:rsidRDefault="00666088" w:rsidP="00A97663">
      <w:pPr>
        <w:pStyle w:val="Paragraphedeliste"/>
        <w:numPr>
          <w:ilvl w:val="0"/>
          <w:numId w:val="42"/>
        </w:numPr>
        <w:spacing w:after="0"/>
        <w:jc w:val="both"/>
        <w:rPr>
          <w:rFonts w:ascii="Calibri" w:hAnsi="Calibri"/>
          <w:i/>
          <w:sz w:val="24"/>
          <w:szCs w:val="24"/>
        </w:rPr>
      </w:pPr>
      <w:r w:rsidRPr="000F2728">
        <w:rPr>
          <w:rFonts w:ascii="Calibri" w:hAnsi="Calibri"/>
          <w:i/>
          <w:sz w:val="24"/>
          <w:szCs w:val="24"/>
        </w:rPr>
        <w:t>L’offre de services ANJE est de qualité insuffisante</w:t>
      </w:r>
    </w:p>
    <w:p w14:paraId="143F2ED0" w14:textId="77777777" w:rsidR="00666088" w:rsidRDefault="00666088" w:rsidP="00A97663">
      <w:pPr>
        <w:pStyle w:val="Paragraphedeliste"/>
        <w:numPr>
          <w:ilvl w:val="0"/>
          <w:numId w:val="46"/>
        </w:numPr>
        <w:jc w:val="both"/>
        <w:rPr>
          <w:rFonts w:ascii="Calibri" w:hAnsi="Calibri"/>
          <w:sz w:val="24"/>
          <w:szCs w:val="24"/>
        </w:rPr>
      </w:pPr>
      <w:r>
        <w:rPr>
          <w:rFonts w:ascii="Calibri" w:hAnsi="Calibri"/>
          <w:sz w:val="24"/>
          <w:szCs w:val="24"/>
        </w:rPr>
        <w:t>Les guides de protocoles, ordinogramme, manquent souvent et ne sont pas toujours suivis lorsqu’ils sont disponibles.</w:t>
      </w:r>
    </w:p>
    <w:p w14:paraId="56F3AD8A" w14:textId="39C2F39D" w:rsidR="00666088" w:rsidRPr="00D81C34" w:rsidRDefault="00666088" w:rsidP="00A97663">
      <w:pPr>
        <w:pStyle w:val="Paragraphedeliste"/>
        <w:numPr>
          <w:ilvl w:val="0"/>
          <w:numId w:val="46"/>
        </w:numPr>
        <w:jc w:val="both"/>
        <w:rPr>
          <w:rFonts w:ascii="Calibri" w:hAnsi="Calibri"/>
          <w:sz w:val="24"/>
          <w:szCs w:val="24"/>
        </w:rPr>
      </w:pPr>
      <w:r>
        <w:rPr>
          <w:rFonts w:ascii="Calibri" w:hAnsi="Calibri"/>
          <w:sz w:val="24"/>
          <w:szCs w:val="24"/>
        </w:rPr>
        <w:t xml:space="preserve">Les Groupes communautaires </w:t>
      </w:r>
      <w:r w:rsidRPr="00D81C34">
        <w:rPr>
          <w:rFonts w:ascii="Calibri" w:hAnsi="Calibri"/>
          <w:sz w:val="24"/>
          <w:szCs w:val="24"/>
        </w:rPr>
        <w:t>ne r</w:t>
      </w:r>
      <w:r>
        <w:rPr>
          <w:rFonts w:ascii="Calibri" w:hAnsi="Calibri"/>
          <w:sz w:val="24"/>
          <w:szCs w:val="24"/>
        </w:rPr>
        <w:t xml:space="preserve">espectent pas le nombre fixé par les normes.  </w:t>
      </w:r>
    </w:p>
    <w:p w14:paraId="5D556803" w14:textId="77777777" w:rsidR="00666088" w:rsidRPr="00BF1D6D" w:rsidRDefault="00666088" w:rsidP="00A97663">
      <w:pPr>
        <w:pStyle w:val="Paragraphedeliste"/>
        <w:numPr>
          <w:ilvl w:val="0"/>
          <w:numId w:val="47"/>
        </w:numPr>
        <w:spacing w:after="0"/>
        <w:jc w:val="both"/>
        <w:rPr>
          <w:rFonts w:ascii="Calibri" w:hAnsi="Calibri"/>
          <w:i/>
          <w:sz w:val="24"/>
          <w:szCs w:val="24"/>
        </w:rPr>
      </w:pPr>
      <w:r w:rsidRPr="00BF1D6D">
        <w:rPr>
          <w:rFonts w:ascii="Calibri" w:hAnsi="Calibri"/>
          <w:i/>
          <w:sz w:val="24"/>
          <w:szCs w:val="24"/>
        </w:rPr>
        <w:t>Quelques goulots d’étranglement observés au niveau de l’environnement de la mise en œuvre du paquet ANJE</w:t>
      </w:r>
    </w:p>
    <w:p w14:paraId="308435F9" w14:textId="77777777" w:rsidR="00666088" w:rsidRDefault="00666088" w:rsidP="00A97663">
      <w:pPr>
        <w:pStyle w:val="Paragraphedeliste"/>
        <w:numPr>
          <w:ilvl w:val="0"/>
          <w:numId w:val="48"/>
        </w:numPr>
        <w:jc w:val="both"/>
        <w:rPr>
          <w:rFonts w:ascii="Calibri" w:hAnsi="Calibri"/>
          <w:sz w:val="24"/>
          <w:szCs w:val="24"/>
        </w:rPr>
      </w:pPr>
      <w:r>
        <w:rPr>
          <w:rFonts w:ascii="Calibri" w:hAnsi="Calibri"/>
          <w:sz w:val="24"/>
          <w:szCs w:val="24"/>
        </w:rPr>
        <w:t>Insuffisance de financement des interventions de la part de l’état</w:t>
      </w:r>
    </w:p>
    <w:p w14:paraId="5B176719" w14:textId="77777777" w:rsidR="00666088" w:rsidRDefault="00666088" w:rsidP="00A97663">
      <w:pPr>
        <w:pStyle w:val="Paragraphedeliste"/>
        <w:numPr>
          <w:ilvl w:val="0"/>
          <w:numId w:val="48"/>
        </w:numPr>
        <w:spacing w:after="0"/>
        <w:jc w:val="both"/>
        <w:rPr>
          <w:rFonts w:ascii="Calibri" w:hAnsi="Calibri"/>
          <w:sz w:val="24"/>
          <w:szCs w:val="24"/>
        </w:rPr>
      </w:pPr>
      <w:r>
        <w:rPr>
          <w:rFonts w:ascii="Calibri" w:hAnsi="Calibri"/>
          <w:sz w:val="24"/>
          <w:szCs w:val="24"/>
        </w:rPr>
        <w:t>Insuffisance de la coordination intra et intersectorielle</w:t>
      </w:r>
    </w:p>
    <w:p w14:paraId="2BDB1B86" w14:textId="77777777" w:rsidR="00666088" w:rsidRDefault="00666088" w:rsidP="00A97663">
      <w:pPr>
        <w:pStyle w:val="Paragraphedeliste"/>
        <w:numPr>
          <w:ilvl w:val="0"/>
          <w:numId w:val="48"/>
        </w:numPr>
        <w:spacing w:after="0"/>
        <w:jc w:val="both"/>
        <w:rPr>
          <w:rFonts w:ascii="Calibri" w:hAnsi="Calibri"/>
          <w:sz w:val="24"/>
          <w:szCs w:val="24"/>
        </w:rPr>
      </w:pPr>
      <w:r>
        <w:rPr>
          <w:rFonts w:ascii="Calibri" w:hAnsi="Calibri"/>
          <w:sz w:val="24"/>
          <w:szCs w:val="24"/>
        </w:rPr>
        <w:t>Non-respect du code de commercialisation des substituts du lait maternel</w:t>
      </w:r>
    </w:p>
    <w:p w14:paraId="090E7FFE" w14:textId="4702E8E3" w:rsidR="00CF7C04" w:rsidRDefault="00666088" w:rsidP="00A97663">
      <w:pPr>
        <w:pStyle w:val="Paragraphedeliste"/>
        <w:numPr>
          <w:ilvl w:val="0"/>
          <w:numId w:val="48"/>
        </w:numPr>
        <w:jc w:val="both"/>
        <w:rPr>
          <w:rFonts w:ascii="Calibri" w:hAnsi="Calibri"/>
          <w:sz w:val="24"/>
          <w:szCs w:val="24"/>
        </w:rPr>
      </w:pPr>
      <w:r>
        <w:rPr>
          <w:rFonts w:ascii="Calibri" w:hAnsi="Calibri"/>
          <w:sz w:val="24"/>
          <w:szCs w:val="24"/>
        </w:rPr>
        <w:t xml:space="preserve">Fonctionnement non optimal du </w:t>
      </w:r>
      <w:r w:rsidRPr="00052FAA">
        <w:rPr>
          <w:rFonts w:ascii="Calibri" w:hAnsi="Calibri"/>
          <w:sz w:val="24"/>
          <w:szCs w:val="24"/>
        </w:rPr>
        <w:t xml:space="preserve">Conseil national de nutrition </w:t>
      </w:r>
      <w:r>
        <w:rPr>
          <w:rFonts w:ascii="Calibri" w:hAnsi="Calibri"/>
          <w:sz w:val="24"/>
          <w:szCs w:val="24"/>
        </w:rPr>
        <w:t>(pas de groupes thématiques multisectoriel (EF)</w:t>
      </w:r>
      <w:r w:rsidR="00C47E18">
        <w:rPr>
          <w:rFonts w:ascii="Calibri" w:hAnsi="Calibri"/>
          <w:sz w:val="24"/>
          <w:szCs w:val="24"/>
        </w:rPr>
        <w:t>.</w:t>
      </w:r>
    </w:p>
    <w:p w14:paraId="55AD1C1D" w14:textId="77777777" w:rsidR="00CF7C04" w:rsidRPr="00CF7C04" w:rsidRDefault="00CF7C04" w:rsidP="00CF7C04">
      <w:pPr>
        <w:pStyle w:val="Paragraphedeliste"/>
        <w:jc w:val="both"/>
        <w:rPr>
          <w:rFonts w:ascii="Calibri" w:hAnsi="Calibri"/>
          <w:sz w:val="24"/>
          <w:szCs w:val="24"/>
        </w:rPr>
      </w:pPr>
    </w:p>
    <w:p w14:paraId="1C9C3640" w14:textId="77777777" w:rsidR="00CF7C04" w:rsidRPr="00BF1D6D" w:rsidRDefault="00CF7C04" w:rsidP="00CF7C04">
      <w:pPr>
        <w:pStyle w:val="Paragraphedeliste"/>
        <w:numPr>
          <w:ilvl w:val="1"/>
          <w:numId w:val="1"/>
        </w:numPr>
        <w:spacing w:after="0" w:line="360" w:lineRule="auto"/>
        <w:jc w:val="both"/>
        <w:rPr>
          <w:b/>
          <w:sz w:val="24"/>
          <w:szCs w:val="24"/>
        </w:rPr>
      </w:pPr>
      <w:r w:rsidRPr="00BF1D6D">
        <w:rPr>
          <w:b/>
          <w:sz w:val="24"/>
          <w:szCs w:val="24"/>
        </w:rPr>
        <w:t>ENVIRONNEMENT DE LA MISE EN ŒUVRE DU PAQUET SRMNEA-N et ECSV</w:t>
      </w:r>
    </w:p>
    <w:p w14:paraId="2FDA0666" w14:textId="77777777" w:rsidR="00CF7C04" w:rsidRPr="00466DE6" w:rsidRDefault="00CF7C04" w:rsidP="00466DE6">
      <w:pPr>
        <w:spacing w:after="0"/>
        <w:jc w:val="both"/>
        <w:rPr>
          <w:sz w:val="24"/>
          <w:szCs w:val="24"/>
        </w:rPr>
      </w:pPr>
      <w:r w:rsidRPr="00466DE6">
        <w:rPr>
          <w:sz w:val="24"/>
          <w:szCs w:val="24"/>
        </w:rPr>
        <w:t>L’analyse de l’environnement de la mise en œuvre du paquet SRMNEA-N et ECSV portera sur l’appui du Système de santé (ressources humaines, la disponibilité et utilisation des services de santé, le financement, l’information sanitaire, la gouvernance, les prestations de services) et sur les déterminants de la santé.</w:t>
      </w:r>
    </w:p>
    <w:p w14:paraId="5A344607" w14:textId="77777777" w:rsidR="00CF7C04" w:rsidRPr="00466DE6" w:rsidRDefault="00CF7C04" w:rsidP="00466DE6">
      <w:pPr>
        <w:spacing w:after="0"/>
        <w:jc w:val="both"/>
        <w:rPr>
          <w:b/>
          <w:sz w:val="24"/>
          <w:szCs w:val="24"/>
        </w:rPr>
      </w:pPr>
      <w:r w:rsidRPr="00466DE6">
        <w:rPr>
          <w:b/>
          <w:sz w:val="24"/>
          <w:szCs w:val="24"/>
        </w:rPr>
        <w:t>LA DISPONIBILITE ET UTILISATION DES SERVICES DE SANTE</w:t>
      </w:r>
    </w:p>
    <w:p w14:paraId="226F659E" w14:textId="77777777" w:rsidR="00CF7C04" w:rsidRPr="00466DE6" w:rsidRDefault="00CF7C04" w:rsidP="00466DE6">
      <w:pPr>
        <w:spacing w:after="0"/>
        <w:jc w:val="both"/>
        <w:rPr>
          <w:sz w:val="24"/>
          <w:szCs w:val="24"/>
        </w:rPr>
      </w:pPr>
      <w:r w:rsidRPr="00466DE6">
        <w:rPr>
          <w:sz w:val="24"/>
          <w:szCs w:val="24"/>
        </w:rPr>
        <w:t>Les éléments d’appréciation de la disponibilité des services de santé portent sur les infrastructures sanitaires, les équipements et les ressources humaines. L’utilisation des services de santé est appréciée à travers la fréquentation des formations sanitaires par la population (exemples consultations externes, hospitalisation….).</w:t>
      </w:r>
    </w:p>
    <w:p w14:paraId="269A2788" w14:textId="77777777" w:rsidR="00CF7C04" w:rsidRPr="00BF1D6D" w:rsidRDefault="00CF7C04" w:rsidP="00CF7C04">
      <w:pPr>
        <w:pStyle w:val="Paragraphedeliste"/>
        <w:numPr>
          <w:ilvl w:val="2"/>
          <w:numId w:val="1"/>
        </w:numPr>
        <w:spacing w:after="0"/>
        <w:jc w:val="both"/>
        <w:rPr>
          <w:sz w:val="24"/>
          <w:szCs w:val="24"/>
        </w:rPr>
      </w:pPr>
      <w:r w:rsidRPr="00BF1D6D">
        <w:rPr>
          <w:sz w:val="24"/>
          <w:szCs w:val="24"/>
        </w:rPr>
        <w:t>RESSOURCES HUMAINES</w:t>
      </w:r>
    </w:p>
    <w:p w14:paraId="02EB4AAD" w14:textId="77777777" w:rsidR="00CF7C04" w:rsidRPr="00BF1D6D" w:rsidRDefault="00CF7C04" w:rsidP="00CF7C04">
      <w:pPr>
        <w:pStyle w:val="Paragraphedeliste"/>
        <w:numPr>
          <w:ilvl w:val="3"/>
          <w:numId w:val="1"/>
        </w:numPr>
        <w:spacing w:after="0"/>
        <w:jc w:val="both"/>
        <w:rPr>
          <w:b/>
          <w:sz w:val="24"/>
          <w:szCs w:val="24"/>
        </w:rPr>
      </w:pPr>
      <w:r w:rsidRPr="00BF1D6D">
        <w:rPr>
          <w:b/>
          <w:sz w:val="24"/>
          <w:szCs w:val="24"/>
        </w:rPr>
        <w:t>Performances</w:t>
      </w:r>
    </w:p>
    <w:p w14:paraId="69ED1F93" w14:textId="7086C0BA" w:rsidR="00CF7C04" w:rsidRPr="00CF7C04" w:rsidRDefault="00CF7C04" w:rsidP="00CF7C04">
      <w:pPr>
        <w:spacing w:after="0"/>
        <w:jc w:val="both"/>
        <w:rPr>
          <w:sz w:val="24"/>
          <w:szCs w:val="24"/>
        </w:rPr>
      </w:pPr>
      <w:r>
        <w:rPr>
          <w:sz w:val="24"/>
          <w:szCs w:val="24"/>
        </w:rPr>
        <w:t xml:space="preserve">En 2017, l’effectif se chiffrait à 23 000 personnels de santé. Au cours des 5 dernières années, exception faite de la catégorie Infirmiers brevetés qui a connu un taux d’accroissement moyen annuel (TAMA) de -6%, toutes les autres catégories ont connu un TAMA positif évoluant entre 3% pour les Pharmaciens à 20% pour les sages-femmes/maïeuticiens d’état. </w:t>
      </w:r>
    </w:p>
    <w:p w14:paraId="48E13F37" w14:textId="77777777" w:rsidR="00CF7C04" w:rsidRPr="009977DE" w:rsidRDefault="00CF7C04" w:rsidP="00CF7C04">
      <w:pPr>
        <w:pStyle w:val="Default"/>
        <w:spacing w:line="276" w:lineRule="auto"/>
        <w:jc w:val="both"/>
        <w:rPr>
          <w:rFonts w:ascii="Calibri" w:hAnsi="Calibri"/>
        </w:rPr>
      </w:pPr>
      <w:r w:rsidRPr="009977DE">
        <w:rPr>
          <w:rFonts w:ascii="Calibri" w:hAnsi="Calibri"/>
        </w:rPr>
        <w:t xml:space="preserve">La densité de professionnel de santé (7 professionnels de santé pour 10 000 habitants) est considérablement inférieure aux 23 travailleurs de la santé préconisés par l’OMS. </w:t>
      </w:r>
    </w:p>
    <w:p w14:paraId="044301A4" w14:textId="77777777" w:rsidR="00CF7C04" w:rsidRDefault="00CF7C04" w:rsidP="00CF7C04">
      <w:pPr>
        <w:spacing w:after="0"/>
        <w:jc w:val="both"/>
        <w:rPr>
          <w:rFonts w:ascii="Calibri" w:hAnsi="Calibri"/>
          <w:sz w:val="24"/>
          <w:szCs w:val="24"/>
        </w:rPr>
      </w:pPr>
      <w:r w:rsidRPr="009977DE">
        <w:rPr>
          <w:rFonts w:ascii="Calibri" w:hAnsi="Calibri"/>
          <w:sz w:val="24"/>
          <w:szCs w:val="24"/>
        </w:rPr>
        <w:t>Les écarts entre régions sont considérables allant de 1,83 pour la Région du Nord à 12,22 pour 10 000 habitants pour la région du Centre.</w:t>
      </w:r>
    </w:p>
    <w:p w14:paraId="19A2B032" w14:textId="58CD9199" w:rsidR="00CF7C04" w:rsidRPr="00BF1D6D" w:rsidRDefault="00CF7C04" w:rsidP="00CF7C04">
      <w:pPr>
        <w:pStyle w:val="Paragraphedeliste"/>
        <w:numPr>
          <w:ilvl w:val="3"/>
          <w:numId w:val="1"/>
        </w:numPr>
        <w:spacing w:after="0"/>
        <w:jc w:val="both"/>
        <w:rPr>
          <w:rFonts w:ascii="Calibri" w:hAnsi="Calibri"/>
          <w:b/>
          <w:sz w:val="24"/>
          <w:szCs w:val="24"/>
        </w:rPr>
      </w:pPr>
      <w:r w:rsidRPr="00BF1D6D">
        <w:rPr>
          <w:rFonts w:ascii="Calibri" w:hAnsi="Calibri"/>
          <w:b/>
          <w:sz w:val="24"/>
          <w:szCs w:val="24"/>
        </w:rPr>
        <w:lastRenderedPageBreak/>
        <w:t>G</w:t>
      </w:r>
      <w:r>
        <w:rPr>
          <w:rFonts w:ascii="Calibri" w:hAnsi="Calibri"/>
          <w:b/>
          <w:sz w:val="24"/>
          <w:szCs w:val="24"/>
        </w:rPr>
        <w:t>aps de performances</w:t>
      </w:r>
    </w:p>
    <w:p w14:paraId="114E29CF" w14:textId="77777777" w:rsidR="00CF7C04" w:rsidRPr="00BF1D6D" w:rsidRDefault="00CF7C04" w:rsidP="00A97663">
      <w:pPr>
        <w:pStyle w:val="Paragraphedeliste"/>
        <w:numPr>
          <w:ilvl w:val="0"/>
          <w:numId w:val="13"/>
        </w:numPr>
        <w:spacing w:after="0"/>
        <w:jc w:val="both"/>
        <w:rPr>
          <w:rFonts w:ascii="Calibri" w:hAnsi="Calibri"/>
          <w:i/>
          <w:sz w:val="24"/>
          <w:szCs w:val="24"/>
        </w:rPr>
      </w:pPr>
      <w:r w:rsidRPr="00BF1D6D">
        <w:rPr>
          <w:rFonts w:ascii="Calibri" w:hAnsi="Calibri"/>
          <w:i/>
          <w:sz w:val="24"/>
          <w:szCs w:val="24"/>
        </w:rPr>
        <w:t xml:space="preserve">Les effectifs du personnel de santé restent insuffisants </w:t>
      </w:r>
    </w:p>
    <w:p w14:paraId="7EA6B426" w14:textId="77777777" w:rsidR="00CF7C04" w:rsidRPr="003213C9" w:rsidRDefault="00CF7C04" w:rsidP="00CF7C04">
      <w:pPr>
        <w:pStyle w:val="Paragraphedeliste"/>
        <w:spacing w:after="0"/>
        <w:ind w:left="360"/>
        <w:jc w:val="both"/>
        <w:rPr>
          <w:rFonts w:ascii="Calibri" w:hAnsi="Calibri"/>
          <w:sz w:val="24"/>
          <w:szCs w:val="24"/>
        </w:rPr>
      </w:pPr>
      <w:r w:rsidRPr="003213C9">
        <w:rPr>
          <w:rFonts w:ascii="Calibri" w:hAnsi="Calibri"/>
          <w:sz w:val="24"/>
          <w:szCs w:val="24"/>
        </w:rPr>
        <w:t>Malgré les progrès, les effectifs du personnel de santé restent insuffisants par rapport aux normes OMS et sont inégalement répartis sur le territoire national.</w:t>
      </w:r>
    </w:p>
    <w:p w14:paraId="5C5A20B8" w14:textId="77777777" w:rsidR="00CF7C04" w:rsidRPr="00BF1D6D" w:rsidRDefault="00CF7C04" w:rsidP="00A97663">
      <w:pPr>
        <w:pStyle w:val="Paragraphedeliste"/>
        <w:numPr>
          <w:ilvl w:val="0"/>
          <w:numId w:val="13"/>
        </w:numPr>
        <w:spacing w:after="0"/>
        <w:jc w:val="both"/>
        <w:rPr>
          <w:rFonts w:ascii="Calibri" w:hAnsi="Calibri"/>
          <w:i/>
          <w:sz w:val="24"/>
          <w:szCs w:val="24"/>
        </w:rPr>
      </w:pPr>
      <w:r w:rsidRPr="00BF1D6D">
        <w:rPr>
          <w:rFonts w:ascii="Calibri" w:hAnsi="Calibri"/>
          <w:i/>
          <w:sz w:val="24"/>
          <w:szCs w:val="24"/>
        </w:rPr>
        <w:t>La disponibilité du personnel compétent, directement opérationnel dès la sortie des écoles de formation et motivé est faible.</w:t>
      </w:r>
    </w:p>
    <w:p w14:paraId="69A8348C" w14:textId="15A4116F" w:rsidR="00CF7C04" w:rsidRDefault="00CF7C04" w:rsidP="00A97663">
      <w:pPr>
        <w:pStyle w:val="Paragraphedeliste"/>
        <w:numPr>
          <w:ilvl w:val="0"/>
          <w:numId w:val="13"/>
        </w:numPr>
        <w:jc w:val="both"/>
        <w:rPr>
          <w:rFonts w:ascii="Calibri" w:hAnsi="Calibri"/>
          <w:i/>
          <w:sz w:val="24"/>
          <w:szCs w:val="24"/>
        </w:rPr>
      </w:pPr>
      <w:r w:rsidRPr="00BF1D6D">
        <w:rPr>
          <w:rFonts w:ascii="Calibri" w:hAnsi="Calibri"/>
          <w:i/>
          <w:sz w:val="24"/>
          <w:szCs w:val="24"/>
        </w:rPr>
        <w:t>Certaines interventions du paquet de la SRMNEA-N et ECSV manquent particulièrement de prestataires formés : SONU, PF, PTME, PCIME, TETU</w:t>
      </w:r>
    </w:p>
    <w:p w14:paraId="523D807A" w14:textId="77777777" w:rsidR="00CF7C04" w:rsidRPr="00CF7C04" w:rsidRDefault="00CF7C04" w:rsidP="00CF7C04">
      <w:pPr>
        <w:pStyle w:val="Paragraphedeliste"/>
        <w:spacing w:line="360" w:lineRule="auto"/>
        <w:ind w:left="360"/>
        <w:jc w:val="both"/>
        <w:rPr>
          <w:rFonts w:ascii="Calibri" w:hAnsi="Calibri"/>
          <w:i/>
          <w:sz w:val="24"/>
          <w:szCs w:val="24"/>
        </w:rPr>
      </w:pPr>
    </w:p>
    <w:p w14:paraId="74F4DA6A" w14:textId="77777777" w:rsidR="00CF7C04" w:rsidRPr="00965B88" w:rsidRDefault="00CF7C04" w:rsidP="00CF7C04">
      <w:pPr>
        <w:pStyle w:val="Paragraphedeliste"/>
        <w:numPr>
          <w:ilvl w:val="2"/>
          <w:numId w:val="1"/>
        </w:numPr>
        <w:spacing w:before="240" w:after="0" w:line="360" w:lineRule="auto"/>
        <w:jc w:val="both"/>
        <w:rPr>
          <w:rFonts w:ascii="Calibri" w:hAnsi="Calibri"/>
          <w:sz w:val="24"/>
          <w:szCs w:val="24"/>
        </w:rPr>
      </w:pPr>
      <w:r w:rsidRPr="00D5753A">
        <w:rPr>
          <w:bCs/>
          <w:sz w:val="24"/>
          <w:szCs w:val="24"/>
        </w:rPr>
        <w:t>DISPONIBILITE DES INFRASTRUCTURES ET EQUIPEMENTS SANITAIRES</w:t>
      </w:r>
    </w:p>
    <w:p w14:paraId="706C0280" w14:textId="77777777" w:rsidR="00CF7C04" w:rsidRPr="00965B88" w:rsidRDefault="00CF7C04" w:rsidP="00CF7C04">
      <w:pPr>
        <w:pStyle w:val="Paragraphedeliste"/>
        <w:numPr>
          <w:ilvl w:val="3"/>
          <w:numId w:val="1"/>
        </w:numPr>
        <w:spacing w:after="0" w:line="360" w:lineRule="auto"/>
        <w:jc w:val="both"/>
        <w:rPr>
          <w:rFonts w:ascii="Calibri" w:hAnsi="Calibri"/>
          <w:b/>
          <w:sz w:val="24"/>
          <w:szCs w:val="24"/>
        </w:rPr>
      </w:pPr>
      <w:r w:rsidRPr="00965B88">
        <w:rPr>
          <w:rFonts w:ascii="Calibri" w:hAnsi="Calibri"/>
          <w:b/>
          <w:sz w:val="24"/>
          <w:szCs w:val="24"/>
        </w:rPr>
        <w:t>Performances</w:t>
      </w:r>
    </w:p>
    <w:p w14:paraId="7AA8DB36" w14:textId="77777777" w:rsidR="00CF7C04" w:rsidRDefault="00CF7C04" w:rsidP="00CF7C04">
      <w:pPr>
        <w:spacing w:after="0"/>
        <w:rPr>
          <w:sz w:val="23"/>
          <w:szCs w:val="23"/>
        </w:rPr>
      </w:pPr>
      <w:r>
        <w:rPr>
          <w:rFonts w:ascii="Calibri" w:hAnsi="Calibri"/>
          <w:sz w:val="24"/>
          <w:szCs w:val="24"/>
        </w:rPr>
        <w:t xml:space="preserve">En 2016, </w:t>
      </w:r>
      <w:r>
        <w:rPr>
          <w:sz w:val="23"/>
          <w:szCs w:val="23"/>
        </w:rPr>
        <w:t xml:space="preserve">la densité d’établissements de soins s’est légèrement améliorée passant de 1,24 pour 10 000 habitants à 1.39 en 2016. La plus forte densité est observée dans la région du Plateau Central (1.83) et la plus faible au Sahel (0,89) en 2016. </w:t>
      </w:r>
    </w:p>
    <w:p w14:paraId="3AEEAA6B" w14:textId="77777777" w:rsidR="00CF7C04" w:rsidRDefault="00CF7C04" w:rsidP="00CF7C04">
      <w:pPr>
        <w:spacing w:after="0"/>
        <w:rPr>
          <w:sz w:val="23"/>
          <w:szCs w:val="23"/>
        </w:rPr>
      </w:pPr>
      <w:r>
        <w:rPr>
          <w:sz w:val="23"/>
          <w:szCs w:val="23"/>
        </w:rPr>
        <w:t>La valeur de cet indicateur reste inférieure à la norme de l’OMS qui est de 2 établissements de santé pour 10 000 habitants.</w:t>
      </w:r>
    </w:p>
    <w:p w14:paraId="710C91D3" w14:textId="77777777" w:rsidR="00CF7C04" w:rsidRDefault="00CF7C04" w:rsidP="00CF7C04">
      <w:pPr>
        <w:spacing w:after="0"/>
        <w:jc w:val="both"/>
        <w:rPr>
          <w:sz w:val="24"/>
          <w:szCs w:val="24"/>
        </w:rPr>
      </w:pPr>
      <w:r w:rsidRPr="00F80C74">
        <w:rPr>
          <w:sz w:val="24"/>
          <w:szCs w:val="24"/>
        </w:rPr>
        <w:t>Le Rayon moyen d’action théorique (en Km sans le privé) est passé de 7 en 2013 à 6,5 en 2017. Plus de 20% de la population parcourt au moins 10 km pour atteindre une formation sanitaire. Dans les régions de l’Est (47,2%) et du Sahel (46,2%), près de la moitié de la population habite à 10 km ou plus d’un centre de santé</w:t>
      </w:r>
      <w:r w:rsidRPr="00F80C74">
        <w:rPr>
          <w:rStyle w:val="Appelnotedebasdep"/>
          <w:sz w:val="24"/>
          <w:szCs w:val="24"/>
        </w:rPr>
        <w:footnoteReference w:id="77"/>
      </w:r>
      <w:r w:rsidRPr="00F80C74">
        <w:rPr>
          <w:sz w:val="24"/>
          <w:szCs w:val="24"/>
        </w:rPr>
        <w:t>. Avec le sous-secteur privé le Rayon moyen d’action théorique est de 6,1 en 2016</w:t>
      </w:r>
      <w:r w:rsidRPr="00F80C74">
        <w:rPr>
          <w:rStyle w:val="Appelnotedebasdep"/>
          <w:sz w:val="24"/>
          <w:szCs w:val="24"/>
        </w:rPr>
        <w:footnoteReference w:id="78"/>
      </w:r>
      <w:r w:rsidRPr="00F80C74">
        <w:rPr>
          <w:sz w:val="24"/>
          <w:szCs w:val="24"/>
        </w:rPr>
        <w:t xml:space="preserve">. </w:t>
      </w:r>
    </w:p>
    <w:p w14:paraId="0A434C62" w14:textId="77777777" w:rsidR="00CF7C04" w:rsidRPr="003A71C8" w:rsidRDefault="00CF7C04" w:rsidP="00CF7C04">
      <w:pPr>
        <w:pStyle w:val="Default"/>
        <w:spacing w:line="276" w:lineRule="auto"/>
        <w:jc w:val="both"/>
        <w:rPr>
          <w:rFonts w:asciiTheme="minorHAnsi" w:hAnsiTheme="minorHAnsi"/>
        </w:rPr>
      </w:pPr>
      <w:r w:rsidRPr="003A71C8">
        <w:rPr>
          <w:rFonts w:asciiTheme="minorHAnsi" w:hAnsiTheme="minorHAnsi"/>
        </w:rPr>
        <w:t xml:space="preserve">En 2016, la densité des lits généraux est de 11 lits pour l’accueil de 10 000 habitants et celle des lits de maternité est de 9 lits pour 1 000 femmes enceintes. Ces valeurs sont en deçà de la norme de l’OMS qui est de 25 lits généraux/10 000 habitants et de 10 lits de maternité/1 000 femmes enceintes. </w:t>
      </w:r>
    </w:p>
    <w:p w14:paraId="52D60179" w14:textId="77777777" w:rsidR="00CF7C04" w:rsidRDefault="00CF7C04" w:rsidP="00CF7C04">
      <w:pPr>
        <w:pStyle w:val="Default"/>
        <w:spacing w:line="276" w:lineRule="auto"/>
        <w:jc w:val="both"/>
        <w:rPr>
          <w:sz w:val="23"/>
          <w:szCs w:val="23"/>
        </w:rPr>
      </w:pPr>
      <w:r>
        <w:rPr>
          <w:rFonts w:asciiTheme="minorHAnsi" w:hAnsiTheme="minorHAnsi"/>
        </w:rPr>
        <w:t>Au niveau régional, l</w:t>
      </w:r>
      <w:r w:rsidRPr="003A71C8">
        <w:rPr>
          <w:rFonts w:asciiTheme="minorHAnsi" w:hAnsiTheme="minorHAnsi"/>
        </w:rPr>
        <w:t xml:space="preserve">a région des Cascades enregistre la plus forte densité avec 14 lits </w:t>
      </w:r>
      <w:r>
        <w:rPr>
          <w:rFonts w:asciiTheme="minorHAnsi" w:hAnsiTheme="minorHAnsi"/>
        </w:rPr>
        <w:t>généraux/</w:t>
      </w:r>
      <w:r w:rsidRPr="003A71C8">
        <w:rPr>
          <w:rFonts w:asciiTheme="minorHAnsi" w:hAnsiTheme="minorHAnsi"/>
        </w:rPr>
        <w:t>10 000 habitants, tandis que la plus faible est observée au</w:t>
      </w:r>
      <w:r>
        <w:rPr>
          <w:rFonts w:asciiTheme="minorHAnsi" w:hAnsiTheme="minorHAnsi"/>
        </w:rPr>
        <w:t xml:space="preserve"> niveau de la région du Centre avec 7 lits/10 000 habitants</w:t>
      </w:r>
      <w:r w:rsidRPr="003A71C8">
        <w:rPr>
          <w:rFonts w:asciiTheme="minorHAnsi" w:hAnsiTheme="minorHAnsi"/>
        </w:rPr>
        <w:t xml:space="preserve">. </w:t>
      </w:r>
      <w:r>
        <w:rPr>
          <w:rFonts w:asciiTheme="minorHAnsi" w:hAnsiTheme="minorHAnsi"/>
        </w:rPr>
        <w:t xml:space="preserve">Pour les lits de maternité, </w:t>
      </w:r>
      <w:r>
        <w:rPr>
          <w:sz w:val="23"/>
          <w:szCs w:val="23"/>
        </w:rPr>
        <w:t>la région des Cascades reste la mieux dotée avec 11/1 000 femmes enceintes et la région du Centre dispose de la plus faible densité avec 5 lits pour 1 000 femmes enceintes.</w:t>
      </w:r>
    </w:p>
    <w:p w14:paraId="77036FCC" w14:textId="77777777" w:rsidR="00CF7C04" w:rsidRPr="003A71C8" w:rsidRDefault="00CF7C04" w:rsidP="00CF7C04">
      <w:pPr>
        <w:pStyle w:val="Default"/>
        <w:spacing w:line="276" w:lineRule="auto"/>
        <w:jc w:val="both"/>
        <w:rPr>
          <w:rFonts w:asciiTheme="minorHAnsi" w:hAnsiTheme="minorHAnsi"/>
        </w:rPr>
      </w:pPr>
      <w:r>
        <w:rPr>
          <w:sz w:val="23"/>
          <w:szCs w:val="23"/>
        </w:rPr>
        <w:t>En termes d’utilisation des services, le nombre de contact par habitant était de 1,05 en 2016. La région du Plateau Central enregistre le plus grand nombre de consultation externe par habitant par an (1,34) et le plus petit nombre est enregistré dans la région de la Boucle du Mouhoun (0,86).</w:t>
      </w:r>
    </w:p>
    <w:p w14:paraId="59E4D414" w14:textId="77777777" w:rsidR="00CF7C04" w:rsidRPr="004E5E26" w:rsidRDefault="00CF7C04" w:rsidP="00CF7C04">
      <w:pPr>
        <w:spacing w:after="0"/>
        <w:jc w:val="both"/>
        <w:rPr>
          <w:b/>
          <w:bCs/>
          <w:sz w:val="24"/>
          <w:szCs w:val="24"/>
        </w:rPr>
      </w:pPr>
      <w:r w:rsidRPr="004E5E26">
        <w:rPr>
          <w:b/>
          <w:bCs/>
          <w:sz w:val="24"/>
          <w:szCs w:val="24"/>
        </w:rPr>
        <w:t>Indice de capacité opérationnelle générale des services</w:t>
      </w:r>
    </w:p>
    <w:p w14:paraId="3AA8DD8E" w14:textId="77777777" w:rsidR="00CF7C04" w:rsidRPr="004E5E26" w:rsidRDefault="00CF7C04" w:rsidP="00CF7C04">
      <w:pPr>
        <w:pStyle w:val="Default"/>
        <w:spacing w:line="276" w:lineRule="auto"/>
        <w:jc w:val="both"/>
        <w:rPr>
          <w:rFonts w:asciiTheme="minorHAnsi" w:hAnsiTheme="minorHAnsi"/>
        </w:rPr>
      </w:pPr>
      <w:r w:rsidRPr="004E5E26">
        <w:rPr>
          <w:rFonts w:asciiTheme="minorHAnsi" w:hAnsiTheme="minorHAnsi"/>
        </w:rPr>
        <w:t xml:space="preserve">L‘indice de capacité opérationnelle générale des services est une moyenne calculée sur la base des scores des 5 domaines suivants : </w:t>
      </w:r>
      <w:r w:rsidRPr="004E5E26">
        <w:rPr>
          <w:rFonts w:asciiTheme="minorHAnsi" w:hAnsiTheme="minorHAnsi" w:cs="Wingdings"/>
        </w:rPr>
        <w:t>Aménagements et éléments de confort indispensables, Equipements essentiels, Précautions standard pour la prévention des infections, Capacité de diagnostic et médicaments essentiels</w:t>
      </w:r>
      <w:r w:rsidRPr="004E5E26">
        <w:rPr>
          <w:rFonts w:asciiTheme="minorHAnsi" w:hAnsiTheme="minorHAnsi"/>
        </w:rPr>
        <w:t>.</w:t>
      </w:r>
    </w:p>
    <w:p w14:paraId="7B4865B4" w14:textId="77777777" w:rsidR="00CF7C04" w:rsidRPr="004E5E26" w:rsidRDefault="00CF7C04" w:rsidP="00CF7C04">
      <w:pPr>
        <w:pStyle w:val="Default"/>
        <w:spacing w:line="276" w:lineRule="auto"/>
        <w:jc w:val="both"/>
        <w:rPr>
          <w:rFonts w:asciiTheme="minorHAnsi" w:hAnsiTheme="minorHAnsi"/>
        </w:rPr>
      </w:pPr>
      <w:r w:rsidRPr="004E5E26">
        <w:rPr>
          <w:rFonts w:asciiTheme="minorHAnsi" w:hAnsiTheme="minorHAnsi"/>
        </w:rPr>
        <w:lastRenderedPageBreak/>
        <w:t xml:space="preserve"> Il est de 64% en 2016 contre 70% en 2014. </w:t>
      </w:r>
    </w:p>
    <w:p w14:paraId="2372916B" w14:textId="77777777" w:rsidR="00CF7C04" w:rsidRDefault="00CF7C04" w:rsidP="00CF7C04">
      <w:pPr>
        <w:spacing w:after="0"/>
        <w:jc w:val="both"/>
        <w:rPr>
          <w:sz w:val="24"/>
          <w:szCs w:val="24"/>
        </w:rPr>
      </w:pPr>
      <w:r w:rsidRPr="004E5E26">
        <w:rPr>
          <w:sz w:val="24"/>
          <w:szCs w:val="24"/>
        </w:rPr>
        <w:t>Parmi ces 5 domaines, les équipements essentiels enregistrent le grand score (87%) tout comme en 2014 (87%). Les plus faibles niveaux concernent les médicaments essentiels</w:t>
      </w:r>
      <w:r>
        <w:rPr>
          <w:sz w:val="24"/>
          <w:szCs w:val="24"/>
        </w:rPr>
        <w:t xml:space="preserve"> (Liste </w:t>
      </w:r>
      <w:r w:rsidRPr="004E5E26">
        <w:rPr>
          <w:sz w:val="24"/>
          <w:szCs w:val="24"/>
        </w:rPr>
        <w:t>OMS</w:t>
      </w:r>
      <w:r>
        <w:rPr>
          <w:sz w:val="24"/>
          <w:szCs w:val="24"/>
        </w:rPr>
        <w:t>)</w:t>
      </w:r>
      <w:r w:rsidRPr="004E5E26">
        <w:rPr>
          <w:sz w:val="24"/>
          <w:szCs w:val="24"/>
        </w:rPr>
        <w:t xml:space="preserve"> et la capacité de diagnostic.</w:t>
      </w:r>
    </w:p>
    <w:p w14:paraId="7D41866A" w14:textId="77777777" w:rsidR="00CF7C04" w:rsidRPr="004E5E26" w:rsidRDefault="00CF7C04" w:rsidP="00CF7C04">
      <w:pPr>
        <w:spacing w:after="0"/>
        <w:jc w:val="both"/>
        <w:rPr>
          <w:b/>
          <w:bCs/>
          <w:sz w:val="24"/>
          <w:szCs w:val="24"/>
        </w:rPr>
      </w:pPr>
      <w:r>
        <w:t>La proportion des DMEG n’ayant pas connu de rupture des 25 intrants traceurs en 2017 est de 18,6% contre 28% en 2016. Le niveau de l’indicateur varie de 50,2% au Centre-Ouest à 1,2% dans la Boucle du Mouhoun et dans le Centre-Est</w:t>
      </w:r>
      <w:r>
        <w:rPr>
          <w:rStyle w:val="Appelnotedebasdep"/>
        </w:rPr>
        <w:footnoteReference w:id="79"/>
      </w:r>
      <w:r>
        <w:t>.</w:t>
      </w:r>
    </w:p>
    <w:p w14:paraId="55CE9AD3" w14:textId="77777777" w:rsidR="00CF7C04" w:rsidRDefault="00CF7C04" w:rsidP="00CF7C04">
      <w:pPr>
        <w:spacing w:after="0" w:line="360" w:lineRule="auto"/>
        <w:rPr>
          <w:rFonts w:ascii="Calibri" w:hAnsi="Calibri"/>
          <w:sz w:val="24"/>
          <w:szCs w:val="24"/>
        </w:rPr>
      </w:pPr>
      <w:r>
        <w:rPr>
          <w:rFonts w:ascii="Calibri" w:hAnsi="Calibri"/>
          <w:noProof/>
          <w:sz w:val="24"/>
          <w:szCs w:val="24"/>
          <w:lang w:eastAsia="fr-FR"/>
        </w:rPr>
        <mc:AlternateContent>
          <mc:Choice Requires="wps">
            <w:drawing>
              <wp:anchor distT="0" distB="0" distL="114300" distR="114300" simplePos="0" relativeHeight="251738112" behindDoc="0" locked="0" layoutInCell="1" allowOverlap="1" wp14:anchorId="67EB5105" wp14:editId="49901258">
                <wp:simplePos x="0" y="0"/>
                <wp:positionH relativeFrom="column">
                  <wp:posOffset>4888530</wp:posOffset>
                </wp:positionH>
                <wp:positionV relativeFrom="paragraph">
                  <wp:posOffset>1105966</wp:posOffset>
                </wp:positionV>
                <wp:extent cx="45719" cy="457200"/>
                <wp:effectExtent l="19050" t="0" r="31115" b="38100"/>
                <wp:wrapNone/>
                <wp:docPr id="233" name="Flèche vers le bas 29"/>
                <wp:cNvGraphicFramePr/>
                <a:graphic xmlns:a="http://schemas.openxmlformats.org/drawingml/2006/main">
                  <a:graphicData uri="http://schemas.microsoft.com/office/word/2010/wordprocessingShape">
                    <wps:wsp>
                      <wps:cNvSpPr/>
                      <wps:spPr>
                        <a:xfrm>
                          <a:off x="0" y="0"/>
                          <a:ext cx="45719" cy="457200"/>
                        </a:xfrm>
                        <a:prstGeom prst="down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BCF7AE7"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Flèche vers le bas 29" o:spid="_x0000_s1026" type="#_x0000_t67" style="position:absolute;margin-left:384.9pt;margin-top:87.1pt;width:3.6pt;height:36pt;z-index:2517381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" adj="20520" fillcolor="red" strokecolor="red" strokeweight="2pt"/>
            </w:pict>
          </mc:Fallback>
        </mc:AlternateContent>
      </w:r>
      <w:r w:rsidRPr="00240F62">
        <w:rPr>
          <w:rFonts w:ascii="Calibri" w:hAnsi="Calibri"/>
          <w:noProof/>
          <w:sz w:val="24"/>
          <w:szCs w:val="24"/>
          <w:bdr w:val="single" w:sz="4" w:space="0" w:color="auto"/>
          <w:lang w:eastAsia="fr-FR"/>
        </w:rPr>
        <w:drawing>
          <wp:inline distT="0" distB="0" distL="0" distR="0" wp14:anchorId="371C9887" wp14:editId="5F1455B9">
            <wp:extent cx="5486400" cy="3200400"/>
            <wp:effectExtent l="0" t="0" r="0" b="0"/>
            <wp:docPr id="241" name="Graphique 241"/>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14:paraId="7216767A" w14:textId="7CF9A571" w:rsidR="00CF7C04" w:rsidRPr="00240F62" w:rsidRDefault="00CF7C04" w:rsidP="00CF7C04">
      <w:pPr>
        <w:spacing w:after="0" w:line="360" w:lineRule="auto"/>
        <w:rPr>
          <w:rFonts w:ascii="Calibri" w:hAnsi="Calibri"/>
          <w:b/>
          <w:sz w:val="24"/>
          <w:szCs w:val="24"/>
        </w:rPr>
      </w:pPr>
      <w:r w:rsidRPr="00240F62">
        <w:rPr>
          <w:rFonts w:ascii="Calibri" w:hAnsi="Calibri"/>
          <w:b/>
          <w:sz w:val="24"/>
          <w:szCs w:val="24"/>
        </w:rPr>
        <w:t>Figure</w:t>
      </w:r>
      <w:r>
        <w:rPr>
          <w:rFonts w:ascii="Calibri" w:hAnsi="Calibri"/>
          <w:b/>
          <w:sz w:val="24"/>
          <w:szCs w:val="24"/>
        </w:rPr>
        <w:t xml:space="preserve"> 1</w:t>
      </w:r>
      <w:r w:rsidR="00651794">
        <w:rPr>
          <w:rFonts w:ascii="Calibri" w:hAnsi="Calibri"/>
          <w:b/>
          <w:sz w:val="24"/>
          <w:szCs w:val="24"/>
        </w:rPr>
        <w:t>9</w:t>
      </w:r>
      <w:r>
        <w:rPr>
          <w:rFonts w:ascii="Calibri" w:hAnsi="Calibri"/>
          <w:b/>
          <w:sz w:val="24"/>
          <w:szCs w:val="24"/>
        </w:rPr>
        <w:t xml:space="preserve"> </w:t>
      </w:r>
      <w:r w:rsidRPr="00240F62">
        <w:rPr>
          <w:rFonts w:ascii="Calibri" w:hAnsi="Calibri"/>
          <w:b/>
          <w:sz w:val="24"/>
          <w:szCs w:val="24"/>
        </w:rPr>
        <w:t>: Indice de capacité opérationnelle générale des services</w:t>
      </w:r>
      <w:r>
        <w:rPr>
          <w:rFonts w:ascii="Calibri" w:hAnsi="Calibri"/>
          <w:b/>
          <w:sz w:val="24"/>
          <w:szCs w:val="24"/>
        </w:rPr>
        <w:t xml:space="preserve"> </w:t>
      </w:r>
      <w:r w:rsidRPr="004E5E26">
        <w:rPr>
          <w:rFonts w:ascii="Calibri" w:hAnsi="Calibri"/>
          <w:sz w:val="20"/>
          <w:szCs w:val="20"/>
        </w:rPr>
        <w:t>(Source : Enquête SARA 2016)</w:t>
      </w:r>
    </w:p>
    <w:p w14:paraId="62CC20C0" w14:textId="42BCDEBD" w:rsidR="00CF7C04" w:rsidRPr="00965B88" w:rsidRDefault="00CF7C04" w:rsidP="00CF7C04">
      <w:pPr>
        <w:pStyle w:val="Paragraphedeliste"/>
        <w:numPr>
          <w:ilvl w:val="3"/>
          <w:numId w:val="1"/>
        </w:numPr>
        <w:spacing w:after="0"/>
        <w:jc w:val="both"/>
        <w:rPr>
          <w:rFonts w:ascii="Calibri" w:hAnsi="Calibri"/>
          <w:b/>
          <w:sz w:val="24"/>
          <w:szCs w:val="24"/>
        </w:rPr>
      </w:pPr>
      <w:r w:rsidRPr="00965B88">
        <w:rPr>
          <w:rFonts w:ascii="Calibri" w:hAnsi="Calibri"/>
          <w:b/>
          <w:sz w:val="24"/>
          <w:szCs w:val="24"/>
        </w:rPr>
        <w:t>G</w:t>
      </w:r>
      <w:r>
        <w:rPr>
          <w:rFonts w:ascii="Calibri" w:hAnsi="Calibri"/>
          <w:b/>
          <w:sz w:val="24"/>
          <w:szCs w:val="24"/>
        </w:rPr>
        <w:t>aps de performances</w:t>
      </w:r>
      <w:r w:rsidRPr="00965B88">
        <w:rPr>
          <w:rFonts w:ascii="Calibri" w:hAnsi="Calibri"/>
          <w:b/>
          <w:sz w:val="24"/>
          <w:szCs w:val="24"/>
        </w:rPr>
        <w:t xml:space="preserve"> </w:t>
      </w:r>
    </w:p>
    <w:p w14:paraId="4C115E76" w14:textId="77777777" w:rsidR="00CF7C04" w:rsidRPr="00965B88" w:rsidRDefault="00CF7C04" w:rsidP="00A97663">
      <w:pPr>
        <w:pStyle w:val="Paragraphedeliste"/>
        <w:numPr>
          <w:ilvl w:val="0"/>
          <w:numId w:val="50"/>
        </w:numPr>
        <w:spacing w:after="0"/>
        <w:jc w:val="both"/>
        <w:rPr>
          <w:rFonts w:ascii="Calibri" w:hAnsi="Calibri"/>
          <w:i/>
          <w:sz w:val="24"/>
          <w:szCs w:val="24"/>
        </w:rPr>
      </w:pPr>
      <w:r w:rsidRPr="00965B88">
        <w:rPr>
          <w:rFonts w:ascii="Calibri" w:hAnsi="Calibri"/>
          <w:i/>
          <w:sz w:val="24"/>
          <w:szCs w:val="24"/>
        </w:rPr>
        <w:t>Couverture sanitaire insuffisante avec de larges disparités régionales.</w:t>
      </w:r>
    </w:p>
    <w:p w14:paraId="294D6063" w14:textId="773EA814" w:rsidR="00CF7C04" w:rsidRPr="00D56EEC" w:rsidRDefault="00CF7C04" w:rsidP="00D56EEC">
      <w:pPr>
        <w:pStyle w:val="Paragraphedeliste"/>
        <w:spacing w:after="0"/>
        <w:ind w:left="360"/>
        <w:jc w:val="both"/>
        <w:rPr>
          <w:rFonts w:ascii="Calibri" w:hAnsi="Calibri"/>
          <w:sz w:val="24"/>
          <w:szCs w:val="24"/>
        </w:rPr>
      </w:pPr>
      <w:r w:rsidRPr="00965B88">
        <w:rPr>
          <w:sz w:val="24"/>
          <w:szCs w:val="24"/>
        </w:rPr>
        <w:t>Plus de 20% de la population parcourt au moins 10 km pour atteindre une formation sanitaire.</w:t>
      </w:r>
      <w:r w:rsidR="00D56EEC">
        <w:rPr>
          <w:sz w:val="24"/>
          <w:szCs w:val="24"/>
        </w:rPr>
        <w:t xml:space="preserve"> </w:t>
      </w:r>
      <w:r w:rsidRPr="00D56EEC">
        <w:rPr>
          <w:rFonts w:ascii="Calibri" w:hAnsi="Calibri"/>
          <w:sz w:val="24"/>
          <w:szCs w:val="24"/>
        </w:rPr>
        <w:t>Les densités d’établissements/10 000 habitants, les densités des lits généraux/10 000 habitants et la densité des lits de maternité/ 1 000 femmes enceintes sont largement en deçà des normes de l’OMS.</w:t>
      </w:r>
    </w:p>
    <w:p w14:paraId="18778518" w14:textId="77777777" w:rsidR="00CF7C04" w:rsidRPr="00965B88" w:rsidRDefault="00CF7C04" w:rsidP="00A97663">
      <w:pPr>
        <w:pStyle w:val="Paragraphedeliste"/>
        <w:numPr>
          <w:ilvl w:val="0"/>
          <w:numId w:val="50"/>
        </w:numPr>
        <w:spacing w:after="0"/>
        <w:jc w:val="both"/>
        <w:rPr>
          <w:rFonts w:ascii="Calibri" w:hAnsi="Calibri"/>
          <w:i/>
          <w:sz w:val="24"/>
          <w:szCs w:val="24"/>
        </w:rPr>
      </w:pPr>
      <w:r w:rsidRPr="00965B88">
        <w:rPr>
          <w:rFonts w:ascii="Calibri" w:hAnsi="Calibri"/>
          <w:i/>
          <w:sz w:val="24"/>
          <w:szCs w:val="24"/>
        </w:rPr>
        <w:t xml:space="preserve">La capacité opérationnelle ou capacité de l’ensemble des établissements à fournir des services de santé est entravée par les scores moyens bas dans le domaine de la disponibilité des médicaments essentiels et de la capacité de diagnostic. </w:t>
      </w:r>
    </w:p>
    <w:p w14:paraId="3C399600" w14:textId="77777777" w:rsidR="00CF7C04" w:rsidRDefault="00CF7C04" w:rsidP="00CF7C04">
      <w:pPr>
        <w:spacing w:after="0"/>
        <w:jc w:val="both"/>
        <w:rPr>
          <w:rFonts w:ascii="Calibri" w:hAnsi="Calibri"/>
          <w:sz w:val="24"/>
          <w:szCs w:val="24"/>
        </w:rPr>
      </w:pPr>
    </w:p>
    <w:p w14:paraId="083C6541" w14:textId="77777777" w:rsidR="00CF7C04" w:rsidRPr="00965B88" w:rsidRDefault="00CF7C04" w:rsidP="00CF7C04">
      <w:pPr>
        <w:pStyle w:val="Paragraphedeliste"/>
        <w:numPr>
          <w:ilvl w:val="2"/>
          <w:numId w:val="1"/>
        </w:numPr>
        <w:spacing w:after="0"/>
        <w:jc w:val="both"/>
        <w:rPr>
          <w:rFonts w:ascii="Calibri" w:hAnsi="Calibri"/>
          <w:sz w:val="24"/>
          <w:szCs w:val="24"/>
        </w:rPr>
      </w:pPr>
      <w:r w:rsidRPr="00965B88">
        <w:rPr>
          <w:rFonts w:ascii="Calibri" w:hAnsi="Calibri"/>
          <w:sz w:val="24"/>
          <w:szCs w:val="24"/>
        </w:rPr>
        <w:t>FINANCEMENT</w:t>
      </w:r>
      <w:r>
        <w:rPr>
          <w:rStyle w:val="Appelnotedebasdep"/>
          <w:rFonts w:ascii="Calibri" w:hAnsi="Calibri"/>
          <w:sz w:val="24"/>
          <w:szCs w:val="24"/>
        </w:rPr>
        <w:footnoteReference w:id="80"/>
      </w:r>
    </w:p>
    <w:p w14:paraId="10052DA2" w14:textId="77777777" w:rsidR="00CF7C04" w:rsidRPr="00965B88" w:rsidRDefault="00CF7C04" w:rsidP="00CF7C04">
      <w:pPr>
        <w:pStyle w:val="Paragraphedeliste"/>
        <w:numPr>
          <w:ilvl w:val="3"/>
          <w:numId w:val="1"/>
        </w:numPr>
        <w:spacing w:after="0"/>
        <w:jc w:val="both"/>
        <w:rPr>
          <w:b/>
          <w:sz w:val="24"/>
          <w:szCs w:val="24"/>
        </w:rPr>
      </w:pPr>
      <w:r w:rsidRPr="00965B88">
        <w:rPr>
          <w:b/>
          <w:sz w:val="24"/>
          <w:szCs w:val="24"/>
        </w:rPr>
        <w:t>Performances</w:t>
      </w:r>
    </w:p>
    <w:p w14:paraId="31B44A1D" w14:textId="6B2AAB30" w:rsidR="00CF7C04" w:rsidRDefault="00CF7C04" w:rsidP="00CF7C04">
      <w:pPr>
        <w:spacing w:after="0"/>
        <w:jc w:val="both"/>
        <w:rPr>
          <w:sz w:val="24"/>
          <w:szCs w:val="24"/>
        </w:rPr>
      </w:pPr>
      <w:r w:rsidRPr="00965B88">
        <w:rPr>
          <w:sz w:val="24"/>
          <w:szCs w:val="24"/>
        </w:rPr>
        <w:t xml:space="preserve">De 2007 à 2016, les dépenses totales pour la santé s’élevaient à environ </w:t>
      </w:r>
      <w:r w:rsidRPr="00965B88">
        <w:rPr>
          <w:rFonts w:eastAsia="Times New Roman" w:cs="Times New Roman"/>
          <w:color w:val="000000"/>
          <w:sz w:val="24"/>
          <w:szCs w:val="24"/>
          <w:lang w:eastAsia="fr-FR"/>
        </w:rPr>
        <w:t xml:space="preserve">    3 152 927 millions de francs CFA, soit en moyenne 3 15 292,7 millions de francs CFA par an. De 2015 à 2016 la </w:t>
      </w:r>
      <w:r w:rsidRPr="00965B88">
        <w:rPr>
          <w:rFonts w:eastAsia="Times New Roman" w:cs="Times New Roman"/>
          <w:color w:val="000000"/>
          <w:sz w:val="24"/>
          <w:szCs w:val="24"/>
          <w:lang w:eastAsia="fr-FR"/>
        </w:rPr>
        <w:lastRenderedPageBreak/>
        <w:t xml:space="preserve">dépense totale de santé a augmenté de presque 25% à cause de la mise en œuvre </w:t>
      </w:r>
      <w:r w:rsidRPr="00965B88">
        <w:rPr>
          <w:sz w:val="24"/>
          <w:szCs w:val="24"/>
        </w:rPr>
        <w:t>notamment les mesures de gratuité en faveur des enfants de moins de 5 ans et des femmes enceintes.</w:t>
      </w:r>
    </w:p>
    <w:p w14:paraId="5EF650B7" w14:textId="77777777" w:rsidR="00D56EEC" w:rsidRPr="00965B88" w:rsidRDefault="00D56EEC" w:rsidP="00CF7C04">
      <w:pPr>
        <w:spacing w:after="0"/>
        <w:jc w:val="both"/>
        <w:rPr>
          <w:sz w:val="24"/>
          <w:szCs w:val="24"/>
        </w:rPr>
      </w:pPr>
    </w:p>
    <w:p w14:paraId="6C8BFF18" w14:textId="77777777" w:rsidR="00CF7C04" w:rsidRDefault="00CF7C04" w:rsidP="00CF7C04">
      <w:pPr>
        <w:spacing w:after="0" w:line="360" w:lineRule="auto"/>
        <w:jc w:val="both"/>
        <w:rPr>
          <w:rFonts w:ascii="Calibri" w:hAnsi="Calibri"/>
          <w:sz w:val="24"/>
          <w:szCs w:val="24"/>
        </w:rPr>
      </w:pPr>
      <w:r>
        <w:rPr>
          <w:rFonts w:ascii="Calibri" w:hAnsi="Calibri"/>
          <w:noProof/>
          <w:sz w:val="24"/>
          <w:szCs w:val="24"/>
          <w:lang w:eastAsia="fr-FR"/>
        </w:rPr>
        <w:drawing>
          <wp:inline distT="0" distB="0" distL="0" distR="0" wp14:anchorId="2A297C84" wp14:editId="149A936C">
            <wp:extent cx="5486400" cy="3200400"/>
            <wp:effectExtent l="0" t="0" r="0" b="0"/>
            <wp:docPr id="244" name="Graphique 244"/>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14:paraId="51C61D46" w14:textId="0D793D43" w:rsidR="00CF7C04" w:rsidRDefault="00CF7C04" w:rsidP="00CF7C04">
      <w:pPr>
        <w:spacing w:after="0" w:line="360" w:lineRule="auto"/>
        <w:jc w:val="both"/>
        <w:rPr>
          <w:rFonts w:ascii="Calibri" w:hAnsi="Calibri"/>
          <w:b/>
          <w:sz w:val="20"/>
          <w:szCs w:val="20"/>
        </w:rPr>
      </w:pPr>
      <w:r w:rsidRPr="00E23B44">
        <w:rPr>
          <w:rFonts w:ascii="Calibri" w:hAnsi="Calibri"/>
          <w:b/>
          <w:sz w:val="20"/>
          <w:szCs w:val="20"/>
        </w:rPr>
        <w:t>Figure</w:t>
      </w:r>
      <w:r w:rsidR="00D56EEC">
        <w:rPr>
          <w:rFonts w:ascii="Calibri" w:hAnsi="Calibri"/>
          <w:b/>
          <w:sz w:val="20"/>
          <w:szCs w:val="20"/>
        </w:rPr>
        <w:t xml:space="preserve"> </w:t>
      </w:r>
      <w:r w:rsidR="00651794">
        <w:rPr>
          <w:rFonts w:ascii="Calibri" w:hAnsi="Calibri"/>
          <w:b/>
          <w:sz w:val="20"/>
          <w:szCs w:val="20"/>
        </w:rPr>
        <w:t>20</w:t>
      </w:r>
      <w:r w:rsidRPr="00E23B44">
        <w:rPr>
          <w:rFonts w:ascii="Calibri" w:hAnsi="Calibri"/>
          <w:b/>
          <w:sz w:val="20"/>
          <w:szCs w:val="20"/>
        </w:rPr>
        <w:t> : Dépenses totales de santé comparées aux dépenses pour la SRMNEA et la Nutrition 2007-2016</w:t>
      </w:r>
    </w:p>
    <w:p w14:paraId="385DF373" w14:textId="77777777" w:rsidR="00CF7C04" w:rsidRPr="00D56EEC" w:rsidRDefault="00CF7C04" w:rsidP="00D56EEC">
      <w:pPr>
        <w:spacing w:after="0"/>
        <w:jc w:val="both"/>
        <w:rPr>
          <w:rFonts w:cs="Arial"/>
          <w:sz w:val="24"/>
          <w:szCs w:val="24"/>
        </w:rPr>
      </w:pPr>
      <w:r w:rsidRPr="00D56EEC">
        <w:rPr>
          <w:rFonts w:cs="Arial"/>
          <w:color w:val="000000"/>
          <w:sz w:val="24"/>
          <w:szCs w:val="24"/>
        </w:rPr>
        <w:t>Les Dépenses de santé de l’Etat en % du budget de l’Etat</w:t>
      </w:r>
      <w:r w:rsidRPr="00D56EEC">
        <w:rPr>
          <w:rFonts w:cs="Arial"/>
          <w:sz w:val="24"/>
          <w:szCs w:val="24"/>
        </w:rPr>
        <w:t xml:space="preserve"> ont un minimum de 6,2% en 2014 et un maximum de 10,3% en 2016.</w:t>
      </w:r>
    </w:p>
    <w:p w14:paraId="075167A2" w14:textId="77777777" w:rsidR="00CF7C04" w:rsidRPr="00D56EEC" w:rsidRDefault="00CF7C04" w:rsidP="00D56EEC">
      <w:pPr>
        <w:spacing w:after="0"/>
        <w:jc w:val="both"/>
        <w:rPr>
          <w:rFonts w:eastAsia="Times New Roman" w:cs="Times New Roman"/>
          <w:color w:val="000000"/>
          <w:sz w:val="24"/>
          <w:szCs w:val="24"/>
          <w:lang w:eastAsia="fr-FR"/>
        </w:rPr>
      </w:pPr>
      <w:r w:rsidRPr="00D56EEC">
        <w:rPr>
          <w:rFonts w:eastAsia="Times New Roman" w:cs="Times New Roman"/>
          <w:color w:val="000000"/>
          <w:sz w:val="24"/>
          <w:szCs w:val="24"/>
          <w:lang w:eastAsia="fr-FR"/>
        </w:rPr>
        <w:t>Malgré une baisse de 7,1 points entre 2007 et 2016, la contribution des ménages reste élevée et atteint 31,4% des dépenses totales de santé en 2016.</w:t>
      </w:r>
    </w:p>
    <w:p w14:paraId="5901780F" w14:textId="77777777" w:rsidR="00CF7C04" w:rsidRPr="00D56EEC" w:rsidRDefault="00CF7C04" w:rsidP="00D56EEC">
      <w:pPr>
        <w:spacing w:after="0"/>
        <w:jc w:val="both"/>
        <w:rPr>
          <w:rFonts w:eastAsia="Times New Roman" w:cs="Times New Roman"/>
          <w:color w:val="000000"/>
          <w:sz w:val="24"/>
          <w:szCs w:val="24"/>
          <w:lang w:eastAsia="fr-FR"/>
        </w:rPr>
      </w:pPr>
      <w:r w:rsidRPr="00D56EEC">
        <w:rPr>
          <w:rFonts w:cs="Arial"/>
          <w:sz w:val="24"/>
          <w:szCs w:val="24"/>
        </w:rPr>
        <w:t>La proportion des dépenses assurance maladie en % des dépenses totales de santé reste très faible et connaît une progression faible qui l’a fait passer de 1,1% en 2007 à 1,4% en 2016.</w:t>
      </w:r>
    </w:p>
    <w:p w14:paraId="2867B8DC" w14:textId="77777777" w:rsidR="00CF7C04" w:rsidRPr="00D56EEC" w:rsidRDefault="00CF7C04" w:rsidP="00D56EEC">
      <w:pPr>
        <w:jc w:val="both"/>
        <w:rPr>
          <w:rFonts w:eastAsia="Times New Roman" w:cs="Times New Roman"/>
          <w:color w:val="000000"/>
          <w:sz w:val="24"/>
          <w:szCs w:val="24"/>
          <w:lang w:eastAsia="fr-FR"/>
        </w:rPr>
      </w:pPr>
      <w:r w:rsidRPr="00D56EEC">
        <w:rPr>
          <w:rFonts w:eastAsia="Times New Roman" w:cs="Times New Roman"/>
          <w:color w:val="000000"/>
          <w:sz w:val="24"/>
          <w:szCs w:val="24"/>
          <w:lang w:eastAsia="fr-FR"/>
        </w:rPr>
        <w:t>De 2007 à 2016, les dépenses en faveur de la SRMNEA et celles pour la nutrition s’élevaient respectivement à   260 723 et 102 920 millions de francs soit 8,3 % et 3,3 % des dépenses totales de santé</w:t>
      </w:r>
      <w:r w:rsidRPr="00D56EEC">
        <w:rPr>
          <w:rStyle w:val="Appelnotedebasdep"/>
          <w:rFonts w:eastAsia="Times New Roman" w:cs="Times New Roman"/>
          <w:color w:val="000000"/>
          <w:sz w:val="24"/>
          <w:szCs w:val="24"/>
          <w:lang w:eastAsia="fr-FR"/>
        </w:rPr>
        <w:footnoteReference w:id="81"/>
      </w:r>
      <w:r w:rsidRPr="00D56EEC">
        <w:rPr>
          <w:rFonts w:eastAsia="Times New Roman" w:cs="Times New Roman"/>
          <w:color w:val="000000"/>
          <w:sz w:val="24"/>
          <w:szCs w:val="24"/>
          <w:lang w:eastAsia="fr-FR"/>
        </w:rPr>
        <w:t xml:space="preserve">. </w:t>
      </w:r>
    </w:p>
    <w:p w14:paraId="2E2B887F" w14:textId="77777777" w:rsidR="00CF7C04" w:rsidRPr="00D56EEC" w:rsidRDefault="00CF7C04" w:rsidP="00D56EEC">
      <w:pPr>
        <w:spacing w:after="0"/>
        <w:jc w:val="both"/>
        <w:rPr>
          <w:rFonts w:eastAsia="Times New Roman" w:cs="Calibri"/>
          <w:color w:val="000000" w:themeColor="text1"/>
          <w:sz w:val="24"/>
          <w:szCs w:val="24"/>
          <w:lang w:eastAsia="fr-FR"/>
        </w:rPr>
      </w:pPr>
      <w:r w:rsidRPr="00D56EEC">
        <w:rPr>
          <w:rFonts w:eastAsia="Times New Roman" w:cs="Times New Roman"/>
          <w:color w:val="000000"/>
          <w:sz w:val="24"/>
          <w:szCs w:val="24"/>
          <w:lang w:eastAsia="fr-FR"/>
        </w:rPr>
        <w:t xml:space="preserve">Entre 2015 et 2018, </w:t>
      </w:r>
      <w:r w:rsidRPr="00D56EEC">
        <w:rPr>
          <w:sz w:val="24"/>
          <w:szCs w:val="24"/>
        </w:rPr>
        <w:t xml:space="preserve">307 901 830 186FCFAont été mobilisés pour la SRMNEA-N. Le financement annuel est à tendance croissante avec </w:t>
      </w:r>
      <w:r w:rsidRPr="00D56EEC">
        <w:rPr>
          <w:rFonts w:eastAsia="Times New Roman" w:cs="Calibri"/>
          <w:color w:val="000000" w:themeColor="text1"/>
          <w:sz w:val="24"/>
          <w:szCs w:val="24"/>
          <w:lang w:eastAsia="fr-FR"/>
        </w:rPr>
        <w:t>55 960 517 327 FCFA en 2015 et 107 271 584 459FCFA en 2018</w:t>
      </w:r>
      <w:r w:rsidRPr="00D56EEC">
        <w:rPr>
          <w:rStyle w:val="Appelnotedebasdep"/>
          <w:rFonts w:eastAsia="Times New Roman" w:cs="Calibri"/>
          <w:color w:val="000000" w:themeColor="text1"/>
          <w:sz w:val="24"/>
          <w:szCs w:val="24"/>
          <w:lang w:eastAsia="fr-FR"/>
        </w:rPr>
        <w:footnoteReference w:id="82"/>
      </w:r>
      <w:r w:rsidRPr="00D56EEC">
        <w:rPr>
          <w:rFonts w:eastAsia="Times New Roman" w:cs="Calibri"/>
          <w:color w:val="000000" w:themeColor="text1"/>
          <w:sz w:val="24"/>
          <w:szCs w:val="24"/>
          <w:lang w:eastAsia="fr-FR"/>
        </w:rPr>
        <w:t>.</w:t>
      </w:r>
    </w:p>
    <w:p w14:paraId="572028EE" w14:textId="77777777" w:rsidR="00CF7C04" w:rsidRPr="00D56EEC" w:rsidRDefault="00CF7C04" w:rsidP="00D56EEC">
      <w:pPr>
        <w:spacing w:after="0"/>
        <w:jc w:val="both"/>
        <w:rPr>
          <w:rFonts w:eastAsia="Times New Roman" w:cs="Calibri"/>
          <w:color w:val="000000" w:themeColor="text1"/>
          <w:sz w:val="24"/>
          <w:szCs w:val="24"/>
          <w:lang w:eastAsia="fr-FR"/>
        </w:rPr>
      </w:pPr>
      <w:r w:rsidRPr="00D56EEC">
        <w:rPr>
          <w:rFonts w:eastAsia="Times New Roman" w:cs="Calibri"/>
          <w:color w:val="000000" w:themeColor="text1"/>
          <w:sz w:val="24"/>
          <w:szCs w:val="24"/>
          <w:lang w:eastAsia="fr-FR"/>
        </w:rPr>
        <w:t>Les financements sont répartis aux régions selon les fourchettes suivantes :</w:t>
      </w:r>
    </w:p>
    <w:p w14:paraId="07CF2687" w14:textId="77777777" w:rsidR="00CF7C04" w:rsidRPr="00D56EEC" w:rsidRDefault="00CF7C04" w:rsidP="00A97663">
      <w:pPr>
        <w:pStyle w:val="Paragraphedeliste"/>
        <w:numPr>
          <w:ilvl w:val="0"/>
          <w:numId w:val="14"/>
        </w:numPr>
        <w:spacing w:after="0"/>
        <w:jc w:val="both"/>
        <w:rPr>
          <w:rFonts w:eastAsia="Times New Roman" w:cs="Calibri"/>
          <w:color w:val="000000" w:themeColor="text1"/>
          <w:sz w:val="24"/>
          <w:szCs w:val="24"/>
          <w:lang w:eastAsia="fr-FR"/>
        </w:rPr>
      </w:pPr>
      <w:r w:rsidRPr="00D56EEC">
        <w:rPr>
          <w:rFonts w:cs="Arial"/>
          <w:sz w:val="24"/>
          <w:szCs w:val="24"/>
        </w:rPr>
        <w:t xml:space="preserve">≤ 10 000 000 000 F CFA : </w:t>
      </w:r>
      <w:r w:rsidRPr="00D56EEC">
        <w:rPr>
          <w:rFonts w:eastAsia="Times New Roman" w:cs="Calibri"/>
          <w:color w:val="000000" w:themeColor="text1"/>
          <w:sz w:val="24"/>
          <w:szCs w:val="24"/>
          <w:lang w:eastAsia="fr-FR"/>
        </w:rPr>
        <w:t>Boucle du Mouhoun, Centre-Est, Centre-Nord, Centre-Ouest, Centre-Sud, Plateau Central, Sud-Ouest.</w:t>
      </w:r>
    </w:p>
    <w:p w14:paraId="3105CA62" w14:textId="77777777" w:rsidR="00CF7C04" w:rsidRPr="00D56EEC" w:rsidRDefault="00CF7C04" w:rsidP="00A97663">
      <w:pPr>
        <w:pStyle w:val="Paragraphedeliste"/>
        <w:numPr>
          <w:ilvl w:val="0"/>
          <w:numId w:val="14"/>
        </w:numPr>
        <w:spacing w:after="0"/>
        <w:jc w:val="both"/>
        <w:rPr>
          <w:rFonts w:eastAsia="Times New Roman" w:cs="Calibri"/>
          <w:color w:val="000000" w:themeColor="text1"/>
          <w:sz w:val="24"/>
          <w:szCs w:val="24"/>
          <w:lang w:eastAsia="fr-FR"/>
        </w:rPr>
      </w:pPr>
      <w:r w:rsidRPr="00D56EEC">
        <w:rPr>
          <w:rFonts w:cs="Arial"/>
          <w:sz w:val="24"/>
          <w:szCs w:val="24"/>
        </w:rPr>
        <w:t xml:space="preserve">10 000 000 000-20 000 000 000 F CFA : </w:t>
      </w:r>
      <w:r w:rsidRPr="00D56EEC">
        <w:rPr>
          <w:rFonts w:eastAsia="Times New Roman" w:cs="Calibri"/>
          <w:color w:val="000000" w:themeColor="text1"/>
          <w:sz w:val="24"/>
          <w:szCs w:val="24"/>
          <w:lang w:eastAsia="fr-FR"/>
        </w:rPr>
        <w:t>Cascades, Est, Nord, Sahel</w:t>
      </w:r>
    </w:p>
    <w:p w14:paraId="4631D410" w14:textId="77777777" w:rsidR="00CF7C04" w:rsidRPr="00D56EEC" w:rsidRDefault="00CF7C04" w:rsidP="00A97663">
      <w:pPr>
        <w:pStyle w:val="Paragraphedeliste"/>
        <w:numPr>
          <w:ilvl w:val="0"/>
          <w:numId w:val="14"/>
        </w:numPr>
        <w:spacing w:after="0"/>
        <w:jc w:val="both"/>
        <w:rPr>
          <w:rFonts w:eastAsia="Times New Roman" w:cs="Calibri"/>
          <w:color w:val="000000" w:themeColor="text1"/>
          <w:sz w:val="24"/>
          <w:szCs w:val="24"/>
          <w:lang w:eastAsia="fr-FR"/>
        </w:rPr>
      </w:pPr>
      <w:r w:rsidRPr="00D56EEC">
        <w:rPr>
          <w:rFonts w:cs="Arial"/>
          <w:sz w:val="24"/>
          <w:szCs w:val="24"/>
        </w:rPr>
        <w:t xml:space="preserve">≥20 000 000 000 F CFA : </w:t>
      </w:r>
      <w:r w:rsidRPr="00D56EEC">
        <w:rPr>
          <w:rFonts w:eastAsia="Times New Roman" w:cs="Calibri"/>
          <w:color w:val="000000" w:themeColor="text1"/>
          <w:sz w:val="24"/>
          <w:szCs w:val="24"/>
          <w:lang w:eastAsia="fr-FR"/>
        </w:rPr>
        <w:t>Centre, Hauts-Bassins</w:t>
      </w:r>
    </w:p>
    <w:p w14:paraId="00A14814" w14:textId="77777777" w:rsidR="00CF7C04" w:rsidRPr="00D56EEC" w:rsidRDefault="00CF7C04" w:rsidP="00D56EEC">
      <w:pPr>
        <w:pStyle w:val="Paragraphedeliste"/>
        <w:spacing w:after="0"/>
        <w:ind w:left="360"/>
        <w:jc w:val="both"/>
        <w:rPr>
          <w:rFonts w:eastAsia="Times New Roman" w:cs="Calibri"/>
          <w:color w:val="000000" w:themeColor="text1"/>
          <w:sz w:val="24"/>
          <w:szCs w:val="24"/>
          <w:lang w:eastAsia="fr-FR"/>
        </w:rPr>
      </w:pPr>
    </w:p>
    <w:p w14:paraId="4656C7B6" w14:textId="77777777" w:rsidR="00CF7C04" w:rsidRPr="00D56EEC" w:rsidRDefault="00CF7C04" w:rsidP="00D56EEC">
      <w:pPr>
        <w:pStyle w:val="Paragraphedeliste"/>
        <w:numPr>
          <w:ilvl w:val="2"/>
          <w:numId w:val="1"/>
        </w:numPr>
        <w:spacing w:after="0"/>
        <w:jc w:val="both"/>
        <w:rPr>
          <w:rFonts w:eastAsia="Times New Roman" w:cs="Calibri"/>
          <w:color w:val="000000" w:themeColor="text1"/>
          <w:sz w:val="24"/>
          <w:szCs w:val="24"/>
          <w:lang w:eastAsia="fr-FR"/>
        </w:rPr>
      </w:pPr>
      <w:r w:rsidRPr="00D56EEC">
        <w:rPr>
          <w:rFonts w:eastAsia="Times New Roman" w:cs="Times New Roman"/>
          <w:color w:val="000000"/>
          <w:sz w:val="24"/>
          <w:szCs w:val="24"/>
          <w:lang w:eastAsia="fr-FR"/>
        </w:rPr>
        <w:lastRenderedPageBreak/>
        <w:t>INFORMATION SANITAIRE</w:t>
      </w:r>
    </w:p>
    <w:p w14:paraId="0A385D8C" w14:textId="77777777" w:rsidR="00CF7C04" w:rsidRPr="00D56EEC" w:rsidRDefault="00CF7C04" w:rsidP="00D56EEC">
      <w:pPr>
        <w:pStyle w:val="Paragraphedeliste"/>
        <w:numPr>
          <w:ilvl w:val="3"/>
          <w:numId w:val="1"/>
        </w:numPr>
        <w:spacing w:after="0"/>
        <w:jc w:val="both"/>
        <w:rPr>
          <w:rFonts w:cs="Arial"/>
          <w:b/>
          <w:sz w:val="24"/>
          <w:szCs w:val="24"/>
        </w:rPr>
      </w:pPr>
      <w:r w:rsidRPr="00D56EEC">
        <w:rPr>
          <w:rFonts w:cs="Arial"/>
          <w:b/>
          <w:sz w:val="24"/>
          <w:szCs w:val="24"/>
        </w:rPr>
        <w:t>Performances</w:t>
      </w:r>
    </w:p>
    <w:p w14:paraId="2F698D4A" w14:textId="77777777" w:rsidR="00CF7C04" w:rsidRPr="00D56EEC" w:rsidRDefault="00CF7C04" w:rsidP="00D56EEC">
      <w:pPr>
        <w:spacing w:after="0"/>
        <w:jc w:val="both"/>
        <w:rPr>
          <w:rFonts w:eastAsia="Times New Roman" w:cs="Calibri"/>
          <w:color w:val="000000" w:themeColor="text1"/>
          <w:sz w:val="24"/>
          <w:szCs w:val="24"/>
          <w:lang w:eastAsia="fr-FR"/>
        </w:rPr>
      </w:pPr>
      <w:r w:rsidRPr="00D56EEC">
        <w:rPr>
          <w:rFonts w:cs="Arial"/>
          <w:sz w:val="24"/>
          <w:szCs w:val="24"/>
        </w:rPr>
        <w:t>Le système d’information sanitaire a connu deux avancées majeures : la création en 2013 de l’Entrepôt des Données</w:t>
      </w:r>
      <w:r w:rsidRPr="00D56EEC">
        <w:rPr>
          <w:sz w:val="24"/>
          <w:szCs w:val="24"/>
        </w:rPr>
        <w:t xml:space="preserve"> sanitaires (ENDOS) du Burkina-Faso sur base des données fournies à travers le DHIS 2 et le renforcement du </w:t>
      </w:r>
      <w:r w:rsidRPr="00D56EEC">
        <w:rPr>
          <w:rFonts w:cs="Arial"/>
          <w:sz w:val="24"/>
          <w:szCs w:val="24"/>
        </w:rPr>
        <w:t>Système d’Information des ressources humaines pour la santé (SIRHS) par le développement et la mise en service du logiciel de gestion des ressources humaines LogRH.</w:t>
      </w:r>
    </w:p>
    <w:p w14:paraId="7F5E2A05" w14:textId="77777777" w:rsidR="00CF7C04" w:rsidRPr="00D56EEC" w:rsidRDefault="00CF7C04" w:rsidP="00D56EEC">
      <w:pPr>
        <w:spacing w:before="120"/>
        <w:jc w:val="both"/>
        <w:rPr>
          <w:sz w:val="24"/>
          <w:szCs w:val="24"/>
        </w:rPr>
      </w:pPr>
      <w:r w:rsidRPr="00D56EEC">
        <w:rPr>
          <w:sz w:val="24"/>
          <w:szCs w:val="24"/>
        </w:rPr>
        <w:t>Ces outils permettent de produire, dans des délais sensiblement réduits, le suivi régulier de l’évolution des indicateurs du PNDS, les annuaires statistiques, les annuaires statistiques régionaux et des hôpitaux, les tableaux de bord de la santé, les bulletins trimestriels d’information et d’épidémiologie, les comptes nationaux de santé.</w:t>
      </w:r>
    </w:p>
    <w:p w14:paraId="5A7EEF5C" w14:textId="77777777" w:rsidR="00CF7C04" w:rsidRPr="00D56EEC" w:rsidRDefault="00CF7C04" w:rsidP="00D56EEC">
      <w:pPr>
        <w:pStyle w:val="Paragraphedeliste"/>
        <w:numPr>
          <w:ilvl w:val="3"/>
          <w:numId w:val="1"/>
        </w:numPr>
        <w:spacing w:after="0"/>
        <w:jc w:val="both"/>
        <w:rPr>
          <w:b/>
          <w:sz w:val="24"/>
          <w:szCs w:val="24"/>
        </w:rPr>
      </w:pPr>
      <w:r w:rsidRPr="00D56EEC">
        <w:rPr>
          <w:b/>
          <w:sz w:val="24"/>
          <w:szCs w:val="24"/>
        </w:rPr>
        <w:t>Les principaux défis qui restent à relever sont :</w:t>
      </w:r>
    </w:p>
    <w:p w14:paraId="52B18BD7" w14:textId="77777777" w:rsidR="00CF7C04" w:rsidRPr="00D56EEC" w:rsidRDefault="00CF7C04" w:rsidP="00A97663">
      <w:pPr>
        <w:pStyle w:val="Paragraphedeliste"/>
        <w:numPr>
          <w:ilvl w:val="0"/>
          <w:numId w:val="16"/>
        </w:numPr>
        <w:spacing w:after="240"/>
        <w:jc w:val="both"/>
        <w:rPr>
          <w:i/>
          <w:sz w:val="24"/>
          <w:szCs w:val="24"/>
        </w:rPr>
      </w:pPr>
      <w:r w:rsidRPr="00D56EEC">
        <w:rPr>
          <w:i/>
          <w:sz w:val="24"/>
          <w:szCs w:val="24"/>
        </w:rPr>
        <w:t xml:space="preserve">L’absence ou le faible débit de la connexion internet dans certaines structures ; </w:t>
      </w:r>
    </w:p>
    <w:p w14:paraId="004E94C5" w14:textId="77777777" w:rsidR="00CF7C04" w:rsidRPr="00D56EEC" w:rsidRDefault="00CF7C04" w:rsidP="00A97663">
      <w:pPr>
        <w:pStyle w:val="Paragraphedeliste"/>
        <w:numPr>
          <w:ilvl w:val="0"/>
          <w:numId w:val="16"/>
        </w:numPr>
        <w:spacing w:after="240"/>
        <w:jc w:val="both"/>
        <w:rPr>
          <w:i/>
          <w:sz w:val="24"/>
          <w:szCs w:val="24"/>
        </w:rPr>
      </w:pPr>
      <w:r w:rsidRPr="00D56EEC">
        <w:rPr>
          <w:i/>
          <w:sz w:val="24"/>
          <w:szCs w:val="24"/>
        </w:rPr>
        <w:t xml:space="preserve">L’éparpillement et la fragmentation des bases de données ; </w:t>
      </w:r>
    </w:p>
    <w:p w14:paraId="61ADFEFD" w14:textId="77777777" w:rsidR="00CF7C04" w:rsidRPr="00D56EEC" w:rsidRDefault="00CF7C04" w:rsidP="00A97663">
      <w:pPr>
        <w:pStyle w:val="Paragraphedeliste"/>
        <w:numPr>
          <w:ilvl w:val="0"/>
          <w:numId w:val="16"/>
        </w:numPr>
        <w:spacing w:after="240"/>
        <w:jc w:val="both"/>
        <w:rPr>
          <w:i/>
          <w:sz w:val="24"/>
          <w:szCs w:val="24"/>
        </w:rPr>
      </w:pPr>
      <w:r w:rsidRPr="00D56EEC">
        <w:rPr>
          <w:i/>
          <w:sz w:val="24"/>
          <w:szCs w:val="24"/>
        </w:rPr>
        <w:t>La faible maitrise de l’exploitation des données de la base par les différents utilisateurs et l’indisponibilité d’un serveur de grande capacité (serveur miroir) pour garantir la sécurité des données ;</w:t>
      </w:r>
    </w:p>
    <w:p w14:paraId="6B1C1D4E" w14:textId="77777777" w:rsidR="00CF7C04" w:rsidRPr="00D56EEC" w:rsidRDefault="00CF7C04" w:rsidP="00A97663">
      <w:pPr>
        <w:pStyle w:val="Paragraphedeliste"/>
        <w:numPr>
          <w:ilvl w:val="0"/>
          <w:numId w:val="16"/>
        </w:numPr>
        <w:spacing w:after="240"/>
        <w:jc w:val="both"/>
        <w:rPr>
          <w:i/>
          <w:sz w:val="24"/>
          <w:szCs w:val="24"/>
        </w:rPr>
      </w:pPr>
      <w:r w:rsidRPr="00D56EEC">
        <w:rPr>
          <w:i/>
          <w:sz w:val="24"/>
          <w:szCs w:val="24"/>
        </w:rPr>
        <w:t>La disponibilité des rapports des enquêtes nationales (EDS, MICS) alignée sur les périodes d’évaluation et de planification stratégique.</w:t>
      </w:r>
    </w:p>
    <w:p w14:paraId="309D290E" w14:textId="77777777" w:rsidR="00CF7C04" w:rsidRPr="00D56EEC" w:rsidRDefault="00CF7C04" w:rsidP="00D56EEC">
      <w:pPr>
        <w:pStyle w:val="Paragraphedeliste"/>
        <w:spacing w:after="240"/>
        <w:jc w:val="both"/>
        <w:rPr>
          <w:i/>
          <w:sz w:val="24"/>
          <w:szCs w:val="24"/>
        </w:rPr>
      </w:pPr>
    </w:p>
    <w:p w14:paraId="183CD156" w14:textId="77777777" w:rsidR="00CF7C04" w:rsidRPr="00D56EEC" w:rsidRDefault="00CF7C04" w:rsidP="00D56EEC">
      <w:pPr>
        <w:pStyle w:val="Paragraphedeliste"/>
        <w:numPr>
          <w:ilvl w:val="2"/>
          <w:numId w:val="1"/>
        </w:numPr>
        <w:spacing w:after="0"/>
        <w:jc w:val="both"/>
        <w:rPr>
          <w:rFonts w:cs="SimSun"/>
          <w:sz w:val="24"/>
          <w:szCs w:val="24"/>
        </w:rPr>
      </w:pPr>
      <w:r w:rsidRPr="00D56EEC">
        <w:rPr>
          <w:sz w:val="24"/>
          <w:szCs w:val="24"/>
        </w:rPr>
        <w:t xml:space="preserve">LA DEMARCHE QUALITE : </w:t>
      </w:r>
      <w:r w:rsidRPr="00D56EEC">
        <w:rPr>
          <w:rFonts w:cs="SimSun"/>
          <w:sz w:val="24"/>
          <w:szCs w:val="24"/>
        </w:rPr>
        <w:t>APPROCHE DES SOINS INTEGRES CENTRES SUR LES PERSONNES ET LA SECURITE DES PATIENTS.</w:t>
      </w:r>
    </w:p>
    <w:p w14:paraId="70377C26" w14:textId="77777777" w:rsidR="00CF7C04" w:rsidRPr="00D56EEC" w:rsidRDefault="00CF7C04" w:rsidP="00D56EEC">
      <w:pPr>
        <w:pStyle w:val="Paragraphedeliste"/>
        <w:numPr>
          <w:ilvl w:val="3"/>
          <w:numId w:val="1"/>
        </w:numPr>
        <w:spacing w:after="0"/>
        <w:jc w:val="both"/>
        <w:rPr>
          <w:rFonts w:cs="SimSun"/>
          <w:b/>
          <w:sz w:val="24"/>
          <w:szCs w:val="24"/>
        </w:rPr>
      </w:pPr>
      <w:r w:rsidRPr="00D56EEC">
        <w:rPr>
          <w:rFonts w:cs="SimSun"/>
          <w:b/>
          <w:sz w:val="24"/>
          <w:szCs w:val="24"/>
        </w:rPr>
        <w:t>Principaux constats</w:t>
      </w:r>
      <w:r w:rsidRPr="00D56EEC">
        <w:rPr>
          <w:rStyle w:val="Appelnotedebasdep"/>
          <w:rFonts w:cs="SimSun"/>
          <w:b/>
          <w:sz w:val="24"/>
          <w:szCs w:val="24"/>
        </w:rPr>
        <w:footnoteReference w:id="83"/>
      </w:r>
      <w:r w:rsidRPr="00D56EEC">
        <w:rPr>
          <w:rFonts w:cs="SimSun"/>
          <w:b/>
          <w:sz w:val="24"/>
          <w:szCs w:val="24"/>
        </w:rPr>
        <w:t xml:space="preserve"> </w:t>
      </w:r>
    </w:p>
    <w:p w14:paraId="1BA2A894" w14:textId="77777777" w:rsidR="00CF7C04" w:rsidRPr="00D56EEC" w:rsidRDefault="00CF7C04" w:rsidP="00A97663">
      <w:pPr>
        <w:pStyle w:val="Paragraphedeliste"/>
        <w:numPr>
          <w:ilvl w:val="0"/>
          <w:numId w:val="17"/>
        </w:numPr>
        <w:jc w:val="both"/>
        <w:rPr>
          <w:sz w:val="24"/>
          <w:szCs w:val="24"/>
        </w:rPr>
      </w:pPr>
      <w:r w:rsidRPr="00D56EEC">
        <w:rPr>
          <w:sz w:val="24"/>
          <w:szCs w:val="24"/>
        </w:rPr>
        <w:t>Une faible organisation et coordination des services de santé qui ne sont pas centrées sur le bénéficiaire.</w:t>
      </w:r>
    </w:p>
    <w:p w14:paraId="4A2A0976" w14:textId="77777777" w:rsidR="00CF7C04" w:rsidRPr="00D56EEC" w:rsidRDefault="00CF7C04" w:rsidP="00A97663">
      <w:pPr>
        <w:pStyle w:val="Paragraphedeliste"/>
        <w:numPr>
          <w:ilvl w:val="0"/>
          <w:numId w:val="17"/>
        </w:numPr>
        <w:jc w:val="both"/>
        <w:rPr>
          <w:sz w:val="24"/>
          <w:szCs w:val="24"/>
        </w:rPr>
      </w:pPr>
      <w:r w:rsidRPr="00D56EEC">
        <w:rPr>
          <w:sz w:val="24"/>
          <w:szCs w:val="24"/>
        </w:rPr>
        <w:t>Les compétences ne sont pas maitrisées : aucun système de vérification et suivi des compétences.</w:t>
      </w:r>
    </w:p>
    <w:p w14:paraId="49B9C996" w14:textId="77777777" w:rsidR="00CF7C04" w:rsidRPr="00D56EEC" w:rsidRDefault="00CF7C04" w:rsidP="00A97663">
      <w:pPr>
        <w:pStyle w:val="Paragraphedeliste"/>
        <w:numPr>
          <w:ilvl w:val="0"/>
          <w:numId w:val="17"/>
        </w:numPr>
        <w:jc w:val="both"/>
        <w:rPr>
          <w:sz w:val="24"/>
          <w:szCs w:val="24"/>
        </w:rPr>
      </w:pPr>
      <w:r w:rsidRPr="00D56EEC">
        <w:rPr>
          <w:sz w:val="24"/>
          <w:szCs w:val="24"/>
        </w:rPr>
        <w:t>La gestion des bénéficiaires et des accompagnants est insuffisante :  pas de procédure d’organisation du séjour des usagers.</w:t>
      </w:r>
    </w:p>
    <w:p w14:paraId="77775189" w14:textId="77777777" w:rsidR="00CF7C04" w:rsidRPr="00D56EEC" w:rsidRDefault="00CF7C04" w:rsidP="00A97663">
      <w:pPr>
        <w:pStyle w:val="Paragraphedeliste"/>
        <w:numPr>
          <w:ilvl w:val="0"/>
          <w:numId w:val="17"/>
        </w:numPr>
        <w:jc w:val="both"/>
        <w:rPr>
          <w:sz w:val="24"/>
          <w:szCs w:val="24"/>
        </w:rPr>
      </w:pPr>
      <w:r w:rsidRPr="00D56EEC">
        <w:rPr>
          <w:sz w:val="24"/>
          <w:szCs w:val="24"/>
        </w:rPr>
        <w:t>Les prestations techniques ne sont pas de qualité : absence ou incomplétude de l’examen physique, démarche diagnostique incohérente, prescription médicamenteuse inadéquate, surveillance insuffisance, supports de soins incomplètement renseignés et mal tenus, absence d’évaluation des pratiques professionnelles, audits de décès maternels et néonataux rarement menées, dégradation progressive du professionnalisme et de la déontologie.</w:t>
      </w:r>
    </w:p>
    <w:p w14:paraId="377FF100" w14:textId="77777777" w:rsidR="00CF7C04" w:rsidRPr="00D56EEC" w:rsidRDefault="00CF7C04" w:rsidP="00A97663">
      <w:pPr>
        <w:pStyle w:val="Paragraphedeliste"/>
        <w:numPr>
          <w:ilvl w:val="0"/>
          <w:numId w:val="17"/>
        </w:numPr>
        <w:jc w:val="both"/>
        <w:rPr>
          <w:sz w:val="24"/>
          <w:szCs w:val="24"/>
        </w:rPr>
      </w:pPr>
      <w:r w:rsidRPr="00D56EEC">
        <w:rPr>
          <w:sz w:val="24"/>
          <w:szCs w:val="24"/>
        </w:rPr>
        <w:t>La confidentialité et la protection des données des usagers est insuffisante.</w:t>
      </w:r>
    </w:p>
    <w:p w14:paraId="424D6D22" w14:textId="77777777" w:rsidR="00CF7C04" w:rsidRPr="00D56EEC" w:rsidRDefault="00CF7C04" w:rsidP="00A97663">
      <w:pPr>
        <w:pStyle w:val="Paragraphedeliste"/>
        <w:numPr>
          <w:ilvl w:val="0"/>
          <w:numId w:val="17"/>
        </w:numPr>
        <w:jc w:val="both"/>
        <w:rPr>
          <w:sz w:val="24"/>
          <w:szCs w:val="24"/>
        </w:rPr>
      </w:pPr>
      <w:r w:rsidRPr="00D56EEC">
        <w:rPr>
          <w:sz w:val="24"/>
          <w:szCs w:val="24"/>
        </w:rPr>
        <w:t>La prévention de l’infection associée aux soins n’est pas effective lors des soins : port des EPI, gestion des déchets non maîtrisée.</w:t>
      </w:r>
    </w:p>
    <w:p w14:paraId="2F608CEA" w14:textId="77777777" w:rsidR="00CF7C04" w:rsidRPr="00D56EEC" w:rsidRDefault="00CF7C04" w:rsidP="00A97663">
      <w:pPr>
        <w:pStyle w:val="Paragraphedeliste"/>
        <w:numPr>
          <w:ilvl w:val="0"/>
          <w:numId w:val="17"/>
        </w:numPr>
        <w:jc w:val="both"/>
        <w:rPr>
          <w:sz w:val="24"/>
          <w:szCs w:val="24"/>
        </w:rPr>
      </w:pPr>
      <w:r w:rsidRPr="00D56EEC">
        <w:rPr>
          <w:sz w:val="24"/>
          <w:szCs w:val="24"/>
        </w:rPr>
        <w:lastRenderedPageBreak/>
        <w:t xml:space="preserve">Les infrastructures équipements ne sont pas adaptées, ne répondent à aucune exigence de la sécurité des prestations. Les équipements et matériel sont le plus souvent indisponibles ou immobilisées et la métrologie (balance, pèse bébé, tensiomètre non étalonnés) est absente dans toutes les formations sanitaires. </w:t>
      </w:r>
    </w:p>
    <w:p w14:paraId="260AC580" w14:textId="77777777" w:rsidR="00CF7C04" w:rsidRPr="00D56EEC" w:rsidRDefault="00CF7C04" w:rsidP="00A97663">
      <w:pPr>
        <w:pStyle w:val="Paragraphedeliste"/>
        <w:numPr>
          <w:ilvl w:val="0"/>
          <w:numId w:val="17"/>
        </w:numPr>
        <w:jc w:val="both"/>
        <w:rPr>
          <w:sz w:val="24"/>
          <w:szCs w:val="24"/>
        </w:rPr>
      </w:pPr>
      <w:r w:rsidRPr="00D56EEC">
        <w:rPr>
          <w:sz w:val="24"/>
          <w:szCs w:val="24"/>
        </w:rPr>
        <w:t>La gestion des médicaments est insuffisante : mauvaise conservation des médicaments dans les unités de soins, utilisation de médicaments périmés ou confusions de molécules.</w:t>
      </w:r>
    </w:p>
    <w:p w14:paraId="064786D6" w14:textId="2AF70227" w:rsidR="00CF7C04" w:rsidRPr="00D56EEC" w:rsidRDefault="00D56EEC" w:rsidP="00D56EEC">
      <w:pPr>
        <w:pStyle w:val="Paragraphedeliste"/>
        <w:numPr>
          <w:ilvl w:val="3"/>
          <w:numId w:val="1"/>
        </w:numPr>
        <w:spacing w:after="0"/>
        <w:jc w:val="both"/>
        <w:rPr>
          <w:b/>
          <w:sz w:val="24"/>
          <w:szCs w:val="24"/>
        </w:rPr>
      </w:pPr>
      <w:r>
        <w:rPr>
          <w:b/>
          <w:sz w:val="24"/>
          <w:szCs w:val="24"/>
        </w:rPr>
        <w:t xml:space="preserve">Gaps de performances </w:t>
      </w:r>
    </w:p>
    <w:p w14:paraId="010C703A" w14:textId="77777777" w:rsidR="00CF7C04" w:rsidRPr="00D56EEC" w:rsidRDefault="00CF7C04" w:rsidP="00A97663">
      <w:pPr>
        <w:pStyle w:val="Paragraphedeliste"/>
        <w:numPr>
          <w:ilvl w:val="0"/>
          <w:numId w:val="51"/>
        </w:numPr>
        <w:shd w:val="clear" w:color="auto" w:fill="FFFFFF"/>
        <w:spacing w:after="0"/>
        <w:jc w:val="both"/>
        <w:rPr>
          <w:rFonts w:cs="Arial"/>
          <w:sz w:val="24"/>
          <w:szCs w:val="24"/>
        </w:rPr>
      </w:pPr>
      <w:r w:rsidRPr="00D56EEC">
        <w:rPr>
          <w:rFonts w:cs="Arial"/>
          <w:sz w:val="24"/>
          <w:szCs w:val="24"/>
        </w:rPr>
        <w:t xml:space="preserve">L’insuffisante la vision, de coordination, de collaboration et de redevabilité aux différents niveaux du système de santé ne favorisent pas l’amélioration de la qualité des soins centrés sur les personnes et la sécurité des patients ; </w:t>
      </w:r>
    </w:p>
    <w:p w14:paraId="553A0230" w14:textId="77777777" w:rsidR="00CF7C04" w:rsidRPr="00D56EEC" w:rsidRDefault="00CF7C04" w:rsidP="00A97663">
      <w:pPr>
        <w:pStyle w:val="Paragraphedeliste"/>
        <w:numPr>
          <w:ilvl w:val="0"/>
          <w:numId w:val="51"/>
        </w:numPr>
        <w:shd w:val="clear" w:color="auto" w:fill="FFFFFF"/>
        <w:spacing w:after="0"/>
        <w:jc w:val="both"/>
        <w:rPr>
          <w:rFonts w:cs="Arial"/>
          <w:sz w:val="24"/>
          <w:szCs w:val="24"/>
        </w:rPr>
      </w:pPr>
      <w:r w:rsidRPr="00D56EEC">
        <w:rPr>
          <w:rFonts w:cs="Arial"/>
          <w:sz w:val="24"/>
          <w:szCs w:val="24"/>
        </w:rPr>
        <w:t>La qualité de l’offre et des soins et services de centrés sur les personnes et la sécurité des patients dans toutes les structures sanitaires sont insuffisantes </w:t>
      </w:r>
    </w:p>
    <w:p w14:paraId="2D72D038" w14:textId="77777777" w:rsidR="00CF7C04" w:rsidRPr="00D56EEC" w:rsidRDefault="00CF7C04" w:rsidP="00A97663">
      <w:pPr>
        <w:pStyle w:val="Paragraphedeliste"/>
        <w:numPr>
          <w:ilvl w:val="0"/>
          <w:numId w:val="51"/>
        </w:numPr>
        <w:shd w:val="clear" w:color="auto" w:fill="FFFFFF"/>
        <w:spacing w:after="0"/>
        <w:jc w:val="both"/>
        <w:rPr>
          <w:rFonts w:cs="Arial"/>
          <w:i/>
          <w:sz w:val="24"/>
          <w:szCs w:val="24"/>
        </w:rPr>
      </w:pPr>
      <w:r w:rsidRPr="00D56EEC">
        <w:rPr>
          <w:rFonts w:cs="Arial"/>
          <w:sz w:val="24"/>
          <w:szCs w:val="24"/>
        </w:rPr>
        <w:t>La qualité de la mise en œuvre des actions de promotion de la santé et la lutte contre la maladie est insuffisante</w:t>
      </w:r>
      <w:r w:rsidRPr="00D56EEC">
        <w:rPr>
          <w:rFonts w:cs="Arial"/>
          <w:i/>
          <w:sz w:val="24"/>
          <w:szCs w:val="24"/>
        </w:rPr>
        <w:t xml:space="preserve"> ; </w:t>
      </w:r>
    </w:p>
    <w:p w14:paraId="28AABF0D" w14:textId="77777777" w:rsidR="00CF7C04" w:rsidRPr="00D56EEC" w:rsidRDefault="00CF7C04" w:rsidP="00A97663">
      <w:pPr>
        <w:pStyle w:val="Paragraphedeliste"/>
        <w:numPr>
          <w:ilvl w:val="0"/>
          <w:numId w:val="51"/>
        </w:numPr>
        <w:shd w:val="clear" w:color="auto" w:fill="FFFFFF"/>
        <w:spacing w:after="0"/>
        <w:jc w:val="both"/>
        <w:rPr>
          <w:rFonts w:cs="Arial"/>
          <w:i/>
          <w:sz w:val="24"/>
          <w:szCs w:val="24"/>
        </w:rPr>
      </w:pPr>
      <w:r w:rsidRPr="00D56EEC">
        <w:rPr>
          <w:rFonts w:cs="Arial"/>
          <w:sz w:val="24"/>
          <w:szCs w:val="24"/>
        </w:rPr>
        <w:t>Les ressources humaines sont insuffisantes pour contribuer à l’amélioration de la qualité de l’offre de soins intégrés centrés sur les personnes et la sécurité des patients</w:t>
      </w:r>
      <w:r w:rsidRPr="00D56EEC">
        <w:rPr>
          <w:rFonts w:cs="Arial"/>
          <w:i/>
          <w:sz w:val="24"/>
          <w:szCs w:val="24"/>
        </w:rPr>
        <w:t>.</w:t>
      </w:r>
      <w:r w:rsidRPr="00D56EEC">
        <w:rPr>
          <w:rFonts w:cs="Arial"/>
          <w:sz w:val="24"/>
          <w:szCs w:val="24"/>
        </w:rPr>
        <w:t xml:space="preserve"> </w:t>
      </w:r>
    </w:p>
    <w:p w14:paraId="39700CDF" w14:textId="77777777" w:rsidR="00CF7C04" w:rsidRPr="00D56EEC" w:rsidRDefault="00CF7C04" w:rsidP="00A97663">
      <w:pPr>
        <w:pStyle w:val="Paragraphedeliste"/>
        <w:numPr>
          <w:ilvl w:val="0"/>
          <w:numId w:val="51"/>
        </w:numPr>
        <w:shd w:val="clear" w:color="auto" w:fill="FFFFFF"/>
        <w:spacing w:after="0"/>
        <w:jc w:val="both"/>
        <w:rPr>
          <w:sz w:val="24"/>
          <w:szCs w:val="24"/>
        </w:rPr>
      </w:pPr>
      <w:r w:rsidRPr="00D56EEC">
        <w:rPr>
          <w:rFonts w:cs="Arial"/>
          <w:sz w:val="24"/>
          <w:szCs w:val="24"/>
        </w:rPr>
        <w:t>Les infrastructures, équipements médicotechniques, logistique roulante, produits de santé sont insuffisants pour contribuer à une offre de soins et services de qualité intégrés centrés sur les personnes et la sécurité des patients</w:t>
      </w:r>
      <w:r w:rsidRPr="00D56EEC">
        <w:rPr>
          <w:rFonts w:cs="Arial"/>
          <w:i/>
          <w:sz w:val="24"/>
          <w:szCs w:val="24"/>
        </w:rPr>
        <w:t xml:space="preserve"> ;</w:t>
      </w:r>
    </w:p>
    <w:p w14:paraId="1AAA94DD" w14:textId="77777777" w:rsidR="00CF7C04" w:rsidRPr="00D56EEC" w:rsidRDefault="00CF7C04" w:rsidP="00A97663">
      <w:pPr>
        <w:pStyle w:val="Paragraphedeliste"/>
        <w:numPr>
          <w:ilvl w:val="0"/>
          <w:numId w:val="51"/>
        </w:numPr>
        <w:shd w:val="clear" w:color="auto" w:fill="FFFFFF"/>
        <w:spacing w:after="0"/>
        <w:jc w:val="both"/>
        <w:rPr>
          <w:sz w:val="24"/>
          <w:szCs w:val="24"/>
        </w:rPr>
      </w:pPr>
      <w:r w:rsidRPr="00D56EEC">
        <w:rPr>
          <w:rFonts w:cs="Arial"/>
          <w:sz w:val="24"/>
          <w:szCs w:val="24"/>
        </w:rPr>
        <w:t>Le suivi, l’évaluation et la capitalisation des prestations et des données sont insuffisants pour la prise de décision adéquate </w:t>
      </w:r>
    </w:p>
    <w:p w14:paraId="1D1DB190" w14:textId="77777777" w:rsidR="00CF7C04" w:rsidRPr="00D56EEC" w:rsidRDefault="00CF7C04" w:rsidP="00A97663">
      <w:pPr>
        <w:pStyle w:val="Paragraphedeliste"/>
        <w:numPr>
          <w:ilvl w:val="0"/>
          <w:numId w:val="51"/>
        </w:numPr>
        <w:shd w:val="clear" w:color="auto" w:fill="FFFFFF"/>
        <w:spacing w:after="0"/>
        <w:jc w:val="both"/>
        <w:rPr>
          <w:sz w:val="24"/>
          <w:szCs w:val="24"/>
        </w:rPr>
      </w:pPr>
      <w:r w:rsidRPr="00D56EEC">
        <w:rPr>
          <w:rFonts w:cs="Arial"/>
          <w:sz w:val="24"/>
          <w:szCs w:val="24"/>
        </w:rPr>
        <w:t xml:space="preserve">La promotion de la recherche et l’utilisation des résultats de la recherche sont insuffisantes pour améliorer la qualité des soins intégrés centrés sur les personnes et la sécurité des patients. </w:t>
      </w:r>
    </w:p>
    <w:p w14:paraId="17319B89" w14:textId="77777777" w:rsidR="00CF7C04" w:rsidRPr="00D56EEC" w:rsidRDefault="00CF7C04" w:rsidP="00A97663">
      <w:pPr>
        <w:pStyle w:val="Paragraphedeliste"/>
        <w:numPr>
          <w:ilvl w:val="0"/>
          <w:numId w:val="51"/>
        </w:numPr>
        <w:shd w:val="clear" w:color="auto" w:fill="FFFFFF"/>
        <w:jc w:val="both"/>
        <w:rPr>
          <w:sz w:val="24"/>
          <w:szCs w:val="24"/>
        </w:rPr>
      </w:pPr>
      <w:r w:rsidRPr="00D56EEC">
        <w:rPr>
          <w:rFonts w:cs="Arial"/>
          <w:sz w:val="24"/>
          <w:szCs w:val="24"/>
        </w:rPr>
        <w:t>Le financement des actions d’amélioration de la qualité des soins intégrés centrés sur les personnes et la sécurité des patients est insuffisant.</w:t>
      </w:r>
    </w:p>
    <w:p w14:paraId="65288F6A" w14:textId="77777777" w:rsidR="00CF7C04" w:rsidRPr="00D56EEC" w:rsidRDefault="00CF7C04" w:rsidP="00D56EEC">
      <w:pPr>
        <w:pStyle w:val="Paragraphedeliste"/>
        <w:shd w:val="clear" w:color="auto" w:fill="FFFFFF"/>
        <w:ind w:left="360"/>
        <w:jc w:val="both"/>
        <w:rPr>
          <w:sz w:val="24"/>
          <w:szCs w:val="24"/>
        </w:rPr>
      </w:pPr>
    </w:p>
    <w:p w14:paraId="6012BBA2" w14:textId="77777777" w:rsidR="00CF7C04" w:rsidRPr="00D56EEC" w:rsidRDefault="00CF7C04" w:rsidP="00D56EEC">
      <w:pPr>
        <w:pStyle w:val="Paragraphedeliste"/>
        <w:numPr>
          <w:ilvl w:val="2"/>
          <w:numId w:val="1"/>
        </w:numPr>
        <w:spacing w:after="0"/>
        <w:jc w:val="both"/>
        <w:rPr>
          <w:rFonts w:eastAsia="Times New Roman" w:cs="Times New Roman"/>
          <w:color w:val="000000"/>
          <w:sz w:val="24"/>
          <w:szCs w:val="24"/>
          <w:lang w:eastAsia="fr-FR"/>
        </w:rPr>
      </w:pPr>
      <w:r w:rsidRPr="00D56EEC">
        <w:rPr>
          <w:rFonts w:eastAsia="Times New Roman" w:cs="Times New Roman"/>
          <w:color w:val="000000"/>
          <w:sz w:val="24"/>
          <w:szCs w:val="24"/>
          <w:lang w:eastAsia="fr-FR"/>
        </w:rPr>
        <w:t>GOUVERNANCE ET COORDINATION</w:t>
      </w:r>
    </w:p>
    <w:p w14:paraId="49B525CB" w14:textId="77777777" w:rsidR="00CF7C04" w:rsidRPr="00D56EEC" w:rsidRDefault="00CF7C04" w:rsidP="00D56EEC">
      <w:pPr>
        <w:pStyle w:val="Paragraphedeliste"/>
        <w:numPr>
          <w:ilvl w:val="3"/>
          <w:numId w:val="1"/>
        </w:numPr>
        <w:spacing w:after="0"/>
        <w:jc w:val="both"/>
        <w:rPr>
          <w:rFonts w:eastAsia="Times New Roman" w:cs="Times New Roman"/>
          <w:b/>
          <w:color w:val="000000"/>
          <w:sz w:val="24"/>
          <w:szCs w:val="24"/>
          <w:lang w:eastAsia="fr-FR"/>
        </w:rPr>
      </w:pPr>
      <w:r w:rsidRPr="00D56EEC">
        <w:rPr>
          <w:rFonts w:eastAsia="Times New Roman" w:cs="Times New Roman"/>
          <w:b/>
          <w:color w:val="000000"/>
          <w:sz w:val="24"/>
          <w:szCs w:val="24"/>
          <w:lang w:eastAsia="fr-FR"/>
        </w:rPr>
        <w:t>Performances</w:t>
      </w:r>
    </w:p>
    <w:p w14:paraId="4577C4D2" w14:textId="77777777" w:rsidR="00CF7C04" w:rsidRPr="00D56EEC" w:rsidRDefault="00CF7C04" w:rsidP="00D56EEC">
      <w:pPr>
        <w:spacing w:after="0"/>
        <w:jc w:val="both"/>
        <w:rPr>
          <w:rFonts w:cs="TT213t00"/>
          <w:sz w:val="24"/>
          <w:szCs w:val="24"/>
        </w:rPr>
      </w:pPr>
      <w:r w:rsidRPr="00D56EEC">
        <w:rPr>
          <w:rFonts w:eastAsia="Times New Roman" w:cs="Times New Roman"/>
          <w:color w:val="000000"/>
          <w:sz w:val="24"/>
          <w:szCs w:val="24"/>
          <w:lang w:eastAsia="fr-FR"/>
        </w:rPr>
        <w:t xml:space="preserve">Le cadre stratégique et opérationnel est en place avec (i) </w:t>
      </w:r>
      <w:r w:rsidRPr="00D56EEC">
        <w:rPr>
          <w:rFonts w:cs="Futura-Bold"/>
          <w:bCs/>
          <w:sz w:val="24"/>
          <w:szCs w:val="24"/>
        </w:rPr>
        <w:t>les ODD, (ii) la stratégie mondiale pour la santé de la femme, de l’enfant et de l’adolescent (2016-2030),</w:t>
      </w:r>
      <w:r w:rsidRPr="00D56EEC">
        <w:rPr>
          <w:rFonts w:eastAsia="Times New Roman" w:cs="Times New Roman"/>
          <w:color w:val="000000"/>
          <w:sz w:val="24"/>
          <w:szCs w:val="24"/>
          <w:lang w:eastAsia="fr-FR"/>
        </w:rPr>
        <w:t xml:space="preserve"> (iii) le PNDES, (iv) le PNDS 2011-2020, (v) l</w:t>
      </w:r>
      <w:r w:rsidRPr="00D56EEC">
        <w:rPr>
          <w:rFonts w:cs="Arial"/>
          <w:color w:val="000000"/>
          <w:sz w:val="24"/>
          <w:szCs w:val="24"/>
        </w:rPr>
        <w:t xml:space="preserve">e </w:t>
      </w:r>
      <w:r w:rsidRPr="00D56EEC">
        <w:rPr>
          <w:rFonts w:cs="Arial"/>
          <w:bCs/>
          <w:color w:val="000000"/>
          <w:sz w:val="24"/>
          <w:szCs w:val="24"/>
        </w:rPr>
        <w:t>Plan stratégique intégré de la sante reproductive, maternelle, néonatale, infantile, des adolescents, des jeunes et de la personne âgée (SRMNIA-PA) 2017-2020</w:t>
      </w:r>
      <w:r w:rsidRPr="00D56EEC">
        <w:rPr>
          <w:rFonts w:eastAsia="Times New Roman" w:cs="Times New Roman"/>
          <w:color w:val="000000"/>
          <w:sz w:val="24"/>
          <w:szCs w:val="24"/>
          <w:lang w:eastAsia="fr-FR"/>
        </w:rPr>
        <w:t xml:space="preserve">, (vi) le </w:t>
      </w:r>
      <w:r w:rsidRPr="00D56EEC">
        <w:rPr>
          <w:rFonts w:cs="TT213t00"/>
          <w:sz w:val="24"/>
          <w:szCs w:val="24"/>
        </w:rPr>
        <w:t>Plan de passage à l’échelle de la promotion des pratiques optimales d’alimentation du</w:t>
      </w:r>
      <w:r w:rsidRPr="00D56EEC">
        <w:rPr>
          <w:rFonts w:eastAsia="Times New Roman" w:cs="Times New Roman"/>
          <w:color w:val="000000"/>
          <w:sz w:val="24"/>
          <w:szCs w:val="24"/>
          <w:lang w:eastAsia="fr-FR"/>
        </w:rPr>
        <w:t xml:space="preserve"> </w:t>
      </w:r>
      <w:r w:rsidRPr="00D56EEC">
        <w:rPr>
          <w:rFonts w:cs="TT213t00"/>
          <w:sz w:val="24"/>
          <w:szCs w:val="24"/>
        </w:rPr>
        <w:t>nourrisson et du jeune enfant au BURKINA FASO (2013 – 2025).</w:t>
      </w:r>
    </w:p>
    <w:p w14:paraId="1EC69198" w14:textId="77777777" w:rsidR="00CF7C04" w:rsidRPr="00D56EEC" w:rsidRDefault="00CF7C04" w:rsidP="00D56EEC">
      <w:pPr>
        <w:pStyle w:val="Standard"/>
        <w:spacing w:before="60" w:after="60"/>
        <w:jc w:val="both"/>
        <w:rPr>
          <w:rFonts w:asciiTheme="minorHAnsi" w:hAnsiTheme="minorHAnsi" w:cstheme="minorHAnsi"/>
          <w:color w:val="auto"/>
        </w:rPr>
      </w:pPr>
      <w:r w:rsidRPr="00D56EEC">
        <w:rPr>
          <w:rFonts w:asciiTheme="minorHAnsi" w:hAnsiTheme="minorHAnsi" w:cs="TT213t00"/>
        </w:rPr>
        <w:t>Le cadre de coordination des activités pour l’élaboration du dossier d’investissement en SRMNEA-N et ECSV est en place et comprend (i)</w:t>
      </w:r>
      <w:r w:rsidRPr="00D56EEC">
        <w:rPr>
          <w:rFonts w:asciiTheme="minorHAnsi" w:hAnsiTheme="minorHAnsi" w:cstheme="minorHAnsi"/>
          <w:color w:val="auto"/>
        </w:rPr>
        <w:t xml:space="preserve"> le cadre sectoriel de dialogue retenu comme plateforme globale pour le GFF et (ii) l’équipe fonctionnelle 7 retenue comme plateforme technique pour conduire le processus l’élaboration du dossier d’investissement. </w:t>
      </w:r>
    </w:p>
    <w:p w14:paraId="42CC3DE0" w14:textId="77777777" w:rsidR="00CF7C04" w:rsidRPr="00D56EEC" w:rsidRDefault="00CF7C04" w:rsidP="00D56EEC">
      <w:pPr>
        <w:pStyle w:val="Standard"/>
        <w:spacing w:before="60" w:after="60"/>
        <w:jc w:val="both"/>
        <w:rPr>
          <w:rFonts w:asciiTheme="minorHAnsi" w:hAnsiTheme="minorHAnsi"/>
          <w:color w:val="262626" w:themeColor="text1" w:themeTint="D9"/>
        </w:rPr>
      </w:pPr>
      <w:r w:rsidRPr="00D56EEC">
        <w:rPr>
          <w:rFonts w:asciiTheme="minorHAnsi" w:hAnsiTheme="minorHAnsi" w:cstheme="minorHAnsi"/>
          <w:color w:val="auto"/>
        </w:rPr>
        <w:t xml:space="preserve">Le rapport d’étude sur la </w:t>
      </w:r>
      <w:r w:rsidRPr="00D56EEC">
        <w:rPr>
          <w:rFonts w:asciiTheme="minorHAnsi" w:hAnsiTheme="minorHAnsi"/>
          <w:color w:val="262626" w:themeColor="text1" w:themeTint="D9"/>
        </w:rPr>
        <w:t>Cartographie des interventions, intervenants et financements en SRMNEA-N au Burkina Faso est disponible.</w:t>
      </w:r>
    </w:p>
    <w:p w14:paraId="306E830F" w14:textId="611A6DBB" w:rsidR="00CF7C04" w:rsidRPr="00D56EEC" w:rsidRDefault="00CF7C04" w:rsidP="00D56EEC">
      <w:pPr>
        <w:pStyle w:val="Paragraphedeliste"/>
        <w:numPr>
          <w:ilvl w:val="3"/>
          <w:numId w:val="1"/>
        </w:numPr>
        <w:spacing w:after="0"/>
        <w:jc w:val="both"/>
        <w:rPr>
          <w:rFonts w:eastAsia="Times New Roman" w:cs="Times New Roman"/>
          <w:b/>
          <w:color w:val="000000"/>
          <w:sz w:val="24"/>
          <w:szCs w:val="24"/>
          <w:lang w:eastAsia="fr-FR"/>
        </w:rPr>
      </w:pPr>
      <w:r w:rsidRPr="00D56EEC">
        <w:rPr>
          <w:rFonts w:eastAsia="Times New Roman" w:cs="Times New Roman"/>
          <w:b/>
          <w:color w:val="000000"/>
          <w:sz w:val="24"/>
          <w:szCs w:val="24"/>
          <w:lang w:eastAsia="fr-FR"/>
        </w:rPr>
        <w:lastRenderedPageBreak/>
        <w:t>Défis</w:t>
      </w:r>
    </w:p>
    <w:p w14:paraId="1AA69145" w14:textId="77777777" w:rsidR="00CF7C04" w:rsidRPr="00D56EEC" w:rsidRDefault="00CF7C04" w:rsidP="00A97663">
      <w:pPr>
        <w:pStyle w:val="Paragraphedeliste"/>
        <w:numPr>
          <w:ilvl w:val="0"/>
          <w:numId w:val="52"/>
        </w:numPr>
        <w:spacing w:after="0"/>
        <w:jc w:val="both"/>
        <w:rPr>
          <w:rFonts w:eastAsia="Times New Roman" w:cs="Times New Roman"/>
          <w:i/>
          <w:color w:val="000000"/>
          <w:sz w:val="24"/>
          <w:szCs w:val="24"/>
          <w:lang w:eastAsia="fr-FR"/>
        </w:rPr>
      </w:pPr>
      <w:r w:rsidRPr="00D56EEC">
        <w:rPr>
          <w:rFonts w:eastAsia="Times New Roman" w:cs="Times New Roman"/>
          <w:i/>
          <w:color w:val="000000"/>
          <w:sz w:val="24"/>
          <w:szCs w:val="24"/>
          <w:lang w:eastAsia="fr-FR"/>
        </w:rPr>
        <w:t>Le grand défi ou goulot d’étranglement est d’assurer une coordination optimale dans le contexte de la décentralisation pour éviter les chevauchements, les duplications, les zones orphelines et l’iniquité dans la répartition régionale.</w:t>
      </w:r>
    </w:p>
    <w:p w14:paraId="031FCE19" w14:textId="77777777" w:rsidR="00CF7C04" w:rsidRPr="00D56EEC" w:rsidRDefault="00CF7C04" w:rsidP="00D56EEC">
      <w:pPr>
        <w:pStyle w:val="Paragraphedeliste"/>
        <w:spacing w:after="0"/>
        <w:ind w:left="360"/>
        <w:jc w:val="both"/>
        <w:rPr>
          <w:sz w:val="24"/>
          <w:szCs w:val="24"/>
        </w:rPr>
      </w:pPr>
      <w:r w:rsidRPr="00D56EEC">
        <w:rPr>
          <w:sz w:val="24"/>
          <w:szCs w:val="24"/>
        </w:rPr>
        <w:t xml:space="preserve">Parmi les 417 </w:t>
      </w:r>
      <w:r w:rsidRPr="00D56EEC">
        <w:rPr>
          <w:rFonts w:eastAsia="Times New Roman" w:cs="Times New Roman"/>
          <w:color w:val="000000"/>
          <w:sz w:val="24"/>
          <w:szCs w:val="24"/>
          <w:lang w:eastAsia="fr-FR"/>
        </w:rPr>
        <w:t xml:space="preserve">acteurs de mise en œuvre (ONG, Associations, privé), </w:t>
      </w:r>
      <w:r w:rsidRPr="00D56EEC">
        <w:rPr>
          <w:sz w:val="24"/>
          <w:szCs w:val="24"/>
        </w:rPr>
        <w:t>332 menaient des interventions dans le domaine de la santé sexuelle et reproductive (SSR), 259 en santé maternelle et néo-natale, 279 en santé infantile, 283 en santé des adolescents et273 en nutrition. Les acteurs de la mise en œuvre fonctionnent avec les fonds mis à disposition par un nombre important de Catalyseurs et bailleurs de fonds.</w:t>
      </w:r>
    </w:p>
    <w:p w14:paraId="76325A3D" w14:textId="77777777" w:rsidR="00CF7C04" w:rsidRPr="00D56EEC" w:rsidRDefault="00CF7C04" w:rsidP="00A97663">
      <w:pPr>
        <w:pStyle w:val="Paragraphedeliste"/>
        <w:numPr>
          <w:ilvl w:val="0"/>
          <w:numId w:val="52"/>
        </w:numPr>
        <w:spacing w:after="0"/>
        <w:jc w:val="both"/>
        <w:rPr>
          <w:rFonts w:eastAsia="Times New Roman" w:cs="Times New Roman"/>
          <w:i/>
          <w:color w:val="000000"/>
          <w:sz w:val="24"/>
          <w:szCs w:val="24"/>
          <w:lang w:eastAsia="fr-FR"/>
        </w:rPr>
      </w:pPr>
      <w:r w:rsidRPr="00D56EEC">
        <w:rPr>
          <w:i/>
          <w:sz w:val="24"/>
          <w:szCs w:val="24"/>
        </w:rPr>
        <w:t>Garantir un financement durable y compris en recourant à des sources innovantes de financement</w:t>
      </w:r>
    </w:p>
    <w:p w14:paraId="04BCC91B" w14:textId="77777777" w:rsidR="00CF7C04" w:rsidRPr="00D56EEC" w:rsidRDefault="00CF7C04" w:rsidP="00A97663">
      <w:pPr>
        <w:pStyle w:val="Paragraphedeliste"/>
        <w:numPr>
          <w:ilvl w:val="0"/>
          <w:numId w:val="52"/>
        </w:numPr>
        <w:spacing w:after="0"/>
        <w:jc w:val="both"/>
        <w:rPr>
          <w:rFonts w:eastAsia="Times New Roman" w:cs="Times New Roman"/>
          <w:i/>
          <w:color w:val="000000"/>
          <w:sz w:val="24"/>
          <w:szCs w:val="24"/>
          <w:lang w:eastAsia="fr-FR"/>
        </w:rPr>
      </w:pPr>
      <w:r w:rsidRPr="00D56EEC">
        <w:rPr>
          <w:i/>
          <w:sz w:val="24"/>
          <w:szCs w:val="24"/>
        </w:rPr>
        <w:t xml:space="preserve">Développer une culture de redevabilité </w:t>
      </w:r>
    </w:p>
    <w:p w14:paraId="597BCD6D" w14:textId="77777777" w:rsidR="00CF7C04" w:rsidRPr="00D56EEC" w:rsidRDefault="00CF7C04" w:rsidP="00D56EEC">
      <w:pPr>
        <w:tabs>
          <w:tab w:val="left" w:pos="993"/>
        </w:tabs>
        <w:spacing w:after="0"/>
        <w:jc w:val="both"/>
        <w:rPr>
          <w:rFonts w:cs="Arial"/>
          <w:sz w:val="24"/>
          <w:szCs w:val="24"/>
          <w:lang w:val="fr-BE" w:eastAsia="en-GB"/>
        </w:rPr>
      </w:pPr>
    </w:p>
    <w:p w14:paraId="7D84A669" w14:textId="77777777" w:rsidR="00CF7C04" w:rsidRPr="00D56EEC" w:rsidRDefault="00CF7C04" w:rsidP="00D56EEC">
      <w:pPr>
        <w:pStyle w:val="Paragraphedeliste"/>
        <w:numPr>
          <w:ilvl w:val="2"/>
          <w:numId w:val="1"/>
        </w:numPr>
        <w:spacing w:after="0"/>
        <w:jc w:val="both"/>
        <w:rPr>
          <w:sz w:val="24"/>
          <w:szCs w:val="24"/>
        </w:rPr>
      </w:pPr>
      <w:r w:rsidRPr="00D56EEC">
        <w:rPr>
          <w:rFonts w:cs="Arial"/>
          <w:sz w:val="24"/>
          <w:szCs w:val="24"/>
          <w:lang w:val="fr-BE" w:eastAsia="en-GB"/>
        </w:rPr>
        <w:t>LA SANTE</w:t>
      </w:r>
      <w:r w:rsidRPr="00D56EEC">
        <w:rPr>
          <w:sz w:val="24"/>
          <w:szCs w:val="24"/>
        </w:rPr>
        <w:t xml:space="preserve"> COMMUNAUTAIRE.</w:t>
      </w:r>
    </w:p>
    <w:p w14:paraId="64F105D9" w14:textId="77777777" w:rsidR="00CF7C04" w:rsidRPr="00D56EEC" w:rsidRDefault="00CF7C04" w:rsidP="00D56EEC">
      <w:pPr>
        <w:pStyle w:val="Paragraphedeliste"/>
        <w:numPr>
          <w:ilvl w:val="3"/>
          <w:numId w:val="1"/>
        </w:numPr>
        <w:spacing w:after="0"/>
        <w:jc w:val="both"/>
        <w:rPr>
          <w:b/>
          <w:sz w:val="24"/>
          <w:szCs w:val="24"/>
        </w:rPr>
      </w:pPr>
      <w:r w:rsidRPr="00D56EEC">
        <w:rPr>
          <w:b/>
          <w:sz w:val="24"/>
          <w:szCs w:val="24"/>
        </w:rPr>
        <w:t>Performances</w:t>
      </w:r>
    </w:p>
    <w:p w14:paraId="0D7A51D7" w14:textId="187BA097" w:rsidR="00CF7C04" w:rsidRPr="00D56EEC" w:rsidRDefault="00D56EEC" w:rsidP="00D56EEC">
      <w:pPr>
        <w:spacing w:after="0"/>
        <w:jc w:val="both"/>
        <w:rPr>
          <w:sz w:val="24"/>
          <w:szCs w:val="24"/>
        </w:rPr>
      </w:pPr>
      <w:r w:rsidRPr="00D56EEC">
        <w:rPr>
          <w:sz w:val="24"/>
          <w:szCs w:val="24"/>
        </w:rPr>
        <w:t>La santé</w:t>
      </w:r>
      <w:r w:rsidR="00CF7C04" w:rsidRPr="00D56EEC">
        <w:rPr>
          <w:sz w:val="24"/>
          <w:szCs w:val="24"/>
        </w:rPr>
        <w:t xml:space="preserve"> communautaire ou « la santé par les populations et pour les </w:t>
      </w:r>
      <w:r w:rsidRPr="00D56EEC">
        <w:rPr>
          <w:sz w:val="24"/>
          <w:szCs w:val="24"/>
        </w:rPr>
        <w:t>populations »</w:t>
      </w:r>
      <w:r w:rsidR="00CF7C04" w:rsidRPr="00D56EEC">
        <w:rPr>
          <w:sz w:val="24"/>
          <w:szCs w:val="24"/>
        </w:rPr>
        <w:t xml:space="preserve"> est soutenue par la disponibilité dans la communauté de services à base communautaire (SBC) délivré par des membres choisis de la communauté. </w:t>
      </w:r>
    </w:p>
    <w:p w14:paraId="28A2702F" w14:textId="59CC7CCC" w:rsidR="00CF7C04" w:rsidRPr="00D56EEC" w:rsidRDefault="00CF7C04" w:rsidP="00D56EEC">
      <w:pPr>
        <w:spacing w:after="0"/>
        <w:jc w:val="both"/>
        <w:rPr>
          <w:sz w:val="24"/>
          <w:szCs w:val="24"/>
        </w:rPr>
      </w:pPr>
      <w:r w:rsidRPr="00D56EEC">
        <w:rPr>
          <w:sz w:val="24"/>
          <w:szCs w:val="24"/>
        </w:rPr>
        <w:t xml:space="preserve">Au Burkina Faso, les SBC délivrés couvrent </w:t>
      </w:r>
      <w:r w:rsidR="00D56EEC" w:rsidRPr="00D56EEC">
        <w:rPr>
          <w:sz w:val="24"/>
          <w:szCs w:val="24"/>
        </w:rPr>
        <w:t>les domaines curatif</w:t>
      </w:r>
      <w:r w:rsidRPr="00D56EEC">
        <w:rPr>
          <w:sz w:val="24"/>
          <w:szCs w:val="24"/>
        </w:rPr>
        <w:t>, préventif et promotionnel. La prédominance des soins préventifs et promotionnels est en adéquation avec le rôle de promoteur de la santé de l’agent de santé à base communautaire (ASBC) dans la mise en œuvre des interventions à gain rapide (IGR)</w:t>
      </w:r>
      <w:r w:rsidRPr="00D56EEC">
        <w:rPr>
          <w:rStyle w:val="Appelnotedebasdep"/>
          <w:sz w:val="24"/>
          <w:szCs w:val="24"/>
        </w:rPr>
        <w:footnoteReference w:id="84"/>
      </w:r>
      <w:r w:rsidRPr="00D56EEC">
        <w:rPr>
          <w:sz w:val="24"/>
          <w:szCs w:val="24"/>
        </w:rPr>
        <w:t>.</w:t>
      </w:r>
    </w:p>
    <w:p w14:paraId="7AB6950F" w14:textId="77777777" w:rsidR="00CF7C04" w:rsidRPr="00D56EEC" w:rsidRDefault="00CF7C04" w:rsidP="00D56EEC">
      <w:pPr>
        <w:spacing w:after="0"/>
        <w:jc w:val="both"/>
        <w:rPr>
          <w:sz w:val="24"/>
          <w:szCs w:val="24"/>
        </w:rPr>
      </w:pPr>
      <w:r w:rsidRPr="00D56EEC">
        <w:rPr>
          <w:sz w:val="24"/>
          <w:szCs w:val="24"/>
        </w:rPr>
        <w:t>Cette stratégie réduit les distances par l’offre de services de proximité par personnes connues et qui connaissent les préoccupations de la population, diminue la charge de travail des agents des formations sanitaires.</w:t>
      </w:r>
    </w:p>
    <w:p w14:paraId="4981666C" w14:textId="77777777" w:rsidR="00CF7C04" w:rsidRPr="00D56EEC" w:rsidRDefault="00CF7C04" w:rsidP="00D56EEC">
      <w:pPr>
        <w:spacing w:after="0"/>
        <w:jc w:val="both"/>
        <w:rPr>
          <w:sz w:val="24"/>
          <w:szCs w:val="24"/>
        </w:rPr>
      </w:pPr>
      <w:r w:rsidRPr="00D56EEC">
        <w:rPr>
          <w:sz w:val="24"/>
          <w:szCs w:val="24"/>
        </w:rPr>
        <w:t>Les distributions à base communautaire concernent les produits suivants :</w:t>
      </w:r>
    </w:p>
    <w:p w14:paraId="04430E63" w14:textId="77777777" w:rsidR="00CF7C04" w:rsidRPr="00D56EEC" w:rsidRDefault="00CF7C04" w:rsidP="00A97663">
      <w:pPr>
        <w:pStyle w:val="Paragraphedeliste"/>
        <w:numPr>
          <w:ilvl w:val="0"/>
          <w:numId w:val="15"/>
        </w:numPr>
        <w:spacing w:after="0"/>
        <w:jc w:val="both"/>
        <w:rPr>
          <w:sz w:val="24"/>
          <w:szCs w:val="24"/>
        </w:rPr>
      </w:pPr>
      <w:r w:rsidRPr="00D56EEC">
        <w:rPr>
          <w:sz w:val="24"/>
          <w:szCs w:val="24"/>
        </w:rPr>
        <w:t>Les médicaments anti-palustres pour la prise en charge du paludisme à domicile (PECADO)</w:t>
      </w:r>
    </w:p>
    <w:p w14:paraId="1B8B9494" w14:textId="77777777" w:rsidR="00CF7C04" w:rsidRPr="00D56EEC" w:rsidRDefault="00CF7C04" w:rsidP="00A97663">
      <w:pPr>
        <w:pStyle w:val="Paragraphedeliste"/>
        <w:numPr>
          <w:ilvl w:val="0"/>
          <w:numId w:val="15"/>
        </w:numPr>
        <w:spacing w:after="0"/>
        <w:jc w:val="both"/>
        <w:rPr>
          <w:sz w:val="24"/>
          <w:szCs w:val="24"/>
        </w:rPr>
      </w:pPr>
      <w:r w:rsidRPr="00D56EEC">
        <w:rPr>
          <w:sz w:val="24"/>
          <w:szCs w:val="24"/>
        </w:rPr>
        <w:t>Le SRO, Zinc, Vitamine A, la supplémentation en Fer, en Acide folique et en Iode, de la promotion de l’hygiène alimentaire par le lavage des mains et de la promotion de l’allaitement maternel.</w:t>
      </w:r>
    </w:p>
    <w:p w14:paraId="54CFB679" w14:textId="77777777" w:rsidR="00CF7C04" w:rsidRPr="00D56EEC" w:rsidRDefault="00CF7C04" w:rsidP="00A97663">
      <w:pPr>
        <w:pStyle w:val="Paragraphedeliste"/>
        <w:numPr>
          <w:ilvl w:val="0"/>
          <w:numId w:val="15"/>
        </w:numPr>
        <w:spacing w:after="0"/>
        <w:jc w:val="both"/>
        <w:rPr>
          <w:sz w:val="24"/>
          <w:szCs w:val="24"/>
        </w:rPr>
      </w:pPr>
      <w:r w:rsidRPr="00D56EEC">
        <w:rPr>
          <w:sz w:val="24"/>
          <w:szCs w:val="24"/>
        </w:rPr>
        <w:t>Les moustiquaires imprégnées d’insecticide à longue durée d’action (MILDA).</w:t>
      </w:r>
    </w:p>
    <w:p w14:paraId="3F982F73" w14:textId="77777777" w:rsidR="00CF7C04" w:rsidRPr="00D56EEC" w:rsidRDefault="00CF7C04" w:rsidP="00A97663">
      <w:pPr>
        <w:pStyle w:val="Paragraphedeliste"/>
        <w:numPr>
          <w:ilvl w:val="0"/>
          <w:numId w:val="15"/>
        </w:numPr>
        <w:spacing w:after="0"/>
        <w:jc w:val="both"/>
        <w:rPr>
          <w:sz w:val="24"/>
          <w:szCs w:val="24"/>
        </w:rPr>
      </w:pPr>
      <w:r w:rsidRPr="00D56EEC">
        <w:rPr>
          <w:sz w:val="24"/>
          <w:szCs w:val="24"/>
        </w:rPr>
        <w:t>Les produits de contraception</w:t>
      </w:r>
    </w:p>
    <w:p w14:paraId="47FDF472" w14:textId="27F113E7" w:rsidR="00CF7C04" w:rsidRPr="00D56EEC" w:rsidRDefault="00CF7C04" w:rsidP="00466DE6">
      <w:pPr>
        <w:jc w:val="both"/>
        <w:rPr>
          <w:sz w:val="24"/>
          <w:szCs w:val="24"/>
        </w:rPr>
      </w:pPr>
      <w:r w:rsidRPr="00D56EEC">
        <w:rPr>
          <w:sz w:val="24"/>
          <w:szCs w:val="24"/>
        </w:rPr>
        <w:t>D’autres parts les ASVC mènent d’autres activités de promotion de la santé : promotion de l’hygiène alimentaire par le lavage des mains, de l’allaitement maternel, de la planification familiale.</w:t>
      </w:r>
      <w:r w:rsidR="00466DE6">
        <w:rPr>
          <w:sz w:val="24"/>
          <w:szCs w:val="24"/>
        </w:rPr>
        <w:t xml:space="preserve"> </w:t>
      </w:r>
      <w:r w:rsidRPr="00D56EEC">
        <w:rPr>
          <w:sz w:val="24"/>
          <w:szCs w:val="24"/>
          <w:lang w:eastAsia="en-GB"/>
        </w:rPr>
        <w:t xml:space="preserve">En 2016, la santé communautaire a été renforcée par le recrutement de </w:t>
      </w:r>
      <w:r w:rsidRPr="00D56EEC">
        <w:rPr>
          <w:sz w:val="24"/>
          <w:szCs w:val="24"/>
        </w:rPr>
        <w:t>deux ASBC par village administratif, soit 16.000 ASBC, bénéficiant d’une motivation de 20 000 FCFA/mois.</w:t>
      </w:r>
    </w:p>
    <w:p w14:paraId="7497A72E" w14:textId="77777777" w:rsidR="00CF7C04" w:rsidRPr="00D56EEC" w:rsidRDefault="00CF7C04" w:rsidP="00D56EEC">
      <w:pPr>
        <w:pStyle w:val="Paragraphedeliste"/>
        <w:numPr>
          <w:ilvl w:val="3"/>
          <w:numId w:val="1"/>
        </w:numPr>
        <w:spacing w:after="0"/>
        <w:jc w:val="both"/>
        <w:rPr>
          <w:b/>
          <w:sz w:val="24"/>
          <w:szCs w:val="24"/>
        </w:rPr>
      </w:pPr>
      <w:r w:rsidRPr="00D56EEC">
        <w:rPr>
          <w:b/>
          <w:sz w:val="24"/>
          <w:szCs w:val="24"/>
        </w:rPr>
        <w:t>Goulots d’étranglement</w:t>
      </w:r>
      <w:r w:rsidRPr="00D56EEC">
        <w:rPr>
          <w:rStyle w:val="Appelnotedebasdep"/>
          <w:b/>
          <w:sz w:val="24"/>
          <w:szCs w:val="24"/>
        </w:rPr>
        <w:footnoteReference w:id="85"/>
      </w:r>
      <w:r w:rsidRPr="00D56EEC">
        <w:rPr>
          <w:b/>
          <w:sz w:val="24"/>
          <w:szCs w:val="24"/>
        </w:rPr>
        <w:t> :</w:t>
      </w:r>
    </w:p>
    <w:p w14:paraId="78F593E2" w14:textId="77777777" w:rsidR="00CF7C04" w:rsidRPr="00D56EEC" w:rsidRDefault="00CF7C04" w:rsidP="00A97663">
      <w:pPr>
        <w:numPr>
          <w:ilvl w:val="0"/>
          <w:numId w:val="53"/>
        </w:numPr>
        <w:spacing w:after="0"/>
        <w:jc w:val="both"/>
        <w:rPr>
          <w:rFonts w:eastAsia="Times New Roman" w:cs="Arial"/>
          <w:sz w:val="24"/>
          <w:szCs w:val="24"/>
          <w:lang w:eastAsia="fr-FR"/>
        </w:rPr>
      </w:pPr>
      <w:r w:rsidRPr="00D56EEC">
        <w:rPr>
          <w:rFonts w:eastAsia="Times New Roman" w:cs="Arial"/>
          <w:sz w:val="24"/>
          <w:szCs w:val="24"/>
          <w:lang w:eastAsia="fr-FR"/>
        </w:rPr>
        <w:lastRenderedPageBreak/>
        <w:t>L’offre de services à base communautaire de qualité est insuffisante ;</w:t>
      </w:r>
    </w:p>
    <w:p w14:paraId="00372ED4" w14:textId="77777777" w:rsidR="00CF7C04" w:rsidRPr="00D56EEC" w:rsidRDefault="00CF7C04" w:rsidP="00A97663">
      <w:pPr>
        <w:numPr>
          <w:ilvl w:val="0"/>
          <w:numId w:val="53"/>
        </w:numPr>
        <w:spacing w:after="0"/>
        <w:jc w:val="both"/>
        <w:rPr>
          <w:rFonts w:eastAsia="Times New Roman" w:cs="Arial"/>
          <w:sz w:val="24"/>
          <w:szCs w:val="24"/>
          <w:lang w:eastAsia="fr-FR"/>
        </w:rPr>
      </w:pPr>
      <w:r w:rsidRPr="00D56EEC">
        <w:rPr>
          <w:rFonts w:eastAsia="Times New Roman" w:cs="Arial"/>
          <w:sz w:val="24"/>
          <w:szCs w:val="24"/>
          <w:lang w:eastAsia="fr-FR"/>
        </w:rPr>
        <w:t>L’accès aux services de santé à base communautaire est faible ;</w:t>
      </w:r>
    </w:p>
    <w:p w14:paraId="600C39E1" w14:textId="77777777" w:rsidR="00CF7C04" w:rsidRPr="00D56EEC" w:rsidRDefault="00CF7C04" w:rsidP="00A97663">
      <w:pPr>
        <w:numPr>
          <w:ilvl w:val="0"/>
          <w:numId w:val="53"/>
        </w:numPr>
        <w:spacing w:after="0"/>
        <w:jc w:val="both"/>
        <w:rPr>
          <w:rFonts w:eastAsia="Times New Roman" w:cs="Arial"/>
          <w:sz w:val="24"/>
          <w:szCs w:val="24"/>
          <w:lang w:eastAsia="fr-FR"/>
        </w:rPr>
      </w:pPr>
      <w:r w:rsidRPr="00D56EEC">
        <w:rPr>
          <w:rFonts w:eastAsia="Times New Roman" w:cs="Arial"/>
          <w:sz w:val="24"/>
          <w:szCs w:val="24"/>
          <w:lang w:eastAsia="fr-FR"/>
        </w:rPr>
        <w:t>La coordination et la gestion des SBC sont insuffisantes ;</w:t>
      </w:r>
    </w:p>
    <w:p w14:paraId="501555CA" w14:textId="77777777" w:rsidR="00CF7C04" w:rsidRPr="00D56EEC" w:rsidRDefault="00CF7C04" w:rsidP="00A97663">
      <w:pPr>
        <w:numPr>
          <w:ilvl w:val="0"/>
          <w:numId w:val="53"/>
        </w:numPr>
        <w:spacing w:after="0"/>
        <w:jc w:val="both"/>
        <w:rPr>
          <w:rFonts w:eastAsia="Times New Roman" w:cs="Arial"/>
          <w:sz w:val="24"/>
          <w:szCs w:val="24"/>
          <w:lang w:eastAsia="fr-FR"/>
        </w:rPr>
      </w:pPr>
      <w:r w:rsidRPr="00D56EEC">
        <w:rPr>
          <w:rFonts w:eastAsia="Times New Roman" w:cs="Arial"/>
          <w:sz w:val="24"/>
          <w:szCs w:val="24"/>
          <w:lang w:eastAsia="fr-FR"/>
        </w:rPr>
        <w:t xml:space="preserve">La planification, le suivi et l’évaluation des SBC sont insuffisants ; </w:t>
      </w:r>
    </w:p>
    <w:p w14:paraId="5D890192" w14:textId="77777777" w:rsidR="00CF7C04" w:rsidRPr="00D56EEC" w:rsidRDefault="00CF7C04" w:rsidP="00A97663">
      <w:pPr>
        <w:numPr>
          <w:ilvl w:val="0"/>
          <w:numId w:val="53"/>
        </w:numPr>
        <w:spacing w:after="0"/>
        <w:jc w:val="both"/>
        <w:rPr>
          <w:rFonts w:eastAsia="Times New Roman" w:cs="Arial"/>
          <w:sz w:val="24"/>
          <w:szCs w:val="24"/>
          <w:lang w:eastAsia="fr-FR"/>
        </w:rPr>
      </w:pPr>
      <w:r w:rsidRPr="00D56EEC">
        <w:rPr>
          <w:rFonts w:eastAsia="Times New Roman" w:cs="Arial"/>
          <w:sz w:val="24"/>
          <w:szCs w:val="24"/>
          <w:lang w:eastAsia="fr-FR"/>
        </w:rPr>
        <w:t>La participation communautaire est faible.</w:t>
      </w:r>
    </w:p>
    <w:p w14:paraId="6C0E1A0C" w14:textId="77777777" w:rsidR="00CF7C04" w:rsidRPr="00D56EEC" w:rsidRDefault="00CF7C04" w:rsidP="00D56EEC">
      <w:pPr>
        <w:spacing w:after="0"/>
        <w:ind w:left="360"/>
        <w:jc w:val="both"/>
        <w:rPr>
          <w:rFonts w:eastAsia="Times New Roman" w:cs="Arial"/>
          <w:sz w:val="24"/>
          <w:szCs w:val="24"/>
          <w:lang w:eastAsia="fr-FR"/>
        </w:rPr>
      </w:pPr>
    </w:p>
    <w:p w14:paraId="740A40A8" w14:textId="77777777" w:rsidR="00CF7C04" w:rsidRPr="00D56EEC" w:rsidRDefault="00CF7C04" w:rsidP="00D56EEC">
      <w:pPr>
        <w:pStyle w:val="Paragraphedeliste"/>
        <w:numPr>
          <w:ilvl w:val="2"/>
          <w:numId w:val="1"/>
        </w:numPr>
        <w:spacing w:after="0"/>
        <w:jc w:val="both"/>
        <w:rPr>
          <w:sz w:val="24"/>
          <w:szCs w:val="24"/>
        </w:rPr>
      </w:pPr>
      <w:r w:rsidRPr="00D56EEC">
        <w:rPr>
          <w:sz w:val="24"/>
          <w:szCs w:val="24"/>
        </w:rPr>
        <w:t>DETERMINANTS DE LA SANTE</w:t>
      </w:r>
    </w:p>
    <w:p w14:paraId="485F6870" w14:textId="77777777" w:rsidR="00CF7C04" w:rsidRPr="00D56EEC" w:rsidRDefault="00CF7C04" w:rsidP="00D56EEC">
      <w:pPr>
        <w:pStyle w:val="Paragraphedeliste"/>
        <w:numPr>
          <w:ilvl w:val="3"/>
          <w:numId w:val="1"/>
        </w:numPr>
        <w:spacing w:after="0"/>
        <w:jc w:val="both"/>
        <w:rPr>
          <w:b/>
          <w:sz w:val="24"/>
          <w:szCs w:val="24"/>
        </w:rPr>
      </w:pPr>
      <w:r w:rsidRPr="00D56EEC">
        <w:rPr>
          <w:b/>
          <w:sz w:val="24"/>
          <w:szCs w:val="24"/>
        </w:rPr>
        <w:t>Indice de développement humain</w:t>
      </w:r>
    </w:p>
    <w:p w14:paraId="0F3670D3" w14:textId="7D346D44" w:rsidR="00CF7C04" w:rsidRPr="00D56EEC" w:rsidRDefault="00034D08" w:rsidP="00D56EEC">
      <w:pPr>
        <w:autoSpaceDE w:val="0"/>
        <w:autoSpaceDN w:val="0"/>
        <w:adjustRightInd w:val="0"/>
        <w:spacing w:after="0"/>
        <w:jc w:val="both"/>
        <w:rPr>
          <w:rFonts w:cs="Arial"/>
          <w:sz w:val="24"/>
          <w:szCs w:val="24"/>
        </w:rPr>
      </w:pPr>
      <w:r>
        <w:rPr>
          <w:rFonts w:cs="Arial"/>
          <w:sz w:val="24"/>
          <w:szCs w:val="24"/>
        </w:rPr>
        <w:t>L</w:t>
      </w:r>
      <w:r w:rsidR="00CF7C04" w:rsidRPr="00D56EEC">
        <w:rPr>
          <w:rFonts w:cs="Arial"/>
          <w:sz w:val="24"/>
          <w:szCs w:val="24"/>
        </w:rPr>
        <w:t>e Burkina Faso fait partie des pays les moins avancés et classé 185ème sur 188 pays avec un Indice de développement humain (IDH) de 0,402 en 2016</w:t>
      </w:r>
      <w:r w:rsidR="00CF7C04" w:rsidRPr="00D56EEC">
        <w:rPr>
          <w:rStyle w:val="Appelnotedebasdep"/>
          <w:rFonts w:cs="Arial"/>
          <w:sz w:val="24"/>
          <w:szCs w:val="24"/>
        </w:rPr>
        <w:footnoteReference w:id="86"/>
      </w:r>
      <w:r w:rsidR="00CF7C04" w:rsidRPr="00D56EEC">
        <w:rPr>
          <w:rFonts w:cs="Arial"/>
          <w:sz w:val="24"/>
          <w:szCs w:val="24"/>
        </w:rPr>
        <w:t xml:space="preserve">. </w:t>
      </w:r>
    </w:p>
    <w:p w14:paraId="369303DA" w14:textId="77777777" w:rsidR="00CF7C04" w:rsidRPr="00D56EEC" w:rsidRDefault="00CF7C04" w:rsidP="00D56EEC">
      <w:pPr>
        <w:pStyle w:val="Paragraphedeliste"/>
        <w:numPr>
          <w:ilvl w:val="3"/>
          <w:numId w:val="1"/>
        </w:numPr>
        <w:autoSpaceDE w:val="0"/>
        <w:autoSpaceDN w:val="0"/>
        <w:adjustRightInd w:val="0"/>
        <w:spacing w:after="240"/>
        <w:jc w:val="both"/>
        <w:rPr>
          <w:b/>
          <w:sz w:val="24"/>
          <w:szCs w:val="24"/>
        </w:rPr>
      </w:pPr>
      <w:r w:rsidRPr="00D56EEC">
        <w:rPr>
          <w:rFonts w:cs="Arial"/>
          <w:b/>
          <w:sz w:val="24"/>
          <w:szCs w:val="24"/>
        </w:rPr>
        <w:t>La pauvreté</w:t>
      </w:r>
    </w:p>
    <w:p w14:paraId="41079AB0" w14:textId="77777777" w:rsidR="00CF7C04" w:rsidRPr="00D56EEC" w:rsidRDefault="00CF7C04" w:rsidP="00D56EEC">
      <w:pPr>
        <w:pStyle w:val="Paragraphedeliste"/>
        <w:autoSpaceDE w:val="0"/>
        <w:autoSpaceDN w:val="0"/>
        <w:adjustRightInd w:val="0"/>
        <w:spacing w:after="240"/>
        <w:jc w:val="both"/>
        <w:rPr>
          <w:sz w:val="24"/>
          <w:szCs w:val="24"/>
        </w:rPr>
      </w:pPr>
      <w:r w:rsidRPr="00D56EEC">
        <w:rPr>
          <w:rFonts w:cs="Arial"/>
          <w:sz w:val="24"/>
          <w:szCs w:val="24"/>
        </w:rPr>
        <w:t>La pauvreté au Burkina est essentiellement rurale avec une incidence de 47,5% contre 13,7% en milieu urbain. Cette même source indique de nombreuses inégalités entre régions du pays avec une concentration de 60% des pauvres dans cinq régions (le Nord, la Boucle du Mouhoun, le Centre-Ouest, le Centre-Nord et l’Est)</w:t>
      </w:r>
      <w:r w:rsidRPr="00D56EEC">
        <w:rPr>
          <w:rStyle w:val="Appelnotedebasdep"/>
          <w:rFonts w:cs="Arial"/>
          <w:sz w:val="24"/>
          <w:szCs w:val="24"/>
        </w:rPr>
        <w:footnoteReference w:id="87"/>
      </w:r>
      <w:r w:rsidRPr="00D56EEC">
        <w:rPr>
          <w:rFonts w:cs="Arial"/>
          <w:sz w:val="24"/>
          <w:szCs w:val="24"/>
        </w:rPr>
        <w:t>.</w:t>
      </w:r>
    </w:p>
    <w:p w14:paraId="5BC61945" w14:textId="77777777" w:rsidR="00CF7C04" w:rsidRPr="00D56EEC" w:rsidRDefault="00CF7C04" w:rsidP="00D56EEC">
      <w:pPr>
        <w:pStyle w:val="Paragraphedeliste"/>
        <w:numPr>
          <w:ilvl w:val="3"/>
          <w:numId w:val="1"/>
        </w:numPr>
        <w:autoSpaceDE w:val="0"/>
        <w:autoSpaceDN w:val="0"/>
        <w:adjustRightInd w:val="0"/>
        <w:spacing w:after="240"/>
        <w:jc w:val="both"/>
        <w:rPr>
          <w:b/>
          <w:sz w:val="24"/>
          <w:szCs w:val="24"/>
        </w:rPr>
      </w:pPr>
      <w:r w:rsidRPr="00D56EEC">
        <w:rPr>
          <w:b/>
          <w:sz w:val="24"/>
          <w:szCs w:val="24"/>
        </w:rPr>
        <w:t>L’environnement socio-culturelle</w:t>
      </w:r>
    </w:p>
    <w:p w14:paraId="35D523B1" w14:textId="77777777" w:rsidR="00034D08" w:rsidRDefault="00CF7C04" w:rsidP="00D56EEC">
      <w:pPr>
        <w:pStyle w:val="Paragraphedeliste"/>
        <w:autoSpaceDE w:val="0"/>
        <w:autoSpaceDN w:val="0"/>
        <w:adjustRightInd w:val="0"/>
        <w:spacing w:after="240"/>
        <w:jc w:val="both"/>
        <w:rPr>
          <w:rFonts w:cs="Arial"/>
          <w:sz w:val="24"/>
          <w:szCs w:val="24"/>
        </w:rPr>
      </w:pPr>
      <w:r w:rsidRPr="00D56EEC">
        <w:rPr>
          <w:rFonts w:cs="Arial"/>
          <w:sz w:val="24"/>
          <w:szCs w:val="24"/>
        </w:rPr>
        <w:t xml:space="preserve">L’autonomie des femmes dans la prise de décision reste relativement faible. </w:t>
      </w:r>
    </w:p>
    <w:p w14:paraId="0BCFBD43" w14:textId="3EC542FE" w:rsidR="00CF7C04" w:rsidRDefault="00CF7C04" w:rsidP="00034D08">
      <w:pPr>
        <w:pStyle w:val="Paragraphedeliste"/>
        <w:autoSpaceDE w:val="0"/>
        <w:autoSpaceDN w:val="0"/>
        <w:adjustRightInd w:val="0"/>
        <w:spacing w:after="240"/>
        <w:jc w:val="both"/>
        <w:rPr>
          <w:sz w:val="24"/>
          <w:szCs w:val="24"/>
        </w:rPr>
      </w:pPr>
      <w:r w:rsidRPr="00D56EEC">
        <w:rPr>
          <w:rFonts w:cs="Arial"/>
          <w:sz w:val="24"/>
          <w:szCs w:val="24"/>
        </w:rPr>
        <w:t>Le poids du mari ou de la belle-mère reste très important dans la décision de recourir aux services de santé. Certaines pratiques comme les tabous alimentaires, les mutilations génitales féminines, le mariage précoce ont des conséquences directes sur la santé de la mère et de l’enfant</w:t>
      </w:r>
    </w:p>
    <w:p w14:paraId="6164B3A6" w14:textId="1DB5A001" w:rsidR="007E0BB0" w:rsidRPr="007E0BB0" w:rsidRDefault="00034D08" w:rsidP="00466DE6">
      <w:pPr>
        <w:pStyle w:val="Paragraphedeliste"/>
        <w:numPr>
          <w:ilvl w:val="3"/>
          <w:numId w:val="1"/>
        </w:numPr>
        <w:autoSpaceDE w:val="0"/>
        <w:autoSpaceDN w:val="0"/>
        <w:adjustRightInd w:val="0"/>
        <w:spacing w:after="0"/>
        <w:jc w:val="both"/>
        <w:rPr>
          <w:b/>
          <w:sz w:val="24"/>
          <w:szCs w:val="24"/>
        </w:rPr>
      </w:pPr>
      <w:r w:rsidRPr="00034D08">
        <w:rPr>
          <w:b/>
          <w:sz w:val="24"/>
          <w:szCs w:val="24"/>
        </w:rPr>
        <w:t>Eau, hygiène, assainissement</w:t>
      </w:r>
      <w:r w:rsidR="007E0BB0">
        <w:rPr>
          <w:rStyle w:val="Appelnotedebasdep"/>
          <w:b/>
          <w:sz w:val="24"/>
          <w:szCs w:val="24"/>
        </w:rPr>
        <w:footnoteReference w:id="88"/>
      </w:r>
    </w:p>
    <w:p w14:paraId="761E4521" w14:textId="77777777" w:rsidR="007E0BB0" w:rsidRDefault="007E0BB0" w:rsidP="00466DE6">
      <w:pPr>
        <w:autoSpaceDE w:val="0"/>
        <w:autoSpaceDN w:val="0"/>
        <w:adjustRightInd w:val="0"/>
        <w:spacing w:after="0"/>
        <w:jc w:val="both"/>
        <w:rPr>
          <w:sz w:val="24"/>
          <w:szCs w:val="24"/>
        </w:rPr>
      </w:pPr>
      <w:r w:rsidRPr="007E0BB0">
        <w:rPr>
          <w:sz w:val="24"/>
          <w:szCs w:val="24"/>
        </w:rPr>
        <w:t>En moyenne, 76,3% de la population ont accès à l’eau potable</w:t>
      </w:r>
      <w:r>
        <w:rPr>
          <w:sz w:val="24"/>
          <w:szCs w:val="24"/>
        </w:rPr>
        <w:t>. Mais cette moyenne cache de grandes disparités selon les régions.</w:t>
      </w:r>
    </w:p>
    <w:p w14:paraId="5A13EE23" w14:textId="722B9C91" w:rsidR="00466DE6" w:rsidRDefault="007E0BB0" w:rsidP="00466DE6">
      <w:pPr>
        <w:autoSpaceDE w:val="0"/>
        <w:autoSpaceDN w:val="0"/>
        <w:adjustRightInd w:val="0"/>
        <w:spacing w:after="0"/>
        <w:jc w:val="both"/>
        <w:rPr>
          <w:sz w:val="24"/>
          <w:szCs w:val="24"/>
        </w:rPr>
      </w:pPr>
      <w:r>
        <w:rPr>
          <w:sz w:val="24"/>
          <w:szCs w:val="24"/>
        </w:rPr>
        <w:t>La population qui n’a pas accès à l’eau potable varie entre 29,2% et 42,6% selon les régions : Sud-Ouest (29,2%), Nord (30,7%), Est (31,6%), Centre-Ouest (34,2%), Hauts Bassins (34,3%), Sud (35,1%) Et Boucle du Mouhoun (42,6%).</w:t>
      </w:r>
      <w:r w:rsidRPr="007E0BB0">
        <w:rPr>
          <w:sz w:val="24"/>
          <w:szCs w:val="24"/>
        </w:rPr>
        <w:t xml:space="preserv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86"/>
        <w:gridCol w:w="254"/>
        <w:gridCol w:w="3822"/>
      </w:tblGrid>
      <w:tr w:rsidR="00466DE6" w14:paraId="6D8F2516" w14:textId="77777777" w:rsidTr="00466DE6">
        <w:tc>
          <w:tcPr>
            <w:tcW w:w="4986" w:type="dxa"/>
          </w:tcPr>
          <w:p w14:paraId="64E8AD18" w14:textId="6198AAE3" w:rsidR="00466DE6" w:rsidRDefault="00466DE6" w:rsidP="00466DE6">
            <w:pPr>
              <w:autoSpaceDE w:val="0"/>
              <w:autoSpaceDN w:val="0"/>
              <w:adjustRightInd w:val="0"/>
              <w:jc w:val="both"/>
              <w:rPr>
                <w:sz w:val="24"/>
                <w:szCs w:val="24"/>
              </w:rPr>
            </w:pPr>
            <w:r>
              <w:rPr>
                <w:noProof/>
                <w:sz w:val="24"/>
                <w:szCs w:val="24"/>
                <w:lang w:eastAsia="fr-FR"/>
              </w:rPr>
              <w:drawing>
                <wp:anchor distT="0" distB="0" distL="114300" distR="114300" simplePos="0" relativeHeight="251741184" behindDoc="0" locked="0" layoutInCell="1" allowOverlap="1" wp14:anchorId="38E0C23F" wp14:editId="2188C76D">
                  <wp:simplePos x="0" y="0"/>
                  <wp:positionH relativeFrom="column">
                    <wp:posOffset>-6350</wp:posOffset>
                  </wp:positionH>
                  <wp:positionV relativeFrom="paragraph">
                    <wp:posOffset>215265</wp:posOffset>
                  </wp:positionV>
                  <wp:extent cx="2988310" cy="1875790"/>
                  <wp:effectExtent l="19050" t="19050" r="21590" b="10160"/>
                  <wp:wrapSquare wrapText="right"/>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phique 16"/>
                          <pic:cNvPicPr>
                            <a:picLocks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988310" cy="1875790"/>
                          </a:xfrm>
                          <a:prstGeom prst="rect">
                            <a:avLst/>
                          </a:prstGeom>
                          <a:noFill/>
                          <a:ln w="6350">
                            <a:solidFill>
                              <a:srgbClr val="000000"/>
                            </a:solidFill>
                            <a:miter lim="800000"/>
                            <a:headEnd/>
                            <a:tailEnd/>
                          </a:ln>
                          <a:effectLst/>
                        </pic:spPr>
                      </pic:pic>
                    </a:graphicData>
                  </a:graphic>
                  <wp14:sizeRelH relativeFrom="page">
                    <wp14:pctWidth>0</wp14:pctWidth>
                  </wp14:sizeRelH>
                  <wp14:sizeRelV relativeFrom="page">
                    <wp14:pctHeight>0</wp14:pctHeight>
                  </wp14:sizeRelV>
                </wp:anchor>
              </w:drawing>
            </w:r>
          </w:p>
        </w:tc>
        <w:tc>
          <w:tcPr>
            <w:tcW w:w="254" w:type="dxa"/>
          </w:tcPr>
          <w:p w14:paraId="4D4569C1" w14:textId="77777777" w:rsidR="00466DE6" w:rsidRDefault="00466DE6" w:rsidP="00466DE6">
            <w:pPr>
              <w:autoSpaceDE w:val="0"/>
              <w:autoSpaceDN w:val="0"/>
              <w:adjustRightInd w:val="0"/>
              <w:jc w:val="both"/>
              <w:rPr>
                <w:sz w:val="24"/>
                <w:szCs w:val="24"/>
              </w:rPr>
            </w:pPr>
          </w:p>
        </w:tc>
        <w:tc>
          <w:tcPr>
            <w:tcW w:w="3822" w:type="dxa"/>
          </w:tcPr>
          <w:p w14:paraId="7AF6EA80" w14:textId="150572CE" w:rsidR="00466DE6" w:rsidRPr="00466DE6" w:rsidRDefault="00466DE6" w:rsidP="00466DE6">
            <w:pPr>
              <w:autoSpaceDE w:val="0"/>
              <w:autoSpaceDN w:val="0"/>
              <w:adjustRightInd w:val="0"/>
              <w:spacing w:after="240"/>
              <w:jc w:val="both"/>
              <w:rPr>
                <w:sz w:val="24"/>
              </w:rPr>
            </w:pPr>
            <w:r>
              <w:rPr>
                <w:sz w:val="24"/>
              </w:rPr>
              <w:t>L</w:t>
            </w:r>
            <w:r w:rsidRPr="00D74560">
              <w:rPr>
                <w:sz w:val="24"/>
              </w:rPr>
              <w:t xml:space="preserve">a couverture en évacuation sanitaire augmente avec le niveau socio-économique. Les populations dans les zones rurales ont peu d’accès à ces commodités ainsi que </w:t>
            </w:r>
            <w:r>
              <w:rPr>
                <w:sz w:val="24"/>
              </w:rPr>
              <w:t xml:space="preserve">celles </w:t>
            </w:r>
            <w:r w:rsidRPr="00D74560">
              <w:rPr>
                <w:sz w:val="24"/>
              </w:rPr>
              <w:t>ayant un niveau de vie de plus en plus bas. 83% de la population la moins défavorisée a une couverture de 83% tandis que la plus défavorisée a une couverture</w:t>
            </w:r>
            <w:r>
              <w:rPr>
                <w:sz w:val="24"/>
              </w:rPr>
              <w:t>.</w:t>
            </w:r>
          </w:p>
        </w:tc>
      </w:tr>
      <w:tr w:rsidR="00466DE6" w14:paraId="6A378158" w14:textId="77777777" w:rsidTr="00466DE6">
        <w:tc>
          <w:tcPr>
            <w:tcW w:w="4986" w:type="dxa"/>
          </w:tcPr>
          <w:p w14:paraId="278EAF1C" w14:textId="13E789C8" w:rsidR="00466DE6" w:rsidRPr="00651794" w:rsidRDefault="00651794" w:rsidP="00466DE6">
            <w:pPr>
              <w:autoSpaceDE w:val="0"/>
              <w:autoSpaceDN w:val="0"/>
              <w:adjustRightInd w:val="0"/>
              <w:jc w:val="both"/>
              <w:rPr>
                <w:b/>
                <w:sz w:val="20"/>
                <w:szCs w:val="20"/>
              </w:rPr>
            </w:pPr>
            <w:r w:rsidRPr="00651794">
              <w:rPr>
                <w:b/>
                <w:sz w:val="20"/>
                <w:szCs w:val="20"/>
              </w:rPr>
              <w:t>Figure 21 : Evacuation hygiénique des selles</w:t>
            </w:r>
            <w:r>
              <w:rPr>
                <w:rStyle w:val="Appelnotedebasdep"/>
                <w:b/>
                <w:sz w:val="20"/>
                <w:szCs w:val="20"/>
              </w:rPr>
              <w:footnoteReference w:id="89"/>
            </w:r>
          </w:p>
        </w:tc>
        <w:tc>
          <w:tcPr>
            <w:tcW w:w="254" w:type="dxa"/>
          </w:tcPr>
          <w:p w14:paraId="27E0913A" w14:textId="77777777" w:rsidR="00466DE6" w:rsidRDefault="00466DE6" w:rsidP="00466DE6">
            <w:pPr>
              <w:autoSpaceDE w:val="0"/>
              <w:autoSpaceDN w:val="0"/>
              <w:adjustRightInd w:val="0"/>
              <w:jc w:val="both"/>
              <w:rPr>
                <w:sz w:val="24"/>
                <w:szCs w:val="24"/>
              </w:rPr>
            </w:pPr>
          </w:p>
        </w:tc>
        <w:tc>
          <w:tcPr>
            <w:tcW w:w="3822" w:type="dxa"/>
          </w:tcPr>
          <w:p w14:paraId="6D301F8E" w14:textId="77777777" w:rsidR="00466DE6" w:rsidRDefault="00466DE6" w:rsidP="00466DE6">
            <w:pPr>
              <w:autoSpaceDE w:val="0"/>
              <w:autoSpaceDN w:val="0"/>
              <w:adjustRightInd w:val="0"/>
              <w:jc w:val="both"/>
              <w:rPr>
                <w:sz w:val="24"/>
                <w:szCs w:val="24"/>
              </w:rPr>
            </w:pPr>
          </w:p>
        </w:tc>
      </w:tr>
    </w:tbl>
    <w:p w14:paraId="3CE09ACB" w14:textId="308E822C" w:rsidR="00466DE6" w:rsidRPr="007E0BB0" w:rsidRDefault="00466DE6" w:rsidP="007E0BB0">
      <w:pPr>
        <w:autoSpaceDE w:val="0"/>
        <w:autoSpaceDN w:val="0"/>
        <w:adjustRightInd w:val="0"/>
        <w:spacing w:after="240"/>
        <w:jc w:val="both"/>
        <w:rPr>
          <w:sz w:val="24"/>
          <w:szCs w:val="24"/>
        </w:rPr>
        <w:sectPr w:rsidR="00466DE6" w:rsidRPr="007E0BB0">
          <w:pgSz w:w="11906" w:h="16838"/>
          <w:pgMar w:top="1417" w:right="1417" w:bottom="1417" w:left="1417" w:header="708" w:footer="708" w:gutter="0"/>
          <w:cols w:space="708"/>
          <w:docGrid w:linePitch="360"/>
        </w:sectPr>
      </w:pPr>
    </w:p>
    <w:p w14:paraId="306828BB" w14:textId="464B4EBA" w:rsidR="002E239B" w:rsidRPr="00C47E18" w:rsidRDefault="002E239B" w:rsidP="00C47E18">
      <w:pPr>
        <w:pStyle w:val="Paragraphedeliste"/>
        <w:numPr>
          <w:ilvl w:val="0"/>
          <w:numId w:val="1"/>
        </w:numPr>
        <w:jc w:val="both"/>
        <w:rPr>
          <w:rFonts w:ascii="Calibri" w:hAnsi="Calibri"/>
          <w:b/>
          <w:sz w:val="28"/>
          <w:szCs w:val="28"/>
        </w:rPr>
      </w:pPr>
      <w:r w:rsidRPr="00C47E18">
        <w:rPr>
          <w:rFonts w:ascii="Calibri" w:hAnsi="Calibri"/>
          <w:b/>
          <w:sz w:val="28"/>
          <w:szCs w:val="28"/>
        </w:rPr>
        <w:lastRenderedPageBreak/>
        <w:t>ETA</w:t>
      </w:r>
      <w:r w:rsidR="00FB462B" w:rsidRPr="00C47E18">
        <w:rPr>
          <w:rFonts w:ascii="Calibri" w:hAnsi="Calibri"/>
          <w:b/>
          <w:sz w:val="28"/>
          <w:szCs w:val="28"/>
        </w:rPr>
        <w:t>T</w:t>
      </w:r>
      <w:r w:rsidRPr="00C47E18">
        <w:rPr>
          <w:rFonts w:ascii="Calibri" w:hAnsi="Calibri"/>
          <w:b/>
          <w:sz w:val="28"/>
          <w:szCs w:val="28"/>
        </w:rPr>
        <w:t xml:space="preserve"> CIVIL</w:t>
      </w:r>
      <w:r w:rsidR="00777B75" w:rsidRPr="00C47E18">
        <w:rPr>
          <w:rFonts w:ascii="Calibri" w:hAnsi="Calibri"/>
          <w:b/>
          <w:sz w:val="28"/>
          <w:szCs w:val="28"/>
        </w:rPr>
        <w:t xml:space="preserve"> ET STATISTIQUES VITALES</w:t>
      </w:r>
    </w:p>
    <w:p w14:paraId="26EF5F15" w14:textId="78549985" w:rsidR="00777B75" w:rsidRPr="00C47E18" w:rsidRDefault="00C47E18" w:rsidP="00466DE6">
      <w:pPr>
        <w:pStyle w:val="Paragraphedeliste"/>
        <w:numPr>
          <w:ilvl w:val="1"/>
          <w:numId w:val="1"/>
        </w:numPr>
        <w:spacing w:after="0" w:line="360" w:lineRule="auto"/>
        <w:jc w:val="both"/>
        <w:rPr>
          <w:sz w:val="28"/>
          <w:szCs w:val="28"/>
        </w:rPr>
      </w:pPr>
      <w:r w:rsidRPr="00C47E18">
        <w:rPr>
          <w:sz w:val="28"/>
          <w:szCs w:val="28"/>
        </w:rPr>
        <w:t xml:space="preserve">SITUATION EN MATIERE D’ETAT CIVIL </w:t>
      </w:r>
    </w:p>
    <w:p w14:paraId="481F779A" w14:textId="77777777" w:rsidR="00346A11" w:rsidRPr="00B72473" w:rsidRDefault="00346A11" w:rsidP="00C47E18">
      <w:pPr>
        <w:spacing w:after="0"/>
        <w:jc w:val="both"/>
        <w:rPr>
          <w:sz w:val="23"/>
          <w:szCs w:val="23"/>
        </w:rPr>
      </w:pPr>
      <w:r w:rsidRPr="00B72473">
        <w:rPr>
          <w:sz w:val="23"/>
          <w:szCs w:val="23"/>
        </w:rPr>
        <w:t>Au Burkina Faso, le système d’état civil a été institué par l’arrêté général n°4602/AP du 16 août 1950 réglementant l’état civil des personnes régies par les coutumes locales, ultérieurement connu sous le nom d’arrêté organisant</w:t>
      </w:r>
      <w:r w:rsidR="000F64A8" w:rsidRPr="00B72473">
        <w:rPr>
          <w:sz w:val="23"/>
          <w:szCs w:val="23"/>
        </w:rPr>
        <w:t xml:space="preserve"> « l’état</w:t>
      </w:r>
      <w:r w:rsidRPr="00B72473">
        <w:rPr>
          <w:sz w:val="23"/>
          <w:szCs w:val="23"/>
        </w:rPr>
        <w:t xml:space="preserve"> civil </w:t>
      </w:r>
      <w:r w:rsidR="000F64A8" w:rsidRPr="00B72473">
        <w:rPr>
          <w:sz w:val="23"/>
          <w:szCs w:val="23"/>
        </w:rPr>
        <w:t>indigène »</w:t>
      </w:r>
      <w:r w:rsidRPr="00B72473">
        <w:rPr>
          <w:sz w:val="23"/>
          <w:szCs w:val="23"/>
        </w:rPr>
        <w:t xml:space="preserve">. </w:t>
      </w:r>
    </w:p>
    <w:p w14:paraId="7A3C3A04" w14:textId="77777777" w:rsidR="00346A11" w:rsidRPr="00B72473" w:rsidRDefault="00346A11" w:rsidP="00C47E18">
      <w:pPr>
        <w:spacing w:after="0"/>
        <w:jc w:val="both"/>
        <w:rPr>
          <w:sz w:val="23"/>
          <w:szCs w:val="23"/>
        </w:rPr>
      </w:pPr>
      <w:r w:rsidRPr="00B72473">
        <w:rPr>
          <w:sz w:val="23"/>
          <w:szCs w:val="23"/>
        </w:rPr>
        <w:t>Après l’indépendance</w:t>
      </w:r>
      <w:r w:rsidR="000F64A8">
        <w:rPr>
          <w:sz w:val="23"/>
          <w:szCs w:val="23"/>
        </w:rPr>
        <w:t xml:space="preserve">, des mises à jour ont été faites dans le dispositif légal avec </w:t>
      </w:r>
      <w:r w:rsidRPr="00B72473">
        <w:rPr>
          <w:sz w:val="23"/>
          <w:szCs w:val="23"/>
        </w:rPr>
        <w:t xml:space="preserve">le Code des personnes et de la famille qui entrera en vigueur le 4 août </w:t>
      </w:r>
      <w:r w:rsidR="000F64A8" w:rsidRPr="00B72473">
        <w:rPr>
          <w:sz w:val="23"/>
          <w:szCs w:val="23"/>
        </w:rPr>
        <w:t>1990</w:t>
      </w:r>
      <w:r w:rsidR="000F64A8">
        <w:rPr>
          <w:sz w:val="23"/>
          <w:szCs w:val="23"/>
        </w:rPr>
        <w:t xml:space="preserve">, </w:t>
      </w:r>
      <w:r w:rsidR="000F64A8" w:rsidRPr="00B72473">
        <w:rPr>
          <w:sz w:val="23"/>
          <w:szCs w:val="23"/>
        </w:rPr>
        <w:t>l’arrêté</w:t>
      </w:r>
      <w:r w:rsidRPr="00B72473">
        <w:rPr>
          <w:sz w:val="23"/>
          <w:szCs w:val="23"/>
        </w:rPr>
        <w:t xml:space="preserve"> n°2006-009/MJ/SG/DACPS du 2 mars 2006 portant fixation des modèles d’actes d’état civil</w:t>
      </w:r>
      <w:r w:rsidR="000F64A8">
        <w:rPr>
          <w:sz w:val="23"/>
          <w:szCs w:val="23"/>
        </w:rPr>
        <w:t>.</w:t>
      </w:r>
      <w:r w:rsidRPr="00B72473">
        <w:rPr>
          <w:sz w:val="23"/>
          <w:szCs w:val="23"/>
        </w:rPr>
        <w:t xml:space="preserve"> </w:t>
      </w:r>
    </w:p>
    <w:p w14:paraId="738A9AF2" w14:textId="77777777" w:rsidR="00346A11" w:rsidRDefault="000F64A8" w:rsidP="00C47E18">
      <w:pPr>
        <w:spacing w:after="0"/>
        <w:jc w:val="both"/>
        <w:rPr>
          <w:sz w:val="23"/>
          <w:szCs w:val="23"/>
        </w:rPr>
      </w:pPr>
      <w:r>
        <w:rPr>
          <w:sz w:val="23"/>
          <w:szCs w:val="23"/>
        </w:rPr>
        <w:t>Avec le 2</w:t>
      </w:r>
      <w:r w:rsidRPr="000F64A8">
        <w:rPr>
          <w:sz w:val="23"/>
          <w:szCs w:val="23"/>
          <w:vertAlign w:val="superscript"/>
        </w:rPr>
        <w:t>e</w:t>
      </w:r>
      <w:r>
        <w:rPr>
          <w:sz w:val="23"/>
          <w:szCs w:val="23"/>
        </w:rPr>
        <w:t xml:space="preserve"> Plan d’Action </w:t>
      </w:r>
      <w:r w:rsidRPr="00B72473">
        <w:rPr>
          <w:sz w:val="23"/>
          <w:szCs w:val="23"/>
        </w:rPr>
        <w:t>2017-2021</w:t>
      </w:r>
      <w:r>
        <w:rPr>
          <w:sz w:val="23"/>
          <w:szCs w:val="23"/>
        </w:rPr>
        <w:t>, le</w:t>
      </w:r>
      <w:r w:rsidR="00346A11" w:rsidRPr="00B72473">
        <w:rPr>
          <w:sz w:val="23"/>
          <w:szCs w:val="23"/>
        </w:rPr>
        <w:t xml:space="preserve"> pays est passé de la promotion de l’état civil de 2012-2016 à l’étape de la modernisation. L’ambition du Gouvernement est d’aboutir à une gestion maîtrisée des faits d’état civil, pour bénéficier de données démographiques fiables.</w:t>
      </w:r>
    </w:p>
    <w:p w14:paraId="27671A8B" w14:textId="77777777" w:rsidR="00FD6E16" w:rsidRDefault="00FD6E16" w:rsidP="00C47E18">
      <w:pPr>
        <w:autoSpaceDE w:val="0"/>
        <w:autoSpaceDN w:val="0"/>
        <w:adjustRightInd w:val="0"/>
        <w:jc w:val="both"/>
        <w:rPr>
          <w:rFonts w:cs="Arial"/>
          <w:sz w:val="23"/>
          <w:szCs w:val="23"/>
        </w:rPr>
      </w:pPr>
      <w:r w:rsidRPr="00B72473">
        <w:rPr>
          <w:rFonts w:cs="Arial"/>
          <w:sz w:val="23"/>
          <w:szCs w:val="23"/>
        </w:rPr>
        <w:t xml:space="preserve">En 2015, il </w:t>
      </w:r>
      <w:r>
        <w:rPr>
          <w:rFonts w:cs="Arial"/>
          <w:sz w:val="23"/>
          <w:szCs w:val="23"/>
        </w:rPr>
        <w:t>y avait</w:t>
      </w:r>
      <w:r w:rsidRPr="00B72473">
        <w:rPr>
          <w:rFonts w:cs="Arial"/>
          <w:sz w:val="23"/>
          <w:szCs w:val="23"/>
        </w:rPr>
        <w:t xml:space="preserve"> quatre cent six (406) centres d’état civil principaux</w:t>
      </w:r>
      <w:r>
        <w:rPr>
          <w:rFonts w:cs="Arial"/>
          <w:sz w:val="23"/>
          <w:szCs w:val="23"/>
        </w:rPr>
        <w:t xml:space="preserve"> et </w:t>
      </w:r>
      <w:r w:rsidRPr="00B72473">
        <w:rPr>
          <w:rFonts w:cs="Arial"/>
          <w:sz w:val="23"/>
          <w:szCs w:val="23"/>
        </w:rPr>
        <w:t>987 centres secondaires</w:t>
      </w:r>
      <w:r w:rsidRPr="00B72473">
        <w:rPr>
          <w:rFonts w:cs="Arial"/>
          <w:sz w:val="23"/>
          <w:szCs w:val="23"/>
          <w:vertAlign w:val="superscript"/>
        </w:rPr>
        <w:footnoteReference w:id="90"/>
      </w:r>
      <w:r w:rsidRPr="00B72473">
        <w:rPr>
          <w:rFonts w:cs="Arial"/>
          <w:sz w:val="23"/>
          <w:szCs w:val="23"/>
        </w:rPr>
        <w:t xml:space="preserve">.  </w:t>
      </w:r>
    </w:p>
    <w:p w14:paraId="39721E3D" w14:textId="32F119F6" w:rsidR="00920258" w:rsidRPr="00C47E18" w:rsidRDefault="00C47E18" w:rsidP="00C47E18">
      <w:pPr>
        <w:pStyle w:val="Paragraphedeliste"/>
        <w:numPr>
          <w:ilvl w:val="2"/>
          <w:numId w:val="1"/>
        </w:numPr>
        <w:autoSpaceDE w:val="0"/>
        <w:autoSpaceDN w:val="0"/>
        <w:adjustRightInd w:val="0"/>
        <w:spacing w:after="0"/>
        <w:jc w:val="both"/>
        <w:rPr>
          <w:rFonts w:cs="Arial"/>
          <w:sz w:val="24"/>
          <w:szCs w:val="24"/>
        </w:rPr>
      </w:pPr>
      <w:r w:rsidRPr="00C47E18">
        <w:rPr>
          <w:rFonts w:cs="Arial"/>
          <w:sz w:val="24"/>
          <w:szCs w:val="24"/>
        </w:rPr>
        <w:t>ENREGISTREMENT DES NAISSANCES</w:t>
      </w:r>
    </w:p>
    <w:p w14:paraId="69FED888" w14:textId="77777777" w:rsidR="00920258" w:rsidRPr="00B72473" w:rsidRDefault="00920258" w:rsidP="00C47E18">
      <w:pPr>
        <w:autoSpaceDE w:val="0"/>
        <w:autoSpaceDN w:val="0"/>
        <w:adjustRightInd w:val="0"/>
        <w:spacing w:after="0"/>
        <w:jc w:val="both"/>
        <w:rPr>
          <w:rFonts w:cs="Arial"/>
          <w:sz w:val="23"/>
          <w:szCs w:val="23"/>
        </w:rPr>
      </w:pPr>
      <w:r w:rsidRPr="00B72473">
        <w:rPr>
          <w:rFonts w:cs="Arial"/>
          <w:sz w:val="23"/>
          <w:szCs w:val="23"/>
        </w:rPr>
        <w:t xml:space="preserve">Aux termes de l’article 106 du Code des personnes et de la famille (CPF), toute naissance survenue sur le territoire burkinabè doit faire l’objet d’une déclaration à l’officier de l’état civil du lieu de naissance dans les deux mois à compter du jour de la naissance. </w:t>
      </w:r>
    </w:p>
    <w:p w14:paraId="70C5D975" w14:textId="77777777" w:rsidR="00920258" w:rsidRPr="00B72473" w:rsidRDefault="00685878" w:rsidP="00C47E18">
      <w:pPr>
        <w:spacing w:after="0"/>
        <w:jc w:val="both"/>
        <w:rPr>
          <w:rFonts w:eastAsia="Calibri"/>
          <w:sz w:val="23"/>
          <w:szCs w:val="23"/>
        </w:rPr>
      </w:pPr>
      <w:r>
        <w:rPr>
          <w:rFonts w:eastAsia="Times New Roman" w:cs="Arial"/>
          <w:bCs/>
          <w:sz w:val="23"/>
          <w:szCs w:val="23"/>
        </w:rPr>
        <w:t>En 2015</w:t>
      </w:r>
      <w:r>
        <w:rPr>
          <w:rStyle w:val="Appelnotedebasdep"/>
          <w:rFonts w:eastAsia="Times New Roman" w:cs="Arial"/>
          <w:bCs/>
          <w:sz w:val="23"/>
          <w:szCs w:val="23"/>
        </w:rPr>
        <w:footnoteReference w:id="91"/>
      </w:r>
      <w:r w:rsidR="00C51AA2">
        <w:rPr>
          <w:rFonts w:eastAsia="Times New Roman" w:cs="Arial"/>
          <w:bCs/>
          <w:sz w:val="23"/>
          <w:szCs w:val="23"/>
        </w:rPr>
        <w:t xml:space="preserve">, environ </w:t>
      </w:r>
      <w:r w:rsidR="00C51AA2" w:rsidRPr="00B72473">
        <w:rPr>
          <w:rFonts w:eastAsia="Calibri"/>
          <w:sz w:val="23"/>
          <w:szCs w:val="23"/>
        </w:rPr>
        <w:t>7</w:t>
      </w:r>
      <w:r w:rsidR="00D26F88">
        <w:rPr>
          <w:rFonts w:eastAsia="Calibri"/>
          <w:sz w:val="23"/>
          <w:szCs w:val="23"/>
        </w:rPr>
        <w:t xml:space="preserve">8 </w:t>
      </w:r>
      <w:r w:rsidR="00C51AA2" w:rsidRPr="00B72473">
        <w:rPr>
          <w:rFonts w:eastAsia="Calibri"/>
          <w:sz w:val="23"/>
          <w:szCs w:val="23"/>
        </w:rPr>
        <w:t>%</w:t>
      </w:r>
      <w:r w:rsidR="00C51AA2">
        <w:rPr>
          <w:rFonts w:eastAsia="Calibri"/>
          <w:sz w:val="23"/>
          <w:szCs w:val="23"/>
        </w:rPr>
        <w:t xml:space="preserve"> d</w:t>
      </w:r>
      <w:r w:rsidR="00920258" w:rsidRPr="00B72473">
        <w:rPr>
          <w:rFonts w:eastAsia="Calibri"/>
          <w:sz w:val="23"/>
          <w:szCs w:val="23"/>
        </w:rPr>
        <w:t xml:space="preserve">es naissances </w:t>
      </w:r>
      <w:r w:rsidR="00C51AA2">
        <w:rPr>
          <w:rFonts w:eastAsia="Calibri"/>
          <w:sz w:val="23"/>
          <w:szCs w:val="23"/>
        </w:rPr>
        <w:t xml:space="preserve">sont </w:t>
      </w:r>
      <w:r w:rsidR="00920258" w:rsidRPr="00B72473">
        <w:rPr>
          <w:rFonts w:eastAsia="Calibri"/>
          <w:sz w:val="23"/>
          <w:szCs w:val="23"/>
        </w:rPr>
        <w:t>enregistrées à l’Etat civil</w:t>
      </w:r>
      <w:r w:rsidR="00C51AA2">
        <w:rPr>
          <w:rFonts w:eastAsia="Calibri"/>
          <w:sz w:val="23"/>
          <w:szCs w:val="23"/>
        </w:rPr>
        <w:t xml:space="preserve">. </w:t>
      </w:r>
      <w:r w:rsidR="00920258" w:rsidRPr="00B72473">
        <w:rPr>
          <w:rFonts w:eastAsia="Calibri"/>
          <w:sz w:val="23"/>
          <w:szCs w:val="23"/>
        </w:rPr>
        <w:t xml:space="preserve">Ce taux plutôt élevé cache des disparités </w:t>
      </w:r>
      <w:r w:rsidR="00D26F88" w:rsidRPr="00B72473">
        <w:rPr>
          <w:rFonts w:eastAsia="Calibri"/>
          <w:sz w:val="23"/>
          <w:szCs w:val="23"/>
        </w:rPr>
        <w:t xml:space="preserve">géographiques </w:t>
      </w:r>
      <w:r w:rsidR="00D26F88">
        <w:rPr>
          <w:rFonts w:eastAsia="Calibri"/>
          <w:sz w:val="23"/>
          <w:szCs w:val="23"/>
        </w:rPr>
        <w:t xml:space="preserve">avec un pourcentage de naissances enregistrées de 95% </w:t>
      </w:r>
      <w:r w:rsidR="00920258" w:rsidRPr="00B72473">
        <w:rPr>
          <w:rFonts w:eastAsia="Calibri"/>
          <w:sz w:val="23"/>
          <w:szCs w:val="23"/>
        </w:rPr>
        <w:t xml:space="preserve">dans </w:t>
      </w:r>
      <w:r>
        <w:rPr>
          <w:rFonts w:eastAsia="Calibri"/>
          <w:sz w:val="23"/>
          <w:szCs w:val="23"/>
        </w:rPr>
        <w:t xml:space="preserve">les </w:t>
      </w:r>
      <w:r w:rsidR="00920258" w:rsidRPr="00B72473">
        <w:rPr>
          <w:rFonts w:eastAsia="Calibri"/>
          <w:sz w:val="23"/>
          <w:szCs w:val="23"/>
        </w:rPr>
        <w:t xml:space="preserve">régions </w:t>
      </w:r>
      <w:r>
        <w:rPr>
          <w:rFonts w:eastAsia="Calibri"/>
          <w:sz w:val="23"/>
          <w:szCs w:val="23"/>
        </w:rPr>
        <w:t xml:space="preserve">du </w:t>
      </w:r>
      <w:r w:rsidR="00920258" w:rsidRPr="00B72473">
        <w:rPr>
          <w:rFonts w:eastAsia="Calibri"/>
          <w:sz w:val="23"/>
          <w:szCs w:val="23"/>
        </w:rPr>
        <w:t>Centre</w:t>
      </w:r>
      <w:r>
        <w:rPr>
          <w:rFonts w:eastAsia="Calibri"/>
          <w:sz w:val="23"/>
          <w:szCs w:val="23"/>
        </w:rPr>
        <w:t xml:space="preserve"> et </w:t>
      </w:r>
      <w:r w:rsidR="00920258" w:rsidRPr="00B72473">
        <w:rPr>
          <w:rFonts w:eastAsia="Calibri"/>
          <w:sz w:val="23"/>
          <w:szCs w:val="23"/>
        </w:rPr>
        <w:t>Centre-Sud</w:t>
      </w:r>
      <w:r>
        <w:rPr>
          <w:rFonts w:eastAsia="Calibri"/>
          <w:sz w:val="23"/>
          <w:szCs w:val="23"/>
        </w:rPr>
        <w:t>,</w:t>
      </w:r>
      <w:r w:rsidR="00D26F88">
        <w:rPr>
          <w:rFonts w:eastAsia="Calibri"/>
          <w:sz w:val="23"/>
          <w:szCs w:val="23"/>
        </w:rPr>
        <w:t xml:space="preserve"> de </w:t>
      </w:r>
      <w:r w:rsidR="00D26F88" w:rsidRPr="00B72473">
        <w:rPr>
          <w:rFonts w:eastAsia="Calibri"/>
          <w:sz w:val="23"/>
          <w:szCs w:val="23"/>
        </w:rPr>
        <w:t xml:space="preserve">59.2% </w:t>
      </w:r>
      <w:r w:rsidR="00D26F88">
        <w:t xml:space="preserve">dans la région de l’Est </w:t>
      </w:r>
      <w:r w:rsidR="006135DB">
        <w:t xml:space="preserve">et de </w:t>
      </w:r>
      <w:r w:rsidR="006135DB" w:rsidRPr="00B72473">
        <w:rPr>
          <w:rFonts w:eastAsia="Calibri"/>
          <w:sz w:val="23"/>
          <w:szCs w:val="23"/>
        </w:rPr>
        <w:t>40.6%</w:t>
      </w:r>
      <w:r w:rsidR="006135DB">
        <w:rPr>
          <w:rFonts w:eastAsia="Calibri"/>
          <w:sz w:val="23"/>
          <w:szCs w:val="23"/>
        </w:rPr>
        <w:t xml:space="preserve"> dans la</w:t>
      </w:r>
      <w:r w:rsidR="00920258" w:rsidRPr="00B72473">
        <w:rPr>
          <w:rFonts w:eastAsia="Calibri"/>
          <w:sz w:val="23"/>
          <w:szCs w:val="23"/>
        </w:rPr>
        <w:t xml:space="preserve"> région du Sahel (EMC-MDS, 2015). Les écarts sont considérables entre le milieu rural (</w:t>
      </w:r>
      <w:r w:rsidR="006135DB">
        <w:rPr>
          <w:rFonts w:eastAsia="Calibri"/>
          <w:sz w:val="23"/>
          <w:szCs w:val="23"/>
        </w:rPr>
        <w:t xml:space="preserve">62 </w:t>
      </w:r>
      <w:r w:rsidR="00920258" w:rsidRPr="00B72473">
        <w:rPr>
          <w:rFonts w:eastAsia="Calibri"/>
          <w:sz w:val="23"/>
          <w:szCs w:val="23"/>
        </w:rPr>
        <w:t>%) et le milieu urbain (9</w:t>
      </w:r>
      <w:r w:rsidR="006135DB">
        <w:rPr>
          <w:rFonts w:eastAsia="Calibri"/>
          <w:sz w:val="23"/>
          <w:szCs w:val="23"/>
        </w:rPr>
        <w:t xml:space="preserve">1 </w:t>
      </w:r>
      <w:r w:rsidR="00920258" w:rsidRPr="00B72473">
        <w:rPr>
          <w:rFonts w:eastAsia="Calibri"/>
          <w:sz w:val="23"/>
          <w:szCs w:val="23"/>
        </w:rPr>
        <w:t>%) d’une part, et entre les enfants des ménages riches (9</w:t>
      </w:r>
      <w:r w:rsidR="006135DB">
        <w:rPr>
          <w:rFonts w:eastAsia="Calibri"/>
          <w:sz w:val="23"/>
          <w:szCs w:val="23"/>
        </w:rPr>
        <w:t>1,4</w:t>
      </w:r>
      <w:r w:rsidR="00920258" w:rsidRPr="00B72473">
        <w:rPr>
          <w:rFonts w:eastAsia="Calibri"/>
          <w:sz w:val="23"/>
          <w:szCs w:val="23"/>
        </w:rPr>
        <w:t>%) et ceux des ménages pauvres (</w:t>
      </w:r>
      <w:r w:rsidR="006135DB">
        <w:rPr>
          <w:rFonts w:eastAsia="Calibri"/>
          <w:sz w:val="23"/>
          <w:szCs w:val="23"/>
        </w:rPr>
        <w:t>49,3</w:t>
      </w:r>
      <w:r w:rsidR="00920258" w:rsidRPr="00B72473">
        <w:rPr>
          <w:rFonts w:eastAsia="Calibri"/>
          <w:sz w:val="23"/>
          <w:szCs w:val="23"/>
        </w:rPr>
        <w:t>%) d’autre part</w:t>
      </w:r>
      <w:r>
        <w:rPr>
          <w:rFonts w:eastAsia="Calibri"/>
          <w:sz w:val="23"/>
          <w:szCs w:val="23"/>
        </w:rPr>
        <w:t xml:space="preserve">. </w:t>
      </w:r>
      <w:r w:rsidRPr="00B72473">
        <w:rPr>
          <w:rFonts w:eastAsia="Calibri"/>
          <w:sz w:val="23"/>
          <w:szCs w:val="23"/>
        </w:rPr>
        <w:t>S</w:t>
      </w:r>
      <w:r>
        <w:rPr>
          <w:rFonts w:eastAsia="Calibri"/>
          <w:sz w:val="23"/>
          <w:szCs w:val="23"/>
        </w:rPr>
        <w:t xml:space="preserve">oixante-six </w:t>
      </w:r>
      <w:r w:rsidRPr="00B72473">
        <w:rPr>
          <w:rFonts w:eastAsia="Calibri"/>
          <w:sz w:val="23"/>
          <w:szCs w:val="23"/>
        </w:rPr>
        <w:t xml:space="preserve">% des enfants enregistrés dans les registres de l’état civil </w:t>
      </w:r>
      <w:r>
        <w:rPr>
          <w:rFonts w:eastAsia="Calibri"/>
          <w:sz w:val="23"/>
          <w:szCs w:val="23"/>
        </w:rPr>
        <w:t>étaient en possession</w:t>
      </w:r>
      <w:r w:rsidRPr="00B72473">
        <w:rPr>
          <w:rFonts w:eastAsia="Calibri"/>
          <w:sz w:val="23"/>
          <w:szCs w:val="23"/>
        </w:rPr>
        <w:t xml:space="preserve"> </w:t>
      </w:r>
      <w:r>
        <w:rPr>
          <w:rFonts w:eastAsia="Calibri"/>
          <w:sz w:val="23"/>
          <w:szCs w:val="23"/>
        </w:rPr>
        <w:t>d’</w:t>
      </w:r>
      <w:r w:rsidRPr="00B72473">
        <w:rPr>
          <w:rFonts w:eastAsia="Calibri"/>
          <w:sz w:val="23"/>
          <w:szCs w:val="23"/>
        </w:rPr>
        <w:t>un certificat de naissance</w:t>
      </w:r>
      <w:r>
        <w:rPr>
          <w:rFonts w:eastAsia="Calibri"/>
          <w:sz w:val="23"/>
          <w:szCs w:val="23"/>
        </w:rPr>
        <w:t xml:space="preserve">. </w:t>
      </w:r>
    </w:p>
    <w:p w14:paraId="7134479A" w14:textId="77777777" w:rsidR="00346A11" w:rsidRPr="00C96BEF" w:rsidRDefault="00C96BEF" w:rsidP="00C47E18">
      <w:pPr>
        <w:pStyle w:val="Paragraphedeliste"/>
        <w:numPr>
          <w:ilvl w:val="3"/>
          <w:numId w:val="1"/>
        </w:numPr>
        <w:autoSpaceDE w:val="0"/>
        <w:autoSpaceDN w:val="0"/>
        <w:adjustRightInd w:val="0"/>
        <w:spacing w:after="0"/>
        <w:jc w:val="both"/>
        <w:rPr>
          <w:rFonts w:eastAsia="Calibri"/>
          <w:b/>
          <w:caps/>
          <w:sz w:val="24"/>
          <w:szCs w:val="24"/>
        </w:rPr>
      </w:pPr>
      <w:bookmarkStart w:id="13" w:name="_Toc522532910"/>
      <w:r w:rsidRPr="00C96BEF">
        <w:rPr>
          <w:rFonts w:eastAsia="Calibri"/>
          <w:b/>
          <w:caps/>
          <w:sz w:val="24"/>
          <w:szCs w:val="24"/>
        </w:rPr>
        <w:t>D</w:t>
      </w:r>
      <w:r w:rsidRPr="00C96BEF">
        <w:rPr>
          <w:rFonts w:eastAsia="Calibri"/>
          <w:b/>
          <w:sz w:val="24"/>
          <w:szCs w:val="24"/>
        </w:rPr>
        <w:t xml:space="preserve">éclaration des mariages </w:t>
      </w:r>
      <w:bookmarkEnd w:id="13"/>
      <w:r w:rsidR="009901F3">
        <w:rPr>
          <w:rFonts w:eastAsia="Calibri"/>
          <w:b/>
          <w:sz w:val="24"/>
          <w:szCs w:val="24"/>
        </w:rPr>
        <w:t>et des décès</w:t>
      </w:r>
    </w:p>
    <w:p w14:paraId="19FE3993" w14:textId="48F36CF5" w:rsidR="00466DE6" w:rsidRDefault="00346A11" w:rsidP="00466DE6">
      <w:pPr>
        <w:spacing w:after="0"/>
        <w:jc w:val="both"/>
        <w:rPr>
          <w:sz w:val="23"/>
          <w:szCs w:val="23"/>
        </w:rPr>
      </w:pPr>
      <w:r w:rsidRPr="00B72473">
        <w:rPr>
          <w:sz w:val="23"/>
          <w:szCs w:val="23"/>
        </w:rPr>
        <w:t xml:space="preserve">Aux termes des articles 273 et suivants du CPF, le mariage est célébré publiquement par l’officier de l’état civil du lieu de la constitution du dossier de mariage en présence de deux (02) témoins majeurs. </w:t>
      </w:r>
    </w:p>
    <w:p w14:paraId="4107BB51" w14:textId="3E77EE50" w:rsidR="00346A11" w:rsidRPr="00B72473" w:rsidRDefault="00346A11" w:rsidP="00466DE6">
      <w:pPr>
        <w:spacing w:after="0"/>
        <w:jc w:val="both"/>
        <w:rPr>
          <w:sz w:val="23"/>
          <w:szCs w:val="23"/>
        </w:rPr>
      </w:pPr>
      <w:r w:rsidRPr="00B72473">
        <w:rPr>
          <w:sz w:val="23"/>
          <w:szCs w:val="23"/>
        </w:rPr>
        <w:t xml:space="preserve">Aux termes des articles 116 et suivants du CPF, les décès doivent être déclarés, dans un délai de deux (02) mois à l’officier de l’état civil du lieu de décès, par le conjoint survivant, les ascendants ou descendants ou toute personne possédant les renseignements les plus exacts et les plus complets possibles sur l’état civil du défunt. </w:t>
      </w:r>
    </w:p>
    <w:p w14:paraId="60A9EC43" w14:textId="6BCBF764" w:rsidR="00017F9E" w:rsidRDefault="00346A11" w:rsidP="00C47E18">
      <w:pPr>
        <w:autoSpaceDE w:val="0"/>
        <w:autoSpaceDN w:val="0"/>
        <w:adjustRightInd w:val="0"/>
        <w:spacing w:after="0"/>
        <w:jc w:val="both"/>
        <w:rPr>
          <w:sz w:val="23"/>
          <w:szCs w:val="23"/>
        </w:rPr>
      </w:pPr>
      <w:r w:rsidRPr="00B72473">
        <w:rPr>
          <w:sz w:val="23"/>
          <w:szCs w:val="23"/>
        </w:rPr>
        <w:t xml:space="preserve">Dans les centres urbains où il existe des dispensaires ou des hôpitaux, le décès d’une personne est constaté par un médecin ou un infirmier qui établit une constatation de décès. </w:t>
      </w:r>
      <w:r w:rsidR="00C47E18" w:rsidRPr="00B72473">
        <w:rPr>
          <w:sz w:val="23"/>
          <w:szCs w:val="23"/>
        </w:rPr>
        <w:t>Aux vues</w:t>
      </w:r>
      <w:r w:rsidRPr="00B72473">
        <w:rPr>
          <w:sz w:val="23"/>
          <w:szCs w:val="23"/>
        </w:rPr>
        <w:t xml:space="preserve"> de celle-ci, l’officier de l’état civil délivre un permis d’inhumer.</w:t>
      </w:r>
    </w:p>
    <w:p w14:paraId="3F8CF705" w14:textId="1DED4F7D" w:rsidR="00C47E18" w:rsidRDefault="00C47E18" w:rsidP="00C47E18">
      <w:pPr>
        <w:autoSpaceDE w:val="0"/>
        <w:autoSpaceDN w:val="0"/>
        <w:adjustRightInd w:val="0"/>
        <w:spacing w:after="0"/>
        <w:jc w:val="both"/>
        <w:rPr>
          <w:sz w:val="23"/>
          <w:szCs w:val="23"/>
        </w:rPr>
      </w:pPr>
    </w:p>
    <w:p w14:paraId="340F2BA1" w14:textId="3DA7C174" w:rsidR="00C47E18" w:rsidRDefault="00C47E18" w:rsidP="00C47E18">
      <w:pPr>
        <w:autoSpaceDE w:val="0"/>
        <w:autoSpaceDN w:val="0"/>
        <w:adjustRightInd w:val="0"/>
        <w:spacing w:after="0"/>
        <w:jc w:val="both"/>
        <w:rPr>
          <w:sz w:val="23"/>
          <w:szCs w:val="23"/>
        </w:rPr>
      </w:pPr>
    </w:p>
    <w:p w14:paraId="67B55FCC" w14:textId="77777777" w:rsidR="00466DE6" w:rsidRDefault="00466DE6" w:rsidP="00C47E18">
      <w:pPr>
        <w:autoSpaceDE w:val="0"/>
        <w:autoSpaceDN w:val="0"/>
        <w:adjustRightInd w:val="0"/>
        <w:spacing w:after="0"/>
        <w:jc w:val="both"/>
        <w:rPr>
          <w:sz w:val="23"/>
          <w:szCs w:val="23"/>
        </w:rPr>
      </w:pPr>
    </w:p>
    <w:tbl>
      <w:tblPr>
        <w:tblStyle w:val="Grilledutableau"/>
        <w:tblW w:w="0" w:type="auto"/>
        <w:tblLook w:val="04A0" w:firstRow="1" w:lastRow="0" w:firstColumn="1" w:lastColumn="0" w:noHBand="0" w:noVBand="1"/>
      </w:tblPr>
      <w:tblGrid>
        <w:gridCol w:w="3539"/>
        <w:gridCol w:w="1101"/>
        <w:gridCol w:w="1102"/>
        <w:gridCol w:w="1101"/>
        <w:gridCol w:w="1102"/>
        <w:gridCol w:w="1102"/>
      </w:tblGrid>
      <w:tr w:rsidR="00111186" w:rsidRPr="00111186" w14:paraId="49694244" w14:textId="77777777" w:rsidTr="008134F5">
        <w:tc>
          <w:tcPr>
            <w:tcW w:w="9047" w:type="dxa"/>
            <w:gridSpan w:val="6"/>
          </w:tcPr>
          <w:p w14:paraId="71D9BE5F" w14:textId="28441FA6" w:rsidR="00111186" w:rsidRPr="00111186" w:rsidRDefault="00111186" w:rsidP="009901F3">
            <w:pPr>
              <w:autoSpaceDE w:val="0"/>
              <w:autoSpaceDN w:val="0"/>
              <w:adjustRightInd w:val="0"/>
              <w:spacing w:line="360" w:lineRule="auto"/>
              <w:jc w:val="both"/>
              <w:rPr>
                <w:b/>
                <w:sz w:val="23"/>
                <w:szCs w:val="23"/>
              </w:rPr>
            </w:pPr>
            <w:r w:rsidRPr="00111186">
              <w:rPr>
                <w:b/>
                <w:sz w:val="23"/>
                <w:szCs w:val="23"/>
              </w:rPr>
              <w:lastRenderedPageBreak/>
              <w:t>Tableau</w:t>
            </w:r>
            <w:r w:rsidR="00C47E18">
              <w:rPr>
                <w:b/>
                <w:sz w:val="23"/>
                <w:szCs w:val="23"/>
              </w:rPr>
              <w:t xml:space="preserve"> 6 </w:t>
            </w:r>
            <w:r w:rsidRPr="00111186">
              <w:rPr>
                <w:b/>
                <w:sz w:val="23"/>
                <w:szCs w:val="23"/>
              </w:rPr>
              <w:t>: Déclaration des mariages et décès (2000-2004)</w:t>
            </w:r>
            <w:r w:rsidR="008134F5">
              <w:rPr>
                <w:rStyle w:val="Appelnotedebasdep"/>
                <w:b/>
                <w:sz w:val="23"/>
                <w:szCs w:val="23"/>
              </w:rPr>
              <w:footnoteReference w:id="92"/>
            </w:r>
          </w:p>
        </w:tc>
      </w:tr>
      <w:tr w:rsidR="00111186" w14:paraId="2FF28C21" w14:textId="77777777" w:rsidTr="00111186">
        <w:tc>
          <w:tcPr>
            <w:tcW w:w="3539" w:type="dxa"/>
          </w:tcPr>
          <w:p w14:paraId="661FF900" w14:textId="77777777" w:rsidR="00111186" w:rsidRDefault="00111186" w:rsidP="009901F3">
            <w:pPr>
              <w:autoSpaceDE w:val="0"/>
              <w:autoSpaceDN w:val="0"/>
              <w:adjustRightInd w:val="0"/>
              <w:spacing w:line="360" w:lineRule="auto"/>
              <w:jc w:val="both"/>
              <w:rPr>
                <w:sz w:val="23"/>
                <w:szCs w:val="23"/>
              </w:rPr>
            </w:pPr>
            <w:r>
              <w:rPr>
                <w:sz w:val="23"/>
                <w:szCs w:val="23"/>
              </w:rPr>
              <w:t>Acte</w:t>
            </w:r>
          </w:p>
        </w:tc>
        <w:tc>
          <w:tcPr>
            <w:tcW w:w="1101" w:type="dxa"/>
          </w:tcPr>
          <w:p w14:paraId="73A06E15" w14:textId="77777777" w:rsidR="00111186" w:rsidRDefault="00111186" w:rsidP="009901F3">
            <w:pPr>
              <w:autoSpaceDE w:val="0"/>
              <w:autoSpaceDN w:val="0"/>
              <w:adjustRightInd w:val="0"/>
              <w:spacing w:line="360" w:lineRule="auto"/>
              <w:jc w:val="both"/>
              <w:rPr>
                <w:sz w:val="23"/>
                <w:szCs w:val="23"/>
              </w:rPr>
            </w:pPr>
            <w:r>
              <w:rPr>
                <w:sz w:val="23"/>
                <w:szCs w:val="23"/>
              </w:rPr>
              <w:t>2000</w:t>
            </w:r>
          </w:p>
        </w:tc>
        <w:tc>
          <w:tcPr>
            <w:tcW w:w="1102" w:type="dxa"/>
          </w:tcPr>
          <w:p w14:paraId="6CAC09D9" w14:textId="77777777" w:rsidR="00111186" w:rsidRDefault="00111186" w:rsidP="009901F3">
            <w:pPr>
              <w:autoSpaceDE w:val="0"/>
              <w:autoSpaceDN w:val="0"/>
              <w:adjustRightInd w:val="0"/>
              <w:spacing w:line="360" w:lineRule="auto"/>
              <w:jc w:val="both"/>
              <w:rPr>
                <w:sz w:val="23"/>
                <w:szCs w:val="23"/>
              </w:rPr>
            </w:pPr>
            <w:r>
              <w:rPr>
                <w:sz w:val="23"/>
                <w:szCs w:val="23"/>
              </w:rPr>
              <w:t>2001</w:t>
            </w:r>
          </w:p>
        </w:tc>
        <w:tc>
          <w:tcPr>
            <w:tcW w:w="1101" w:type="dxa"/>
          </w:tcPr>
          <w:p w14:paraId="1F02AB2B" w14:textId="77777777" w:rsidR="00111186" w:rsidRDefault="00111186" w:rsidP="009901F3">
            <w:pPr>
              <w:autoSpaceDE w:val="0"/>
              <w:autoSpaceDN w:val="0"/>
              <w:adjustRightInd w:val="0"/>
              <w:spacing w:line="360" w:lineRule="auto"/>
              <w:jc w:val="both"/>
              <w:rPr>
                <w:sz w:val="23"/>
                <w:szCs w:val="23"/>
              </w:rPr>
            </w:pPr>
            <w:r>
              <w:rPr>
                <w:sz w:val="23"/>
                <w:szCs w:val="23"/>
              </w:rPr>
              <w:t>2002</w:t>
            </w:r>
          </w:p>
        </w:tc>
        <w:tc>
          <w:tcPr>
            <w:tcW w:w="1102" w:type="dxa"/>
          </w:tcPr>
          <w:p w14:paraId="446D424C" w14:textId="77777777" w:rsidR="00111186" w:rsidRDefault="00111186" w:rsidP="009901F3">
            <w:pPr>
              <w:autoSpaceDE w:val="0"/>
              <w:autoSpaceDN w:val="0"/>
              <w:adjustRightInd w:val="0"/>
              <w:spacing w:line="360" w:lineRule="auto"/>
              <w:jc w:val="both"/>
              <w:rPr>
                <w:sz w:val="23"/>
                <w:szCs w:val="23"/>
              </w:rPr>
            </w:pPr>
            <w:r>
              <w:rPr>
                <w:sz w:val="23"/>
                <w:szCs w:val="23"/>
              </w:rPr>
              <w:t>2003</w:t>
            </w:r>
          </w:p>
        </w:tc>
        <w:tc>
          <w:tcPr>
            <w:tcW w:w="1102" w:type="dxa"/>
          </w:tcPr>
          <w:p w14:paraId="2E9547DC" w14:textId="77777777" w:rsidR="00111186" w:rsidRDefault="00111186" w:rsidP="009901F3">
            <w:pPr>
              <w:autoSpaceDE w:val="0"/>
              <w:autoSpaceDN w:val="0"/>
              <w:adjustRightInd w:val="0"/>
              <w:spacing w:line="360" w:lineRule="auto"/>
              <w:jc w:val="both"/>
              <w:rPr>
                <w:sz w:val="23"/>
                <w:szCs w:val="23"/>
              </w:rPr>
            </w:pPr>
            <w:r>
              <w:rPr>
                <w:sz w:val="23"/>
                <w:szCs w:val="23"/>
              </w:rPr>
              <w:t>2004</w:t>
            </w:r>
          </w:p>
        </w:tc>
      </w:tr>
      <w:tr w:rsidR="00111186" w14:paraId="2C1F4179" w14:textId="77777777" w:rsidTr="00111186">
        <w:tc>
          <w:tcPr>
            <w:tcW w:w="3539" w:type="dxa"/>
          </w:tcPr>
          <w:p w14:paraId="06F6933A" w14:textId="77777777" w:rsidR="00111186" w:rsidRDefault="00111186" w:rsidP="009901F3">
            <w:pPr>
              <w:autoSpaceDE w:val="0"/>
              <w:autoSpaceDN w:val="0"/>
              <w:adjustRightInd w:val="0"/>
              <w:spacing w:line="360" w:lineRule="auto"/>
              <w:jc w:val="both"/>
              <w:rPr>
                <w:sz w:val="23"/>
                <w:szCs w:val="23"/>
              </w:rPr>
            </w:pPr>
            <w:r>
              <w:rPr>
                <w:sz w:val="23"/>
                <w:szCs w:val="23"/>
              </w:rPr>
              <w:t>Déclaration des mariages</w:t>
            </w:r>
          </w:p>
        </w:tc>
        <w:tc>
          <w:tcPr>
            <w:tcW w:w="1101" w:type="dxa"/>
          </w:tcPr>
          <w:p w14:paraId="3C7AC541" w14:textId="77777777" w:rsidR="00111186" w:rsidRDefault="00111186" w:rsidP="009901F3">
            <w:pPr>
              <w:autoSpaceDE w:val="0"/>
              <w:autoSpaceDN w:val="0"/>
              <w:adjustRightInd w:val="0"/>
              <w:spacing w:line="360" w:lineRule="auto"/>
              <w:jc w:val="both"/>
              <w:rPr>
                <w:sz w:val="23"/>
                <w:szCs w:val="23"/>
              </w:rPr>
            </w:pPr>
            <w:r>
              <w:rPr>
                <w:sz w:val="23"/>
                <w:szCs w:val="23"/>
              </w:rPr>
              <w:t>11173</w:t>
            </w:r>
          </w:p>
        </w:tc>
        <w:tc>
          <w:tcPr>
            <w:tcW w:w="1102" w:type="dxa"/>
          </w:tcPr>
          <w:p w14:paraId="4CEE1665" w14:textId="77777777" w:rsidR="00111186" w:rsidRDefault="00111186" w:rsidP="009901F3">
            <w:pPr>
              <w:autoSpaceDE w:val="0"/>
              <w:autoSpaceDN w:val="0"/>
              <w:adjustRightInd w:val="0"/>
              <w:spacing w:line="360" w:lineRule="auto"/>
              <w:jc w:val="both"/>
              <w:rPr>
                <w:sz w:val="23"/>
                <w:szCs w:val="23"/>
              </w:rPr>
            </w:pPr>
            <w:r>
              <w:rPr>
                <w:sz w:val="23"/>
                <w:szCs w:val="23"/>
              </w:rPr>
              <w:t>5678</w:t>
            </w:r>
          </w:p>
        </w:tc>
        <w:tc>
          <w:tcPr>
            <w:tcW w:w="1101" w:type="dxa"/>
          </w:tcPr>
          <w:p w14:paraId="64DDFAFA" w14:textId="77777777" w:rsidR="00111186" w:rsidRDefault="00111186" w:rsidP="009901F3">
            <w:pPr>
              <w:autoSpaceDE w:val="0"/>
              <w:autoSpaceDN w:val="0"/>
              <w:adjustRightInd w:val="0"/>
              <w:spacing w:line="360" w:lineRule="auto"/>
              <w:jc w:val="both"/>
              <w:rPr>
                <w:sz w:val="23"/>
                <w:szCs w:val="23"/>
              </w:rPr>
            </w:pPr>
            <w:r>
              <w:rPr>
                <w:sz w:val="23"/>
                <w:szCs w:val="23"/>
              </w:rPr>
              <w:t>6374</w:t>
            </w:r>
          </w:p>
        </w:tc>
        <w:tc>
          <w:tcPr>
            <w:tcW w:w="1102" w:type="dxa"/>
          </w:tcPr>
          <w:p w14:paraId="32F2444E" w14:textId="77777777" w:rsidR="00111186" w:rsidRDefault="00111186" w:rsidP="009901F3">
            <w:pPr>
              <w:autoSpaceDE w:val="0"/>
              <w:autoSpaceDN w:val="0"/>
              <w:adjustRightInd w:val="0"/>
              <w:spacing w:line="360" w:lineRule="auto"/>
              <w:jc w:val="both"/>
              <w:rPr>
                <w:sz w:val="23"/>
                <w:szCs w:val="23"/>
              </w:rPr>
            </w:pPr>
            <w:r>
              <w:rPr>
                <w:sz w:val="23"/>
                <w:szCs w:val="23"/>
              </w:rPr>
              <w:t>5702</w:t>
            </w:r>
          </w:p>
        </w:tc>
        <w:tc>
          <w:tcPr>
            <w:tcW w:w="1102" w:type="dxa"/>
          </w:tcPr>
          <w:p w14:paraId="13332501" w14:textId="77777777" w:rsidR="00111186" w:rsidRDefault="00111186" w:rsidP="009901F3">
            <w:pPr>
              <w:autoSpaceDE w:val="0"/>
              <w:autoSpaceDN w:val="0"/>
              <w:adjustRightInd w:val="0"/>
              <w:spacing w:line="360" w:lineRule="auto"/>
              <w:jc w:val="both"/>
              <w:rPr>
                <w:sz w:val="23"/>
                <w:szCs w:val="23"/>
              </w:rPr>
            </w:pPr>
            <w:r>
              <w:rPr>
                <w:sz w:val="23"/>
                <w:szCs w:val="23"/>
              </w:rPr>
              <w:t>10054</w:t>
            </w:r>
          </w:p>
        </w:tc>
      </w:tr>
      <w:tr w:rsidR="00111186" w14:paraId="54751A86" w14:textId="77777777" w:rsidTr="00111186">
        <w:tc>
          <w:tcPr>
            <w:tcW w:w="3539" w:type="dxa"/>
          </w:tcPr>
          <w:p w14:paraId="461F9BF1" w14:textId="77777777" w:rsidR="00111186" w:rsidRDefault="00111186" w:rsidP="009901F3">
            <w:pPr>
              <w:autoSpaceDE w:val="0"/>
              <w:autoSpaceDN w:val="0"/>
              <w:adjustRightInd w:val="0"/>
              <w:spacing w:line="360" w:lineRule="auto"/>
              <w:jc w:val="both"/>
              <w:rPr>
                <w:sz w:val="23"/>
                <w:szCs w:val="23"/>
              </w:rPr>
            </w:pPr>
            <w:r>
              <w:rPr>
                <w:sz w:val="23"/>
                <w:szCs w:val="23"/>
              </w:rPr>
              <w:t>Déclaration des décès</w:t>
            </w:r>
          </w:p>
        </w:tc>
        <w:tc>
          <w:tcPr>
            <w:tcW w:w="1101" w:type="dxa"/>
          </w:tcPr>
          <w:p w14:paraId="45AE5659" w14:textId="77777777" w:rsidR="00111186" w:rsidRDefault="00111186" w:rsidP="009901F3">
            <w:pPr>
              <w:autoSpaceDE w:val="0"/>
              <w:autoSpaceDN w:val="0"/>
              <w:adjustRightInd w:val="0"/>
              <w:spacing w:line="360" w:lineRule="auto"/>
              <w:jc w:val="both"/>
              <w:rPr>
                <w:sz w:val="23"/>
                <w:szCs w:val="23"/>
              </w:rPr>
            </w:pPr>
            <w:r>
              <w:rPr>
                <w:sz w:val="23"/>
                <w:szCs w:val="23"/>
              </w:rPr>
              <w:t>5508</w:t>
            </w:r>
          </w:p>
        </w:tc>
        <w:tc>
          <w:tcPr>
            <w:tcW w:w="1102" w:type="dxa"/>
          </w:tcPr>
          <w:p w14:paraId="4C338074" w14:textId="77777777" w:rsidR="00111186" w:rsidRDefault="00111186" w:rsidP="009901F3">
            <w:pPr>
              <w:autoSpaceDE w:val="0"/>
              <w:autoSpaceDN w:val="0"/>
              <w:adjustRightInd w:val="0"/>
              <w:spacing w:line="360" w:lineRule="auto"/>
              <w:jc w:val="both"/>
              <w:rPr>
                <w:sz w:val="23"/>
                <w:szCs w:val="23"/>
              </w:rPr>
            </w:pPr>
            <w:r>
              <w:rPr>
                <w:sz w:val="23"/>
                <w:szCs w:val="23"/>
              </w:rPr>
              <w:t>2676</w:t>
            </w:r>
          </w:p>
        </w:tc>
        <w:tc>
          <w:tcPr>
            <w:tcW w:w="1101" w:type="dxa"/>
          </w:tcPr>
          <w:p w14:paraId="6ED3C019" w14:textId="77777777" w:rsidR="00111186" w:rsidRDefault="00111186" w:rsidP="009901F3">
            <w:pPr>
              <w:autoSpaceDE w:val="0"/>
              <w:autoSpaceDN w:val="0"/>
              <w:adjustRightInd w:val="0"/>
              <w:spacing w:line="360" w:lineRule="auto"/>
              <w:jc w:val="both"/>
              <w:rPr>
                <w:sz w:val="23"/>
                <w:szCs w:val="23"/>
              </w:rPr>
            </w:pPr>
            <w:r>
              <w:rPr>
                <w:sz w:val="23"/>
                <w:szCs w:val="23"/>
              </w:rPr>
              <w:t>3463</w:t>
            </w:r>
          </w:p>
        </w:tc>
        <w:tc>
          <w:tcPr>
            <w:tcW w:w="1102" w:type="dxa"/>
          </w:tcPr>
          <w:p w14:paraId="4C7D76BE" w14:textId="77777777" w:rsidR="00111186" w:rsidRDefault="00111186" w:rsidP="009901F3">
            <w:pPr>
              <w:autoSpaceDE w:val="0"/>
              <w:autoSpaceDN w:val="0"/>
              <w:adjustRightInd w:val="0"/>
              <w:spacing w:line="360" w:lineRule="auto"/>
              <w:jc w:val="both"/>
              <w:rPr>
                <w:sz w:val="23"/>
                <w:szCs w:val="23"/>
              </w:rPr>
            </w:pPr>
            <w:r>
              <w:rPr>
                <w:sz w:val="23"/>
                <w:szCs w:val="23"/>
              </w:rPr>
              <w:t>3270</w:t>
            </w:r>
          </w:p>
        </w:tc>
        <w:tc>
          <w:tcPr>
            <w:tcW w:w="1102" w:type="dxa"/>
          </w:tcPr>
          <w:p w14:paraId="04413403" w14:textId="77777777" w:rsidR="00111186" w:rsidRDefault="00111186" w:rsidP="009901F3">
            <w:pPr>
              <w:autoSpaceDE w:val="0"/>
              <w:autoSpaceDN w:val="0"/>
              <w:adjustRightInd w:val="0"/>
              <w:spacing w:line="360" w:lineRule="auto"/>
              <w:jc w:val="both"/>
              <w:rPr>
                <w:sz w:val="23"/>
                <w:szCs w:val="23"/>
              </w:rPr>
            </w:pPr>
            <w:r>
              <w:rPr>
                <w:sz w:val="23"/>
                <w:szCs w:val="23"/>
              </w:rPr>
              <w:t>3487</w:t>
            </w:r>
          </w:p>
        </w:tc>
      </w:tr>
    </w:tbl>
    <w:p w14:paraId="2B8772CE" w14:textId="77777777" w:rsidR="009901F3" w:rsidRPr="00B72473" w:rsidRDefault="009901F3" w:rsidP="009901F3">
      <w:pPr>
        <w:autoSpaceDE w:val="0"/>
        <w:autoSpaceDN w:val="0"/>
        <w:adjustRightInd w:val="0"/>
        <w:spacing w:after="0" w:line="360" w:lineRule="auto"/>
        <w:jc w:val="both"/>
        <w:rPr>
          <w:sz w:val="23"/>
          <w:szCs w:val="23"/>
        </w:rPr>
      </w:pPr>
    </w:p>
    <w:p w14:paraId="064C0070" w14:textId="12E1D711" w:rsidR="00111186" w:rsidRPr="00C47E18" w:rsidRDefault="00C47E18" w:rsidP="007A76B7">
      <w:pPr>
        <w:pStyle w:val="Paragraphedeliste"/>
        <w:numPr>
          <w:ilvl w:val="2"/>
          <w:numId w:val="1"/>
        </w:numPr>
        <w:spacing w:line="360" w:lineRule="auto"/>
        <w:jc w:val="both"/>
        <w:rPr>
          <w:sz w:val="23"/>
          <w:szCs w:val="23"/>
        </w:rPr>
      </w:pPr>
      <w:r w:rsidRPr="00C47E18">
        <w:rPr>
          <w:sz w:val="23"/>
          <w:szCs w:val="23"/>
        </w:rPr>
        <w:t>SITUATION EN MATIERE DE STATISTIQUES VITALES</w:t>
      </w:r>
    </w:p>
    <w:p w14:paraId="2CB9739F" w14:textId="77777777" w:rsidR="00346A11" w:rsidRPr="00C47E18" w:rsidRDefault="00346A11" w:rsidP="00C47E18">
      <w:pPr>
        <w:autoSpaceDE w:val="0"/>
        <w:autoSpaceDN w:val="0"/>
        <w:adjustRightInd w:val="0"/>
        <w:spacing w:after="0"/>
        <w:jc w:val="both"/>
        <w:rPr>
          <w:sz w:val="24"/>
          <w:szCs w:val="24"/>
        </w:rPr>
      </w:pPr>
      <w:r w:rsidRPr="00C47E18">
        <w:rPr>
          <w:sz w:val="24"/>
          <w:szCs w:val="24"/>
        </w:rPr>
        <w:t xml:space="preserve">Les statistiques de vie se définissent comme l’ensemble des renseignements caractérisant les individus et les événements faisant l’objet d’une déclaration à l’état civil. Elles sont établies à partir des informations sur la naissance vivante, le mariage, la mort fœtale, le divorce, l’annulation, le décès, la séparation de corps et de biens, l’adoption, la légitimation et la reconnaissance. </w:t>
      </w:r>
    </w:p>
    <w:p w14:paraId="619577AC" w14:textId="77777777" w:rsidR="00017F9E" w:rsidRPr="00C47E18" w:rsidRDefault="00346A11" w:rsidP="00C47E18">
      <w:pPr>
        <w:spacing w:after="0"/>
        <w:jc w:val="both"/>
        <w:rPr>
          <w:sz w:val="24"/>
          <w:szCs w:val="24"/>
        </w:rPr>
      </w:pPr>
      <w:r w:rsidRPr="00C47E18">
        <w:rPr>
          <w:sz w:val="24"/>
          <w:szCs w:val="24"/>
        </w:rPr>
        <w:t xml:space="preserve">Les statistiques de vie sont des éléments essentiels de la planification du développement. </w:t>
      </w:r>
    </w:p>
    <w:p w14:paraId="3E1CE451" w14:textId="77777777" w:rsidR="00346A11" w:rsidRPr="00C47E18" w:rsidRDefault="00346A11" w:rsidP="00C47E18">
      <w:pPr>
        <w:spacing w:after="0"/>
        <w:jc w:val="both"/>
        <w:rPr>
          <w:sz w:val="24"/>
          <w:szCs w:val="24"/>
        </w:rPr>
      </w:pPr>
      <w:r w:rsidRPr="00C47E18">
        <w:rPr>
          <w:sz w:val="24"/>
          <w:szCs w:val="24"/>
        </w:rPr>
        <w:t xml:space="preserve">La première et seule expérience de collecte des statistiques de vie au niveau national </w:t>
      </w:r>
      <w:r w:rsidR="00821F0E" w:rsidRPr="00C47E18">
        <w:rPr>
          <w:sz w:val="24"/>
          <w:szCs w:val="24"/>
        </w:rPr>
        <w:t>remonte</w:t>
      </w:r>
      <w:r w:rsidRPr="00C47E18">
        <w:rPr>
          <w:sz w:val="24"/>
          <w:szCs w:val="24"/>
        </w:rPr>
        <w:t xml:space="preserve"> à l’année 2007. C’est au cours de cette année que la collecte des statistiques de vie concernant les naissances, les décès, les mariages ont véritablement débuté sur l’ensemble du territoire. Cette première collecte, considérée comme une phase pilote, a couvert une période de trois (03) ans (2005 - 2007) et devait se poursuivre par des collectes trimestrielles chaque année. </w:t>
      </w:r>
    </w:p>
    <w:p w14:paraId="756FC14D" w14:textId="77777777" w:rsidR="00821F0E" w:rsidRPr="00C47E18" w:rsidRDefault="00821F0E" w:rsidP="00C47E18">
      <w:pPr>
        <w:pStyle w:val="Paragraphedeliste"/>
        <w:numPr>
          <w:ilvl w:val="2"/>
          <w:numId w:val="1"/>
        </w:numPr>
        <w:spacing w:after="0"/>
        <w:jc w:val="both"/>
        <w:rPr>
          <w:b/>
          <w:sz w:val="24"/>
          <w:szCs w:val="24"/>
        </w:rPr>
      </w:pPr>
      <w:r w:rsidRPr="00C47E18">
        <w:rPr>
          <w:b/>
          <w:sz w:val="24"/>
          <w:szCs w:val="24"/>
        </w:rPr>
        <w:t>Les goulots d’étranglement</w:t>
      </w:r>
    </w:p>
    <w:p w14:paraId="5B57AAEC" w14:textId="3698534E" w:rsidR="00821F0E" w:rsidRPr="00C47E18" w:rsidRDefault="00777B75" w:rsidP="00A97663">
      <w:pPr>
        <w:pStyle w:val="Paragraphedeliste"/>
        <w:numPr>
          <w:ilvl w:val="0"/>
          <w:numId w:val="49"/>
        </w:numPr>
        <w:spacing w:after="0"/>
        <w:jc w:val="both"/>
        <w:rPr>
          <w:sz w:val="24"/>
          <w:szCs w:val="24"/>
        </w:rPr>
      </w:pPr>
      <w:r w:rsidRPr="00C47E18">
        <w:rPr>
          <w:i/>
          <w:sz w:val="24"/>
          <w:szCs w:val="24"/>
        </w:rPr>
        <w:t>L</w:t>
      </w:r>
      <w:r w:rsidR="00821F0E" w:rsidRPr="00C47E18">
        <w:rPr>
          <w:i/>
          <w:sz w:val="24"/>
          <w:szCs w:val="24"/>
        </w:rPr>
        <w:t>’information insuffisante de la population</w:t>
      </w:r>
      <w:r w:rsidR="00821F0E" w:rsidRPr="00C47E18">
        <w:rPr>
          <w:sz w:val="24"/>
          <w:szCs w:val="24"/>
        </w:rPr>
        <w:t xml:space="preserve"> sur l’importance</w:t>
      </w:r>
      <w:r w:rsidRPr="00C47E18">
        <w:rPr>
          <w:sz w:val="24"/>
          <w:szCs w:val="24"/>
        </w:rPr>
        <w:t xml:space="preserve"> de l’enregistrement des naissances, des avantages qu’il confère aux enfants et aux citoyens de manière générale et des conséquences que le non-enregistrement des nais</w:t>
      </w:r>
      <w:r w:rsidR="00821F0E" w:rsidRPr="00C47E18">
        <w:rPr>
          <w:sz w:val="24"/>
          <w:szCs w:val="24"/>
        </w:rPr>
        <w:t xml:space="preserve">sances peut </w:t>
      </w:r>
      <w:r w:rsidR="00CF7C04" w:rsidRPr="00C47E18">
        <w:rPr>
          <w:sz w:val="24"/>
          <w:szCs w:val="24"/>
        </w:rPr>
        <w:t>engendrer.</w:t>
      </w:r>
    </w:p>
    <w:p w14:paraId="4D44F4A1" w14:textId="77777777" w:rsidR="00777B75" w:rsidRPr="00C47E18" w:rsidRDefault="00821F0E" w:rsidP="00A97663">
      <w:pPr>
        <w:pStyle w:val="Paragraphedeliste"/>
        <w:numPr>
          <w:ilvl w:val="0"/>
          <w:numId w:val="49"/>
        </w:numPr>
        <w:spacing w:after="0"/>
        <w:jc w:val="both"/>
        <w:rPr>
          <w:sz w:val="24"/>
          <w:szCs w:val="24"/>
        </w:rPr>
      </w:pPr>
      <w:r w:rsidRPr="00C47E18">
        <w:rPr>
          <w:i/>
          <w:sz w:val="24"/>
          <w:szCs w:val="24"/>
        </w:rPr>
        <w:t>L</w:t>
      </w:r>
      <w:r w:rsidR="00777B75" w:rsidRPr="00C47E18">
        <w:rPr>
          <w:i/>
          <w:sz w:val="24"/>
          <w:szCs w:val="24"/>
        </w:rPr>
        <w:t>a faible disponibilité des services d’état civil</w:t>
      </w:r>
      <w:r w:rsidR="00777B75" w:rsidRPr="00C47E18">
        <w:rPr>
          <w:sz w:val="24"/>
          <w:szCs w:val="24"/>
        </w:rPr>
        <w:t xml:space="preserve"> </w:t>
      </w:r>
      <w:r w:rsidRPr="00C47E18">
        <w:rPr>
          <w:sz w:val="24"/>
          <w:szCs w:val="24"/>
        </w:rPr>
        <w:t>avec un rayon moyen d’action théorique qui va de 7,5 Km (Région du Centre) à 22 km 5Région de l’Est).</w:t>
      </w:r>
    </w:p>
    <w:p w14:paraId="6969969C" w14:textId="77777777" w:rsidR="00821F0E" w:rsidRPr="00C47E18" w:rsidRDefault="00821F0E" w:rsidP="00A97663">
      <w:pPr>
        <w:pStyle w:val="Paragraphedeliste"/>
        <w:numPr>
          <w:ilvl w:val="0"/>
          <w:numId w:val="49"/>
        </w:numPr>
        <w:spacing w:after="0"/>
        <w:jc w:val="both"/>
        <w:rPr>
          <w:i/>
          <w:sz w:val="24"/>
          <w:szCs w:val="24"/>
        </w:rPr>
      </w:pPr>
      <w:r w:rsidRPr="00C47E18">
        <w:rPr>
          <w:i/>
          <w:sz w:val="24"/>
          <w:szCs w:val="24"/>
        </w:rPr>
        <w:t>L</w:t>
      </w:r>
      <w:r w:rsidR="00777B75" w:rsidRPr="00C47E18">
        <w:rPr>
          <w:i/>
          <w:sz w:val="24"/>
          <w:szCs w:val="24"/>
        </w:rPr>
        <w:t>’insuffisance de personnels formés</w:t>
      </w:r>
      <w:r w:rsidRPr="00C47E18">
        <w:rPr>
          <w:i/>
          <w:sz w:val="24"/>
          <w:szCs w:val="24"/>
        </w:rPr>
        <w:t xml:space="preserve"> comme agent de l’état civil. </w:t>
      </w:r>
    </w:p>
    <w:p w14:paraId="12C3BB83" w14:textId="77777777" w:rsidR="00821F0E" w:rsidRPr="00C47E18" w:rsidRDefault="00821F0E" w:rsidP="00A97663">
      <w:pPr>
        <w:pStyle w:val="Paragraphedeliste"/>
        <w:numPr>
          <w:ilvl w:val="0"/>
          <w:numId w:val="49"/>
        </w:numPr>
        <w:spacing w:after="0"/>
        <w:jc w:val="both"/>
        <w:rPr>
          <w:i/>
          <w:sz w:val="24"/>
          <w:szCs w:val="24"/>
        </w:rPr>
      </w:pPr>
      <w:r w:rsidRPr="00C47E18">
        <w:rPr>
          <w:i/>
          <w:sz w:val="24"/>
          <w:szCs w:val="24"/>
        </w:rPr>
        <w:t>La faible exploitation des technologies modernes (TIC)</w:t>
      </w:r>
      <w:r w:rsidR="00777B75" w:rsidRPr="00C47E18">
        <w:rPr>
          <w:i/>
          <w:sz w:val="24"/>
          <w:szCs w:val="24"/>
        </w:rPr>
        <w:t xml:space="preserve"> </w:t>
      </w:r>
    </w:p>
    <w:p w14:paraId="79FD4616" w14:textId="77777777" w:rsidR="00777B75" w:rsidRPr="00C47E18" w:rsidRDefault="001D2179" w:rsidP="00A97663">
      <w:pPr>
        <w:pStyle w:val="Paragraphedeliste"/>
        <w:numPr>
          <w:ilvl w:val="0"/>
          <w:numId w:val="49"/>
        </w:numPr>
        <w:spacing w:after="0"/>
        <w:jc w:val="both"/>
        <w:rPr>
          <w:i/>
          <w:sz w:val="24"/>
          <w:szCs w:val="24"/>
        </w:rPr>
      </w:pPr>
      <w:r w:rsidRPr="00C47E18">
        <w:rPr>
          <w:i/>
          <w:sz w:val="24"/>
          <w:szCs w:val="24"/>
        </w:rPr>
        <w:t>L</w:t>
      </w:r>
      <w:r w:rsidR="00777B75" w:rsidRPr="00C47E18">
        <w:rPr>
          <w:i/>
          <w:sz w:val="24"/>
          <w:szCs w:val="24"/>
        </w:rPr>
        <w:t xml:space="preserve">e mauvais archivage des registres </w:t>
      </w:r>
    </w:p>
    <w:p w14:paraId="0476AE5C" w14:textId="77777777" w:rsidR="001D2179" w:rsidRPr="00C47E18" w:rsidRDefault="001D2179" w:rsidP="00A97663">
      <w:pPr>
        <w:pStyle w:val="Paragraphedeliste"/>
        <w:numPr>
          <w:ilvl w:val="0"/>
          <w:numId w:val="49"/>
        </w:numPr>
        <w:spacing w:after="0"/>
        <w:jc w:val="both"/>
        <w:rPr>
          <w:i/>
          <w:sz w:val="24"/>
          <w:szCs w:val="24"/>
        </w:rPr>
      </w:pPr>
      <w:r w:rsidRPr="00C47E18">
        <w:rPr>
          <w:i/>
          <w:sz w:val="24"/>
          <w:szCs w:val="24"/>
        </w:rPr>
        <w:t>L</w:t>
      </w:r>
      <w:r w:rsidR="00777B75" w:rsidRPr="00C47E18">
        <w:rPr>
          <w:i/>
          <w:sz w:val="24"/>
          <w:szCs w:val="24"/>
        </w:rPr>
        <w:t xml:space="preserve">’analphabétisme et le manque d’informations sur les droits de l’enfant et de la femme </w:t>
      </w:r>
    </w:p>
    <w:p w14:paraId="580BB658" w14:textId="77777777" w:rsidR="00777B75" w:rsidRPr="00C47E18" w:rsidRDefault="001D2179" w:rsidP="00A97663">
      <w:pPr>
        <w:pStyle w:val="Paragraphedeliste"/>
        <w:numPr>
          <w:ilvl w:val="0"/>
          <w:numId w:val="49"/>
        </w:numPr>
        <w:spacing w:after="0"/>
        <w:jc w:val="both"/>
        <w:rPr>
          <w:i/>
          <w:sz w:val="24"/>
          <w:szCs w:val="24"/>
        </w:rPr>
      </w:pPr>
      <w:r w:rsidRPr="00C47E18">
        <w:rPr>
          <w:i/>
          <w:sz w:val="24"/>
          <w:szCs w:val="24"/>
        </w:rPr>
        <w:t xml:space="preserve">La faiblesse des mécanismes de </w:t>
      </w:r>
      <w:r w:rsidR="00777B75" w:rsidRPr="00C47E18">
        <w:rPr>
          <w:i/>
          <w:sz w:val="24"/>
          <w:szCs w:val="24"/>
        </w:rPr>
        <w:t xml:space="preserve">suivi-évaluation et de coordination des différents ministères impliqués. </w:t>
      </w:r>
    </w:p>
    <w:p w14:paraId="545F2D47" w14:textId="77777777" w:rsidR="00BF1D6D" w:rsidRDefault="00BF1D6D" w:rsidP="0028196B">
      <w:pPr>
        <w:spacing w:after="0" w:line="360" w:lineRule="auto"/>
        <w:jc w:val="both"/>
        <w:rPr>
          <w:b/>
          <w:sz w:val="24"/>
          <w:szCs w:val="24"/>
        </w:rPr>
      </w:pPr>
    </w:p>
    <w:p w14:paraId="29FB3BC8" w14:textId="26313AAE" w:rsidR="0087010D" w:rsidRPr="00C507A4" w:rsidRDefault="00C507A4" w:rsidP="005655E1">
      <w:pPr>
        <w:rPr>
          <w:sz w:val="23"/>
          <w:szCs w:val="23"/>
        </w:rPr>
      </w:pPr>
      <w:r>
        <w:rPr>
          <w:sz w:val="23"/>
          <w:szCs w:val="23"/>
        </w:rPr>
        <w:br w:type="page"/>
      </w:r>
    </w:p>
    <w:p w14:paraId="07A8B9ED" w14:textId="71E17494" w:rsidR="00AC56F1" w:rsidRPr="00AC56F1" w:rsidRDefault="0087010D" w:rsidP="00AC56F1">
      <w:pPr>
        <w:pStyle w:val="Paragraphedeliste"/>
        <w:numPr>
          <w:ilvl w:val="0"/>
          <w:numId w:val="1"/>
        </w:numPr>
        <w:rPr>
          <w:b/>
          <w:sz w:val="32"/>
          <w:szCs w:val="32"/>
        </w:rPr>
      </w:pPr>
      <w:r>
        <w:rPr>
          <w:b/>
          <w:sz w:val="32"/>
          <w:szCs w:val="32"/>
        </w:rPr>
        <w:lastRenderedPageBreak/>
        <w:t xml:space="preserve">ANALYSE DES </w:t>
      </w:r>
      <w:r w:rsidR="005655E1" w:rsidRPr="0087010D">
        <w:rPr>
          <w:b/>
          <w:sz w:val="32"/>
          <w:szCs w:val="32"/>
        </w:rPr>
        <w:t xml:space="preserve">GOULOTS D’ETRANGLEMENT </w:t>
      </w:r>
      <w:r w:rsidR="00DE39C4" w:rsidRPr="00904EB5">
        <w:rPr>
          <w:b/>
          <w:sz w:val="28"/>
          <w:szCs w:val="28"/>
        </w:rPr>
        <w:t xml:space="preserve">A </w:t>
      </w:r>
      <w:r w:rsidR="00DE39C4">
        <w:rPr>
          <w:b/>
          <w:sz w:val="28"/>
          <w:szCs w:val="28"/>
        </w:rPr>
        <w:t>MISE EN OEUVRE</w:t>
      </w:r>
      <w:r w:rsidR="00DE39C4" w:rsidRPr="00904EB5">
        <w:rPr>
          <w:b/>
          <w:sz w:val="28"/>
          <w:szCs w:val="28"/>
        </w:rPr>
        <w:t xml:space="preserve"> EFFECTIVE DES SERVICES DE LA SRMNEA ET DE L’ECSV</w:t>
      </w:r>
      <w:r w:rsidR="00DE39C4" w:rsidRPr="0087010D">
        <w:rPr>
          <w:b/>
          <w:sz w:val="32"/>
          <w:szCs w:val="32"/>
        </w:rPr>
        <w:t xml:space="preserve"> </w:t>
      </w:r>
    </w:p>
    <w:p w14:paraId="6EF15AE3" w14:textId="6BF1D1F6" w:rsidR="00AC56F1" w:rsidRDefault="00AC56F1" w:rsidP="00AC56F1">
      <w:pPr>
        <w:jc w:val="both"/>
        <w:rPr>
          <w:b/>
          <w:sz w:val="24"/>
          <w:szCs w:val="24"/>
        </w:rPr>
      </w:pPr>
      <w:r w:rsidRPr="00AD25FF">
        <w:rPr>
          <w:sz w:val="24"/>
          <w:szCs w:val="24"/>
        </w:rPr>
        <w:t>L’analyse des goulots pour la mise en œuvre des interventions a été réalisée sur la base d’un scénario construit dans l’outil EQUIST</w:t>
      </w:r>
      <w:r>
        <w:rPr>
          <w:sz w:val="24"/>
          <w:szCs w:val="24"/>
        </w:rPr>
        <w:t xml:space="preserve"> qui s’étend de 2019-2023</w:t>
      </w:r>
      <w:r w:rsidRPr="00AD25FF">
        <w:rPr>
          <w:sz w:val="24"/>
          <w:szCs w:val="24"/>
        </w:rPr>
        <w:t xml:space="preserve"> en prenant en compte toutes les régions du pays et les principales causes épidémiologiques</w:t>
      </w:r>
      <w:r w:rsidRPr="00AD25FF">
        <w:rPr>
          <w:b/>
          <w:sz w:val="24"/>
          <w:szCs w:val="24"/>
        </w:rPr>
        <w:t>.</w:t>
      </w:r>
    </w:p>
    <w:p w14:paraId="3C38B398" w14:textId="77777777" w:rsidR="00AC56F1" w:rsidRDefault="00AC56F1" w:rsidP="00AC56F1">
      <w:pPr>
        <w:spacing w:after="0"/>
        <w:jc w:val="both"/>
        <w:rPr>
          <w:sz w:val="24"/>
          <w:szCs w:val="24"/>
        </w:rPr>
      </w:pPr>
      <w:r w:rsidRPr="003B210A">
        <w:rPr>
          <w:sz w:val="24"/>
          <w:szCs w:val="24"/>
        </w:rPr>
        <w:t>Ces priorités épidémiologiques se déclinent comme suit :</w:t>
      </w:r>
    </w:p>
    <w:p w14:paraId="664EB53E" w14:textId="77777777" w:rsidR="00AC56F1" w:rsidRDefault="00AC56F1" w:rsidP="00A97663">
      <w:pPr>
        <w:numPr>
          <w:ilvl w:val="0"/>
          <w:numId w:val="105"/>
        </w:numPr>
        <w:spacing w:after="0"/>
        <w:jc w:val="both"/>
        <w:rPr>
          <w:sz w:val="24"/>
          <w:szCs w:val="24"/>
        </w:rPr>
      </w:pPr>
      <w:r>
        <w:rPr>
          <w:sz w:val="24"/>
          <w:szCs w:val="24"/>
        </w:rPr>
        <w:t>Mortalité néo-natale : asphyxie, prématurité, infection</w:t>
      </w:r>
    </w:p>
    <w:p w14:paraId="748C025B" w14:textId="77777777" w:rsidR="00AC56F1" w:rsidRDefault="00AC56F1" w:rsidP="00A97663">
      <w:pPr>
        <w:numPr>
          <w:ilvl w:val="0"/>
          <w:numId w:val="105"/>
        </w:numPr>
        <w:spacing w:after="0"/>
        <w:jc w:val="both"/>
        <w:rPr>
          <w:sz w:val="24"/>
          <w:szCs w:val="24"/>
        </w:rPr>
      </w:pPr>
      <w:r>
        <w:rPr>
          <w:sz w:val="24"/>
          <w:szCs w:val="24"/>
        </w:rPr>
        <w:t>Mortalité post-néo-natale et infantile : diarrhée, paludisme, rougeole, méningite, pneumonie, HIV/SIDA</w:t>
      </w:r>
    </w:p>
    <w:p w14:paraId="3A436069" w14:textId="776C65DC" w:rsidR="00AC56F1" w:rsidRDefault="00AC56F1" w:rsidP="00A97663">
      <w:pPr>
        <w:numPr>
          <w:ilvl w:val="0"/>
          <w:numId w:val="105"/>
        </w:numPr>
        <w:spacing w:after="0"/>
        <w:jc w:val="both"/>
        <w:rPr>
          <w:sz w:val="24"/>
          <w:szCs w:val="24"/>
        </w:rPr>
      </w:pPr>
      <w:r>
        <w:rPr>
          <w:sz w:val="24"/>
          <w:szCs w:val="24"/>
        </w:rPr>
        <w:t>Nutrition de l’enfant : Malnutrition aigüe sévère, femme enceinte avec un IMC&lt;17 , retard de croissance due à la nutrition de la mère.</w:t>
      </w:r>
    </w:p>
    <w:p w14:paraId="45D65FA8" w14:textId="77777777" w:rsidR="00AC56F1" w:rsidRDefault="00AC56F1" w:rsidP="00A97663">
      <w:pPr>
        <w:numPr>
          <w:ilvl w:val="0"/>
          <w:numId w:val="105"/>
        </w:numPr>
        <w:spacing w:after="0"/>
        <w:jc w:val="both"/>
        <w:rPr>
          <w:sz w:val="24"/>
          <w:szCs w:val="24"/>
        </w:rPr>
      </w:pPr>
      <w:r>
        <w:rPr>
          <w:sz w:val="24"/>
          <w:szCs w:val="24"/>
        </w:rPr>
        <w:t>Mortalité maternelle : hémorragie intra-partum, complications avortement, hémorragie du post-partum, dystocie du travail, septicémie, maladies hypertensives</w:t>
      </w:r>
    </w:p>
    <w:p w14:paraId="4C207CC2" w14:textId="3D5491B1" w:rsidR="00AC56F1" w:rsidRPr="003B210A" w:rsidRDefault="00AC56F1" w:rsidP="00AC56F1">
      <w:pPr>
        <w:jc w:val="both"/>
        <w:rPr>
          <w:sz w:val="24"/>
          <w:szCs w:val="24"/>
        </w:rPr>
      </w:pPr>
      <w:r>
        <w:rPr>
          <w:sz w:val="24"/>
          <w:szCs w:val="24"/>
        </w:rPr>
        <w:t xml:space="preserve">Pour adresser ces différentes pathologies, des interventions à haut impact sur la réduction de la mortalité liée à ces causes ont été sélectionnées dans la liste proposée par Equist. Ces interventions ont ainsi fait l’objet d’une analyse détaillée des goulots pour aboutir à l’impact </w:t>
      </w:r>
      <w:r w:rsidR="00520196">
        <w:rPr>
          <w:sz w:val="24"/>
          <w:szCs w:val="24"/>
        </w:rPr>
        <w:t>coût</w:t>
      </w:r>
      <w:r>
        <w:rPr>
          <w:sz w:val="24"/>
          <w:szCs w:val="24"/>
        </w:rPr>
        <w:t>.</w:t>
      </w:r>
    </w:p>
    <w:p w14:paraId="155EF852" w14:textId="5CE1FDA0" w:rsidR="00AC56F1" w:rsidRPr="00520196" w:rsidRDefault="00520196" w:rsidP="00520196">
      <w:pPr>
        <w:pStyle w:val="Paragraphedeliste"/>
        <w:numPr>
          <w:ilvl w:val="1"/>
          <w:numId w:val="1"/>
        </w:numPr>
        <w:shd w:val="clear" w:color="auto" w:fill="FFFFFF" w:themeFill="background1"/>
        <w:rPr>
          <w:sz w:val="24"/>
          <w:szCs w:val="24"/>
        </w:rPr>
      </w:pPr>
      <w:r w:rsidRPr="00520196">
        <w:rPr>
          <w:sz w:val="24"/>
          <w:szCs w:val="24"/>
        </w:rPr>
        <w:t>PAQUET DES PRATIQUES FAMILIALES ESSENTIELLES</w:t>
      </w:r>
    </w:p>
    <w:p w14:paraId="77690D18" w14:textId="56DA951B" w:rsidR="00AC56F1" w:rsidRPr="00520196" w:rsidRDefault="00AC56F1" w:rsidP="00520196">
      <w:pPr>
        <w:pStyle w:val="Paragraphedeliste"/>
        <w:numPr>
          <w:ilvl w:val="2"/>
          <w:numId w:val="1"/>
        </w:numPr>
        <w:spacing w:after="0"/>
        <w:rPr>
          <w:b/>
          <w:sz w:val="24"/>
          <w:szCs w:val="24"/>
        </w:rPr>
      </w:pPr>
      <w:r w:rsidRPr="00520196">
        <w:rPr>
          <w:b/>
          <w:sz w:val="24"/>
          <w:szCs w:val="24"/>
        </w:rPr>
        <w:t>WASH/Eau-Assainissement</w:t>
      </w:r>
    </w:p>
    <w:p w14:paraId="14285179" w14:textId="77777777" w:rsidR="00AC56F1" w:rsidRPr="00AD25FF" w:rsidRDefault="00AC56F1" w:rsidP="00AC56F1">
      <w:pPr>
        <w:jc w:val="both"/>
        <w:rPr>
          <w:sz w:val="24"/>
          <w:szCs w:val="24"/>
        </w:rPr>
      </w:pPr>
      <w:r w:rsidRPr="00AD25FF">
        <w:rPr>
          <w:sz w:val="24"/>
          <w:szCs w:val="24"/>
        </w:rPr>
        <w:t>L’accessibilité géographique constitue le goulot principal pour la mise en œuvre de l’évacuation hygiénique des selles de l’enfant.  La continuité et la qualité constituent les goulots prioritaires de l’ensemble de la mise en œuvre des pratiques en matière d’eau et d’assainissement.</w:t>
      </w:r>
    </w:p>
    <w:p w14:paraId="69CA5D41" w14:textId="77777777" w:rsidR="00AC56F1" w:rsidRPr="00AD25FF" w:rsidRDefault="00AC56F1" w:rsidP="00520196">
      <w:pPr>
        <w:pStyle w:val="Paragraphedeliste"/>
        <w:numPr>
          <w:ilvl w:val="2"/>
          <w:numId w:val="1"/>
        </w:numPr>
        <w:spacing w:after="0"/>
        <w:rPr>
          <w:b/>
          <w:sz w:val="24"/>
          <w:szCs w:val="24"/>
        </w:rPr>
      </w:pPr>
      <w:r w:rsidRPr="00AD25FF">
        <w:rPr>
          <w:b/>
          <w:sz w:val="24"/>
          <w:szCs w:val="24"/>
        </w:rPr>
        <w:t>Moustiquaire imprégnée d’insecticide (MII)</w:t>
      </w:r>
    </w:p>
    <w:p w14:paraId="13687FB3" w14:textId="77777777" w:rsidR="00AC56F1" w:rsidRPr="00AD25FF" w:rsidRDefault="00AC56F1" w:rsidP="00AC56F1">
      <w:pPr>
        <w:rPr>
          <w:sz w:val="24"/>
          <w:szCs w:val="24"/>
        </w:rPr>
      </w:pPr>
      <w:r w:rsidRPr="00AD25FF">
        <w:rPr>
          <w:sz w:val="24"/>
          <w:szCs w:val="24"/>
        </w:rPr>
        <w:t>A ce niveau, on note une faible accessibilité aux ressources humaines.</w:t>
      </w:r>
    </w:p>
    <w:p w14:paraId="2AF7BDE3" w14:textId="77777777" w:rsidR="00AC56F1" w:rsidRPr="00AD25FF" w:rsidRDefault="00AC56F1" w:rsidP="00520196">
      <w:pPr>
        <w:pStyle w:val="Paragraphedeliste"/>
        <w:numPr>
          <w:ilvl w:val="2"/>
          <w:numId w:val="1"/>
        </w:numPr>
        <w:spacing w:after="0"/>
        <w:rPr>
          <w:b/>
          <w:sz w:val="24"/>
          <w:szCs w:val="24"/>
        </w:rPr>
      </w:pPr>
      <w:r w:rsidRPr="00AD25FF">
        <w:rPr>
          <w:b/>
          <w:sz w:val="24"/>
          <w:szCs w:val="24"/>
        </w:rPr>
        <w:t>Alimentation et soins des nouveau-nés et des nourrissons</w:t>
      </w:r>
    </w:p>
    <w:p w14:paraId="7D3C685B" w14:textId="551C75C0" w:rsidR="00AC56F1" w:rsidRDefault="00AC56F1" w:rsidP="00AC56F1">
      <w:pPr>
        <w:rPr>
          <w:sz w:val="24"/>
          <w:szCs w:val="24"/>
        </w:rPr>
      </w:pPr>
      <w:r w:rsidRPr="00AD25FF">
        <w:rPr>
          <w:sz w:val="24"/>
          <w:szCs w:val="24"/>
        </w:rPr>
        <w:t>La qualité des soins constitue le principal goulot d’étranglement à la mise en œuvre de l’ensemble des interventions du paquet (allaitement exclusif, soins de protection thermique et les pratiques de soins post-natals propres.</w:t>
      </w:r>
    </w:p>
    <w:p w14:paraId="0EA365FB" w14:textId="77777777" w:rsidR="00520196" w:rsidRPr="00CE66A2" w:rsidRDefault="00520196" w:rsidP="00520196">
      <w:pPr>
        <w:pStyle w:val="Paragraphedeliste"/>
        <w:numPr>
          <w:ilvl w:val="2"/>
          <w:numId w:val="1"/>
        </w:numPr>
        <w:spacing w:after="0"/>
        <w:rPr>
          <w:b/>
          <w:sz w:val="24"/>
          <w:szCs w:val="24"/>
        </w:rPr>
      </w:pPr>
      <w:r w:rsidRPr="00CE66A2">
        <w:rPr>
          <w:b/>
          <w:sz w:val="24"/>
          <w:szCs w:val="24"/>
        </w:rPr>
        <w:t xml:space="preserve">Causes des goulots </w:t>
      </w:r>
      <w:r>
        <w:rPr>
          <w:b/>
          <w:sz w:val="24"/>
          <w:szCs w:val="24"/>
        </w:rPr>
        <w:t>du paquet PFE</w:t>
      </w:r>
    </w:p>
    <w:p w14:paraId="2D8C112C" w14:textId="77777777" w:rsidR="00520196" w:rsidRDefault="00520196" w:rsidP="00520196">
      <w:pPr>
        <w:tabs>
          <w:tab w:val="center" w:pos="4536"/>
        </w:tabs>
        <w:jc w:val="both"/>
        <w:rPr>
          <w:sz w:val="24"/>
          <w:szCs w:val="24"/>
        </w:rPr>
      </w:pPr>
      <w:r>
        <w:rPr>
          <w:sz w:val="24"/>
          <w:szCs w:val="24"/>
        </w:rPr>
        <w:t xml:space="preserve">Concernant la faible disponibilité des intrants elle est justifiée dans la majorité des cas par un retard ou une insuffisance dans l’achat des intrants. La faible accessibilité géographique est liée à l’inégale répartition des interventions au niveau national d’une part et aux difficultés contextuelles telles que l’insécurité ou les contraintes de terrains dans certaines régions.  </w:t>
      </w:r>
    </w:p>
    <w:p w14:paraId="717B92CB" w14:textId="77777777" w:rsidR="00520196" w:rsidRDefault="00520196" w:rsidP="00520196">
      <w:pPr>
        <w:tabs>
          <w:tab w:val="center" w:pos="4536"/>
        </w:tabs>
        <w:jc w:val="both"/>
        <w:rPr>
          <w:sz w:val="24"/>
          <w:szCs w:val="24"/>
        </w:rPr>
      </w:pPr>
      <w:r>
        <w:rPr>
          <w:sz w:val="24"/>
          <w:szCs w:val="24"/>
        </w:rPr>
        <w:t xml:space="preserve">Les principales causes liées à la faible acceptabilité socio-culturelle sont l’insuffisance de la sensibilisation de la communauté et la diffusion d’idées fausses concernant les interventions et les pratiques essentielles. Il faut relever également que le mauvais accueil du personnel de </w:t>
      </w:r>
      <w:r>
        <w:rPr>
          <w:sz w:val="24"/>
          <w:szCs w:val="24"/>
        </w:rPr>
        <w:lastRenderedPageBreak/>
        <w:t>santé et le manque de compétences interpersonnelles des prestataires sont à la base de faible acceptabilité des cibles.</w:t>
      </w:r>
    </w:p>
    <w:p w14:paraId="2CBB7B15" w14:textId="77777777" w:rsidR="00520196" w:rsidRDefault="00520196" w:rsidP="00520196">
      <w:pPr>
        <w:spacing w:after="0"/>
        <w:jc w:val="both"/>
        <w:rPr>
          <w:sz w:val="24"/>
          <w:szCs w:val="24"/>
        </w:rPr>
      </w:pPr>
      <w:r>
        <w:rPr>
          <w:sz w:val="24"/>
          <w:szCs w:val="24"/>
        </w:rPr>
        <w:t>On note également qu’il existe un obstacle au niveau de la continuité des interventions communautaires qui sont liées au faible soutien social pour les pratiques souhaitables.</w:t>
      </w:r>
    </w:p>
    <w:p w14:paraId="2F6DA421" w14:textId="1E540C2F" w:rsidR="00520196" w:rsidRDefault="00520196" w:rsidP="00520196">
      <w:pPr>
        <w:spacing w:after="0"/>
        <w:jc w:val="both"/>
        <w:rPr>
          <w:sz w:val="24"/>
          <w:szCs w:val="24"/>
        </w:rPr>
      </w:pPr>
      <w:r>
        <w:rPr>
          <w:sz w:val="24"/>
          <w:szCs w:val="24"/>
        </w:rPr>
        <w:t>Pour la qualité des soins, les prestataires n’ont pas toutes les compétences requises ainsi que les infrastructures et l’équipement leur permettant de soutenir la mise en œuvre de ces pratiques essentielles aussi bien au niveau de la communauté qu’au niveau des établissements sanitaires (lavage des mains, évacuation hygiénique des selles).</w:t>
      </w:r>
    </w:p>
    <w:p w14:paraId="3FDE2C34" w14:textId="77777777" w:rsidR="00AC56F1" w:rsidRPr="00AD25FF" w:rsidRDefault="00AC56F1" w:rsidP="00AC56F1">
      <w:pPr>
        <w:rPr>
          <w:sz w:val="24"/>
          <w:szCs w:val="24"/>
        </w:rPr>
      </w:pPr>
    </w:p>
    <w:p w14:paraId="117C626C" w14:textId="7E41FEAB" w:rsidR="00AC56F1" w:rsidRPr="00520196" w:rsidRDefault="00AC56F1" w:rsidP="00AC56F1">
      <w:pPr>
        <w:spacing w:line="360" w:lineRule="auto"/>
        <w:rPr>
          <w:b/>
          <w:sz w:val="20"/>
          <w:szCs w:val="20"/>
        </w:rPr>
      </w:pPr>
      <w:r w:rsidRPr="00520196">
        <w:rPr>
          <w:b/>
          <w:sz w:val="20"/>
          <w:szCs w:val="20"/>
        </w:rPr>
        <w:t>Graphique</w:t>
      </w:r>
      <w:r w:rsidR="00520196">
        <w:rPr>
          <w:b/>
          <w:sz w:val="20"/>
          <w:szCs w:val="20"/>
        </w:rPr>
        <w:t xml:space="preserve"> 22</w:t>
      </w:r>
      <w:r w:rsidRPr="00520196">
        <w:rPr>
          <w:b/>
          <w:sz w:val="20"/>
          <w:szCs w:val="20"/>
        </w:rPr>
        <w:t> : Répartition des goulots d’étranglements prioritaires pour la mise en œuvre du paquet de Pratiques familiales essentielles</w:t>
      </w:r>
    </w:p>
    <w:p w14:paraId="6BD88A58" w14:textId="46106718" w:rsidR="00AC56F1" w:rsidRPr="00AD25FF" w:rsidRDefault="00AC56F1" w:rsidP="00AC56F1">
      <w:pPr>
        <w:spacing w:after="0" w:line="240" w:lineRule="auto"/>
        <w:rPr>
          <w:sz w:val="24"/>
          <w:szCs w:val="24"/>
        </w:rPr>
      </w:pPr>
      <w:r w:rsidRPr="00AD25FF">
        <w:rPr>
          <w:noProof/>
          <w:sz w:val="24"/>
          <w:szCs w:val="24"/>
          <w:lang w:eastAsia="fr-FR"/>
        </w:rPr>
        <w:drawing>
          <wp:inline distT="0" distB="0" distL="0" distR="0" wp14:anchorId="4CE2378E" wp14:editId="10952DF2">
            <wp:extent cx="5589905" cy="3821430"/>
            <wp:effectExtent l="19050" t="19050" r="10795" b="26670"/>
            <wp:docPr id="235" name="Imag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589905" cy="3821430"/>
                    </a:xfrm>
                    <a:prstGeom prst="rect">
                      <a:avLst/>
                    </a:prstGeom>
                    <a:noFill/>
                    <a:ln w="6350" cmpd="sng">
                      <a:solidFill>
                        <a:srgbClr val="000000"/>
                      </a:solidFill>
                      <a:miter lim="800000"/>
                      <a:headEnd/>
                      <a:tailEnd/>
                    </a:ln>
                    <a:effectLst/>
                  </pic:spPr>
                </pic:pic>
              </a:graphicData>
            </a:graphic>
          </wp:inline>
        </w:drawing>
      </w:r>
    </w:p>
    <w:p w14:paraId="6D404C40" w14:textId="77777777" w:rsidR="00AC56F1" w:rsidRDefault="00AC56F1" w:rsidP="00AC56F1">
      <w:pPr>
        <w:spacing w:after="0" w:line="240" w:lineRule="auto"/>
        <w:rPr>
          <w:sz w:val="24"/>
          <w:szCs w:val="24"/>
        </w:rPr>
      </w:pPr>
      <w:r w:rsidRPr="00AD25FF">
        <w:rPr>
          <w:sz w:val="24"/>
          <w:szCs w:val="24"/>
        </w:rPr>
        <w:t>Source : Equist oct 2018</w:t>
      </w:r>
    </w:p>
    <w:p w14:paraId="78D941AA" w14:textId="41B91430" w:rsidR="00520196" w:rsidRDefault="00520196" w:rsidP="00AC56F1">
      <w:pPr>
        <w:spacing w:after="0" w:line="240" w:lineRule="auto"/>
        <w:rPr>
          <w:sz w:val="24"/>
          <w:szCs w:val="24"/>
        </w:rPr>
      </w:pPr>
    </w:p>
    <w:p w14:paraId="744851F9" w14:textId="77777777" w:rsidR="00520196" w:rsidRPr="00AD25FF" w:rsidRDefault="00520196" w:rsidP="00AC56F1">
      <w:pPr>
        <w:spacing w:after="0" w:line="240" w:lineRule="auto"/>
        <w:rPr>
          <w:sz w:val="24"/>
          <w:szCs w:val="24"/>
        </w:rPr>
      </w:pPr>
    </w:p>
    <w:p w14:paraId="6D10FEE4" w14:textId="5CBAE167" w:rsidR="00AC56F1" w:rsidRPr="007C0586" w:rsidRDefault="007C0586" w:rsidP="007C0586">
      <w:pPr>
        <w:pStyle w:val="Paragraphedeliste"/>
        <w:numPr>
          <w:ilvl w:val="1"/>
          <w:numId w:val="1"/>
        </w:numPr>
        <w:shd w:val="clear" w:color="auto" w:fill="FFFFFF" w:themeFill="background1"/>
        <w:rPr>
          <w:sz w:val="24"/>
          <w:szCs w:val="24"/>
        </w:rPr>
      </w:pPr>
      <w:r w:rsidRPr="007C0586">
        <w:rPr>
          <w:sz w:val="24"/>
          <w:szCs w:val="24"/>
        </w:rPr>
        <w:t>PAQUET DE SOINS PREVENTIFS</w:t>
      </w:r>
    </w:p>
    <w:p w14:paraId="400F741A" w14:textId="798AE2CE" w:rsidR="00AC56F1" w:rsidRPr="007C0586" w:rsidRDefault="00AC56F1" w:rsidP="007C0586">
      <w:pPr>
        <w:pStyle w:val="Paragraphedeliste"/>
        <w:numPr>
          <w:ilvl w:val="2"/>
          <w:numId w:val="1"/>
        </w:numPr>
        <w:spacing w:after="0" w:line="360" w:lineRule="auto"/>
        <w:rPr>
          <w:b/>
          <w:sz w:val="24"/>
          <w:szCs w:val="24"/>
        </w:rPr>
      </w:pPr>
      <w:r w:rsidRPr="007C0586">
        <w:rPr>
          <w:b/>
          <w:sz w:val="24"/>
          <w:szCs w:val="24"/>
        </w:rPr>
        <w:t>La planification familiale</w:t>
      </w:r>
    </w:p>
    <w:p w14:paraId="2BE5EC47" w14:textId="77777777" w:rsidR="00AC56F1" w:rsidRPr="00AD25FF" w:rsidRDefault="00AC56F1" w:rsidP="00AC56F1">
      <w:pPr>
        <w:spacing w:line="360" w:lineRule="auto"/>
        <w:jc w:val="both"/>
        <w:rPr>
          <w:sz w:val="24"/>
          <w:szCs w:val="24"/>
        </w:rPr>
      </w:pPr>
      <w:r w:rsidRPr="00AD25FF">
        <w:rPr>
          <w:sz w:val="24"/>
          <w:szCs w:val="24"/>
        </w:rPr>
        <w:t xml:space="preserve">Le goulot le plus important concerne l’accessibilité aux ressources humaines. </w:t>
      </w:r>
    </w:p>
    <w:p w14:paraId="2EA629AC" w14:textId="77777777" w:rsidR="00AC56F1" w:rsidRPr="00AD25FF" w:rsidRDefault="00AC56F1" w:rsidP="007C0586">
      <w:pPr>
        <w:pStyle w:val="Paragraphedeliste"/>
        <w:numPr>
          <w:ilvl w:val="2"/>
          <w:numId w:val="1"/>
        </w:numPr>
        <w:spacing w:after="0" w:line="360" w:lineRule="auto"/>
        <w:rPr>
          <w:b/>
          <w:sz w:val="24"/>
          <w:szCs w:val="24"/>
        </w:rPr>
      </w:pPr>
      <w:r w:rsidRPr="00AD25FF">
        <w:rPr>
          <w:b/>
          <w:sz w:val="24"/>
          <w:szCs w:val="24"/>
        </w:rPr>
        <w:t>Les soins prénatals</w:t>
      </w:r>
    </w:p>
    <w:p w14:paraId="37998912" w14:textId="77777777" w:rsidR="00AC56F1" w:rsidRPr="00AD25FF" w:rsidRDefault="00AC56F1" w:rsidP="00AC56F1">
      <w:pPr>
        <w:spacing w:line="360" w:lineRule="auto"/>
        <w:jc w:val="both"/>
        <w:rPr>
          <w:sz w:val="24"/>
          <w:szCs w:val="24"/>
        </w:rPr>
      </w:pPr>
      <w:r w:rsidRPr="00AD25FF">
        <w:rPr>
          <w:sz w:val="24"/>
          <w:szCs w:val="24"/>
        </w:rPr>
        <w:t xml:space="preserve">Pour prise en charge du diabète de la femme enceinte, on note un goulot une faible disponibilité des médicaments (insuline injectable), une faible disponibilité du personnel </w:t>
      </w:r>
      <w:r w:rsidRPr="00AD25FF">
        <w:rPr>
          <w:sz w:val="24"/>
          <w:szCs w:val="24"/>
        </w:rPr>
        <w:lastRenderedPageBreak/>
        <w:t>formé à la prise en charge du diabète. Pour la supplémentation en micronutriments et en Fer et Acide Folique, la qualité des soins constitue un goulot dans sa mise en œuvre.</w:t>
      </w:r>
    </w:p>
    <w:p w14:paraId="182C4C5C" w14:textId="77777777" w:rsidR="00AC56F1" w:rsidRPr="00AD25FF" w:rsidRDefault="00AC56F1" w:rsidP="007C0586">
      <w:pPr>
        <w:pStyle w:val="Paragraphedeliste"/>
        <w:numPr>
          <w:ilvl w:val="2"/>
          <w:numId w:val="1"/>
        </w:numPr>
        <w:spacing w:after="0" w:line="360" w:lineRule="auto"/>
        <w:rPr>
          <w:b/>
          <w:sz w:val="24"/>
          <w:szCs w:val="24"/>
        </w:rPr>
      </w:pPr>
      <w:r w:rsidRPr="00AD25FF">
        <w:rPr>
          <w:b/>
          <w:sz w:val="24"/>
          <w:szCs w:val="24"/>
        </w:rPr>
        <w:t>Vaccination plus</w:t>
      </w:r>
    </w:p>
    <w:p w14:paraId="6DD520C6" w14:textId="100DAA68" w:rsidR="00AC56F1" w:rsidRDefault="00AC56F1" w:rsidP="00AC56F1">
      <w:pPr>
        <w:spacing w:line="360" w:lineRule="auto"/>
        <w:rPr>
          <w:sz w:val="24"/>
          <w:szCs w:val="24"/>
        </w:rPr>
      </w:pPr>
      <w:r w:rsidRPr="00AD25FF">
        <w:rPr>
          <w:sz w:val="24"/>
          <w:szCs w:val="24"/>
        </w:rPr>
        <w:t>Le goulot prioritaire se situe au niveau de l’accessibilité aux ressources humaines et à l’acceptabilité socio-culturelle.</w:t>
      </w:r>
    </w:p>
    <w:p w14:paraId="24573641" w14:textId="21B5408D" w:rsidR="00AC56F1" w:rsidRDefault="00AC56F1" w:rsidP="00AC56F1">
      <w:pPr>
        <w:spacing w:line="240" w:lineRule="auto"/>
        <w:rPr>
          <w:sz w:val="24"/>
          <w:szCs w:val="24"/>
        </w:rPr>
      </w:pPr>
      <w:r w:rsidRPr="00AD25FF">
        <w:rPr>
          <w:b/>
          <w:sz w:val="24"/>
          <w:szCs w:val="24"/>
        </w:rPr>
        <w:t>Graphique </w:t>
      </w:r>
      <w:r w:rsidR="00520196">
        <w:rPr>
          <w:b/>
          <w:sz w:val="24"/>
          <w:szCs w:val="24"/>
        </w:rPr>
        <w:t xml:space="preserve">23 </w:t>
      </w:r>
      <w:r w:rsidRPr="00AD25FF">
        <w:rPr>
          <w:b/>
          <w:sz w:val="24"/>
          <w:szCs w:val="24"/>
        </w:rPr>
        <w:t xml:space="preserve">: </w:t>
      </w:r>
      <w:r w:rsidRPr="00AD25FF">
        <w:rPr>
          <w:sz w:val="24"/>
          <w:szCs w:val="24"/>
        </w:rPr>
        <w:t>Répartition des goulots d’étranglements prioritaires pour la mise en œuvre du paquet de soins préventif</w:t>
      </w:r>
    </w:p>
    <w:p w14:paraId="40C92BDD" w14:textId="1D6CD3E8" w:rsidR="00AC56F1" w:rsidRPr="00AD25FF" w:rsidRDefault="00AC56F1" w:rsidP="00AC56F1">
      <w:pPr>
        <w:spacing w:after="0" w:line="240" w:lineRule="auto"/>
        <w:rPr>
          <w:b/>
          <w:sz w:val="24"/>
          <w:szCs w:val="24"/>
        </w:rPr>
      </w:pPr>
      <w:r w:rsidRPr="00AD25FF">
        <w:rPr>
          <w:b/>
          <w:noProof/>
          <w:sz w:val="24"/>
          <w:szCs w:val="24"/>
          <w:lang w:eastAsia="fr-FR"/>
        </w:rPr>
        <w:drawing>
          <wp:inline distT="0" distB="0" distL="0" distR="0" wp14:anchorId="1D7A298A" wp14:editId="183DFF03">
            <wp:extent cx="5745480" cy="4184015"/>
            <wp:effectExtent l="19050" t="19050" r="26670" b="26035"/>
            <wp:docPr id="231" name="Imag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45480" cy="4184015"/>
                    </a:xfrm>
                    <a:prstGeom prst="rect">
                      <a:avLst/>
                    </a:prstGeom>
                    <a:noFill/>
                    <a:ln w="6350" cmpd="sng">
                      <a:solidFill>
                        <a:srgbClr val="000000"/>
                      </a:solidFill>
                      <a:miter lim="800000"/>
                      <a:headEnd/>
                      <a:tailEnd/>
                    </a:ln>
                    <a:effectLst/>
                  </pic:spPr>
                </pic:pic>
              </a:graphicData>
            </a:graphic>
          </wp:inline>
        </w:drawing>
      </w:r>
    </w:p>
    <w:p w14:paraId="00A4855F" w14:textId="77777777" w:rsidR="00AC56F1" w:rsidRDefault="00AC56F1" w:rsidP="00AC56F1">
      <w:pPr>
        <w:spacing w:after="0" w:line="240" w:lineRule="auto"/>
        <w:rPr>
          <w:sz w:val="24"/>
          <w:szCs w:val="24"/>
        </w:rPr>
      </w:pPr>
      <w:r w:rsidRPr="00AD25FF">
        <w:rPr>
          <w:sz w:val="24"/>
          <w:szCs w:val="24"/>
        </w:rPr>
        <w:t>Source : Equist oct 2018</w:t>
      </w:r>
    </w:p>
    <w:p w14:paraId="429D36F2" w14:textId="77777777" w:rsidR="00AC56F1" w:rsidRDefault="00AC56F1" w:rsidP="00AC56F1">
      <w:pPr>
        <w:tabs>
          <w:tab w:val="center" w:pos="4536"/>
        </w:tabs>
        <w:spacing w:line="360" w:lineRule="auto"/>
        <w:rPr>
          <w:b/>
          <w:sz w:val="24"/>
          <w:szCs w:val="24"/>
        </w:rPr>
      </w:pPr>
    </w:p>
    <w:p w14:paraId="2451CCEA" w14:textId="77777777" w:rsidR="00AC56F1" w:rsidRDefault="00AC56F1" w:rsidP="007C0586">
      <w:pPr>
        <w:pStyle w:val="Paragraphedeliste"/>
        <w:numPr>
          <w:ilvl w:val="2"/>
          <w:numId w:val="1"/>
        </w:numPr>
        <w:spacing w:after="0" w:line="360" w:lineRule="auto"/>
        <w:rPr>
          <w:b/>
          <w:sz w:val="24"/>
          <w:szCs w:val="24"/>
        </w:rPr>
      </w:pPr>
      <w:r w:rsidRPr="00EF673A">
        <w:rPr>
          <w:b/>
          <w:sz w:val="24"/>
          <w:szCs w:val="24"/>
        </w:rPr>
        <w:t>Causes des goulots prioritaires dans la mise en œuvre des interventions de prévention</w:t>
      </w:r>
    </w:p>
    <w:p w14:paraId="712EFAA1" w14:textId="77777777" w:rsidR="00AC56F1" w:rsidRDefault="00AC56F1" w:rsidP="00520196">
      <w:pPr>
        <w:tabs>
          <w:tab w:val="center" w:pos="4536"/>
        </w:tabs>
        <w:spacing w:after="0"/>
        <w:jc w:val="both"/>
        <w:rPr>
          <w:sz w:val="24"/>
          <w:szCs w:val="24"/>
        </w:rPr>
      </w:pPr>
      <w:r w:rsidRPr="00EF563D">
        <w:rPr>
          <w:sz w:val="24"/>
          <w:szCs w:val="24"/>
        </w:rPr>
        <w:t>Concernant les causes principales qui expliqueraient les goulots au niveau des soins de prévention, il faut noter :</w:t>
      </w:r>
    </w:p>
    <w:p w14:paraId="3251F996" w14:textId="77777777" w:rsidR="00AC56F1" w:rsidRDefault="00AC56F1" w:rsidP="00A97663">
      <w:pPr>
        <w:numPr>
          <w:ilvl w:val="0"/>
          <w:numId w:val="107"/>
        </w:numPr>
        <w:spacing w:after="0"/>
        <w:rPr>
          <w:sz w:val="24"/>
          <w:szCs w:val="24"/>
        </w:rPr>
      </w:pPr>
      <w:r>
        <w:rPr>
          <w:sz w:val="24"/>
          <w:szCs w:val="24"/>
        </w:rPr>
        <w:t>Faible disponibilité des intrants liés au mécanisme d’approvisionnement en intrants,</w:t>
      </w:r>
    </w:p>
    <w:p w14:paraId="0DE0B627" w14:textId="0E55D414" w:rsidR="00AC56F1" w:rsidRDefault="00AC56F1" w:rsidP="00A97663">
      <w:pPr>
        <w:numPr>
          <w:ilvl w:val="0"/>
          <w:numId w:val="107"/>
        </w:numPr>
        <w:spacing w:after="0"/>
        <w:rPr>
          <w:sz w:val="24"/>
          <w:szCs w:val="24"/>
        </w:rPr>
      </w:pPr>
      <w:r>
        <w:rPr>
          <w:sz w:val="24"/>
          <w:szCs w:val="24"/>
        </w:rPr>
        <w:t xml:space="preserve">Faible accessibilité aux ressources humaines pour la mise en œuvre des interventions est liée au nombre insuffisant de personnels </w:t>
      </w:r>
      <w:r w:rsidR="00520196">
        <w:rPr>
          <w:sz w:val="24"/>
          <w:szCs w:val="24"/>
        </w:rPr>
        <w:t>formés dans</w:t>
      </w:r>
      <w:r>
        <w:rPr>
          <w:sz w:val="24"/>
          <w:szCs w:val="24"/>
        </w:rPr>
        <w:t xml:space="preserve"> les soins prénatals, la planification familiale</w:t>
      </w:r>
    </w:p>
    <w:p w14:paraId="00B8B4AA" w14:textId="107DD9B2" w:rsidR="00AC56F1" w:rsidRDefault="00AC56F1" w:rsidP="00A97663">
      <w:pPr>
        <w:numPr>
          <w:ilvl w:val="0"/>
          <w:numId w:val="107"/>
        </w:numPr>
        <w:spacing w:after="0"/>
        <w:rPr>
          <w:sz w:val="24"/>
          <w:szCs w:val="24"/>
        </w:rPr>
      </w:pPr>
      <w:r>
        <w:rPr>
          <w:sz w:val="24"/>
          <w:szCs w:val="24"/>
        </w:rPr>
        <w:lastRenderedPageBreak/>
        <w:t xml:space="preserve">La faible accessibilité géographique au paquet de soins </w:t>
      </w:r>
      <w:r w:rsidR="00520196">
        <w:rPr>
          <w:sz w:val="24"/>
          <w:szCs w:val="24"/>
        </w:rPr>
        <w:t>est liée</w:t>
      </w:r>
      <w:r>
        <w:rPr>
          <w:sz w:val="24"/>
          <w:szCs w:val="24"/>
        </w:rPr>
        <w:t xml:space="preserve"> à l’inégale répartition au niveau régional, urbain, rural</w:t>
      </w:r>
    </w:p>
    <w:p w14:paraId="48F77D9A" w14:textId="77777777" w:rsidR="00AC56F1" w:rsidRDefault="00AC56F1" w:rsidP="00A97663">
      <w:pPr>
        <w:numPr>
          <w:ilvl w:val="0"/>
          <w:numId w:val="107"/>
        </w:numPr>
        <w:spacing w:after="0"/>
        <w:rPr>
          <w:sz w:val="24"/>
          <w:szCs w:val="24"/>
        </w:rPr>
      </w:pPr>
      <w:r>
        <w:rPr>
          <w:sz w:val="24"/>
          <w:szCs w:val="24"/>
        </w:rPr>
        <w:t>Les barrières financières directes et indirectes constituent un frein à l’accessibilité financière aux soins avec le contexte de niveau de pauvreté des ménages.</w:t>
      </w:r>
    </w:p>
    <w:p w14:paraId="599A5E5A" w14:textId="16AC94D6" w:rsidR="00AC56F1" w:rsidRDefault="00520196" w:rsidP="00A97663">
      <w:pPr>
        <w:numPr>
          <w:ilvl w:val="0"/>
          <w:numId w:val="107"/>
        </w:numPr>
        <w:spacing w:after="0"/>
        <w:rPr>
          <w:sz w:val="24"/>
          <w:szCs w:val="24"/>
        </w:rPr>
      </w:pPr>
      <w:r>
        <w:rPr>
          <w:sz w:val="24"/>
          <w:szCs w:val="24"/>
        </w:rPr>
        <w:t>L’insuffisance d’information</w:t>
      </w:r>
      <w:r w:rsidR="00AC56F1">
        <w:rPr>
          <w:sz w:val="24"/>
          <w:szCs w:val="24"/>
        </w:rPr>
        <w:t xml:space="preserve"> et de soutien social (pesanteurs sociales au niveau e la femme) ainsi que les attitudes discriminatives de certains prestataires peuvent être des freins à l’acceptabilité des services offerts.</w:t>
      </w:r>
    </w:p>
    <w:p w14:paraId="12228D19" w14:textId="77777777" w:rsidR="00AC56F1" w:rsidRPr="00994579" w:rsidRDefault="00AC56F1" w:rsidP="00A97663">
      <w:pPr>
        <w:numPr>
          <w:ilvl w:val="0"/>
          <w:numId w:val="107"/>
        </w:numPr>
        <w:spacing w:after="0"/>
        <w:jc w:val="both"/>
        <w:rPr>
          <w:b/>
          <w:sz w:val="24"/>
          <w:szCs w:val="24"/>
        </w:rPr>
      </w:pPr>
      <w:r w:rsidRPr="00994579">
        <w:rPr>
          <w:sz w:val="24"/>
          <w:szCs w:val="24"/>
        </w:rPr>
        <w:t>La qualité des soins souffre du manque de compétences et de motivation de certains prestataires pour assurer les soins de qualité</w:t>
      </w:r>
    </w:p>
    <w:p w14:paraId="528BA8DC" w14:textId="77777777" w:rsidR="00AC56F1" w:rsidRPr="00C66BC3" w:rsidRDefault="00AC56F1" w:rsidP="00AC56F1">
      <w:pPr>
        <w:rPr>
          <w:sz w:val="24"/>
          <w:szCs w:val="24"/>
        </w:rPr>
      </w:pPr>
    </w:p>
    <w:p w14:paraId="52D9E347" w14:textId="35440EFC" w:rsidR="00AC56F1" w:rsidRPr="007C0586" w:rsidRDefault="007C0586" w:rsidP="00A97663">
      <w:pPr>
        <w:pStyle w:val="Paragraphedeliste"/>
        <w:numPr>
          <w:ilvl w:val="1"/>
          <w:numId w:val="106"/>
        </w:numPr>
        <w:shd w:val="clear" w:color="auto" w:fill="FFFFFF" w:themeFill="background1"/>
        <w:rPr>
          <w:sz w:val="24"/>
          <w:szCs w:val="24"/>
        </w:rPr>
      </w:pPr>
      <w:r w:rsidRPr="007C0586">
        <w:rPr>
          <w:sz w:val="24"/>
          <w:szCs w:val="24"/>
        </w:rPr>
        <w:t>PAQUET DES SOINS CURATIFS</w:t>
      </w:r>
    </w:p>
    <w:p w14:paraId="0BF0EF17" w14:textId="47EC33FC" w:rsidR="00AC56F1" w:rsidRPr="007C0586" w:rsidRDefault="00AC56F1" w:rsidP="00A97663">
      <w:pPr>
        <w:pStyle w:val="Paragraphedeliste"/>
        <w:numPr>
          <w:ilvl w:val="2"/>
          <w:numId w:val="106"/>
        </w:numPr>
        <w:spacing w:after="0"/>
        <w:rPr>
          <w:b/>
          <w:sz w:val="24"/>
          <w:szCs w:val="24"/>
        </w:rPr>
      </w:pPr>
      <w:r w:rsidRPr="007C0586">
        <w:rPr>
          <w:b/>
          <w:sz w:val="24"/>
          <w:szCs w:val="24"/>
        </w:rPr>
        <w:t>Prise en charge intégrée des maladies néonatales et infantiles</w:t>
      </w:r>
    </w:p>
    <w:p w14:paraId="35110618" w14:textId="5D5CE7D0" w:rsidR="00AC56F1" w:rsidRPr="00AD25FF" w:rsidRDefault="00AC56F1" w:rsidP="00520196">
      <w:pPr>
        <w:jc w:val="both"/>
        <w:rPr>
          <w:sz w:val="24"/>
          <w:szCs w:val="24"/>
        </w:rPr>
      </w:pPr>
      <w:r w:rsidRPr="00AD25FF">
        <w:rPr>
          <w:sz w:val="24"/>
          <w:szCs w:val="24"/>
        </w:rPr>
        <w:t xml:space="preserve">Les principaux goulots d’étranglement se situent au niveau de la </w:t>
      </w:r>
      <w:r w:rsidRPr="00AD25FF">
        <w:rPr>
          <w:b/>
          <w:sz w:val="24"/>
          <w:szCs w:val="24"/>
        </w:rPr>
        <w:t>disponibilité des produits</w:t>
      </w:r>
      <w:r w:rsidRPr="00AD25FF">
        <w:rPr>
          <w:sz w:val="24"/>
          <w:szCs w:val="24"/>
        </w:rPr>
        <w:t xml:space="preserve"> et plus spécialement : le zinc pour le traitement de la diarrhée, les aliments thérapeutiques pour le traitement de la malnutrition </w:t>
      </w:r>
      <w:r w:rsidR="00520196" w:rsidRPr="00AD25FF">
        <w:rPr>
          <w:sz w:val="24"/>
          <w:szCs w:val="24"/>
        </w:rPr>
        <w:t>aigüe</w:t>
      </w:r>
      <w:r w:rsidRPr="00AD25FF">
        <w:rPr>
          <w:sz w:val="24"/>
          <w:szCs w:val="24"/>
        </w:rPr>
        <w:t xml:space="preserve"> grave et les traitements </w:t>
      </w:r>
      <w:r w:rsidR="00520196" w:rsidRPr="00AD25FF">
        <w:rPr>
          <w:sz w:val="24"/>
          <w:szCs w:val="24"/>
        </w:rPr>
        <w:t>antirétroviraux</w:t>
      </w:r>
      <w:r w:rsidRPr="00AD25FF">
        <w:rPr>
          <w:sz w:val="24"/>
          <w:szCs w:val="24"/>
        </w:rPr>
        <w:t xml:space="preserve"> chez les enfants. </w:t>
      </w:r>
      <w:r w:rsidRPr="00AD25FF">
        <w:rPr>
          <w:b/>
          <w:sz w:val="24"/>
          <w:szCs w:val="24"/>
        </w:rPr>
        <w:t>L’acceptabilité socio-culturelle</w:t>
      </w:r>
      <w:r w:rsidRPr="00AD25FF">
        <w:rPr>
          <w:sz w:val="24"/>
          <w:szCs w:val="24"/>
        </w:rPr>
        <w:t xml:space="preserve"> est également un goulot très important qui se retrouve à tous les niveaux de soins de la PCIMNI. La </w:t>
      </w:r>
      <w:r w:rsidRPr="00AD25FF">
        <w:rPr>
          <w:b/>
          <w:sz w:val="24"/>
          <w:szCs w:val="24"/>
        </w:rPr>
        <w:t>qualité des soins</w:t>
      </w:r>
      <w:r w:rsidRPr="00AD25FF">
        <w:rPr>
          <w:sz w:val="24"/>
          <w:szCs w:val="24"/>
        </w:rPr>
        <w:t xml:space="preserve"> constitue le troisième goulot d’étranglement qui concerne globalement tous les soins de cette intervention.</w:t>
      </w:r>
    </w:p>
    <w:p w14:paraId="69239E28" w14:textId="77777777" w:rsidR="00AC56F1" w:rsidRPr="00AD25FF" w:rsidRDefault="00AC56F1" w:rsidP="00A97663">
      <w:pPr>
        <w:pStyle w:val="Paragraphedeliste"/>
        <w:numPr>
          <w:ilvl w:val="2"/>
          <w:numId w:val="106"/>
        </w:numPr>
        <w:spacing w:after="0"/>
        <w:rPr>
          <w:b/>
          <w:sz w:val="24"/>
          <w:szCs w:val="24"/>
        </w:rPr>
      </w:pPr>
      <w:r w:rsidRPr="00AD25FF">
        <w:rPr>
          <w:b/>
          <w:sz w:val="24"/>
          <w:szCs w:val="24"/>
        </w:rPr>
        <w:t>Accouchement assisté par un personnel qualifié</w:t>
      </w:r>
    </w:p>
    <w:p w14:paraId="167763C3" w14:textId="77777777" w:rsidR="00AC56F1" w:rsidRPr="00AD25FF" w:rsidRDefault="00AC56F1" w:rsidP="00520196">
      <w:pPr>
        <w:jc w:val="both"/>
        <w:rPr>
          <w:sz w:val="24"/>
          <w:szCs w:val="24"/>
        </w:rPr>
      </w:pPr>
      <w:r w:rsidRPr="00AD25FF">
        <w:rPr>
          <w:sz w:val="24"/>
          <w:szCs w:val="24"/>
        </w:rPr>
        <w:t>La disponibilité des produits, l’acceptabilité socio-culturelle et la qualité sont les principaux goulots d’étranglement pour la mise en œuvre de l’accouchement assisté par un personnel qualifié.</w:t>
      </w:r>
    </w:p>
    <w:p w14:paraId="7D3AF3A6" w14:textId="501BB2C3" w:rsidR="00AC56F1" w:rsidRPr="00AD25FF" w:rsidRDefault="00AC56F1" w:rsidP="00A97663">
      <w:pPr>
        <w:pStyle w:val="Paragraphedeliste"/>
        <w:numPr>
          <w:ilvl w:val="2"/>
          <w:numId w:val="106"/>
        </w:numPr>
        <w:spacing w:after="0"/>
        <w:rPr>
          <w:b/>
          <w:sz w:val="24"/>
          <w:szCs w:val="24"/>
        </w:rPr>
      </w:pPr>
      <w:r w:rsidRPr="00AD25FF">
        <w:rPr>
          <w:b/>
          <w:sz w:val="24"/>
          <w:szCs w:val="24"/>
        </w:rPr>
        <w:t xml:space="preserve">Soins obstétricaux et </w:t>
      </w:r>
      <w:r w:rsidR="00520196" w:rsidRPr="00AD25FF">
        <w:rPr>
          <w:b/>
          <w:sz w:val="24"/>
          <w:szCs w:val="24"/>
        </w:rPr>
        <w:t>néonataux</w:t>
      </w:r>
      <w:r w:rsidRPr="00AD25FF">
        <w:rPr>
          <w:b/>
          <w:sz w:val="24"/>
          <w:szCs w:val="24"/>
        </w:rPr>
        <w:t xml:space="preserve"> d’urgence (SONU)</w:t>
      </w:r>
    </w:p>
    <w:p w14:paraId="59A20FE7" w14:textId="77777777" w:rsidR="00AC56F1" w:rsidRPr="00AD25FF" w:rsidRDefault="00AC56F1" w:rsidP="00520196">
      <w:pPr>
        <w:jc w:val="both"/>
        <w:rPr>
          <w:sz w:val="24"/>
          <w:szCs w:val="24"/>
        </w:rPr>
      </w:pPr>
      <w:r w:rsidRPr="00AD25FF">
        <w:rPr>
          <w:sz w:val="24"/>
          <w:szCs w:val="24"/>
        </w:rPr>
        <w:t>Les principaux goulots d’étranglement s’observent au niveau de la disponibilité des produits (réanimation néo-natale, l’accès à un établissement offrant les soins obstétricaux et néo-natals de base lors du travail et de l’accouchement, la prise en charge des patients après d’avortement, l’administration de corticoïdes prénatals lors d’un travail prématuré, la prise en charge des prématurés). En ce qui concerne l’acceptabilité, la continuité et la qualité des soins, les goulots se relèvent au niveau de toutes interventions du paquet SONU.</w:t>
      </w:r>
    </w:p>
    <w:p w14:paraId="43459493" w14:textId="77777777" w:rsidR="007C0586" w:rsidRDefault="007C0586" w:rsidP="00A97663">
      <w:pPr>
        <w:pStyle w:val="Paragraphedeliste"/>
        <w:numPr>
          <w:ilvl w:val="2"/>
          <w:numId w:val="106"/>
        </w:numPr>
        <w:spacing w:after="0"/>
        <w:rPr>
          <w:b/>
          <w:sz w:val="24"/>
          <w:szCs w:val="24"/>
        </w:rPr>
      </w:pPr>
      <w:r w:rsidRPr="00994579">
        <w:rPr>
          <w:b/>
          <w:sz w:val="24"/>
          <w:szCs w:val="24"/>
        </w:rPr>
        <w:t>Causes des goulots dans la mise en œuvre des interventions curatives</w:t>
      </w:r>
    </w:p>
    <w:p w14:paraId="5F619DA2" w14:textId="77777777" w:rsidR="007C0586" w:rsidRDefault="007C0586" w:rsidP="00A97663">
      <w:pPr>
        <w:numPr>
          <w:ilvl w:val="0"/>
          <w:numId w:val="108"/>
        </w:numPr>
        <w:spacing w:after="0"/>
        <w:jc w:val="both"/>
        <w:rPr>
          <w:sz w:val="24"/>
          <w:szCs w:val="24"/>
        </w:rPr>
      </w:pPr>
      <w:r w:rsidRPr="006A0958">
        <w:rPr>
          <w:sz w:val="24"/>
          <w:szCs w:val="24"/>
        </w:rPr>
        <w:t>La faible disponibilité</w:t>
      </w:r>
      <w:r>
        <w:rPr>
          <w:sz w:val="24"/>
          <w:szCs w:val="24"/>
        </w:rPr>
        <w:t xml:space="preserve"> des intrants est liée au mécanisme d’achat et d’approvisionnement</w:t>
      </w:r>
    </w:p>
    <w:p w14:paraId="3EE94A49" w14:textId="77777777" w:rsidR="007C0586" w:rsidRDefault="007C0586" w:rsidP="00A97663">
      <w:pPr>
        <w:numPr>
          <w:ilvl w:val="0"/>
          <w:numId w:val="108"/>
        </w:numPr>
        <w:spacing w:after="0"/>
        <w:jc w:val="both"/>
        <w:rPr>
          <w:sz w:val="24"/>
          <w:szCs w:val="24"/>
        </w:rPr>
      </w:pPr>
      <w:r>
        <w:rPr>
          <w:sz w:val="24"/>
          <w:szCs w:val="24"/>
        </w:rPr>
        <w:t>La faible accessibilité aux ressources humaines est liée au nombre insuffisant de prestataires formés en PCIMNI, SONU ou au fait des nouveau-affectés sortis des écoles de formation.</w:t>
      </w:r>
    </w:p>
    <w:p w14:paraId="16D3A4B8" w14:textId="77777777" w:rsidR="007C0586" w:rsidRDefault="007C0586" w:rsidP="00A97663">
      <w:pPr>
        <w:numPr>
          <w:ilvl w:val="0"/>
          <w:numId w:val="108"/>
        </w:numPr>
        <w:spacing w:after="0"/>
        <w:jc w:val="both"/>
        <w:rPr>
          <w:sz w:val="24"/>
          <w:szCs w:val="24"/>
        </w:rPr>
      </w:pPr>
      <w:r>
        <w:rPr>
          <w:sz w:val="24"/>
          <w:szCs w:val="24"/>
        </w:rPr>
        <w:t>La faible accessibilité géographique réside dans l’inégale répartition des structures sanitaires et aux zones d’accès difficile.</w:t>
      </w:r>
    </w:p>
    <w:p w14:paraId="5062E449" w14:textId="77777777" w:rsidR="007C0586" w:rsidRDefault="007C0586" w:rsidP="00A97663">
      <w:pPr>
        <w:numPr>
          <w:ilvl w:val="0"/>
          <w:numId w:val="108"/>
        </w:numPr>
        <w:spacing w:after="0"/>
        <w:jc w:val="both"/>
        <w:rPr>
          <w:sz w:val="24"/>
          <w:szCs w:val="24"/>
        </w:rPr>
      </w:pPr>
      <w:r>
        <w:rPr>
          <w:sz w:val="24"/>
          <w:szCs w:val="24"/>
        </w:rPr>
        <w:t>Les paiements directs constituent la principale cause de l’insuffisante accessibilité financière aux soins curatifs compte tenu des difficultés rencontrées dans la gratuité ciblée</w:t>
      </w:r>
    </w:p>
    <w:p w14:paraId="7CDC9C42" w14:textId="77777777" w:rsidR="007C0586" w:rsidRDefault="007C0586" w:rsidP="00A97663">
      <w:pPr>
        <w:numPr>
          <w:ilvl w:val="0"/>
          <w:numId w:val="108"/>
        </w:numPr>
        <w:spacing w:after="0"/>
        <w:jc w:val="both"/>
        <w:rPr>
          <w:sz w:val="24"/>
          <w:szCs w:val="24"/>
        </w:rPr>
      </w:pPr>
      <w:r>
        <w:rPr>
          <w:sz w:val="24"/>
          <w:szCs w:val="24"/>
        </w:rPr>
        <w:lastRenderedPageBreak/>
        <w:t xml:space="preserve">L’insuffisance de sensibilisation et les faibles compétences des prestataires en matière de communication interpersonnelles ainsi que les pesanteurs des normes traditionnelles sont à l’origine de l’insuffisante acceptabilité socio-culturelle des soins curatifs </w:t>
      </w:r>
    </w:p>
    <w:p w14:paraId="40AA4063" w14:textId="71FD2AEA" w:rsidR="00AC56F1" w:rsidRPr="007C0586" w:rsidRDefault="007C0586" w:rsidP="00A97663">
      <w:pPr>
        <w:numPr>
          <w:ilvl w:val="0"/>
          <w:numId w:val="108"/>
        </w:numPr>
        <w:jc w:val="both"/>
        <w:rPr>
          <w:sz w:val="24"/>
          <w:szCs w:val="24"/>
        </w:rPr>
      </w:pPr>
      <w:r>
        <w:rPr>
          <w:sz w:val="24"/>
          <w:szCs w:val="24"/>
        </w:rPr>
        <w:t xml:space="preserve">La qualité des soins souffre des compétences inadéquates des prestataires, de leur manque de motivation et des ruptures fréquents des intrants </w:t>
      </w:r>
    </w:p>
    <w:p w14:paraId="5E74E144" w14:textId="4C81BDE0" w:rsidR="00AC56F1" w:rsidRPr="00AD25FF" w:rsidRDefault="00AC56F1" w:rsidP="00AC56F1">
      <w:pPr>
        <w:spacing w:line="240" w:lineRule="auto"/>
        <w:rPr>
          <w:b/>
          <w:sz w:val="24"/>
          <w:szCs w:val="24"/>
        </w:rPr>
      </w:pPr>
      <w:r w:rsidRPr="00AD25FF">
        <w:rPr>
          <w:b/>
          <w:sz w:val="24"/>
          <w:szCs w:val="24"/>
        </w:rPr>
        <w:t>Graphique </w:t>
      </w:r>
      <w:r w:rsidR="00520196">
        <w:rPr>
          <w:b/>
          <w:sz w:val="24"/>
          <w:szCs w:val="24"/>
        </w:rPr>
        <w:t>24</w:t>
      </w:r>
      <w:r w:rsidRPr="00AD25FF">
        <w:rPr>
          <w:b/>
          <w:sz w:val="24"/>
          <w:szCs w:val="24"/>
        </w:rPr>
        <w:t>: Répartition des goulots d’étranglements prioritaires pour la mise en œuvre du paquet de soins curatifs</w:t>
      </w:r>
    </w:p>
    <w:p w14:paraId="44F2DC99" w14:textId="2A9455D8" w:rsidR="00AC56F1" w:rsidRPr="00AD25FF" w:rsidRDefault="00AC56F1" w:rsidP="00AC56F1">
      <w:pPr>
        <w:spacing w:after="0" w:line="240" w:lineRule="auto"/>
        <w:rPr>
          <w:sz w:val="24"/>
          <w:szCs w:val="24"/>
        </w:rPr>
      </w:pPr>
      <w:r w:rsidRPr="00AD25FF">
        <w:rPr>
          <w:noProof/>
          <w:sz w:val="24"/>
          <w:szCs w:val="24"/>
          <w:lang w:eastAsia="fr-FR"/>
        </w:rPr>
        <w:drawing>
          <wp:inline distT="0" distB="0" distL="0" distR="0" wp14:anchorId="72985CA2" wp14:editId="4A4740F8">
            <wp:extent cx="5760720" cy="3776980"/>
            <wp:effectExtent l="19050" t="19050" r="11430" b="13970"/>
            <wp:docPr id="226" name="Imag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60720" cy="3776980"/>
                    </a:xfrm>
                    <a:prstGeom prst="rect">
                      <a:avLst/>
                    </a:prstGeom>
                    <a:noFill/>
                    <a:ln w="6350" cmpd="sng">
                      <a:solidFill>
                        <a:srgbClr val="000000"/>
                      </a:solidFill>
                      <a:miter lim="800000"/>
                      <a:headEnd/>
                      <a:tailEnd/>
                    </a:ln>
                    <a:effectLst/>
                  </pic:spPr>
                </pic:pic>
              </a:graphicData>
            </a:graphic>
          </wp:inline>
        </w:drawing>
      </w:r>
    </w:p>
    <w:p w14:paraId="3405ACD4" w14:textId="77777777" w:rsidR="00AC56F1" w:rsidRDefault="00AC56F1" w:rsidP="00AC56F1">
      <w:pPr>
        <w:spacing w:after="0" w:line="240" w:lineRule="auto"/>
        <w:rPr>
          <w:sz w:val="24"/>
          <w:szCs w:val="24"/>
        </w:rPr>
      </w:pPr>
      <w:r w:rsidRPr="00AD25FF">
        <w:rPr>
          <w:sz w:val="24"/>
          <w:szCs w:val="24"/>
        </w:rPr>
        <w:t>Source : Equist oct 2018</w:t>
      </w:r>
    </w:p>
    <w:p w14:paraId="58C41349" w14:textId="77777777" w:rsidR="00AC56F1" w:rsidRPr="00CE66A2" w:rsidRDefault="00AC56F1" w:rsidP="00AC56F1">
      <w:pPr>
        <w:rPr>
          <w:sz w:val="24"/>
          <w:szCs w:val="24"/>
        </w:rPr>
      </w:pPr>
    </w:p>
    <w:p w14:paraId="7684C692" w14:textId="77777777" w:rsidR="00AC56F1" w:rsidRPr="007A02FC" w:rsidRDefault="00AC56F1" w:rsidP="00AC56F1">
      <w:pPr>
        <w:tabs>
          <w:tab w:val="left" w:pos="1423"/>
        </w:tabs>
        <w:jc w:val="both"/>
        <w:rPr>
          <w:b/>
          <w:noProof/>
          <w:sz w:val="32"/>
          <w:szCs w:val="24"/>
          <w:lang w:eastAsia="fr-FR"/>
        </w:rPr>
      </w:pPr>
      <w:r w:rsidRPr="007A02FC">
        <w:rPr>
          <w:b/>
          <w:noProof/>
          <w:sz w:val="32"/>
          <w:szCs w:val="24"/>
          <w:lang w:eastAsia="fr-FR"/>
        </w:rPr>
        <w:t>IMPACT COUT</w:t>
      </w:r>
    </w:p>
    <w:p w14:paraId="5EC2CD97" w14:textId="18645A42" w:rsidR="00AC56F1" w:rsidRDefault="00AC56F1" w:rsidP="00AC56F1">
      <w:pPr>
        <w:tabs>
          <w:tab w:val="left" w:pos="1423"/>
        </w:tabs>
        <w:spacing w:line="360" w:lineRule="auto"/>
        <w:jc w:val="both"/>
        <w:rPr>
          <w:noProof/>
          <w:sz w:val="24"/>
          <w:szCs w:val="24"/>
          <w:lang w:eastAsia="fr-FR"/>
        </w:rPr>
      </w:pPr>
      <w:r w:rsidRPr="00511132">
        <w:rPr>
          <w:noProof/>
          <w:sz w:val="24"/>
          <w:szCs w:val="24"/>
          <w:lang w:eastAsia="fr-FR"/>
        </w:rPr>
        <w:t>Notre scénario est très équitable dans la mesure où il permet d’éviter plus de décès qu’à la limite de l’équité. En effet, la limite de l’équité implique que l’on mette les couvertures des interventions à haut impact des populations les plus défavorisées au même niveau que les couvertures des populations les moins défavorisées au niveau du pays. Ainsi, à la limite de l’équité, environ 7000 décès sont évités contre 10 000 décès évités dans notre scénario.</w:t>
      </w:r>
    </w:p>
    <w:p w14:paraId="5CE74435" w14:textId="2F3081DE" w:rsidR="007C0586" w:rsidRDefault="007C0586" w:rsidP="00AC56F1">
      <w:pPr>
        <w:tabs>
          <w:tab w:val="left" w:pos="1423"/>
        </w:tabs>
        <w:spacing w:line="360" w:lineRule="auto"/>
        <w:jc w:val="both"/>
        <w:rPr>
          <w:b/>
          <w:noProof/>
          <w:sz w:val="24"/>
          <w:szCs w:val="24"/>
          <w:u w:val="single"/>
          <w:lang w:eastAsia="fr-FR"/>
        </w:rPr>
      </w:pPr>
    </w:p>
    <w:p w14:paraId="72F2E89A" w14:textId="77777777" w:rsidR="007C0586" w:rsidRPr="00511132" w:rsidRDefault="007C0586" w:rsidP="00AC56F1">
      <w:pPr>
        <w:tabs>
          <w:tab w:val="left" w:pos="1423"/>
        </w:tabs>
        <w:spacing w:line="360" w:lineRule="auto"/>
        <w:jc w:val="both"/>
        <w:rPr>
          <w:b/>
          <w:noProof/>
          <w:sz w:val="24"/>
          <w:szCs w:val="24"/>
          <w:u w:val="single"/>
          <w:lang w:eastAsia="fr-FR"/>
        </w:rPr>
      </w:pPr>
    </w:p>
    <w:p w14:paraId="7256121D" w14:textId="79218505" w:rsidR="00AC56F1" w:rsidRDefault="00AC56F1" w:rsidP="00AC56F1">
      <w:pPr>
        <w:tabs>
          <w:tab w:val="left" w:pos="1423"/>
        </w:tabs>
        <w:spacing w:line="360" w:lineRule="auto"/>
        <w:rPr>
          <w:b/>
          <w:noProof/>
          <w:sz w:val="24"/>
          <w:szCs w:val="24"/>
          <w:lang w:eastAsia="fr-FR"/>
        </w:rPr>
      </w:pPr>
      <w:r w:rsidRPr="00511132">
        <w:rPr>
          <w:b/>
          <w:noProof/>
          <w:sz w:val="24"/>
          <w:szCs w:val="24"/>
          <w:u w:val="single"/>
          <w:lang w:eastAsia="fr-FR"/>
        </w:rPr>
        <w:lastRenderedPageBreak/>
        <w:t>Graphique </w:t>
      </w:r>
      <w:r w:rsidR="007C0586">
        <w:rPr>
          <w:b/>
          <w:noProof/>
          <w:sz w:val="24"/>
          <w:szCs w:val="24"/>
          <w:u w:val="single"/>
          <w:lang w:eastAsia="fr-FR"/>
        </w:rPr>
        <w:t>25</w:t>
      </w:r>
      <w:r w:rsidRPr="00511132">
        <w:rPr>
          <w:b/>
          <w:noProof/>
          <w:sz w:val="24"/>
          <w:szCs w:val="24"/>
          <w:u w:val="single"/>
          <w:lang w:eastAsia="fr-FR"/>
        </w:rPr>
        <w:t xml:space="preserve">: </w:t>
      </w:r>
      <w:r w:rsidRPr="00511132">
        <w:rPr>
          <w:b/>
          <w:noProof/>
          <w:sz w:val="24"/>
          <w:szCs w:val="24"/>
          <w:lang w:eastAsia="fr-FR"/>
        </w:rPr>
        <w:t>Impact sur la mortalité des moins de cinq ans</w:t>
      </w:r>
    </w:p>
    <w:p w14:paraId="6B01D0D4" w14:textId="749DCFCE" w:rsidR="00AC56F1" w:rsidRDefault="00AC56F1" w:rsidP="00AC56F1">
      <w:pPr>
        <w:tabs>
          <w:tab w:val="left" w:pos="1423"/>
        </w:tabs>
        <w:spacing w:after="0"/>
        <w:rPr>
          <w:b/>
          <w:noProof/>
          <w:sz w:val="32"/>
          <w:szCs w:val="24"/>
          <w:u w:val="single"/>
          <w:lang w:eastAsia="fr-FR"/>
        </w:rPr>
      </w:pPr>
      <w:r w:rsidRPr="00FF15EC">
        <w:rPr>
          <w:b/>
          <w:noProof/>
          <w:sz w:val="32"/>
          <w:szCs w:val="24"/>
          <w:u w:val="single"/>
          <w:lang w:eastAsia="fr-FR"/>
        </w:rPr>
        <w:drawing>
          <wp:inline distT="0" distB="0" distL="0" distR="0" wp14:anchorId="5A26BA52" wp14:editId="4FF7E876">
            <wp:extent cx="5219065" cy="4502785"/>
            <wp:effectExtent l="19050" t="19050" r="19685" b="12065"/>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phique 7"/>
                    <pic:cNvPicPr>
                      <a:picLocks noChangeArrowheads="1"/>
                    </pic:cNvPicPr>
                  </pic:nvPicPr>
                  <pic:blipFill>
                    <a:blip r:embed="rId37">
                      <a:extLst>
                        <a:ext uri="{28A0092B-C50C-407E-A947-70E740481C1C}">
                          <a14:useLocalDpi xmlns:a14="http://schemas.microsoft.com/office/drawing/2010/main" val="0"/>
                        </a:ext>
                      </a:extLst>
                    </a:blip>
                    <a:srcRect b="-12"/>
                    <a:stretch>
                      <a:fillRect/>
                    </a:stretch>
                  </pic:blipFill>
                  <pic:spPr bwMode="auto">
                    <a:xfrm>
                      <a:off x="0" y="0"/>
                      <a:ext cx="5219065" cy="4502785"/>
                    </a:xfrm>
                    <a:prstGeom prst="rect">
                      <a:avLst/>
                    </a:prstGeom>
                    <a:noFill/>
                    <a:ln w="6350" cmpd="sng">
                      <a:solidFill>
                        <a:srgbClr val="000000"/>
                      </a:solidFill>
                      <a:miter lim="800000"/>
                      <a:headEnd/>
                      <a:tailEnd/>
                    </a:ln>
                    <a:effectLst/>
                  </pic:spPr>
                </pic:pic>
              </a:graphicData>
            </a:graphic>
          </wp:inline>
        </w:drawing>
      </w:r>
    </w:p>
    <w:p w14:paraId="3FB53D3E" w14:textId="77777777" w:rsidR="00AC56F1" w:rsidRPr="00FE414E" w:rsidRDefault="00AC56F1" w:rsidP="00AC56F1">
      <w:pPr>
        <w:spacing w:line="240" w:lineRule="auto"/>
        <w:rPr>
          <w:sz w:val="28"/>
          <w:szCs w:val="24"/>
          <w:lang w:eastAsia="fr-FR"/>
        </w:rPr>
      </w:pPr>
      <w:r w:rsidRPr="00FE414E">
        <w:rPr>
          <w:sz w:val="28"/>
          <w:szCs w:val="24"/>
          <w:lang w:eastAsia="fr-FR"/>
        </w:rPr>
        <w:t>Equist oct 2018</w:t>
      </w:r>
    </w:p>
    <w:p w14:paraId="003A0EBA" w14:textId="77777777" w:rsidR="007C0586" w:rsidRDefault="007C0586" w:rsidP="00AC56F1">
      <w:pPr>
        <w:tabs>
          <w:tab w:val="left" w:pos="1423"/>
        </w:tabs>
        <w:spacing w:line="360" w:lineRule="auto"/>
        <w:jc w:val="both"/>
        <w:rPr>
          <w:noProof/>
          <w:sz w:val="24"/>
          <w:szCs w:val="24"/>
          <w:lang w:eastAsia="fr-FR"/>
        </w:rPr>
      </w:pPr>
    </w:p>
    <w:p w14:paraId="0FE550B4" w14:textId="4E5399C3" w:rsidR="00AC56F1" w:rsidRDefault="00AC56F1" w:rsidP="00AC56F1">
      <w:pPr>
        <w:tabs>
          <w:tab w:val="left" w:pos="1423"/>
        </w:tabs>
        <w:spacing w:line="360" w:lineRule="auto"/>
        <w:jc w:val="both"/>
        <w:rPr>
          <w:noProof/>
          <w:sz w:val="24"/>
          <w:szCs w:val="24"/>
          <w:lang w:eastAsia="fr-FR"/>
        </w:rPr>
      </w:pPr>
      <w:r w:rsidRPr="003F50DA">
        <w:rPr>
          <w:noProof/>
          <w:sz w:val="24"/>
          <w:szCs w:val="24"/>
          <w:lang w:eastAsia="fr-FR"/>
        </w:rPr>
        <w:t>Des stratégies avec un haut impact sur la réduction de la mortalité ont été générées à partir de l’outil Equist. Les différences de coûts ne sont pas très importantes en ce qui concerne la majorité des stratégies.  Ces stratégies si elles sont retenues pour la mise en œuvre du document d’investissement permettront d’éviter environ 10.000 décès d’enfants de moins de cinq ans et environ 4300 décès de nouveau-nés.</w:t>
      </w:r>
    </w:p>
    <w:p w14:paraId="783E9D69" w14:textId="1529CFFD" w:rsidR="007C0586" w:rsidRDefault="007C0586" w:rsidP="00AC56F1">
      <w:pPr>
        <w:tabs>
          <w:tab w:val="left" w:pos="1423"/>
        </w:tabs>
        <w:spacing w:line="360" w:lineRule="auto"/>
        <w:jc w:val="both"/>
        <w:rPr>
          <w:noProof/>
          <w:sz w:val="24"/>
          <w:szCs w:val="24"/>
          <w:lang w:eastAsia="fr-FR"/>
        </w:rPr>
      </w:pPr>
    </w:p>
    <w:p w14:paraId="001CE6B8" w14:textId="517E2B8B" w:rsidR="007C0586" w:rsidRDefault="007C0586" w:rsidP="00AC56F1">
      <w:pPr>
        <w:tabs>
          <w:tab w:val="left" w:pos="1423"/>
        </w:tabs>
        <w:spacing w:line="360" w:lineRule="auto"/>
        <w:jc w:val="both"/>
        <w:rPr>
          <w:noProof/>
          <w:sz w:val="24"/>
          <w:szCs w:val="24"/>
          <w:lang w:eastAsia="fr-FR"/>
        </w:rPr>
      </w:pPr>
    </w:p>
    <w:p w14:paraId="705960F7" w14:textId="2FE9CC08" w:rsidR="007C0586" w:rsidRDefault="007C0586" w:rsidP="00AC56F1">
      <w:pPr>
        <w:tabs>
          <w:tab w:val="left" w:pos="1423"/>
        </w:tabs>
        <w:spacing w:line="360" w:lineRule="auto"/>
        <w:jc w:val="both"/>
        <w:rPr>
          <w:noProof/>
          <w:sz w:val="24"/>
          <w:szCs w:val="24"/>
          <w:lang w:eastAsia="fr-FR"/>
        </w:rPr>
      </w:pPr>
    </w:p>
    <w:p w14:paraId="374522C0" w14:textId="77777777" w:rsidR="007C0586" w:rsidRDefault="007C0586" w:rsidP="00AC56F1">
      <w:pPr>
        <w:tabs>
          <w:tab w:val="left" w:pos="1423"/>
        </w:tabs>
        <w:spacing w:line="360" w:lineRule="auto"/>
        <w:jc w:val="both"/>
        <w:rPr>
          <w:noProof/>
          <w:sz w:val="24"/>
          <w:szCs w:val="24"/>
          <w:lang w:eastAsia="fr-FR"/>
        </w:rPr>
      </w:pPr>
    </w:p>
    <w:p w14:paraId="6B55CEB2" w14:textId="0EF7BF9A" w:rsidR="00AC56F1" w:rsidRDefault="00AC56F1" w:rsidP="00AC56F1">
      <w:pPr>
        <w:tabs>
          <w:tab w:val="left" w:pos="1423"/>
        </w:tabs>
        <w:spacing w:line="360" w:lineRule="auto"/>
        <w:jc w:val="both"/>
        <w:rPr>
          <w:b/>
          <w:noProof/>
          <w:sz w:val="24"/>
          <w:szCs w:val="24"/>
          <w:lang w:eastAsia="fr-FR"/>
        </w:rPr>
      </w:pPr>
      <w:r w:rsidRPr="00511132">
        <w:rPr>
          <w:b/>
          <w:noProof/>
          <w:sz w:val="24"/>
          <w:szCs w:val="24"/>
          <w:u w:val="single"/>
          <w:lang w:eastAsia="fr-FR"/>
        </w:rPr>
        <w:lastRenderedPageBreak/>
        <w:t>Graphique</w:t>
      </w:r>
      <w:r>
        <w:rPr>
          <w:b/>
          <w:noProof/>
          <w:sz w:val="24"/>
          <w:szCs w:val="24"/>
          <w:u w:val="single"/>
          <w:lang w:eastAsia="fr-FR"/>
        </w:rPr>
        <w:t> </w:t>
      </w:r>
      <w:r w:rsidR="007C0586">
        <w:rPr>
          <w:b/>
          <w:noProof/>
          <w:sz w:val="24"/>
          <w:szCs w:val="24"/>
          <w:u w:val="single"/>
          <w:lang w:eastAsia="fr-FR"/>
        </w:rPr>
        <w:t>26</w:t>
      </w:r>
      <w:r w:rsidRPr="007E419C">
        <w:rPr>
          <w:b/>
          <w:noProof/>
          <w:sz w:val="24"/>
          <w:szCs w:val="24"/>
          <w:lang w:eastAsia="fr-FR"/>
        </w:rPr>
        <w:t>:</w:t>
      </w:r>
      <w:r>
        <w:rPr>
          <w:b/>
          <w:noProof/>
          <w:sz w:val="24"/>
          <w:szCs w:val="24"/>
          <w:lang w:eastAsia="fr-FR"/>
        </w:rPr>
        <w:t xml:space="preserve"> </w:t>
      </w:r>
      <w:r>
        <w:rPr>
          <w:b/>
          <w:noProof/>
          <w:sz w:val="24"/>
          <w:szCs w:val="24"/>
          <w:u w:val="single"/>
          <w:lang w:eastAsia="fr-FR"/>
        </w:rPr>
        <w:t xml:space="preserve"> </w:t>
      </w:r>
      <w:r w:rsidRPr="007E419C">
        <w:rPr>
          <w:b/>
          <w:noProof/>
          <w:sz w:val="24"/>
          <w:szCs w:val="24"/>
          <w:lang w:eastAsia="fr-FR"/>
        </w:rPr>
        <w:t>Stratégies prioritaires</w:t>
      </w:r>
    </w:p>
    <w:p w14:paraId="55E7838A" w14:textId="00D119AC" w:rsidR="00AC56F1" w:rsidRDefault="00AC56F1" w:rsidP="00AC56F1">
      <w:pPr>
        <w:tabs>
          <w:tab w:val="left" w:pos="1423"/>
        </w:tabs>
        <w:rPr>
          <w:b/>
          <w:sz w:val="32"/>
          <w:szCs w:val="24"/>
          <w:u w:val="single"/>
        </w:rPr>
      </w:pPr>
      <w:r w:rsidRPr="007E419C">
        <w:rPr>
          <w:b/>
          <w:noProof/>
          <w:sz w:val="32"/>
          <w:szCs w:val="24"/>
          <w:lang w:eastAsia="fr-FR"/>
        </w:rPr>
        <w:drawing>
          <wp:inline distT="0" distB="0" distL="0" distR="0" wp14:anchorId="1AC6C537" wp14:editId="16F64566">
            <wp:extent cx="4951730" cy="5391785"/>
            <wp:effectExtent l="19050" t="19050" r="20320" b="18415"/>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phique 5"/>
                    <pic:cNvPicPr>
                      <a:picLocks noChangeArrowheads="1"/>
                    </pic:cNvPicPr>
                  </pic:nvPicPr>
                  <pic:blipFill>
                    <a:blip r:embed="rId38">
                      <a:extLst>
                        <a:ext uri="{28A0092B-C50C-407E-A947-70E740481C1C}">
                          <a14:useLocalDpi xmlns:a14="http://schemas.microsoft.com/office/drawing/2010/main" val="0"/>
                        </a:ext>
                      </a:extLst>
                    </a:blip>
                    <a:srcRect b="-29"/>
                    <a:stretch>
                      <a:fillRect/>
                    </a:stretch>
                  </pic:blipFill>
                  <pic:spPr bwMode="auto">
                    <a:xfrm>
                      <a:off x="0" y="0"/>
                      <a:ext cx="4951730" cy="5391785"/>
                    </a:xfrm>
                    <a:prstGeom prst="rect">
                      <a:avLst/>
                    </a:prstGeom>
                    <a:noFill/>
                    <a:ln w="6350" cmpd="sng">
                      <a:solidFill>
                        <a:srgbClr val="000000"/>
                      </a:solidFill>
                      <a:miter lim="800000"/>
                      <a:headEnd/>
                      <a:tailEnd/>
                    </a:ln>
                    <a:effectLst/>
                  </pic:spPr>
                </pic:pic>
              </a:graphicData>
            </a:graphic>
          </wp:inline>
        </w:drawing>
      </w:r>
    </w:p>
    <w:p w14:paraId="2DAE2F28" w14:textId="77777777" w:rsidR="00AC56F1" w:rsidRDefault="00AC56F1" w:rsidP="00AC56F1">
      <w:pPr>
        <w:tabs>
          <w:tab w:val="left" w:pos="1423"/>
        </w:tabs>
        <w:rPr>
          <w:b/>
          <w:sz w:val="32"/>
          <w:szCs w:val="24"/>
          <w:u w:val="single"/>
        </w:rPr>
      </w:pPr>
    </w:p>
    <w:p w14:paraId="0E53EC33" w14:textId="77777777" w:rsidR="00AC56F1" w:rsidRDefault="00AC56F1" w:rsidP="00AC56F1">
      <w:pPr>
        <w:tabs>
          <w:tab w:val="left" w:pos="1423"/>
        </w:tabs>
        <w:rPr>
          <w:b/>
          <w:sz w:val="32"/>
          <w:szCs w:val="24"/>
          <w:u w:val="single"/>
        </w:rPr>
      </w:pPr>
    </w:p>
    <w:p w14:paraId="44990BC3" w14:textId="77777777" w:rsidR="00AC56F1" w:rsidRDefault="00AC56F1" w:rsidP="00AC56F1">
      <w:pPr>
        <w:tabs>
          <w:tab w:val="left" w:pos="1423"/>
        </w:tabs>
        <w:rPr>
          <w:b/>
          <w:sz w:val="32"/>
          <w:szCs w:val="24"/>
          <w:u w:val="single"/>
        </w:rPr>
      </w:pPr>
    </w:p>
    <w:p w14:paraId="7BAFA849" w14:textId="77777777" w:rsidR="00520196" w:rsidRDefault="00520196" w:rsidP="00AC56F1">
      <w:pPr>
        <w:tabs>
          <w:tab w:val="left" w:pos="1423"/>
        </w:tabs>
        <w:rPr>
          <w:b/>
          <w:sz w:val="32"/>
          <w:szCs w:val="24"/>
          <w:u w:val="single"/>
        </w:rPr>
      </w:pPr>
    </w:p>
    <w:p w14:paraId="22797975" w14:textId="77777777" w:rsidR="00520196" w:rsidRDefault="00520196" w:rsidP="00AC56F1">
      <w:pPr>
        <w:tabs>
          <w:tab w:val="left" w:pos="1423"/>
        </w:tabs>
        <w:rPr>
          <w:b/>
          <w:sz w:val="32"/>
          <w:szCs w:val="24"/>
          <w:u w:val="single"/>
        </w:rPr>
      </w:pPr>
    </w:p>
    <w:p w14:paraId="7D9885D2" w14:textId="77777777" w:rsidR="00520196" w:rsidRDefault="00520196" w:rsidP="00AC56F1">
      <w:pPr>
        <w:tabs>
          <w:tab w:val="left" w:pos="1423"/>
        </w:tabs>
        <w:rPr>
          <w:b/>
          <w:sz w:val="32"/>
          <w:szCs w:val="24"/>
          <w:u w:val="single"/>
        </w:rPr>
      </w:pPr>
    </w:p>
    <w:p w14:paraId="03D27214" w14:textId="77777777" w:rsidR="00520196" w:rsidRDefault="00520196" w:rsidP="00AC56F1">
      <w:pPr>
        <w:tabs>
          <w:tab w:val="left" w:pos="1423"/>
        </w:tabs>
        <w:rPr>
          <w:b/>
          <w:sz w:val="32"/>
          <w:szCs w:val="24"/>
          <w:u w:val="single"/>
        </w:rPr>
      </w:pPr>
    </w:p>
    <w:p w14:paraId="3E650A43" w14:textId="5F52BABB" w:rsidR="00AC56F1" w:rsidRDefault="00AC56F1" w:rsidP="00AC56F1">
      <w:pPr>
        <w:tabs>
          <w:tab w:val="left" w:pos="1423"/>
        </w:tabs>
        <w:rPr>
          <w:b/>
          <w:sz w:val="32"/>
          <w:szCs w:val="24"/>
          <w:u w:val="single"/>
        </w:rPr>
      </w:pPr>
      <w:r w:rsidRPr="00F710F6">
        <w:rPr>
          <w:b/>
          <w:sz w:val="32"/>
          <w:szCs w:val="24"/>
          <w:u w:val="single"/>
        </w:rPr>
        <w:lastRenderedPageBreak/>
        <w:t xml:space="preserve">Nombre de vie sauvés </w:t>
      </w:r>
    </w:p>
    <w:p w14:paraId="45477EB0" w14:textId="1D03C082" w:rsidR="00AC56F1" w:rsidRDefault="00AC56F1" w:rsidP="00AC56F1">
      <w:pPr>
        <w:tabs>
          <w:tab w:val="right" w:pos="9070"/>
        </w:tabs>
        <w:spacing w:line="360" w:lineRule="auto"/>
        <w:jc w:val="both"/>
        <w:rPr>
          <w:sz w:val="24"/>
          <w:szCs w:val="24"/>
        </w:rPr>
      </w:pPr>
      <w:r w:rsidRPr="00F710F6">
        <w:rPr>
          <w:sz w:val="24"/>
          <w:szCs w:val="24"/>
        </w:rPr>
        <w:t>Selon les estimations faites par l’outil dans le cadre de notre plan,</w:t>
      </w:r>
      <w:r>
        <w:rPr>
          <w:sz w:val="24"/>
          <w:szCs w:val="24"/>
        </w:rPr>
        <w:t xml:space="preserve"> un million de dollars USD permettront de sauver 196 vies et le coût par personne est de </w:t>
      </w:r>
      <w:r w:rsidRPr="00F710F6">
        <w:rPr>
          <w:sz w:val="24"/>
          <w:szCs w:val="24"/>
        </w:rPr>
        <w:t>2,838 USD</w:t>
      </w:r>
      <w:r>
        <w:rPr>
          <w:sz w:val="24"/>
          <w:szCs w:val="24"/>
        </w:rPr>
        <w:t>.</w:t>
      </w:r>
    </w:p>
    <w:tbl>
      <w:tblPr>
        <w:tblStyle w:val="Grilledutableau"/>
        <w:tblW w:w="91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2"/>
        <w:gridCol w:w="236"/>
        <w:gridCol w:w="4389"/>
      </w:tblGrid>
      <w:tr w:rsidR="007C0586" w14:paraId="70D8874C" w14:textId="77777777" w:rsidTr="007C0586">
        <w:tc>
          <w:tcPr>
            <w:tcW w:w="4502" w:type="dxa"/>
          </w:tcPr>
          <w:p w14:paraId="2F59AE87" w14:textId="647366DF" w:rsidR="007C0586" w:rsidRDefault="007C0586" w:rsidP="00AC56F1">
            <w:pPr>
              <w:tabs>
                <w:tab w:val="right" w:pos="9070"/>
              </w:tabs>
              <w:spacing w:line="360" w:lineRule="auto"/>
              <w:jc w:val="both"/>
              <w:rPr>
                <w:sz w:val="24"/>
                <w:szCs w:val="24"/>
              </w:rPr>
            </w:pPr>
            <w:r w:rsidRPr="007B3675">
              <w:rPr>
                <w:b/>
                <w:sz w:val="24"/>
                <w:szCs w:val="24"/>
              </w:rPr>
              <w:t>Graphique </w:t>
            </w:r>
            <w:r>
              <w:rPr>
                <w:b/>
                <w:sz w:val="24"/>
                <w:szCs w:val="24"/>
              </w:rPr>
              <w:t>27</w:t>
            </w:r>
            <w:r>
              <w:rPr>
                <w:sz w:val="24"/>
                <w:szCs w:val="24"/>
              </w:rPr>
              <w:t xml:space="preserve">: Nombre de vie sauvées                          </w:t>
            </w:r>
          </w:p>
        </w:tc>
        <w:tc>
          <w:tcPr>
            <w:tcW w:w="236" w:type="dxa"/>
          </w:tcPr>
          <w:p w14:paraId="1E89409F" w14:textId="77777777" w:rsidR="007C0586" w:rsidRDefault="007C0586" w:rsidP="00AC56F1">
            <w:pPr>
              <w:tabs>
                <w:tab w:val="right" w:pos="9070"/>
              </w:tabs>
              <w:spacing w:line="360" w:lineRule="auto"/>
              <w:jc w:val="both"/>
              <w:rPr>
                <w:sz w:val="24"/>
                <w:szCs w:val="24"/>
              </w:rPr>
            </w:pPr>
          </w:p>
        </w:tc>
        <w:tc>
          <w:tcPr>
            <w:tcW w:w="4389" w:type="dxa"/>
          </w:tcPr>
          <w:p w14:paraId="1280C37F" w14:textId="5DF7B794" w:rsidR="007C0586" w:rsidRDefault="007C0586" w:rsidP="007C0586">
            <w:pPr>
              <w:tabs>
                <w:tab w:val="right" w:pos="9070"/>
              </w:tabs>
              <w:spacing w:line="360" w:lineRule="auto"/>
              <w:jc w:val="both"/>
              <w:rPr>
                <w:sz w:val="24"/>
                <w:szCs w:val="24"/>
              </w:rPr>
            </w:pPr>
            <w:r w:rsidRPr="007B3675">
              <w:rPr>
                <w:b/>
                <w:sz w:val="24"/>
                <w:szCs w:val="24"/>
              </w:rPr>
              <w:t>Graphique</w:t>
            </w:r>
            <w:r>
              <w:rPr>
                <w:b/>
                <w:sz w:val="24"/>
                <w:szCs w:val="24"/>
              </w:rPr>
              <w:t xml:space="preserve"> 28 : </w:t>
            </w:r>
            <w:r w:rsidRPr="007B3675">
              <w:rPr>
                <w:b/>
                <w:sz w:val="24"/>
                <w:szCs w:val="24"/>
              </w:rPr>
              <w:t>Coût</w:t>
            </w:r>
            <w:r w:rsidRPr="007B3675">
              <w:rPr>
                <w:sz w:val="24"/>
                <w:szCs w:val="24"/>
              </w:rPr>
              <w:t xml:space="preserve"> par personne</w:t>
            </w:r>
            <w:r w:rsidRPr="00F710F6">
              <w:rPr>
                <w:noProof/>
              </w:rPr>
              <w:t xml:space="preserve">                            </w:t>
            </w:r>
          </w:p>
        </w:tc>
      </w:tr>
      <w:tr w:rsidR="007C0586" w14:paraId="43A88D0C" w14:textId="77777777" w:rsidTr="007C0586">
        <w:tc>
          <w:tcPr>
            <w:tcW w:w="4502" w:type="dxa"/>
          </w:tcPr>
          <w:p w14:paraId="3DCB563C" w14:textId="4FD778BF" w:rsidR="007C0586" w:rsidRDefault="007C0586" w:rsidP="00AC56F1">
            <w:pPr>
              <w:tabs>
                <w:tab w:val="right" w:pos="9070"/>
              </w:tabs>
              <w:spacing w:line="360" w:lineRule="auto"/>
              <w:jc w:val="both"/>
              <w:rPr>
                <w:sz w:val="24"/>
                <w:szCs w:val="24"/>
              </w:rPr>
            </w:pPr>
            <w:r>
              <w:rPr>
                <w:noProof/>
                <w:lang w:eastAsia="fr-FR"/>
              </w:rPr>
              <w:drawing>
                <wp:anchor distT="0" distB="0" distL="114300" distR="114300" simplePos="0" relativeHeight="251745280" behindDoc="0" locked="0" layoutInCell="1" allowOverlap="1" wp14:anchorId="1840082A" wp14:editId="0B1C707B">
                  <wp:simplePos x="0" y="0"/>
                  <wp:positionH relativeFrom="margin">
                    <wp:posOffset>-5715</wp:posOffset>
                  </wp:positionH>
                  <wp:positionV relativeFrom="paragraph">
                    <wp:posOffset>298450</wp:posOffset>
                  </wp:positionV>
                  <wp:extent cx="2578735" cy="3325495"/>
                  <wp:effectExtent l="19050" t="19050" r="12065" b="27305"/>
                  <wp:wrapSquare wrapText="right"/>
                  <wp:docPr id="246" name="Image 2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phique 2"/>
                          <pic:cNvPicPr>
                            <a:picLocks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578735" cy="3325495"/>
                          </a:xfrm>
                          <a:prstGeom prst="rect">
                            <a:avLst/>
                          </a:prstGeom>
                          <a:noFill/>
                          <a:ln w="6350">
                            <a:solidFill>
                              <a:srgbClr val="000000"/>
                            </a:solidFill>
                            <a:miter lim="800000"/>
                            <a:headEnd/>
                            <a:tailEnd/>
                          </a:ln>
                          <a:effectLst/>
                        </pic:spPr>
                      </pic:pic>
                    </a:graphicData>
                  </a:graphic>
                  <wp14:sizeRelH relativeFrom="page">
                    <wp14:pctWidth>0</wp14:pctWidth>
                  </wp14:sizeRelH>
                  <wp14:sizeRelV relativeFrom="page">
                    <wp14:pctHeight>0</wp14:pctHeight>
                  </wp14:sizeRelV>
                </wp:anchor>
              </w:drawing>
            </w:r>
          </w:p>
        </w:tc>
        <w:tc>
          <w:tcPr>
            <w:tcW w:w="236" w:type="dxa"/>
          </w:tcPr>
          <w:p w14:paraId="3CB81DBB" w14:textId="77777777" w:rsidR="007C0586" w:rsidRDefault="007C0586" w:rsidP="00AC56F1">
            <w:pPr>
              <w:tabs>
                <w:tab w:val="right" w:pos="9070"/>
              </w:tabs>
              <w:spacing w:line="360" w:lineRule="auto"/>
              <w:jc w:val="both"/>
              <w:rPr>
                <w:sz w:val="24"/>
                <w:szCs w:val="24"/>
              </w:rPr>
            </w:pPr>
          </w:p>
        </w:tc>
        <w:tc>
          <w:tcPr>
            <w:tcW w:w="4389" w:type="dxa"/>
          </w:tcPr>
          <w:p w14:paraId="3D1A70F8" w14:textId="77777777" w:rsidR="007C0586" w:rsidRDefault="007C0586" w:rsidP="00AC56F1">
            <w:pPr>
              <w:tabs>
                <w:tab w:val="right" w:pos="9070"/>
              </w:tabs>
              <w:spacing w:line="360" w:lineRule="auto"/>
              <w:jc w:val="both"/>
              <w:rPr>
                <w:b/>
                <w:noProof/>
                <w:sz w:val="32"/>
                <w:szCs w:val="24"/>
                <w:lang w:eastAsia="fr-FR"/>
              </w:rPr>
            </w:pPr>
          </w:p>
          <w:p w14:paraId="7E5951EA" w14:textId="2709C6C0" w:rsidR="007C0586" w:rsidRDefault="007C0586" w:rsidP="00AC56F1">
            <w:pPr>
              <w:tabs>
                <w:tab w:val="right" w:pos="9070"/>
              </w:tabs>
              <w:spacing w:line="360" w:lineRule="auto"/>
              <w:jc w:val="both"/>
              <w:rPr>
                <w:sz w:val="24"/>
                <w:szCs w:val="24"/>
              </w:rPr>
            </w:pPr>
            <w:r w:rsidRPr="00F710F6">
              <w:rPr>
                <w:b/>
                <w:noProof/>
                <w:sz w:val="32"/>
                <w:szCs w:val="24"/>
                <w:lang w:eastAsia="fr-FR"/>
              </w:rPr>
              <w:drawing>
                <wp:inline distT="0" distB="0" distL="0" distR="0" wp14:anchorId="2FBB8879" wp14:editId="02D4947F">
                  <wp:extent cx="2475781" cy="3239770"/>
                  <wp:effectExtent l="19050" t="19050" r="20320" b="17780"/>
                  <wp:docPr id="247" name="Image 2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phique 3"/>
                          <pic:cNvPicPr>
                            <a:picLocks noChangeArrowheads="1"/>
                          </pic:cNvPicPr>
                        </pic:nvPicPr>
                        <pic:blipFill>
                          <a:blip r:embed="rId40">
                            <a:extLst>
                              <a:ext uri="{28A0092B-C50C-407E-A947-70E740481C1C}">
                                <a14:useLocalDpi xmlns:a14="http://schemas.microsoft.com/office/drawing/2010/main" val="0"/>
                              </a:ext>
                            </a:extLst>
                          </a:blip>
                          <a:srcRect b="-37"/>
                          <a:stretch>
                            <a:fillRect/>
                          </a:stretch>
                        </pic:blipFill>
                        <pic:spPr bwMode="auto">
                          <a:xfrm>
                            <a:off x="0" y="0"/>
                            <a:ext cx="2478104" cy="3242809"/>
                          </a:xfrm>
                          <a:prstGeom prst="rect">
                            <a:avLst/>
                          </a:prstGeom>
                          <a:noFill/>
                          <a:ln w="6350" cmpd="sng">
                            <a:solidFill>
                              <a:srgbClr val="000000"/>
                            </a:solidFill>
                            <a:miter lim="800000"/>
                            <a:headEnd/>
                            <a:tailEnd/>
                          </a:ln>
                          <a:effectLst/>
                        </pic:spPr>
                      </pic:pic>
                    </a:graphicData>
                  </a:graphic>
                </wp:inline>
              </w:drawing>
            </w:r>
          </w:p>
        </w:tc>
      </w:tr>
    </w:tbl>
    <w:p w14:paraId="62D3F150" w14:textId="2EEE4166" w:rsidR="00AC56F1" w:rsidRDefault="00AC56F1" w:rsidP="00AC56F1">
      <w:pPr>
        <w:rPr>
          <w:b/>
          <w:sz w:val="32"/>
          <w:szCs w:val="24"/>
        </w:rPr>
      </w:pPr>
      <w:r>
        <w:rPr>
          <w:b/>
          <w:sz w:val="32"/>
          <w:szCs w:val="24"/>
        </w:rPr>
        <w:tab/>
      </w:r>
    </w:p>
    <w:p w14:paraId="77DD7FEC" w14:textId="58E8D67E" w:rsidR="00AC56F1" w:rsidRPr="00CE66A2" w:rsidRDefault="00AC56F1" w:rsidP="00AC56F1">
      <w:pPr>
        <w:tabs>
          <w:tab w:val="left" w:pos="1423"/>
        </w:tabs>
        <w:rPr>
          <w:b/>
          <w:sz w:val="32"/>
          <w:szCs w:val="24"/>
        </w:rPr>
      </w:pPr>
    </w:p>
    <w:p w14:paraId="32808F2B" w14:textId="7E172E46" w:rsidR="00AC56F1" w:rsidRPr="00AC56F1" w:rsidRDefault="00520196" w:rsidP="00AC56F1">
      <w:pPr>
        <w:rPr>
          <w:b/>
          <w:sz w:val="32"/>
          <w:szCs w:val="32"/>
        </w:rPr>
      </w:pPr>
      <w:r>
        <w:rPr>
          <w:b/>
          <w:sz w:val="32"/>
          <w:szCs w:val="32"/>
        </w:rPr>
        <w:br w:type="page"/>
      </w:r>
    </w:p>
    <w:bookmarkEnd w:id="2"/>
    <w:p w14:paraId="68A7BBB6" w14:textId="77777777" w:rsidR="00A9046F" w:rsidRDefault="00CE66CF" w:rsidP="00A97663">
      <w:pPr>
        <w:pStyle w:val="Paragraphedeliste"/>
        <w:numPr>
          <w:ilvl w:val="0"/>
          <w:numId w:val="106"/>
        </w:numPr>
        <w:autoSpaceDE w:val="0"/>
        <w:autoSpaceDN w:val="0"/>
        <w:adjustRightInd w:val="0"/>
        <w:spacing w:after="0" w:line="240" w:lineRule="auto"/>
        <w:rPr>
          <w:rFonts w:cs="Calibri-Bold"/>
          <w:b/>
          <w:bCs/>
          <w:sz w:val="28"/>
          <w:szCs w:val="28"/>
        </w:rPr>
      </w:pPr>
      <w:r w:rsidRPr="00A9046F">
        <w:rPr>
          <w:rFonts w:cs="Calibri-Bold"/>
          <w:b/>
          <w:bCs/>
          <w:sz w:val="28"/>
          <w:szCs w:val="28"/>
        </w:rPr>
        <w:lastRenderedPageBreak/>
        <w:t>STRATEGIE D’AMELIORATION DE LA SANTE DE LA MERE, DE L’ENFANT ET DE</w:t>
      </w:r>
      <w:r w:rsidR="000D1374" w:rsidRPr="00A9046F">
        <w:rPr>
          <w:rFonts w:cs="Calibri-Bold"/>
          <w:b/>
          <w:bCs/>
          <w:sz w:val="28"/>
          <w:szCs w:val="28"/>
        </w:rPr>
        <w:t xml:space="preserve"> </w:t>
      </w:r>
      <w:r w:rsidRPr="00A9046F">
        <w:rPr>
          <w:rFonts w:cs="Calibri-Bold"/>
          <w:b/>
          <w:bCs/>
          <w:sz w:val="28"/>
          <w:szCs w:val="28"/>
        </w:rPr>
        <w:t>L’ADOLESCENT/JEUNE</w:t>
      </w:r>
      <w:r w:rsidR="00B16FA0" w:rsidRPr="00A9046F">
        <w:rPr>
          <w:rFonts w:cs="Calibri-Bold"/>
          <w:b/>
          <w:bCs/>
          <w:sz w:val="28"/>
          <w:szCs w:val="28"/>
        </w:rPr>
        <w:t>, NUTRITION</w:t>
      </w:r>
      <w:r w:rsidR="00B74A24" w:rsidRPr="00A9046F">
        <w:rPr>
          <w:rFonts w:cs="Calibri-Bold"/>
          <w:b/>
          <w:bCs/>
          <w:sz w:val="28"/>
          <w:szCs w:val="28"/>
        </w:rPr>
        <w:t xml:space="preserve"> ET</w:t>
      </w:r>
      <w:r w:rsidR="00B16FA0" w:rsidRPr="00A9046F">
        <w:rPr>
          <w:rFonts w:cs="Calibri-Bold"/>
          <w:b/>
          <w:bCs/>
          <w:sz w:val="28"/>
          <w:szCs w:val="28"/>
        </w:rPr>
        <w:t xml:space="preserve"> ETAT CIVIL</w:t>
      </w:r>
      <w:r w:rsidR="00B74A24" w:rsidRPr="00A9046F">
        <w:rPr>
          <w:rFonts w:cs="Calibri-Bold"/>
          <w:b/>
          <w:bCs/>
          <w:sz w:val="28"/>
          <w:szCs w:val="28"/>
        </w:rPr>
        <w:t>.</w:t>
      </w:r>
    </w:p>
    <w:p w14:paraId="2AEC10EF" w14:textId="1D245CE9" w:rsidR="00BD2E13" w:rsidRPr="00A9046F" w:rsidRDefault="00BD2E13" w:rsidP="00A97663">
      <w:pPr>
        <w:pStyle w:val="Paragraphedeliste"/>
        <w:numPr>
          <w:ilvl w:val="1"/>
          <w:numId w:val="109"/>
        </w:numPr>
        <w:autoSpaceDE w:val="0"/>
        <w:autoSpaceDN w:val="0"/>
        <w:adjustRightInd w:val="0"/>
        <w:spacing w:after="0" w:line="240" w:lineRule="auto"/>
        <w:rPr>
          <w:rFonts w:cs="Calibri-Bold"/>
          <w:b/>
          <w:bCs/>
          <w:sz w:val="28"/>
          <w:szCs w:val="28"/>
        </w:rPr>
      </w:pPr>
      <w:r w:rsidRPr="00A9046F">
        <w:rPr>
          <w:rFonts w:cs="Calibri-Bold"/>
          <w:bCs/>
          <w:sz w:val="24"/>
          <w:szCs w:val="24"/>
        </w:rPr>
        <w:t>VISION</w:t>
      </w:r>
    </w:p>
    <w:p w14:paraId="4D68DB1D" w14:textId="316ADF88" w:rsidR="000D1374" w:rsidRPr="000D1374" w:rsidRDefault="000D1374" w:rsidP="008129E9">
      <w:pPr>
        <w:widowControl w:val="0"/>
        <w:tabs>
          <w:tab w:val="left" w:pos="9498"/>
        </w:tabs>
        <w:autoSpaceDE w:val="0"/>
        <w:autoSpaceDN w:val="0"/>
        <w:adjustRightInd w:val="0"/>
        <w:spacing w:before="32" w:after="0"/>
        <w:ind w:left="-142" w:right="-1"/>
        <w:jc w:val="both"/>
        <w:rPr>
          <w:rFonts w:cs="Calibri-Bold"/>
          <w:bCs/>
          <w:sz w:val="24"/>
          <w:szCs w:val="24"/>
        </w:rPr>
      </w:pPr>
      <w:r w:rsidRPr="000D1374">
        <w:rPr>
          <w:rFonts w:cs="Calibri-Bold"/>
          <w:bCs/>
          <w:sz w:val="24"/>
          <w:szCs w:val="24"/>
        </w:rPr>
        <w:t>Cette vision dérive de celle du document de Politique National de Santé.</w:t>
      </w:r>
    </w:p>
    <w:p w14:paraId="043464E0" w14:textId="7557E028" w:rsidR="00BD2E13" w:rsidRPr="00B16FA0" w:rsidRDefault="00BD2E13" w:rsidP="008129E9">
      <w:pPr>
        <w:widowControl w:val="0"/>
        <w:tabs>
          <w:tab w:val="left" w:pos="9498"/>
        </w:tabs>
        <w:autoSpaceDE w:val="0"/>
        <w:autoSpaceDN w:val="0"/>
        <w:adjustRightInd w:val="0"/>
        <w:spacing w:before="32" w:after="0"/>
        <w:ind w:left="-142" w:right="-1"/>
        <w:jc w:val="both"/>
        <w:rPr>
          <w:rFonts w:cs="Calibri-Bold"/>
          <w:b/>
          <w:bCs/>
          <w:i/>
          <w:sz w:val="24"/>
          <w:szCs w:val="24"/>
        </w:rPr>
      </w:pPr>
      <w:r w:rsidRPr="00B16FA0">
        <w:rPr>
          <w:rFonts w:cs="Calibri-Bold"/>
          <w:b/>
          <w:bCs/>
          <w:i/>
          <w:sz w:val="24"/>
          <w:szCs w:val="24"/>
        </w:rPr>
        <w:t xml:space="preserve">Le Burkina Faso atteint le meilleur état de santé possible pour l’ensemble de la </w:t>
      </w:r>
      <w:r w:rsidR="000D1374" w:rsidRPr="00B16FA0">
        <w:rPr>
          <w:rFonts w:cs="Calibri-Bold"/>
          <w:b/>
          <w:bCs/>
          <w:i/>
          <w:sz w:val="24"/>
          <w:szCs w:val="24"/>
        </w:rPr>
        <w:t>population, avec une attention</w:t>
      </w:r>
      <w:r w:rsidRPr="00B16FA0">
        <w:rPr>
          <w:rFonts w:cs="Calibri-Bold"/>
          <w:b/>
          <w:bCs/>
          <w:i/>
          <w:sz w:val="24"/>
          <w:szCs w:val="24"/>
        </w:rPr>
        <w:t xml:space="preserve"> particuli</w:t>
      </w:r>
      <w:r w:rsidR="000D1374" w:rsidRPr="00B16FA0">
        <w:rPr>
          <w:rFonts w:cs="Calibri-Bold"/>
          <w:b/>
          <w:bCs/>
          <w:i/>
          <w:sz w:val="24"/>
          <w:szCs w:val="24"/>
        </w:rPr>
        <w:t>ère</w:t>
      </w:r>
      <w:r w:rsidRPr="00B16FA0">
        <w:rPr>
          <w:rFonts w:cs="Calibri-Bold"/>
          <w:b/>
          <w:bCs/>
          <w:i/>
          <w:sz w:val="24"/>
          <w:szCs w:val="24"/>
        </w:rPr>
        <w:t xml:space="preserve"> pour le </w:t>
      </w:r>
      <w:r w:rsidR="000D1374" w:rsidRPr="00B16FA0">
        <w:rPr>
          <w:rFonts w:cs="Calibri-Bold"/>
          <w:b/>
          <w:bCs/>
          <w:i/>
          <w:sz w:val="24"/>
          <w:szCs w:val="24"/>
        </w:rPr>
        <w:t>Mère, le Nouveau-né, l’enfant, l’adolescent/jeune, à travers un système de santé national performant.</w:t>
      </w:r>
    </w:p>
    <w:p w14:paraId="473F5704" w14:textId="0F408EC0" w:rsidR="000D1374" w:rsidRDefault="000D1374" w:rsidP="00A97663">
      <w:pPr>
        <w:pStyle w:val="Paragraphedeliste"/>
        <w:numPr>
          <w:ilvl w:val="1"/>
          <w:numId w:val="109"/>
        </w:numPr>
        <w:autoSpaceDE w:val="0"/>
        <w:autoSpaceDN w:val="0"/>
        <w:adjustRightInd w:val="0"/>
        <w:spacing w:after="0" w:line="240" w:lineRule="auto"/>
        <w:rPr>
          <w:rFonts w:cs="Calibri-Bold"/>
          <w:bCs/>
          <w:sz w:val="24"/>
          <w:szCs w:val="24"/>
        </w:rPr>
      </w:pPr>
      <w:r>
        <w:rPr>
          <w:rFonts w:cs="Calibri-Bold"/>
          <w:bCs/>
          <w:sz w:val="24"/>
          <w:szCs w:val="24"/>
        </w:rPr>
        <w:t>PRINCIPES DIRECTEURS</w:t>
      </w:r>
    </w:p>
    <w:p w14:paraId="16FDCF8B" w14:textId="2DC114AD" w:rsidR="000772A2" w:rsidRDefault="000772A2" w:rsidP="008129E9">
      <w:pPr>
        <w:autoSpaceDE w:val="0"/>
        <w:autoSpaceDN w:val="0"/>
        <w:adjustRightInd w:val="0"/>
        <w:spacing w:after="0"/>
        <w:jc w:val="both"/>
        <w:rPr>
          <w:rFonts w:ascii="Calibri" w:hAnsi="Calibri" w:cs="Calibri"/>
          <w:sz w:val="24"/>
          <w:szCs w:val="24"/>
        </w:rPr>
      </w:pPr>
      <w:r>
        <w:rPr>
          <w:rFonts w:ascii="Calibri" w:hAnsi="Calibri" w:cs="Calibri"/>
          <w:sz w:val="24"/>
          <w:szCs w:val="24"/>
        </w:rPr>
        <w:t>Le dossier d’investissement va s’articuler autour des principes directeurs suivants :</w:t>
      </w:r>
    </w:p>
    <w:p w14:paraId="63D2D915" w14:textId="7764C7A7" w:rsidR="008E6252" w:rsidRDefault="008E6252" w:rsidP="00A97663">
      <w:pPr>
        <w:pStyle w:val="Paragraphedeliste"/>
        <w:numPr>
          <w:ilvl w:val="0"/>
          <w:numId w:val="54"/>
        </w:numPr>
        <w:autoSpaceDE w:val="0"/>
        <w:autoSpaceDN w:val="0"/>
        <w:adjustRightInd w:val="0"/>
        <w:spacing w:after="0"/>
        <w:jc w:val="both"/>
        <w:rPr>
          <w:rFonts w:ascii="Calibri" w:hAnsi="Calibri" w:cs="Calibri"/>
          <w:sz w:val="24"/>
          <w:szCs w:val="24"/>
        </w:rPr>
      </w:pPr>
      <w:r w:rsidRPr="008E6252">
        <w:rPr>
          <w:rFonts w:ascii="Calibri" w:hAnsi="Calibri" w:cs="Calibri"/>
          <w:sz w:val="24"/>
          <w:szCs w:val="24"/>
        </w:rPr>
        <w:t>Un leadership proactif pour améliorer la coordination intra sectorielle des acteurs dans un contexte de décentralisation et la collaboration intersectorielle en vue d’agir plus effacement sur les principaux déterminants de la santé</w:t>
      </w:r>
      <w:r>
        <w:rPr>
          <w:rFonts w:ascii="Calibri" w:hAnsi="Calibri" w:cs="Calibri"/>
          <w:sz w:val="24"/>
          <w:szCs w:val="24"/>
        </w:rPr>
        <w:t> ;</w:t>
      </w:r>
      <w:r w:rsidRPr="008E6252">
        <w:rPr>
          <w:rFonts w:ascii="Calibri" w:hAnsi="Calibri" w:cs="Calibri"/>
          <w:sz w:val="24"/>
          <w:szCs w:val="24"/>
        </w:rPr>
        <w:t xml:space="preserve"> </w:t>
      </w:r>
    </w:p>
    <w:p w14:paraId="139AE7BD" w14:textId="525F877C" w:rsidR="008E6252" w:rsidRPr="008E6252" w:rsidRDefault="008E6252" w:rsidP="00A97663">
      <w:pPr>
        <w:pStyle w:val="Paragraphedeliste"/>
        <w:numPr>
          <w:ilvl w:val="0"/>
          <w:numId w:val="54"/>
        </w:numPr>
        <w:autoSpaceDE w:val="0"/>
        <w:autoSpaceDN w:val="0"/>
        <w:adjustRightInd w:val="0"/>
        <w:spacing w:after="0"/>
        <w:jc w:val="both"/>
        <w:rPr>
          <w:rFonts w:ascii="Calibri" w:hAnsi="Calibri" w:cs="Calibri"/>
          <w:sz w:val="24"/>
          <w:szCs w:val="24"/>
        </w:rPr>
      </w:pPr>
      <w:r>
        <w:rPr>
          <w:rFonts w:ascii="Calibri" w:hAnsi="Calibri" w:cs="Calibri"/>
          <w:sz w:val="24"/>
          <w:szCs w:val="24"/>
        </w:rPr>
        <w:t>La gestion axée sur les résultats </w:t>
      </w:r>
      <w:r w:rsidR="00C507A4">
        <w:rPr>
          <w:rFonts w:ascii="Calibri" w:hAnsi="Calibri" w:cs="Calibri"/>
          <w:sz w:val="24"/>
          <w:szCs w:val="24"/>
        </w:rPr>
        <w:t>pour améliorer l’efficience des investissements ;</w:t>
      </w:r>
    </w:p>
    <w:p w14:paraId="220FC1F1" w14:textId="285D20AD" w:rsidR="000772A2" w:rsidRPr="008E6252" w:rsidRDefault="000772A2" w:rsidP="00A97663">
      <w:pPr>
        <w:pStyle w:val="Paragraphedeliste"/>
        <w:numPr>
          <w:ilvl w:val="0"/>
          <w:numId w:val="54"/>
        </w:numPr>
        <w:autoSpaceDE w:val="0"/>
        <w:autoSpaceDN w:val="0"/>
        <w:adjustRightInd w:val="0"/>
        <w:spacing w:after="0"/>
        <w:jc w:val="both"/>
        <w:rPr>
          <w:rFonts w:ascii="Calibri" w:hAnsi="Calibri" w:cs="Calibri"/>
          <w:sz w:val="24"/>
          <w:szCs w:val="24"/>
        </w:rPr>
      </w:pPr>
      <w:r w:rsidRPr="008E6252">
        <w:rPr>
          <w:rFonts w:ascii="Calibri" w:hAnsi="Calibri" w:cs="Calibri"/>
          <w:sz w:val="24"/>
          <w:szCs w:val="24"/>
        </w:rPr>
        <w:t>L’approche intégrée des prestations</w:t>
      </w:r>
      <w:r w:rsidR="00C507A4">
        <w:rPr>
          <w:rFonts w:ascii="Calibri" w:hAnsi="Calibri" w:cs="Calibri"/>
          <w:sz w:val="24"/>
          <w:szCs w:val="24"/>
        </w:rPr>
        <w:t xml:space="preserve"> autour des étapes du cycle de vie</w:t>
      </w:r>
      <w:r w:rsidR="008E6252" w:rsidRPr="008E6252">
        <w:rPr>
          <w:rFonts w:ascii="Calibri" w:hAnsi="Calibri" w:cs="Calibri"/>
          <w:sz w:val="24"/>
          <w:szCs w:val="24"/>
        </w:rPr>
        <w:t xml:space="preserve"> pour éviter la fragmentation</w:t>
      </w:r>
      <w:r w:rsidR="00C507A4">
        <w:rPr>
          <w:rFonts w:ascii="Calibri" w:hAnsi="Calibri" w:cs="Calibri"/>
          <w:sz w:val="24"/>
          <w:szCs w:val="24"/>
        </w:rPr>
        <w:t>-</w:t>
      </w:r>
      <w:r w:rsidR="00C507A4" w:rsidRPr="008E6252">
        <w:rPr>
          <w:rFonts w:ascii="Calibri" w:hAnsi="Calibri" w:cs="Calibri"/>
          <w:sz w:val="24"/>
          <w:szCs w:val="24"/>
        </w:rPr>
        <w:t xml:space="preserve">duplication </w:t>
      </w:r>
      <w:r w:rsidR="00C507A4">
        <w:rPr>
          <w:rFonts w:ascii="Calibri" w:hAnsi="Calibri" w:cs="Calibri"/>
          <w:sz w:val="24"/>
          <w:szCs w:val="24"/>
        </w:rPr>
        <w:t xml:space="preserve">et </w:t>
      </w:r>
      <w:r w:rsidR="00C507A4" w:rsidRPr="008E6252">
        <w:rPr>
          <w:rFonts w:ascii="Calibri" w:hAnsi="Calibri" w:cs="Calibri"/>
          <w:sz w:val="24"/>
          <w:szCs w:val="24"/>
        </w:rPr>
        <w:t>améliorer la cohérence des interventions SRMNEA-</w:t>
      </w:r>
      <w:r w:rsidR="0011574E" w:rsidRPr="008E6252">
        <w:rPr>
          <w:rFonts w:ascii="Calibri" w:hAnsi="Calibri" w:cs="Calibri"/>
          <w:sz w:val="24"/>
          <w:szCs w:val="24"/>
        </w:rPr>
        <w:t>N</w:t>
      </w:r>
      <w:r w:rsidR="0011574E">
        <w:rPr>
          <w:rFonts w:ascii="Calibri" w:hAnsi="Calibri" w:cs="Calibri"/>
          <w:sz w:val="24"/>
          <w:szCs w:val="24"/>
        </w:rPr>
        <w:t xml:space="preserve"> ;</w:t>
      </w:r>
    </w:p>
    <w:p w14:paraId="3AB123E8" w14:textId="2B21EEBB" w:rsidR="000772A2" w:rsidRDefault="000772A2" w:rsidP="00A97663">
      <w:pPr>
        <w:pStyle w:val="Paragraphedeliste"/>
        <w:widowControl w:val="0"/>
        <w:numPr>
          <w:ilvl w:val="0"/>
          <w:numId w:val="54"/>
        </w:numPr>
        <w:tabs>
          <w:tab w:val="left" w:pos="9498"/>
        </w:tabs>
        <w:autoSpaceDE w:val="0"/>
        <w:autoSpaceDN w:val="0"/>
        <w:adjustRightInd w:val="0"/>
        <w:spacing w:before="32" w:after="0"/>
        <w:ind w:right="-1"/>
        <w:jc w:val="both"/>
        <w:rPr>
          <w:rFonts w:ascii="Calibri" w:hAnsi="Calibri" w:cs="Calibri"/>
          <w:sz w:val="24"/>
          <w:szCs w:val="24"/>
        </w:rPr>
      </w:pPr>
      <w:r w:rsidRPr="008E6252">
        <w:rPr>
          <w:rFonts w:ascii="Calibri" w:hAnsi="Calibri" w:cs="Calibri"/>
          <w:sz w:val="24"/>
          <w:szCs w:val="24"/>
        </w:rPr>
        <w:t xml:space="preserve">L’équité, le genre et la prise en compte des besoins </w:t>
      </w:r>
      <w:r w:rsidR="00EE5AB5" w:rsidRPr="008E6252">
        <w:rPr>
          <w:rFonts w:ascii="Calibri" w:hAnsi="Calibri" w:cs="Calibri"/>
          <w:sz w:val="24"/>
          <w:szCs w:val="24"/>
        </w:rPr>
        <w:t>prioritaires</w:t>
      </w:r>
      <w:r w:rsidR="00EE5AB5">
        <w:rPr>
          <w:rFonts w:ascii="Calibri" w:hAnsi="Calibri" w:cs="Calibri"/>
          <w:sz w:val="24"/>
          <w:szCs w:val="24"/>
        </w:rPr>
        <w:t xml:space="preserve"> et des</w:t>
      </w:r>
      <w:r w:rsidR="00EE5AB5" w:rsidRPr="00EE5AB5">
        <w:rPr>
          <w:rFonts w:ascii="Calibri" w:hAnsi="Calibri" w:cs="Calibri"/>
          <w:sz w:val="24"/>
          <w:szCs w:val="24"/>
        </w:rPr>
        <w:t xml:space="preserve"> </w:t>
      </w:r>
      <w:r w:rsidR="00EE5AB5" w:rsidRPr="008E6252">
        <w:rPr>
          <w:rFonts w:ascii="Calibri" w:hAnsi="Calibri" w:cs="Calibri"/>
          <w:sz w:val="24"/>
          <w:szCs w:val="24"/>
        </w:rPr>
        <w:t>ressources disponibles</w:t>
      </w:r>
      <w:r w:rsidR="00EE5AB5">
        <w:rPr>
          <w:rFonts w:ascii="Calibri" w:hAnsi="Calibri" w:cs="Calibri"/>
          <w:sz w:val="24"/>
          <w:szCs w:val="24"/>
        </w:rPr>
        <w:t> ;</w:t>
      </w:r>
    </w:p>
    <w:p w14:paraId="29657DB1" w14:textId="5D24EE81" w:rsidR="008129E9" w:rsidRPr="00BB6476" w:rsidRDefault="00EE5AB5" w:rsidP="00A97663">
      <w:pPr>
        <w:pStyle w:val="Paragraphedeliste"/>
        <w:numPr>
          <w:ilvl w:val="0"/>
          <w:numId w:val="54"/>
        </w:numPr>
        <w:autoSpaceDE w:val="0"/>
        <w:autoSpaceDN w:val="0"/>
        <w:adjustRightInd w:val="0"/>
        <w:spacing w:after="0"/>
        <w:rPr>
          <w:rFonts w:cs="Calibri-Bold"/>
          <w:bCs/>
          <w:sz w:val="24"/>
          <w:szCs w:val="24"/>
        </w:rPr>
      </w:pPr>
      <w:r w:rsidRPr="00BB6476">
        <w:rPr>
          <w:rFonts w:cs="Calibri-Bold"/>
          <w:bCs/>
          <w:sz w:val="24"/>
          <w:szCs w:val="24"/>
        </w:rPr>
        <w:t>Le f</w:t>
      </w:r>
      <w:r w:rsidR="008E6252" w:rsidRPr="00BB6476">
        <w:rPr>
          <w:rFonts w:cs="Calibri-Bold"/>
          <w:bCs/>
          <w:sz w:val="24"/>
          <w:szCs w:val="24"/>
        </w:rPr>
        <w:t>ocus sur la mise en œuvre</w:t>
      </w:r>
      <w:r w:rsidRPr="00BB6476">
        <w:rPr>
          <w:rFonts w:cs="Calibri-Bold"/>
          <w:bCs/>
          <w:sz w:val="24"/>
          <w:szCs w:val="24"/>
        </w:rPr>
        <w:t xml:space="preserve">, </w:t>
      </w:r>
      <w:r w:rsidR="008E6252" w:rsidRPr="00BB6476">
        <w:rPr>
          <w:rFonts w:cs="Calibri-Bold"/>
          <w:bCs/>
          <w:sz w:val="24"/>
          <w:szCs w:val="24"/>
        </w:rPr>
        <w:t>le long terme</w:t>
      </w:r>
      <w:r w:rsidRPr="00BB6476">
        <w:rPr>
          <w:rFonts w:cs="Calibri-Bold"/>
          <w:bCs/>
          <w:sz w:val="24"/>
          <w:szCs w:val="24"/>
        </w:rPr>
        <w:t xml:space="preserve"> et la redevabilité.</w:t>
      </w:r>
    </w:p>
    <w:p w14:paraId="6CDEA54D" w14:textId="5BDF7D44" w:rsidR="00BB6476" w:rsidRDefault="00BB6476" w:rsidP="00A97663">
      <w:pPr>
        <w:pStyle w:val="Paragraphedeliste"/>
        <w:numPr>
          <w:ilvl w:val="1"/>
          <w:numId w:val="109"/>
        </w:numPr>
        <w:autoSpaceDE w:val="0"/>
        <w:autoSpaceDN w:val="0"/>
        <w:adjustRightInd w:val="0"/>
        <w:spacing w:after="0" w:line="240" w:lineRule="auto"/>
        <w:rPr>
          <w:rFonts w:ascii="Calibri" w:hAnsi="Calibri" w:cs="Calibri"/>
          <w:sz w:val="24"/>
          <w:szCs w:val="24"/>
        </w:rPr>
      </w:pPr>
      <w:r w:rsidRPr="00BB6476">
        <w:rPr>
          <w:rFonts w:ascii="Calibri" w:hAnsi="Calibri" w:cs="Calibri"/>
          <w:sz w:val="24"/>
          <w:szCs w:val="24"/>
        </w:rPr>
        <w:t>LE RESULTAT ATTENDU</w:t>
      </w:r>
    </w:p>
    <w:p w14:paraId="27D57FAF" w14:textId="486170A5" w:rsidR="00BB6476" w:rsidRDefault="00BB6476" w:rsidP="00F926BF">
      <w:pPr>
        <w:autoSpaceDE w:val="0"/>
        <w:autoSpaceDN w:val="0"/>
        <w:adjustRightInd w:val="0"/>
        <w:spacing w:after="0"/>
        <w:ind w:left="360"/>
        <w:jc w:val="both"/>
        <w:rPr>
          <w:rFonts w:ascii="Calibri" w:hAnsi="Calibri" w:cs="Calibri"/>
          <w:sz w:val="24"/>
          <w:szCs w:val="24"/>
        </w:rPr>
      </w:pPr>
      <w:r>
        <w:rPr>
          <w:rFonts w:ascii="Calibri" w:hAnsi="Calibri" w:cs="Calibri"/>
          <w:sz w:val="24"/>
          <w:szCs w:val="24"/>
        </w:rPr>
        <w:t>Le résultat attendu de la mise en œuvre de cette stratégie est une réduction significative de la mortalité maternelle, néo-natale et infanto-juvénile ainsi qu’une amélioration significative de la santé des adolescents/jeunes par une réduction significative des facteurs de risques.</w:t>
      </w:r>
    </w:p>
    <w:p w14:paraId="5D2B4DAB" w14:textId="0A7293CD" w:rsidR="00BB6476" w:rsidRDefault="00F926BF" w:rsidP="00F926BF">
      <w:pPr>
        <w:shd w:val="clear" w:color="auto" w:fill="C6D9F1" w:themeFill="text2" w:themeFillTint="33"/>
        <w:autoSpaceDE w:val="0"/>
        <w:autoSpaceDN w:val="0"/>
        <w:adjustRightInd w:val="0"/>
        <w:spacing w:after="0"/>
        <w:ind w:left="360"/>
        <w:jc w:val="both"/>
        <w:rPr>
          <w:rFonts w:ascii="Calibri" w:hAnsi="Calibri" w:cs="Calibri"/>
          <w:sz w:val="24"/>
          <w:szCs w:val="24"/>
        </w:rPr>
      </w:pPr>
      <w:r>
        <w:rPr>
          <w:rFonts w:ascii="Calibri" w:hAnsi="Calibri" w:cs="Calibri"/>
          <w:sz w:val="24"/>
          <w:szCs w:val="24"/>
        </w:rPr>
        <w:t xml:space="preserve">D’ici 2023, Le scénario moyen choisi permettra principalement </w:t>
      </w:r>
      <w:r w:rsidR="00BB6476">
        <w:rPr>
          <w:rFonts w:ascii="Calibri" w:hAnsi="Calibri" w:cs="Calibri"/>
          <w:sz w:val="24"/>
          <w:szCs w:val="24"/>
        </w:rPr>
        <w:t>de réduire la mortalité maternelle de</w:t>
      </w:r>
      <w:r>
        <w:rPr>
          <w:rFonts w:ascii="Calibri" w:hAnsi="Calibri" w:cs="Calibri"/>
          <w:sz w:val="24"/>
          <w:szCs w:val="24"/>
        </w:rPr>
        <w:t xml:space="preserve"> 330 à 265 décès maternels/100 000 naissances vivantes,</w:t>
      </w:r>
      <w:r w:rsidR="00BB6476">
        <w:rPr>
          <w:rFonts w:ascii="Calibri" w:hAnsi="Calibri" w:cs="Calibri"/>
          <w:sz w:val="24"/>
          <w:szCs w:val="24"/>
        </w:rPr>
        <w:t xml:space="preserve"> la mortalité néo-natale de</w:t>
      </w:r>
      <w:r>
        <w:rPr>
          <w:rFonts w:ascii="Calibri" w:hAnsi="Calibri" w:cs="Calibri"/>
          <w:sz w:val="24"/>
          <w:szCs w:val="24"/>
        </w:rPr>
        <w:t xml:space="preserve"> 23</w:t>
      </w:r>
      <w:r w:rsidR="00BB6476">
        <w:rPr>
          <w:rFonts w:ascii="Calibri" w:hAnsi="Calibri" w:cs="Calibri"/>
          <w:sz w:val="24"/>
          <w:szCs w:val="24"/>
        </w:rPr>
        <w:t xml:space="preserve"> à</w:t>
      </w:r>
      <w:r>
        <w:rPr>
          <w:rFonts w:ascii="Calibri" w:hAnsi="Calibri" w:cs="Calibri"/>
          <w:sz w:val="24"/>
          <w:szCs w:val="24"/>
        </w:rPr>
        <w:t xml:space="preserve"> 17 pour 1000 et</w:t>
      </w:r>
      <w:r w:rsidR="00BB6476">
        <w:rPr>
          <w:rFonts w:ascii="Calibri" w:hAnsi="Calibri" w:cs="Calibri"/>
          <w:sz w:val="24"/>
          <w:szCs w:val="24"/>
        </w:rPr>
        <w:t xml:space="preserve"> la mortalité infanto-juvénile de </w:t>
      </w:r>
      <w:r>
        <w:rPr>
          <w:rFonts w:ascii="Calibri" w:hAnsi="Calibri" w:cs="Calibri"/>
          <w:sz w:val="24"/>
          <w:szCs w:val="24"/>
        </w:rPr>
        <w:t xml:space="preserve">82 </w:t>
      </w:r>
      <w:r w:rsidR="00BB6476">
        <w:rPr>
          <w:rFonts w:ascii="Calibri" w:hAnsi="Calibri" w:cs="Calibri"/>
          <w:sz w:val="24"/>
          <w:szCs w:val="24"/>
        </w:rPr>
        <w:t xml:space="preserve">à </w:t>
      </w:r>
      <w:r>
        <w:rPr>
          <w:rFonts w:ascii="Calibri" w:hAnsi="Calibri" w:cs="Calibri"/>
          <w:sz w:val="24"/>
          <w:szCs w:val="24"/>
        </w:rPr>
        <w:t>51 pour 1000.</w:t>
      </w:r>
    </w:p>
    <w:p w14:paraId="1E09C2FC" w14:textId="77777777" w:rsidR="00BB6476" w:rsidRPr="00BB6476" w:rsidRDefault="00BB6476" w:rsidP="00BB6476">
      <w:pPr>
        <w:autoSpaceDE w:val="0"/>
        <w:autoSpaceDN w:val="0"/>
        <w:adjustRightInd w:val="0"/>
        <w:spacing w:after="0"/>
        <w:ind w:left="360"/>
        <w:rPr>
          <w:rFonts w:ascii="Calibri" w:hAnsi="Calibri" w:cs="Calibri"/>
          <w:sz w:val="24"/>
          <w:szCs w:val="24"/>
        </w:rPr>
      </w:pPr>
    </w:p>
    <w:p w14:paraId="7DEA1159" w14:textId="7F0B3B34" w:rsidR="007F57BE" w:rsidRPr="00F926BF" w:rsidRDefault="00EB1DF2" w:rsidP="00A97663">
      <w:pPr>
        <w:pStyle w:val="Paragraphedeliste"/>
        <w:numPr>
          <w:ilvl w:val="1"/>
          <w:numId w:val="109"/>
        </w:numPr>
        <w:autoSpaceDE w:val="0"/>
        <w:autoSpaceDN w:val="0"/>
        <w:adjustRightInd w:val="0"/>
        <w:spacing w:after="0" w:line="240" w:lineRule="auto"/>
        <w:rPr>
          <w:rFonts w:cs="Calibri-Bold"/>
          <w:bCs/>
          <w:sz w:val="24"/>
          <w:szCs w:val="24"/>
        </w:rPr>
      </w:pPr>
      <w:r w:rsidRPr="00F926BF">
        <w:rPr>
          <w:rFonts w:ascii="Calibri" w:hAnsi="Calibri" w:cs="Calibri"/>
          <w:sz w:val="24"/>
          <w:szCs w:val="24"/>
        </w:rPr>
        <w:t>ZONE D’INTERVENTION</w:t>
      </w:r>
    </w:p>
    <w:p w14:paraId="059059DF" w14:textId="1105233E" w:rsidR="008129E9" w:rsidRDefault="00AF3B0E" w:rsidP="00AF3B0E">
      <w:pPr>
        <w:widowControl w:val="0"/>
        <w:tabs>
          <w:tab w:val="left" w:pos="9498"/>
        </w:tabs>
        <w:autoSpaceDE w:val="0"/>
        <w:autoSpaceDN w:val="0"/>
        <w:adjustRightInd w:val="0"/>
        <w:spacing w:before="32" w:after="0"/>
        <w:ind w:right="-1"/>
        <w:rPr>
          <w:rFonts w:ascii="Calibri" w:hAnsi="Calibri" w:cs="Calibri"/>
          <w:sz w:val="24"/>
          <w:szCs w:val="24"/>
        </w:rPr>
      </w:pPr>
      <w:r>
        <w:rPr>
          <w:rFonts w:ascii="Calibri" w:hAnsi="Calibri" w:cs="Calibri"/>
          <w:sz w:val="24"/>
          <w:szCs w:val="24"/>
        </w:rPr>
        <w:t>La zone d’intervention sur base de 15 indicateurs pour identifier les Régions défavorisées</w:t>
      </w:r>
      <w:r w:rsidR="007069D4">
        <w:rPr>
          <w:rFonts w:ascii="Calibri" w:hAnsi="Calibri" w:cs="Calibri"/>
          <w:sz w:val="24"/>
          <w:szCs w:val="24"/>
        </w:rPr>
        <w:t xml:space="preserve"> (Voir Tableau détaillé en Annexe 2) </w:t>
      </w:r>
      <w:r>
        <w:rPr>
          <w:rFonts w:ascii="Calibri" w:hAnsi="Calibri" w:cs="Calibri"/>
          <w:sz w:val="24"/>
          <w:szCs w:val="24"/>
        </w:rPr>
        <w:t> :</w:t>
      </w:r>
    </w:p>
    <w:p w14:paraId="306C2EC3" w14:textId="48D4ADE9" w:rsidR="005178ED" w:rsidRPr="00AC7B50" w:rsidRDefault="005178ED" w:rsidP="005178ED">
      <w:pPr>
        <w:widowControl w:val="0"/>
        <w:tabs>
          <w:tab w:val="left" w:pos="9498"/>
        </w:tabs>
        <w:autoSpaceDE w:val="0"/>
        <w:autoSpaceDN w:val="0"/>
        <w:adjustRightInd w:val="0"/>
        <w:spacing w:before="32" w:after="0"/>
        <w:ind w:right="-1"/>
        <w:rPr>
          <w:rFonts w:ascii="Calibri" w:hAnsi="Calibri" w:cs="Calibri"/>
          <w:i/>
          <w:sz w:val="24"/>
          <w:szCs w:val="24"/>
        </w:rPr>
      </w:pPr>
      <w:r w:rsidRPr="00AC7B50">
        <w:rPr>
          <w:rFonts w:ascii="Calibri" w:hAnsi="Calibri" w:cs="Calibri"/>
          <w:i/>
          <w:sz w:val="24"/>
          <w:szCs w:val="24"/>
        </w:rPr>
        <w:t>Déterminants de la santé</w:t>
      </w:r>
    </w:p>
    <w:p w14:paraId="5215FABE" w14:textId="122F01FE" w:rsidR="00AF3B0E" w:rsidRPr="005178ED" w:rsidRDefault="00AF3B0E" w:rsidP="00A97663">
      <w:pPr>
        <w:pStyle w:val="Paragraphedeliste"/>
        <w:widowControl w:val="0"/>
        <w:numPr>
          <w:ilvl w:val="0"/>
          <w:numId w:val="84"/>
        </w:numPr>
        <w:tabs>
          <w:tab w:val="left" w:pos="9498"/>
        </w:tabs>
        <w:autoSpaceDE w:val="0"/>
        <w:autoSpaceDN w:val="0"/>
        <w:adjustRightInd w:val="0"/>
        <w:spacing w:before="32" w:after="0"/>
        <w:ind w:right="-1"/>
        <w:rPr>
          <w:rFonts w:ascii="Calibri" w:hAnsi="Calibri" w:cs="Calibri"/>
          <w:sz w:val="24"/>
          <w:szCs w:val="24"/>
        </w:rPr>
      </w:pPr>
      <w:r w:rsidRPr="005178ED">
        <w:rPr>
          <w:rFonts w:ascii="Calibri" w:hAnsi="Calibri" w:cs="Calibri"/>
          <w:sz w:val="24"/>
          <w:szCs w:val="24"/>
        </w:rPr>
        <w:t>Indice de pauvreté monétaire</w:t>
      </w:r>
    </w:p>
    <w:p w14:paraId="2771C0A9" w14:textId="678EA251" w:rsidR="00AF3B0E" w:rsidRPr="005178ED" w:rsidRDefault="00AF3B0E" w:rsidP="00A97663">
      <w:pPr>
        <w:pStyle w:val="Paragraphedeliste"/>
        <w:widowControl w:val="0"/>
        <w:numPr>
          <w:ilvl w:val="0"/>
          <w:numId w:val="84"/>
        </w:numPr>
        <w:tabs>
          <w:tab w:val="left" w:pos="9498"/>
        </w:tabs>
        <w:autoSpaceDE w:val="0"/>
        <w:autoSpaceDN w:val="0"/>
        <w:adjustRightInd w:val="0"/>
        <w:spacing w:before="32" w:after="0"/>
        <w:ind w:right="-1"/>
        <w:rPr>
          <w:rFonts w:ascii="Calibri" w:hAnsi="Calibri" w:cs="Calibri"/>
          <w:sz w:val="24"/>
          <w:szCs w:val="24"/>
        </w:rPr>
      </w:pPr>
      <w:r w:rsidRPr="005178ED">
        <w:rPr>
          <w:rFonts w:ascii="Calibri" w:hAnsi="Calibri" w:cs="Calibri"/>
          <w:sz w:val="24"/>
          <w:szCs w:val="24"/>
        </w:rPr>
        <w:t xml:space="preserve">Accès à l’eau potable </w:t>
      </w:r>
    </w:p>
    <w:p w14:paraId="65F5F59C" w14:textId="222097B7" w:rsidR="00AF3B0E" w:rsidRDefault="00AF3B0E" w:rsidP="00A97663">
      <w:pPr>
        <w:pStyle w:val="Paragraphedeliste"/>
        <w:widowControl w:val="0"/>
        <w:numPr>
          <w:ilvl w:val="0"/>
          <w:numId w:val="84"/>
        </w:numPr>
        <w:tabs>
          <w:tab w:val="left" w:pos="9498"/>
        </w:tabs>
        <w:autoSpaceDE w:val="0"/>
        <w:autoSpaceDN w:val="0"/>
        <w:adjustRightInd w:val="0"/>
        <w:spacing w:before="32" w:after="0"/>
        <w:ind w:right="-1"/>
        <w:rPr>
          <w:rFonts w:ascii="Calibri" w:hAnsi="Calibri" w:cs="Calibri"/>
          <w:sz w:val="24"/>
          <w:szCs w:val="24"/>
        </w:rPr>
      </w:pPr>
      <w:r w:rsidRPr="005178ED">
        <w:rPr>
          <w:rFonts w:ascii="Calibri" w:hAnsi="Calibri" w:cs="Calibri"/>
          <w:sz w:val="24"/>
          <w:szCs w:val="24"/>
        </w:rPr>
        <w:t>Assainissement (% de la population qui défèquent à l’air libre)</w:t>
      </w:r>
    </w:p>
    <w:p w14:paraId="576919AD" w14:textId="70B91A19" w:rsidR="005178ED" w:rsidRDefault="00AC7B50" w:rsidP="005178ED">
      <w:pPr>
        <w:widowControl w:val="0"/>
        <w:tabs>
          <w:tab w:val="left" w:pos="9498"/>
        </w:tabs>
        <w:autoSpaceDE w:val="0"/>
        <w:autoSpaceDN w:val="0"/>
        <w:adjustRightInd w:val="0"/>
        <w:spacing w:before="32" w:after="0"/>
        <w:ind w:right="-1"/>
        <w:rPr>
          <w:rFonts w:ascii="Calibri" w:hAnsi="Calibri" w:cs="Calibri"/>
          <w:i/>
          <w:sz w:val="24"/>
          <w:szCs w:val="24"/>
        </w:rPr>
      </w:pPr>
      <w:r w:rsidRPr="00AC7B50">
        <w:rPr>
          <w:rFonts w:ascii="Calibri" w:hAnsi="Calibri" w:cs="Calibri"/>
          <w:i/>
          <w:sz w:val="24"/>
          <w:szCs w:val="24"/>
        </w:rPr>
        <w:t>Couverture géographique et f</w:t>
      </w:r>
      <w:r w:rsidR="005178ED" w:rsidRPr="00AC7B50">
        <w:rPr>
          <w:rFonts w:ascii="Calibri" w:hAnsi="Calibri" w:cs="Calibri"/>
          <w:i/>
          <w:sz w:val="24"/>
          <w:szCs w:val="24"/>
        </w:rPr>
        <w:t>onctionnement de</w:t>
      </w:r>
      <w:r w:rsidRPr="00AC7B50">
        <w:rPr>
          <w:rFonts w:ascii="Calibri" w:hAnsi="Calibri" w:cs="Calibri"/>
          <w:i/>
          <w:sz w:val="24"/>
          <w:szCs w:val="24"/>
        </w:rPr>
        <w:t>s services de santé</w:t>
      </w:r>
    </w:p>
    <w:p w14:paraId="082B2945" w14:textId="47F70E61" w:rsidR="00217983" w:rsidRPr="0015006E" w:rsidRDefault="00217983" w:rsidP="00A97663">
      <w:pPr>
        <w:pStyle w:val="Paragraphedeliste"/>
        <w:widowControl w:val="0"/>
        <w:numPr>
          <w:ilvl w:val="0"/>
          <w:numId w:val="85"/>
        </w:numPr>
        <w:tabs>
          <w:tab w:val="left" w:pos="9498"/>
        </w:tabs>
        <w:autoSpaceDE w:val="0"/>
        <w:autoSpaceDN w:val="0"/>
        <w:adjustRightInd w:val="0"/>
        <w:spacing w:before="32" w:after="0"/>
        <w:ind w:right="-1"/>
        <w:rPr>
          <w:rFonts w:ascii="Calibri" w:eastAsia="Times New Roman" w:hAnsi="Calibri" w:cs="Times New Roman"/>
          <w:color w:val="000000"/>
          <w:sz w:val="24"/>
          <w:szCs w:val="24"/>
          <w:lang w:eastAsia="fr-FR"/>
        </w:rPr>
      </w:pPr>
      <w:r w:rsidRPr="0015006E">
        <w:rPr>
          <w:rFonts w:ascii="Calibri" w:eastAsia="Times New Roman" w:hAnsi="Calibri" w:cs="Times New Roman"/>
          <w:color w:val="000000"/>
          <w:sz w:val="24"/>
          <w:szCs w:val="24"/>
          <w:lang w:eastAsia="fr-FR"/>
        </w:rPr>
        <w:t>Capacité opérationnelle du PF</w:t>
      </w:r>
    </w:p>
    <w:p w14:paraId="6BEF7840" w14:textId="4A6A5CDB" w:rsidR="00217983" w:rsidRPr="0015006E" w:rsidRDefault="00217983" w:rsidP="00A97663">
      <w:pPr>
        <w:pStyle w:val="Paragraphedeliste"/>
        <w:widowControl w:val="0"/>
        <w:numPr>
          <w:ilvl w:val="0"/>
          <w:numId w:val="85"/>
        </w:numPr>
        <w:tabs>
          <w:tab w:val="left" w:pos="9498"/>
        </w:tabs>
        <w:autoSpaceDE w:val="0"/>
        <w:autoSpaceDN w:val="0"/>
        <w:adjustRightInd w:val="0"/>
        <w:spacing w:before="32" w:after="0"/>
        <w:ind w:right="-1"/>
        <w:rPr>
          <w:rFonts w:ascii="Calibri" w:eastAsia="Times New Roman" w:hAnsi="Calibri" w:cs="Times New Roman"/>
          <w:color w:val="000000"/>
          <w:sz w:val="24"/>
          <w:szCs w:val="24"/>
          <w:lang w:eastAsia="fr-FR"/>
        </w:rPr>
      </w:pPr>
      <w:r w:rsidRPr="0015006E">
        <w:rPr>
          <w:rFonts w:ascii="Calibri" w:eastAsia="Times New Roman" w:hAnsi="Calibri" w:cs="Times New Roman"/>
          <w:color w:val="000000"/>
          <w:sz w:val="24"/>
          <w:szCs w:val="24"/>
          <w:lang w:eastAsia="fr-FR"/>
        </w:rPr>
        <w:t>Capacité opérationnelle des soins prénatals</w:t>
      </w:r>
    </w:p>
    <w:p w14:paraId="6D792CC0" w14:textId="49A0DE68" w:rsidR="00217983" w:rsidRPr="0015006E" w:rsidRDefault="00217983" w:rsidP="00A97663">
      <w:pPr>
        <w:pStyle w:val="Paragraphedeliste"/>
        <w:widowControl w:val="0"/>
        <w:numPr>
          <w:ilvl w:val="0"/>
          <w:numId w:val="85"/>
        </w:numPr>
        <w:tabs>
          <w:tab w:val="left" w:pos="9498"/>
        </w:tabs>
        <w:autoSpaceDE w:val="0"/>
        <w:autoSpaceDN w:val="0"/>
        <w:adjustRightInd w:val="0"/>
        <w:spacing w:before="32" w:after="0"/>
        <w:ind w:right="-1"/>
        <w:rPr>
          <w:rFonts w:ascii="Calibri" w:eastAsia="Times New Roman" w:hAnsi="Calibri" w:cs="Times New Roman"/>
          <w:color w:val="000000"/>
          <w:sz w:val="24"/>
          <w:szCs w:val="24"/>
          <w:lang w:eastAsia="fr-FR"/>
        </w:rPr>
      </w:pPr>
      <w:r w:rsidRPr="0015006E">
        <w:rPr>
          <w:rFonts w:ascii="Calibri" w:eastAsia="Times New Roman" w:hAnsi="Calibri" w:cs="Times New Roman"/>
          <w:color w:val="000000"/>
          <w:sz w:val="24"/>
          <w:szCs w:val="24"/>
          <w:lang w:eastAsia="fr-FR"/>
        </w:rPr>
        <w:t>Capacité opérationnelle SONUC</w:t>
      </w:r>
    </w:p>
    <w:p w14:paraId="3B81164C" w14:textId="1E7AB550" w:rsidR="00217983" w:rsidRPr="0015006E" w:rsidRDefault="00217983" w:rsidP="00A97663">
      <w:pPr>
        <w:pStyle w:val="Paragraphedeliste"/>
        <w:widowControl w:val="0"/>
        <w:numPr>
          <w:ilvl w:val="0"/>
          <w:numId w:val="85"/>
        </w:numPr>
        <w:tabs>
          <w:tab w:val="left" w:pos="9498"/>
        </w:tabs>
        <w:autoSpaceDE w:val="0"/>
        <w:autoSpaceDN w:val="0"/>
        <w:adjustRightInd w:val="0"/>
        <w:spacing w:before="32" w:after="0"/>
        <w:ind w:right="-1"/>
        <w:rPr>
          <w:rFonts w:ascii="Calibri" w:eastAsia="Times New Roman" w:hAnsi="Calibri" w:cs="Times New Roman"/>
          <w:color w:val="000000"/>
          <w:sz w:val="24"/>
          <w:szCs w:val="24"/>
          <w:lang w:eastAsia="fr-FR"/>
        </w:rPr>
      </w:pPr>
      <w:r w:rsidRPr="0015006E">
        <w:rPr>
          <w:rFonts w:ascii="Calibri" w:eastAsia="Times New Roman" w:hAnsi="Calibri" w:cs="Times New Roman"/>
          <w:color w:val="000000"/>
          <w:sz w:val="24"/>
          <w:szCs w:val="24"/>
          <w:lang w:eastAsia="fr-FR"/>
        </w:rPr>
        <w:t xml:space="preserve">Disponibilité </w:t>
      </w:r>
      <w:r w:rsidR="0015006E" w:rsidRPr="0015006E">
        <w:rPr>
          <w:rFonts w:ascii="Calibri" w:eastAsia="Times New Roman" w:hAnsi="Calibri" w:cs="Times New Roman"/>
          <w:color w:val="000000"/>
          <w:sz w:val="24"/>
          <w:szCs w:val="24"/>
          <w:lang w:eastAsia="fr-FR"/>
        </w:rPr>
        <w:t>Médicaments</w:t>
      </w:r>
      <w:r w:rsidRPr="0015006E">
        <w:rPr>
          <w:rFonts w:ascii="Calibri" w:eastAsia="Times New Roman" w:hAnsi="Calibri" w:cs="Times New Roman"/>
          <w:color w:val="000000"/>
          <w:sz w:val="24"/>
          <w:szCs w:val="24"/>
          <w:lang w:eastAsia="fr-FR"/>
        </w:rPr>
        <w:t xml:space="preserve"> essentiels enfants</w:t>
      </w:r>
    </w:p>
    <w:p w14:paraId="7B2F5C20" w14:textId="331AB44A" w:rsidR="0015006E" w:rsidRPr="0015006E" w:rsidRDefault="0015006E" w:rsidP="00A97663">
      <w:pPr>
        <w:pStyle w:val="Paragraphedeliste"/>
        <w:widowControl w:val="0"/>
        <w:numPr>
          <w:ilvl w:val="0"/>
          <w:numId w:val="85"/>
        </w:numPr>
        <w:tabs>
          <w:tab w:val="left" w:pos="9498"/>
        </w:tabs>
        <w:autoSpaceDE w:val="0"/>
        <w:autoSpaceDN w:val="0"/>
        <w:adjustRightInd w:val="0"/>
        <w:spacing w:before="32" w:after="0"/>
        <w:ind w:right="-1"/>
        <w:rPr>
          <w:rFonts w:ascii="Calibri" w:eastAsia="Times New Roman" w:hAnsi="Calibri" w:cs="Times New Roman"/>
          <w:color w:val="000000"/>
          <w:sz w:val="24"/>
          <w:szCs w:val="24"/>
          <w:lang w:eastAsia="fr-FR"/>
        </w:rPr>
      </w:pPr>
      <w:r w:rsidRPr="0015006E">
        <w:rPr>
          <w:rFonts w:ascii="Calibri" w:eastAsia="Times New Roman" w:hAnsi="Calibri" w:cs="Times New Roman"/>
          <w:color w:val="000000"/>
          <w:sz w:val="24"/>
          <w:szCs w:val="24"/>
          <w:lang w:eastAsia="fr-FR"/>
        </w:rPr>
        <w:t>Disponibilité Médicaments essentiels mère</w:t>
      </w:r>
    </w:p>
    <w:p w14:paraId="37B0A107" w14:textId="4E4C91E3" w:rsidR="00217983" w:rsidRPr="0015006E" w:rsidRDefault="0015006E" w:rsidP="00A97663">
      <w:pPr>
        <w:pStyle w:val="Paragraphedeliste"/>
        <w:widowControl w:val="0"/>
        <w:numPr>
          <w:ilvl w:val="0"/>
          <w:numId w:val="85"/>
        </w:numPr>
        <w:tabs>
          <w:tab w:val="left" w:pos="9498"/>
        </w:tabs>
        <w:autoSpaceDE w:val="0"/>
        <w:autoSpaceDN w:val="0"/>
        <w:adjustRightInd w:val="0"/>
        <w:spacing w:before="32" w:after="0"/>
        <w:ind w:right="-1"/>
        <w:rPr>
          <w:rFonts w:ascii="Calibri" w:eastAsia="Times New Roman" w:hAnsi="Calibri" w:cs="Times New Roman"/>
          <w:color w:val="000000"/>
          <w:sz w:val="24"/>
          <w:szCs w:val="24"/>
          <w:lang w:eastAsia="fr-FR"/>
        </w:rPr>
      </w:pPr>
      <w:r w:rsidRPr="0015006E">
        <w:rPr>
          <w:rFonts w:ascii="Calibri" w:eastAsia="Times New Roman" w:hAnsi="Calibri" w:cs="Times New Roman"/>
          <w:color w:val="000000"/>
          <w:sz w:val="24"/>
          <w:szCs w:val="24"/>
          <w:lang w:eastAsia="fr-FR"/>
        </w:rPr>
        <w:t>Capacité opérationnelle des services de soins aux adolescents</w:t>
      </w:r>
    </w:p>
    <w:p w14:paraId="06964FAD" w14:textId="60ECC519" w:rsidR="00AC7B50" w:rsidRPr="00AC7B50" w:rsidRDefault="00AC7B50" w:rsidP="00AC7B50">
      <w:pPr>
        <w:widowControl w:val="0"/>
        <w:tabs>
          <w:tab w:val="left" w:pos="9498"/>
        </w:tabs>
        <w:autoSpaceDE w:val="0"/>
        <w:autoSpaceDN w:val="0"/>
        <w:adjustRightInd w:val="0"/>
        <w:spacing w:after="0"/>
        <w:ind w:right="-1"/>
        <w:rPr>
          <w:rFonts w:ascii="Calibri" w:hAnsi="Calibri" w:cs="Calibri"/>
          <w:i/>
          <w:sz w:val="24"/>
          <w:szCs w:val="24"/>
        </w:rPr>
      </w:pPr>
      <w:r w:rsidRPr="00AC7B50">
        <w:rPr>
          <w:rFonts w:ascii="Calibri" w:hAnsi="Calibri" w:cs="Calibri"/>
          <w:i/>
          <w:sz w:val="24"/>
          <w:szCs w:val="24"/>
        </w:rPr>
        <w:lastRenderedPageBreak/>
        <w:t>Santé de la mère</w:t>
      </w:r>
    </w:p>
    <w:p w14:paraId="3C377F2F" w14:textId="65BEDAC2" w:rsidR="00D003CB" w:rsidRDefault="00D003CB" w:rsidP="00A97663">
      <w:pPr>
        <w:pStyle w:val="Paragraphedeliste"/>
        <w:widowControl w:val="0"/>
        <w:numPr>
          <w:ilvl w:val="0"/>
          <w:numId w:val="84"/>
        </w:numPr>
        <w:tabs>
          <w:tab w:val="left" w:pos="9498"/>
        </w:tabs>
        <w:autoSpaceDE w:val="0"/>
        <w:autoSpaceDN w:val="0"/>
        <w:adjustRightInd w:val="0"/>
        <w:spacing w:after="0"/>
        <w:ind w:right="-1"/>
        <w:rPr>
          <w:rFonts w:ascii="Calibri" w:hAnsi="Calibri" w:cs="Calibri"/>
          <w:sz w:val="24"/>
          <w:szCs w:val="24"/>
        </w:rPr>
      </w:pPr>
      <w:r w:rsidRPr="005178ED">
        <w:rPr>
          <w:rFonts w:ascii="Calibri" w:hAnsi="Calibri" w:cs="Calibri"/>
          <w:sz w:val="24"/>
          <w:szCs w:val="24"/>
        </w:rPr>
        <w:t>Taux de CPN4</w:t>
      </w:r>
    </w:p>
    <w:p w14:paraId="65DB2881" w14:textId="32B7AA08" w:rsidR="005178ED" w:rsidRDefault="005178ED" w:rsidP="00A97663">
      <w:pPr>
        <w:pStyle w:val="Paragraphedeliste"/>
        <w:numPr>
          <w:ilvl w:val="0"/>
          <w:numId w:val="84"/>
        </w:numPr>
        <w:spacing w:after="0"/>
        <w:rPr>
          <w:rFonts w:ascii="Calibri" w:eastAsia="Times New Roman" w:hAnsi="Calibri" w:cs="Times New Roman"/>
          <w:color w:val="000000"/>
          <w:sz w:val="24"/>
          <w:szCs w:val="24"/>
          <w:lang w:eastAsia="fr-FR"/>
        </w:rPr>
      </w:pPr>
      <w:r w:rsidRPr="005178ED">
        <w:rPr>
          <w:rFonts w:ascii="Calibri" w:eastAsia="Times New Roman" w:hAnsi="Calibri" w:cs="Times New Roman"/>
          <w:color w:val="000000"/>
          <w:sz w:val="24"/>
          <w:szCs w:val="24"/>
          <w:lang w:eastAsia="fr-FR"/>
        </w:rPr>
        <w:t>Taux d'utilisation de méthodes contraceptives</w:t>
      </w:r>
    </w:p>
    <w:p w14:paraId="548BA0B2" w14:textId="1F5ED524" w:rsidR="00D003CB" w:rsidRPr="005178ED" w:rsidRDefault="00D003CB" w:rsidP="00A97663">
      <w:pPr>
        <w:pStyle w:val="Paragraphedeliste"/>
        <w:widowControl w:val="0"/>
        <w:numPr>
          <w:ilvl w:val="0"/>
          <w:numId w:val="84"/>
        </w:numPr>
        <w:tabs>
          <w:tab w:val="left" w:pos="9498"/>
        </w:tabs>
        <w:autoSpaceDE w:val="0"/>
        <w:autoSpaceDN w:val="0"/>
        <w:adjustRightInd w:val="0"/>
        <w:spacing w:after="0"/>
        <w:ind w:right="-1"/>
        <w:rPr>
          <w:rFonts w:ascii="Calibri" w:hAnsi="Calibri" w:cs="Calibri"/>
          <w:sz w:val="24"/>
          <w:szCs w:val="24"/>
        </w:rPr>
      </w:pPr>
      <w:r w:rsidRPr="005178ED">
        <w:rPr>
          <w:rFonts w:ascii="Calibri" w:hAnsi="Calibri" w:cs="Calibri"/>
          <w:sz w:val="24"/>
          <w:szCs w:val="24"/>
        </w:rPr>
        <w:t>Accouchement</w:t>
      </w:r>
      <w:r w:rsidR="005178ED" w:rsidRPr="005178ED">
        <w:rPr>
          <w:rFonts w:ascii="Calibri" w:hAnsi="Calibri" w:cs="Calibri"/>
          <w:sz w:val="24"/>
          <w:szCs w:val="24"/>
        </w:rPr>
        <w:t>s</w:t>
      </w:r>
      <w:r w:rsidRPr="005178ED">
        <w:rPr>
          <w:rFonts w:ascii="Calibri" w:hAnsi="Calibri" w:cs="Calibri"/>
          <w:sz w:val="24"/>
          <w:szCs w:val="24"/>
        </w:rPr>
        <w:t xml:space="preserve"> assisté</w:t>
      </w:r>
      <w:r w:rsidR="005178ED" w:rsidRPr="005178ED">
        <w:rPr>
          <w:rFonts w:ascii="Calibri" w:hAnsi="Calibri" w:cs="Calibri"/>
          <w:sz w:val="24"/>
          <w:szCs w:val="24"/>
        </w:rPr>
        <w:t>s</w:t>
      </w:r>
      <w:r w:rsidRPr="005178ED">
        <w:rPr>
          <w:rFonts w:ascii="Calibri" w:hAnsi="Calibri" w:cs="Calibri"/>
          <w:sz w:val="24"/>
          <w:szCs w:val="24"/>
        </w:rPr>
        <w:t xml:space="preserve"> par </w:t>
      </w:r>
      <w:r w:rsidR="005178ED" w:rsidRPr="005178ED">
        <w:rPr>
          <w:rFonts w:ascii="Calibri" w:hAnsi="Calibri" w:cs="Calibri"/>
          <w:sz w:val="24"/>
          <w:szCs w:val="24"/>
        </w:rPr>
        <w:t xml:space="preserve">du </w:t>
      </w:r>
      <w:r w:rsidRPr="005178ED">
        <w:rPr>
          <w:rFonts w:ascii="Calibri" w:hAnsi="Calibri" w:cs="Calibri"/>
          <w:sz w:val="24"/>
          <w:szCs w:val="24"/>
        </w:rPr>
        <w:t>personnel qualifié</w:t>
      </w:r>
    </w:p>
    <w:p w14:paraId="4E1D8661" w14:textId="6C472A93" w:rsidR="005178ED" w:rsidRPr="005178ED" w:rsidRDefault="005178ED" w:rsidP="00A97663">
      <w:pPr>
        <w:pStyle w:val="Paragraphedeliste"/>
        <w:widowControl w:val="0"/>
        <w:numPr>
          <w:ilvl w:val="0"/>
          <w:numId w:val="84"/>
        </w:numPr>
        <w:tabs>
          <w:tab w:val="left" w:pos="9498"/>
        </w:tabs>
        <w:autoSpaceDE w:val="0"/>
        <w:autoSpaceDN w:val="0"/>
        <w:adjustRightInd w:val="0"/>
        <w:spacing w:after="0"/>
        <w:ind w:right="-1"/>
        <w:rPr>
          <w:rFonts w:ascii="Calibri" w:hAnsi="Calibri" w:cs="Calibri"/>
          <w:sz w:val="24"/>
          <w:szCs w:val="24"/>
        </w:rPr>
      </w:pPr>
      <w:r w:rsidRPr="005178ED">
        <w:rPr>
          <w:rFonts w:ascii="Calibri" w:hAnsi="Calibri" w:cs="Calibri"/>
          <w:sz w:val="24"/>
          <w:szCs w:val="24"/>
        </w:rPr>
        <w:t>Traitement préventif intermittent du paludisme chez la femme enceinte</w:t>
      </w:r>
    </w:p>
    <w:p w14:paraId="54A4C297" w14:textId="2A6986E1" w:rsidR="00217983" w:rsidRPr="00217983" w:rsidRDefault="005178ED" w:rsidP="00A97663">
      <w:pPr>
        <w:pStyle w:val="Paragraphedeliste"/>
        <w:numPr>
          <w:ilvl w:val="0"/>
          <w:numId w:val="84"/>
        </w:numPr>
        <w:spacing w:after="0"/>
        <w:rPr>
          <w:rFonts w:ascii="Calibri" w:eastAsia="Times New Roman" w:hAnsi="Calibri" w:cs="Times New Roman"/>
          <w:color w:val="000000"/>
          <w:sz w:val="24"/>
          <w:szCs w:val="24"/>
          <w:lang w:eastAsia="fr-FR"/>
        </w:rPr>
      </w:pPr>
      <w:r w:rsidRPr="005178ED">
        <w:rPr>
          <w:rFonts w:ascii="Calibri" w:eastAsia="Times New Roman" w:hAnsi="Calibri" w:cs="Times New Roman"/>
          <w:color w:val="000000"/>
          <w:sz w:val="24"/>
          <w:szCs w:val="24"/>
          <w:lang w:eastAsia="fr-FR"/>
        </w:rPr>
        <w:t>Consultations post-natales à 6 semaines</w:t>
      </w:r>
    </w:p>
    <w:p w14:paraId="4AD400C0" w14:textId="2A65CF2B" w:rsidR="00AC7B50" w:rsidRPr="00AC7B50" w:rsidRDefault="00AC7B50" w:rsidP="00AC7B50">
      <w:pPr>
        <w:spacing w:after="0"/>
        <w:rPr>
          <w:rFonts w:ascii="Calibri" w:eastAsia="Times New Roman" w:hAnsi="Calibri" w:cs="Times New Roman"/>
          <w:i/>
          <w:color w:val="000000"/>
          <w:sz w:val="24"/>
          <w:szCs w:val="24"/>
          <w:lang w:eastAsia="fr-FR"/>
        </w:rPr>
      </w:pPr>
      <w:r w:rsidRPr="00AC7B50">
        <w:rPr>
          <w:rFonts w:ascii="Calibri" w:eastAsia="Times New Roman" w:hAnsi="Calibri" w:cs="Times New Roman"/>
          <w:i/>
          <w:color w:val="000000"/>
          <w:sz w:val="24"/>
          <w:szCs w:val="24"/>
          <w:lang w:eastAsia="fr-FR"/>
        </w:rPr>
        <w:t>Santé de l’enfant</w:t>
      </w:r>
    </w:p>
    <w:p w14:paraId="5FD960F1" w14:textId="4320B512" w:rsidR="005178ED" w:rsidRPr="005178ED" w:rsidRDefault="005178ED" w:rsidP="00A97663">
      <w:pPr>
        <w:pStyle w:val="Paragraphedeliste"/>
        <w:numPr>
          <w:ilvl w:val="0"/>
          <w:numId w:val="84"/>
        </w:numPr>
        <w:spacing w:after="0"/>
        <w:rPr>
          <w:rFonts w:ascii="Calibri" w:eastAsia="Times New Roman" w:hAnsi="Calibri" w:cs="Times New Roman"/>
          <w:color w:val="000000"/>
          <w:sz w:val="24"/>
          <w:szCs w:val="24"/>
          <w:lang w:eastAsia="fr-FR"/>
        </w:rPr>
      </w:pPr>
      <w:r w:rsidRPr="005178ED">
        <w:rPr>
          <w:rFonts w:ascii="Calibri" w:eastAsia="Times New Roman" w:hAnsi="Calibri" w:cs="Times New Roman"/>
          <w:color w:val="000000"/>
          <w:sz w:val="24"/>
          <w:szCs w:val="24"/>
          <w:lang w:eastAsia="fr-FR"/>
        </w:rPr>
        <w:t>Allaitement maternel exclusif</w:t>
      </w:r>
    </w:p>
    <w:p w14:paraId="58CF47E8" w14:textId="2B3FD835" w:rsidR="005178ED" w:rsidRPr="005178ED" w:rsidRDefault="005178ED" w:rsidP="00A97663">
      <w:pPr>
        <w:pStyle w:val="Paragraphedeliste"/>
        <w:numPr>
          <w:ilvl w:val="0"/>
          <w:numId w:val="84"/>
        </w:numPr>
        <w:spacing w:after="0"/>
        <w:rPr>
          <w:rFonts w:ascii="Calibri" w:eastAsia="Times New Roman" w:hAnsi="Calibri" w:cs="Times New Roman"/>
          <w:color w:val="000000"/>
          <w:sz w:val="24"/>
          <w:szCs w:val="24"/>
          <w:lang w:eastAsia="fr-FR"/>
        </w:rPr>
      </w:pPr>
      <w:r w:rsidRPr="005178ED">
        <w:rPr>
          <w:rFonts w:ascii="Calibri" w:eastAsia="Times New Roman" w:hAnsi="Calibri" w:cs="Times New Roman"/>
          <w:color w:val="000000"/>
          <w:sz w:val="24"/>
          <w:szCs w:val="24"/>
          <w:lang w:eastAsia="fr-FR"/>
        </w:rPr>
        <w:t>Malnutrition chronique</w:t>
      </w:r>
    </w:p>
    <w:p w14:paraId="50830277" w14:textId="7256A940" w:rsidR="005178ED" w:rsidRDefault="005178ED" w:rsidP="00A97663">
      <w:pPr>
        <w:pStyle w:val="Paragraphedeliste"/>
        <w:numPr>
          <w:ilvl w:val="0"/>
          <w:numId w:val="84"/>
        </w:numPr>
        <w:spacing w:after="0"/>
        <w:rPr>
          <w:rFonts w:ascii="Calibri" w:eastAsia="Times New Roman" w:hAnsi="Calibri" w:cs="Times New Roman"/>
          <w:color w:val="000000"/>
          <w:sz w:val="24"/>
          <w:szCs w:val="24"/>
          <w:lang w:eastAsia="fr-FR"/>
        </w:rPr>
      </w:pPr>
      <w:r w:rsidRPr="005178ED">
        <w:rPr>
          <w:rFonts w:ascii="Calibri" w:eastAsia="Times New Roman" w:hAnsi="Calibri" w:cs="Times New Roman"/>
          <w:color w:val="000000"/>
          <w:sz w:val="24"/>
          <w:szCs w:val="24"/>
          <w:lang w:eastAsia="fr-FR"/>
        </w:rPr>
        <w:t>Enfants nés de mères VIH+ mis sous ARV préventifs</w:t>
      </w:r>
    </w:p>
    <w:p w14:paraId="01A7FA22" w14:textId="1133BE34" w:rsidR="00DE3D7D" w:rsidRPr="005178ED" w:rsidRDefault="00DE3D7D" w:rsidP="00A97663">
      <w:pPr>
        <w:pStyle w:val="Paragraphedeliste"/>
        <w:numPr>
          <w:ilvl w:val="0"/>
          <w:numId w:val="84"/>
        </w:numPr>
        <w:spacing w:after="0"/>
        <w:rPr>
          <w:rFonts w:ascii="Calibri" w:eastAsia="Times New Roman" w:hAnsi="Calibri" w:cs="Times New Roman"/>
          <w:color w:val="000000"/>
          <w:sz w:val="24"/>
          <w:szCs w:val="24"/>
          <w:lang w:eastAsia="fr-FR"/>
        </w:rPr>
      </w:pPr>
      <w:r>
        <w:rPr>
          <w:rFonts w:ascii="Calibri" w:eastAsia="Times New Roman" w:hAnsi="Calibri" w:cs="Times New Roman"/>
          <w:color w:val="000000"/>
          <w:sz w:val="24"/>
          <w:szCs w:val="24"/>
          <w:lang w:eastAsia="fr-FR"/>
        </w:rPr>
        <w:t>Enfant</w:t>
      </w:r>
      <w:r w:rsidR="00F257E4">
        <w:rPr>
          <w:rFonts w:ascii="Calibri" w:eastAsia="Times New Roman" w:hAnsi="Calibri" w:cs="Times New Roman"/>
          <w:color w:val="000000"/>
          <w:sz w:val="24"/>
          <w:szCs w:val="24"/>
          <w:lang w:eastAsia="fr-FR"/>
        </w:rPr>
        <w:t>s</w:t>
      </w:r>
      <w:r>
        <w:rPr>
          <w:rFonts w:ascii="Calibri" w:eastAsia="Times New Roman" w:hAnsi="Calibri" w:cs="Times New Roman"/>
          <w:color w:val="000000"/>
          <w:sz w:val="24"/>
          <w:szCs w:val="24"/>
          <w:lang w:eastAsia="fr-FR"/>
        </w:rPr>
        <w:t xml:space="preserve"> complètement vaccinés</w:t>
      </w:r>
    </w:p>
    <w:p w14:paraId="730A2A63" w14:textId="563C789F" w:rsidR="009E399F" w:rsidRDefault="00B74A24" w:rsidP="00AF3B0E">
      <w:pPr>
        <w:widowControl w:val="0"/>
        <w:tabs>
          <w:tab w:val="left" w:pos="9498"/>
        </w:tabs>
        <w:autoSpaceDE w:val="0"/>
        <w:autoSpaceDN w:val="0"/>
        <w:adjustRightInd w:val="0"/>
        <w:spacing w:before="32" w:after="0"/>
        <w:ind w:right="-1"/>
        <w:rPr>
          <w:rFonts w:ascii="Calibri" w:hAnsi="Calibri" w:cs="Calibri"/>
          <w:sz w:val="24"/>
          <w:szCs w:val="24"/>
        </w:rPr>
      </w:pPr>
      <w:r>
        <w:rPr>
          <w:rFonts w:ascii="Calibri" w:hAnsi="Calibri" w:cs="Calibri"/>
          <w:sz w:val="24"/>
          <w:szCs w:val="24"/>
        </w:rPr>
        <w:t>Les indicateurs couvrent quelques déterminants de la santé, la c</w:t>
      </w:r>
      <w:r w:rsidR="009E399F">
        <w:rPr>
          <w:rFonts w:ascii="Calibri" w:hAnsi="Calibri" w:cs="Calibri"/>
          <w:sz w:val="24"/>
          <w:szCs w:val="24"/>
        </w:rPr>
        <w:t>apacité opérationnelle relative à quelques interventions de SRMNEA-N.</w:t>
      </w:r>
    </w:p>
    <w:p w14:paraId="7795A079" w14:textId="77777777" w:rsidR="00FE31D8" w:rsidRDefault="009E399F" w:rsidP="00AF3B0E">
      <w:pPr>
        <w:widowControl w:val="0"/>
        <w:tabs>
          <w:tab w:val="left" w:pos="9498"/>
        </w:tabs>
        <w:autoSpaceDE w:val="0"/>
        <w:autoSpaceDN w:val="0"/>
        <w:adjustRightInd w:val="0"/>
        <w:spacing w:before="32" w:after="0"/>
        <w:ind w:right="-1"/>
        <w:rPr>
          <w:rFonts w:ascii="Calibri" w:hAnsi="Calibri" w:cs="Calibri"/>
          <w:sz w:val="24"/>
          <w:szCs w:val="24"/>
        </w:rPr>
      </w:pPr>
      <w:r>
        <w:rPr>
          <w:rFonts w:ascii="Calibri" w:hAnsi="Calibri" w:cs="Calibri"/>
          <w:sz w:val="24"/>
          <w:szCs w:val="24"/>
        </w:rPr>
        <w:t xml:space="preserve">La valeur de chaque indicateur dans une région est comparée à la moyenne nationale pour ce même indicateur. Une note de 1 est attribuée, lorsque cette valeur est égale ou supérieure à la moyenne nationale et une note de </w:t>
      </w:r>
      <w:r w:rsidR="00FE31D8">
        <w:rPr>
          <w:rFonts w:ascii="Calibri" w:hAnsi="Calibri" w:cs="Calibri"/>
          <w:sz w:val="24"/>
          <w:szCs w:val="24"/>
        </w:rPr>
        <w:t xml:space="preserve">0 lorsqu’elle inférieure à la moyenne nationale. Le score ainsi obtenu a permis de classer les régions en trois groupes : </w:t>
      </w:r>
    </w:p>
    <w:p w14:paraId="3AC62F1B" w14:textId="7026436C" w:rsidR="00FE31D8" w:rsidRPr="005229B9" w:rsidRDefault="00FE31D8" w:rsidP="00A97663">
      <w:pPr>
        <w:pStyle w:val="Paragraphedeliste"/>
        <w:widowControl w:val="0"/>
        <w:numPr>
          <w:ilvl w:val="0"/>
          <w:numId w:val="86"/>
        </w:numPr>
        <w:tabs>
          <w:tab w:val="left" w:pos="9498"/>
        </w:tabs>
        <w:autoSpaceDE w:val="0"/>
        <w:autoSpaceDN w:val="0"/>
        <w:adjustRightInd w:val="0"/>
        <w:spacing w:before="32" w:after="0"/>
        <w:ind w:right="-1"/>
        <w:rPr>
          <w:rFonts w:ascii="Calibri" w:hAnsi="Calibri" w:cs="Calibri"/>
          <w:sz w:val="24"/>
          <w:szCs w:val="24"/>
        </w:rPr>
      </w:pPr>
      <w:r w:rsidRPr="005229B9">
        <w:rPr>
          <w:rFonts w:ascii="Calibri" w:hAnsi="Calibri" w:cs="Calibri"/>
          <w:sz w:val="24"/>
          <w:szCs w:val="24"/>
        </w:rPr>
        <w:t xml:space="preserve">Priorité 1 : Correspond à un score n’atteignant pas 9, c’est-à-dire les régions où plus de la moitié des indicateurs n’atteignent pas la valeur de la moyenne nationale. </w:t>
      </w:r>
    </w:p>
    <w:p w14:paraId="59BDBE45" w14:textId="2878FF89" w:rsidR="00FE31D8" w:rsidRPr="005229B9" w:rsidRDefault="00FE31D8" w:rsidP="00A97663">
      <w:pPr>
        <w:pStyle w:val="Paragraphedeliste"/>
        <w:widowControl w:val="0"/>
        <w:numPr>
          <w:ilvl w:val="0"/>
          <w:numId w:val="86"/>
        </w:numPr>
        <w:tabs>
          <w:tab w:val="left" w:pos="9498"/>
        </w:tabs>
        <w:autoSpaceDE w:val="0"/>
        <w:autoSpaceDN w:val="0"/>
        <w:adjustRightInd w:val="0"/>
        <w:spacing w:before="32" w:after="0"/>
        <w:ind w:right="-1"/>
        <w:rPr>
          <w:rFonts w:ascii="Calibri" w:hAnsi="Calibri" w:cs="Calibri"/>
          <w:sz w:val="24"/>
          <w:szCs w:val="24"/>
        </w:rPr>
      </w:pPr>
      <w:r w:rsidRPr="005229B9">
        <w:rPr>
          <w:rFonts w:ascii="Calibri" w:hAnsi="Calibri" w:cs="Calibri"/>
          <w:sz w:val="24"/>
          <w:szCs w:val="24"/>
        </w:rPr>
        <w:t>Priorité 2 : Correspond à un score entre 9 et 11</w:t>
      </w:r>
      <w:r w:rsidR="005229B9">
        <w:rPr>
          <w:rFonts w:ascii="Calibri" w:hAnsi="Calibri" w:cs="Calibri"/>
          <w:sz w:val="24"/>
          <w:szCs w:val="24"/>
        </w:rPr>
        <w:t xml:space="preserve">. </w:t>
      </w:r>
    </w:p>
    <w:p w14:paraId="545359A9" w14:textId="06F58A56" w:rsidR="005229B9" w:rsidRDefault="00FE31D8" w:rsidP="00A97663">
      <w:pPr>
        <w:pStyle w:val="Paragraphedeliste"/>
        <w:widowControl w:val="0"/>
        <w:numPr>
          <w:ilvl w:val="0"/>
          <w:numId w:val="86"/>
        </w:numPr>
        <w:tabs>
          <w:tab w:val="left" w:pos="9498"/>
        </w:tabs>
        <w:autoSpaceDE w:val="0"/>
        <w:autoSpaceDN w:val="0"/>
        <w:adjustRightInd w:val="0"/>
        <w:spacing w:before="32" w:after="0"/>
        <w:ind w:right="-1"/>
        <w:rPr>
          <w:rFonts w:ascii="Calibri" w:hAnsi="Calibri" w:cs="Calibri"/>
          <w:sz w:val="24"/>
          <w:szCs w:val="24"/>
        </w:rPr>
      </w:pPr>
      <w:r w:rsidRPr="005229B9">
        <w:rPr>
          <w:rFonts w:ascii="Calibri" w:hAnsi="Calibri" w:cs="Calibri"/>
          <w:sz w:val="24"/>
          <w:szCs w:val="24"/>
        </w:rPr>
        <w:t xml:space="preserve">Priorité 3 : Correspond à un score égal ou supérieur à 12, càd que 2/3 </w:t>
      </w:r>
      <w:r w:rsidR="005229B9" w:rsidRPr="005229B9">
        <w:rPr>
          <w:rFonts w:ascii="Calibri" w:hAnsi="Calibri" w:cs="Calibri"/>
          <w:sz w:val="24"/>
          <w:szCs w:val="24"/>
        </w:rPr>
        <w:t>ou plus</w:t>
      </w:r>
      <w:r w:rsidRPr="005229B9">
        <w:rPr>
          <w:rFonts w:ascii="Calibri" w:hAnsi="Calibri" w:cs="Calibri"/>
          <w:sz w:val="24"/>
          <w:szCs w:val="24"/>
        </w:rPr>
        <w:t xml:space="preserve"> ont atteint une valeur </w:t>
      </w:r>
      <w:r w:rsidR="005229B9" w:rsidRPr="005229B9">
        <w:rPr>
          <w:rFonts w:ascii="Calibri" w:hAnsi="Calibri" w:cs="Calibri"/>
          <w:sz w:val="24"/>
          <w:szCs w:val="24"/>
        </w:rPr>
        <w:t>supérieure à la moyenne nationale</w:t>
      </w:r>
      <w:r w:rsidR="005229B9">
        <w:rPr>
          <w:rFonts w:ascii="Calibri" w:hAnsi="Calibri" w:cs="Calibri"/>
          <w:sz w:val="24"/>
          <w:szCs w:val="24"/>
        </w:rPr>
        <w:t xml:space="preserve">. </w:t>
      </w:r>
    </w:p>
    <w:p w14:paraId="14C8C1B6" w14:textId="77777777" w:rsidR="002163B8" w:rsidRDefault="002163B8" w:rsidP="002163B8">
      <w:pPr>
        <w:pStyle w:val="Paragraphedeliste"/>
        <w:widowControl w:val="0"/>
        <w:tabs>
          <w:tab w:val="left" w:pos="9498"/>
        </w:tabs>
        <w:autoSpaceDE w:val="0"/>
        <w:autoSpaceDN w:val="0"/>
        <w:adjustRightInd w:val="0"/>
        <w:spacing w:before="32" w:after="0"/>
        <w:ind w:right="-1"/>
        <w:rPr>
          <w:rFonts w:ascii="Calibri" w:hAnsi="Calibri" w:cs="Calibri"/>
          <w:sz w:val="24"/>
          <w:szCs w:val="24"/>
        </w:rPr>
      </w:pPr>
    </w:p>
    <w:tbl>
      <w:tblPr>
        <w:tblStyle w:val="Grilledutableau"/>
        <w:tblW w:w="0" w:type="auto"/>
        <w:tblLook w:val="04A0" w:firstRow="1" w:lastRow="0" w:firstColumn="1" w:lastColumn="0" w:noHBand="0" w:noVBand="1"/>
      </w:tblPr>
      <w:tblGrid>
        <w:gridCol w:w="2122"/>
        <w:gridCol w:w="6940"/>
      </w:tblGrid>
      <w:tr w:rsidR="002163B8" w14:paraId="54051D77" w14:textId="77777777" w:rsidTr="00227EE6">
        <w:tc>
          <w:tcPr>
            <w:tcW w:w="9062" w:type="dxa"/>
            <w:gridSpan w:val="2"/>
          </w:tcPr>
          <w:p w14:paraId="74E36E23" w14:textId="115D7670" w:rsidR="002163B8" w:rsidRDefault="002163B8" w:rsidP="005229B9">
            <w:pPr>
              <w:widowControl w:val="0"/>
              <w:tabs>
                <w:tab w:val="left" w:pos="9498"/>
              </w:tabs>
              <w:autoSpaceDE w:val="0"/>
              <w:autoSpaceDN w:val="0"/>
              <w:adjustRightInd w:val="0"/>
              <w:spacing w:before="32"/>
              <w:ind w:right="-1"/>
              <w:rPr>
                <w:rFonts w:ascii="Calibri" w:hAnsi="Calibri" w:cs="Calibri"/>
                <w:sz w:val="24"/>
                <w:szCs w:val="24"/>
              </w:rPr>
            </w:pPr>
            <w:r>
              <w:rPr>
                <w:rFonts w:ascii="Calibri" w:hAnsi="Calibri" w:cs="Calibri"/>
                <w:sz w:val="24"/>
                <w:szCs w:val="24"/>
              </w:rPr>
              <w:t>Tableau</w:t>
            </w:r>
            <w:r w:rsidR="00651794">
              <w:rPr>
                <w:rFonts w:ascii="Calibri" w:hAnsi="Calibri" w:cs="Calibri"/>
                <w:sz w:val="24"/>
                <w:szCs w:val="24"/>
              </w:rPr>
              <w:t xml:space="preserve"> 7</w:t>
            </w:r>
            <w:r>
              <w:rPr>
                <w:rFonts w:ascii="Calibri" w:hAnsi="Calibri" w:cs="Calibri"/>
                <w:sz w:val="24"/>
                <w:szCs w:val="24"/>
              </w:rPr>
              <w:t> : Classement des régions par priorité</w:t>
            </w:r>
          </w:p>
        </w:tc>
      </w:tr>
      <w:tr w:rsidR="002163B8" w14:paraId="7B5D7FE2" w14:textId="77777777" w:rsidTr="002163B8">
        <w:tc>
          <w:tcPr>
            <w:tcW w:w="2122" w:type="dxa"/>
          </w:tcPr>
          <w:p w14:paraId="6348410F" w14:textId="65AD39E9" w:rsidR="002163B8" w:rsidRDefault="002163B8" w:rsidP="005229B9">
            <w:pPr>
              <w:widowControl w:val="0"/>
              <w:tabs>
                <w:tab w:val="left" w:pos="9498"/>
              </w:tabs>
              <w:autoSpaceDE w:val="0"/>
              <w:autoSpaceDN w:val="0"/>
              <w:adjustRightInd w:val="0"/>
              <w:spacing w:before="32"/>
              <w:ind w:right="-1"/>
              <w:rPr>
                <w:rFonts w:ascii="Calibri" w:hAnsi="Calibri" w:cs="Calibri"/>
                <w:sz w:val="24"/>
                <w:szCs w:val="24"/>
              </w:rPr>
            </w:pPr>
            <w:r>
              <w:rPr>
                <w:rFonts w:ascii="Calibri" w:hAnsi="Calibri" w:cs="Calibri"/>
                <w:sz w:val="24"/>
                <w:szCs w:val="24"/>
              </w:rPr>
              <w:t>Priorité 1</w:t>
            </w:r>
          </w:p>
        </w:tc>
        <w:tc>
          <w:tcPr>
            <w:tcW w:w="6940" w:type="dxa"/>
          </w:tcPr>
          <w:p w14:paraId="65F4CCB1" w14:textId="5F4261DA" w:rsidR="002163B8" w:rsidRDefault="002163B8" w:rsidP="005229B9">
            <w:pPr>
              <w:widowControl w:val="0"/>
              <w:tabs>
                <w:tab w:val="left" w:pos="9498"/>
              </w:tabs>
              <w:autoSpaceDE w:val="0"/>
              <w:autoSpaceDN w:val="0"/>
              <w:adjustRightInd w:val="0"/>
              <w:spacing w:before="32"/>
              <w:ind w:right="-1"/>
              <w:rPr>
                <w:rFonts w:ascii="Calibri" w:hAnsi="Calibri" w:cs="Calibri"/>
                <w:sz w:val="24"/>
                <w:szCs w:val="24"/>
              </w:rPr>
            </w:pPr>
            <w:r>
              <w:rPr>
                <w:rFonts w:ascii="Calibri" w:hAnsi="Calibri" w:cs="Calibri"/>
                <w:sz w:val="24"/>
                <w:szCs w:val="24"/>
              </w:rPr>
              <w:t>Centre-Est, Centre-Ouest, Plateau-Central et Sahel</w:t>
            </w:r>
          </w:p>
        </w:tc>
      </w:tr>
      <w:tr w:rsidR="002163B8" w14:paraId="6E907270" w14:textId="77777777" w:rsidTr="002163B8">
        <w:tc>
          <w:tcPr>
            <w:tcW w:w="2122" w:type="dxa"/>
          </w:tcPr>
          <w:p w14:paraId="4CFFFC49" w14:textId="294E378C" w:rsidR="002163B8" w:rsidRDefault="002163B8" w:rsidP="005229B9">
            <w:pPr>
              <w:widowControl w:val="0"/>
              <w:tabs>
                <w:tab w:val="left" w:pos="9498"/>
              </w:tabs>
              <w:autoSpaceDE w:val="0"/>
              <w:autoSpaceDN w:val="0"/>
              <w:adjustRightInd w:val="0"/>
              <w:spacing w:before="32"/>
              <w:ind w:right="-1"/>
              <w:rPr>
                <w:rFonts w:ascii="Calibri" w:hAnsi="Calibri" w:cs="Calibri"/>
                <w:sz w:val="24"/>
                <w:szCs w:val="24"/>
              </w:rPr>
            </w:pPr>
            <w:r>
              <w:rPr>
                <w:rFonts w:ascii="Calibri" w:hAnsi="Calibri" w:cs="Calibri"/>
                <w:sz w:val="24"/>
                <w:szCs w:val="24"/>
              </w:rPr>
              <w:t>Priorité 2</w:t>
            </w:r>
          </w:p>
        </w:tc>
        <w:tc>
          <w:tcPr>
            <w:tcW w:w="6940" w:type="dxa"/>
          </w:tcPr>
          <w:p w14:paraId="137E47AD" w14:textId="7A8E1EF3" w:rsidR="002163B8" w:rsidRDefault="002163B8" w:rsidP="005229B9">
            <w:pPr>
              <w:widowControl w:val="0"/>
              <w:tabs>
                <w:tab w:val="left" w:pos="9498"/>
              </w:tabs>
              <w:autoSpaceDE w:val="0"/>
              <w:autoSpaceDN w:val="0"/>
              <w:adjustRightInd w:val="0"/>
              <w:spacing w:before="32"/>
              <w:ind w:right="-1"/>
              <w:rPr>
                <w:rFonts w:ascii="Calibri" w:hAnsi="Calibri" w:cs="Calibri"/>
                <w:sz w:val="24"/>
                <w:szCs w:val="24"/>
              </w:rPr>
            </w:pPr>
            <w:r w:rsidRPr="002163B8">
              <w:rPr>
                <w:rFonts w:ascii="Calibri" w:hAnsi="Calibri" w:cs="Calibri"/>
                <w:sz w:val="24"/>
                <w:szCs w:val="24"/>
              </w:rPr>
              <w:t xml:space="preserve">Boucle du Mouhoun, Cascades, Centre-Sud, Sud et Est </w:t>
            </w:r>
          </w:p>
        </w:tc>
      </w:tr>
      <w:tr w:rsidR="002163B8" w14:paraId="6595CF5A" w14:textId="77777777" w:rsidTr="002163B8">
        <w:tc>
          <w:tcPr>
            <w:tcW w:w="2122" w:type="dxa"/>
          </w:tcPr>
          <w:p w14:paraId="3683348A" w14:textId="15D6CE3B" w:rsidR="002163B8" w:rsidRDefault="002163B8" w:rsidP="005229B9">
            <w:pPr>
              <w:widowControl w:val="0"/>
              <w:tabs>
                <w:tab w:val="left" w:pos="9498"/>
              </w:tabs>
              <w:autoSpaceDE w:val="0"/>
              <w:autoSpaceDN w:val="0"/>
              <w:adjustRightInd w:val="0"/>
              <w:spacing w:before="32"/>
              <w:ind w:right="-1"/>
              <w:rPr>
                <w:rFonts w:ascii="Calibri" w:hAnsi="Calibri" w:cs="Calibri"/>
                <w:sz w:val="24"/>
                <w:szCs w:val="24"/>
              </w:rPr>
            </w:pPr>
            <w:r>
              <w:rPr>
                <w:rFonts w:ascii="Calibri" w:hAnsi="Calibri" w:cs="Calibri"/>
                <w:sz w:val="24"/>
                <w:szCs w:val="24"/>
              </w:rPr>
              <w:t>Priorité 3</w:t>
            </w:r>
          </w:p>
        </w:tc>
        <w:tc>
          <w:tcPr>
            <w:tcW w:w="6940" w:type="dxa"/>
          </w:tcPr>
          <w:p w14:paraId="628363BA" w14:textId="2210D37D" w:rsidR="002163B8" w:rsidRDefault="002163B8" w:rsidP="005229B9">
            <w:pPr>
              <w:widowControl w:val="0"/>
              <w:tabs>
                <w:tab w:val="left" w:pos="9498"/>
              </w:tabs>
              <w:autoSpaceDE w:val="0"/>
              <w:autoSpaceDN w:val="0"/>
              <w:adjustRightInd w:val="0"/>
              <w:spacing w:before="32"/>
              <w:ind w:right="-1"/>
              <w:rPr>
                <w:rFonts w:ascii="Calibri" w:hAnsi="Calibri" w:cs="Calibri"/>
                <w:sz w:val="24"/>
                <w:szCs w:val="24"/>
              </w:rPr>
            </w:pPr>
            <w:r>
              <w:rPr>
                <w:rFonts w:ascii="Calibri" w:hAnsi="Calibri" w:cs="Calibri"/>
                <w:sz w:val="24"/>
                <w:szCs w:val="24"/>
              </w:rPr>
              <w:t>Centre-Nord, Hauts Bassins, Nord, Sud-Ouest.</w:t>
            </w:r>
          </w:p>
        </w:tc>
      </w:tr>
    </w:tbl>
    <w:p w14:paraId="43A043DA" w14:textId="77777777" w:rsidR="005229B9" w:rsidRPr="005229B9" w:rsidRDefault="005229B9" w:rsidP="005229B9">
      <w:pPr>
        <w:widowControl w:val="0"/>
        <w:tabs>
          <w:tab w:val="left" w:pos="9498"/>
        </w:tabs>
        <w:autoSpaceDE w:val="0"/>
        <w:autoSpaceDN w:val="0"/>
        <w:adjustRightInd w:val="0"/>
        <w:spacing w:before="32" w:after="0"/>
        <w:ind w:right="-1"/>
        <w:rPr>
          <w:rFonts w:ascii="Calibri" w:hAnsi="Calibri" w:cs="Calibri"/>
          <w:sz w:val="24"/>
          <w:szCs w:val="24"/>
        </w:rPr>
      </w:pPr>
    </w:p>
    <w:p w14:paraId="0EFE34C3" w14:textId="77777777" w:rsidR="008129E9" w:rsidRDefault="008129E9" w:rsidP="008129E9">
      <w:pPr>
        <w:widowControl w:val="0"/>
        <w:tabs>
          <w:tab w:val="left" w:pos="9498"/>
        </w:tabs>
        <w:autoSpaceDE w:val="0"/>
        <w:autoSpaceDN w:val="0"/>
        <w:adjustRightInd w:val="0"/>
        <w:spacing w:before="32"/>
        <w:ind w:right="-1"/>
        <w:rPr>
          <w:rFonts w:ascii="Calibri" w:hAnsi="Calibri" w:cs="Calibri"/>
          <w:sz w:val="24"/>
          <w:szCs w:val="24"/>
        </w:rPr>
      </w:pPr>
    </w:p>
    <w:p w14:paraId="767F0E2C" w14:textId="02D38374" w:rsidR="002E6D93" w:rsidRPr="002E6D93" w:rsidRDefault="002E6D93" w:rsidP="002E6D93">
      <w:pPr>
        <w:pStyle w:val="Paragraphedeliste"/>
        <w:widowControl w:val="0"/>
        <w:numPr>
          <w:ilvl w:val="1"/>
          <w:numId w:val="4"/>
        </w:numPr>
        <w:tabs>
          <w:tab w:val="left" w:pos="9498"/>
        </w:tabs>
        <w:autoSpaceDE w:val="0"/>
        <w:autoSpaceDN w:val="0"/>
        <w:adjustRightInd w:val="0"/>
        <w:spacing w:before="32"/>
        <w:ind w:right="-1"/>
        <w:rPr>
          <w:rFonts w:ascii="Calibri" w:hAnsi="Calibri" w:cs="Calibri"/>
          <w:sz w:val="24"/>
          <w:szCs w:val="24"/>
        </w:rPr>
        <w:sectPr w:rsidR="002E6D93" w:rsidRPr="002E6D93">
          <w:footerReference w:type="default" r:id="rId41"/>
          <w:pgSz w:w="11906" w:h="16838"/>
          <w:pgMar w:top="1417" w:right="1417" w:bottom="1417" w:left="1417" w:header="708" w:footer="708" w:gutter="0"/>
          <w:cols w:space="708"/>
          <w:docGrid w:linePitch="360"/>
        </w:sectPr>
      </w:pPr>
    </w:p>
    <w:p w14:paraId="6A4E8979" w14:textId="036E3802" w:rsidR="00C0133D" w:rsidRPr="00AD5603" w:rsidRDefault="00C0133D" w:rsidP="00A97663">
      <w:pPr>
        <w:pStyle w:val="Paragraphedeliste"/>
        <w:numPr>
          <w:ilvl w:val="1"/>
          <w:numId w:val="109"/>
        </w:numPr>
        <w:autoSpaceDE w:val="0"/>
        <w:autoSpaceDN w:val="0"/>
        <w:adjustRightInd w:val="0"/>
        <w:spacing w:after="0" w:line="240" w:lineRule="auto"/>
        <w:rPr>
          <w:b/>
          <w:sz w:val="28"/>
          <w:szCs w:val="28"/>
        </w:rPr>
      </w:pPr>
      <w:r w:rsidRPr="00AD5603">
        <w:rPr>
          <w:b/>
          <w:sz w:val="28"/>
          <w:szCs w:val="28"/>
        </w:rPr>
        <w:lastRenderedPageBreak/>
        <w:t>LES PRIORITES</w:t>
      </w:r>
    </w:p>
    <w:tbl>
      <w:tblPr>
        <w:tblStyle w:val="Grilledutableau"/>
        <w:tblW w:w="9351" w:type="dxa"/>
        <w:shd w:val="clear" w:color="auto" w:fill="C6D9F1" w:themeFill="text2" w:themeFillTint="33"/>
        <w:tblLook w:val="04A0" w:firstRow="1" w:lastRow="0" w:firstColumn="1" w:lastColumn="0" w:noHBand="0" w:noVBand="1"/>
      </w:tblPr>
      <w:tblGrid>
        <w:gridCol w:w="3256"/>
        <w:gridCol w:w="6095"/>
      </w:tblGrid>
      <w:tr w:rsidR="00C0133D" w:rsidRPr="00614845" w14:paraId="19655CB9" w14:textId="77777777" w:rsidTr="00C0133D">
        <w:tc>
          <w:tcPr>
            <w:tcW w:w="9351" w:type="dxa"/>
            <w:gridSpan w:val="2"/>
            <w:shd w:val="clear" w:color="auto" w:fill="C6D9F1" w:themeFill="text2" w:themeFillTint="33"/>
          </w:tcPr>
          <w:p w14:paraId="61FCE1EA" w14:textId="35C2FC49" w:rsidR="00C0133D" w:rsidRPr="00614845" w:rsidRDefault="00BD2D4B" w:rsidP="00C0133D">
            <w:pPr>
              <w:jc w:val="both"/>
              <w:rPr>
                <w:rFonts w:ascii="Calibri" w:hAnsi="Calibri" w:cs="Calibri"/>
                <w:b/>
                <w:sz w:val="24"/>
                <w:szCs w:val="24"/>
              </w:rPr>
            </w:pPr>
            <w:bookmarkStart w:id="14" w:name="_Hlk527974714"/>
            <w:r>
              <w:rPr>
                <w:rFonts w:ascii="Calibri" w:hAnsi="Calibri" w:cs="Calibri"/>
                <w:b/>
                <w:sz w:val="24"/>
                <w:szCs w:val="24"/>
              </w:rPr>
              <w:t>Tableau</w:t>
            </w:r>
            <w:r w:rsidR="00C0133D" w:rsidRPr="00614845">
              <w:rPr>
                <w:rFonts w:ascii="Calibri" w:hAnsi="Calibri" w:cs="Calibri"/>
                <w:b/>
                <w:sz w:val="24"/>
                <w:szCs w:val="24"/>
              </w:rPr>
              <w:t> </w:t>
            </w:r>
            <w:r>
              <w:rPr>
                <w:rFonts w:ascii="Calibri" w:hAnsi="Calibri" w:cs="Calibri"/>
                <w:b/>
                <w:sz w:val="24"/>
                <w:szCs w:val="24"/>
              </w:rPr>
              <w:t>8</w:t>
            </w:r>
            <w:r w:rsidR="00C0133D" w:rsidRPr="00614845">
              <w:rPr>
                <w:rFonts w:ascii="Calibri" w:hAnsi="Calibri" w:cs="Calibri"/>
                <w:b/>
                <w:sz w:val="24"/>
                <w:szCs w:val="24"/>
              </w:rPr>
              <w:t>: VUE D’ENSEMBLE DES PRIORITES</w:t>
            </w:r>
          </w:p>
          <w:p w14:paraId="3D73AA9F" w14:textId="77777777" w:rsidR="00C0133D" w:rsidRPr="00614845" w:rsidRDefault="00C0133D" w:rsidP="00C0133D">
            <w:pPr>
              <w:jc w:val="both"/>
              <w:rPr>
                <w:rFonts w:ascii="Calibri" w:hAnsi="Calibri" w:cs="Calibri"/>
                <w:b/>
                <w:sz w:val="24"/>
                <w:szCs w:val="24"/>
              </w:rPr>
            </w:pPr>
          </w:p>
        </w:tc>
      </w:tr>
      <w:tr w:rsidR="00C0133D" w:rsidRPr="003D026B" w14:paraId="6273A257" w14:textId="77777777" w:rsidTr="00C0133D">
        <w:tc>
          <w:tcPr>
            <w:tcW w:w="9351" w:type="dxa"/>
            <w:gridSpan w:val="2"/>
            <w:shd w:val="clear" w:color="auto" w:fill="C6D9F1" w:themeFill="text2" w:themeFillTint="33"/>
          </w:tcPr>
          <w:p w14:paraId="27508700" w14:textId="77777777" w:rsidR="00C0133D" w:rsidRDefault="00C0133D" w:rsidP="00C0133D">
            <w:pPr>
              <w:jc w:val="both"/>
              <w:rPr>
                <w:b/>
                <w:sz w:val="20"/>
                <w:szCs w:val="20"/>
              </w:rPr>
            </w:pPr>
            <w:r w:rsidRPr="003D026B">
              <w:rPr>
                <w:b/>
                <w:sz w:val="20"/>
                <w:szCs w:val="20"/>
              </w:rPr>
              <w:t xml:space="preserve">PRIORITE 1 : AMELIORER LA COUVERTURE DES POPULATIONS CIBLES PAR LE PAQUET INTEGRE D’INTERVENTIONS SRMNEA-N  A HAUT IMPACT </w:t>
            </w:r>
          </w:p>
          <w:p w14:paraId="60A2D935" w14:textId="4491C572" w:rsidR="00B16FA0" w:rsidRPr="006030FC" w:rsidRDefault="00B16FA0" w:rsidP="00C0133D">
            <w:pPr>
              <w:jc w:val="both"/>
              <w:rPr>
                <w:b/>
                <w:sz w:val="20"/>
                <w:szCs w:val="20"/>
              </w:rPr>
            </w:pPr>
          </w:p>
        </w:tc>
      </w:tr>
      <w:tr w:rsidR="00C0133D" w:rsidRPr="003D026B" w14:paraId="4BA9FB11" w14:textId="77777777" w:rsidTr="00065EFA">
        <w:tc>
          <w:tcPr>
            <w:tcW w:w="3256" w:type="dxa"/>
            <w:shd w:val="clear" w:color="auto" w:fill="C6D9F1" w:themeFill="text2" w:themeFillTint="33"/>
          </w:tcPr>
          <w:p w14:paraId="0927C684" w14:textId="2D865B27" w:rsidR="00C0133D" w:rsidRPr="00ED659F" w:rsidRDefault="00C0133D" w:rsidP="00A97663">
            <w:pPr>
              <w:pStyle w:val="Paragraphedeliste"/>
              <w:numPr>
                <w:ilvl w:val="1"/>
                <w:numId w:val="80"/>
              </w:numPr>
              <w:jc w:val="both"/>
              <w:rPr>
                <w:sz w:val="20"/>
                <w:szCs w:val="20"/>
              </w:rPr>
            </w:pPr>
            <w:r w:rsidRPr="00ED659F">
              <w:rPr>
                <w:sz w:val="20"/>
                <w:szCs w:val="20"/>
              </w:rPr>
              <w:t>AMELIORER L’OFFRE DE SERVICES DU PAQUET SRMNEA-N A HAUT IMPACT</w:t>
            </w:r>
            <w:r w:rsidR="00065EFA">
              <w:rPr>
                <w:sz w:val="20"/>
                <w:szCs w:val="20"/>
              </w:rPr>
              <w:t>, INTEGRE ET DE QUALITE</w:t>
            </w:r>
          </w:p>
          <w:p w14:paraId="55F76070" w14:textId="77777777" w:rsidR="00C0133D" w:rsidRPr="003D026B" w:rsidRDefault="00C0133D" w:rsidP="00C0133D">
            <w:pPr>
              <w:jc w:val="both"/>
              <w:rPr>
                <w:rFonts w:ascii="Calibri" w:hAnsi="Calibri" w:cs="Calibri"/>
                <w:b/>
                <w:sz w:val="20"/>
                <w:szCs w:val="20"/>
              </w:rPr>
            </w:pPr>
          </w:p>
        </w:tc>
        <w:tc>
          <w:tcPr>
            <w:tcW w:w="6095" w:type="dxa"/>
            <w:shd w:val="clear" w:color="auto" w:fill="C6D9F1" w:themeFill="text2" w:themeFillTint="33"/>
          </w:tcPr>
          <w:p w14:paraId="0E3B8228" w14:textId="77777777" w:rsidR="00C0133D" w:rsidRPr="00614845" w:rsidRDefault="00C0133D" w:rsidP="00A97663">
            <w:pPr>
              <w:pStyle w:val="Paragraphedeliste"/>
              <w:numPr>
                <w:ilvl w:val="2"/>
                <w:numId w:val="80"/>
              </w:numPr>
              <w:jc w:val="both"/>
              <w:rPr>
                <w:sz w:val="20"/>
                <w:szCs w:val="20"/>
              </w:rPr>
            </w:pPr>
            <w:r w:rsidRPr="00614845">
              <w:rPr>
                <w:sz w:val="20"/>
                <w:szCs w:val="20"/>
              </w:rPr>
              <w:t>Offrir un paquet intégré d’interventions de SRMNEA-N  à haut impact et adapté à chaque étape du cycle de vie</w:t>
            </w:r>
          </w:p>
          <w:p w14:paraId="1BFCE75D" w14:textId="77777777" w:rsidR="00C0133D" w:rsidRPr="003D026B" w:rsidRDefault="00C0133D" w:rsidP="00A97663">
            <w:pPr>
              <w:pStyle w:val="Paragraphedeliste"/>
              <w:numPr>
                <w:ilvl w:val="2"/>
                <w:numId w:val="80"/>
              </w:numPr>
              <w:autoSpaceDE w:val="0"/>
              <w:autoSpaceDN w:val="0"/>
              <w:adjustRightInd w:val="0"/>
              <w:jc w:val="both"/>
              <w:rPr>
                <w:rFonts w:cs="Calibri"/>
                <w:sz w:val="20"/>
                <w:szCs w:val="20"/>
              </w:rPr>
            </w:pPr>
            <w:r w:rsidRPr="003D026B">
              <w:rPr>
                <w:rFonts w:cs="Calibri"/>
                <w:sz w:val="20"/>
                <w:szCs w:val="20"/>
              </w:rPr>
              <w:t>Augmenter la proportion des formations sanitaires du sous-secteur privé qui offrent des interventions de SRMNEA-N à travers</w:t>
            </w:r>
          </w:p>
          <w:p w14:paraId="5044A26A" w14:textId="77777777" w:rsidR="00C0133D" w:rsidRPr="003D026B" w:rsidRDefault="00C0133D" w:rsidP="00A97663">
            <w:pPr>
              <w:pStyle w:val="Paragraphedeliste"/>
              <w:numPr>
                <w:ilvl w:val="2"/>
                <w:numId w:val="80"/>
              </w:numPr>
              <w:autoSpaceDE w:val="0"/>
              <w:autoSpaceDN w:val="0"/>
              <w:adjustRightInd w:val="0"/>
              <w:jc w:val="both"/>
              <w:rPr>
                <w:rFonts w:ascii="Calibri" w:hAnsi="Calibri" w:cs="Calibri"/>
                <w:sz w:val="20"/>
                <w:szCs w:val="20"/>
              </w:rPr>
            </w:pPr>
            <w:r w:rsidRPr="003D026B">
              <w:rPr>
                <w:rFonts w:ascii="Calibri" w:hAnsi="Calibri" w:cs="Calibri"/>
                <w:sz w:val="20"/>
                <w:szCs w:val="20"/>
              </w:rPr>
              <w:t>Renforcement de l’offre de services intégrés et adaptés aux besoins des adolescent(e)s/ jeunes</w:t>
            </w:r>
          </w:p>
          <w:p w14:paraId="7417AF38" w14:textId="77777777" w:rsidR="00C0133D" w:rsidRPr="00ED659F" w:rsidRDefault="00C0133D" w:rsidP="00A97663">
            <w:pPr>
              <w:pStyle w:val="Paragraphedeliste"/>
              <w:numPr>
                <w:ilvl w:val="2"/>
                <w:numId w:val="80"/>
              </w:numPr>
              <w:autoSpaceDE w:val="0"/>
              <w:autoSpaceDN w:val="0"/>
              <w:adjustRightInd w:val="0"/>
              <w:jc w:val="both"/>
              <w:rPr>
                <w:rFonts w:ascii="Calibri" w:hAnsi="Calibri" w:cs="Calibri"/>
                <w:sz w:val="20"/>
                <w:szCs w:val="20"/>
              </w:rPr>
            </w:pPr>
            <w:r w:rsidRPr="003D026B">
              <w:rPr>
                <w:rFonts w:ascii="Calibri" w:hAnsi="Calibri" w:cs="Calibri"/>
                <w:sz w:val="20"/>
                <w:szCs w:val="20"/>
              </w:rPr>
              <w:t>Améliorer la qualité de l’offre de services par le passage à l’échelle de l’approche sécurité du patient.</w:t>
            </w:r>
          </w:p>
        </w:tc>
      </w:tr>
      <w:tr w:rsidR="00C0133D" w:rsidRPr="00ED659F" w14:paraId="7DE5C1FD" w14:textId="77777777" w:rsidTr="00065EFA">
        <w:tc>
          <w:tcPr>
            <w:tcW w:w="3256" w:type="dxa"/>
            <w:shd w:val="clear" w:color="auto" w:fill="C6D9F1" w:themeFill="text2" w:themeFillTint="33"/>
          </w:tcPr>
          <w:p w14:paraId="66717665" w14:textId="36466FF5" w:rsidR="00C0133D" w:rsidRPr="00065EFA" w:rsidRDefault="00C0133D" w:rsidP="00A97663">
            <w:pPr>
              <w:pStyle w:val="Paragraphedeliste"/>
              <w:numPr>
                <w:ilvl w:val="1"/>
                <w:numId w:val="80"/>
              </w:numPr>
              <w:jc w:val="both"/>
              <w:rPr>
                <w:sz w:val="20"/>
                <w:szCs w:val="20"/>
              </w:rPr>
            </w:pPr>
            <w:r w:rsidRPr="00ED659F">
              <w:rPr>
                <w:sz w:val="20"/>
                <w:szCs w:val="20"/>
              </w:rPr>
              <w:t>AMELIORER L’EQUITE ET LA DEMANDE DE SERVICES</w:t>
            </w:r>
            <w:r>
              <w:rPr>
                <w:sz w:val="20"/>
                <w:szCs w:val="20"/>
              </w:rPr>
              <w:t xml:space="preserve"> </w:t>
            </w:r>
            <w:r w:rsidRPr="00ED659F">
              <w:rPr>
                <w:sz w:val="20"/>
                <w:szCs w:val="20"/>
              </w:rPr>
              <w:t>SRMNEA-N A HAUT IMPACT</w:t>
            </w:r>
            <w:r w:rsidR="00065EFA">
              <w:rPr>
                <w:sz w:val="20"/>
                <w:szCs w:val="20"/>
              </w:rPr>
              <w:t xml:space="preserve"> AVEC UN RENFORCEMENT DE L’APPROCHE COMMUNAUTAIRE ET LA REDUCTION DES BARRIERES FINANCIERES</w:t>
            </w:r>
          </w:p>
        </w:tc>
        <w:tc>
          <w:tcPr>
            <w:tcW w:w="6095" w:type="dxa"/>
            <w:shd w:val="clear" w:color="auto" w:fill="C6D9F1" w:themeFill="text2" w:themeFillTint="33"/>
          </w:tcPr>
          <w:p w14:paraId="29D7FEA6" w14:textId="127E17D7" w:rsidR="00C0133D" w:rsidRPr="00ED659F" w:rsidRDefault="00C0133D" w:rsidP="00A97663">
            <w:pPr>
              <w:pStyle w:val="Paragraphedeliste"/>
              <w:numPr>
                <w:ilvl w:val="2"/>
                <w:numId w:val="80"/>
              </w:numPr>
              <w:autoSpaceDE w:val="0"/>
              <w:autoSpaceDN w:val="0"/>
              <w:adjustRightInd w:val="0"/>
              <w:jc w:val="both"/>
              <w:rPr>
                <w:rFonts w:cs="Calibri"/>
                <w:sz w:val="20"/>
                <w:szCs w:val="20"/>
              </w:rPr>
            </w:pPr>
            <w:r w:rsidRPr="00ED659F">
              <w:rPr>
                <w:rFonts w:cs="Calibri"/>
                <w:sz w:val="20"/>
                <w:szCs w:val="20"/>
              </w:rPr>
              <w:t xml:space="preserve">Renforcer l’approche communautaire pour atteindre et délivrer aux populations des zones éloignées ou d’accès difficile des interventions </w:t>
            </w:r>
          </w:p>
          <w:p w14:paraId="5E50E6BE" w14:textId="77777777" w:rsidR="00C0133D" w:rsidRPr="00ED659F" w:rsidRDefault="00C0133D" w:rsidP="00A97663">
            <w:pPr>
              <w:pStyle w:val="Paragraphedeliste"/>
              <w:numPr>
                <w:ilvl w:val="2"/>
                <w:numId w:val="80"/>
              </w:numPr>
              <w:autoSpaceDE w:val="0"/>
              <w:autoSpaceDN w:val="0"/>
              <w:adjustRightInd w:val="0"/>
              <w:jc w:val="both"/>
              <w:rPr>
                <w:rFonts w:cs="Calibri"/>
                <w:sz w:val="20"/>
                <w:szCs w:val="20"/>
              </w:rPr>
            </w:pPr>
            <w:r w:rsidRPr="00ED659F">
              <w:rPr>
                <w:rFonts w:cs="Calibri"/>
                <w:sz w:val="20"/>
                <w:szCs w:val="20"/>
              </w:rPr>
              <w:t>Renforcer la communication pour le changement pour une meilleure utilisation des SRMNEA et qui doit cibler entre autres</w:t>
            </w:r>
          </w:p>
          <w:p w14:paraId="60B0E8F4" w14:textId="77777777" w:rsidR="00C0133D" w:rsidRPr="00ED659F" w:rsidRDefault="00C0133D" w:rsidP="00A97663">
            <w:pPr>
              <w:pStyle w:val="Paragraphedeliste"/>
              <w:numPr>
                <w:ilvl w:val="2"/>
                <w:numId w:val="80"/>
              </w:numPr>
              <w:autoSpaceDE w:val="0"/>
              <w:autoSpaceDN w:val="0"/>
              <w:adjustRightInd w:val="0"/>
              <w:jc w:val="both"/>
              <w:rPr>
                <w:rFonts w:cs="Cambria"/>
                <w:sz w:val="20"/>
                <w:szCs w:val="20"/>
              </w:rPr>
            </w:pPr>
            <w:r w:rsidRPr="00ED659F">
              <w:rPr>
                <w:rFonts w:cs="Cambria"/>
                <w:sz w:val="20"/>
                <w:szCs w:val="20"/>
              </w:rPr>
              <w:t>Réduire les barrières financières à l’accès aux services de SRMNEA-N</w:t>
            </w:r>
          </w:p>
        </w:tc>
      </w:tr>
      <w:tr w:rsidR="00C0133D" w:rsidRPr="00B355E0" w14:paraId="493289EC" w14:textId="77777777" w:rsidTr="00C0133D">
        <w:tc>
          <w:tcPr>
            <w:tcW w:w="9351" w:type="dxa"/>
            <w:gridSpan w:val="2"/>
            <w:shd w:val="clear" w:color="auto" w:fill="C6D9F1" w:themeFill="text2" w:themeFillTint="33"/>
          </w:tcPr>
          <w:p w14:paraId="724FEF95" w14:textId="77777777" w:rsidR="00C0133D" w:rsidRDefault="00C0133D" w:rsidP="00C0133D">
            <w:pPr>
              <w:autoSpaceDE w:val="0"/>
              <w:autoSpaceDN w:val="0"/>
              <w:adjustRightInd w:val="0"/>
              <w:jc w:val="both"/>
              <w:rPr>
                <w:rFonts w:cs="Cambria"/>
                <w:b/>
                <w:sz w:val="20"/>
                <w:szCs w:val="20"/>
              </w:rPr>
            </w:pPr>
            <w:r w:rsidRPr="00B355E0">
              <w:rPr>
                <w:rFonts w:cs="Cambria"/>
                <w:b/>
                <w:sz w:val="20"/>
                <w:szCs w:val="20"/>
              </w:rPr>
              <w:t xml:space="preserve">PRIORITE 2 : RENFORCER LES PILIERS DU SYSTEME DE SANTE EN APPUI A L’OFFRE </w:t>
            </w:r>
            <w:r>
              <w:rPr>
                <w:rFonts w:cs="Cambria"/>
                <w:b/>
                <w:sz w:val="20"/>
                <w:szCs w:val="20"/>
              </w:rPr>
              <w:t xml:space="preserve">DE </w:t>
            </w:r>
            <w:r w:rsidRPr="00B355E0">
              <w:rPr>
                <w:rFonts w:cs="Cambria"/>
                <w:b/>
                <w:sz w:val="20"/>
                <w:szCs w:val="20"/>
              </w:rPr>
              <w:t>SRMNEA</w:t>
            </w:r>
          </w:p>
          <w:p w14:paraId="7FA71DE3" w14:textId="77777777" w:rsidR="00C0133D" w:rsidRPr="00B355E0" w:rsidRDefault="00C0133D" w:rsidP="00C0133D">
            <w:pPr>
              <w:autoSpaceDE w:val="0"/>
              <w:autoSpaceDN w:val="0"/>
              <w:adjustRightInd w:val="0"/>
              <w:jc w:val="both"/>
              <w:rPr>
                <w:rFonts w:cs="Cambria"/>
                <w:b/>
                <w:sz w:val="20"/>
                <w:szCs w:val="20"/>
              </w:rPr>
            </w:pPr>
          </w:p>
        </w:tc>
      </w:tr>
      <w:tr w:rsidR="00C0133D" w:rsidRPr="00ED659F" w14:paraId="010D8922" w14:textId="77777777" w:rsidTr="00065EFA">
        <w:tc>
          <w:tcPr>
            <w:tcW w:w="3256" w:type="dxa"/>
            <w:shd w:val="clear" w:color="auto" w:fill="C6D9F1" w:themeFill="text2" w:themeFillTint="33"/>
          </w:tcPr>
          <w:p w14:paraId="20F4387A" w14:textId="540C2708" w:rsidR="00C0133D" w:rsidRPr="00065EFA" w:rsidRDefault="00C0133D" w:rsidP="00A97663">
            <w:pPr>
              <w:pStyle w:val="Paragraphedeliste"/>
              <w:numPr>
                <w:ilvl w:val="1"/>
                <w:numId w:val="81"/>
              </w:numPr>
              <w:autoSpaceDE w:val="0"/>
              <w:autoSpaceDN w:val="0"/>
              <w:adjustRightInd w:val="0"/>
              <w:jc w:val="both"/>
              <w:rPr>
                <w:rFonts w:cs="Calibri"/>
                <w:sz w:val="20"/>
                <w:szCs w:val="20"/>
              </w:rPr>
            </w:pPr>
            <w:r w:rsidRPr="00614845">
              <w:rPr>
                <w:rFonts w:cs="Calibri"/>
                <w:sz w:val="20"/>
                <w:szCs w:val="20"/>
              </w:rPr>
              <w:t xml:space="preserve">ASSURER LA DISPONIBILITE D’UN PERSONNEL </w:t>
            </w:r>
            <w:r w:rsidRPr="00065EFA">
              <w:rPr>
                <w:rFonts w:cs="Calibri"/>
                <w:sz w:val="20"/>
                <w:szCs w:val="20"/>
              </w:rPr>
              <w:t>OPERATIONNEL</w:t>
            </w:r>
            <w:r w:rsidR="00B16FA0" w:rsidRPr="00065EFA">
              <w:rPr>
                <w:rFonts w:cs="Calibri"/>
                <w:sz w:val="20"/>
                <w:szCs w:val="20"/>
              </w:rPr>
              <w:t xml:space="preserve">, COMPETENT, </w:t>
            </w:r>
            <w:r w:rsidRPr="00065EFA">
              <w:rPr>
                <w:rFonts w:cs="Calibri"/>
                <w:sz w:val="20"/>
                <w:szCs w:val="20"/>
              </w:rPr>
              <w:t>MOTIVE</w:t>
            </w:r>
            <w:r w:rsidR="00065EFA">
              <w:rPr>
                <w:rFonts w:cs="Calibri"/>
                <w:sz w:val="20"/>
                <w:szCs w:val="20"/>
              </w:rPr>
              <w:t xml:space="preserve"> ET FORME NOTAMMENT A TRAVERS LE COACHING, LE MENTORAT, …</w:t>
            </w:r>
          </w:p>
        </w:tc>
        <w:tc>
          <w:tcPr>
            <w:tcW w:w="6095" w:type="dxa"/>
            <w:shd w:val="clear" w:color="auto" w:fill="C6D9F1" w:themeFill="text2" w:themeFillTint="33"/>
          </w:tcPr>
          <w:p w14:paraId="542757B1" w14:textId="77777777" w:rsidR="00C0133D" w:rsidRPr="00614845" w:rsidRDefault="00C0133D" w:rsidP="00A97663">
            <w:pPr>
              <w:pStyle w:val="Paragraphedeliste"/>
              <w:numPr>
                <w:ilvl w:val="2"/>
                <w:numId w:val="81"/>
              </w:numPr>
              <w:autoSpaceDE w:val="0"/>
              <w:autoSpaceDN w:val="0"/>
              <w:adjustRightInd w:val="0"/>
              <w:jc w:val="both"/>
              <w:rPr>
                <w:rFonts w:cs="Calibri"/>
                <w:sz w:val="20"/>
                <w:szCs w:val="20"/>
              </w:rPr>
            </w:pPr>
            <w:r w:rsidRPr="00614845">
              <w:rPr>
                <w:rFonts w:cs="Calibri"/>
                <w:sz w:val="20"/>
                <w:szCs w:val="20"/>
              </w:rPr>
              <w:t>Organiser des formations spécifiques de mise à niveau dans les domaines actuellement déficitaires</w:t>
            </w:r>
          </w:p>
          <w:p w14:paraId="045C040F" w14:textId="77777777" w:rsidR="00C0133D" w:rsidRPr="00ED659F" w:rsidRDefault="00C0133D" w:rsidP="00A97663">
            <w:pPr>
              <w:pStyle w:val="Paragraphedeliste"/>
              <w:numPr>
                <w:ilvl w:val="2"/>
                <w:numId w:val="81"/>
              </w:numPr>
              <w:autoSpaceDE w:val="0"/>
              <w:autoSpaceDN w:val="0"/>
              <w:adjustRightInd w:val="0"/>
              <w:jc w:val="both"/>
              <w:rPr>
                <w:rFonts w:cs="Calibri"/>
                <w:sz w:val="20"/>
                <w:szCs w:val="20"/>
              </w:rPr>
            </w:pPr>
            <w:r w:rsidRPr="00ED659F">
              <w:rPr>
                <w:rFonts w:cs="Calibri"/>
                <w:sz w:val="20"/>
                <w:szCs w:val="20"/>
              </w:rPr>
              <w:t>Intégrer dans les curricula de formation initiale les compétences pour l’offre de services SRMNEA de qualité </w:t>
            </w:r>
          </w:p>
          <w:p w14:paraId="5914765C" w14:textId="77777777" w:rsidR="00C0133D" w:rsidRPr="00ED659F" w:rsidRDefault="00C0133D" w:rsidP="00A97663">
            <w:pPr>
              <w:pStyle w:val="Paragraphedeliste"/>
              <w:numPr>
                <w:ilvl w:val="2"/>
                <w:numId w:val="81"/>
              </w:numPr>
              <w:autoSpaceDE w:val="0"/>
              <w:autoSpaceDN w:val="0"/>
              <w:adjustRightInd w:val="0"/>
              <w:jc w:val="both"/>
              <w:rPr>
                <w:rFonts w:cs="Calibri"/>
                <w:sz w:val="20"/>
                <w:szCs w:val="20"/>
              </w:rPr>
            </w:pPr>
            <w:r w:rsidRPr="00ED659F">
              <w:rPr>
                <w:rFonts w:cs="Calibri"/>
                <w:sz w:val="20"/>
                <w:szCs w:val="20"/>
              </w:rPr>
              <w:t>Assurer une distribution équitable des ressources humaines</w:t>
            </w:r>
          </w:p>
        </w:tc>
      </w:tr>
      <w:tr w:rsidR="00C0133D" w:rsidRPr="00ED659F" w14:paraId="426AE6F9" w14:textId="77777777" w:rsidTr="00065EFA">
        <w:tc>
          <w:tcPr>
            <w:tcW w:w="3256" w:type="dxa"/>
            <w:shd w:val="clear" w:color="auto" w:fill="C6D9F1" w:themeFill="text2" w:themeFillTint="33"/>
          </w:tcPr>
          <w:p w14:paraId="7F528B6E" w14:textId="77777777" w:rsidR="00C0133D" w:rsidRPr="00B355E0" w:rsidRDefault="00C0133D" w:rsidP="00A97663">
            <w:pPr>
              <w:pStyle w:val="Paragraphedeliste"/>
              <w:numPr>
                <w:ilvl w:val="1"/>
                <w:numId w:val="81"/>
              </w:numPr>
              <w:autoSpaceDE w:val="0"/>
              <w:autoSpaceDN w:val="0"/>
              <w:adjustRightInd w:val="0"/>
              <w:jc w:val="both"/>
              <w:rPr>
                <w:rFonts w:cs="Calibri"/>
                <w:sz w:val="20"/>
                <w:szCs w:val="20"/>
              </w:rPr>
            </w:pPr>
            <w:r w:rsidRPr="00ED659F">
              <w:rPr>
                <w:rFonts w:cs="Calibri"/>
                <w:sz w:val="20"/>
                <w:szCs w:val="20"/>
              </w:rPr>
              <w:t>ASSURER LA DISPONIBILITE D’INFRASTRUCTURES ET D’EQUIPEMENTS POUR L’OFFRE</w:t>
            </w:r>
            <w:r w:rsidRPr="00B355E0">
              <w:rPr>
                <w:rFonts w:cs="Calibri"/>
                <w:sz w:val="20"/>
                <w:szCs w:val="20"/>
              </w:rPr>
              <w:t xml:space="preserve"> DES SERVICES SRMNEA</w:t>
            </w:r>
          </w:p>
        </w:tc>
        <w:tc>
          <w:tcPr>
            <w:tcW w:w="6095" w:type="dxa"/>
            <w:shd w:val="clear" w:color="auto" w:fill="C6D9F1" w:themeFill="text2" w:themeFillTint="33"/>
          </w:tcPr>
          <w:p w14:paraId="1CBBF001" w14:textId="77777777" w:rsidR="00C0133D" w:rsidRPr="00B355E0" w:rsidRDefault="00C0133D" w:rsidP="00A97663">
            <w:pPr>
              <w:pStyle w:val="Paragraphedeliste"/>
              <w:numPr>
                <w:ilvl w:val="2"/>
                <w:numId w:val="81"/>
              </w:numPr>
              <w:autoSpaceDE w:val="0"/>
              <w:autoSpaceDN w:val="0"/>
              <w:adjustRightInd w:val="0"/>
              <w:jc w:val="both"/>
              <w:rPr>
                <w:rFonts w:cs="Calibri"/>
                <w:sz w:val="20"/>
                <w:szCs w:val="20"/>
              </w:rPr>
            </w:pPr>
            <w:r w:rsidRPr="00B355E0">
              <w:rPr>
                <w:rFonts w:cs="Calibri"/>
                <w:sz w:val="20"/>
                <w:szCs w:val="20"/>
              </w:rPr>
              <w:t xml:space="preserve">Compléter le réseau de CMA pour réduire la proportion de la population qui habitent à une distance dépassant 2 heures de marche d’un centre de référence : Construction </w:t>
            </w:r>
          </w:p>
          <w:p w14:paraId="70F30ABC" w14:textId="77777777" w:rsidR="00C0133D" w:rsidRPr="00B355E0" w:rsidRDefault="00C0133D" w:rsidP="00A97663">
            <w:pPr>
              <w:pStyle w:val="Paragraphedeliste"/>
              <w:numPr>
                <w:ilvl w:val="2"/>
                <w:numId w:val="81"/>
              </w:numPr>
              <w:autoSpaceDE w:val="0"/>
              <w:autoSpaceDN w:val="0"/>
              <w:adjustRightInd w:val="0"/>
              <w:jc w:val="both"/>
              <w:rPr>
                <w:rFonts w:cs="Calibri"/>
                <w:sz w:val="20"/>
                <w:szCs w:val="20"/>
              </w:rPr>
            </w:pPr>
            <w:r w:rsidRPr="00B355E0">
              <w:rPr>
                <w:rFonts w:cs="Calibri"/>
                <w:sz w:val="20"/>
                <w:szCs w:val="20"/>
              </w:rPr>
              <w:t xml:space="preserve">Augmenter le nombre de lits de maternité </w:t>
            </w:r>
          </w:p>
          <w:p w14:paraId="36EFCD3A" w14:textId="256F941C" w:rsidR="00C0133D" w:rsidRPr="00B355E0" w:rsidRDefault="00B16FA0" w:rsidP="00A97663">
            <w:pPr>
              <w:pStyle w:val="Paragraphedeliste"/>
              <w:numPr>
                <w:ilvl w:val="2"/>
                <w:numId w:val="81"/>
              </w:numPr>
              <w:autoSpaceDE w:val="0"/>
              <w:autoSpaceDN w:val="0"/>
              <w:adjustRightInd w:val="0"/>
              <w:jc w:val="both"/>
              <w:rPr>
                <w:rFonts w:cs="Calibri"/>
                <w:sz w:val="20"/>
                <w:szCs w:val="20"/>
              </w:rPr>
            </w:pPr>
            <w:r>
              <w:rPr>
                <w:rFonts w:cs="Calibri"/>
                <w:sz w:val="20"/>
                <w:szCs w:val="20"/>
              </w:rPr>
              <w:t>Renforc</w:t>
            </w:r>
            <w:r w:rsidR="00C0133D" w:rsidRPr="00B355E0">
              <w:rPr>
                <w:rFonts w:cs="Calibri"/>
                <w:sz w:val="20"/>
                <w:szCs w:val="20"/>
              </w:rPr>
              <w:t>er les moyens d’évacuation vers les F</w:t>
            </w:r>
            <w:r>
              <w:rPr>
                <w:rFonts w:cs="Calibri"/>
                <w:sz w:val="20"/>
                <w:szCs w:val="20"/>
              </w:rPr>
              <w:t>S</w:t>
            </w:r>
            <w:r w:rsidR="00C0133D" w:rsidRPr="00B355E0">
              <w:rPr>
                <w:rFonts w:cs="Calibri"/>
                <w:sz w:val="20"/>
                <w:szCs w:val="20"/>
              </w:rPr>
              <w:t xml:space="preserve"> de référence </w:t>
            </w:r>
          </w:p>
          <w:p w14:paraId="28A0F886" w14:textId="77777777" w:rsidR="00C0133D" w:rsidRPr="00B355E0" w:rsidRDefault="00C0133D" w:rsidP="00A97663">
            <w:pPr>
              <w:pStyle w:val="Paragraphedeliste"/>
              <w:numPr>
                <w:ilvl w:val="2"/>
                <w:numId w:val="81"/>
              </w:numPr>
              <w:autoSpaceDE w:val="0"/>
              <w:autoSpaceDN w:val="0"/>
              <w:adjustRightInd w:val="0"/>
              <w:jc w:val="both"/>
              <w:rPr>
                <w:rFonts w:cs="Calibri"/>
                <w:sz w:val="20"/>
                <w:szCs w:val="20"/>
              </w:rPr>
            </w:pPr>
            <w:r w:rsidRPr="00B355E0">
              <w:rPr>
                <w:rFonts w:cs="Calibri"/>
                <w:sz w:val="20"/>
                <w:szCs w:val="20"/>
              </w:rPr>
              <w:t xml:space="preserve">Améliorer les espaces de prise en charge du nouveau-né </w:t>
            </w:r>
          </w:p>
        </w:tc>
      </w:tr>
      <w:tr w:rsidR="00C0133D" w:rsidRPr="003D026B" w14:paraId="1674A2AD" w14:textId="77777777" w:rsidTr="00065EFA">
        <w:tc>
          <w:tcPr>
            <w:tcW w:w="3256" w:type="dxa"/>
            <w:shd w:val="clear" w:color="auto" w:fill="C6D9F1" w:themeFill="text2" w:themeFillTint="33"/>
          </w:tcPr>
          <w:p w14:paraId="1A2BC470" w14:textId="77777777" w:rsidR="00C0133D" w:rsidRPr="00ED659F" w:rsidRDefault="00C0133D" w:rsidP="00A97663">
            <w:pPr>
              <w:pStyle w:val="Paragraphedeliste"/>
              <w:numPr>
                <w:ilvl w:val="1"/>
                <w:numId w:val="81"/>
              </w:numPr>
              <w:autoSpaceDE w:val="0"/>
              <w:autoSpaceDN w:val="0"/>
              <w:adjustRightInd w:val="0"/>
              <w:jc w:val="both"/>
              <w:rPr>
                <w:rFonts w:cs="Calibri"/>
                <w:sz w:val="20"/>
                <w:szCs w:val="20"/>
              </w:rPr>
            </w:pPr>
            <w:r w:rsidRPr="00ED659F">
              <w:rPr>
                <w:rFonts w:cs="Calibri"/>
                <w:sz w:val="20"/>
                <w:szCs w:val="20"/>
              </w:rPr>
              <w:t>ASSURER LA DISPONIBILITE CONTINUE DES INTRANTS DE SRMNEA</w:t>
            </w:r>
          </w:p>
        </w:tc>
        <w:tc>
          <w:tcPr>
            <w:tcW w:w="6095" w:type="dxa"/>
            <w:shd w:val="clear" w:color="auto" w:fill="C6D9F1" w:themeFill="text2" w:themeFillTint="33"/>
          </w:tcPr>
          <w:p w14:paraId="1C1BB855" w14:textId="77777777" w:rsidR="00C0133D" w:rsidRPr="006030FC" w:rsidRDefault="00C0133D" w:rsidP="00A97663">
            <w:pPr>
              <w:pStyle w:val="Paragraphedeliste"/>
              <w:numPr>
                <w:ilvl w:val="2"/>
                <w:numId w:val="81"/>
              </w:numPr>
              <w:autoSpaceDE w:val="0"/>
              <w:autoSpaceDN w:val="0"/>
              <w:adjustRightInd w:val="0"/>
              <w:jc w:val="both"/>
              <w:rPr>
                <w:rFonts w:cs="Calibri"/>
                <w:sz w:val="20"/>
                <w:szCs w:val="20"/>
              </w:rPr>
            </w:pPr>
            <w:r w:rsidRPr="006030FC">
              <w:rPr>
                <w:rFonts w:cs="Calibri"/>
                <w:sz w:val="20"/>
                <w:szCs w:val="20"/>
              </w:rPr>
              <w:t>Assurer la disponibilité continue du matériel de communication et de démonstration </w:t>
            </w:r>
          </w:p>
          <w:p w14:paraId="6E7B5ED5" w14:textId="77777777" w:rsidR="00C0133D" w:rsidRPr="006030FC" w:rsidRDefault="00C0133D" w:rsidP="00A97663">
            <w:pPr>
              <w:pStyle w:val="Paragraphedeliste"/>
              <w:numPr>
                <w:ilvl w:val="2"/>
                <w:numId w:val="81"/>
              </w:numPr>
              <w:autoSpaceDE w:val="0"/>
              <w:autoSpaceDN w:val="0"/>
              <w:adjustRightInd w:val="0"/>
              <w:jc w:val="both"/>
              <w:rPr>
                <w:rFonts w:cs="Calibri"/>
                <w:sz w:val="20"/>
                <w:szCs w:val="20"/>
              </w:rPr>
            </w:pPr>
            <w:r w:rsidRPr="006030FC">
              <w:rPr>
                <w:rFonts w:cs="Calibri"/>
                <w:sz w:val="20"/>
                <w:szCs w:val="20"/>
              </w:rPr>
              <w:t xml:space="preserve">Assurer la disponibilité continue du matériel médico-technique et les médicaments pour la SRMNEA </w:t>
            </w:r>
          </w:p>
          <w:p w14:paraId="0DF1F5F0" w14:textId="77777777" w:rsidR="00C0133D" w:rsidRPr="006030FC" w:rsidRDefault="00C0133D" w:rsidP="00A97663">
            <w:pPr>
              <w:pStyle w:val="Paragraphedeliste"/>
              <w:numPr>
                <w:ilvl w:val="2"/>
                <w:numId w:val="81"/>
              </w:numPr>
              <w:autoSpaceDE w:val="0"/>
              <w:autoSpaceDN w:val="0"/>
              <w:adjustRightInd w:val="0"/>
              <w:jc w:val="both"/>
              <w:rPr>
                <w:rFonts w:cs="Calibri"/>
                <w:sz w:val="20"/>
                <w:szCs w:val="20"/>
              </w:rPr>
            </w:pPr>
            <w:r w:rsidRPr="006030FC">
              <w:rPr>
                <w:rFonts w:cs="Calibri"/>
                <w:sz w:val="20"/>
                <w:szCs w:val="20"/>
              </w:rPr>
              <w:t>Assurer la disponibilité continue des intrants pour la nutrition</w:t>
            </w:r>
          </w:p>
        </w:tc>
      </w:tr>
      <w:tr w:rsidR="00C0133D" w:rsidRPr="006030FC" w14:paraId="55E9CD96" w14:textId="77777777" w:rsidTr="00C0133D">
        <w:tc>
          <w:tcPr>
            <w:tcW w:w="9351" w:type="dxa"/>
            <w:gridSpan w:val="2"/>
            <w:shd w:val="clear" w:color="auto" w:fill="C6D9F1" w:themeFill="text2" w:themeFillTint="33"/>
          </w:tcPr>
          <w:p w14:paraId="139179F4" w14:textId="77777777" w:rsidR="00C0133D" w:rsidRDefault="00C0133D" w:rsidP="00C0133D">
            <w:pPr>
              <w:autoSpaceDE w:val="0"/>
              <w:autoSpaceDN w:val="0"/>
              <w:adjustRightInd w:val="0"/>
              <w:jc w:val="both"/>
              <w:rPr>
                <w:rFonts w:cs="Cambria"/>
                <w:b/>
                <w:sz w:val="20"/>
                <w:szCs w:val="20"/>
              </w:rPr>
            </w:pPr>
            <w:r w:rsidRPr="006030FC">
              <w:rPr>
                <w:rFonts w:cs="Cambria"/>
                <w:b/>
                <w:sz w:val="20"/>
                <w:szCs w:val="20"/>
              </w:rPr>
              <w:t>PRIORITE 3 : RENFORCER LE PILOTAGE DU SYSTEME DE SANTE</w:t>
            </w:r>
          </w:p>
          <w:p w14:paraId="4F003478" w14:textId="77777777" w:rsidR="00C0133D" w:rsidRPr="006030FC" w:rsidRDefault="00C0133D" w:rsidP="00C0133D">
            <w:pPr>
              <w:autoSpaceDE w:val="0"/>
              <w:autoSpaceDN w:val="0"/>
              <w:adjustRightInd w:val="0"/>
              <w:jc w:val="both"/>
              <w:rPr>
                <w:rFonts w:cs="Cambria"/>
                <w:b/>
                <w:sz w:val="20"/>
                <w:szCs w:val="20"/>
              </w:rPr>
            </w:pPr>
          </w:p>
        </w:tc>
      </w:tr>
      <w:tr w:rsidR="00C0133D" w:rsidRPr="006030FC" w14:paraId="15C93DA3" w14:textId="77777777" w:rsidTr="00065EFA">
        <w:tc>
          <w:tcPr>
            <w:tcW w:w="3256" w:type="dxa"/>
            <w:shd w:val="clear" w:color="auto" w:fill="C6D9F1" w:themeFill="text2" w:themeFillTint="33"/>
          </w:tcPr>
          <w:p w14:paraId="0580E636" w14:textId="5CF97711" w:rsidR="00C0133D" w:rsidRPr="00614845" w:rsidRDefault="00C0133D" w:rsidP="00A97663">
            <w:pPr>
              <w:pStyle w:val="Paragraphedeliste"/>
              <w:numPr>
                <w:ilvl w:val="1"/>
                <w:numId w:val="82"/>
              </w:numPr>
              <w:autoSpaceDE w:val="0"/>
              <w:autoSpaceDN w:val="0"/>
              <w:adjustRightInd w:val="0"/>
              <w:jc w:val="both"/>
              <w:rPr>
                <w:rFonts w:cs="Cambria"/>
                <w:sz w:val="20"/>
                <w:szCs w:val="20"/>
              </w:rPr>
            </w:pPr>
            <w:r w:rsidRPr="00614845">
              <w:rPr>
                <w:rFonts w:cs="Cambria"/>
                <w:sz w:val="20"/>
                <w:szCs w:val="20"/>
              </w:rPr>
              <w:t xml:space="preserve">RENFORCER LA GOUVERNANCE </w:t>
            </w:r>
            <w:r w:rsidR="00B16FA0" w:rsidRPr="00614845">
              <w:rPr>
                <w:rFonts w:cs="Cambria"/>
                <w:sz w:val="20"/>
                <w:szCs w:val="20"/>
              </w:rPr>
              <w:t>ET LEADERSHIP</w:t>
            </w:r>
            <w:r w:rsidRPr="00614845">
              <w:rPr>
                <w:rFonts w:cs="Cambria"/>
                <w:sz w:val="20"/>
                <w:szCs w:val="20"/>
              </w:rPr>
              <w:t xml:space="preserve"> DU SECTEUR</w:t>
            </w:r>
          </w:p>
          <w:p w14:paraId="3D0C5C9D" w14:textId="77777777" w:rsidR="00C0133D" w:rsidRPr="006030FC" w:rsidRDefault="00C0133D" w:rsidP="00C0133D">
            <w:pPr>
              <w:pStyle w:val="Paragraphedeliste"/>
              <w:autoSpaceDE w:val="0"/>
              <w:autoSpaceDN w:val="0"/>
              <w:adjustRightInd w:val="0"/>
              <w:ind w:left="360"/>
              <w:jc w:val="both"/>
              <w:rPr>
                <w:rFonts w:cs="Calibri"/>
                <w:sz w:val="20"/>
                <w:szCs w:val="20"/>
              </w:rPr>
            </w:pPr>
          </w:p>
        </w:tc>
        <w:tc>
          <w:tcPr>
            <w:tcW w:w="6095" w:type="dxa"/>
            <w:shd w:val="clear" w:color="auto" w:fill="C6D9F1" w:themeFill="text2" w:themeFillTint="33"/>
          </w:tcPr>
          <w:p w14:paraId="1E49D951" w14:textId="77777777" w:rsidR="00C0133D" w:rsidRPr="00614845" w:rsidRDefault="00C0133D" w:rsidP="00A97663">
            <w:pPr>
              <w:pStyle w:val="Paragraphedeliste"/>
              <w:numPr>
                <w:ilvl w:val="2"/>
                <w:numId w:val="82"/>
              </w:numPr>
              <w:autoSpaceDE w:val="0"/>
              <w:autoSpaceDN w:val="0"/>
              <w:adjustRightInd w:val="0"/>
              <w:jc w:val="both"/>
              <w:rPr>
                <w:rFonts w:cs="Cambria"/>
                <w:sz w:val="20"/>
                <w:szCs w:val="20"/>
              </w:rPr>
            </w:pPr>
            <w:r w:rsidRPr="00614845">
              <w:rPr>
                <w:rFonts w:cs="Cambria"/>
                <w:sz w:val="20"/>
                <w:szCs w:val="20"/>
              </w:rPr>
              <w:t>Améliorer la coordination des acteurs de la SRMNEA-N</w:t>
            </w:r>
          </w:p>
          <w:p w14:paraId="1222A995" w14:textId="77777777" w:rsidR="00C0133D" w:rsidRPr="006030FC" w:rsidRDefault="00C0133D" w:rsidP="00A97663">
            <w:pPr>
              <w:pStyle w:val="Paragraphedeliste"/>
              <w:numPr>
                <w:ilvl w:val="2"/>
                <w:numId w:val="82"/>
              </w:numPr>
              <w:autoSpaceDE w:val="0"/>
              <w:autoSpaceDN w:val="0"/>
              <w:adjustRightInd w:val="0"/>
              <w:jc w:val="both"/>
              <w:rPr>
                <w:rFonts w:cs="Cambria"/>
                <w:sz w:val="20"/>
                <w:szCs w:val="20"/>
              </w:rPr>
            </w:pPr>
            <w:r w:rsidRPr="006030FC">
              <w:rPr>
                <w:rFonts w:cs="Cambria"/>
                <w:sz w:val="20"/>
                <w:szCs w:val="20"/>
              </w:rPr>
              <w:t>Renforcer l’information sanitaire pour une meilleure information de la décision</w:t>
            </w:r>
          </w:p>
          <w:p w14:paraId="56D07299" w14:textId="77777777" w:rsidR="00C0133D" w:rsidRPr="006030FC" w:rsidRDefault="00C0133D" w:rsidP="00A97663">
            <w:pPr>
              <w:pStyle w:val="Paragraphedeliste"/>
              <w:numPr>
                <w:ilvl w:val="2"/>
                <w:numId w:val="82"/>
              </w:numPr>
              <w:autoSpaceDE w:val="0"/>
              <w:autoSpaceDN w:val="0"/>
              <w:adjustRightInd w:val="0"/>
              <w:jc w:val="both"/>
              <w:rPr>
                <w:rFonts w:cs="Cambria"/>
                <w:sz w:val="20"/>
                <w:szCs w:val="20"/>
              </w:rPr>
            </w:pPr>
            <w:r w:rsidRPr="006030FC">
              <w:rPr>
                <w:rFonts w:cs="Cambria"/>
                <w:sz w:val="20"/>
                <w:szCs w:val="20"/>
              </w:rPr>
              <w:t>Renforcer la coordination régionale et locale dans le cadre de la Décentralisation</w:t>
            </w:r>
          </w:p>
        </w:tc>
      </w:tr>
      <w:tr w:rsidR="00C0133D" w:rsidRPr="006030FC" w14:paraId="5FF2F4F8" w14:textId="77777777" w:rsidTr="00065EFA">
        <w:trPr>
          <w:trHeight w:val="1476"/>
        </w:trPr>
        <w:tc>
          <w:tcPr>
            <w:tcW w:w="3256" w:type="dxa"/>
            <w:shd w:val="clear" w:color="auto" w:fill="C6D9F1" w:themeFill="text2" w:themeFillTint="33"/>
          </w:tcPr>
          <w:p w14:paraId="644E58D3" w14:textId="77777777" w:rsidR="00C0133D" w:rsidRPr="006030FC" w:rsidRDefault="00C0133D" w:rsidP="00A97663">
            <w:pPr>
              <w:pStyle w:val="Paragraphedeliste"/>
              <w:numPr>
                <w:ilvl w:val="1"/>
                <w:numId w:val="82"/>
              </w:numPr>
              <w:autoSpaceDE w:val="0"/>
              <w:autoSpaceDN w:val="0"/>
              <w:adjustRightInd w:val="0"/>
              <w:jc w:val="both"/>
              <w:rPr>
                <w:rFonts w:cs="Cambria"/>
                <w:sz w:val="20"/>
                <w:szCs w:val="20"/>
              </w:rPr>
            </w:pPr>
            <w:r w:rsidRPr="006030FC">
              <w:rPr>
                <w:rFonts w:cs="Cambria"/>
                <w:sz w:val="20"/>
                <w:szCs w:val="20"/>
              </w:rPr>
              <w:t xml:space="preserve">RENFORCER LA COLLABORATION INTERSECTORIELLE </w:t>
            </w:r>
          </w:p>
          <w:p w14:paraId="2CB282DA" w14:textId="77777777" w:rsidR="00C0133D" w:rsidRPr="006030FC" w:rsidRDefault="00C0133D" w:rsidP="00C0133D">
            <w:pPr>
              <w:pStyle w:val="Paragraphedeliste"/>
              <w:autoSpaceDE w:val="0"/>
              <w:autoSpaceDN w:val="0"/>
              <w:adjustRightInd w:val="0"/>
              <w:ind w:left="360"/>
              <w:jc w:val="both"/>
              <w:rPr>
                <w:rFonts w:cs="Calibri"/>
                <w:sz w:val="20"/>
                <w:szCs w:val="20"/>
              </w:rPr>
            </w:pPr>
          </w:p>
        </w:tc>
        <w:tc>
          <w:tcPr>
            <w:tcW w:w="6095" w:type="dxa"/>
            <w:shd w:val="clear" w:color="auto" w:fill="C6D9F1" w:themeFill="text2" w:themeFillTint="33"/>
          </w:tcPr>
          <w:p w14:paraId="5752A3C2" w14:textId="27B530D7" w:rsidR="00C0133D" w:rsidRPr="006030FC" w:rsidRDefault="00C0133D" w:rsidP="00A97663">
            <w:pPr>
              <w:pStyle w:val="Paragraphedeliste"/>
              <w:numPr>
                <w:ilvl w:val="2"/>
                <w:numId w:val="82"/>
              </w:numPr>
              <w:jc w:val="both"/>
              <w:rPr>
                <w:rFonts w:ascii="Calibri" w:hAnsi="Calibri" w:cs="Calibri"/>
                <w:sz w:val="20"/>
                <w:szCs w:val="20"/>
              </w:rPr>
            </w:pPr>
            <w:r w:rsidRPr="006030FC">
              <w:rPr>
                <w:rFonts w:ascii="Calibri" w:hAnsi="Calibri" w:cs="Calibri"/>
                <w:sz w:val="20"/>
                <w:szCs w:val="20"/>
              </w:rPr>
              <w:t>Assurer un financement durable des interventions de SRMNEAN</w:t>
            </w:r>
          </w:p>
          <w:p w14:paraId="18613D05" w14:textId="77777777" w:rsidR="00C0133D" w:rsidRPr="006030FC" w:rsidRDefault="00C0133D" w:rsidP="00A97663">
            <w:pPr>
              <w:pStyle w:val="Paragraphedeliste"/>
              <w:numPr>
                <w:ilvl w:val="2"/>
                <w:numId w:val="82"/>
              </w:numPr>
              <w:spacing w:after="160"/>
              <w:jc w:val="both"/>
              <w:rPr>
                <w:rFonts w:ascii="Calibri" w:hAnsi="Calibri" w:cs="Calibri"/>
                <w:sz w:val="20"/>
                <w:szCs w:val="20"/>
              </w:rPr>
            </w:pPr>
            <w:r w:rsidRPr="006030FC">
              <w:rPr>
                <w:rFonts w:ascii="Calibri" w:hAnsi="Calibri" w:cs="Calibri"/>
                <w:sz w:val="20"/>
                <w:szCs w:val="20"/>
              </w:rPr>
              <w:t>Renforcer les actions intersectorielles en faveur de l’hygiène, assainissement, accès à l’eau potable, habitat salubre.</w:t>
            </w:r>
          </w:p>
          <w:p w14:paraId="656E9FBD" w14:textId="77777777" w:rsidR="00C0133D" w:rsidRPr="006030FC" w:rsidRDefault="00C0133D" w:rsidP="00A97663">
            <w:pPr>
              <w:pStyle w:val="Paragraphedeliste"/>
              <w:numPr>
                <w:ilvl w:val="2"/>
                <w:numId w:val="82"/>
              </w:numPr>
              <w:spacing w:after="160"/>
              <w:jc w:val="both"/>
              <w:rPr>
                <w:rFonts w:ascii="Calibri" w:hAnsi="Calibri" w:cs="Calibri"/>
                <w:sz w:val="20"/>
                <w:szCs w:val="20"/>
              </w:rPr>
            </w:pPr>
            <w:r w:rsidRPr="006030FC">
              <w:rPr>
                <w:rFonts w:ascii="Calibri" w:hAnsi="Calibri" w:cs="Calibri"/>
                <w:sz w:val="20"/>
                <w:szCs w:val="20"/>
              </w:rPr>
              <w:t>Améliorer l’enregistrement des faits d’état civil et la production des statistiques vitales</w:t>
            </w:r>
          </w:p>
        </w:tc>
      </w:tr>
      <w:bookmarkEnd w:id="14"/>
    </w:tbl>
    <w:p w14:paraId="06ACA9BC" w14:textId="77777777" w:rsidR="00C0133D" w:rsidRPr="005F7649" w:rsidRDefault="00C0133D" w:rsidP="00C0133D">
      <w:pPr>
        <w:spacing w:after="0" w:line="360" w:lineRule="auto"/>
        <w:jc w:val="both"/>
        <w:rPr>
          <w:b/>
          <w:sz w:val="28"/>
          <w:szCs w:val="28"/>
        </w:rPr>
      </w:pPr>
    </w:p>
    <w:p w14:paraId="28F84A65" w14:textId="77777777" w:rsidR="00C0133D" w:rsidRPr="00CF5AF7" w:rsidRDefault="00C0133D" w:rsidP="00C0133D">
      <w:pPr>
        <w:spacing w:after="0" w:line="360" w:lineRule="auto"/>
        <w:jc w:val="both"/>
        <w:rPr>
          <w:b/>
          <w:sz w:val="24"/>
          <w:szCs w:val="24"/>
        </w:rPr>
      </w:pPr>
      <w:r w:rsidRPr="00CF5AF7">
        <w:rPr>
          <w:b/>
          <w:sz w:val="24"/>
          <w:szCs w:val="24"/>
        </w:rPr>
        <w:lastRenderedPageBreak/>
        <w:t xml:space="preserve">PRIORITE 1 : AMELIORER LA COUVERTURE DES POPULATIONS CIBLES PAR LE PAQUET INTEGRE D’INTERVENTIONS SRMNEA-N  A HAUT IMPACT </w:t>
      </w:r>
    </w:p>
    <w:p w14:paraId="0569231A" w14:textId="77777777" w:rsidR="00776350" w:rsidRPr="00776350" w:rsidRDefault="00776350" w:rsidP="00A97663">
      <w:pPr>
        <w:pStyle w:val="Paragraphedeliste"/>
        <w:numPr>
          <w:ilvl w:val="1"/>
          <w:numId w:val="58"/>
        </w:numPr>
        <w:jc w:val="both"/>
        <w:rPr>
          <w:sz w:val="24"/>
          <w:szCs w:val="24"/>
        </w:rPr>
      </w:pPr>
      <w:r w:rsidRPr="00776350">
        <w:rPr>
          <w:sz w:val="24"/>
          <w:szCs w:val="24"/>
        </w:rPr>
        <w:t>AMELIORER L’OFFRE DE SERVICES DU PAQUET SRMNEA-N A HAUT IMPACT, INTEGRE ET DE QUALITE</w:t>
      </w:r>
    </w:p>
    <w:p w14:paraId="47E3C022" w14:textId="77777777" w:rsidR="00C0133D" w:rsidRPr="00E31F2B" w:rsidRDefault="00C0133D" w:rsidP="00A97663">
      <w:pPr>
        <w:pStyle w:val="Paragraphedeliste"/>
        <w:numPr>
          <w:ilvl w:val="2"/>
          <w:numId w:val="58"/>
        </w:numPr>
        <w:spacing w:after="0" w:line="360" w:lineRule="auto"/>
        <w:jc w:val="both"/>
        <w:rPr>
          <w:b/>
          <w:sz w:val="24"/>
          <w:szCs w:val="24"/>
        </w:rPr>
      </w:pPr>
      <w:r w:rsidRPr="00E31F2B">
        <w:rPr>
          <w:b/>
          <w:sz w:val="24"/>
          <w:szCs w:val="24"/>
        </w:rPr>
        <w:t>Offrir un paquet intégré d’interventions de SRMNEA-N  à haut impact et adapté à chaque étape du cycle de vie</w:t>
      </w:r>
    </w:p>
    <w:p w14:paraId="074EC2AE" w14:textId="77777777" w:rsidR="00C0133D" w:rsidRPr="00602519" w:rsidRDefault="00C0133D" w:rsidP="00C0133D">
      <w:pPr>
        <w:spacing w:after="0" w:line="360" w:lineRule="auto"/>
        <w:jc w:val="both"/>
        <w:rPr>
          <w:sz w:val="24"/>
          <w:szCs w:val="24"/>
        </w:rPr>
      </w:pPr>
      <w:r w:rsidRPr="00602519">
        <w:rPr>
          <w:sz w:val="24"/>
          <w:szCs w:val="24"/>
        </w:rPr>
        <w:t>Le paquet d’interventions SRMNEA à haut impact a été établi sur base de l’analyse :</w:t>
      </w:r>
    </w:p>
    <w:p w14:paraId="738F3705" w14:textId="77777777" w:rsidR="00C0133D" w:rsidRPr="00602519" w:rsidRDefault="00C0133D" w:rsidP="00A97663">
      <w:pPr>
        <w:pStyle w:val="Paragraphedeliste"/>
        <w:numPr>
          <w:ilvl w:val="0"/>
          <w:numId w:val="57"/>
        </w:numPr>
        <w:spacing w:after="0" w:line="360" w:lineRule="auto"/>
        <w:jc w:val="both"/>
        <w:rPr>
          <w:sz w:val="24"/>
          <w:szCs w:val="24"/>
        </w:rPr>
      </w:pPr>
      <w:r w:rsidRPr="00602519">
        <w:rPr>
          <w:sz w:val="24"/>
          <w:szCs w:val="24"/>
        </w:rPr>
        <w:t xml:space="preserve">Des causes de mortalité et de morbidité de la mère, du nouveau-né, de l’enfant, de l’adolescent et du jeune ; </w:t>
      </w:r>
    </w:p>
    <w:p w14:paraId="583EA24B" w14:textId="77777777" w:rsidR="00C0133D" w:rsidRPr="00602519" w:rsidRDefault="00C0133D" w:rsidP="00A97663">
      <w:pPr>
        <w:pStyle w:val="Paragraphedeliste"/>
        <w:numPr>
          <w:ilvl w:val="0"/>
          <w:numId w:val="57"/>
        </w:numPr>
        <w:spacing w:after="0" w:line="360" w:lineRule="auto"/>
        <w:jc w:val="both"/>
        <w:rPr>
          <w:sz w:val="24"/>
          <w:szCs w:val="24"/>
        </w:rPr>
      </w:pPr>
      <w:r w:rsidRPr="00602519">
        <w:rPr>
          <w:sz w:val="24"/>
          <w:szCs w:val="24"/>
        </w:rPr>
        <w:t xml:space="preserve">Des gaps constatés par l’analyse des performances des interventions SRMNEA-N actuellement déployées et </w:t>
      </w:r>
    </w:p>
    <w:p w14:paraId="75E4EB3D" w14:textId="77777777" w:rsidR="00C0133D" w:rsidRPr="00602519" w:rsidRDefault="00C0133D" w:rsidP="00A97663">
      <w:pPr>
        <w:pStyle w:val="Paragraphedeliste"/>
        <w:numPr>
          <w:ilvl w:val="0"/>
          <w:numId w:val="57"/>
        </w:numPr>
        <w:spacing w:after="0" w:line="360" w:lineRule="auto"/>
        <w:jc w:val="both"/>
        <w:rPr>
          <w:sz w:val="24"/>
          <w:szCs w:val="24"/>
        </w:rPr>
      </w:pPr>
      <w:r w:rsidRPr="00602519">
        <w:rPr>
          <w:sz w:val="24"/>
          <w:szCs w:val="24"/>
        </w:rPr>
        <w:t>De l’impact de ces interventions sur la réduction de la mortalité.</w:t>
      </w:r>
    </w:p>
    <w:p w14:paraId="6A2174C0" w14:textId="77777777" w:rsidR="00C0133D" w:rsidRPr="00602519" w:rsidRDefault="00C0133D" w:rsidP="00C0133D">
      <w:pPr>
        <w:spacing w:after="0" w:line="360" w:lineRule="auto"/>
        <w:jc w:val="both"/>
        <w:rPr>
          <w:sz w:val="24"/>
          <w:szCs w:val="24"/>
        </w:rPr>
      </w:pPr>
      <w:r w:rsidRPr="00602519">
        <w:rPr>
          <w:sz w:val="24"/>
          <w:szCs w:val="24"/>
        </w:rPr>
        <w:t>Les interventions sont regroupées suivant le cycle de vie en interventions ayant pour cible la mère et le nouveau-né, l’enfant et l’adolescent/jeune.</w:t>
      </w:r>
    </w:p>
    <w:p w14:paraId="2088D1AE" w14:textId="77777777" w:rsidR="00C0133D" w:rsidRDefault="00C0133D" w:rsidP="00C0133D">
      <w:pPr>
        <w:spacing w:after="0" w:line="360" w:lineRule="auto"/>
        <w:jc w:val="both"/>
        <w:rPr>
          <w:sz w:val="24"/>
          <w:szCs w:val="24"/>
        </w:rPr>
      </w:pPr>
      <w:r w:rsidRPr="00602519">
        <w:rPr>
          <w:sz w:val="24"/>
          <w:szCs w:val="24"/>
        </w:rPr>
        <w:t>Dans un même groupe cible, les interventions sont assemblées en interventions de pratique communautaire, en interventions préventives et en interventions curatives.</w:t>
      </w:r>
    </w:p>
    <w:p w14:paraId="3BE0B137" w14:textId="77777777" w:rsidR="00C0133D" w:rsidRDefault="00C0133D" w:rsidP="00C0133D">
      <w:pPr>
        <w:spacing w:after="0" w:line="360" w:lineRule="auto"/>
        <w:jc w:val="both"/>
        <w:rPr>
          <w:sz w:val="24"/>
          <w:szCs w:val="24"/>
        </w:rPr>
        <w:sectPr w:rsidR="00C0133D">
          <w:pgSz w:w="11906" w:h="16838"/>
          <w:pgMar w:top="1417" w:right="1417" w:bottom="1417" w:left="1417" w:header="708" w:footer="708" w:gutter="0"/>
          <w:cols w:space="708"/>
          <w:docGrid w:linePitch="360"/>
        </w:sectPr>
      </w:pPr>
    </w:p>
    <w:tbl>
      <w:tblPr>
        <w:tblStyle w:val="Grilledutableau"/>
        <w:tblW w:w="13994" w:type="dxa"/>
        <w:tblLook w:val="04A0" w:firstRow="1" w:lastRow="0" w:firstColumn="1" w:lastColumn="0" w:noHBand="0" w:noVBand="1"/>
      </w:tblPr>
      <w:tblGrid>
        <w:gridCol w:w="3964"/>
        <w:gridCol w:w="3686"/>
        <w:gridCol w:w="6344"/>
      </w:tblGrid>
      <w:tr w:rsidR="00C0133D" w:rsidRPr="006B3880" w14:paraId="0726EBAC" w14:textId="77777777" w:rsidTr="00C0133D">
        <w:tc>
          <w:tcPr>
            <w:tcW w:w="13994" w:type="dxa"/>
            <w:gridSpan w:val="3"/>
          </w:tcPr>
          <w:p w14:paraId="35FB5CE1" w14:textId="7E860708" w:rsidR="00C0133D" w:rsidRPr="006B3880" w:rsidRDefault="00C0133D" w:rsidP="00C0133D">
            <w:pPr>
              <w:spacing w:line="360" w:lineRule="auto"/>
            </w:pPr>
            <w:r w:rsidRPr="006B3880">
              <w:lastRenderedPageBreak/>
              <w:t>Tableau</w:t>
            </w:r>
            <w:r w:rsidR="00AD5603" w:rsidRPr="006B3880">
              <w:t xml:space="preserve"> 9</w:t>
            </w:r>
            <w:r w:rsidRPr="006B3880">
              <w:t> : PAQUET D’INTERVENTIONS SRMNEA-N A HAUT IMPACT</w:t>
            </w:r>
          </w:p>
        </w:tc>
      </w:tr>
      <w:tr w:rsidR="00C0133D" w:rsidRPr="006B3880" w14:paraId="538C8F14" w14:textId="77777777" w:rsidTr="00C0133D">
        <w:tc>
          <w:tcPr>
            <w:tcW w:w="3964" w:type="dxa"/>
            <w:shd w:val="clear" w:color="auto" w:fill="DBE5F1" w:themeFill="accent1" w:themeFillTint="33"/>
          </w:tcPr>
          <w:p w14:paraId="7B2BE758" w14:textId="77777777" w:rsidR="00C0133D" w:rsidRPr="006B3880" w:rsidRDefault="00C0133D" w:rsidP="00C0133D">
            <w:pPr>
              <w:spacing w:line="360" w:lineRule="auto"/>
              <w:rPr>
                <w:b/>
              </w:rPr>
            </w:pPr>
            <w:r w:rsidRPr="006B3880">
              <w:rPr>
                <w:b/>
              </w:rPr>
              <w:t>SANTE DE LA MERE ET DU NOUVEAU-NE</w:t>
            </w:r>
          </w:p>
        </w:tc>
        <w:tc>
          <w:tcPr>
            <w:tcW w:w="3686" w:type="dxa"/>
            <w:shd w:val="clear" w:color="auto" w:fill="DBE5F1" w:themeFill="accent1" w:themeFillTint="33"/>
          </w:tcPr>
          <w:p w14:paraId="5E570E35" w14:textId="77777777" w:rsidR="00C0133D" w:rsidRPr="006B3880" w:rsidRDefault="00C0133D" w:rsidP="00C0133D">
            <w:pPr>
              <w:spacing w:line="360" w:lineRule="auto"/>
              <w:rPr>
                <w:b/>
              </w:rPr>
            </w:pPr>
          </w:p>
        </w:tc>
        <w:tc>
          <w:tcPr>
            <w:tcW w:w="6344" w:type="dxa"/>
            <w:shd w:val="clear" w:color="auto" w:fill="DBE5F1" w:themeFill="accent1" w:themeFillTint="33"/>
          </w:tcPr>
          <w:p w14:paraId="4CC8EF2E" w14:textId="77777777" w:rsidR="00C0133D" w:rsidRPr="006B3880" w:rsidRDefault="00C0133D" w:rsidP="00C0133D">
            <w:pPr>
              <w:spacing w:line="360" w:lineRule="auto"/>
              <w:rPr>
                <w:b/>
              </w:rPr>
            </w:pPr>
          </w:p>
        </w:tc>
      </w:tr>
      <w:tr w:rsidR="00C0133D" w:rsidRPr="006B3880" w14:paraId="3A0B1AA3" w14:textId="77777777" w:rsidTr="00C0133D">
        <w:tc>
          <w:tcPr>
            <w:tcW w:w="3964" w:type="dxa"/>
          </w:tcPr>
          <w:p w14:paraId="5259C429" w14:textId="77777777" w:rsidR="00C0133D" w:rsidRPr="006B3880" w:rsidRDefault="00C0133D" w:rsidP="00C0133D">
            <w:pPr>
              <w:spacing w:line="360" w:lineRule="auto"/>
              <w:rPr>
                <w:b/>
              </w:rPr>
            </w:pPr>
            <w:r w:rsidRPr="006B3880">
              <w:rPr>
                <w:b/>
              </w:rPr>
              <w:t>Pratique communautaire</w:t>
            </w:r>
          </w:p>
        </w:tc>
        <w:tc>
          <w:tcPr>
            <w:tcW w:w="3686" w:type="dxa"/>
          </w:tcPr>
          <w:p w14:paraId="58C74730" w14:textId="6BF115C5" w:rsidR="00C0133D" w:rsidRPr="006B3880" w:rsidRDefault="00C0133D" w:rsidP="00C0133D">
            <w:pPr>
              <w:spacing w:line="360" w:lineRule="auto"/>
              <w:rPr>
                <w:b/>
              </w:rPr>
            </w:pPr>
            <w:r w:rsidRPr="006B3880">
              <w:rPr>
                <w:b/>
              </w:rPr>
              <w:t>Pratique</w:t>
            </w:r>
            <w:r w:rsidR="007069D4" w:rsidRPr="006B3880">
              <w:rPr>
                <w:b/>
              </w:rPr>
              <w:t xml:space="preserve"> préventive</w:t>
            </w:r>
          </w:p>
        </w:tc>
        <w:tc>
          <w:tcPr>
            <w:tcW w:w="6344" w:type="dxa"/>
          </w:tcPr>
          <w:p w14:paraId="7002E4A9" w14:textId="08C9AF41" w:rsidR="00C0133D" w:rsidRPr="006B3880" w:rsidRDefault="00C0133D" w:rsidP="00C0133D">
            <w:pPr>
              <w:spacing w:line="360" w:lineRule="auto"/>
              <w:rPr>
                <w:b/>
              </w:rPr>
            </w:pPr>
            <w:r w:rsidRPr="006B3880">
              <w:rPr>
                <w:b/>
              </w:rPr>
              <w:t>Pratique c</w:t>
            </w:r>
            <w:r w:rsidR="007069D4" w:rsidRPr="006B3880">
              <w:rPr>
                <w:b/>
              </w:rPr>
              <w:t>urative</w:t>
            </w:r>
          </w:p>
        </w:tc>
      </w:tr>
      <w:tr w:rsidR="00C0133D" w:rsidRPr="006B3880" w14:paraId="73D4C98C" w14:textId="77777777" w:rsidTr="00C0133D">
        <w:tc>
          <w:tcPr>
            <w:tcW w:w="3964" w:type="dxa"/>
          </w:tcPr>
          <w:p w14:paraId="5709A0C7" w14:textId="77777777" w:rsidR="00C0133D" w:rsidRPr="006B3880" w:rsidRDefault="00C0133D" w:rsidP="00A97663">
            <w:pPr>
              <w:pStyle w:val="Paragraphedeliste"/>
              <w:numPr>
                <w:ilvl w:val="0"/>
                <w:numId w:val="68"/>
              </w:numPr>
              <w:rPr>
                <w:rFonts w:cs="Arial"/>
              </w:rPr>
            </w:pPr>
            <w:bookmarkStart w:id="15" w:name="_Hlk527373804"/>
            <w:r w:rsidRPr="006B3880">
              <w:rPr>
                <w:rFonts w:cs="Arial"/>
              </w:rPr>
              <w:t>Planification familiale : distribution de contraceptifs, promotion de l’auto-injection</w:t>
            </w:r>
          </w:p>
          <w:p w14:paraId="2769C9A9" w14:textId="77777777" w:rsidR="00C0133D" w:rsidRPr="006B3880" w:rsidRDefault="00C0133D" w:rsidP="00A97663">
            <w:pPr>
              <w:pStyle w:val="Paragraphedeliste"/>
              <w:numPr>
                <w:ilvl w:val="0"/>
                <w:numId w:val="68"/>
              </w:numPr>
              <w:rPr>
                <w:rFonts w:cs="Arial"/>
              </w:rPr>
            </w:pPr>
            <w:r w:rsidRPr="006B3880">
              <w:rPr>
                <w:rFonts w:cs="Arial"/>
              </w:rPr>
              <w:t>Renforcer la stratégie Aider les mères à survivre-Aider les bébés à respirer (AMS-ABR)</w:t>
            </w:r>
          </w:p>
          <w:p w14:paraId="206A2A4B" w14:textId="77777777" w:rsidR="00C0133D" w:rsidRPr="006B3880" w:rsidRDefault="00C0133D" w:rsidP="00A97663">
            <w:pPr>
              <w:pStyle w:val="Paragraphedeliste"/>
              <w:numPr>
                <w:ilvl w:val="0"/>
                <w:numId w:val="68"/>
              </w:numPr>
              <w:rPr>
                <w:rFonts w:cs="Arial"/>
              </w:rPr>
            </w:pPr>
            <w:r w:rsidRPr="006B3880">
              <w:rPr>
                <w:rFonts w:ascii="Calibri-Bold" w:hAnsi="Calibri-Bold" w:cs="Calibri-Bold"/>
                <w:bCs/>
              </w:rPr>
              <w:t>Soins de la mère et Nouveau-né à domicile</w:t>
            </w:r>
          </w:p>
          <w:p w14:paraId="23E5472E" w14:textId="77777777" w:rsidR="00C0133D" w:rsidRPr="006B3880" w:rsidRDefault="00C0133D" w:rsidP="00A97663">
            <w:pPr>
              <w:pStyle w:val="Paragraphedeliste"/>
              <w:numPr>
                <w:ilvl w:val="0"/>
                <w:numId w:val="68"/>
              </w:numPr>
              <w:rPr>
                <w:rFonts w:cs="Arial"/>
              </w:rPr>
            </w:pPr>
            <w:r w:rsidRPr="006B3880">
              <w:rPr>
                <w:rFonts w:ascii="Calibri-Bold" w:hAnsi="Calibri-Bold" w:cs="Calibri-Bold"/>
                <w:bCs/>
              </w:rPr>
              <w:t>Pratiques de soins propres postnataux</w:t>
            </w:r>
            <w:bookmarkEnd w:id="15"/>
          </w:p>
          <w:p w14:paraId="2DE87193" w14:textId="77777777" w:rsidR="00C0133D" w:rsidRPr="006B3880" w:rsidRDefault="00C0133D" w:rsidP="00A97663">
            <w:pPr>
              <w:pStyle w:val="Paragraphedeliste"/>
              <w:numPr>
                <w:ilvl w:val="0"/>
                <w:numId w:val="68"/>
              </w:numPr>
              <w:jc w:val="both"/>
              <w:rPr>
                <w:rFonts w:ascii="Cambria" w:hAnsi="Cambria"/>
              </w:rPr>
            </w:pPr>
            <w:r w:rsidRPr="006B3880">
              <w:rPr>
                <w:rFonts w:ascii="Cambria" w:hAnsi="Cambria"/>
              </w:rPr>
              <w:t>Passage à l’échelle des interventions de nutrition maternelle et du Nouveau-né :</w:t>
            </w:r>
          </w:p>
          <w:p w14:paraId="4959E147" w14:textId="77777777" w:rsidR="00C0133D" w:rsidRPr="006B3880" w:rsidRDefault="00C0133D" w:rsidP="00A97663">
            <w:pPr>
              <w:pStyle w:val="Paragraphedeliste"/>
              <w:numPr>
                <w:ilvl w:val="0"/>
                <w:numId w:val="69"/>
              </w:numPr>
              <w:jc w:val="both"/>
              <w:rPr>
                <w:rFonts w:ascii="Cambria" w:hAnsi="Cambria"/>
              </w:rPr>
            </w:pPr>
            <w:r w:rsidRPr="006B3880">
              <w:rPr>
                <w:rFonts w:ascii="Cambria" w:hAnsi="Cambria"/>
              </w:rPr>
              <w:t xml:space="preserve">La promotion de la mise au sein précoce </w:t>
            </w:r>
          </w:p>
          <w:p w14:paraId="18244892" w14:textId="77777777" w:rsidR="00C0133D" w:rsidRPr="006B3880" w:rsidRDefault="00C0133D" w:rsidP="00A97663">
            <w:pPr>
              <w:pStyle w:val="Paragraphedeliste"/>
              <w:numPr>
                <w:ilvl w:val="0"/>
                <w:numId w:val="69"/>
              </w:numPr>
              <w:jc w:val="both"/>
              <w:rPr>
                <w:rFonts w:ascii="Cambria" w:hAnsi="Cambria"/>
              </w:rPr>
            </w:pPr>
            <w:r w:rsidRPr="006B3880">
              <w:rPr>
                <w:rFonts w:ascii="Cambria" w:hAnsi="Cambria"/>
              </w:rPr>
              <w:t>La promotion de l’Allaitement Maternel Exclusif,</w:t>
            </w:r>
          </w:p>
          <w:p w14:paraId="4300D278" w14:textId="77777777" w:rsidR="00C0133D" w:rsidRPr="006B3880" w:rsidRDefault="00C0133D" w:rsidP="00A97663">
            <w:pPr>
              <w:pStyle w:val="Paragraphedeliste"/>
              <w:numPr>
                <w:ilvl w:val="0"/>
                <w:numId w:val="69"/>
              </w:numPr>
              <w:jc w:val="both"/>
              <w:rPr>
                <w:rFonts w:ascii="Cambria" w:hAnsi="Cambria"/>
              </w:rPr>
            </w:pPr>
            <w:r w:rsidRPr="006B3880">
              <w:t>L’</w:t>
            </w:r>
            <w:r w:rsidRPr="006B3880">
              <w:rPr>
                <w:rFonts w:cs="Arial"/>
              </w:rPr>
              <w:t>alimentation adéquate de la femme enceinte et de la femme allaitante</w:t>
            </w:r>
          </w:p>
          <w:p w14:paraId="11971FBC" w14:textId="77777777" w:rsidR="00C0133D" w:rsidRPr="006B3880" w:rsidRDefault="00C0133D" w:rsidP="00A97663">
            <w:pPr>
              <w:pStyle w:val="Paragraphedeliste"/>
              <w:numPr>
                <w:ilvl w:val="0"/>
                <w:numId w:val="68"/>
              </w:numPr>
              <w:jc w:val="both"/>
              <w:rPr>
                <w:rFonts w:ascii="Cambria" w:hAnsi="Cambria"/>
              </w:rPr>
            </w:pPr>
            <w:r w:rsidRPr="006B3880">
              <w:rPr>
                <w:rFonts w:ascii="Cambria" w:hAnsi="Cambria"/>
              </w:rPr>
              <w:t>Réinsertion sociale des femmes victimes de fistule obstétricale</w:t>
            </w:r>
          </w:p>
          <w:p w14:paraId="6DA9367A" w14:textId="77777777" w:rsidR="00C0133D" w:rsidRPr="006B3880" w:rsidRDefault="00C0133D" w:rsidP="00A97663">
            <w:pPr>
              <w:pStyle w:val="Paragraphedeliste"/>
              <w:numPr>
                <w:ilvl w:val="0"/>
                <w:numId w:val="68"/>
              </w:numPr>
              <w:jc w:val="both"/>
              <w:rPr>
                <w:rFonts w:ascii="Cambria" w:hAnsi="Cambria"/>
              </w:rPr>
            </w:pPr>
            <w:r w:rsidRPr="006B3880">
              <w:rPr>
                <w:rFonts w:cs="Calibri"/>
              </w:rPr>
              <w:t>Renforcer les interventions communautaires pour les aspects d’IEC/CCC pour le dépistage du VIH et la CPN</w:t>
            </w:r>
          </w:p>
          <w:p w14:paraId="0F9BD598" w14:textId="77777777" w:rsidR="00C0133D" w:rsidRPr="006B3880" w:rsidRDefault="00C0133D" w:rsidP="00A97663">
            <w:pPr>
              <w:pStyle w:val="Paragraphedeliste"/>
              <w:numPr>
                <w:ilvl w:val="0"/>
                <w:numId w:val="68"/>
              </w:numPr>
              <w:rPr>
                <w:rFonts w:cs="Arial"/>
              </w:rPr>
            </w:pPr>
            <w:r w:rsidRPr="006B3880">
              <w:rPr>
                <w:rFonts w:ascii="Cambria" w:hAnsi="Cambria"/>
              </w:rPr>
              <w:t>Promotion</w:t>
            </w:r>
            <w:r w:rsidRPr="006B3880">
              <w:rPr>
                <w:rFonts w:ascii="Calibri" w:hAnsi="Calibri" w:cs="Calibri"/>
              </w:rPr>
              <w:t xml:space="preserve"> de l’utilisation des moustiquaires imprégnées chez la femme enceinte</w:t>
            </w:r>
          </w:p>
        </w:tc>
        <w:tc>
          <w:tcPr>
            <w:tcW w:w="3686" w:type="dxa"/>
          </w:tcPr>
          <w:p w14:paraId="685DD1A7" w14:textId="77777777" w:rsidR="00C0133D" w:rsidRPr="006B3880" w:rsidRDefault="00C0133D" w:rsidP="00A97663">
            <w:pPr>
              <w:pStyle w:val="Paragraphedeliste"/>
              <w:numPr>
                <w:ilvl w:val="0"/>
                <w:numId w:val="70"/>
              </w:numPr>
            </w:pPr>
            <w:bookmarkStart w:id="16" w:name="_Hlk527373990"/>
            <w:r w:rsidRPr="006B3880">
              <w:t>Planification familiale : DIU, implants, stérilisation chirurgicale</w:t>
            </w:r>
          </w:p>
          <w:p w14:paraId="7240DEAA" w14:textId="77777777" w:rsidR="00C0133D" w:rsidRPr="006B3880" w:rsidRDefault="00C0133D" w:rsidP="00A97663">
            <w:pPr>
              <w:pStyle w:val="Paragraphedeliste"/>
              <w:numPr>
                <w:ilvl w:val="0"/>
                <w:numId w:val="70"/>
              </w:numPr>
            </w:pPr>
            <w:r w:rsidRPr="006B3880">
              <w:t>Soins prénatals avec un accent sur la continuité de la Consultation prénatale</w:t>
            </w:r>
          </w:p>
          <w:p w14:paraId="3DAB0849" w14:textId="77777777" w:rsidR="00C0133D" w:rsidRPr="006B3880" w:rsidRDefault="00C0133D" w:rsidP="00A97663">
            <w:pPr>
              <w:pStyle w:val="Paragraphedeliste"/>
              <w:numPr>
                <w:ilvl w:val="0"/>
                <w:numId w:val="70"/>
              </w:numPr>
            </w:pPr>
            <w:r w:rsidRPr="006B3880">
              <w:t>Prévention des fistules obstétricales</w:t>
            </w:r>
          </w:p>
          <w:p w14:paraId="65699AFB" w14:textId="77777777" w:rsidR="00C0133D" w:rsidRPr="006B3880" w:rsidRDefault="00C0133D" w:rsidP="00A97663">
            <w:pPr>
              <w:pStyle w:val="Paragraphedeliste"/>
              <w:numPr>
                <w:ilvl w:val="0"/>
                <w:numId w:val="70"/>
              </w:numPr>
            </w:pPr>
            <w:r w:rsidRPr="006B3880">
              <w:t>Dépistage précoce des cancers du col de l’utérus et du sein</w:t>
            </w:r>
          </w:p>
          <w:p w14:paraId="1F6B6D72" w14:textId="77777777" w:rsidR="00C0133D" w:rsidRPr="006B3880" w:rsidRDefault="00C0133D" w:rsidP="00A97663">
            <w:pPr>
              <w:pStyle w:val="Paragraphedeliste"/>
              <w:numPr>
                <w:ilvl w:val="0"/>
                <w:numId w:val="70"/>
              </w:numPr>
            </w:pPr>
            <w:r w:rsidRPr="006B3880">
              <w:t>Supplémentation en acide folique et fer</w:t>
            </w:r>
          </w:p>
          <w:p w14:paraId="77527538" w14:textId="77777777" w:rsidR="00C0133D" w:rsidRPr="006B3880" w:rsidRDefault="00C0133D" w:rsidP="00A97663">
            <w:pPr>
              <w:pStyle w:val="Paragraphedeliste"/>
              <w:numPr>
                <w:ilvl w:val="0"/>
                <w:numId w:val="70"/>
              </w:numPr>
            </w:pPr>
            <w:r w:rsidRPr="006B3880">
              <w:t>Supplément en micronutriment</w:t>
            </w:r>
          </w:p>
          <w:p w14:paraId="3167D823" w14:textId="77777777" w:rsidR="00C0133D" w:rsidRPr="006B3880" w:rsidRDefault="00C0133D" w:rsidP="00A97663">
            <w:pPr>
              <w:pStyle w:val="Paragraphedeliste"/>
              <w:numPr>
                <w:ilvl w:val="0"/>
                <w:numId w:val="70"/>
              </w:numPr>
            </w:pPr>
            <w:r w:rsidRPr="006B3880">
              <w:t>Intervention en nutrition maternelle avec pour porte d’entrée les soins prénatals</w:t>
            </w:r>
          </w:p>
          <w:p w14:paraId="77DB74AD" w14:textId="77777777" w:rsidR="00C0133D" w:rsidRPr="006B3880" w:rsidRDefault="00C0133D" w:rsidP="00A97663">
            <w:pPr>
              <w:pStyle w:val="Paragraphedeliste"/>
              <w:numPr>
                <w:ilvl w:val="0"/>
                <w:numId w:val="70"/>
              </w:numPr>
            </w:pPr>
            <w:r w:rsidRPr="006B3880">
              <w:t>Alimentation adaptée de la femme enceinte et allaitante</w:t>
            </w:r>
          </w:p>
          <w:p w14:paraId="3918195E" w14:textId="77777777" w:rsidR="00C0133D" w:rsidRPr="006B3880" w:rsidRDefault="00C0133D" w:rsidP="00A97663">
            <w:pPr>
              <w:pStyle w:val="Paragraphedeliste"/>
              <w:numPr>
                <w:ilvl w:val="0"/>
                <w:numId w:val="70"/>
              </w:numPr>
            </w:pPr>
            <w:r w:rsidRPr="006B3880">
              <w:t>Vaccination antitétanique</w:t>
            </w:r>
          </w:p>
          <w:p w14:paraId="6C920330" w14:textId="77777777" w:rsidR="00C0133D" w:rsidRPr="006B3880" w:rsidRDefault="00C0133D" w:rsidP="00A97663">
            <w:pPr>
              <w:pStyle w:val="Paragraphedeliste"/>
              <w:numPr>
                <w:ilvl w:val="0"/>
                <w:numId w:val="70"/>
              </w:numPr>
            </w:pPr>
            <w:r w:rsidRPr="006B3880">
              <w:t>Traitement préventif intermittent du Paludisme chez la femme enceinte</w:t>
            </w:r>
          </w:p>
          <w:p w14:paraId="389132B0" w14:textId="77777777" w:rsidR="00C0133D" w:rsidRPr="006B3880" w:rsidRDefault="00C0133D" w:rsidP="00A97663">
            <w:pPr>
              <w:pStyle w:val="Paragraphedeliste"/>
              <w:numPr>
                <w:ilvl w:val="0"/>
                <w:numId w:val="70"/>
              </w:numPr>
            </w:pPr>
            <w:r w:rsidRPr="006B3880">
              <w:t>Utilisation des MILDA chez la femme enceinte</w:t>
            </w:r>
            <w:bookmarkEnd w:id="16"/>
          </w:p>
        </w:tc>
        <w:tc>
          <w:tcPr>
            <w:tcW w:w="6344" w:type="dxa"/>
          </w:tcPr>
          <w:p w14:paraId="3552534B" w14:textId="77777777" w:rsidR="00C0133D" w:rsidRPr="006B3880" w:rsidRDefault="00C0133D" w:rsidP="00A97663">
            <w:pPr>
              <w:pStyle w:val="Paragraphedeliste"/>
              <w:numPr>
                <w:ilvl w:val="0"/>
                <w:numId w:val="71"/>
              </w:numPr>
              <w:rPr>
                <w:b/>
              </w:rPr>
            </w:pPr>
            <w:r w:rsidRPr="006B3880">
              <w:rPr>
                <w:b/>
              </w:rPr>
              <w:t>Améliorer l’offre des SONUC a</w:t>
            </w:r>
            <w:r w:rsidRPr="006B3880">
              <w:t>vec un renforcement sur :</w:t>
            </w:r>
          </w:p>
          <w:p w14:paraId="3252376B" w14:textId="77777777" w:rsidR="00C0133D" w:rsidRPr="006B3880" w:rsidRDefault="00C0133D" w:rsidP="00A97663">
            <w:pPr>
              <w:pStyle w:val="Paragraphedeliste"/>
              <w:numPr>
                <w:ilvl w:val="0"/>
                <w:numId w:val="72"/>
              </w:numPr>
            </w:pPr>
            <w:r w:rsidRPr="006B3880">
              <w:t xml:space="preserve">Réanimation du N-N, </w:t>
            </w:r>
            <w:r w:rsidRPr="006B3880">
              <w:rPr>
                <w:rFonts w:cs="Arial"/>
                <w:bCs/>
              </w:rPr>
              <w:t>antibiotiques aux prématurés ou rupture prématurée des membranes prolongée, méthode kangourou pour prématurées ou N-N.</w:t>
            </w:r>
          </w:p>
          <w:p w14:paraId="1724CF2D" w14:textId="77777777" w:rsidR="00C0133D" w:rsidRPr="006B3880" w:rsidRDefault="00C0133D" w:rsidP="00A97663">
            <w:pPr>
              <w:pStyle w:val="Paragraphedeliste"/>
              <w:numPr>
                <w:ilvl w:val="0"/>
                <w:numId w:val="71"/>
              </w:numPr>
              <w:rPr>
                <w:rFonts w:cs="Calibri"/>
              </w:rPr>
            </w:pPr>
            <w:r w:rsidRPr="006B3880">
              <w:t xml:space="preserve">Transfusion, l’administration parentérale d’anticonvulsivants, Corticostéroïdes en travail prématuré et l’évacuation utérine après accouchement, Prise en charge de la prééclampsie (MgSO4), </w:t>
            </w:r>
            <w:r w:rsidRPr="006B3880">
              <w:rPr>
                <w:rFonts w:cs="Arial"/>
              </w:rPr>
              <w:t xml:space="preserve">Passer à l’échelle l’utilisation de la carte de Préparation à l’Accouchement et aux Urgences obstétricales et néonatales, </w:t>
            </w:r>
            <w:r w:rsidRPr="006B3880">
              <w:rPr>
                <w:rFonts w:ascii="Calibri" w:hAnsi="Calibri" w:cs="Calibri"/>
              </w:rPr>
              <w:t xml:space="preserve">Prise en charge des cas de sepsis maternel, </w:t>
            </w:r>
            <w:r w:rsidRPr="006B3880">
              <w:rPr>
                <w:rFonts w:ascii="Times New Roman" w:eastAsia="Times New Roman" w:hAnsi="Times New Roman"/>
                <w:bCs/>
                <w:color w:val="000000"/>
                <w:lang w:eastAsia="fr-FR"/>
              </w:rPr>
              <w:t>audits des décès maternels et néonatals</w:t>
            </w:r>
            <w:r w:rsidRPr="006B3880">
              <w:rPr>
                <w:rFonts w:cs="Arial"/>
              </w:rPr>
              <w:t xml:space="preserve"> </w:t>
            </w:r>
          </w:p>
          <w:p w14:paraId="7A2CB9E0" w14:textId="77777777" w:rsidR="00C0133D" w:rsidRPr="006B3880" w:rsidRDefault="00C0133D" w:rsidP="00A97663">
            <w:pPr>
              <w:pStyle w:val="Paragraphedeliste"/>
              <w:numPr>
                <w:ilvl w:val="0"/>
                <w:numId w:val="71"/>
              </w:numPr>
              <w:rPr>
                <w:rFonts w:cs="Arial"/>
              </w:rPr>
            </w:pPr>
            <w:r w:rsidRPr="006B3880">
              <w:rPr>
                <w:rFonts w:cs="Arial"/>
              </w:rPr>
              <w:t>Renforcement de la référence et contre référence</w:t>
            </w:r>
          </w:p>
          <w:p w14:paraId="20E3BFFC" w14:textId="77777777" w:rsidR="00C0133D" w:rsidRPr="006B3880" w:rsidRDefault="00C0133D" w:rsidP="00A97663">
            <w:pPr>
              <w:pStyle w:val="Paragraphedeliste"/>
              <w:numPr>
                <w:ilvl w:val="0"/>
                <w:numId w:val="71"/>
              </w:numPr>
              <w:rPr>
                <w:rFonts w:cs="Arial"/>
              </w:rPr>
            </w:pPr>
            <w:r w:rsidRPr="006B3880">
              <w:rPr>
                <w:rFonts w:cs="Calibri"/>
              </w:rPr>
              <w:t>Renforcer les Soins Essentiels au Nouveau-né et les soins maternels Kangourou (SMK) et assurer le Suivi de la mise en œuvre des SENN</w:t>
            </w:r>
          </w:p>
          <w:p w14:paraId="5C48F8E4" w14:textId="77777777" w:rsidR="00C0133D" w:rsidRPr="006B3880" w:rsidRDefault="00C0133D" w:rsidP="00A97663">
            <w:pPr>
              <w:pStyle w:val="Paragraphedeliste"/>
              <w:numPr>
                <w:ilvl w:val="0"/>
                <w:numId w:val="71"/>
              </w:numPr>
              <w:rPr>
                <w:rFonts w:cs="Arial"/>
              </w:rPr>
            </w:pPr>
            <w:r w:rsidRPr="006B3880">
              <w:rPr>
                <w:rFonts w:cs="Calibri"/>
              </w:rPr>
              <w:t>Détection précoce des handicaps</w:t>
            </w:r>
          </w:p>
          <w:p w14:paraId="76813491" w14:textId="77777777" w:rsidR="00C0133D" w:rsidRPr="006B3880" w:rsidRDefault="00C0133D" w:rsidP="00A97663">
            <w:pPr>
              <w:pStyle w:val="Paragraphedeliste"/>
              <w:numPr>
                <w:ilvl w:val="0"/>
                <w:numId w:val="71"/>
              </w:numPr>
            </w:pPr>
            <w:r w:rsidRPr="006B3880">
              <w:t>Accouchements assistés par du personnel qualifié</w:t>
            </w:r>
          </w:p>
          <w:p w14:paraId="55CA9489" w14:textId="77777777" w:rsidR="00C0133D" w:rsidRPr="006B3880" w:rsidRDefault="00C0133D" w:rsidP="00A97663">
            <w:pPr>
              <w:pStyle w:val="Paragraphedeliste"/>
              <w:numPr>
                <w:ilvl w:val="0"/>
                <w:numId w:val="71"/>
              </w:numPr>
              <w:rPr>
                <w:rFonts w:cs="Calibri"/>
              </w:rPr>
            </w:pPr>
            <w:r w:rsidRPr="006B3880">
              <w:rPr>
                <w:rFonts w:cs="Calibri"/>
              </w:rPr>
              <w:t>Soins post-natals</w:t>
            </w:r>
          </w:p>
          <w:p w14:paraId="57B14155" w14:textId="77777777" w:rsidR="00C0133D" w:rsidRPr="006B3880" w:rsidRDefault="00C0133D" w:rsidP="00A97663">
            <w:pPr>
              <w:pStyle w:val="Paragraphedeliste"/>
              <w:numPr>
                <w:ilvl w:val="0"/>
                <w:numId w:val="71"/>
              </w:numPr>
              <w:rPr>
                <w:rFonts w:cs="Calibri"/>
              </w:rPr>
            </w:pPr>
            <w:r w:rsidRPr="006B3880">
              <w:rPr>
                <w:rFonts w:cs="Calibri"/>
              </w:rPr>
              <w:t>Soins après avortements</w:t>
            </w:r>
          </w:p>
          <w:p w14:paraId="4624337E" w14:textId="77777777" w:rsidR="00C0133D" w:rsidRPr="006B3880" w:rsidRDefault="00C0133D" w:rsidP="00A97663">
            <w:pPr>
              <w:pStyle w:val="Paragraphedeliste"/>
              <w:numPr>
                <w:ilvl w:val="0"/>
                <w:numId w:val="71"/>
              </w:numPr>
              <w:rPr>
                <w:rFonts w:cs="Arial"/>
              </w:rPr>
            </w:pPr>
            <w:r w:rsidRPr="006B3880">
              <w:rPr>
                <w:rFonts w:cs="Arial"/>
              </w:rPr>
              <w:t xml:space="preserve">Prise en charge chirurgicale, psychologique et réhabilitation des Femmes victimes de fistule obstétricale </w:t>
            </w:r>
          </w:p>
          <w:p w14:paraId="75D84BE7" w14:textId="77777777" w:rsidR="00C0133D" w:rsidRPr="006B3880" w:rsidRDefault="00C0133D" w:rsidP="00A97663">
            <w:pPr>
              <w:pStyle w:val="Paragraphedeliste"/>
              <w:numPr>
                <w:ilvl w:val="0"/>
                <w:numId w:val="71"/>
              </w:numPr>
              <w:rPr>
                <w:rFonts w:cs="Calibri"/>
              </w:rPr>
            </w:pPr>
            <w:r w:rsidRPr="006B3880">
              <w:rPr>
                <w:rFonts w:cs="Arial"/>
              </w:rPr>
              <w:t xml:space="preserve">Prise en charge des cancers du col de l’utérus et du sein </w:t>
            </w:r>
          </w:p>
          <w:p w14:paraId="05E4C2AD" w14:textId="77777777" w:rsidR="00C0133D" w:rsidRPr="006B3880" w:rsidRDefault="00C0133D" w:rsidP="00A97663">
            <w:pPr>
              <w:pStyle w:val="Paragraphedeliste"/>
              <w:numPr>
                <w:ilvl w:val="0"/>
                <w:numId w:val="71"/>
              </w:numPr>
              <w:jc w:val="both"/>
              <w:rPr>
                <w:rFonts w:cs="Arial"/>
              </w:rPr>
            </w:pPr>
            <w:r w:rsidRPr="006B3880">
              <w:rPr>
                <w:rFonts w:cs="Arial"/>
              </w:rPr>
              <w:t xml:space="preserve">Renforcer les activités de l’ETME du VIH : </w:t>
            </w:r>
            <w:r w:rsidRPr="006B3880">
              <w:rPr>
                <w:rFonts w:cs="Calibri"/>
              </w:rPr>
              <w:t xml:space="preserve">dépistage VIH en couplant le dépistage VIH à l’offre de PF, </w:t>
            </w:r>
            <w:r w:rsidRPr="006B3880">
              <w:rPr>
                <w:rFonts w:cs="Arial"/>
              </w:rPr>
              <w:t xml:space="preserve">communication en faveur de la PF et dépistage VIH, supervision </w:t>
            </w:r>
          </w:p>
          <w:p w14:paraId="340D0DBD" w14:textId="77777777" w:rsidR="00C0133D" w:rsidRPr="006B3880" w:rsidRDefault="00C0133D" w:rsidP="00A97663">
            <w:pPr>
              <w:pStyle w:val="Paragraphedeliste"/>
              <w:numPr>
                <w:ilvl w:val="0"/>
                <w:numId w:val="71"/>
              </w:numPr>
              <w:autoSpaceDE w:val="0"/>
              <w:autoSpaceDN w:val="0"/>
              <w:adjustRightInd w:val="0"/>
              <w:rPr>
                <w:rFonts w:ascii="Calibri" w:hAnsi="Calibri" w:cs="Calibri"/>
              </w:rPr>
            </w:pPr>
            <w:bookmarkStart w:id="17" w:name="_Hlk527375353"/>
            <w:r w:rsidRPr="006B3880">
              <w:rPr>
                <w:rFonts w:ascii="Calibri" w:hAnsi="Calibri" w:cs="Calibri"/>
              </w:rPr>
              <w:t xml:space="preserve">Traitement de la malnutrition aigüe sévère (MAS) et de la malnutrition aigüe modérée chez les FE/FA </w:t>
            </w:r>
            <w:bookmarkEnd w:id="17"/>
          </w:p>
        </w:tc>
      </w:tr>
    </w:tbl>
    <w:p w14:paraId="45450169" w14:textId="77777777" w:rsidR="00C0133D" w:rsidRDefault="00C0133D" w:rsidP="00C0133D"/>
    <w:tbl>
      <w:tblPr>
        <w:tblStyle w:val="Grilledutableau"/>
        <w:tblW w:w="13994" w:type="dxa"/>
        <w:tblLook w:val="04A0" w:firstRow="1" w:lastRow="0" w:firstColumn="1" w:lastColumn="0" w:noHBand="0" w:noVBand="1"/>
      </w:tblPr>
      <w:tblGrid>
        <w:gridCol w:w="3964"/>
        <w:gridCol w:w="3686"/>
        <w:gridCol w:w="2977"/>
        <w:gridCol w:w="3367"/>
      </w:tblGrid>
      <w:tr w:rsidR="00C0133D" w:rsidRPr="0027503D" w14:paraId="754B579B" w14:textId="77777777" w:rsidTr="00C0133D">
        <w:tc>
          <w:tcPr>
            <w:tcW w:w="3964" w:type="dxa"/>
            <w:shd w:val="clear" w:color="auto" w:fill="DBE5F1" w:themeFill="accent1" w:themeFillTint="33"/>
          </w:tcPr>
          <w:p w14:paraId="0353F53C" w14:textId="77777777" w:rsidR="00C0133D" w:rsidRPr="0027503D" w:rsidRDefault="00C0133D" w:rsidP="00C0133D">
            <w:pPr>
              <w:spacing w:line="360" w:lineRule="auto"/>
            </w:pPr>
            <w:r>
              <w:t>SANTE DE L’ENFANT</w:t>
            </w:r>
          </w:p>
        </w:tc>
        <w:tc>
          <w:tcPr>
            <w:tcW w:w="3686" w:type="dxa"/>
            <w:shd w:val="clear" w:color="auto" w:fill="DBE5F1" w:themeFill="accent1" w:themeFillTint="33"/>
          </w:tcPr>
          <w:p w14:paraId="46F3BB57" w14:textId="77777777" w:rsidR="00C0133D" w:rsidRPr="0027503D" w:rsidRDefault="00C0133D" w:rsidP="00C0133D">
            <w:pPr>
              <w:spacing w:line="360" w:lineRule="auto"/>
            </w:pPr>
          </w:p>
        </w:tc>
        <w:tc>
          <w:tcPr>
            <w:tcW w:w="6344" w:type="dxa"/>
            <w:gridSpan w:val="2"/>
            <w:shd w:val="clear" w:color="auto" w:fill="DBE5F1" w:themeFill="accent1" w:themeFillTint="33"/>
          </w:tcPr>
          <w:p w14:paraId="0F66C975" w14:textId="77777777" w:rsidR="00C0133D" w:rsidRPr="0027503D" w:rsidRDefault="00C0133D" w:rsidP="00C0133D">
            <w:pPr>
              <w:spacing w:line="360" w:lineRule="auto"/>
            </w:pPr>
          </w:p>
        </w:tc>
      </w:tr>
      <w:tr w:rsidR="00C0133D" w:rsidRPr="00046CFC" w14:paraId="20876A34" w14:textId="77777777" w:rsidTr="00C0133D">
        <w:tc>
          <w:tcPr>
            <w:tcW w:w="3964" w:type="dxa"/>
          </w:tcPr>
          <w:p w14:paraId="666CC7CC" w14:textId="77777777" w:rsidR="00C0133D" w:rsidRPr="00046CFC" w:rsidRDefault="00C0133D" w:rsidP="00C0133D">
            <w:pPr>
              <w:spacing w:line="360" w:lineRule="auto"/>
              <w:rPr>
                <w:b/>
              </w:rPr>
            </w:pPr>
            <w:r w:rsidRPr="00046CFC">
              <w:rPr>
                <w:b/>
              </w:rPr>
              <w:t>Pratique communautaire</w:t>
            </w:r>
          </w:p>
        </w:tc>
        <w:tc>
          <w:tcPr>
            <w:tcW w:w="3686" w:type="dxa"/>
          </w:tcPr>
          <w:p w14:paraId="7639CBED" w14:textId="77777777" w:rsidR="00C0133D" w:rsidRPr="00046CFC" w:rsidRDefault="00C0133D" w:rsidP="00C0133D">
            <w:pPr>
              <w:spacing w:line="360" w:lineRule="auto"/>
              <w:rPr>
                <w:b/>
              </w:rPr>
            </w:pPr>
            <w:r w:rsidRPr="00046CFC">
              <w:rPr>
                <w:b/>
              </w:rPr>
              <w:t>Pratique préventive</w:t>
            </w:r>
          </w:p>
        </w:tc>
        <w:tc>
          <w:tcPr>
            <w:tcW w:w="6344" w:type="dxa"/>
            <w:gridSpan w:val="2"/>
          </w:tcPr>
          <w:p w14:paraId="225135BD" w14:textId="77777777" w:rsidR="00C0133D" w:rsidRPr="00046CFC" w:rsidRDefault="00C0133D" w:rsidP="00C0133D">
            <w:pPr>
              <w:spacing w:line="360" w:lineRule="auto"/>
              <w:rPr>
                <w:b/>
              </w:rPr>
            </w:pPr>
            <w:r w:rsidRPr="00046CFC">
              <w:rPr>
                <w:b/>
              </w:rPr>
              <w:t>Pratique curative</w:t>
            </w:r>
          </w:p>
        </w:tc>
      </w:tr>
      <w:tr w:rsidR="00C0133D" w:rsidRPr="0027503D" w14:paraId="6838FEF8" w14:textId="77777777" w:rsidTr="00C0133D">
        <w:trPr>
          <w:trHeight w:val="3149"/>
        </w:trPr>
        <w:tc>
          <w:tcPr>
            <w:tcW w:w="3964" w:type="dxa"/>
          </w:tcPr>
          <w:p w14:paraId="06021EDE" w14:textId="77777777" w:rsidR="00C0133D" w:rsidRDefault="00C0133D" w:rsidP="00A97663">
            <w:pPr>
              <w:pStyle w:val="Paragraphedeliste"/>
              <w:numPr>
                <w:ilvl w:val="0"/>
                <w:numId w:val="73"/>
              </w:numPr>
            </w:pPr>
            <w:bookmarkStart w:id="18" w:name="_Hlk527374807"/>
            <w:r>
              <w:t xml:space="preserve">Promotion des pratiques d’hygiène et assainissement : </w:t>
            </w:r>
          </w:p>
          <w:p w14:paraId="1A66D330" w14:textId="77777777" w:rsidR="00C0133D" w:rsidRPr="00B7078D" w:rsidRDefault="00C0133D" w:rsidP="00A97663">
            <w:pPr>
              <w:pStyle w:val="Paragraphedeliste"/>
              <w:numPr>
                <w:ilvl w:val="0"/>
                <w:numId w:val="55"/>
              </w:numPr>
              <w:ind w:left="720"/>
              <w:rPr>
                <w:rFonts w:ascii="Calibri-Bold" w:hAnsi="Calibri-Bold" w:cs="Calibri-Bold"/>
                <w:bCs/>
                <w:sz w:val="21"/>
                <w:szCs w:val="21"/>
              </w:rPr>
            </w:pPr>
            <w:r w:rsidRPr="00B7078D">
              <w:rPr>
                <w:rFonts w:ascii="Calibri-Bold" w:hAnsi="Calibri-Bold" w:cs="Calibri-Bold"/>
                <w:bCs/>
                <w:sz w:val="21"/>
                <w:szCs w:val="21"/>
              </w:rPr>
              <w:t>Utilisation de source d’eau améliorée</w:t>
            </w:r>
          </w:p>
          <w:p w14:paraId="75C0962D" w14:textId="77777777" w:rsidR="00C0133D" w:rsidRPr="00B7078D" w:rsidRDefault="00C0133D" w:rsidP="00A97663">
            <w:pPr>
              <w:pStyle w:val="Paragraphedeliste"/>
              <w:numPr>
                <w:ilvl w:val="0"/>
                <w:numId w:val="55"/>
              </w:numPr>
              <w:ind w:left="720"/>
              <w:rPr>
                <w:rFonts w:ascii="Calibri-Bold" w:hAnsi="Calibri-Bold" w:cs="Calibri-Bold"/>
                <w:bCs/>
                <w:sz w:val="21"/>
                <w:szCs w:val="21"/>
              </w:rPr>
            </w:pPr>
            <w:r w:rsidRPr="00B7078D">
              <w:rPr>
                <w:rFonts w:ascii="Calibri-Bold" w:hAnsi="Calibri-Bold" w:cs="Calibri-Bold"/>
                <w:bCs/>
                <w:sz w:val="21"/>
                <w:szCs w:val="21"/>
              </w:rPr>
              <w:t>Utilisation de toilettes améliorées</w:t>
            </w:r>
          </w:p>
          <w:p w14:paraId="784E2FF5" w14:textId="77777777" w:rsidR="00C0133D" w:rsidRPr="00B7078D" w:rsidRDefault="00C0133D" w:rsidP="00A97663">
            <w:pPr>
              <w:pStyle w:val="Paragraphedeliste"/>
              <w:numPr>
                <w:ilvl w:val="0"/>
                <w:numId w:val="55"/>
              </w:numPr>
              <w:ind w:left="720"/>
              <w:rPr>
                <w:rFonts w:ascii="Calibri-Bold" w:hAnsi="Calibri-Bold" w:cs="Calibri-Bold"/>
                <w:bCs/>
                <w:sz w:val="21"/>
                <w:szCs w:val="21"/>
              </w:rPr>
            </w:pPr>
            <w:r w:rsidRPr="00B7078D">
              <w:rPr>
                <w:rFonts w:ascii="Calibri-Bold" w:hAnsi="Calibri-Bold" w:cs="Calibri-Bold"/>
                <w:bCs/>
                <w:sz w:val="21"/>
                <w:szCs w:val="21"/>
              </w:rPr>
              <w:t>Elimination sécuritaire des selles des enfants</w:t>
            </w:r>
          </w:p>
          <w:p w14:paraId="6A92D4B2" w14:textId="77777777" w:rsidR="00C0133D" w:rsidRPr="0027503D" w:rsidRDefault="00C0133D" w:rsidP="00A97663">
            <w:pPr>
              <w:pStyle w:val="Paragraphedeliste"/>
              <w:numPr>
                <w:ilvl w:val="0"/>
                <w:numId w:val="55"/>
              </w:numPr>
              <w:ind w:left="720"/>
            </w:pPr>
            <w:r w:rsidRPr="00B7078D">
              <w:rPr>
                <w:rFonts w:ascii="Calibri-Bold" w:hAnsi="Calibri-Bold" w:cs="Calibri-Bold"/>
                <w:bCs/>
                <w:sz w:val="21"/>
                <w:szCs w:val="21"/>
              </w:rPr>
              <w:t>Lavage des mains</w:t>
            </w:r>
          </w:p>
          <w:p w14:paraId="1DF692E6" w14:textId="77777777" w:rsidR="00C0133D" w:rsidRPr="00046CFC" w:rsidRDefault="00C0133D" w:rsidP="00A97663">
            <w:pPr>
              <w:pStyle w:val="Paragraphedeliste"/>
              <w:numPr>
                <w:ilvl w:val="0"/>
                <w:numId w:val="73"/>
              </w:numPr>
              <w:rPr>
                <w:rFonts w:cs="Calibri"/>
              </w:rPr>
            </w:pPr>
            <w:r w:rsidRPr="00046CFC">
              <w:rPr>
                <w:rFonts w:cs="Calibri"/>
              </w:rPr>
              <w:t>Etendre le paquet complet de la PCIME communautaire dans les régions non couvertes</w:t>
            </w:r>
            <w:r w:rsidRPr="00046CFC">
              <w:rPr>
                <w:rFonts w:cs="Calibri"/>
                <w:b/>
              </w:rPr>
              <w:t xml:space="preserve"> </w:t>
            </w:r>
          </w:p>
          <w:p w14:paraId="176E3A0E" w14:textId="77777777" w:rsidR="00C0133D" w:rsidRPr="00046CFC" w:rsidRDefault="00C0133D" w:rsidP="00A97663">
            <w:pPr>
              <w:pStyle w:val="Paragraphedeliste"/>
              <w:numPr>
                <w:ilvl w:val="0"/>
                <w:numId w:val="73"/>
              </w:numPr>
              <w:rPr>
                <w:rFonts w:cs="Calibri"/>
              </w:rPr>
            </w:pPr>
            <w:r w:rsidRPr="00046CFC">
              <w:rPr>
                <w:rFonts w:cs="Calibri"/>
              </w:rPr>
              <w:t xml:space="preserve">Faire la promotion de l’ANJE </w:t>
            </w:r>
            <w:bookmarkEnd w:id="18"/>
          </w:p>
        </w:tc>
        <w:tc>
          <w:tcPr>
            <w:tcW w:w="3686" w:type="dxa"/>
          </w:tcPr>
          <w:p w14:paraId="7AB5DCE9" w14:textId="77777777" w:rsidR="00C0133D" w:rsidRPr="00D24A70" w:rsidRDefault="00C0133D" w:rsidP="00A97663">
            <w:pPr>
              <w:pStyle w:val="Paragraphedeliste"/>
              <w:numPr>
                <w:ilvl w:val="0"/>
                <w:numId w:val="74"/>
              </w:numPr>
              <w:autoSpaceDE w:val="0"/>
              <w:autoSpaceDN w:val="0"/>
              <w:adjustRightInd w:val="0"/>
              <w:rPr>
                <w:rFonts w:ascii="Calibri" w:hAnsi="Calibri" w:cs="Calibri"/>
                <w:sz w:val="21"/>
                <w:szCs w:val="21"/>
              </w:rPr>
            </w:pPr>
            <w:bookmarkStart w:id="19" w:name="_Hlk527374840"/>
            <w:r w:rsidRPr="00046CFC">
              <w:rPr>
                <w:rFonts w:ascii="Calibri" w:hAnsi="Calibri" w:cs="Calibri"/>
                <w:sz w:val="21"/>
                <w:szCs w:val="21"/>
              </w:rPr>
              <w:t>Supplément en vitamine A chez l’enfant</w:t>
            </w:r>
            <w:r>
              <w:rPr>
                <w:rFonts w:ascii="Calibri" w:hAnsi="Calibri" w:cs="Calibri"/>
                <w:sz w:val="21"/>
                <w:szCs w:val="21"/>
              </w:rPr>
              <w:t xml:space="preserve"> </w:t>
            </w:r>
            <w:r w:rsidRPr="00D24A70">
              <w:rPr>
                <w:rFonts w:ascii="Calibri" w:hAnsi="Calibri" w:cs="Calibri"/>
                <w:sz w:val="21"/>
                <w:szCs w:val="21"/>
              </w:rPr>
              <w:t>de 6 mois ou plus</w:t>
            </w:r>
          </w:p>
          <w:p w14:paraId="2DE8CED5" w14:textId="77777777" w:rsidR="00C0133D" w:rsidRDefault="00C0133D" w:rsidP="00A97663">
            <w:pPr>
              <w:pStyle w:val="Paragraphedeliste"/>
              <w:numPr>
                <w:ilvl w:val="0"/>
                <w:numId w:val="74"/>
              </w:numPr>
              <w:autoSpaceDE w:val="0"/>
              <w:autoSpaceDN w:val="0"/>
              <w:adjustRightInd w:val="0"/>
              <w:rPr>
                <w:rFonts w:ascii="Calibri" w:hAnsi="Calibri" w:cs="Calibri"/>
                <w:sz w:val="21"/>
                <w:szCs w:val="21"/>
              </w:rPr>
            </w:pPr>
            <w:r w:rsidRPr="00046CFC">
              <w:rPr>
                <w:rFonts w:ascii="Calibri" w:hAnsi="Calibri" w:cs="Calibri"/>
                <w:sz w:val="21"/>
                <w:szCs w:val="21"/>
              </w:rPr>
              <w:t>Supplément en zinc</w:t>
            </w:r>
          </w:p>
          <w:p w14:paraId="57538257" w14:textId="77777777" w:rsidR="00C0133D" w:rsidRDefault="00C0133D" w:rsidP="00A97663">
            <w:pPr>
              <w:pStyle w:val="Paragraphedeliste"/>
              <w:numPr>
                <w:ilvl w:val="0"/>
                <w:numId w:val="74"/>
              </w:numPr>
              <w:autoSpaceDE w:val="0"/>
              <w:autoSpaceDN w:val="0"/>
              <w:adjustRightInd w:val="0"/>
              <w:rPr>
                <w:rFonts w:ascii="Calibri" w:hAnsi="Calibri" w:cs="Calibri"/>
                <w:sz w:val="21"/>
                <w:szCs w:val="21"/>
              </w:rPr>
            </w:pPr>
            <w:r w:rsidRPr="00046CFC">
              <w:rPr>
                <w:rFonts w:ascii="Calibri" w:hAnsi="Calibri" w:cs="Calibri"/>
                <w:sz w:val="21"/>
                <w:szCs w:val="21"/>
              </w:rPr>
              <w:t>Vaccination au rotavirus</w:t>
            </w:r>
          </w:p>
          <w:p w14:paraId="39BC2FF4" w14:textId="77777777" w:rsidR="00C0133D" w:rsidRDefault="00C0133D" w:rsidP="00A97663">
            <w:pPr>
              <w:pStyle w:val="Paragraphedeliste"/>
              <w:numPr>
                <w:ilvl w:val="0"/>
                <w:numId w:val="74"/>
              </w:numPr>
              <w:autoSpaceDE w:val="0"/>
              <w:autoSpaceDN w:val="0"/>
              <w:adjustRightInd w:val="0"/>
              <w:rPr>
                <w:rFonts w:ascii="Calibri" w:hAnsi="Calibri" w:cs="Calibri"/>
                <w:sz w:val="21"/>
                <w:szCs w:val="21"/>
              </w:rPr>
            </w:pPr>
            <w:r w:rsidRPr="00046CFC">
              <w:rPr>
                <w:rFonts w:ascii="Calibri" w:hAnsi="Calibri" w:cs="Calibri"/>
                <w:sz w:val="21"/>
                <w:szCs w:val="21"/>
              </w:rPr>
              <w:t>Vaccination /PEV avec un accent sur la VAR</w:t>
            </w:r>
          </w:p>
          <w:p w14:paraId="03887025" w14:textId="77777777" w:rsidR="00C0133D" w:rsidRDefault="00C0133D" w:rsidP="00A97663">
            <w:pPr>
              <w:pStyle w:val="Paragraphedeliste"/>
              <w:numPr>
                <w:ilvl w:val="0"/>
                <w:numId w:val="74"/>
              </w:numPr>
              <w:autoSpaceDE w:val="0"/>
              <w:autoSpaceDN w:val="0"/>
              <w:adjustRightInd w:val="0"/>
              <w:rPr>
                <w:rFonts w:ascii="Calibri" w:hAnsi="Calibri" w:cs="Calibri"/>
                <w:sz w:val="21"/>
                <w:szCs w:val="21"/>
              </w:rPr>
            </w:pPr>
            <w:r w:rsidRPr="00046CFC">
              <w:rPr>
                <w:rFonts w:ascii="Calibri" w:hAnsi="Calibri" w:cs="Calibri"/>
                <w:sz w:val="21"/>
                <w:szCs w:val="21"/>
              </w:rPr>
              <w:t>Déparasitage</w:t>
            </w:r>
            <w:bookmarkEnd w:id="19"/>
          </w:p>
          <w:p w14:paraId="24430061" w14:textId="77777777" w:rsidR="00C0133D" w:rsidRPr="00046CFC" w:rsidRDefault="00C0133D" w:rsidP="00A97663">
            <w:pPr>
              <w:pStyle w:val="Paragraphedeliste"/>
              <w:numPr>
                <w:ilvl w:val="0"/>
                <w:numId w:val="74"/>
              </w:numPr>
              <w:autoSpaceDE w:val="0"/>
              <w:autoSpaceDN w:val="0"/>
              <w:adjustRightInd w:val="0"/>
              <w:rPr>
                <w:rFonts w:ascii="Calibri" w:hAnsi="Calibri" w:cs="Calibri"/>
                <w:sz w:val="21"/>
                <w:szCs w:val="21"/>
              </w:rPr>
            </w:pPr>
            <w:r>
              <w:rPr>
                <w:rFonts w:ascii="Calibri" w:hAnsi="Calibri" w:cs="Calibri"/>
                <w:sz w:val="21"/>
                <w:szCs w:val="21"/>
              </w:rPr>
              <w:t>Utilisation de la MILDA</w:t>
            </w:r>
          </w:p>
        </w:tc>
        <w:tc>
          <w:tcPr>
            <w:tcW w:w="6344" w:type="dxa"/>
            <w:gridSpan w:val="2"/>
          </w:tcPr>
          <w:p w14:paraId="397240E9" w14:textId="77777777" w:rsidR="00C0133D" w:rsidRDefault="00C0133D" w:rsidP="00A97663">
            <w:pPr>
              <w:pStyle w:val="Paragraphedeliste"/>
              <w:numPr>
                <w:ilvl w:val="0"/>
                <w:numId w:val="75"/>
              </w:numPr>
            </w:pPr>
            <w:bookmarkStart w:id="20" w:name="_Hlk527374895"/>
            <w:r>
              <w:t>PCIME-REC :</w:t>
            </w:r>
          </w:p>
          <w:p w14:paraId="6F3102E8" w14:textId="77777777" w:rsidR="00C0133D" w:rsidRDefault="00C0133D" w:rsidP="00A97663">
            <w:pPr>
              <w:pStyle w:val="Paragraphedeliste"/>
              <w:numPr>
                <w:ilvl w:val="0"/>
                <w:numId w:val="56"/>
              </w:numPr>
              <w:ind w:left="720"/>
              <w:rPr>
                <w:rFonts w:cs="Calibri"/>
              </w:rPr>
            </w:pPr>
            <w:r w:rsidRPr="00F45B48">
              <w:rPr>
                <w:rFonts w:cs="Calibri"/>
              </w:rPr>
              <w:t>Etendre la mise en œuvre de la PCIME/ REC à 8 régions (Centre, Sahel, CN, CE,</w:t>
            </w:r>
            <w:r>
              <w:rPr>
                <w:rFonts w:cs="Calibri"/>
              </w:rPr>
              <w:t xml:space="preserve"> </w:t>
            </w:r>
            <w:r w:rsidRPr="00F45B48">
              <w:rPr>
                <w:rFonts w:cs="Calibri"/>
              </w:rPr>
              <w:t>PCL,</w:t>
            </w:r>
            <w:r>
              <w:rPr>
                <w:rFonts w:cs="Calibri"/>
              </w:rPr>
              <w:t xml:space="preserve"> </w:t>
            </w:r>
            <w:r w:rsidRPr="00F45B48">
              <w:rPr>
                <w:rFonts w:cs="Calibri"/>
              </w:rPr>
              <w:t>Est, BMH, Nord) </w:t>
            </w:r>
          </w:p>
          <w:p w14:paraId="46497D6F" w14:textId="77777777" w:rsidR="00C0133D" w:rsidRPr="00B90CCA" w:rsidRDefault="00C0133D" w:rsidP="00A97663">
            <w:pPr>
              <w:pStyle w:val="Paragraphedeliste"/>
              <w:numPr>
                <w:ilvl w:val="0"/>
                <w:numId w:val="56"/>
              </w:numPr>
              <w:ind w:left="720"/>
              <w:rPr>
                <w:rFonts w:cs="Calibri"/>
              </w:rPr>
            </w:pPr>
            <w:r w:rsidRPr="00B90CCA">
              <w:rPr>
                <w:rFonts w:cs="Calibri"/>
              </w:rPr>
              <w:t>Prise en charge des infections bactériennes graves chez les jeunes nourrissons malades (0-59 jours) lorsque la référence n’est pas possible</w:t>
            </w:r>
            <w:r>
              <w:rPr>
                <w:rFonts w:cs="Calibri"/>
              </w:rPr>
              <w:t xml:space="preserve">. </w:t>
            </w:r>
          </w:p>
          <w:p w14:paraId="0C5DEE9C" w14:textId="77777777" w:rsidR="00C0133D" w:rsidRDefault="00C0133D" w:rsidP="00A97663">
            <w:pPr>
              <w:pStyle w:val="Paragraphedeliste"/>
              <w:numPr>
                <w:ilvl w:val="0"/>
                <w:numId w:val="75"/>
              </w:numPr>
              <w:rPr>
                <w:rFonts w:ascii="Times New Roman" w:eastAsia="Times New Roman" w:hAnsi="Times New Roman"/>
                <w:bCs/>
                <w:color w:val="000000"/>
                <w:szCs w:val="18"/>
                <w:lang w:eastAsia="fr-FR"/>
              </w:rPr>
            </w:pPr>
            <w:r>
              <w:rPr>
                <w:rFonts w:ascii="Times New Roman" w:eastAsia="Times New Roman" w:hAnsi="Times New Roman"/>
                <w:bCs/>
                <w:color w:val="000000"/>
                <w:szCs w:val="18"/>
                <w:lang w:eastAsia="fr-FR"/>
              </w:rPr>
              <w:t>TETU</w:t>
            </w:r>
            <w:bookmarkEnd w:id="20"/>
          </w:p>
          <w:p w14:paraId="0A977DA3" w14:textId="77777777" w:rsidR="00C0133D" w:rsidRPr="00A059F9" w:rsidRDefault="00C0133D" w:rsidP="00A97663">
            <w:pPr>
              <w:pStyle w:val="Paragraphedeliste"/>
              <w:numPr>
                <w:ilvl w:val="0"/>
                <w:numId w:val="75"/>
              </w:numPr>
              <w:rPr>
                <w:rFonts w:ascii="Calibri" w:hAnsi="Calibri" w:cs="Calibri"/>
                <w:sz w:val="21"/>
                <w:szCs w:val="21"/>
              </w:rPr>
            </w:pPr>
            <w:r>
              <w:rPr>
                <w:rFonts w:ascii="Calibri" w:hAnsi="Calibri" w:cs="Calibri"/>
                <w:sz w:val="21"/>
                <w:szCs w:val="21"/>
              </w:rPr>
              <w:t xml:space="preserve">Traitement de la malnutrition aigüe sévère (MAS) et de la malnutrition aigüe modérée </w:t>
            </w:r>
            <w:r w:rsidRPr="00A059F9">
              <w:rPr>
                <w:rFonts w:ascii="Calibri" w:hAnsi="Calibri" w:cs="Calibri"/>
                <w:sz w:val="21"/>
                <w:szCs w:val="21"/>
              </w:rPr>
              <w:t xml:space="preserve">(MAM) chez les enfants </w:t>
            </w:r>
          </w:p>
          <w:p w14:paraId="70BB9B12" w14:textId="77777777" w:rsidR="00C0133D" w:rsidRPr="00046CFC" w:rsidRDefault="00C0133D" w:rsidP="00C0133D">
            <w:pPr>
              <w:pStyle w:val="Paragraphedeliste"/>
              <w:ind w:left="360"/>
              <w:rPr>
                <w:rFonts w:ascii="Calibri" w:hAnsi="Calibri" w:cs="Calibri"/>
                <w:sz w:val="21"/>
                <w:szCs w:val="21"/>
              </w:rPr>
            </w:pPr>
          </w:p>
        </w:tc>
      </w:tr>
      <w:tr w:rsidR="00C0133D" w:rsidRPr="0027503D" w14:paraId="22C5F0BE" w14:textId="77777777" w:rsidTr="00C0133D">
        <w:tc>
          <w:tcPr>
            <w:tcW w:w="13994" w:type="dxa"/>
            <w:gridSpan w:val="4"/>
            <w:shd w:val="clear" w:color="auto" w:fill="DBE5F1" w:themeFill="accent1" w:themeFillTint="33"/>
          </w:tcPr>
          <w:p w14:paraId="537AA2D7" w14:textId="77777777" w:rsidR="00C0133D" w:rsidRPr="00F3176D" w:rsidRDefault="00C0133D" w:rsidP="00C0133D">
            <w:pPr>
              <w:spacing w:line="360" w:lineRule="auto"/>
              <w:rPr>
                <w:rFonts w:ascii="Calibri-Bold" w:hAnsi="Calibri-Bold" w:cs="Calibri-Bold"/>
                <w:bCs/>
              </w:rPr>
            </w:pPr>
            <w:bookmarkStart w:id="21" w:name="_Hlk527376530"/>
            <w:r w:rsidRPr="002E6ACB">
              <w:rPr>
                <w:rFonts w:ascii="Calibri-Bold" w:hAnsi="Calibri-Bold" w:cs="Calibri-Bold"/>
                <w:bCs/>
              </w:rPr>
              <w:t>INTERVENTIONS SPECIFIQUES DESTINEES AUX ADOLESCENTS</w:t>
            </w:r>
            <w:r>
              <w:rPr>
                <w:rFonts w:ascii="Calibri-Bold" w:hAnsi="Calibri-Bold" w:cs="Calibri-Bold"/>
                <w:bCs/>
              </w:rPr>
              <w:t>/</w:t>
            </w:r>
            <w:r w:rsidRPr="002E6ACB">
              <w:rPr>
                <w:rFonts w:ascii="Calibri-Bold" w:hAnsi="Calibri-Bold" w:cs="Calibri-Bold"/>
                <w:bCs/>
              </w:rPr>
              <w:t>JEUNES</w:t>
            </w:r>
            <w:bookmarkEnd w:id="21"/>
          </w:p>
        </w:tc>
      </w:tr>
      <w:tr w:rsidR="00C0133D" w:rsidRPr="00046CFC" w14:paraId="754E24E2" w14:textId="77777777" w:rsidTr="00C0133D">
        <w:tc>
          <w:tcPr>
            <w:tcW w:w="3964" w:type="dxa"/>
          </w:tcPr>
          <w:p w14:paraId="1EB16C50" w14:textId="77777777" w:rsidR="00C0133D" w:rsidRPr="00046CFC" w:rsidRDefault="00C0133D" w:rsidP="00C0133D">
            <w:pPr>
              <w:spacing w:line="360" w:lineRule="auto"/>
              <w:rPr>
                <w:b/>
              </w:rPr>
            </w:pPr>
            <w:r w:rsidRPr="00046CFC">
              <w:rPr>
                <w:b/>
              </w:rPr>
              <w:t>Pratique communautaire</w:t>
            </w:r>
          </w:p>
        </w:tc>
        <w:tc>
          <w:tcPr>
            <w:tcW w:w="6663" w:type="dxa"/>
            <w:gridSpan w:val="2"/>
          </w:tcPr>
          <w:p w14:paraId="1794F0E3" w14:textId="77777777" w:rsidR="00C0133D" w:rsidRPr="00046CFC" w:rsidRDefault="00C0133D" w:rsidP="00C0133D">
            <w:pPr>
              <w:spacing w:line="360" w:lineRule="auto"/>
              <w:rPr>
                <w:b/>
              </w:rPr>
            </w:pPr>
            <w:r w:rsidRPr="00046CFC">
              <w:rPr>
                <w:b/>
              </w:rPr>
              <w:t>Pratique préventive</w:t>
            </w:r>
          </w:p>
        </w:tc>
        <w:tc>
          <w:tcPr>
            <w:tcW w:w="3367" w:type="dxa"/>
          </w:tcPr>
          <w:p w14:paraId="47E9F44E" w14:textId="77777777" w:rsidR="00C0133D" w:rsidRPr="00046CFC" w:rsidRDefault="00C0133D" w:rsidP="00C0133D">
            <w:pPr>
              <w:spacing w:line="360" w:lineRule="auto"/>
              <w:rPr>
                <w:b/>
              </w:rPr>
            </w:pPr>
            <w:r w:rsidRPr="00046CFC">
              <w:rPr>
                <w:b/>
              </w:rPr>
              <w:t>Pratique curative</w:t>
            </w:r>
          </w:p>
        </w:tc>
      </w:tr>
      <w:tr w:rsidR="00C0133D" w:rsidRPr="0027503D" w14:paraId="55A874E8" w14:textId="77777777" w:rsidTr="00C0133D">
        <w:tc>
          <w:tcPr>
            <w:tcW w:w="3964" w:type="dxa"/>
          </w:tcPr>
          <w:p w14:paraId="51E9D60E" w14:textId="77777777" w:rsidR="00C0133D" w:rsidRPr="00046CFC" w:rsidRDefault="00C0133D" w:rsidP="00A97663">
            <w:pPr>
              <w:pStyle w:val="Paragraphedeliste"/>
              <w:numPr>
                <w:ilvl w:val="0"/>
                <w:numId w:val="76"/>
              </w:numPr>
              <w:rPr>
                <w:rFonts w:ascii="Calibri-Bold" w:hAnsi="Calibri-Bold" w:cs="Calibri-Bold"/>
                <w:bCs/>
              </w:rPr>
            </w:pPr>
            <w:bookmarkStart w:id="22" w:name="_Hlk527376558"/>
            <w:bookmarkStart w:id="23" w:name="_Hlk527376591"/>
            <w:r w:rsidRPr="00046CFC">
              <w:rPr>
                <w:rFonts w:ascii="Calibri-Bold" w:hAnsi="Calibri-Bold" w:cs="Calibri-Bold"/>
                <w:bCs/>
              </w:rPr>
              <w:t>Education par les pairs pour les adolescents/jeunes</w:t>
            </w:r>
          </w:p>
          <w:p w14:paraId="12C5BCEB" w14:textId="77777777" w:rsidR="00C0133D" w:rsidRPr="002E3045" w:rsidRDefault="00C0133D" w:rsidP="00A97663">
            <w:pPr>
              <w:pStyle w:val="Paragraphedeliste"/>
              <w:numPr>
                <w:ilvl w:val="0"/>
                <w:numId w:val="76"/>
              </w:numPr>
              <w:rPr>
                <w:rFonts w:ascii="Calibri-Bold" w:hAnsi="Calibri-Bold" w:cs="Calibri-Bold"/>
                <w:bCs/>
              </w:rPr>
            </w:pPr>
            <w:r w:rsidRPr="002E3045">
              <w:rPr>
                <w:rFonts w:ascii="Calibri-Bold" w:hAnsi="Calibri-Bold" w:cs="Calibri-Bold"/>
                <w:bCs/>
              </w:rPr>
              <w:t>Promotion de la Communication Parents-Adolescents</w:t>
            </w:r>
          </w:p>
          <w:p w14:paraId="46ED3114" w14:textId="77777777" w:rsidR="00C0133D" w:rsidRPr="0027503D" w:rsidRDefault="00C0133D" w:rsidP="00A97663">
            <w:pPr>
              <w:pStyle w:val="Paragraphedeliste"/>
              <w:numPr>
                <w:ilvl w:val="0"/>
                <w:numId w:val="76"/>
              </w:numPr>
            </w:pPr>
            <w:r w:rsidRPr="002E3045">
              <w:rPr>
                <w:rFonts w:ascii="Calibri-Bold" w:hAnsi="Calibri-Bold" w:cs="Calibri-Bold"/>
                <w:bCs/>
              </w:rPr>
              <w:t>Distribution de préservatifs</w:t>
            </w:r>
            <w:bookmarkEnd w:id="22"/>
          </w:p>
        </w:tc>
        <w:tc>
          <w:tcPr>
            <w:tcW w:w="6663" w:type="dxa"/>
            <w:gridSpan w:val="2"/>
          </w:tcPr>
          <w:p w14:paraId="14809E77" w14:textId="77777777" w:rsidR="00C0133D" w:rsidRPr="00A059F9" w:rsidRDefault="00C0133D" w:rsidP="00A97663">
            <w:pPr>
              <w:pStyle w:val="Paragraphedeliste"/>
              <w:numPr>
                <w:ilvl w:val="0"/>
                <w:numId w:val="77"/>
              </w:numPr>
              <w:jc w:val="both"/>
              <w:rPr>
                <w:rFonts w:cs="Arial"/>
              </w:rPr>
            </w:pPr>
            <w:r>
              <w:t>A</w:t>
            </w:r>
            <w:r w:rsidRPr="00A30610">
              <w:t>ctivités SRAJ &amp;</w:t>
            </w:r>
            <w:r>
              <w:t xml:space="preserve"> </w:t>
            </w:r>
            <w:r w:rsidRPr="00046CFC">
              <w:rPr>
                <w:rFonts w:cs="Arial"/>
              </w:rPr>
              <w:t>Garantir une sexualité responsable des adolescents et jeunes</w:t>
            </w:r>
            <w:r>
              <w:rPr>
                <w:rFonts w:cs="Arial"/>
              </w:rPr>
              <w:t xml:space="preserve"> : (i) </w:t>
            </w:r>
            <w:r w:rsidRPr="00801520">
              <w:t>Mise en place d'un pool SRAJ dans les établissements scolaires</w:t>
            </w:r>
            <w:r>
              <w:t xml:space="preserve">, (ii) </w:t>
            </w:r>
            <w:r w:rsidRPr="00A059F9">
              <w:rPr>
                <w:rFonts w:cs="Calibri"/>
              </w:rPr>
              <w:t>Mise en œuvre des directives de santé scolaire et universitaire</w:t>
            </w:r>
            <w:r>
              <w:rPr>
                <w:rFonts w:cs="Calibri"/>
              </w:rPr>
              <w:t xml:space="preserve">, (iii) </w:t>
            </w:r>
            <w:r w:rsidRPr="00A059F9">
              <w:rPr>
                <w:rFonts w:cs="Arial"/>
              </w:rPr>
              <w:t>Amélioration de la mise en œuvre des standards SRAJ dans les centres d’écoute</w:t>
            </w:r>
            <w:r>
              <w:rPr>
                <w:rFonts w:cs="Arial"/>
              </w:rPr>
              <w:t xml:space="preserve">, (iv) </w:t>
            </w:r>
            <w:r w:rsidRPr="00A059F9">
              <w:rPr>
                <w:rFonts w:cs="Arial"/>
              </w:rPr>
              <w:t>Promotion des comportements à moindre risque sur la santé sexuelle et reproductive en milieu scolaire et estudiantin</w:t>
            </w:r>
            <w:r>
              <w:rPr>
                <w:rFonts w:cs="Arial"/>
              </w:rPr>
              <w:t xml:space="preserve">, (v) </w:t>
            </w:r>
            <w:r w:rsidRPr="00A059F9">
              <w:rPr>
                <w:rFonts w:cs="Arial"/>
              </w:rPr>
              <w:t>Tenir un atelier trimestriel d’information sur l’évolution des grossesses non désirées en milieu scolaire</w:t>
            </w:r>
            <w:r>
              <w:rPr>
                <w:rFonts w:cs="Arial"/>
              </w:rPr>
              <w:t xml:space="preserve">, (vi) </w:t>
            </w:r>
            <w:r w:rsidRPr="00A059F9">
              <w:rPr>
                <w:rFonts w:cs="Arial"/>
              </w:rPr>
              <w:t>Assurer la collecte et l’analyse des données sur l’évolution des grossesses en milieu scolaire</w:t>
            </w:r>
          </w:p>
          <w:p w14:paraId="254BF8AC" w14:textId="77777777" w:rsidR="00C0133D" w:rsidRDefault="00C0133D" w:rsidP="00A97663">
            <w:pPr>
              <w:pStyle w:val="Paragraphedeliste"/>
              <w:numPr>
                <w:ilvl w:val="0"/>
                <w:numId w:val="77"/>
              </w:numPr>
              <w:jc w:val="both"/>
            </w:pPr>
            <w:r>
              <w:t>Prévention des accidents de la route</w:t>
            </w:r>
          </w:p>
          <w:p w14:paraId="6E8FB639" w14:textId="77777777" w:rsidR="00C0133D" w:rsidRPr="0027503D" w:rsidRDefault="00C0133D" w:rsidP="00A97663">
            <w:pPr>
              <w:pStyle w:val="Paragraphedeliste"/>
              <w:numPr>
                <w:ilvl w:val="0"/>
                <w:numId w:val="77"/>
              </w:numPr>
              <w:jc w:val="both"/>
            </w:pPr>
            <w:r>
              <w:t>Prevention contre le cancer du col de l’utérus</w:t>
            </w:r>
          </w:p>
        </w:tc>
        <w:tc>
          <w:tcPr>
            <w:tcW w:w="3367" w:type="dxa"/>
          </w:tcPr>
          <w:p w14:paraId="1A4E9D73" w14:textId="77777777" w:rsidR="00C0133D" w:rsidRPr="00ED4764" w:rsidRDefault="00C0133D" w:rsidP="00A97663">
            <w:pPr>
              <w:pStyle w:val="Paragraphedeliste"/>
              <w:numPr>
                <w:ilvl w:val="0"/>
                <w:numId w:val="78"/>
              </w:numPr>
              <w:autoSpaceDE w:val="0"/>
              <w:autoSpaceDN w:val="0"/>
              <w:adjustRightInd w:val="0"/>
              <w:rPr>
                <w:rFonts w:ascii="Calibri" w:hAnsi="Calibri" w:cs="Calibri"/>
              </w:rPr>
            </w:pPr>
            <w:bookmarkStart w:id="24" w:name="_Hlk527376637"/>
            <w:r w:rsidRPr="00DD7BE2">
              <w:rPr>
                <w:rFonts w:ascii="Calibri" w:hAnsi="Calibri" w:cs="Calibri"/>
              </w:rPr>
              <w:t>Accouchement assisté par un professionnel de</w:t>
            </w:r>
            <w:r>
              <w:rPr>
                <w:rFonts w:ascii="Calibri" w:hAnsi="Calibri" w:cs="Calibri"/>
              </w:rPr>
              <w:t xml:space="preserve"> </w:t>
            </w:r>
            <w:r w:rsidRPr="00ED4764">
              <w:rPr>
                <w:rFonts w:ascii="Calibri" w:hAnsi="Calibri" w:cs="Calibri"/>
              </w:rPr>
              <w:t>Santé qualifié (pour toutes les adolescentes)</w:t>
            </w:r>
          </w:p>
          <w:p w14:paraId="54FAF841" w14:textId="77777777" w:rsidR="00C0133D" w:rsidRDefault="00C0133D" w:rsidP="00A97663">
            <w:pPr>
              <w:pStyle w:val="Paragraphedeliste"/>
              <w:numPr>
                <w:ilvl w:val="0"/>
                <w:numId w:val="78"/>
              </w:numPr>
              <w:autoSpaceDE w:val="0"/>
              <w:autoSpaceDN w:val="0"/>
              <w:adjustRightInd w:val="0"/>
              <w:rPr>
                <w:rFonts w:ascii="Calibri" w:hAnsi="Calibri" w:cs="Calibri"/>
              </w:rPr>
            </w:pPr>
            <w:r>
              <w:rPr>
                <w:rFonts w:ascii="Calibri" w:hAnsi="Calibri" w:cs="Calibri"/>
              </w:rPr>
              <w:t>Accès des adolescentes aux soins après</w:t>
            </w:r>
          </w:p>
          <w:p w14:paraId="3B12A749" w14:textId="77777777" w:rsidR="00C0133D" w:rsidRPr="00DD7BE2" w:rsidRDefault="00C0133D" w:rsidP="00C0133D">
            <w:pPr>
              <w:pStyle w:val="Paragraphedeliste"/>
              <w:autoSpaceDE w:val="0"/>
              <w:autoSpaceDN w:val="0"/>
              <w:adjustRightInd w:val="0"/>
              <w:ind w:left="360"/>
              <w:rPr>
                <w:rFonts w:ascii="Calibri" w:hAnsi="Calibri" w:cs="Calibri"/>
              </w:rPr>
            </w:pPr>
            <w:r w:rsidRPr="00DD7BE2">
              <w:rPr>
                <w:rFonts w:ascii="Calibri" w:hAnsi="Calibri" w:cs="Calibri"/>
              </w:rPr>
              <w:t>Avortements</w:t>
            </w:r>
            <w:bookmarkEnd w:id="24"/>
          </w:p>
        </w:tc>
      </w:tr>
      <w:bookmarkEnd w:id="23"/>
    </w:tbl>
    <w:p w14:paraId="131C46EA" w14:textId="77777777" w:rsidR="00C0133D" w:rsidRDefault="00C0133D" w:rsidP="00C0133D">
      <w:pPr>
        <w:spacing w:after="0" w:line="360" w:lineRule="auto"/>
        <w:jc w:val="both"/>
        <w:rPr>
          <w:sz w:val="24"/>
          <w:szCs w:val="24"/>
        </w:rPr>
      </w:pPr>
    </w:p>
    <w:p w14:paraId="28E2E5DA" w14:textId="77777777" w:rsidR="00220FDF" w:rsidRDefault="00220FDF" w:rsidP="00C0133D">
      <w:pPr>
        <w:spacing w:after="0" w:line="360" w:lineRule="auto"/>
        <w:jc w:val="both"/>
        <w:rPr>
          <w:sz w:val="24"/>
          <w:szCs w:val="24"/>
        </w:rPr>
        <w:sectPr w:rsidR="00220FDF" w:rsidSect="00C0133D">
          <w:pgSz w:w="16838" w:h="11906" w:orient="landscape"/>
          <w:pgMar w:top="1417" w:right="1417" w:bottom="1417" w:left="1417" w:header="708" w:footer="708" w:gutter="0"/>
          <w:cols w:space="708"/>
          <w:docGrid w:linePitch="360"/>
        </w:sectPr>
      </w:pPr>
    </w:p>
    <w:p w14:paraId="3A99DCDF" w14:textId="1A6B7E8F" w:rsidR="00C15D98" w:rsidRDefault="00C15D98" w:rsidP="00C0133D">
      <w:pPr>
        <w:spacing w:after="0" w:line="360" w:lineRule="auto"/>
        <w:jc w:val="both"/>
        <w:rPr>
          <w:sz w:val="24"/>
          <w:szCs w:val="24"/>
        </w:rPr>
        <w:sectPr w:rsidR="00C15D98" w:rsidSect="00C0133D">
          <w:pgSz w:w="16838" w:h="11906" w:orient="landscape"/>
          <w:pgMar w:top="1417" w:right="1417" w:bottom="1417" w:left="1417" w:header="708" w:footer="708" w:gutter="0"/>
          <w:cols w:space="708"/>
          <w:docGrid w:linePitch="360"/>
        </w:sectPr>
      </w:pPr>
    </w:p>
    <w:p w14:paraId="3BBB22C4" w14:textId="77777777" w:rsidR="00C0133D" w:rsidRDefault="00C0133D" w:rsidP="00A97663">
      <w:pPr>
        <w:pStyle w:val="Paragraphedeliste"/>
        <w:numPr>
          <w:ilvl w:val="2"/>
          <w:numId w:val="58"/>
        </w:numPr>
        <w:autoSpaceDE w:val="0"/>
        <w:autoSpaceDN w:val="0"/>
        <w:adjustRightInd w:val="0"/>
        <w:spacing w:after="0"/>
        <w:jc w:val="both"/>
        <w:rPr>
          <w:rFonts w:cs="Calibri"/>
          <w:b/>
          <w:sz w:val="24"/>
          <w:szCs w:val="24"/>
        </w:rPr>
      </w:pPr>
      <w:bookmarkStart w:id="25" w:name="_Hlk527629253"/>
      <w:r w:rsidRPr="008E49C8">
        <w:rPr>
          <w:rFonts w:cs="Calibri"/>
          <w:b/>
          <w:sz w:val="24"/>
          <w:szCs w:val="24"/>
        </w:rPr>
        <w:lastRenderedPageBreak/>
        <w:t xml:space="preserve">Augmenter la proportion des formations sanitaires </w:t>
      </w:r>
      <w:r>
        <w:rPr>
          <w:rFonts w:cs="Calibri"/>
          <w:b/>
          <w:sz w:val="24"/>
          <w:szCs w:val="24"/>
        </w:rPr>
        <w:t xml:space="preserve">du sous-secteur privé </w:t>
      </w:r>
      <w:r w:rsidRPr="008E49C8">
        <w:rPr>
          <w:rFonts w:cs="Calibri"/>
          <w:b/>
          <w:sz w:val="24"/>
          <w:szCs w:val="24"/>
        </w:rPr>
        <w:t>qui offrent des interventions de</w:t>
      </w:r>
      <w:r>
        <w:rPr>
          <w:rFonts w:cs="Calibri"/>
          <w:b/>
          <w:sz w:val="24"/>
          <w:szCs w:val="24"/>
        </w:rPr>
        <w:t xml:space="preserve"> SRMNEA-N à travers</w:t>
      </w:r>
    </w:p>
    <w:bookmarkEnd w:id="25"/>
    <w:p w14:paraId="1531852F" w14:textId="77777777" w:rsidR="00C0133D" w:rsidRDefault="00C0133D" w:rsidP="00A97663">
      <w:pPr>
        <w:pStyle w:val="Paragraphedeliste"/>
        <w:numPr>
          <w:ilvl w:val="3"/>
          <w:numId w:val="58"/>
        </w:numPr>
        <w:autoSpaceDE w:val="0"/>
        <w:autoSpaceDN w:val="0"/>
        <w:adjustRightInd w:val="0"/>
        <w:spacing w:after="0"/>
        <w:jc w:val="both"/>
        <w:rPr>
          <w:rFonts w:cs="Calibri"/>
          <w:sz w:val="24"/>
          <w:szCs w:val="24"/>
        </w:rPr>
      </w:pPr>
      <w:r>
        <w:rPr>
          <w:rFonts w:cs="Calibri"/>
          <w:sz w:val="24"/>
          <w:szCs w:val="24"/>
        </w:rPr>
        <w:t>La conclusion de partenariat public-privé</w:t>
      </w:r>
    </w:p>
    <w:p w14:paraId="27CF1698" w14:textId="77777777" w:rsidR="00C0133D" w:rsidRDefault="00C0133D" w:rsidP="00A97663">
      <w:pPr>
        <w:pStyle w:val="Paragraphedeliste"/>
        <w:numPr>
          <w:ilvl w:val="3"/>
          <w:numId w:val="58"/>
        </w:numPr>
        <w:autoSpaceDE w:val="0"/>
        <w:autoSpaceDN w:val="0"/>
        <w:adjustRightInd w:val="0"/>
        <w:spacing w:after="0"/>
        <w:jc w:val="both"/>
        <w:rPr>
          <w:rFonts w:cs="Calibri"/>
          <w:sz w:val="24"/>
          <w:szCs w:val="24"/>
        </w:rPr>
      </w:pPr>
      <w:r>
        <w:rPr>
          <w:rFonts w:cs="Calibri"/>
          <w:sz w:val="24"/>
          <w:szCs w:val="24"/>
        </w:rPr>
        <w:t>L’achat ciblé de services</w:t>
      </w:r>
      <w:r w:rsidRPr="008E49C8">
        <w:rPr>
          <w:rFonts w:cs="Calibri"/>
          <w:sz w:val="24"/>
          <w:szCs w:val="24"/>
        </w:rPr>
        <w:t xml:space="preserve"> </w:t>
      </w:r>
    </w:p>
    <w:p w14:paraId="4EA299BD" w14:textId="77777777" w:rsidR="00C0133D" w:rsidRPr="00135BA8" w:rsidRDefault="00C0133D" w:rsidP="00A97663">
      <w:pPr>
        <w:pStyle w:val="Paragraphedeliste"/>
        <w:numPr>
          <w:ilvl w:val="2"/>
          <w:numId w:val="58"/>
        </w:numPr>
        <w:autoSpaceDE w:val="0"/>
        <w:autoSpaceDN w:val="0"/>
        <w:adjustRightInd w:val="0"/>
        <w:spacing w:after="0"/>
        <w:jc w:val="both"/>
        <w:rPr>
          <w:rFonts w:ascii="Calibri" w:hAnsi="Calibri" w:cs="Calibri"/>
          <w:b/>
          <w:sz w:val="24"/>
          <w:szCs w:val="24"/>
        </w:rPr>
      </w:pPr>
      <w:bookmarkStart w:id="26" w:name="_Hlk527629270"/>
      <w:r w:rsidRPr="00135BA8">
        <w:rPr>
          <w:rFonts w:ascii="Calibri" w:hAnsi="Calibri" w:cs="Calibri"/>
          <w:b/>
          <w:sz w:val="24"/>
          <w:szCs w:val="24"/>
        </w:rPr>
        <w:t>Renforcement de l’offre de services intégrés et adaptés aux besoins des adolescent(e)s/ jeunes</w:t>
      </w:r>
    </w:p>
    <w:bookmarkEnd w:id="26"/>
    <w:p w14:paraId="4EF0BD4D" w14:textId="77777777" w:rsidR="00C0133D" w:rsidRPr="00135BA8" w:rsidRDefault="00C0133D" w:rsidP="00A97663">
      <w:pPr>
        <w:pStyle w:val="Paragraphedeliste"/>
        <w:numPr>
          <w:ilvl w:val="3"/>
          <w:numId w:val="58"/>
        </w:numPr>
        <w:autoSpaceDE w:val="0"/>
        <w:autoSpaceDN w:val="0"/>
        <w:adjustRightInd w:val="0"/>
        <w:spacing w:after="0"/>
        <w:jc w:val="both"/>
        <w:rPr>
          <w:rFonts w:ascii="Calibri" w:hAnsi="Calibri" w:cs="Calibri"/>
          <w:sz w:val="24"/>
          <w:szCs w:val="24"/>
        </w:rPr>
      </w:pPr>
      <w:r w:rsidRPr="00135BA8">
        <w:rPr>
          <w:rFonts w:ascii="Calibri" w:hAnsi="Calibri" w:cs="Calibri"/>
          <w:sz w:val="24"/>
          <w:szCs w:val="24"/>
        </w:rPr>
        <w:t xml:space="preserve">Renforcement de la communication pour le changement social et </w:t>
      </w:r>
    </w:p>
    <w:p w14:paraId="049B246B" w14:textId="77777777" w:rsidR="00C0133D" w:rsidRPr="00135BA8" w:rsidRDefault="00C0133D" w:rsidP="00051B38">
      <w:pPr>
        <w:pStyle w:val="Paragraphedeliste"/>
        <w:autoSpaceDE w:val="0"/>
        <w:autoSpaceDN w:val="0"/>
        <w:adjustRightInd w:val="0"/>
        <w:spacing w:after="0"/>
        <w:jc w:val="both"/>
        <w:rPr>
          <w:rFonts w:ascii="Calibri" w:hAnsi="Calibri" w:cs="Calibri"/>
          <w:sz w:val="24"/>
          <w:szCs w:val="24"/>
        </w:rPr>
      </w:pPr>
      <w:r w:rsidRPr="00135BA8">
        <w:rPr>
          <w:rFonts w:ascii="Calibri" w:hAnsi="Calibri" w:cs="Calibri"/>
          <w:sz w:val="24"/>
          <w:szCs w:val="24"/>
        </w:rPr>
        <w:t xml:space="preserve">             comportemental autour de la santé des adolescent(e)s/ jeunes</w:t>
      </w:r>
    </w:p>
    <w:p w14:paraId="4ED0D07F" w14:textId="77777777" w:rsidR="00C0133D" w:rsidRPr="00135BA8" w:rsidRDefault="00C0133D" w:rsidP="00A97663">
      <w:pPr>
        <w:pStyle w:val="Paragraphedeliste"/>
        <w:numPr>
          <w:ilvl w:val="3"/>
          <w:numId w:val="58"/>
        </w:numPr>
        <w:autoSpaceDE w:val="0"/>
        <w:autoSpaceDN w:val="0"/>
        <w:adjustRightInd w:val="0"/>
        <w:spacing w:after="0"/>
        <w:jc w:val="both"/>
        <w:rPr>
          <w:rFonts w:ascii="Calibri" w:hAnsi="Calibri" w:cs="Calibri"/>
          <w:sz w:val="24"/>
          <w:szCs w:val="24"/>
        </w:rPr>
      </w:pPr>
      <w:r w:rsidRPr="00135BA8">
        <w:rPr>
          <w:rFonts w:ascii="Calibri" w:hAnsi="Calibri" w:cs="Calibri"/>
          <w:sz w:val="24"/>
          <w:szCs w:val="24"/>
        </w:rPr>
        <w:t>Promotion de comportements responsables par le renforcement d l’éducation</w:t>
      </w:r>
    </w:p>
    <w:p w14:paraId="3BDB77BF" w14:textId="77777777" w:rsidR="00C0133D" w:rsidRPr="00135BA8" w:rsidRDefault="00C0133D" w:rsidP="00051B38">
      <w:pPr>
        <w:pStyle w:val="Paragraphedeliste"/>
        <w:autoSpaceDE w:val="0"/>
        <w:autoSpaceDN w:val="0"/>
        <w:adjustRightInd w:val="0"/>
        <w:spacing w:after="0"/>
        <w:jc w:val="both"/>
        <w:rPr>
          <w:rFonts w:ascii="Calibri" w:hAnsi="Calibri" w:cs="Calibri"/>
          <w:sz w:val="24"/>
          <w:szCs w:val="24"/>
        </w:rPr>
      </w:pPr>
      <w:r w:rsidRPr="00135BA8">
        <w:rPr>
          <w:rFonts w:ascii="Calibri" w:hAnsi="Calibri" w:cs="Calibri"/>
          <w:sz w:val="24"/>
          <w:szCs w:val="24"/>
        </w:rPr>
        <w:t xml:space="preserve">             sanitaire des adolescent(e)s/ jeunes</w:t>
      </w:r>
    </w:p>
    <w:p w14:paraId="6D8DAB88" w14:textId="77777777" w:rsidR="00C0133D" w:rsidRDefault="00C0133D" w:rsidP="00A97663">
      <w:pPr>
        <w:pStyle w:val="Paragraphedeliste"/>
        <w:numPr>
          <w:ilvl w:val="3"/>
          <w:numId w:val="58"/>
        </w:numPr>
        <w:autoSpaceDE w:val="0"/>
        <w:autoSpaceDN w:val="0"/>
        <w:adjustRightInd w:val="0"/>
        <w:spacing w:after="0"/>
        <w:jc w:val="both"/>
        <w:rPr>
          <w:rFonts w:ascii="Calibri" w:hAnsi="Calibri" w:cs="Calibri"/>
          <w:sz w:val="24"/>
          <w:szCs w:val="24"/>
        </w:rPr>
      </w:pPr>
      <w:r w:rsidRPr="00135BA8">
        <w:rPr>
          <w:rFonts w:ascii="Calibri" w:hAnsi="Calibri" w:cs="Calibri"/>
          <w:sz w:val="24"/>
          <w:szCs w:val="24"/>
        </w:rPr>
        <w:t>Renforcer les infrastructures et l’équipement adaptés aux structures dédiées</w:t>
      </w:r>
    </w:p>
    <w:p w14:paraId="6EFA75BE" w14:textId="77777777" w:rsidR="00C0133D" w:rsidRPr="00135BA8" w:rsidRDefault="00C0133D" w:rsidP="00051B38">
      <w:pPr>
        <w:pStyle w:val="Paragraphedeliste"/>
        <w:autoSpaceDE w:val="0"/>
        <w:autoSpaceDN w:val="0"/>
        <w:adjustRightInd w:val="0"/>
        <w:spacing w:after="0"/>
        <w:jc w:val="both"/>
        <w:rPr>
          <w:rFonts w:ascii="Calibri" w:hAnsi="Calibri" w:cs="Calibri"/>
          <w:sz w:val="24"/>
          <w:szCs w:val="24"/>
        </w:rPr>
      </w:pPr>
      <w:r>
        <w:rPr>
          <w:rFonts w:ascii="Calibri" w:hAnsi="Calibri" w:cs="Calibri"/>
          <w:sz w:val="24"/>
          <w:szCs w:val="24"/>
        </w:rPr>
        <w:t xml:space="preserve">            </w:t>
      </w:r>
      <w:r w:rsidRPr="00135BA8">
        <w:rPr>
          <w:rFonts w:ascii="Calibri" w:hAnsi="Calibri" w:cs="Calibri"/>
          <w:sz w:val="24"/>
          <w:szCs w:val="24"/>
        </w:rPr>
        <w:t xml:space="preserve"> aux </w:t>
      </w:r>
      <w:r>
        <w:rPr>
          <w:rFonts w:ascii="Calibri" w:hAnsi="Calibri" w:cs="Calibri"/>
          <w:sz w:val="24"/>
          <w:szCs w:val="24"/>
        </w:rPr>
        <w:t xml:space="preserve"> </w:t>
      </w:r>
      <w:r w:rsidRPr="00135BA8">
        <w:rPr>
          <w:rFonts w:ascii="Calibri" w:hAnsi="Calibri" w:cs="Calibri"/>
          <w:sz w:val="24"/>
          <w:szCs w:val="24"/>
        </w:rPr>
        <w:t>jeunes en vue de faciliter l’accès aux services adaptés</w:t>
      </w:r>
    </w:p>
    <w:p w14:paraId="1983E540" w14:textId="77777777" w:rsidR="00C0133D" w:rsidRPr="00135BA8" w:rsidRDefault="00C0133D" w:rsidP="00A97663">
      <w:pPr>
        <w:pStyle w:val="Paragraphedeliste"/>
        <w:numPr>
          <w:ilvl w:val="3"/>
          <w:numId w:val="58"/>
        </w:numPr>
        <w:autoSpaceDE w:val="0"/>
        <w:autoSpaceDN w:val="0"/>
        <w:adjustRightInd w:val="0"/>
        <w:spacing w:after="0"/>
        <w:jc w:val="both"/>
        <w:rPr>
          <w:rFonts w:ascii="Calibri" w:hAnsi="Calibri" w:cs="Calibri"/>
          <w:sz w:val="24"/>
          <w:szCs w:val="24"/>
        </w:rPr>
      </w:pPr>
      <w:r w:rsidRPr="00135BA8">
        <w:rPr>
          <w:rFonts w:ascii="Calibri" w:hAnsi="Calibri" w:cs="Calibri"/>
          <w:sz w:val="24"/>
          <w:szCs w:val="24"/>
        </w:rPr>
        <w:t xml:space="preserve">Renforcer l’intégration de l’offre de services SRAJ dans les PPS, les stratégies </w:t>
      </w:r>
    </w:p>
    <w:p w14:paraId="73FE7907" w14:textId="77777777" w:rsidR="00C0133D" w:rsidRPr="00135BA8" w:rsidRDefault="00C0133D" w:rsidP="00051B38">
      <w:pPr>
        <w:pStyle w:val="Paragraphedeliste"/>
        <w:autoSpaceDE w:val="0"/>
        <w:autoSpaceDN w:val="0"/>
        <w:adjustRightInd w:val="0"/>
        <w:spacing w:after="0"/>
        <w:jc w:val="both"/>
        <w:rPr>
          <w:rFonts w:ascii="Calibri" w:hAnsi="Calibri" w:cs="Calibri"/>
          <w:sz w:val="24"/>
          <w:szCs w:val="24"/>
        </w:rPr>
      </w:pPr>
      <w:r w:rsidRPr="00135BA8">
        <w:rPr>
          <w:rFonts w:ascii="Calibri" w:hAnsi="Calibri" w:cs="Calibri"/>
          <w:sz w:val="24"/>
          <w:szCs w:val="24"/>
        </w:rPr>
        <w:t xml:space="preserve">              avancées et mobiles</w:t>
      </w:r>
    </w:p>
    <w:p w14:paraId="0475E4E7" w14:textId="77777777" w:rsidR="00C0133D" w:rsidRDefault="00C0133D" w:rsidP="00A97663">
      <w:pPr>
        <w:pStyle w:val="Paragraphedeliste"/>
        <w:numPr>
          <w:ilvl w:val="3"/>
          <w:numId w:val="58"/>
        </w:numPr>
        <w:autoSpaceDE w:val="0"/>
        <w:autoSpaceDN w:val="0"/>
        <w:adjustRightInd w:val="0"/>
        <w:spacing w:after="0"/>
        <w:jc w:val="both"/>
        <w:rPr>
          <w:rFonts w:ascii="Calibri" w:hAnsi="Calibri" w:cs="Calibri"/>
          <w:sz w:val="24"/>
          <w:szCs w:val="24"/>
        </w:rPr>
      </w:pPr>
      <w:r w:rsidRPr="00135BA8">
        <w:rPr>
          <w:rFonts w:ascii="Calibri" w:hAnsi="Calibri" w:cs="Calibri"/>
          <w:sz w:val="24"/>
          <w:szCs w:val="24"/>
        </w:rPr>
        <w:t>Renforcer les capacités des prestataires et du personnel de soutien des PPS</w:t>
      </w:r>
    </w:p>
    <w:p w14:paraId="39DB2000" w14:textId="77777777" w:rsidR="00C0133D" w:rsidRPr="00135BA8" w:rsidRDefault="00C0133D" w:rsidP="00A97663">
      <w:pPr>
        <w:pStyle w:val="Paragraphedeliste"/>
        <w:numPr>
          <w:ilvl w:val="3"/>
          <w:numId w:val="58"/>
        </w:numPr>
        <w:autoSpaceDE w:val="0"/>
        <w:autoSpaceDN w:val="0"/>
        <w:adjustRightInd w:val="0"/>
        <w:spacing w:after="0"/>
        <w:jc w:val="both"/>
        <w:rPr>
          <w:rFonts w:ascii="Calibri" w:hAnsi="Calibri" w:cs="Calibri"/>
          <w:sz w:val="24"/>
          <w:szCs w:val="24"/>
        </w:rPr>
      </w:pPr>
      <w:r w:rsidRPr="00135BA8">
        <w:rPr>
          <w:rFonts w:ascii="Calibri" w:hAnsi="Calibri" w:cs="Calibri"/>
          <w:sz w:val="24"/>
          <w:szCs w:val="24"/>
        </w:rPr>
        <w:t xml:space="preserve"> publics et</w:t>
      </w:r>
      <w:r>
        <w:rPr>
          <w:rFonts w:ascii="Calibri" w:hAnsi="Calibri" w:cs="Calibri"/>
          <w:sz w:val="24"/>
          <w:szCs w:val="24"/>
        </w:rPr>
        <w:t xml:space="preserve"> </w:t>
      </w:r>
      <w:r w:rsidRPr="00135BA8">
        <w:rPr>
          <w:rFonts w:ascii="Calibri" w:hAnsi="Calibri" w:cs="Calibri"/>
          <w:sz w:val="24"/>
          <w:szCs w:val="24"/>
        </w:rPr>
        <w:t>privés,</w:t>
      </w:r>
    </w:p>
    <w:p w14:paraId="26676EAD" w14:textId="77777777" w:rsidR="00C0133D" w:rsidRPr="00135BA8" w:rsidRDefault="00C0133D" w:rsidP="00A97663">
      <w:pPr>
        <w:pStyle w:val="Paragraphedeliste"/>
        <w:numPr>
          <w:ilvl w:val="3"/>
          <w:numId w:val="58"/>
        </w:numPr>
        <w:autoSpaceDE w:val="0"/>
        <w:autoSpaceDN w:val="0"/>
        <w:adjustRightInd w:val="0"/>
        <w:spacing w:after="0"/>
        <w:jc w:val="both"/>
        <w:rPr>
          <w:rFonts w:ascii="Calibri" w:hAnsi="Calibri" w:cs="Calibri"/>
          <w:sz w:val="24"/>
          <w:szCs w:val="24"/>
        </w:rPr>
      </w:pPr>
      <w:r w:rsidRPr="00135BA8">
        <w:rPr>
          <w:rFonts w:ascii="Calibri" w:hAnsi="Calibri" w:cs="Calibri"/>
          <w:sz w:val="24"/>
          <w:szCs w:val="24"/>
        </w:rPr>
        <w:t>Renforcer la prévention du cancer du col de l’utérus</w:t>
      </w:r>
    </w:p>
    <w:p w14:paraId="690DB20B" w14:textId="77777777" w:rsidR="00C0133D" w:rsidRPr="000500BF" w:rsidRDefault="00C0133D" w:rsidP="00A97663">
      <w:pPr>
        <w:pStyle w:val="Paragraphedeliste"/>
        <w:numPr>
          <w:ilvl w:val="2"/>
          <w:numId w:val="58"/>
        </w:numPr>
        <w:autoSpaceDE w:val="0"/>
        <w:autoSpaceDN w:val="0"/>
        <w:adjustRightInd w:val="0"/>
        <w:spacing w:after="0"/>
        <w:jc w:val="both"/>
        <w:rPr>
          <w:rFonts w:ascii="Calibri" w:hAnsi="Calibri" w:cs="Calibri"/>
          <w:b/>
          <w:sz w:val="24"/>
          <w:szCs w:val="24"/>
        </w:rPr>
      </w:pPr>
      <w:r w:rsidRPr="000500BF">
        <w:rPr>
          <w:rFonts w:ascii="Calibri" w:hAnsi="Calibri" w:cs="Calibri"/>
          <w:b/>
          <w:sz w:val="24"/>
          <w:szCs w:val="24"/>
        </w:rPr>
        <w:t>Améliorer la qualité de l’offre de services par le passage à l’échelle de l’approche sécurité du patient.</w:t>
      </w:r>
    </w:p>
    <w:p w14:paraId="4D744FF9" w14:textId="77777777" w:rsidR="00C0133D" w:rsidRDefault="00C0133D" w:rsidP="00A97663">
      <w:pPr>
        <w:pStyle w:val="Paragraphedeliste"/>
        <w:numPr>
          <w:ilvl w:val="3"/>
          <w:numId w:val="58"/>
        </w:numPr>
        <w:autoSpaceDE w:val="0"/>
        <w:autoSpaceDN w:val="0"/>
        <w:adjustRightInd w:val="0"/>
        <w:spacing w:after="0"/>
        <w:jc w:val="both"/>
        <w:rPr>
          <w:rFonts w:ascii="Calibri" w:hAnsi="Calibri" w:cs="Calibri"/>
          <w:sz w:val="24"/>
          <w:szCs w:val="24"/>
        </w:rPr>
      </w:pPr>
      <w:r w:rsidRPr="000500BF">
        <w:rPr>
          <w:rFonts w:ascii="Calibri" w:hAnsi="Calibri" w:cs="Calibri"/>
          <w:sz w:val="24"/>
          <w:szCs w:val="24"/>
        </w:rPr>
        <w:t xml:space="preserve">Former et mobiliser les acteurs du système de santé à s’approprier et </w:t>
      </w:r>
    </w:p>
    <w:p w14:paraId="022CE697" w14:textId="77777777" w:rsidR="00C0133D" w:rsidRDefault="00C0133D" w:rsidP="00051B38">
      <w:pPr>
        <w:pStyle w:val="Paragraphedeliste"/>
        <w:autoSpaceDE w:val="0"/>
        <w:autoSpaceDN w:val="0"/>
        <w:adjustRightInd w:val="0"/>
        <w:spacing w:after="0"/>
        <w:jc w:val="both"/>
        <w:rPr>
          <w:rFonts w:ascii="Calibri" w:hAnsi="Calibri" w:cs="Calibri"/>
          <w:sz w:val="24"/>
          <w:szCs w:val="24"/>
        </w:rPr>
      </w:pPr>
      <w:r>
        <w:rPr>
          <w:rFonts w:ascii="Calibri" w:hAnsi="Calibri" w:cs="Calibri"/>
          <w:sz w:val="24"/>
          <w:szCs w:val="24"/>
        </w:rPr>
        <w:t xml:space="preserve">             </w:t>
      </w:r>
      <w:r w:rsidRPr="000500BF">
        <w:rPr>
          <w:rFonts w:ascii="Calibri" w:hAnsi="Calibri" w:cs="Calibri"/>
          <w:sz w:val="24"/>
          <w:szCs w:val="24"/>
        </w:rPr>
        <w:t>s’engager dans la dynamique du management de la qualité des soins de</w:t>
      </w:r>
    </w:p>
    <w:p w14:paraId="0F96EE40" w14:textId="77777777" w:rsidR="00C0133D" w:rsidRPr="000500BF" w:rsidRDefault="00C0133D" w:rsidP="00051B38">
      <w:pPr>
        <w:pStyle w:val="Paragraphedeliste"/>
        <w:autoSpaceDE w:val="0"/>
        <w:autoSpaceDN w:val="0"/>
        <w:adjustRightInd w:val="0"/>
        <w:spacing w:after="0"/>
        <w:jc w:val="both"/>
        <w:rPr>
          <w:rFonts w:ascii="Calibri" w:hAnsi="Calibri" w:cs="Calibri"/>
          <w:sz w:val="24"/>
          <w:szCs w:val="24"/>
        </w:rPr>
      </w:pPr>
      <w:r>
        <w:rPr>
          <w:rFonts w:ascii="Calibri" w:hAnsi="Calibri" w:cs="Calibri"/>
          <w:sz w:val="24"/>
          <w:szCs w:val="24"/>
        </w:rPr>
        <w:t xml:space="preserve">            </w:t>
      </w:r>
      <w:r w:rsidRPr="000500BF">
        <w:rPr>
          <w:rFonts w:ascii="Calibri" w:hAnsi="Calibri" w:cs="Calibri"/>
          <w:sz w:val="24"/>
          <w:szCs w:val="24"/>
        </w:rPr>
        <w:t xml:space="preserve"> SRMNEA-N</w:t>
      </w:r>
    </w:p>
    <w:p w14:paraId="2C3EB3FE" w14:textId="77777777" w:rsidR="00C0133D" w:rsidRDefault="00C0133D" w:rsidP="00A97663">
      <w:pPr>
        <w:pStyle w:val="Paragraphedeliste"/>
        <w:numPr>
          <w:ilvl w:val="3"/>
          <w:numId w:val="58"/>
        </w:numPr>
        <w:autoSpaceDE w:val="0"/>
        <w:autoSpaceDN w:val="0"/>
        <w:adjustRightInd w:val="0"/>
        <w:spacing w:after="0"/>
        <w:jc w:val="both"/>
        <w:rPr>
          <w:rFonts w:ascii="Calibri" w:hAnsi="Calibri" w:cs="Calibri"/>
          <w:sz w:val="24"/>
          <w:szCs w:val="24"/>
        </w:rPr>
      </w:pPr>
      <w:r w:rsidRPr="000500BF">
        <w:rPr>
          <w:rFonts w:ascii="Calibri" w:hAnsi="Calibri" w:cs="Calibri"/>
          <w:sz w:val="24"/>
          <w:szCs w:val="24"/>
        </w:rPr>
        <w:t xml:space="preserve">Mettre en œuvre une démarche qualité effective, centrée sur les personnes et </w:t>
      </w:r>
    </w:p>
    <w:p w14:paraId="7C8BDE3A" w14:textId="77777777" w:rsidR="00C0133D" w:rsidRDefault="00C0133D" w:rsidP="00051B38">
      <w:pPr>
        <w:pStyle w:val="Paragraphedeliste"/>
        <w:autoSpaceDE w:val="0"/>
        <w:autoSpaceDN w:val="0"/>
        <w:adjustRightInd w:val="0"/>
        <w:spacing w:after="0"/>
        <w:jc w:val="both"/>
        <w:rPr>
          <w:rFonts w:ascii="Calibri" w:hAnsi="Calibri" w:cs="Calibri"/>
          <w:sz w:val="24"/>
          <w:szCs w:val="24"/>
        </w:rPr>
      </w:pPr>
      <w:r>
        <w:rPr>
          <w:rFonts w:ascii="Calibri" w:hAnsi="Calibri" w:cs="Calibri"/>
          <w:sz w:val="24"/>
          <w:szCs w:val="24"/>
        </w:rPr>
        <w:t xml:space="preserve">             </w:t>
      </w:r>
      <w:r w:rsidRPr="000500BF">
        <w:rPr>
          <w:rFonts w:ascii="Calibri" w:hAnsi="Calibri" w:cs="Calibri"/>
          <w:sz w:val="24"/>
          <w:szCs w:val="24"/>
        </w:rPr>
        <w:t xml:space="preserve">la sécurité des patients </w:t>
      </w:r>
      <w:r>
        <w:rPr>
          <w:rFonts w:ascii="Calibri" w:hAnsi="Calibri" w:cs="Calibri"/>
          <w:sz w:val="24"/>
          <w:szCs w:val="24"/>
        </w:rPr>
        <w:t xml:space="preserve">dans l’organisation de l’offre de soins et de services </w:t>
      </w:r>
    </w:p>
    <w:p w14:paraId="1CD957CD" w14:textId="77777777" w:rsidR="00C0133D" w:rsidRDefault="00C0133D" w:rsidP="00051B38">
      <w:pPr>
        <w:pStyle w:val="Paragraphedeliste"/>
        <w:autoSpaceDE w:val="0"/>
        <w:autoSpaceDN w:val="0"/>
        <w:adjustRightInd w:val="0"/>
        <w:spacing w:after="0"/>
        <w:jc w:val="both"/>
        <w:rPr>
          <w:rFonts w:ascii="Calibri" w:hAnsi="Calibri" w:cs="Calibri"/>
          <w:sz w:val="24"/>
          <w:szCs w:val="24"/>
        </w:rPr>
      </w:pPr>
      <w:r>
        <w:rPr>
          <w:rFonts w:ascii="Calibri" w:hAnsi="Calibri" w:cs="Calibri"/>
          <w:sz w:val="24"/>
          <w:szCs w:val="24"/>
        </w:rPr>
        <w:t xml:space="preserve">             rendus de SRMNEA-N</w:t>
      </w:r>
    </w:p>
    <w:p w14:paraId="590A0958" w14:textId="77777777" w:rsidR="00C0133D" w:rsidRPr="000B2F34" w:rsidRDefault="00C0133D" w:rsidP="00A97663">
      <w:pPr>
        <w:pStyle w:val="Paragraphedeliste"/>
        <w:numPr>
          <w:ilvl w:val="3"/>
          <w:numId w:val="58"/>
        </w:numPr>
        <w:autoSpaceDE w:val="0"/>
        <w:autoSpaceDN w:val="0"/>
        <w:adjustRightInd w:val="0"/>
        <w:spacing w:after="0"/>
        <w:jc w:val="both"/>
        <w:rPr>
          <w:rFonts w:ascii="Calibri" w:hAnsi="Calibri" w:cs="Calibri"/>
          <w:sz w:val="24"/>
          <w:szCs w:val="24"/>
        </w:rPr>
      </w:pPr>
      <w:r>
        <w:rPr>
          <w:rFonts w:ascii="Calibri" w:hAnsi="Calibri" w:cs="Calibri"/>
          <w:sz w:val="24"/>
          <w:szCs w:val="24"/>
        </w:rPr>
        <w:t xml:space="preserve">Offrir à la population des soins </w:t>
      </w:r>
      <w:r w:rsidRPr="000500BF">
        <w:rPr>
          <w:rFonts w:ascii="Calibri" w:hAnsi="Calibri" w:cs="Calibri"/>
          <w:sz w:val="24"/>
          <w:szCs w:val="24"/>
        </w:rPr>
        <w:t>sécurisés et services de qualité en SRMNEA-N</w:t>
      </w:r>
    </w:p>
    <w:p w14:paraId="711565CF" w14:textId="77777777" w:rsidR="00C0133D" w:rsidRDefault="00C0133D" w:rsidP="00A97663">
      <w:pPr>
        <w:pStyle w:val="Paragraphedeliste"/>
        <w:numPr>
          <w:ilvl w:val="3"/>
          <w:numId w:val="58"/>
        </w:numPr>
        <w:autoSpaceDE w:val="0"/>
        <w:autoSpaceDN w:val="0"/>
        <w:adjustRightInd w:val="0"/>
        <w:spacing w:after="0"/>
        <w:jc w:val="both"/>
        <w:rPr>
          <w:rFonts w:ascii="Calibri" w:hAnsi="Calibri" w:cs="Calibri"/>
          <w:sz w:val="24"/>
          <w:szCs w:val="24"/>
        </w:rPr>
      </w:pPr>
      <w:r w:rsidRPr="000500BF">
        <w:rPr>
          <w:rFonts w:ascii="Calibri" w:hAnsi="Calibri" w:cs="Calibri"/>
          <w:sz w:val="24"/>
          <w:szCs w:val="24"/>
        </w:rPr>
        <w:t xml:space="preserve">Respecter la conformité aux normes, aux protocoles et aux directives relatives </w:t>
      </w:r>
    </w:p>
    <w:p w14:paraId="5CEFA52B" w14:textId="77777777" w:rsidR="00C0133D" w:rsidRPr="000B2F34" w:rsidRDefault="00C0133D" w:rsidP="00051B38">
      <w:pPr>
        <w:pStyle w:val="Paragraphedeliste"/>
        <w:autoSpaceDE w:val="0"/>
        <w:autoSpaceDN w:val="0"/>
        <w:adjustRightInd w:val="0"/>
        <w:spacing w:after="0"/>
        <w:jc w:val="both"/>
        <w:rPr>
          <w:rFonts w:ascii="Calibri" w:hAnsi="Calibri" w:cs="Calibri"/>
          <w:sz w:val="24"/>
          <w:szCs w:val="24"/>
        </w:rPr>
      </w:pPr>
      <w:r>
        <w:rPr>
          <w:rFonts w:ascii="Calibri" w:hAnsi="Calibri" w:cs="Calibri"/>
          <w:sz w:val="24"/>
          <w:szCs w:val="24"/>
        </w:rPr>
        <w:t xml:space="preserve">             </w:t>
      </w:r>
      <w:r w:rsidRPr="000500BF">
        <w:rPr>
          <w:rFonts w:ascii="Calibri" w:hAnsi="Calibri" w:cs="Calibri"/>
          <w:sz w:val="24"/>
          <w:szCs w:val="24"/>
        </w:rPr>
        <w:t>à l’offre de prestations de SRMNEA-N</w:t>
      </w:r>
    </w:p>
    <w:p w14:paraId="70A03CE8" w14:textId="77777777" w:rsidR="00C0133D" w:rsidRPr="000500BF" w:rsidRDefault="00C0133D" w:rsidP="00A97663">
      <w:pPr>
        <w:pStyle w:val="Paragraphedeliste"/>
        <w:numPr>
          <w:ilvl w:val="3"/>
          <w:numId w:val="58"/>
        </w:numPr>
        <w:autoSpaceDE w:val="0"/>
        <w:autoSpaceDN w:val="0"/>
        <w:adjustRightInd w:val="0"/>
        <w:spacing w:after="0"/>
        <w:jc w:val="both"/>
        <w:rPr>
          <w:rFonts w:ascii="Calibri" w:hAnsi="Calibri" w:cs="Calibri"/>
          <w:sz w:val="24"/>
          <w:szCs w:val="24"/>
        </w:rPr>
      </w:pPr>
      <w:r w:rsidRPr="000500BF">
        <w:rPr>
          <w:rFonts w:ascii="Calibri" w:hAnsi="Calibri" w:cs="Calibri"/>
          <w:sz w:val="24"/>
          <w:szCs w:val="24"/>
        </w:rPr>
        <w:t xml:space="preserve">Renforcer les activités pour </w:t>
      </w:r>
      <w:r>
        <w:rPr>
          <w:rFonts w:ascii="Calibri" w:hAnsi="Calibri" w:cs="Calibri"/>
          <w:sz w:val="24"/>
          <w:szCs w:val="24"/>
        </w:rPr>
        <w:t>contrôler l</w:t>
      </w:r>
      <w:r w:rsidRPr="000500BF">
        <w:rPr>
          <w:rFonts w:ascii="Calibri" w:hAnsi="Calibri" w:cs="Calibri"/>
          <w:sz w:val="24"/>
          <w:szCs w:val="24"/>
        </w:rPr>
        <w:t>es infections associées aux</w:t>
      </w:r>
      <w:r>
        <w:rPr>
          <w:rFonts w:ascii="Calibri" w:hAnsi="Calibri" w:cs="Calibri"/>
          <w:sz w:val="24"/>
          <w:szCs w:val="24"/>
        </w:rPr>
        <w:t xml:space="preserve"> </w:t>
      </w:r>
      <w:r w:rsidRPr="000500BF">
        <w:rPr>
          <w:rFonts w:ascii="Calibri" w:hAnsi="Calibri" w:cs="Calibri"/>
          <w:sz w:val="24"/>
          <w:szCs w:val="24"/>
        </w:rPr>
        <w:t xml:space="preserve">soins </w:t>
      </w:r>
    </w:p>
    <w:p w14:paraId="4E4D8BC3" w14:textId="77777777" w:rsidR="00C0133D" w:rsidRDefault="00C0133D" w:rsidP="00A97663">
      <w:pPr>
        <w:pStyle w:val="Paragraphedeliste"/>
        <w:numPr>
          <w:ilvl w:val="3"/>
          <w:numId w:val="58"/>
        </w:numPr>
        <w:autoSpaceDE w:val="0"/>
        <w:autoSpaceDN w:val="0"/>
        <w:adjustRightInd w:val="0"/>
        <w:spacing w:after="0"/>
        <w:jc w:val="both"/>
        <w:rPr>
          <w:rFonts w:ascii="Calibri" w:hAnsi="Calibri" w:cs="Calibri"/>
          <w:sz w:val="24"/>
          <w:szCs w:val="24"/>
        </w:rPr>
      </w:pPr>
      <w:r w:rsidRPr="000500BF">
        <w:rPr>
          <w:rFonts w:ascii="Calibri" w:hAnsi="Calibri" w:cs="Calibri"/>
          <w:sz w:val="24"/>
          <w:szCs w:val="24"/>
        </w:rPr>
        <w:t xml:space="preserve">Protéger les utilisateurs des services de santé contre les préjudices liés aux </w:t>
      </w:r>
    </w:p>
    <w:p w14:paraId="0FF79EDF" w14:textId="77777777" w:rsidR="00C0133D" w:rsidRPr="000500BF" w:rsidRDefault="00C0133D" w:rsidP="00051B38">
      <w:pPr>
        <w:pStyle w:val="Paragraphedeliste"/>
        <w:autoSpaceDE w:val="0"/>
        <w:autoSpaceDN w:val="0"/>
        <w:adjustRightInd w:val="0"/>
        <w:spacing w:after="0"/>
        <w:jc w:val="both"/>
        <w:rPr>
          <w:rFonts w:ascii="Calibri" w:hAnsi="Calibri" w:cs="Calibri"/>
          <w:sz w:val="24"/>
          <w:szCs w:val="24"/>
        </w:rPr>
      </w:pPr>
      <w:r>
        <w:rPr>
          <w:rFonts w:ascii="Calibri" w:hAnsi="Calibri" w:cs="Calibri"/>
          <w:sz w:val="24"/>
          <w:szCs w:val="24"/>
        </w:rPr>
        <w:t xml:space="preserve">             </w:t>
      </w:r>
      <w:r w:rsidRPr="000500BF">
        <w:rPr>
          <w:rFonts w:ascii="Calibri" w:hAnsi="Calibri" w:cs="Calibri"/>
          <w:sz w:val="24"/>
          <w:szCs w:val="24"/>
        </w:rPr>
        <w:t>activités de soins </w:t>
      </w:r>
    </w:p>
    <w:p w14:paraId="29967B20" w14:textId="77777777" w:rsidR="00C0133D" w:rsidRPr="00917C16" w:rsidRDefault="00C0133D" w:rsidP="00051B38">
      <w:pPr>
        <w:pStyle w:val="Paragraphedeliste"/>
        <w:autoSpaceDE w:val="0"/>
        <w:autoSpaceDN w:val="0"/>
        <w:adjustRightInd w:val="0"/>
        <w:spacing w:after="0"/>
        <w:rPr>
          <w:rFonts w:ascii="Calibri" w:hAnsi="Calibri" w:cs="Calibri"/>
          <w:sz w:val="24"/>
          <w:szCs w:val="24"/>
        </w:rPr>
      </w:pPr>
    </w:p>
    <w:p w14:paraId="58B2428E" w14:textId="64FF8C03" w:rsidR="00B94F52" w:rsidRPr="00B94F52" w:rsidRDefault="00B94F52" w:rsidP="00A97663">
      <w:pPr>
        <w:pStyle w:val="Paragraphedeliste"/>
        <w:numPr>
          <w:ilvl w:val="1"/>
          <w:numId w:val="58"/>
        </w:numPr>
        <w:autoSpaceDE w:val="0"/>
        <w:autoSpaceDN w:val="0"/>
        <w:adjustRightInd w:val="0"/>
        <w:spacing w:after="0"/>
        <w:jc w:val="both"/>
        <w:rPr>
          <w:rFonts w:cs="Calibri"/>
          <w:b/>
          <w:sz w:val="24"/>
          <w:szCs w:val="24"/>
        </w:rPr>
      </w:pPr>
      <w:bookmarkStart w:id="27" w:name="_Hlk527629603"/>
      <w:r w:rsidRPr="00B94F52">
        <w:rPr>
          <w:sz w:val="24"/>
          <w:szCs w:val="24"/>
        </w:rPr>
        <w:t>AMELIORER L’EQUITE ET LA DEMANDE DE SERVICES SRMNEA-N A HAUT IMPACT AVEC UN</w:t>
      </w:r>
      <w:r w:rsidRPr="00B94F52">
        <w:rPr>
          <w:sz w:val="20"/>
          <w:szCs w:val="20"/>
        </w:rPr>
        <w:t xml:space="preserve"> </w:t>
      </w:r>
      <w:r w:rsidRPr="00B94F52">
        <w:rPr>
          <w:sz w:val="24"/>
          <w:szCs w:val="24"/>
        </w:rPr>
        <w:t>RENFORCEMENT DE L’APPROCHE COMMUNAUTAIRE ET LA REDUCTION DES BARRIERES FINANCIERES</w:t>
      </w:r>
      <w:r w:rsidRPr="00B94F52">
        <w:rPr>
          <w:rFonts w:cs="Calibri"/>
          <w:b/>
          <w:sz w:val="24"/>
          <w:szCs w:val="24"/>
        </w:rPr>
        <w:t xml:space="preserve"> </w:t>
      </w:r>
    </w:p>
    <w:p w14:paraId="306350B2" w14:textId="33A84029" w:rsidR="00C0133D" w:rsidRPr="00E31F2B" w:rsidRDefault="00C0133D" w:rsidP="00A97663">
      <w:pPr>
        <w:pStyle w:val="Paragraphedeliste"/>
        <w:numPr>
          <w:ilvl w:val="2"/>
          <w:numId w:val="58"/>
        </w:numPr>
        <w:autoSpaceDE w:val="0"/>
        <w:autoSpaceDN w:val="0"/>
        <w:adjustRightInd w:val="0"/>
        <w:spacing w:after="0"/>
        <w:jc w:val="both"/>
        <w:rPr>
          <w:rFonts w:cs="Calibri"/>
          <w:b/>
          <w:sz w:val="24"/>
          <w:szCs w:val="24"/>
        </w:rPr>
      </w:pPr>
      <w:r w:rsidRPr="00E31F2B">
        <w:rPr>
          <w:rFonts w:cs="Calibri"/>
          <w:b/>
          <w:sz w:val="24"/>
          <w:szCs w:val="24"/>
        </w:rPr>
        <w:t>Renforcer l’approche communautaire pour atteindre et délivrer aux populations des zones éloignées ou d’accès difficile des interventions dont notamment</w:t>
      </w:r>
    </w:p>
    <w:bookmarkEnd w:id="27"/>
    <w:p w14:paraId="6D1B9A9F" w14:textId="77777777" w:rsidR="00C0133D" w:rsidRDefault="00C0133D" w:rsidP="00A97663">
      <w:pPr>
        <w:pStyle w:val="Paragraphedeliste"/>
        <w:numPr>
          <w:ilvl w:val="3"/>
          <w:numId w:val="58"/>
        </w:numPr>
        <w:autoSpaceDE w:val="0"/>
        <w:autoSpaceDN w:val="0"/>
        <w:adjustRightInd w:val="0"/>
        <w:spacing w:after="0"/>
        <w:jc w:val="both"/>
        <w:rPr>
          <w:rFonts w:cs="Calibri"/>
          <w:sz w:val="24"/>
          <w:szCs w:val="24"/>
        </w:rPr>
      </w:pPr>
      <w:r w:rsidRPr="007F16DA">
        <w:rPr>
          <w:rFonts w:cs="Calibri"/>
          <w:sz w:val="24"/>
          <w:szCs w:val="24"/>
        </w:rPr>
        <w:t>Soins de la mère, du nouveau-né et de l’enfant à domicile</w:t>
      </w:r>
      <w:r>
        <w:rPr>
          <w:rFonts w:cs="Calibri"/>
          <w:sz w:val="24"/>
          <w:szCs w:val="24"/>
        </w:rPr>
        <w:t> </w:t>
      </w:r>
    </w:p>
    <w:p w14:paraId="5707BD6C" w14:textId="77777777" w:rsidR="00C0133D" w:rsidRDefault="00C0133D" w:rsidP="00A97663">
      <w:pPr>
        <w:pStyle w:val="Paragraphedeliste"/>
        <w:numPr>
          <w:ilvl w:val="3"/>
          <w:numId w:val="58"/>
        </w:numPr>
        <w:autoSpaceDE w:val="0"/>
        <w:autoSpaceDN w:val="0"/>
        <w:adjustRightInd w:val="0"/>
        <w:spacing w:after="0"/>
        <w:jc w:val="both"/>
        <w:rPr>
          <w:rFonts w:cs="Calibri"/>
          <w:sz w:val="24"/>
          <w:szCs w:val="24"/>
        </w:rPr>
      </w:pPr>
      <w:r w:rsidRPr="007F16DA">
        <w:rPr>
          <w:rFonts w:cs="Calibri"/>
          <w:sz w:val="24"/>
          <w:szCs w:val="24"/>
        </w:rPr>
        <w:t>PCIME communautaire pour la prise en charge de maladies prioritaires de</w:t>
      </w:r>
    </w:p>
    <w:p w14:paraId="5EFAB538" w14:textId="77777777" w:rsidR="00C0133D" w:rsidRDefault="00C0133D" w:rsidP="00051B38">
      <w:pPr>
        <w:pStyle w:val="Paragraphedeliste"/>
        <w:autoSpaceDE w:val="0"/>
        <w:autoSpaceDN w:val="0"/>
        <w:adjustRightInd w:val="0"/>
        <w:spacing w:after="0"/>
        <w:jc w:val="both"/>
        <w:rPr>
          <w:rFonts w:cs="Calibri"/>
          <w:sz w:val="24"/>
          <w:szCs w:val="24"/>
        </w:rPr>
      </w:pPr>
      <w:r>
        <w:rPr>
          <w:rFonts w:cs="Calibri"/>
          <w:sz w:val="24"/>
          <w:szCs w:val="24"/>
        </w:rPr>
        <w:t xml:space="preserve">            </w:t>
      </w:r>
      <w:r w:rsidRPr="007F16DA">
        <w:rPr>
          <w:rFonts w:cs="Calibri"/>
          <w:sz w:val="24"/>
          <w:szCs w:val="24"/>
        </w:rPr>
        <w:t xml:space="preserve"> l’enfant </w:t>
      </w:r>
    </w:p>
    <w:p w14:paraId="7ACC84DB" w14:textId="77777777" w:rsidR="006B3880" w:rsidRPr="006B3880" w:rsidRDefault="00C0133D" w:rsidP="00A97663">
      <w:pPr>
        <w:pStyle w:val="Paragraphedeliste"/>
        <w:numPr>
          <w:ilvl w:val="3"/>
          <w:numId w:val="58"/>
        </w:numPr>
        <w:autoSpaceDE w:val="0"/>
        <w:autoSpaceDN w:val="0"/>
        <w:adjustRightInd w:val="0"/>
        <w:spacing w:after="0"/>
        <w:jc w:val="both"/>
        <w:rPr>
          <w:rFonts w:cs="Calibri"/>
          <w:sz w:val="24"/>
          <w:szCs w:val="24"/>
        </w:rPr>
      </w:pPr>
      <w:r w:rsidRPr="007F16DA">
        <w:rPr>
          <w:rFonts w:cs="Calibri"/>
          <w:sz w:val="24"/>
          <w:szCs w:val="24"/>
        </w:rPr>
        <w:t xml:space="preserve">Distribution à </w:t>
      </w:r>
      <w:r w:rsidRPr="007F16DA">
        <w:rPr>
          <w:rFonts w:ascii="Calibri" w:hAnsi="Calibri" w:cs="Calibri"/>
        </w:rPr>
        <w:t>domicile</w:t>
      </w:r>
      <w:r w:rsidRPr="007F16DA">
        <w:rPr>
          <w:rFonts w:cs="Calibri"/>
          <w:sz w:val="24"/>
          <w:szCs w:val="24"/>
        </w:rPr>
        <w:t xml:space="preserve"> de médicaments, de contraceptifs,</w:t>
      </w:r>
      <w:r w:rsidRPr="007F16DA">
        <w:rPr>
          <w:rFonts w:ascii="Calibri" w:hAnsi="Calibri" w:cs="Calibri"/>
        </w:rPr>
        <w:t xml:space="preserve"> de micronutriments, </w:t>
      </w:r>
    </w:p>
    <w:p w14:paraId="50DCC433" w14:textId="73C9716A" w:rsidR="00C0133D" w:rsidRPr="006B3880" w:rsidRDefault="006B3880" w:rsidP="006B3880">
      <w:pPr>
        <w:pStyle w:val="Paragraphedeliste"/>
        <w:autoSpaceDE w:val="0"/>
        <w:autoSpaceDN w:val="0"/>
        <w:adjustRightInd w:val="0"/>
        <w:spacing w:after="0"/>
        <w:jc w:val="both"/>
        <w:rPr>
          <w:rFonts w:cs="Calibri"/>
          <w:sz w:val="24"/>
          <w:szCs w:val="24"/>
        </w:rPr>
      </w:pPr>
      <w:r>
        <w:rPr>
          <w:rFonts w:ascii="Calibri" w:hAnsi="Calibri" w:cs="Calibri"/>
        </w:rPr>
        <w:t xml:space="preserve">              </w:t>
      </w:r>
      <w:r w:rsidR="00C0133D" w:rsidRPr="007F16DA">
        <w:rPr>
          <w:rFonts w:ascii="Calibri" w:hAnsi="Calibri" w:cs="Calibri"/>
        </w:rPr>
        <w:t xml:space="preserve">de </w:t>
      </w:r>
      <w:r w:rsidR="00C0133D" w:rsidRPr="006B3880">
        <w:rPr>
          <w:rFonts w:ascii="Calibri" w:hAnsi="Calibri" w:cs="Calibri"/>
        </w:rPr>
        <w:t>MILDA, de Vitamine A des aliments pour améliorer l’ANJE.</w:t>
      </w:r>
    </w:p>
    <w:p w14:paraId="405FB67D" w14:textId="77777777" w:rsidR="00C0133D" w:rsidRDefault="00C0133D" w:rsidP="00A97663">
      <w:pPr>
        <w:pStyle w:val="Paragraphedeliste"/>
        <w:numPr>
          <w:ilvl w:val="3"/>
          <w:numId w:val="58"/>
        </w:numPr>
        <w:autoSpaceDE w:val="0"/>
        <w:autoSpaceDN w:val="0"/>
        <w:adjustRightInd w:val="0"/>
        <w:spacing w:after="0"/>
        <w:jc w:val="both"/>
        <w:rPr>
          <w:rFonts w:cs="Calibri"/>
          <w:sz w:val="24"/>
          <w:szCs w:val="24"/>
        </w:rPr>
      </w:pPr>
      <w:r>
        <w:rPr>
          <w:rFonts w:cs="Calibri"/>
          <w:sz w:val="24"/>
          <w:szCs w:val="24"/>
        </w:rPr>
        <w:t>La promotion des comportements favorables à l’amélioration de l’hygiène et</w:t>
      </w:r>
    </w:p>
    <w:p w14:paraId="32E8AAB5" w14:textId="77777777" w:rsidR="00C0133D" w:rsidRDefault="00C0133D" w:rsidP="00051B38">
      <w:pPr>
        <w:pStyle w:val="Paragraphedeliste"/>
        <w:autoSpaceDE w:val="0"/>
        <w:autoSpaceDN w:val="0"/>
        <w:adjustRightInd w:val="0"/>
        <w:spacing w:after="0"/>
        <w:jc w:val="both"/>
        <w:rPr>
          <w:rFonts w:cs="Calibri"/>
          <w:sz w:val="24"/>
          <w:szCs w:val="24"/>
        </w:rPr>
      </w:pPr>
      <w:r>
        <w:rPr>
          <w:rFonts w:cs="Calibri"/>
          <w:sz w:val="24"/>
          <w:szCs w:val="24"/>
        </w:rPr>
        <w:lastRenderedPageBreak/>
        <w:t xml:space="preserve">            de l’assainissement </w:t>
      </w:r>
      <w:r w:rsidRPr="007F16DA">
        <w:rPr>
          <w:rFonts w:cs="Calibri"/>
          <w:sz w:val="24"/>
          <w:szCs w:val="24"/>
        </w:rPr>
        <w:t xml:space="preserve"> </w:t>
      </w:r>
    </w:p>
    <w:p w14:paraId="22E9BEAB" w14:textId="77777777" w:rsidR="00C0133D" w:rsidRPr="00E31F2B" w:rsidRDefault="00C0133D" w:rsidP="00A97663">
      <w:pPr>
        <w:pStyle w:val="Paragraphedeliste"/>
        <w:numPr>
          <w:ilvl w:val="2"/>
          <w:numId w:val="58"/>
        </w:numPr>
        <w:autoSpaceDE w:val="0"/>
        <w:autoSpaceDN w:val="0"/>
        <w:adjustRightInd w:val="0"/>
        <w:spacing w:after="0"/>
        <w:jc w:val="both"/>
        <w:rPr>
          <w:rFonts w:cs="Calibri"/>
          <w:b/>
          <w:sz w:val="24"/>
          <w:szCs w:val="24"/>
        </w:rPr>
      </w:pPr>
      <w:bookmarkStart w:id="28" w:name="_Hlk527629627"/>
      <w:r w:rsidRPr="00E31F2B">
        <w:rPr>
          <w:rFonts w:cs="Calibri"/>
          <w:b/>
          <w:sz w:val="24"/>
          <w:szCs w:val="24"/>
        </w:rPr>
        <w:t>Renforcer la communication pour le changement pour une meilleure utilisation des SRMNEA et qui doit cibler entre autres</w:t>
      </w:r>
    </w:p>
    <w:bookmarkEnd w:id="28"/>
    <w:p w14:paraId="7C446296" w14:textId="77777777" w:rsidR="00C0133D" w:rsidRDefault="00C0133D" w:rsidP="00A97663">
      <w:pPr>
        <w:pStyle w:val="Paragraphedeliste"/>
        <w:numPr>
          <w:ilvl w:val="3"/>
          <w:numId w:val="58"/>
        </w:numPr>
        <w:autoSpaceDE w:val="0"/>
        <w:autoSpaceDN w:val="0"/>
        <w:adjustRightInd w:val="0"/>
        <w:spacing w:after="0"/>
        <w:jc w:val="both"/>
        <w:rPr>
          <w:rFonts w:cs="Calibri"/>
          <w:sz w:val="24"/>
          <w:szCs w:val="24"/>
        </w:rPr>
      </w:pPr>
      <w:r>
        <w:rPr>
          <w:rFonts w:cs="Calibri"/>
          <w:sz w:val="24"/>
          <w:szCs w:val="24"/>
        </w:rPr>
        <w:t xml:space="preserve">Le renforcement des capacités de Communication pour le changement de </w:t>
      </w:r>
    </w:p>
    <w:p w14:paraId="668704BC" w14:textId="5DAD598F" w:rsidR="00C0133D" w:rsidRDefault="00C0133D" w:rsidP="00051B38">
      <w:pPr>
        <w:pStyle w:val="Paragraphedeliste"/>
        <w:autoSpaceDE w:val="0"/>
        <w:autoSpaceDN w:val="0"/>
        <w:adjustRightInd w:val="0"/>
        <w:spacing w:after="0"/>
        <w:jc w:val="both"/>
        <w:rPr>
          <w:rFonts w:cs="Calibri"/>
          <w:sz w:val="24"/>
          <w:szCs w:val="24"/>
        </w:rPr>
      </w:pPr>
      <w:r>
        <w:rPr>
          <w:rFonts w:cs="Calibri"/>
          <w:sz w:val="24"/>
          <w:szCs w:val="24"/>
        </w:rPr>
        <w:t xml:space="preserve">             </w:t>
      </w:r>
      <w:r w:rsidR="004F52BD">
        <w:rPr>
          <w:rFonts w:cs="Calibri"/>
          <w:sz w:val="24"/>
          <w:szCs w:val="24"/>
        </w:rPr>
        <w:t>Comportement</w:t>
      </w:r>
      <w:r>
        <w:rPr>
          <w:rFonts w:cs="Calibri"/>
          <w:sz w:val="24"/>
          <w:szCs w:val="24"/>
        </w:rPr>
        <w:t xml:space="preserve"> </w:t>
      </w:r>
      <w:r w:rsidR="004F52BD">
        <w:rPr>
          <w:rFonts w:cs="Calibri"/>
          <w:sz w:val="24"/>
          <w:szCs w:val="24"/>
        </w:rPr>
        <w:t xml:space="preserve">qui doit cibler </w:t>
      </w:r>
      <w:r>
        <w:rPr>
          <w:rFonts w:cs="Calibri"/>
          <w:sz w:val="24"/>
          <w:szCs w:val="24"/>
        </w:rPr>
        <w:t>en particulier les acteurs communautaires</w:t>
      </w:r>
    </w:p>
    <w:p w14:paraId="64CD7E08" w14:textId="77777777" w:rsidR="00C0133D" w:rsidRDefault="00C0133D" w:rsidP="00A97663">
      <w:pPr>
        <w:pStyle w:val="Paragraphedeliste"/>
        <w:numPr>
          <w:ilvl w:val="3"/>
          <w:numId w:val="58"/>
        </w:numPr>
        <w:autoSpaceDE w:val="0"/>
        <w:autoSpaceDN w:val="0"/>
        <w:adjustRightInd w:val="0"/>
        <w:spacing w:after="0"/>
        <w:jc w:val="both"/>
        <w:rPr>
          <w:rFonts w:cs="Calibri"/>
          <w:sz w:val="24"/>
          <w:szCs w:val="24"/>
        </w:rPr>
      </w:pPr>
      <w:r w:rsidRPr="00CF0B74">
        <w:rPr>
          <w:rFonts w:cs="Calibri"/>
          <w:sz w:val="24"/>
          <w:szCs w:val="24"/>
        </w:rPr>
        <w:t>L’information pour réduire la non-demande par non-connaissance de la</w:t>
      </w:r>
    </w:p>
    <w:p w14:paraId="3A68DBAA" w14:textId="77777777" w:rsidR="00C0133D" w:rsidRDefault="00C0133D" w:rsidP="00A97663">
      <w:pPr>
        <w:pStyle w:val="Paragraphedeliste"/>
        <w:numPr>
          <w:ilvl w:val="3"/>
          <w:numId w:val="58"/>
        </w:numPr>
        <w:autoSpaceDE w:val="0"/>
        <w:autoSpaceDN w:val="0"/>
        <w:adjustRightInd w:val="0"/>
        <w:spacing w:after="0"/>
        <w:jc w:val="both"/>
        <w:rPr>
          <w:rFonts w:cs="Calibri"/>
          <w:sz w:val="24"/>
          <w:szCs w:val="24"/>
        </w:rPr>
      </w:pPr>
      <w:r w:rsidRPr="00CF0B74">
        <w:rPr>
          <w:rFonts w:cs="Calibri"/>
          <w:sz w:val="24"/>
          <w:szCs w:val="24"/>
        </w:rPr>
        <w:t>disponibilité et de l’intérêt des services SRMNEA-N</w:t>
      </w:r>
    </w:p>
    <w:p w14:paraId="63BFCBAB" w14:textId="77777777" w:rsidR="00C0133D" w:rsidRDefault="00C0133D" w:rsidP="00A97663">
      <w:pPr>
        <w:pStyle w:val="Paragraphedeliste"/>
        <w:numPr>
          <w:ilvl w:val="3"/>
          <w:numId w:val="58"/>
        </w:numPr>
        <w:autoSpaceDE w:val="0"/>
        <w:autoSpaceDN w:val="0"/>
        <w:adjustRightInd w:val="0"/>
        <w:spacing w:after="0"/>
        <w:jc w:val="both"/>
        <w:rPr>
          <w:rFonts w:cs="Calibri"/>
          <w:sz w:val="24"/>
          <w:szCs w:val="24"/>
        </w:rPr>
      </w:pPr>
      <w:r w:rsidRPr="00CF0B74">
        <w:rPr>
          <w:rFonts w:cs="Calibri"/>
          <w:sz w:val="24"/>
          <w:szCs w:val="24"/>
        </w:rPr>
        <w:t xml:space="preserve">La communication pour réduire l’influence sur la demande de certaines </w:t>
      </w:r>
    </w:p>
    <w:p w14:paraId="4FF540D4" w14:textId="77777777" w:rsidR="00C0133D" w:rsidRDefault="00C0133D" w:rsidP="00051B38">
      <w:pPr>
        <w:pStyle w:val="Paragraphedeliste"/>
        <w:autoSpaceDE w:val="0"/>
        <w:autoSpaceDN w:val="0"/>
        <w:adjustRightInd w:val="0"/>
        <w:spacing w:after="0"/>
        <w:jc w:val="both"/>
        <w:rPr>
          <w:rFonts w:cs="Calibri"/>
          <w:sz w:val="24"/>
          <w:szCs w:val="24"/>
        </w:rPr>
      </w:pPr>
      <w:r>
        <w:rPr>
          <w:rFonts w:cs="Calibri"/>
          <w:sz w:val="24"/>
          <w:szCs w:val="24"/>
        </w:rPr>
        <w:t xml:space="preserve">             </w:t>
      </w:r>
      <w:r w:rsidRPr="00CF0B74">
        <w:rPr>
          <w:rFonts w:cs="Calibri"/>
          <w:sz w:val="24"/>
          <w:szCs w:val="24"/>
        </w:rPr>
        <w:t>barrières socio-culturelles : faible pouvoir de décision de la femme</w:t>
      </w:r>
      <w:r>
        <w:rPr>
          <w:rFonts w:cs="Calibri"/>
          <w:sz w:val="24"/>
          <w:szCs w:val="24"/>
        </w:rPr>
        <w:t>, influence</w:t>
      </w:r>
    </w:p>
    <w:p w14:paraId="0EC4D977" w14:textId="77777777" w:rsidR="00C0133D" w:rsidRDefault="00C0133D" w:rsidP="00051B38">
      <w:pPr>
        <w:pStyle w:val="Paragraphedeliste"/>
        <w:autoSpaceDE w:val="0"/>
        <w:autoSpaceDN w:val="0"/>
        <w:adjustRightInd w:val="0"/>
        <w:spacing w:after="0"/>
        <w:jc w:val="both"/>
        <w:rPr>
          <w:rFonts w:cs="Calibri"/>
          <w:sz w:val="24"/>
          <w:szCs w:val="24"/>
        </w:rPr>
      </w:pPr>
      <w:r>
        <w:rPr>
          <w:rFonts w:cs="Calibri"/>
          <w:sz w:val="24"/>
          <w:szCs w:val="24"/>
        </w:rPr>
        <w:t xml:space="preserve">             de la famille </w:t>
      </w:r>
    </w:p>
    <w:p w14:paraId="30D7528B" w14:textId="77777777" w:rsidR="00C0133D" w:rsidRPr="0085552F" w:rsidRDefault="00C0133D" w:rsidP="00A97663">
      <w:pPr>
        <w:pStyle w:val="Paragraphedeliste"/>
        <w:numPr>
          <w:ilvl w:val="3"/>
          <w:numId w:val="58"/>
        </w:numPr>
        <w:autoSpaceDE w:val="0"/>
        <w:autoSpaceDN w:val="0"/>
        <w:adjustRightInd w:val="0"/>
        <w:spacing w:after="0"/>
        <w:jc w:val="both"/>
        <w:rPr>
          <w:rFonts w:cs="Calibri"/>
          <w:sz w:val="24"/>
          <w:szCs w:val="24"/>
        </w:rPr>
      </w:pPr>
      <w:r w:rsidRPr="0085552F">
        <w:rPr>
          <w:rFonts w:cs="Calibri"/>
          <w:sz w:val="24"/>
          <w:szCs w:val="24"/>
        </w:rPr>
        <w:t>Le renforcement de l’Ecole des maris pour impliquer les hommes dans la</w:t>
      </w:r>
    </w:p>
    <w:p w14:paraId="4F866DB2" w14:textId="77777777" w:rsidR="00C0133D" w:rsidRPr="0085552F" w:rsidRDefault="00C0133D" w:rsidP="00051B38">
      <w:pPr>
        <w:pStyle w:val="Paragraphedeliste"/>
        <w:autoSpaceDE w:val="0"/>
        <w:autoSpaceDN w:val="0"/>
        <w:adjustRightInd w:val="0"/>
        <w:spacing w:after="0"/>
        <w:jc w:val="both"/>
        <w:rPr>
          <w:rFonts w:cs="Calibri"/>
          <w:sz w:val="24"/>
          <w:szCs w:val="24"/>
        </w:rPr>
      </w:pPr>
      <w:r w:rsidRPr="0085552F">
        <w:rPr>
          <w:rFonts w:cs="Calibri"/>
          <w:sz w:val="24"/>
          <w:szCs w:val="24"/>
        </w:rPr>
        <w:t xml:space="preserve">             SRMNEA dans le but d’améliorer l’accessibilité socioculturelle et le</w:t>
      </w:r>
    </w:p>
    <w:p w14:paraId="732B1F47" w14:textId="77777777" w:rsidR="00C0133D" w:rsidRPr="0085552F" w:rsidRDefault="00C0133D" w:rsidP="00051B38">
      <w:pPr>
        <w:autoSpaceDE w:val="0"/>
        <w:autoSpaceDN w:val="0"/>
        <w:adjustRightInd w:val="0"/>
        <w:spacing w:after="0"/>
        <w:jc w:val="both"/>
        <w:rPr>
          <w:rFonts w:cs="Calibri"/>
          <w:sz w:val="24"/>
          <w:szCs w:val="24"/>
        </w:rPr>
      </w:pPr>
      <w:r w:rsidRPr="0085552F">
        <w:rPr>
          <w:rFonts w:cs="Calibri"/>
          <w:sz w:val="24"/>
          <w:szCs w:val="24"/>
        </w:rPr>
        <w:t xml:space="preserve">                           changement de comportement. L’Ecole des maris fonctionne à travers des </w:t>
      </w:r>
    </w:p>
    <w:p w14:paraId="585BC9EC" w14:textId="77777777" w:rsidR="00C0133D" w:rsidRDefault="00C0133D" w:rsidP="00051B38">
      <w:pPr>
        <w:autoSpaceDE w:val="0"/>
        <w:autoSpaceDN w:val="0"/>
        <w:adjustRightInd w:val="0"/>
        <w:spacing w:after="0"/>
        <w:jc w:val="both"/>
        <w:rPr>
          <w:rFonts w:cs="Cambria"/>
          <w:sz w:val="24"/>
          <w:szCs w:val="24"/>
        </w:rPr>
      </w:pPr>
      <w:r w:rsidRPr="0085552F">
        <w:rPr>
          <w:rFonts w:cs="Cambria"/>
          <w:sz w:val="24"/>
          <w:szCs w:val="24"/>
        </w:rPr>
        <w:t xml:space="preserve">         </w:t>
      </w:r>
      <w:r>
        <w:rPr>
          <w:rFonts w:cs="Cambria"/>
          <w:sz w:val="24"/>
          <w:szCs w:val="24"/>
        </w:rPr>
        <w:t xml:space="preserve">                  </w:t>
      </w:r>
      <w:r w:rsidRPr="0085552F">
        <w:rPr>
          <w:rFonts w:cs="Cambria"/>
          <w:sz w:val="24"/>
          <w:szCs w:val="24"/>
        </w:rPr>
        <w:t xml:space="preserve">focus-group sur les questions de SRMNEA, les visites à domicile auprès des </w:t>
      </w:r>
    </w:p>
    <w:p w14:paraId="545E4890" w14:textId="77777777" w:rsidR="00C0133D" w:rsidRDefault="00C0133D" w:rsidP="00051B38">
      <w:pPr>
        <w:autoSpaceDE w:val="0"/>
        <w:autoSpaceDN w:val="0"/>
        <w:adjustRightInd w:val="0"/>
        <w:spacing w:after="0"/>
        <w:jc w:val="both"/>
        <w:rPr>
          <w:rFonts w:cs="Cambria"/>
          <w:sz w:val="24"/>
          <w:szCs w:val="24"/>
        </w:rPr>
      </w:pPr>
      <w:r>
        <w:rPr>
          <w:rFonts w:cs="Cambria"/>
          <w:sz w:val="24"/>
          <w:szCs w:val="24"/>
        </w:rPr>
        <w:t xml:space="preserve">                           </w:t>
      </w:r>
      <w:r w:rsidRPr="0085552F">
        <w:rPr>
          <w:rFonts w:cs="Cambria"/>
          <w:sz w:val="24"/>
          <w:szCs w:val="24"/>
        </w:rPr>
        <w:t>hommes, le</w:t>
      </w:r>
      <w:r>
        <w:rPr>
          <w:rFonts w:cs="Cambria"/>
          <w:sz w:val="24"/>
          <w:szCs w:val="24"/>
        </w:rPr>
        <w:t>s</w:t>
      </w:r>
      <w:r w:rsidRPr="0085552F">
        <w:rPr>
          <w:rFonts w:cs="Cambria"/>
          <w:sz w:val="24"/>
          <w:szCs w:val="24"/>
        </w:rPr>
        <w:t xml:space="preserve"> causeries communautaires suivies de projection de film.</w:t>
      </w:r>
    </w:p>
    <w:p w14:paraId="40129062" w14:textId="77777777" w:rsidR="00C0133D" w:rsidRPr="00E31F2B" w:rsidRDefault="00C0133D" w:rsidP="00A97663">
      <w:pPr>
        <w:pStyle w:val="Paragraphedeliste"/>
        <w:numPr>
          <w:ilvl w:val="2"/>
          <w:numId w:val="58"/>
        </w:numPr>
        <w:autoSpaceDE w:val="0"/>
        <w:autoSpaceDN w:val="0"/>
        <w:adjustRightInd w:val="0"/>
        <w:spacing w:after="0"/>
        <w:jc w:val="both"/>
        <w:rPr>
          <w:rFonts w:cs="Cambria"/>
          <w:b/>
          <w:sz w:val="24"/>
          <w:szCs w:val="24"/>
        </w:rPr>
      </w:pPr>
      <w:bookmarkStart w:id="29" w:name="_Hlk527629657"/>
      <w:r w:rsidRPr="00E31F2B">
        <w:rPr>
          <w:rFonts w:cs="Cambria"/>
          <w:b/>
          <w:sz w:val="24"/>
          <w:szCs w:val="24"/>
        </w:rPr>
        <w:t>Réduire les barrières financières à l’accès aux services de SRMNEA-N</w:t>
      </w:r>
    </w:p>
    <w:bookmarkEnd w:id="29"/>
    <w:p w14:paraId="2339D1CD" w14:textId="77777777" w:rsidR="00C0133D" w:rsidRDefault="00C0133D" w:rsidP="00A97663">
      <w:pPr>
        <w:pStyle w:val="Paragraphedeliste"/>
        <w:numPr>
          <w:ilvl w:val="3"/>
          <w:numId w:val="58"/>
        </w:numPr>
        <w:autoSpaceDE w:val="0"/>
        <w:autoSpaceDN w:val="0"/>
        <w:adjustRightInd w:val="0"/>
        <w:spacing w:after="0"/>
        <w:jc w:val="both"/>
        <w:rPr>
          <w:rFonts w:cs="Cambria"/>
          <w:sz w:val="24"/>
          <w:szCs w:val="24"/>
        </w:rPr>
      </w:pPr>
      <w:r>
        <w:rPr>
          <w:rFonts w:cs="Cambria"/>
          <w:sz w:val="24"/>
          <w:szCs w:val="24"/>
        </w:rPr>
        <w:t>Soutenir les mesures de gratuité pour favoriser l’accès aux services essentiels</w:t>
      </w:r>
    </w:p>
    <w:p w14:paraId="7C3262E9" w14:textId="77777777" w:rsidR="00C0133D" w:rsidRDefault="00C0133D" w:rsidP="00051B38">
      <w:pPr>
        <w:pStyle w:val="Paragraphedeliste"/>
        <w:autoSpaceDE w:val="0"/>
        <w:autoSpaceDN w:val="0"/>
        <w:adjustRightInd w:val="0"/>
        <w:spacing w:after="0"/>
        <w:jc w:val="both"/>
        <w:rPr>
          <w:rFonts w:cs="Cambria"/>
          <w:sz w:val="24"/>
          <w:szCs w:val="24"/>
        </w:rPr>
      </w:pPr>
      <w:r>
        <w:rPr>
          <w:rFonts w:cs="Cambria"/>
          <w:sz w:val="24"/>
          <w:szCs w:val="24"/>
        </w:rPr>
        <w:t xml:space="preserve">             de SRMNEA des populations vulnérables qui couvre les SONU y compris la</w:t>
      </w:r>
    </w:p>
    <w:p w14:paraId="63E5B762" w14:textId="77777777" w:rsidR="004C37AB" w:rsidRDefault="00C0133D" w:rsidP="00051B38">
      <w:pPr>
        <w:pStyle w:val="Paragraphedeliste"/>
        <w:autoSpaceDE w:val="0"/>
        <w:autoSpaceDN w:val="0"/>
        <w:adjustRightInd w:val="0"/>
        <w:spacing w:after="0"/>
        <w:jc w:val="both"/>
        <w:rPr>
          <w:rFonts w:cs="Cambria"/>
          <w:sz w:val="24"/>
          <w:szCs w:val="24"/>
        </w:rPr>
      </w:pPr>
      <w:r>
        <w:rPr>
          <w:rFonts w:cs="Cambria"/>
          <w:sz w:val="24"/>
          <w:szCs w:val="24"/>
        </w:rPr>
        <w:t xml:space="preserve">             Césarienne, la CPN, les soins à la femme enceinte et </w:t>
      </w:r>
      <w:r w:rsidRPr="002119FC">
        <w:rPr>
          <w:rFonts w:cs="Cambria"/>
          <w:sz w:val="24"/>
          <w:szCs w:val="24"/>
        </w:rPr>
        <w:t xml:space="preserve">aux enfants de moins de </w:t>
      </w:r>
    </w:p>
    <w:p w14:paraId="35137311" w14:textId="77777777" w:rsidR="004C37AB" w:rsidRDefault="004C37AB" w:rsidP="004C37AB">
      <w:pPr>
        <w:pStyle w:val="Paragraphedeliste"/>
        <w:autoSpaceDE w:val="0"/>
        <w:autoSpaceDN w:val="0"/>
        <w:adjustRightInd w:val="0"/>
        <w:spacing w:after="0"/>
        <w:jc w:val="both"/>
        <w:rPr>
          <w:rFonts w:cs="Cambria"/>
          <w:sz w:val="24"/>
          <w:szCs w:val="24"/>
        </w:rPr>
      </w:pPr>
      <w:r>
        <w:rPr>
          <w:rFonts w:cs="Cambria"/>
          <w:sz w:val="24"/>
          <w:szCs w:val="24"/>
        </w:rPr>
        <w:t xml:space="preserve">              </w:t>
      </w:r>
      <w:r w:rsidR="00C0133D" w:rsidRPr="002119FC">
        <w:rPr>
          <w:rFonts w:cs="Cambria"/>
          <w:sz w:val="24"/>
          <w:szCs w:val="24"/>
        </w:rPr>
        <w:t>5</w:t>
      </w:r>
      <w:r w:rsidR="00C0133D" w:rsidRPr="004C37AB">
        <w:rPr>
          <w:rFonts w:cs="Cambria"/>
          <w:sz w:val="24"/>
          <w:szCs w:val="24"/>
        </w:rPr>
        <w:t xml:space="preserve"> ans, la transfusion Sanguine, la prise en charge de la Tuberculose, Paludisme</w:t>
      </w:r>
    </w:p>
    <w:p w14:paraId="03985B30" w14:textId="20F82EEF" w:rsidR="00C0133D" w:rsidRPr="004C37AB" w:rsidRDefault="004C37AB" w:rsidP="004C37AB">
      <w:pPr>
        <w:pStyle w:val="Paragraphedeliste"/>
        <w:autoSpaceDE w:val="0"/>
        <w:autoSpaceDN w:val="0"/>
        <w:adjustRightInd w:val="0"/>
        <w:spacing w:after="0"/>
        <w:jc w:val="both"/>
        <w:rPr>
          <w:rFonts w:cs="Cambria"/>
          <w:sz w:val="24"/>
          <w:szCs w:val="24"/>
        </w:rPr>
      </w:pPr>
      <w:r>
        <w:rPr>
          <w:rFonts w:cs="Cambria"/>
          <w:sz w:val="24"/>
          <w:szCs w:val="24"/>
        </w:rPr>
        <w:t xml:space="preserve">             </w:t>
      </w:r>
      <w:r w:rsidR="00C0133D" w:rsidRPr="004C37AB">
        <w:rPr>
          <w:rFonts w:cs="Cambria"/>
          <w:sz w:val="24"/>
          <w:szCs w:val="24"/>
        </w:rPr>
        <w:t xml:space="preserve"> </w:t>
      </w:r>
      <w:r>
        <w:rPr>
          <w:rFonts w:cs="Cambria"/>
          <w:sz w:val="24"/>
          <w:szCs w:val="24"/>
        </w:rPr>
        <w:t>e</w:t>
      </w:r>
      <w:r w:rsidR="00C0133D" w:rsidRPr="004C37AB">
        <w:rPr>
          <w:rFonts w:cs="Cambria"/>
          <w:sz w:val="24"/>
          <w:szCs w:val="24"/>
        </w:rPr>
        <w:t>t</w:t>
      </w:r>
      <w:r>
        <w:rPr>
          <w:rFonts w:cs="Cambria"/>
          <w:sz w:val="24"/>
          <w:szCs w:val="24"/>
        </w:rPr>
        <w:t xml:space="preserve"> </w:t>
      </w:r>
      <w:r w:rsidR="00C0133D" w:rsidRPr="004C37AB">
        <w:rPr>
          <w:rFonts w:cs="Cambria"/>
          <w:sz w:val="24"/>
          <w:szCs w:val="24"/>
        </w:rPr>
        <w:t>VIH-SIDA, la planification familiale.</w:t>
      </w:r>
    </w:p>
    <w:p w14:paraId="06EF0035" w14:textId="77777777" w:rsidR="00C0133D" w:rsidRDefault="00C0133D" w:rsidP="00A97663">
      <w:pPr>
        <w:pStyle w:val="Paragraphedeliste"/>
        <w:numPr>
          <w:ilvl w:val="3"/>
          <w:numId w:val="58"/>
        </w:numPr>
        <w:autoSpaceDE w:val="0"/>
        <w:autoSpaceDN w:val="0"/>
        <w:adjustRightInd w:val="0"/>
        <w:spacing w:after="0"/>
        <w:jc w:val="both"/>
        <w:rPr>
          <w:rFonts w:cs="Cambria"/>
          <w:sz w:val="24"/>
          <w:szCs w:val="24"/>
        </w:rPr>
      </w:pPr>
      <w:r>
        <w:rPr>
          <w:rFonts w:cs="Cambria"/>
          <w:sz w:val="24"/>
          <w:szCs w:val="24"/>
        </w:rPr>
        <w:t xml:space="preserve">Réduire progressivement la part des ménages et les paiements directs dans les </w:t>
      </w:r>
    </w:p>
    <w:p w14:paraId="19E79479" w14:textId="77777777" w:rsidR="00C0133D" w:rsidRPr="00065951" w:rsidRDefault="00C0133D" w:rsidP="00051B38">
      <w:pPr>
        <w:pStyle w:val="Paragraphedeliste"/>
        <w:autoSpaceDE w:val="0"/>
        <w:autoSpaceDN w:val="0"/>
        <w:adjustRightInd w:val="0"/>
        <w:spacing w:after="0"/>
        <w:jc w:val="both"/>
        <w:rPr>
          <w:rFonts w:cs="Cambria"/>
          <w:sz w:val="24"/>
          <w:szCs w:val="24"/>
        </w:rPr>
      </w:pPr>
      <w:r>
        <w:rPr>
          <w:rFonts w:cs="Cambria"/>
          <w:sz w:val="24"/>
          <w:szCs w:val="24"/>
        </w:rPr>
        <w:t xml:space="preserve">             dépenses de santé grâce </w:t>
      </w:r>
      <w:r w:rsidRPr="00065951">
        <w:rPr>
          <w:rFonts w:cs="Cambria"/>
          <w:sz w:val="24"/>
          <w:szCs w:val="24"/>
        </w:rPr>
        <w:t>au relai par l’AMU.</w:t>
      </w:r>
    </w:p>
    <w:p w14:paraId="6437A7AB" w14:textId="77777777" w:rsidR="00C0133D" w:rsidRPr="005E5C69" w:rsidRDefault="00C0133D" w:rsidP="00A97663">
      <w:pPr>
        <w:pStyle w:val="Paragraphedeliste"/>
        <w:numPr>
          <w:ilvl w:val="0"/>
          <w:numId w:val="62"/>
        </w:numPr>
        <w:autoSpaceDE w:val="0"/>
        <w:autoSpaceDN w:val="0"/>
        <w:adjustRightInd w:val="0"/>
        <w:spacing w:after="0"/>
        <w:jc w:val="both"/>
        <w:rPr>
          <w:rFonts w:cs="Cambria"/>
          <w:sz w:val="24"/>
          <w:szCs w:val="24"/>
        </w:rPr>
      </w:pPr>
      <w:r w:rsidRPr="005E5C69">
        <w:rPr>
          <w:rFonts w:cs="Cambria"/>
          <w:sz w:val="24"/>
          <w:szCs w:val="24"/>
        </w:rPr>
        <w:t>Renforcer la communication au sujet de l’AMU</w:t>
      </w:r>
    </w:p>
    <w:p w14:paraId="4628306D" w14:textId="77777777" w:rsidR="00C0133D" w:rsidRDefault="00C0133D" w:rsidP="00A97663">
      <w:pPr>
        <w:pStyle w:val="Paragraphedeliste"/>
        <w:numPr>
          <w:ilvl w:val="0"/>
          <w:numId w:val="62"/>
        </w:numPr>
        <w:autoSpaceDE w:val="0"/>
        <w:autoSpaceDN w:val="0"/>
        <w:adjustRightInd w:val="0"/>
        <w:spacing w:after="0"/>
        <w:jc w:val="both"/>
        <w:rPr>
          <w:rFonts w:cs="Cambria"/>
          <w:sz w:val="24"/>
          <w:szCs w:val="24"/>
        </w:rPr>
      </w:pPr>
      <w:r w:rsidRPr="005E5C69">
        <w:rPr>
          <w:rFonts w:cs="Cambria"/>
          <w:sz w:val="24"/>
          <w:szCs w:val="24"/>
        </w:rPr>
        <w:t xml:space="preserve">Créer un environnement favorable pour amener le secteur informel à adhérer </w:t>
      </w:r>
      <w:r>
        <w:rPr>
          <w:rFonts w:cs="Cambria"/>
          <w:sz w:val="24"/>
          <w:szCs w:val="24"/>
        </w:rPr>
        <w:t xml:space="preserve">plus </w:t>
      </w:r>
      <w:r w:rsidRPr="005E5C69">
        <w:rPr>
          <w:rFonts w:cs="Cambria"/>
          <w:sz w:val="24"/>
          <w:szCs w:val="24"/>
        </w:rPr>
        <w:t>aux mécanismes de partage du risque maladie</w:t>
      </w:r>
    </w:p>
    <w:p w14:paraId="0ED68F41" w14:textId="77777777" w:rsidR="00C0133D" w:rsidRPr="004452E4" w:rsidRDefault="00C0133D" w:rsidP="00A97663">
      <w:pPr>
        <w:pStyle w:val="Paragraphedeliste"/>
        <w:numPr>
          <w:ilvl w:val="0"/>
          <w:numId w:val="62"/>
        </w:numPr>
        <w:autoSpaceDE w:val="0"/>
        <w:autoSpaceDN w:val="0"/>
        <w:adjustRightInd w:val="0"/>
        <w:spacing w:after="0"/>
        <w:jc w:val="both"/>
        <w:rPr>
          <w:rFonts w:cs="Cambria"/>
          <w:sz w:val="24"/>
          <w:szCs w:val="24"/>
        </w:rPr>
      </w:pPr>
      <w:r>
        <w:rPr>
          <w:rFonts w:cs="Cambria"/>
          <w:sz w:val="24"/>
          <w:szCs w:val="24"/>
        </w:rPr>
        <w:t>Créer un environnement favorable à la fédération des mutuelles communautaires.</w:t>
      </w:r>
    </w:p>
    <w:p w14:paraId="5842794B" w14:textId="77777777" w:rsidR="00C0133D" w:rsidRDefault="00C0133D" w:rsidP="00051B38">
      <w:pPr>
        <w:autoSpaceDE w:val="0"/>
        <w:autoSpaceDN w:val="0"/>
        <w:adjustRightInd w:val="0"/>
        <w:spacing w:after="0"/>
        <w:jc w:val="both"/>
        <w:rPr>
          <w:rFonts w:cs="Cambria"/>
          <w:b/>
          <w:sz w:val="24"/>
          <w:szCs w:val="24"/>
        </w:rPr>
      </w:pPr>
      <w:bookmarkStart w:id="30" w:name="_Hlk527629678"/>
      <w:r w:rsidRPr="005A72AA">
        <w:rPr>
          <w:rFonts w:cs="Cambria"/>
          <w:b/>
          <w:sz w:val="24"/>
          <w:szCs w:val="24"/>
        </w:rPr>
        <w:t>PRIORITE 2 : RENFORCER LES PILIERS DU SYSTEME DE SANTE EN APPUI A L’OFFRE DE</w:t>
      </w:r>
    </w:p>
    <w:p w14:paraId="0934136F" w14:textId="77777777" w:rsidR="00C0133D" w:rsidRPr="005A72AA" w:rsidRDefault="00C0133D" w:rsidP="00051B38">
      <w:pPr>
        <w:autoSpaceDE w:val="0"/>
        <w:autoSpaceDN w:val="0"/>
        <w:adjustRightInd w:val="0"/>
        <w:spacing w:after="0"/>
        <w:jc w:val="both"/>
        <w:rPr>
          <w:rFonts w:cs="Cambria"/>
          <w:b/>
          <w:sz w:val="24"/>
          <w:szCs w:val="24"/>
        </w:rPr>
      </w:pPr>
      <w:r>
        <w:rPr>
          <w:rFonts w:cs="Cambria"/>
          <w:b/>
          <w:sz w:val="24"/>
          <w:szCs w:val="24"/>
        </w:rPr>
        <w:t xml:space="preserve">                      </w:t>
      </w:r>
      <w:r w:rsidRPr="005A72AA">
        <w:rPr>
          <w:rFonts w:cs="Cambria"/>
          <w:b/>
          <w:sz w:val="24"/>
          <w:szCs w:val="24"/>
        </w:rPr>
        <w:t xml:space="preserve"> SRMNEA</w:t>
      </w:r>
    </w:p>
    <w:p w14:paraId="4EB0D18B" w14:textId="0782BA36" w:rsidR="00B94F52" w:rsidRPr="00B94F52" w:rsidRDefault="00B94F52" w:rsidP="00A97663">
      <w:pPr>
        <w:pStyle w:val="Paragraphedeliste"/>
        <w:numPr>
          <w:ilvl w:val="1"/>
          <w:numId w:val="78"/>
        </w:numPr>
        <w:autoSpaceDE w:val="0"/>
        <w:autoSpaceDN w:val="0"/>
        <w:adjustRightInd w:val="0"/>
        <w:spacing w:after="0"/>
        <w:jc w:val="both"/>
        <w:rPr>
          <w:rFonts w:cs="Calibri"/>
          <w:b/>
          <w:sz w:val="24"/>
          <w:szCs w:val="24"/>
        </w:rPr>
      </w:pPr>
      <w:bookmarkStart w:id="31" w:name="_Hlk527629714"/>
      <w:bookmarkEnd w:id="30"/>
      <w:r w:rsidRPr="00B94F52">
        <w:rPr>
          <w:rFonts w:cs="Calibri"/>
          <w:sz w:val="24"/>
          <w:szCs w:val="24"/>
        </w:rPr>
        <w:t>ASSURER LA DISPONIBILITE D’UN PERSONNEL OPERATIONNEL, COMPETENT, MOTIVE ET FORME NOTAMMENT A TRAVERS LE COACHING, LE MENTORAT, …</w:t>
      </w:r>
    </w:p>
    <w:p w14:paraId="25FCD16F" w14:textId="196B9145" w:rsidR="00C0133D" w:rsidRPr="005A72AA" w:rsidRDefault="00C0133D" w:rsidP="00A97663">
      <w:pPr>
        <w:pStyle w:val="Paragraphedeliste"/>
        <w:numPr>
          <w:ilvl w:val="2"/>
          <w:numId w:val="78"/>
        </w:numPr>
        <w:autoSpaceDE w:val="0"/>
        <w:autoSpaceDN w:val="0"/>
        <w:adjustRightInd w:val="0"/>
        <w:spacing w:after="0"/>
        <w:jc w:val="both"/>
        <w:rPr>
          <w:rFonts w:cs="Calibri"/>
          <w:b/>
          <w:sz w:val="24"/>
          <w:szCs w:val="24"/>
        </w:rPr>
      </w:pPr>
      <w:r w:rsidRPr="005A72AA">
        <w:rPr>
          <w:rFonts w:cs="Calibri"/>
          <w:b/>
          <w:sz w:val="24"/>
          <w:szCs w:val="24"/>
        </w:rPr>
        <w:t>Organiser des formations spécifiques de mise à niveau dans les domaines actuellement déficitaires :</w:t>
      </w:r>
    </w:p>
    <w:bookmarkEnd w:id="31"/>
    <w:p w14:paraId="6EFB5BE6" w14:textId="3CB9FE61" w:rsidR="00C0133D" w:rsidRPr="00492E0B" w:rsidRDefault="008A4131" w:rsidP="00A97663">
      <w:pPr>
        <w:pStyle w:val="Paragraphedeliste"/>
        <w:numPr>
          <w:ilvl w:val="3"/>
          <w:numId w:val="78"/>
        </w:numPr>
        <w:autoSpaceDE w:val="0"/>
        <w:autoSpaceDN w:val="0"/>
        <w:adjustRightInd w:val="0"/>
        <w:spacing w:after="0"/>
        <w:jc w:val="both"/>
        <w:rPr>
          <w:rFonts w:cs="Calibri"/>
          <w:b/>
          <w:sz w:val="24"/>
          <w:szCs w:val="24"/>
        </w:rPr>
      </w:pPr>
      <w:r>
        <w:rPr>
          <w:rFonts w:cs="Calibri"/>
          <w:b/>
          <w:sz w:val="24"/>
          <w:szCs w:val="24"/>
        </w:rPr>
        <w:t>Renforcer les capacités des acteurs de p</w:t>
      </w:r>
      <w:r w:rsidR="00C0133D" w:rsidRPr="00492E0B">
        <w:rPr>
          <w:rFonts w:cs="Calibri"/>
          <w:b/>
          <w:sz w:val="24"/>
          <w:szCs w:val="24"/>
        </w:rPr>
        <w:t>ratique communautaire</w:t>
      </w:r>
    </w:p>
    <w:p w14:paraId="3C0178D2" w14:textId="77777777" w:rsidR="00C0133D" w:rsidRPr="00492E0B" w:rsidRDefault="00C0133D" w:rsidP="00A97663">
      <w:pPr>
        <w:pStyle w:val="Paragraphedeliste"/>
        <w:numPr>
          <w:ilvl w:val="0"/>
          <w:numId w:val="59"/>
        </w:numPr>
        <w:autoSpaceDE w:val="0"/>
        <w:autoSpaceDN w:val="0"/>
        <w:adjustRightInd w:val="0"/>
        <w:spacing w:after="0"/>
        <w:jc w:val="both"/>
        <w:rPr>
          <w:rFonts w:cs="Arial"/>
          <w:sz w:val="24"/>
          <w:szCs w:val="24"/>
        </w:rPr>
      </w:pPr>
      <w:r w:rsidRPr="00492E0B">
        <w:rPr>
          <w:sz w:val="24"/>
          <w:szCs w:val="24"/>
        </w:rPr>
        <w:t xml:space="preserve">Former les acteurs communautaires (i) </w:t>
      </w:r>
      <w:r w:rsidRPr="00F74AE6">
        <w:rPr>
          <w:sz w:val="24"/>
          <w:szCs w:val="24"/>
        </w:rPr>
        <w:t xml:space="preserve">en </w:t>
      </w:r>
      <w:r w:rsidRPr="00F74AE6">
        <w:rPr>
          <w:rFonts w:cs="Arial"/>
        </w:rPr>
        <w:t>Surveillance des décès maternels et néonatals et riposte</w:t>
      </w:r>
      <w:r w:rsidRPr="00A30610">
        <w:rPr>
          <w:rFonts w:cs="Arial"/>
          <w:b/>
        </w:rPr>
        <w:t xml:space="preserve"> </w:t>
      </w:r>
      <w:r>
        <w:rPr>
          <w:rFonts w:cs="Arial"/>
          <w:b/>
        </w:rPr>
        <w:t>(</w:t>
      </w:r>
      <w:r w:rsidRPr="00492E0B">
        <w:rPr>
          <w:sz w:val="24"/>
          <w:szCs w:val="24"/>
        </w:rPr>
        <w:t>SDMNR</w:t>
      </w:r>
      <w:r>
        <w:rPr>
          <w:sz w:val="24"/>
          <w:szCs w:val="24"/>
        </w:rPr>
        <w:t>)</w:t>
      </w:r>
      <w:r w:rsidRPr="00492E0B">
        <w:rPr>
          <w:sz w:val="24"/>
          <w:szCs w:val="24"/>
        </w:rPr>
        <w:t xml:space="preserve">, (ii) </w:t>
      </w:r>
      <w:r w:rsidRPr="00492E0B">
        <w:rPr>
          <w:rFonts w:cs="Arial"/>
          <w:sz w:val="24"/>
          <w:szCs w:val="24"/>
        </w:rPr>
        <w:t xml:space="preserve">en IEC/CCC sur les avantages de la Consultation Post Natale, (iii) sur l’offre des méthodes contraceptives injectables et l’initiation à la pilule contraceptive, (iv) </w:t>
      </w:r>
      <w:r w:rsidRPr="00492E0B">
        <w:rPr>
          <w:rFonts w:eastAsia="Times New Roman" w:cs="Calibri"/>
          <w:sz w:val="24"/>
          <w:szCs w:val="24"/>
        </w:rPr>
        <w:t xml:space="preserve">sur le référentiel national d'accompagnement communautaire, (v) </w:t>
      </w:r>
      <w:r w:rsidRPr="00492E0B">
        <w:rPr>
          <w:rFonts w:cs="Arial"/>
          <w:sz w:val="24"/>
          <w:szCs w:val="24"/>
        </w:rPr>
        <w:t xml:space="preserve">sur les méthodes de longues durées d’action, (vi) sur la PCIME Communautaire, (vii) </w:t>
      </w:r>
      <w:r w:rsidRPr="00492E0B">
        <w:rPr>
          <w:rFonts w:cs="Calibri"/>
          <w:sz w:val="24"/>
          <w:szCs w:val="24"/>
        </w:rPr>
        <w:t xml:space="preserve">aux soins du nouveau-né à domicile, (viii) à la Prise en charge </w:t>
      </w:r>
      <w:r w:rsidRPr="00492E0B">
        <w:rPr>
          <w:rFonts w:cs="Calibri"/>
          <w:sz w:val="24"/>
          <w:szCs w:val="24"/>
        </w:rPr>
        <w:lastRenderedPageBreak/>
        <w:t>des infections bactériennes graves chez les jeunes nourrissons malades (0-59 jours) lorsque la référence n’est pas possible</w:t>
      </w:r>
    </w:p>
    <w:p w14:paraId="1F84EA48" w14:textId="3834E99E" w:rsidR="00C0133D" w:rsidRPr="00492E0B" w:rsidRDefault="008A4131" w:rsidP="00A97663">
      <w:pPr>
        <w:pStyle w:val="Paragraphedeliste"/>
        <w:numPr>
          <w:ilvl w:val="3"/>
          <w:numId w:val="78"/>
        </w:numPr>
        <w:autoSpaceDE w:val="0"/>
        <w:autoSpaceDN w:val="0"/>
        <w:adjustRightInd w:val="0"/>
        <w:spacing w:after="0"/>
        <w:jc w:val="both"/>
        <w:rPr>
          <w:rFonts w:cs="Calibri"/>
          <w:b/>
          <w:sz w:val="24"/>
          <w:szCs w:val="24"/>
        </w:rPr>
      </w:pPr>
      <w:r>
        <w:rPr>
          <w:rFonts w:cs="Calibri"/>
          <w:b/>
          <w:sz w:val="24"/>
          <w:szCs w:val="24"/>
        </w:rPr>
        <w:t xml:space="preserve">Renforcer les capacités des acteurs de </w:t>
      </w:r>
      <w:r w:rsidR="00C0133D" w:rsidRPr="00492E0B">
        <w:rPr>
          <w:rFonts w:cs="Calibri"/>
          <w:b/>
          <w:sz w:val="24"/>
          <w:szCs w:val="24"/>
        </w:rPr>
        <w:t>Pratique préventive et curative</w:t>
      </w:r>
    </w:p>
    <w:p w14:paraId="491C8567" w14:textId="77777777" w:rsidR="00C0133D" w:rsidRPr="00492E0B" w:rsidRDefault="00C0133D" w:rsidP="00A97663">
      <w:pPr>
        <w:pStyle w:val="Paragraphedeliste"/>
        <w:numPr>
          <w:ilvl w:val="0"/>
          <w:numId w:val="60"/>
        </w:numPr>
        <w:autoSpaceDE w:val="0"/>
        <w:autoSpaceDN w:val="0"/>
        <w:adjustRightInd w:val="0"/>
        <w:spacing w:after="0"/>
        <w:jc w:val="both"/>
        <w:rPr>
          <w:rFonts w:eastAsia="Times New Roman" w:cs="Calibri"/>
          <w:sz w:val="24"/>
          <w:szCs w:val="24"/>
        </w:rPr>
      </w:pPr>
      <w:r w:rsidRPr="00492E0B">
        <w:rPr>
          <w:rFonts w:cs="Calibri"/>
          <w:sz w:val="24"/>
          <w:szCs w:val="24"/>
        </w:rPr>
        <w:t xml:space="preserve">Former les prestataires (i) à l’utilisation de la ventouse, (ii) en SONUB et SONUC, (iii) Soins après avortement, (iv) au mentorat, (v) </w:t>
      </w:r>
      <w:r w:rsidRPr="00492E0B">
        <w:rPr>
          <w:rFonts w:cs="Arial"/>
          <w:sz w:val="24"/>
          <w:szCs w:val="24"/>
        </w:rPr>
        <w:t xml:space="preserve">sur les Soins Prénatals selon les nouvelles recommandations de l’OMS, (vi) au dépistage des lésions précancéreuses et cancéreuses du col de l’utérus et du sein, (vii) </w:t>
      </w:r>
      <w:r w:rsidRPr="00492E0B">
        <w:rPr>
          <w:sz w:val="24"/>
          <w:szCs w:val="24"/>
        </w:rPr>
        <w:t xml:space="preserve">sur la </w:t>
      </w:r>
      <w:r w:rsidRPr="00492E0B">
        <w:rPr>
          <w:rFonts w:cs="Arial"/>
          <w:sz w:val="24"/>
          <w:szCs w:val="24"/>
        </w:rPr>
        <w:t xml:space="preserve">Surveillance des décès maternels et néonatals et riposte (SDMNR), (viii) en Planification familiale (PF Clinique, Compétences pédagogiques), (ix) </w:t>
      </w:r>
      <w:r w:rsidRPr="00492E0B">
        <w:rPr>
          <w:sz w:val="24"/>
          <w:szCs w:val="24"/>
        </w:rPr>
        <w:t>à la conduite des audits de décès maternels et néonatals en communauté, (x) en PCIME-REC et TETU</w:t>
      </w:r>
      <w:r>
        <w:rPr>
          <w:sz w:val="24"/>
          <w:szCs w:val="24"/>
        </w:rPr>
        <w:t xml:space="preserve">, (xi) </w:t>
      </w:r>
      <w:r>
        <w:rPr>
          <w:rFonts w:ascii="Calibri" w:hAnsi="Calibri"/>
          <w:sz w:val="24"/>
          <w:szCs w:val="24"/>
        </w:rPr>
        <w:t>la prise en charge de la malnutrition aigüe et des complications.</w:t>
      </w:r>
    </w:p>
    <w:p w14:paraId="66369190" w14:textId="77777777" w:rsidR="00C0133D" w:rsidRPr="00492E0B" w:rsidRDefault="00C0133D" w:rsidP="00A97663">
      <w:pPr>
        <w:pStyle w:val="Paragraphedeliste"/>
        <w:numPr>
          <w:ilvl w:val="0"/>
          <w:numId w:val="60"/>
        </w:numPr>
        <w:spacing w:after="160"/>
        <w:jc w:val="both"/>
        <w:rPr>
          <w:rFonts w:eastAsia="Times New Roman" w:cs="Calibri"/>
          <w:sz w:val="24"/>
          <w:szCs w:val="24"/>
        </w:rPr>
      </w:pPr>
      <w:r w:rsidRPr="00492E0B">
        <w:rPr>
          <w:rFonts w:cs="Calibri"/>
          <w:sz w:val="24"/>
          <w:szCs w:val="24"/>
        </w:rPr>
        <w:t xml:space="preserve">Renforcement de compétence des prestataires de soins sur l’ETME : </w:t>
      </w:r>
      <w:r w:rsidRPr="00492E0B">
        <w:rPr>
          <w:rFonts w:eastAsia="Times New Roman" w:cs="Calibri"/>
          <w:sz w:val="24"/>
          <w:szCs w:val="24"/>
        </w:rPr>
        <w:t>PTME y compris la  DBS (prélèvement sur papier buvard) et le dépistage combine syphilis/VIH, sur la gestion des intrants eTME,</w:t>
      </w:r>
    </w:p>
    <w:p w14:paraId="567B36A6" w14:textId="77777777" w:rsidR="00C0133D" w:rsidRPr="00492E0B" w:rsidRDefault="00C0133D" w:rsidP="00A97663">
      <w:pPr>
        <w:pStyle w:val="Paragraphedeliste"/>
        <w:numPr>
          <w:ilvl w:val="0"/>
          <w:numId w:val="60"/>
        </w:numPr>
        <w:spacing w:after="160"/>
        <w:jc w:val="both"/>
        <w:rPr>
          <w:rFonts w:cs="Arial"/>
          <w:sz w:val="24"/>
          <w:szCs w:val="24"/>
        </w:rPr>
      </w:pPr>
      <w:r w:rsidRPr="00492E0B">
        <w:rPr>
          <w:rFonts w:cs="Arial"/>
          <w:bCs/>
          <w:sz w:val="24"/>
          <w:szCs w:val="24"/>
        </w:rPr>
        <w:t>Renforcement de compétence des acteurs de la chaine d’approvisionnement en suivi de la logistique des intrants SRMN</w:t>
      </w:r>
      <w:r>
        <w:rPr>
          <w:rFonts w:cs="Arial"/>
          <w:bCs/>
          <w:sz w:val="24"/>
          <w:szCs w:val="24"/>
        </w:rPr>
        <w:t>E</w:t>
      </w:r>
      <w:r w:rsidRPr="00492E0B">
        <w:rPr>
          <w:rFonts w:cs="Arial"/>
          <w:bCs/>
          <w:sz w:val="24"/>
          <w:szCs w:val="24"/>
        </w:rPr>
        <w:t xml:space="preserve">A : </w:t>
      </w:r>
      <w:r w:rsidRPr="00492E0B">
        <w:rPr>
          <w:rFonts w:eastAsia="Times New Roman" w:cs="Calibri"/>
          <w:sz w:val="24"/>
          <w:szCs w:val="24"/>
        </w:rPr>
        <w:t>utilisation du logiciel ENDOS, en quantification y compris l’utilisation de l’outil Pipeline des produits de la Planification familiale, suivi de la logistique contraceptive, logiciel Channel</w:t>
      </w:r>
    </w:p>
    <w:p w14:paraId="4FEC6960" w14:textId="77777777" w:rsidR="00C0133D" w:rsidRPr="00492E0B" w:rsidRDefault="00C0133D" w:rsidP="00A97663">
      <w:pPr>
        <w:pStyle w:val="Paragraphedeliste"/>
        <w:numPr>
          <w:ilvl w:val="0"/>
          <w:numId w:val="60"/>
        </w:numPr>
        <w:autoSpaceDE w:val="0"/>
        <w:autoSpaceDN w:val="0"/>
        <w:adjustRightInd w:val="0"/>
        <w:spacing w:after="0"/>
        <w:jc w:val="both"/>
        <w:rPr>
          <w:rFonts w:cs="Arial"/>
          <w:sz w:val="24"/>
          <w:szCs w:val="24"/>
        </w:rPr>
      </w:pPr>
      <w:r w:rsidRPr="00492E0B">
        <w:rPr>
          <w:rFonts w:cs="Arial"/>
          <w:sz w:val="24"/>
          <w:szCs w:val="24"/>
        </w:rPr>
        <w:t>Former 65 formateurs régionaux sur les concepts AMS/ABR et Soins compatissants</w:t>
      </w:r>
    </w:p>
    <w:p w14:paraId="3B93775E" w14:textId="3BF6DB3B" w:rsidR="00C0133D" w:rsidRDefault="00C0133D" w:rsidP="00A97663">
      <w:pPr>
        <w:pStyle w:val="Paragraphedeliste"/>
        <w:numPr>
          <w:ilvl w:val="0"/>
          <w:numId w:val="60"/>
        </w:numPr>
        <w:autoSpaceDE w:val="0"/>
        <w:autoSpaceDN w:val="0"/>
        <w:adjustRightInd w:val="0"/>
        <w:spacing w:after="0"/>
        <w:jc w:val="both"/>
        <w:rPr>
          <w:rFonts w:cs="Arial"/>
          <w:sz w:val="24"/>
          <w:szCs w:val="24"/>
        </w:rPr>
      </w:pPr>
      <w:r w:rsidRPr="00492E0B">
        <w:rPr>
          <w:rFonts w:cs="Calibri"/>
          <w:sz w:val="24"/>
          <w:szCs w:val="24"/>
        </w:rPr>
        <w:t xml:space="preserve">Former les médecins (i) </w:t>
      </w:r>
      <w:r w:rsidRPr="00492E0B">
        <w:rPr>
          <w:rFonts w:cs="Arial"/>
          <w:sz w:val="24"/>
          <w:szCs w:val="24"/>
        </w:rPr>
        <w:t>en chirurgie essentielle et (ii) au niveau CHR à la chirurgie de la fistule obstétricale</w:t>
      </w:r>
    </w:p>
    <w:p w14:paraId="3226D3B9" w14:textId="77777777" w:rsidR="00DF23FE" w:rsidRPr="00DF23FE" w:rsidRDefault="00DF23FE" w:rsidP="00A97663">
      <w:pPr>
        <w:pStyle w:val="Paragraphedeliste"/>
        <w:numPr>
          <w:ilvl w:val="3"/>
          <w:numId w:val="78"/>
        </w:numPr>
        <w:autoSpaceDE w:val="0"/>
        <w:autoSpaceDN w:val="0"/>
        <w:adjustRightInd w:val="0"/>
        <w:spacing w:after="0"/>
        <w:jc w:val="both"/>
        <w:rPr>
          <w:b/>
          <w:sz w:val="24"/>
          <w:szCs w:val="24"/>
        </w:rPr>
      </w:pPr>
      <w:r w:rsidRPr="00DF23FE">
        <w:rPr>
          <w:rFonts w:cs="Calibri"/>
          <w:b/>
          <w:sz w:val="24"/>
          <w:szCs w:val="24"/>
        </w:rPr>
        <w:t>Intégrer dans les curricula de formation initiale les compétences pour l’offre de services SRMNEA de qualité </w:t>
      </w:r>
    </w:p>
    <w:p w14:paraId="235735C7" w14:textId="2F896CD2" w:rsidR="00C0133D" w:rsidRPr="00DF23FE" w:rsidRDefault="00DF23FE" w:rsidP="00A97663">
      <w:pPr>
        <w:pStyle w:val="Paragraphedeliste"/>
        <w:numPr>
          <w:ilvl w:val="0"/>
          <w:numId w:val="60"/>
        </w:numPr>
        <w:autoSpaceDE w:val="0"/>
        <w:autoSpaceDN w:val="0"/>
        <w:adjustRightInd w:val="0"/>
        <w:spacing w:after="0"/>
        <w:jc w:val="both"/>
        <w:rPr>
          <w:b/>
          <w:sz w:val="24"/>
          <w:szCs w:val="24"/>
        </w:rPr>
      </w:pPr>
      <w:r w:rsidRPr="00DF23FE">
        <w:rPr>
          <w:b/>
          <w:sz w:val="24"/>
          <w:szCs w:val="24"/>
        </w:rPr>
        <w:t xml:space="preserve"> </w:t>
      </w:r>
      <w:r w:rsidR="00C0133D" w:rsidRPr="00DF23FE">
        <w:rPr>
          <w:sz w:val="24"/>
          <w:szCs w:val="24"/>
        </w:rPr>
        <w:t>Intégrer la PCIME-REC, la SDMNR dans la formation initiale (Ecoles de santé, Facultés de médecine) après a</w:t>
      </w:r>
      <w:r w:rsidR="00C0133D" w:rsidRPr="00DF23FE">
        <w:rPr>
          <w:rFonts w:cs="Arial"/>
          <w:sz w:val="24"/>
          <w:szCs w:val="24"/>
        </w:rPr>
        <w:t xml:space="preserve">daptation des outils de formation (PCIME-REC, </w:t>
      </w:r>
      <w:r w:rsidR="00C0133D" w:rsidRPr="00DF23FE">
        <w:rPr>
          <w:rFonts w:cs="Calibri"/>
          <w:sz w:val="24"/>
          <w:szCs w:val="24"/>
        </w:rPr>
        <w:t>l’outil ICATT) et formation des formateurs</w:t>
      </w:r>
      <w:r w:rsidR="00C0133D" w:rsidRPr="00DF23FE">
        <w:rPr>
          <w:rFonts w:cs="Arial"/>
          <w:sz w:val="24"/>
          <w:szCs w:val="24"/>
        </w:rPr>
        <w:t xml:space="preserve"> </w:t>
      </w:r>
    </w:p>
    <w:p w14:paraId="63B6EAF5" w14:textId="77777777" w:rsidR="00C0133D" w:rsidRPr="005A72AA" w:rsidRDefault="00C0133D" w:rsidP="00A97663">
      <w:pPr>
        <w:pStyle w:val="Paragraphedeliste"/>
        <w:numPr>
          <w:ilvl w:val="2"/>
          <w:numId w:val="78"/>
        </w:numPr>
        <w:autoSpaceDE w:val="0"/>
        <w:autoSpaceDN w:val="0"/>
        <w:adjustRightInd w:val="0"/>
        <w:spacing w:after="0"/>
        <w:jc w:val="both"/>
        <w:rPr>
          <w:rFonts w:cs="Calibri"/>
          <w:b/>
          <w:sz w:val="24"/>
          <w:szCs w:val="24"/>
        </w:rPr>
      </w:pPr>
      <w:bookmarkStart w:id="32" w:name="_Hlk527629759"/>
      <w:r w:rsidRPr="005A72AA">
        <w:rPr>
          <w:rFonts w:cs="Calibri"/>
          <w:b/>
          <w:sz w:val="24"/>
          <w:szCs w:val="24"/>
        </w:rPr>
        <w:t>Assurer une distribution équitable des ressources humaines</w:t>
      </w:r>
    </w:p>
    <w:bookmarkEnd w:id="32"/>
    <w:p w14:paraId="7B60A6C5" w14:textId="0064BF91" w:rsidR="00C0133D" w:rsidRPr="00DF23FE" w:rsidRDefault="00C0133D" w:rsidP="00A97663">
      <w:pPr>
        <w:pStyle w:val="Paragraphedeliste"/>
        <w:numPr>
          <w:ilvl w:val="3"/>
          <w:numId w:val="78"/>
        </w:numPr>
        <w:autoSpaceDE w:val="0"/>
        <w:autoSpaceDN w:val="0"/>
        <w:adjustRightInd w:val="0"/>
        <w:spacing w:after="0"/>
        <w:jc w:val="both"/>
        <w:rPr>
          <w:rFonts w:cs="Calibri"/>
          <w:sz w:val="24"/>
          <w:szCs w:val="24"/>
        </w:rPr>
      </w:pPr>
      <w:r w:rsidRPr="00DF23FE">
        <w:rPr>
          <w:rFonts w:cs="Calibri"/>
          <w:sz w:val="24"/>
          <w:szCs w:val="24"/>
        </w:rPr>
        <w:t>Redéployer le personnel excédentaire (par rapport aux normes) de certains districts vers les districts déficitaires.</w:t>
      </w:r>
    </w:p>
    <w:p w14:paraId="45EAD7BD" w14:textId="421D405C" w:rsidR="00C0133D" w:rsidRDefault="00C0133D" w:rsidP="00A97663">
      <w:pPr>
        <w:pStyle w:val="Paragraphedeliste"/>
        <w:numPr>
          <w:ilvl w:val="3"/>
          <w:numId w:val="78"/>
        </w:numPr>
        <w:autoSpaceDE w:val="0"/>
        <w:autoSpaceDN w:val="0"/>
        <w:adjustRightInd w:val="0"/>
        <w:jc w:val="both"/>
        <w:rPr>
          <w:rFonts w:cs="Calibri"/>
          <w:sz w:val="24"/>
          <w:szCs w:val="24"/>
        </w:rPr>
      </w:pPr>
      <w:r w:rsidRPr="009F1946">
        <w:rPr>
          <w:rFonts w:cs="Calibri"/>
          <w:sz w:val="24"/>
          <w:szCs w:val="24"/>
        </w:rPr>
        <w:t xml:space="preserve">Stabiliser le personnel en poste par une réduction du rythme des rotations et par une motivation spécifique pour ceux affectés dans des postes difficiles. </w:t>
      </w:r>
    </w:p>
    <w:p w14:paraId="773AE787" w14:textId="77777777" w:rsidR="00DF23FE" w:rsidRDefault="00DF23FE" w:rsidP="00DF23FE">
      <w:pPr>
        <w:pStyle w:val="Paragraphedeliste"/>
        <w:autoSpaceDE w:val="0"/>
        <w:autoSpaceDN w:val="0"/>
        <w:adjustRightInd w:val="0"/>
        <w:jc w:val="both"/>
        <w:rPr>
          <w:rFonts w:cs="Calibri"/>
          <w:sz w:val="24"/>
          <w:szCs w:val="24"/>
        </w:rPr>
      </w:pPr>
    </w:p>
    <w:p w14:paraId="5D635762" w14:textId="77777777" w:rsidR="00C0133D" w:rsidRPr="00FF497C" w:rsidRDefault="00C0133D" w:rsidP="00A97663">
      <w:pPr>
        <w:pStyle w:val="Paragraphedeliste"/>
        <w:numPr>
          <w:ilvl w:val="1"/>
          <w:numId w:val="78"/>
        </w:numPr>
        <w:autoSpaceDE w:val="0"/>
        <w:autoSpaceDN w:val="0"/>
        <w:adjustRightInd w:val="0"/>
        <w:spacing w:after="0"/>
        <w:jc w:val="both"/>
        <w:rPr>
          <w:rFonts w:cs="Calibri"/>
          <w:sz w:val="24"/>
          <w:szCs w:val="24"/>
        </w:rPr>
      </w:pPr>
      <w:bookmarkStart w:id="33" w:name="_Hlk527629775"/>
      <w:r w:rsidRPr="00FF497C">
        <w:rPr>
          <w:rFonts w:cs="Calibri"/>
          <w:sz w:val="24"/>
          <w:szCs w:val="24"/>
        </w:rPr>
        <w:t>ASSURER LA DISPONIBILITE D’INFRASTRUCTURES ET D’EQUIPEMENTS POUR L’OFFRE DES SERVICES DE SRMNEA</w:t>
      </w:r>
    </w:p>
    <w:p w14:paraId="471C2FC1" w14:textId="77777777" w:rsidR="00C0133D" w:rsidRPr="00FF497C" w:rsidRDefault="00C0133D" w:rsidP="00A97663">
      <w:pPr>
        <w:pStyle w:val="Paragraphedeliste"/>
        <w:numPr>
          <w:ilvl w:val="2"/>
          <w:numId w:val="78"/>
        </w:numPr>
        <w:autoSpaceDE w:val="0"/>
        <w:autoSpaceDN w:val="0"/>
        <w:adjustRightInd w:val="0"/>
        <w:spacing w:after="0"/>
        <w:jc w:val="both"/>
        <w:rPr>
          <w:rFonts w:cs="Calibri"/>
          <w:sz w:val="24"/>
          <w:szCs w:val="24"/>
        </w:rPr>
      </w:pPr>
      <w:bookmarkStart w:id="34" w:name="_Hlk527632282"/>
      <w:bookmarkEnd w:id="33"/>
      <w:r w:rsidRPr="00FF497C">
        <w:rPr>
          <w:rFonts w:cs="Calibri"/>
          <w:b/>
          <w:sz w:val="24"/>
          <w:szCs w:val="24"/>
        </w:rPr>
        <w:t>Compléter le réseau de CMA pour réduire la proportion de la population qui habitent à une distance dépassant 2 heures de marche d’un centre de référence :</w:t>
      </w:r>
      <w:r w:rsidRPr="00FF497C">
        <w:rPr>
          <w:rFonts w:cs="Calibri"/>
          <w:sz w:val="24"/>
          <w:szCs w:val="24"/>
        </w:rPr>
        <w:t xml:space="preserve"> Construction de 11 HD/CMA et 150 maternités.</w:t>
      </w:r>
    </w:p>
    <w:p w14:paraId="1F60E132" w14:textId="77777777" w:rsidR="00C0133D" w:rsidRPr="007E4F02" w:rsidRDefault="00C0133D" w:rsidP="00A97663">
      <w:pPr>
        <w:pStyle w:val="Paragraphedeliste"/>
        <w:numPr>
          <w:ilvl w:val="2"/>
          <w:numId w:val="78"/>
        </w:numPr>
        <w:autoSpaceDE w:val="0"/>
        <w:autoSpaceDN w:val="0"/>
        <w:adjustRightInd w:val="0"/>
        <w:spacing w:after="0"/>
        <w:jc w:val="both"/>
        <w:rPr>
          <w:rFonts w:cs="Calibri"/>
          <w:sz w:val="24"/>
          <w:szCs w:val="24"/>
        </w:rPr>
      </w:pPr>
      <w:r w:rsidRPr="00E52C36">
        <w:rPr>
          <w:rFonts w:cs="Calibri"/>
          <w:b/>
          <w:sz w:val="24"/>
          <w:szCs w:val="24"/>
        </w:rPr>
        <w:t>Augmenter le nombre de lits de maternité pour se rapprocher des normes de l’OMS</w:t>
      </w:r>
      <w:r w:rsidRPr="007E4F02">
        <w:rPr>
          <w:rFonts w:cs="Calibri"/>
          <w:sz w:val="24"/>
          <w:szCs w:val="24"/>
        </w:rPr>
        <w:t xml:space="preserve"> : soit 10 005 Lits de maternité </w:t>
      </w:r>
    </w:p>
    <w:p w14:paraId="62AC0C16" w14:textId="77777777" w:rsidR="00C0133D" w:rsidRPr="007E4F02" w:rsidRDefault="00C0133D" w:rsidP="00A97663">
      <w:pPr>
        <w:pStyle w:val="Paragraphedeliste"/>
        <w:numPr>
          <w:ilvl w:val="2"/>
          <w:numId w:val="78"/>
        </w:numPr>
        <w:autoSpaceDE w:val="0"/>
        <w:autoSpaceDN w:val="0"/>
        <w:adjustRightInd w:val="0"/>
        <w:spacing w:after="0"/>
        <w:jc w:val="both"/>
        <w:rPr>
          <w:rFonts w:cs="Calibri"/>
          <w:sz w:val="24"/>
          <w:szCs w:val="24"/>
        </w:rPr>
      </w:pPr>
      <w:r w:rsidRPr="00E52C36">
        <w:rPr>
          <w:rFonts w:cs="Calibri"/>
          <w:b/>
          <w:sz w:val="24"/>
          <w:szCs w:val="24"/>
        </w:rPr>
        <w:t>Améliorer les moyens d’évacuation vers les Formations sanitaires de référence</w:t>
      </w:r>
      <w:r w:rsidRPr="007E4F02">
        <w:rPr>
          <w:rFonts w:cs="Calibri"/>
          <w:sz w:val="24"/>
          <w:szCs w:val="24"/>
        </w:rPr>
        <w:t xml:space="preserve"> par l’acquisition de 300 ambulances</w:t>
      </w:r>
    </w:p>
    <w:p w14:paraId="7D58886C" w14:textId="340857C9" w:rsidR="00C0133D" w:rsidRDefault="00C0133D" w:rsidP="00A97663">
      <w:pPr>
        <w:pStyle w:val="Paragraphedeliste"/>
        <w:numPr>
          <w:ilvl w:val="2"/>
          <w:numId w:val="78"/>
        </w:numPr>
        <w:autoSpaceDE w:val="0"/>
        <w:autoSpaceDN w:val="0"/>
        <w:adjustRightInd w:val="0"/>
        <w:spacing w:after="0"/>
        <w:jc w:val="both"/>
        <w:rPr>
          <w:rFonts w:cs="Calibri"/>
          <w:b/>
          <w:sz w:val="24"/>
          <w:szCs w:val="24"/>
        </w:rPr>
      </w:pPr>
      <w:r w:rsidRPr="00E52C36">
        <w:rPr>
          <w:rFonts w:cs="Calibri"/>
          <w:b/>
          <w:sz w:val="24"/>
          <w:szCs w:val="24"/>
        </w:rPr>
        <w:t xml:space="preserve">Améliorer les espaces de prise en charge du nouveau-né </w:t>
      </w:r>
    </w:p>
    <w:p w14:paraId="3F1C9163" w14:textId="0330F4CE" w:rsidR="00904625" w:rsidRPr="00251818" w:rsidRDefault="00251818" w:rsidP="00904625">
      <w:pPr>
        <w:pStyle w:val="Paragraphedeliste"/>
        <w:autoSpaceDE w:val="0"/>
        <w:autoSpaceDN w:val="0"/>
        <w:adjustRightInd w:val="0"/>
        <w:spacing w:after="0"/>
        <w:jc w:val="both"/>
        <w:rPr>
          <w:rFonts w:cs="Calibri"/>
          <w:sz w:val="24"/>
          <w:szCs w:val="24"/>
        </w:rPr>
      </w:pPr>
      <w:r w:rsidRPr="00251818">
        <w:rPr>
          <w:rFonts w:cs="Calibri"/>
          <w:sz w:val="24"/>
          <w:szCs w:val="24"/>
        </w:rPr>
        <w:lastRenderedPageBreak/>
        <w:t>Aménager</w:t>
      </w:r>
      <w:r w:rsidR="00904625" w:rsidRPr="00251818">
        <w:rPr>
          <w:rFonts w:cs="Calibri"/>
          <w:sz w:val="24"/>
          <w:szCs w:val="24"/>
        </w:rPr>
        <w:t xml:space="preserve"> dans chaque CMA, </w:t>
      </w:r>
      <w:r>
        <w:rPr>
          <w:rFonts w:cs="Calibri"/>
          <w:sz w:val="24"/>
          <w:szCs w:val="24"/>
        </w:rPr>
        <w:t>c</w:t>
      </w:r>
      <w:r w:rsidR="00904625" w:rsidRPr="00251818">
        <w:rPr>
          <w:rFonts w:cs="Calibri"/>
          <w:sz w:val="24"/>
          <w:szCs w:val="24"/>
        </w:rPr>
        <w:t xml:space="preserve">haque maternité un espace dédié à la </w:t>
      </w:r>
      <w:r w:rsidRPr="00251818">
        <w:rPr>
          <w:rFonts w:cs="Calibri"/>
          <w:sz w:val="24"/>
          <w:szCs w:val="24"/>
        </w:rPr>
        <w:t>prise en charge du nouveau-né</w:t>
      </w:r>
    </w:p>
    <w:p w14:paraId="48768EAB" w14:textId="77777777" w:rsidR="00C0133D" w:rsidRPr="007E4F02" w:rsidRDefault="00C0133D" w:rsidP="00A97663">
      <w:pPr>
        <w:pStyle w:val="Paragraphedeliste"/>
        <w:numPr>
          <w:ilvl w:val="1"/>
          <w:numId w:val="78"/>
        </w:numPr>
        <w:autoSpaceDE w:val="0"/>
        <w:autoSpaceDN w:val="0"/>
        <w:adjustRightInd w:val="0"/>
        <w:spacing w:after="0"/>
        <w:jc w:val="both"/>
        <w:rPr>
          <w:rFonts w:cs="Calibri"/>
          <w:sz w:val="24"/>
          <w:szCs w:val="24"/>
        </w:rPr>
      </w:pPr>
      <w:bookmarkStart w:id="35" w:name="_Hlk527629792"/>
      <w:bookmarkEnd w:id="34"/>
      <w:r w:rsidRPr="007E4F02">
        <w:rPr>
          <w:rFonts w:cs="Calibri"/>
          <w:sz w:val="24"/>
          <w:szCs w:val="24"/>
        </w:rPr>
        <w:t>ASSURER LA DISPONIBILITE CONTINUE DES INTRANTS DE SRMNEA</w:t>
      </w:r>
    </w:p>
    <w:p w14:paraId="074C24A5" w14:textId="77777777" w:rsidR="00C0133D" w:rsidRPr="007E4F02" w:rsidRDefault="00C0133D" w:rsidP="00A97663">
      <w:pPr>
        <w:pStyle w:val="Paragraphedeliste"/>
        <w:numPr>
          <w:ilvl w:val="2"/>
          <w:numId w:val="78"/>
        </w:numPr>
        <w:autoSpaceDE w:val="0"/>
        <w:autoSpaceDN w:val="0"/>
        <w:adjustRightInd w:val="0"/>
        <w:spacing w:after="0"/>
        <w:jc w:val="both"/>
        <w:rPr>
          <w:rFonts w:cs="Calibri"/>
          <w:sz w:val="24"/>
          <w:szCs w:val="24"/>
        </w:rPr>
      </w:pPr>
      <w:bookmarkStart w:id="36" w:name="_Hlk527632599"/>
      <w:bookmarkEnd w:id="35"/>
      <w:r w:rsidRPr="007E4F02">
        <w:rPr>
          <w:rFonts w:cs="Calibri"/>
          <w:b/>
          <w:sz w:val="24"/>
          <w:szCs w:val="24"/>
        </w:rPr>
        <w:t>Assurer la disponibilité continue du matériel de communication et de démonstration</w:t>
      </w:r>
      <w:r w:rsidRPr="007E4F02">
        <w:rPr>
          <w:rFonts w:cs="Calibri"/>
          <w:sz w:val="24"/>
          <w:szCs w:val="24"/>
        </w:rPr>
        <w:t> : (i) matériel de sonorisation et de projection, (ii) planches, (iii)modèles anatomiques,</w:t>
      </w:r>
      <w:r w:rsidRPr="007E4F02">
        <w:rPr>
          <w:rFonts w:eastAsia="Times New Roman" w:cs="Calibri"/>
        </w:rPr>
        <w:t xml:space="preserve"> (iv) boites à images, affiches, dépliants et (v) films.</w:t>
      </w:r>
    </w:p>
    <w:p w14:paraId="0F267E59" w14:textId="77777777" w:rsidR="00C0133D" w:rsidRPr="005A72AA" w:rsidRDefault="00C0133D" w:rsidP="00A97663">
      <w:pPr>
        <w:pStyle w:val="Paragraphedeliste"/>
        <w:numPr>
          <w:ilvl w:val="2"/>
          <w:numId w:val="78"/>
        </w:numPr>
        <w:autoSpaceDE w:val="0"/>
        <w:autoSpaceDN w:val="0"/>
        <w:adjustRightInd w:val="0"/>
        <w:spacing w:after="0"/>
        <w:jc w:val="both"/>
        <w:rPr>
          <w:rFonts w:cs="Calibri"/>
          <w:sz w:val="24"/>
          <w:szCs w:val="24"/>
        </w:rPr>
      </w:pPr>
      <w:r w:rsidRPr="007E4F02">
        <w:rPr>
          <w:rFonts w:cs="Calibri"/>
          <w:b/>
          <w:sz w:val="24"/>
          <w:szCs w:val="24"/>
        </w:rPr>
        <w:t>Assurer la disponibilité continue du matériel médico-technique et les médicaments pour la SRMNEA</w:t>
      </w:r>
      <w:r w:rsidRPr="005A72AA">
        <w:rPr>
          <w:rFonts w:cs="Calibri"/>
          <w:sz w:val="24"/>
          <w:szCs w:val="24"/>
        </w:rPr>
        <w:t xml:space="preserve"> avec une attention particulière pour les items</w:t>
      </w:r>
      <w:r>
        <w:rPr>
          <w:rFonts w:cs="Calibri"/>
          <w:sz w:val="24"/>
          <w:szCs w:val="24"/>
        </w:rPr>
        <w:t xml:space="preserve"> </w:t>
      </w:r>
      <w:r w:rsidRPr="005A72AA">
        <w:rPr>
          <w:rFonts w:cs="Calibri"/>
          <w:sz w:val="24"/>
          <w:szCs w:val="24"/>
        </w:rPr>
        <w:t>suivants :</w:t>
      </w:r>
    </w:p>
    <w:p w14:paraId="52C9DCD8" w14:textId="77777777" w:rsidR="00C0133D" w:rsidRPr="00F853E3" w:rsidRDefault="00C0133D" w:rsidP="00A97663">
      <w:pPr>
        <w:pStyle w:val="Paragraphedeliste"/>
        <w:numPr>
          <w:ilvl w:val="0"/>
          <w:numId w:val="61"/>
        </w:numPr>
        <w:autoSpaceDE w:val="0"/>
        <w:autoSpaceDN w:val="0"/>
        <w:adjustRightInd w:val="0"/>
        <w:spacing w:after="0"/>
        <w:jc w:val="both"/>
        <w:rPr>
          <w:rFonts w:cs="Calibri"/>
        </w:rPr>
      </w:pPr>
      <w:r w:rsidRPr="00F853E3">
        <w:rPr>
          <w:rFonts w:cs="Calibri"/>
          <w:sz w:val="24"/>
          <w:szCs w:val="24"/>
        </w:rPr>
        <w:t xml:space="preserve">SONU : </w:t>
      </w:r>
      <w:r w:rsidRPr="00F853E3">
        <w:rPr>
          <w:rFonts w:eastAsia="Times New Roman" w:cs="Calibri"/>
        </w:rPr>
        <w:t xml:space="preserve">Boites d’accouchements, Ventouses, Poupinels, </w:t>
      </w:r>
      <w:r w:rsidRPr="00F853E3">
        <w:rPr>
          <w:rFonts w:cs="Calibri"/>
        </w:rPr>
        <w:t>Equipements de réanimation (aspirateurs, concentrateurs d’oxygène, ballon de ventilation, oxymètre de pouls, tensiomètre pédiatrique)</w:t>
      </w:r>
    </w:p>
    <w:p w14:paraId="252A335F" w14:textId="77777777" w:rsidR="00C0133D" w:rsidRPr="00F853E3" w:rsidRDefault="00C0133D" w:rsidP="00A97663">
      <w:pPr>
        <w:pStyle w:val="Paragraphedeliste"/>
        <w:numPr>
          <w:ilvl w:val="0"/>
          <w:numId w:val="61"/>
        </w:numPr>
        <w:autoSpaceDE w:val="0"/>
        <w:autoSpaceDN w:val="0"/>
        <w:adjustRightInd w:val="0"/>
        <w:spacing w:after="0"/>
        <w:jc w:val="both"/>
        <w:rPr>
          <w:rFonts w:eastAsia="Times New Roman" w:cs="Calibri"/>
        </w:rPr>
      </w:pPr>
      <w:r w:rsidRPr="00F853E3">
        <w:rPr>
          <w:rFonts w:cs="Calibri"/>
          <w:sz w:val="24"/>
          <w:szCs w:val="24"/>
        </w:rPr>
        <w:t xml:space="preserve">SAA : </w:t>
      </w:r>
      <w:r w:rsidRPr="00F853E3">
        <w:rPr>
          <w:rFonts w:eastAsia="Times New Roman" w:cs="Calibri"/>
        </w:rPr>
        <w:t xml:space="preserve">Seringues d’aspiration manuelle intra-utérine, Misoprostol </w:t>
      </w:r>
    </w:p>
    <w:p w14:paraId="5F018260" w14:textId="77777777" w:rsidR="00C0133D" w:rsidRPr="00F853E3" w:rsidRDefault="00C0133D" w:rsidP="00A97663">
      <w:pPr>
        <w:pStyle w:val="Paragraphedeliste"/>
        <w:numPr>
          <w:ilvl w:val="0"/>
          <w:numId w:val="61"/>
        </w:numPr>
        <w:autoSpaceDE w:val="0"/>
        <w:autoSpaceDN w:val="0"/>
        <w:adjustRightInd w:val="0"/>
        <w:spacing w:after="0"/>
        <w:jc w:val="both"/>
        <w:rPr>
          <w:rFonts w:cs="Calibri"/>
          <w:sz w:val="24"/>
          <w:szCs w:val="24"/>
        </w:rPr>
      </w:pPr>
      <w:r w:rsidRPr="00F853E3">
        <w:rPr>
          <w:rFonts w:cs="Calibri"/>
          <w:sz w:val="24"/>
          <w:szCs w:val="24"/>
        </w:rPr>
        <w:t xml:space="preserve">PF : Kits d’insertion et de retrait des DIU, implants et autres produits SR/PF </w:t>
      </w:r>
    </w:p>
    <w:p w14:paraId="57F385EC" w14:textId="77777777" w:rsidR="00C0133D" w:rsidRPr="00F853E3" w:rsidRDefault="00C0133D" w:rsidP="00A97663">
      <w:pPr>
        <w:pStyle w:val="Paragraphedeliste"/>
        <w:numPr>
          <w:ilvl w:val="0"/>
          <w:numId w:val="61"/>
        </w:numPr>
        <w:autoSpaceDE w:val="0"/>
        <w:autoSpaceDN w:val="0"/>
        <w:adjustRightInd w:val="0"/>
        <w:spacing w:after="0"/>
        <w:jc w:val="both"/>
        <w:rPr>
          <w:rFonts w:cs="Calibri"/>
          <w:sz w:val="24"/>
          <w:szCs w:val="24"/>
        </w:rPr>
      </w:pPr>
      <w:r w:rsidRPr="00F853E3">
        <w:rPr>
          <w:rFonts w:cs="Calibri"/>
          <w:sz w:val="24"/>
          <w:szCs w:val="24"/>
        </w:rPr>
        <w:t xml:space="preserve">PCIME : </w:t>
      </w:r>
    </w:p>
    <w:p w14:paraId="3465A1E6" w14:textId="77777777" w:rsidR="00C0133D" w:rsidRPr="00F853E3" w:rsidRDefault="00C0133D" w:rsidP="00A97663">
      <w:pPr>
        <w:pStyle w:val="Paragraphedeliste"/>
        <w:numPr>
          <w:ilvl w:val="0"/>
          <w:numId w:val="61"/>
        </w:numPr>
        <w:autoSpaceDE w:val="0"/>
        <w:autoSpaceDN w:val="0"/>
        <w:adjustRightInd w:val="0"/>
        <w:spacing w:after="0"/>
        <w:jc w:val="both"/>
        <w:rPr>
          <w:rFonts w:cs="Calibri"/>
          <w:sz w:val="24"/>
          <w:szCs w:val="24"/>
        </w:rPr>
      </w:pPr>
      <w:r w:rsidRPr="00F853E3">
        <w:rPr>
          <w:rFonts w:cs="Calibri"/>
          <w:sz w:val="24"/>
          <w:szCs w:val="24"/>
        </w:rPr>
        <w:t>ETME : Intrants pour le dépistage</w:t>
      </w:r>
      <w:r>
        <w:rPr>
          <w:rFonts w:cs="Calibri"/>
          <w:sz w:val="24"/>
          <w:szCs w:val="24"/>
        </w:rPr>
        <w:t xml:space="preserve">, les </w:t>
      </w:r>
      <w:r w:rsidRPr="00A60A80">
        <w:rPr>
          <w:rFonts w:eastAsia="Times New Roman" w:cs="Gisha"/>
          <w:sz w:val="23"/>
          <w:szCs w:val="23"/>
        </w:rPr>
        <w:t>ARV pédiatriques</w:t>
      </w:r>
    </w:p>
    <w:p w14:paraId="3A00D55D" w14:textId="77777777" w:rsidR="00C0133D" w:rsidRPr="005A72AA" w:rsidRDefault="00C0133D" w:rsidP="00A97663">
      <w:pPr>
        <w:pStyle w:val="Paragraphedeliste"/>
        <w:numPr>
          <w:ilvl w:val="2"/>
          <w:numId w:val="78"/>
        </w:numPr>
        <w:autoSpaceDE w:val="0"/>
        <w:autoSpaceDN w:val="0"/>
        <w:adjustRightInd w:val="0"/>
        <w:jc w:val="both"/>
        <w:rPr>
          <w:rFonts w:cs="Calibri"/>
          <w:sz w:val="24"/>
          <w:szCs w:val="24"/>
        </w:rPr>
      </w:pPr>
      <w:r w:rsidRPr="007E4F02">
        <w:rPr>
          <w:rFonts w:cs="Calibri"/>
          <w:b/>
          <w:sz w:val="24"/>
          <w:szCs w:val="24"/>
        </w:rPr>
        <w:t>Assurer la disponibilité continue des intrants pour la nutrition</w:t>
      </w:r>
      <w:r>
        <w:rPr>
          <w:rFonts w:cs="Calibri"/>
          <w:sz w:val="24"/>
          <w:szCs w:val="24"/>
        </w:rPr>
        <w:t xml:space="preserve"> : </w:t>
      </w:r>
      <w:r>
        <w:rPr>
          <w:rFonts w:ascii="Calibri" w:hAnsi="Calibri"/>
          <w:sz w:val="24"/>
          <w:szCs w:val="24"/>
        </w:rPr>
        <w:t xml:space="preserve">aliments </w:t>
      </w:r>
      <w:r w:rsidRPr="005A72AA">
        <w:rPr>
          <w:rFonts w:ascii="Calibri" w:hAnsi="Calibri"/>
          <w:sz w:val="24"/>
          <w:szCs w:val="24"/>
        </w:rPr>
        <w:t>thérapeutiques prêts à l’emploi, Vitamines A, Fer, Acide folique, consommables, farines enrichies.</w:t>
      </w:r>
    </w:p>
    <w:p w14:paraId="4D061E56" w14:textId="77777777" w:rsidR="00C0133D" w:rsidRPr="00FF497C" w:rsidRDefault="00C0133D" w:rsidP="00051B38">
      <w:pPr>
        <w:autoSpaceDE w:val="0"/>
        <w:autoSpaceDN w:val="0"/>
        <w:adjustRightInd w:val="0"/>
        <w:spacing w:after="0"/>
        <w:jc w:val="both"/>
        <w:rPr>
          <w:rFonts w:cs="Cambria"/>
          <w:b/>
          <w:sz w:val="24"/>
          <w:szCs w:val="24"/>
        </w:rPr>
      </w:pPr>
      <w:bookmarkStart w:id="37" w:name="_Hlk527631052"/>
      <w:bookmarkEnd w:id="36"/>
      <w:r w:rsidRPr="00FF497C">
        <w:rPr>
          <w:rFonts w:cs="Cambria"/>
          <w:b/>
          <w:sz w:val="24"/>
          <w:szCs w:val="24"/>
        </w:rPr>
        <w:t>PRIORITE 3 : RENFORCER LE PILOTAGE DU SYSTEME DE SANTE</w:t>
      </w:r>
    </w:p>
    <w:p w14:paraId="7EC6A301" w14:textId="77777777" w:rsidR="00C0133D" w:rsidRPr="00FF497C" w:rsidRDefault="00C0133D" w:rsidP="00A97663">
      <w:pPr>
        <w:pStyle w:val="Paragraphedeliste"/>
        <w:numPr>
          <w:ilvl w:val="1"/>
          <w:numId w:val="77"/>
        </w:numPr>
        <w:autoSpaceDE w:val="0"/>
        <w:autoSpaceDN w:val="0"/>
        <w:adjustRightInd w:val="0"/>
        <w:spacing w:after="0"/>
        <w:jc w:val="both"/>
        <w:rPr>
          <w:rFonts w:cs="Cambria"/>
          <w:sz w:val="24"/>
          <w:szCs w:val="24"/>
        </w:rPr>
      </w:pPr>
      <w:r w:rsidRPr="00FF497C">
        <w:rPr>
          <w:rFonts w:cs="Cambria"/>
          <w:sz w:val="24"/>
          <w:szCs w:val="24"/>
        </w:rPr>
        <w:t>RENFORCER LA GOUVERNANCE ET LE LEADERSHIP DU SECTEUR</w:t>
      </w:r>
    </w:p>
    <w:p w14:paraId="25684E6F" w14:textId="77777777" w:rsidR="00C0133D" w:rsidRPr="00FF497C" w:rsidRDefault="00C0133D" w:rsidP="00A97663">
      <w:pPr>
        <w:pStyle w:val="Paragraphedeliste"/>
        <w:numPr>
          <w:ilvl w:val="2"/>
          <w:numId w:val="77"/>
        </w:numPr>
        <w:autoSpaceDE w:val="0"/>
        <w:autoSpaceDN w:val="0"/>
        <w:adjustRightInd w:val="0"/>
        <w:spacing w:after="0"/>
        <w:jc w:val="both"/>
        <w:rPr>
          <w:rFonts w:cs="Cambria"/>
          <w:b/>
          <w:sz w:val="24"/>
          <w:szCs w:val="24"/>
        </w:rPr>
      </w:pPr>
      <w:r w:rsidRPr="00FF497C">
        <w:rPr>
          <w:rFonts w:cs="Cambria"/>
          <w:b/>
          <w:sz w:val="24"/>
          <w:szCs w:val="24"/>
        </w:rPr>
        <w:t>Améliorer la coordination des acteurs de la SRMNEA-N</w:t>
      </w:r>
    </w:p>
    <w:bookmarkEnd w:id="37"/>
    <w:p w14:paraId="2D95AF8C" w14:textId="77777777" w:rsidR="00C0133D" w:rsidRPr="005A72AA" w:rsidRDefault="00C0133D" w:rsidP="00A97663">
      <w:pPr>
        <w:pStyle w:val="Paragraphedeliste"/>
        <w:numPr>
          <w:ilvl w:val="0"/>
          <w:numId w:val="79"/>
        </w:numPr>
        <w:autoSpaceDE w:val="0"/>
        <w:autoSpaceDN w:val="0"/>
        <w:adjustRightInd w:val="0"/>
        <w:spacing w:after="0"/>
        <w:ind w:left="1428"/>
        <w:jc w:val="both"/>
        <w:rPr>
          <w:rFonts w:cs="Cambria"/>
          <w:sz w:val="24"/>
          <w:szCs w:val="24"/>
        </w:rPr>
      </w:pPr>
      <w:r w:rsidRPr="005A72AA">
        <w:rPr>
          <w:rFonts w:cs="Cambria"/>
          <w:sz w:val="24"/>
          <w:szCs w:val="24"/>
        </w:rPr>
        <w:t xml:space="preserve">Actualiser régulièrement la cartographie des intervenants </w:t>
      </w:r>
    </w:p>
    <w:p w14:paraId="627C62AD" w14:textId="1FFD9F28" w:rsidR="00C0133D" w:rsidRPr="005A72AA" w:rsidRDefault="00C0133D" w:rsidP="00A97663">
      <w:pPr>
        <w:pStyle w:val="Paragraphedeliste"/>
        <w:numPr>
          <w:ilvl w:val="0"/>
          <w:numId w:val="79"/>
        </w:numPr>
        <w:autoSpaceDE w:val="0"/>
        <w:autoSpaceDN w:val="0"/>
        <w:adjustRightInd w:val="0"/>
        <w:spacing w:after="0"/>
        <w:ind w:left="1428"/>
        <w:jc w:val="both"/>
        <w:rPr>
          <w:rFonts w:cs="Cambria"/>
          <w:sz w:val="24"/>
          <w:szCs w:val="24"/>
        </w:rPr>
      </w:pPr>
      <w:r w:rsidRPr="005A72AA">
        <w:rPr>
          <w:rFonts w:cs="Cambria"/>
          <w:sz w:val="24"/>
          <w:szCs w:val="24"/>
        </w:rPr>
        <w:t>Inciter les acteurs de mise en œuvre à se regrouper en entité plus robuste et plus</w:t>
      </w:r>
      <w:r>
        <w:rPr>
          <w:rFonts w:cs="Cambria"/>
          <w:sz w:val="24"/>
          <w:szCs w:val="24"/>
        </w:rPr>
        <w:t xml:space="preserve"> </w:t>
      </w:r>
      <w:r w:rsidR="00B35CBE">
        <w:rPr>
          <w:rFonts w:cs="Cambria"/>
          <w:sz w:val="24"/>
          <w:szCs w:val="24"/>
        </w:rPr>
        <w:t>o</w:t>
      </w:r>
      <w:r w:rsidRPr="005A72AA">
        <w:rPr>
          <w:rFonts w:cs="Cambria"/>
          <w:sz w:val="24"/>
          <w:szCs w:val="24"/>
        </w:rPr>
        <w:t>pérationnelles</w:t>
      </w:r>
    </w:p>
    <w:p w14:paraId="58E2785D" w14:textId="77777777" w:rsidR="00C0133D" w:rsidRPr="005A72AA" w:rsidRDefault="00C0133D" w:rsidP="00A97663">
      <w:pPr>
        <w:pStyle w:val="Paragraphedeliste"/>
        <w:numPr>
          <w:ilvl w:val="0"/>
          <w:numId w:val="79"/>
        </w:numPr>
        <w:autoSpaceDE w:val="0"/>
        <w:autoSpaceDN w:val="0"/>
        <w:adjustRightInd w:val="0"/>
        <w:spacing w:after="0"/>
        <w:ind w:left="1428"/>
        <w:jc w:val="both"/>
        <w:rPr>
          <w:rFonts w:cs="Cambria"/>
          <w:sz w:val="24"/>
          <w:szCs w:val="24"/>
        </w:rPr>
      </w:pPr>
      <w:r w:rsidRPr="005A72AA">
        <w:rPr>
          <w:rFonts w:cs="Cambria"/>
          <w:sz w:val="24"/>
          <w:szCs w:val="24"/>
        </w:rPr>
        <w:t>Instaurer la culture du résultat</w:t>
      </w:r>
    </w:p>
    <w:p w14:paraId="033068BF" w14:textId="77777777" w:rsidR="00C0133D" w:rsidRPr="00FF497C" w:rsidRDefault="00C0133D" w:rsidP="00A97663">
      <w:pPr>
        <w:pStyle w:val="Paragraphedeliste"/>
        <w:numPr>
          <w:ilvl w:val="2"/>
          <w:numId w:val="77"/>
        </w:numPr>
        <w:autoSpaceDE w:val="0"/>
        <w:autoSpaceDN w:val="0"/>
        <w:adjustRightInd w:val="0"/>
        <w:spacing w:after="0"/>
        <w:jc w:val="both"/>
        <w:rPr>
          <w:rFonts w:cs="Cambria"/>
          <w:b/>
          <w:sz w:val="24"/>
          <w:szCs w:val="24"/>
        </w:rPr>
      </w:pPr>
      <w:bookmarkStart w:id="38" w:name="_Hlk527631070"/>
      <w:r>
        <w:rPr>
          <w:rFonts w:cs="Cambria"/>
          <w:b/>
          <w:sz w:val="24"/>
          <w:szCs w:val="24"/>
        </w:rPr>
        <w:t>Renforc</w:t>
      </w:r>
      <w:r w:rsidRPr="00FF497C">
        <w:rPr>
          <w:rFonts w:cs="Cambria"/>
          <w:b/>
          <w:sz w:val="24"/>
          <w:szCs w:val="24"/>
        </w:rPr>
        <w:t>er l’information sanitaire pour une meilleure information de la décision</w:t>
      </w:r>
    </w:p>
    <w:bookmarkEnd w:id="38"/>
    <w:p w14:paraId="732F1C82" w14:textId="77777777" w:rsidR="00C0133D" w:rsidRDefault="00C0133D" w:rsidP="00A97663">
      <w:pPr>
        <w:pStyle w:val="Paragraphedeliste"/>
        <w:numPr>
          <w:ilvl w:val="0"/>
          <w:numId w:val="64"/>
        </w:numPr>
        <w:autoSpaceDE w:val="0"/>
        <w:autoSpaceDN w:val="0"/>
        <w:adjustRightInd w:val="0"/>
        <w:spacing w:after="0"/>
        <w:jc w:val="both"/>
        <w:rPr>
          <w:rFonts w:cs="Cambria"/>
          <w:sz w:val="24"/>
          <w:szCs w:val="24"/>
        </w:rPr>
      </w:pPr>
      <w:r>
        <w:rPr>
          <w:rFonts w:cs="Cambria"/>
          <w:sz w:val="24"/>
          <w:szCs w:val="24"/>
        </w:rPr>
        <w:t>Construire une base de données des résultats des audits des audits de décès</w:t>
      </w:r>
    </w:p>
    <w:p w14:paraId="71659F1D" w14:textId="77777777" w:rsidR="00C0133D" w:rsidRDefault="00C0133D" w:rsidP="00051B38">
      <w:pPr>
        <w:pStyle w:val="Paragraphedeliste"/>
        <w:autoSpaceDE w:val="0"/>
        <w:autoSpaceDN w:val="0"/>
        <w:adjustRightInd w:val="0"/>
        <w:spacing w:after="0"/>
        <w:ind w:left="1440"/>
        <w:jc w:val="both"/>
        <w:rPr>
          <w:rFonts w:cs="Cambria"/>
          <w:sz w:val="24"/>
          <w:szCs w:val="24"/>
        </w:rPr>
      </w:pPr>
      <w:r>
        <w:rPr>
          <w:rFonts w:cs="Cambria"/>
          <w:sz w:val="24"/>
          <w:szCs w:val="24"/>
        </w:rPr>
        <w:t>maternels et néo-natals</w:t>
      </w:r>
    </w:p>
    <w:p w14:paraId="6295FE10" w14:textId="77777777" w:rsidR="00C0133D" w:rsidRPr="00A86E67" w:rsidRDefault="00C0133D" w:rsidP="00A97663">
      <w:pPr>
        <w:pStyle w:val="Paragraphedeliste"/>
        <w:numPr>
          <w:ilvl w:val="0"/>
          <w:numId w:val="64"/>
        </w:numPr>
        <w:autoSpaceDE w:val="0"/>
        <w:autoSpaceDN w:val="0"/>
        <w:adjustRightInd w:val="0"/>
        <w:spacing w:after="0"/>
        <w:jc w:val="both"/>
        <w:rPr>
          <w:rFonts w:cs="Cambria"/>
          <w:sz w:val="24"/>
          <w:szCs w:val="24"/>
        </w:rPr>
      </w:pPr>
      <w:r w:rsidRPr="00A86E67">
        <w:rPr>
          <w:rFonts w:cs="Cambria"/>
          <w:sz w:val="24"/>
          <w:szCs w:val="24"/>
        </w:rPr>
        <w:t>Introduire dans le SNIS les indicateurs relatifs à la santé des adolescents/jeunes.</w:t>
      </w:r>
    </w:p>
    <w:p w14:paraId="2F40A69F" w14:textId="77777777" w:rsidR="00C0133D" w:rsidRPr="00E31F2B" w:rsidRDefault="00C0133D" w:rsidP="00A97663">
      <w:pPr>
        <w:pStyle w:val="Paragraphedeliste"/>
        <w:numPr>
          <w:ilvl w:val="0"/>
          <w:numId w:val="64"/>
        </w:numPr>
        <w:autoSpaceDE w:val="0"/>
        <w:autoSpaceDN w:val="0"/>
        <w:adjustRightInd w:val="0"/>
        <w:spacing w:after="0"/>
        <w:jc w:val="both"/>
        <w:rPr>
          <w:rFonts w:cs="Cambria"/>
          <w:sz w:val="24"/>
          <w:szCs w:val="24"/>
        </w:rPr>
      </w:pPr>
      <w:r>
        <w:rPr>
          <w:rFonts w:cs="Cambria"/>
          <w:sz w:val="24"/>
          <w:szCs w:val="24"/>
        </w:rPr>
        <w:t xml:space="preserve">Réaliser des études nationales de type coût efficacité sur les investissements </w:t>
      </w:r>
      <w:r w:rsidRPr="00E31F2B">
        <w:rPr>
          <w:rFonts w:cs="Cambria"/>
          <w:sz w:val="24"/>
          <w:szCs w:val="24"/>
        </w:rPr>
        <w:t>en SRMNEA pour capitaliser l’expérience</w:t>
      </w:r>
    </w:p>
    <w:p w14:paraId="5E44F06F" w14:textId="77777777" w:rsidR="00C0133D" w:rsidRPr="00E31F2B" w:rsidRDefault="00C0133D" w:rsidP="00A97663">
      <w:pPr>
        <w:pStyle w:val="Paragraphedeliste"/>
        <w:numPr>
          <w:ilvl w:val="0"/>
          <w:numId w:val="64"/>
        </w:numPr>
        <w:autoSpaceDE w:val="0"/>
        <w:autoSpaceDN w:val="0"/>
        <w:adjustRightInd w:val="0"/>
        <w:spacing w:after="0"/>
        <w:jc w:val="both"/>
        <w:rPr>
          <w:rFonts w:cs="Cambria"/>
          <w:sz w:val="24"/>
          <w:szCs w:val="24"/>
        </w:rPr>
      </w:pPr>
      <w:r>
        <w:rPr>
          <w:rFonts w:cs="Cambria"/>
          <w:sz w:val="24"/>
          <w:szCs w:val="24"/>
        </w:rPr>
        <w:t xml:space="preserve">Planifier les enquêtes nationales de type EDS , MICS, … de manière à avoir les </w:t>
      </w:r>
      <w:r w:rsidRPr="00E31F2B">
        <w:rPr>
          <w:rFonts w:cs="Cambria"/>
          <w:sz w:val="24"/>
          <w:szCs w:val="24"/>
        </w:rPr>
        <w:t>résultats avant les grandes échéances d’évaluation et de planification</w:t>
      </w:r>
    </w:p>
    <w:p w14:paraId="15C8C7E4" w14:textId="77777777" w:rsidR="00C0133D" w:rsidRDefault="00C0133D" w:rsidP="00051B38">
      <w:pPr>
        <w:pStyle w:val="Paragraphedeliste"/>
        <w:autoSpaceDE w:val="0"/>
        <w:autoSpaceDN w:val="0"/>
        <w:adjustRightInd w:val="0"/>
        <w:spacing w:after="0"/>
        <w:ind w:left="1440"/>
        <w:jc w:val="both"/>
        <w:rPr>
          <w:rFonts w:cs="Cambria"/>
          <w:sz w:val="24"/>
          <w:szCs w:val="24"/>
        </w:rPr>
      </w:pPr>
      <w:r>
        <w:rPr>
          <w:rFonts w:cs="Cambria"/>
          <w:sz w:val="24"/>
          <w:szCs w:val="24"/>
        </w:rPr>
        <w:t>stratégique.</w:t>
      </w:r>
    </w:p>
    <w:p w14:paraId="52A92914" w14:textId="77777777" w:rsidR="00C0133D" w:rsidRPr="00A86E67" w:rsidRDefault="00C0133D" w:rsidP="00A97663">
      <w:pPr>
        <w:pStyle w:val="Paragraphedeliste"/>
        <w:numPr>
          <w:ilvl w:val="0"/>
          <w:numId w:val="64"/>
        </w:numPr>
        <w:autoSpaceDE w:val="0"/>
        <w:autoSpaceDN w:val="0"/>
        <w:adjustRightInd w:val="0"/>
        <w:spacing w:after="0"/>
        <w:jc w:val="both"/>
        <w:rPr>
          <w:rFonts w:cs="Cambria"/>
          <w:sz w:val="24"/>
          <w:szCs w:val="24"/>
        </w:rPr>
      </w:pPr>
      <w:r>
        <w:rPr>
          <w:rFonts w:cs="Cambria"/>
          <w:sz w:val="24"/>
          <w:szCs w:val="24"/>
        </w:rPr>
        <w:t xml:space="preserve">Mettre en place un comité d’experts (Scientifiques, Statisticiens, Démographes, </w:t>
      </w:r>
      <w:r w:rsidRPr="000B5666">
        <w:rPr>
          <w:rFonts w:cs="Cambria"/>
          <w:sz w:val="24"/>
          <w:szCs w:val="24"/>
        </w:rPr>
        <w:t>Financiers) chargé d’analyser et valider les différentes données sanitaires disponibles et d’i</w:t>
      </w:r>
      <w:r>
        <w:rPr>
          <w:rFonts w:cs="Cambria"/>
          <w:sz w:val="24"/>
          <w:szCs w:val="24"/>
        </w:rPr>
        <w:t>nform</w:t>
      </w:r>
      <w:r w:rsidRPr="000B5666">
        <w:rPr>
          <w:rFonts w:cs="Cambria"/>
          <w:sz w:val="24"/>
          <w:szCs w:val="24"/>
        </w:rPr>
        <w:t xml:space="preserve">er </w:t>
      </w:r>
      <w:r>
        <w:rPr>
          <w:rFonts w:cs="Cambria"/>
          <w:sz w:val="24"/>
          <w:szCs w:val="24"/>
        </w:rPr>
        <w:t xml:space="preserve">les décideurs sur </w:t>
      </w:r>
      <w:r w:rsidRPr="000B5666">
        <w:rPr>
          <w:rFonts w:cs="Cambria"/>
          <w:sz w:val="24"/>
          <w:szCs w:val="24"/>
        </w:rPr>
        <w:t>les</w:t>
      </w:r>
      <w:r>
        <w:rPr>
          <w:rFonts w:cs="Cambria"/>
          <w:sz w:val="24"/>
          <w:szCs w:val="24"/>
        </w:rPr>
        <w:t xml:space="preserve"> grandes</w:t>
      </w:r>
      <w:r w:rsidRPr="000B5666">
        <w:rPr>
          <w:rFonts w:cs="Cambria"/>
          <w:sz w:val="24"/>
          <w:szCs w:val="24"/>
        </w:rPr>
        <w:t xml:space="preserve"> </w:t>
      </w:r>
      <w:r>
        <w:rPr>
          <w:rFonts w:cs="Cambria"/>
          <w:sz w:val="24"/>
          <w:szCs w:val="24"/>
        </w:rPr>
        <w:t>tendances</w:t>
      </w:r>
      <w:r w:rsidRPr="000B5666">
        <w:rPr>
          <w:rFonts w:cs="Cambria"/>
          <w:sz w:val="24"/>
          <w:szCs w:val="24"/>
        </w:rPr>
        <w:t xml:space="preserve">. </w:t>
      </w:r>
    </w:p>
    <w:p w14:paraId="3E99C765" w14:textId="77777777" w:rsidR="00C0133D" w:rsidRPr="004C2DE7" w:rsidRDefault="00C0133D" w:rsidP="00A97663">
      <w:pPr>
        <w:pStyle w:val="Paragraphedeliste"/>
        <w:numPr>
          <w:ilvl w:val="2"/>
          <w:numId w:val="77"/>
        </w:numPr>
        <w:autoSpaceDE w:val="0"/>
        <w:autoSpaceDN w:val="0"/>
        <w:adjustRightInd w:val="0"/>
        <w:spacing w:after="0"/>
        <w:jc w:val="both"/>
        <w:rPr>
          <w:rFonts w:cs="Cambria"/>
          <w:b/>
          <w:sz w:val="24"/>
          <w:szCs w:val="24"/>
        </w:rPr>
      </w:pPr>
      <w:bookmarkStart w:id="39" w:name="_Hlk527631112"/>
      <w:r w:rsidRPr="00FF497C">
        <w:rPr>
          <w:rFonts w:cs="Cambria"/>
          <w:b/>
          <w:sz w:val="24"/>
          <w:szCs w:val="24"/>
        </w:rPr>
        <w:t>Renforcer la coordination régionale et locale dans le cadre de la</w:t>
      </w:r>
      <w:r>
        <w:rPr>
          <w:rFonts w:cs="Cambria"/>
          <w:b/>
          <w:sz w:val="24"/>
          <w:szCs w:val="24"/>
        </w:rPr>
        <w:t xml:space="preserve"> </w:t>
      </w:r>
      <w:r w:rsidRPr="004C2DE7">
        <w:rPr>
          <w:rFonts w:cs="Cambria"/>
          <w:b/>
          <w:sz w:val="24"/>
          <w:szCs w:val="24"/>
        </w:rPr>
        <w:t>Décentralisation</w:t>
      </w:r>
    </w:p>
    <w:bookmarkEnd w:id="39"/>
    <w:p w14:paraId="2C835372" w14:textId="77777777" w:rsidR="00C0133D" w:rsidRPr="00F75EFB" w:rsidRDefault="00C0133D" w:rsidP="00A97663">
      <w:pPr>
        <w:pStyle w:val="Paragraphedeliste"/>
        <w:numPr>
          <w:ilvl w:val="0"/>
          <w:numId w:val="63"/>
        </w:numPr>
        <w:autoSpaceDE w:val="0"/>
        <w:autoSpaceDN w:val="0"/>
        <w:adjustRightInd w:val="0"/>
        <w:spacing w:after="0"/>
        <w:jc w:val="both"/>
        <w:rPr>
          <w:rFonts w:cs="Cambria"/>
          <w:sz w:val="24"/>
          <w:szCs w:val="24"/>
        </w:rPr>
      </w:pPr>
      <w:r>
        <w:rPr>
          <w:rFonts w:cs="Cambria"/>
          <w:sz w:val="24"/>
          <w:szCs w:val="24"/>
        </w:rPr>
        <w:t>A</w:t>
      </w:r>
      <w:r w:rsidRPr="00F75EFB">
        <w:rPr>
          <w:rFonts w:cs="Cambria"/>
          <w:sz w:val="24"/>
          <w:szCs w:val="24"/>
        </w:rPr>
        <w:t xml:space="preserve">u niveau opérationnel, </w:t>
      </w:r>
      <w:r>
        <w:rPr>
          <w:rFonts w:cs="Cambria"/>
          <w:sz w:val="24"/>
          <w:szCs w:val="24"/>
        </w:rPr>
        <w:t>r</w:t>
      </w:r>
      <w:r w:rsidRPr="00F75EFB">
        <w:rPr>
          <w:rFonts w:cs="Cambria"/>
          <w:sz w:val="24"/>
          <w:szCs w:val="24"/>
        </w:rPr>
        <w:t>enforcer la coordination des acteurs de mise en œuvre : acteurs communautaires, la société civile, le secteur privé et les prestataires des Formations sanitaires publiques.</w:t>
      </w:r>
    </w:p>
    <w:p w14:paraId="45250984" w14:textId="77777777" w:rsidR="00C0133D" w:rsidRDefault="00C0133D" w:rsidP="00A97663">
      <w:pPr>
        <w:pStyle w:val="Paragraphedeliste"/>
        <w:numPr>
          <w:ilvl w:val="0"/>
          <w:numId w:val="63"/>
        </w:numPr>
        <w:autoSpaceDE w:val="0"/>
        <w:autoSpaceDN w:val="0"/>
        <w:adjustRightInd w:val="0"/>
        <w:spacing w:after="0"/>
        <w:jc w:val="both"/>
        <w:rPr>
          <w:rFonts w:cs="Cambria"/>
          <w:sz w:val="24"/>
          <w:szCs w:val="24"/>
        </w:rPr>
      </w:pPr>
      <w:r w:rsidRPr="00F75EFB">
        <w:rPr>
          <w:rFonts w:cs="Cambria"/>
          <w:sz w:val="24"/>
          <w:szCs w:val="24"/>
        </w:rPr>
        <w:lastRenderedPageBreak/>
        <w:t>Renforcer la coordination des Partenaires Techniques et Financiers</w:t>
      </w:r>
    </w:p>
    <w:p w14:paraId="38EAE345" w14:textId="77777777" w:rsidR="00C0133D" w:rsidRPr="00F75EFB" w:rsidRDefault="00C0133D" w:rsidP="00A97663">
      <w:pPr>
        <w:pStyle w:val="Paragraphedeliste"/>
        <w:numPr>
          <w:ilvl w:val="0"/>
          <w:numId w:val="63"/>
        </w:numPr>
        <w:autoSpaceDE w:val="0"/>
        <w:autoSpaceDN w:val="0"/>
        <w:adjustRightInd w:val="0"/>
        <w:spacing w:after="0"/>
        <w:jc w:val="both"/>
        <w:rPr>
          <w:rFonts w:cs="Cambria"/>
          <w:sz w:val="24"/>
          <w:szCs w:val="24"/>
        </w:rPr>
      </w:pPr>
      <w:r>
        <w:rPr>
          <w:rFonts w:cs="Cambria"/>
          <w:sz w:val="24"/>
          <w:szCs w:val="24"/>
        </w:rPr>
        <w:t>Planification opérationnelle basée plus sur les résultats que sur les processus</w:t>
      </w:r>
    </w:p>
    <w:p w14:paraId="261DB180" w14:textId="77777777" w:rsidR="00C0133D" w:rsidRDefault="00C0133D" w:rsidP="00A97663">
      <w:pPr>
        <w:pStyle w:val="Paragraphedeliste"/>
        <w:numPr>
          <w:ilvl w:val="0"/>
          <w:numId w:val="63"/>
        </w:numPr>
        <w:autoSpaceDE w:val="0"/>
        <w:autoSpaceDN w:val="0"/>
        <w:adjustRightInd w:val="0"/>
        <w:spacing w:after="0"/>
        <w:jc w:val="both"/>
        <w:rPr>
          <w:rFonts w:cs="Cambria"/>
          <w:sz w:val="24"/>
          <w:szCs w:val="24"/>
        </w:rPr>
      </w:pPr>
      <w:r w:rsidRPr="00F75EFB">
        <w:rPr>
          <w:rFonts w:cs="Cambria"/>
          <w:sz w:val="24"/>
          <w:szCs w:val="24"/>
        </w:rPr>
        <w:t xml:space="preserve">Mobiliser les ressources locales </w:t>
      </w:r>
    </w:p>
    <w:p w14:paraId="5C2F3066" w14:textId="77777777" w:rsidR="00C0133D" w:rsidRPr="007E4F02" w:rsidRDefault="00C0133D" w:rsidP="00A97663">
      <w:pPr>
        <w:pStyle w:val="Paragraphedeliste"/>
        <w:numPr>
          <w:ilvl w:val="1"/>
          <w:numId w:val="77"/>
        </w:numPr>
        <w:autoSpaceDE w:val="0"/>
        <w:autoSpaceDN w:val="0"/>
        <w:adjustRightInd w:val="0"/>
        <w:spacing w:after="0"/>
        <w:jc w:val="both"/>
        <w:rPr>
          <w:rFonts w:cs="Cambria"/>
          <w:sz w:val="24"/>
          <w:szCs w:val="24"/>
        </w:rPr>
      </w:pPr>
      <w:bookmarkStart w:id="40" w:name="_Hlk527631129"/>
      <w:r w:rsidRPr="007E4F02">
        <w:rPr>
          <w:rFonts w:cs="Cambria"/>
          <w:sz w:val="24"/>
          <w:szCs w:val="24"/>
        </w:rPr>
        <w:t xml:space="preserve">RENFORCER LA COLLABORATION INTERSECTORIELLE POUR CONSOLIDER CERTAINES ACTIONS INTERSECTORIELLES OU POUR MIEUX AGIR SUR LES DETERMINANTS DE LA SANTE </w:t>
      </w:r>
    </w:p>
    <w:p w14:paraId="19609C0A" w14:textId="77777777" w:rsidR="00C0133D" w:rsidRPr="007E4F02" w:rsidRDefault="00C0133D" w:rsidP="00A97663">
      <w:pPr>
        <w:pStyle w:val="Paragraphedeliste"/>
        <w:numPr>
          <w:ilvl w:val="2"/>
          <w:numId w:val="77"/>
        </w:numPr>
        <w:spacing w:after="160"/>
        <w:jc w:val="both"/>
        <w:rPr>
          <w:rFonts w:ascii="Calibri" w:hAnsi="Calibri" w:cs="Calibri"/>
          <w:b/>
          <w:sz w:val="24"/>
          <w:szCs w:val="24"/>
        </w:rPr>
      </w:pPr>
      <w:r w:rsidRPr="007E4F02">
        <w:rPr>
          <w:rFonts w:ascii="Calibri" w:hAnsi="Calibri" w:cs="Calibri"/>
          <w:b/>
          <w:sz w:val="24"/>
          <w:szCs w:val="24"/>
        </w:rPr>
        <w:t>Assurer un financement durable des interventions de SRMNEA-N ;</w:t>
      </w:r>
    </w:p>
    <w:bookmarkEnd w:id="40"/>
    <w:p w14:paraId="2A4EDD16" w14:textId="77777777" w:rsidR="00C0133D" w:rsidRPr="00F34894" w:rsidRDefault="00C0133D" w:rsidP="00A97663">
      <w:pPr>
        <w:pStyle w:val="Paragraphedeliste"/>
        <w:numPr>
          <w:ilvl w:val="0"/>
          <w:numId w:val="65"/>
        </w:numPr>
        <w:autoSpaceDE w:val="0"/>
        <w:autoSpaceDN w:val="0"/>
        <w:adjustRightInd w:val="0"/>
        <w:spacing w:after="0"/>
        <w:jc w:val="both"/>
        <w:rPr>
          <w:rFonts w:cs="Cambria"/>
          <w:sz w:val="24"/>
          <w:szCs w:val="24"/>
        </w:rPr>
      </w:pPr>
      <w:r w:rsidRPr="00F34894">
        <w:rPr>
          <w:rFonts w:cs="Cambria"/>
          <w:sz w:val="24"/>
          <w:szCs w:val="24"/>
        </w:rPr>
        <w:t>Activer la mise en place de l’AMU</w:t>
      </w:r>
    </w:p>
    <w:p w14:paraId="2E846A56" w14:textId="77777777" w:rsidR="00C0133D" w:rsidRDefault="00C0133D" w:rsidP="00A97663">
      <w:pPr>
        <w:pStyle w:val="Paragraphedeliste"/>
        <w:numPr>
          <w:ilvl w:val="0"/>
          <w:numId w:val="65"/>
        </w:numPr>
        <w:autoSpaceDE w:val="0"/>
        <w:autoSpaceDN w:val="0"/>
        <w:adjustRightInd w:val="0"/>
        <w:spacing w:after="0"/>
        <w:jc w:val="both"/>
        <w:rPr>
          <w:rFonts w:cs="Cambria"/>
          <w:sz w:val="24"/>
          <w:szCs w:val="24"/>
        </w:rPr>
      </w:pPr>
      <w:r w:rsidRPr="00F34894">
        <w:rPr>
          <w:rFonts w:cs="Cambria"/>
          <w:sz w:val="24"/>
          <w:szCs w:val="24"/>
        </w:rPr>
        <w:t>Activer des sources innovantes de financement</w:t>
      </w:r>
    </w:p>
    <w:p w14:paraId="28F03AD0" w14:textId="77777777" w:rsidR="00C0133D" w:rsidRDefault="00C0133D" w:rsidP="00A97663">
      <w:pPr>
        <w:pStyle w:val="Paragraphedeliste"/>
        <w:numPr>
          <w:ilvl w:val="0"/>
          <w:numId w:val="65"/>
        </w:numPr>
        <w:autoSpaceDE w:val="0"/>
        <w:autoSpaceDN w:val="0"/>
        <w:adjustRightInd w:val="0"/>
        <w:spacing w:after="0"/>
        <w:jc w:val="both"/>
        <w:rPr>
          <w:rFonts w:cs="Cambria"/>
          <w:sz w:val="24"/>
          <w:szCs w:val="24"/>
        </w:rPr>
      </w:pPr>
      <w:r>
        <w:rPr>
          <w:rFonts w:cs="Cambria"/>
          <w:sz w:val="24"/>
          <w:szCs w:val="24"/>
        </w:rPr>
        <w:t>Renforcer la mobilisation de ressources internes y compris du secteur privé</w:t>
      </w:r>
    </w:p>
    <w:p w14:paraId="230D01AD" w14:textId="77777777" w:rsidR="00C0133D" w:rsidRDefault="00C0133D" w:rsidP="00A97663">
      <w:pPr>
        <w:pStyle w:val="Paragraphedeliste"/>
        <w:numPr>
          <w:ilvl w:val="0"/>
          <w:numId w:val="65"/>
        </w:numPr>
        <w:autoSpaceDE w:val="0"/>
        <w:autoSpaceDN w:val="0"/>
        <w:adjustRightInd w:val="0"/>
        <w:spacing w:after="0"/>
        <w:jc w:val="both"/>
        <w:rPr>
          <w:rFonts w:cs="Cambria"/>
          <w:sz w:val="24"/>
          <w:szCs w:val="24"/>
        </w:rPr>
      </w:pPr>
      <w:r>
        <w:rPr>
          <w:rFonts w:cs="Cambria"/>
          <w:sz w:val="24"/>
          <w:szCs w:val="24"/>
        </w:rPr>
        <w:t xml:space="preserve">Améliorer le niveau de mobilisation du financement extérieur à travers une plus grande transparence dans la gestion, des mécanismes de financement basés sur le résultat et une plus grande redevabilité. </w:t>
      </w:r>
    </w:p>
    <w:p w14:paraId="45060198" w14:textId="77777777" w:rsidR="00C0133D" w:rsidRPr="00210BE2" w:rsidRDefault="00C0133D" w:rsidP="00A97663">
      <w:pPr>
        <w:pStyle w:val="Paragraphedeliste"/>
        <w:numPr>
          <w:ilvl w:val="0"/>
          <w:numId w:val="65"/>
        </w:numPr>
        <w:autoSpaceDE w:val="0"/>
        <w:autoSpaceDN w:val="0"/>
        <w:adjustRightInd w:val="0"/>
        <w:spacing w:after="0"/>
        <w:jc w:val="both"/>
        <w:rPr>
          <w:rFonts w:ascii="Calibri" w:hAnsi="Calibri" w:cs="Cambria"/>
          <w:sz w:val="24"/>
          <w:szCs w:val="24"/>
        </w:rPr>
      </w:pPr>
      <w:r w:rsidRPr="00176248">
        <w:rPr>
          <w:rFonts w:ascii="Calibri" w:hAnsi="Calibri" w:cs="Cambria"/>
          <w:sz w:val="24"/>
          <w:szCs w:val="24"/>
        </w:rPr>
        <w:t xml:space="preserve">Augmenter le </w:t>
      </w:r>
      <w:r w:rsidRPr="00176248">
        <w:rPr>
          <w:rFonts w:ascii="Calibri" w:hAnsi="Calibri" w:cs="Times New Roman"/>
          <w:sz w:val="24"/>
          <w:szCs w:val="24"/>
        </w:rPr>
        <w:t>Pourcentage du budget de l’Etat alloué à la santé pour aller vers la cible de 15% (PNDS 2011-2020)</w:t>
      </w:r>
      <w:r>
        <w:rPr>
          <w:rFonts w:ascii="Calibri" w:hAnsi="Calibri" w:cs="Times New Roman"/>
          <w:sz w:val="24"/>
          <w:szCs w:val="24"/>
        </w:rPr>
        <w:t>.</w:t>
      </w:r>
    </w:p>
    <w:p w14:paraId="12780375" w14:textId="77777777" w:rsidR="00C0133D" w:rsidRPr="00210BE2" w:rsidRDefault="00C0133D" w:rsidP="00A97663">
      <w:pPr>
        <w:pStyle w:val="Paragraphedeliste"/>
        <w:numPr>
          <w:ilvl w:val="0"/>
          <w:numId w:val="65"/>
        </w:numPr>
        <w:autoSpaceDE w:val="0"/>
        <w:autoSpaceDN w:val="0"/>
        <w:adjustRightInd w:val="0"/>
        <w:spacing w:after="0"/>
        <w:jc w:val="both"/>
        <w:rPr>
          <w:rFonts w:ascii="Calibri" w:hAnsi="Calibri" w:cs="Cambria"/>
          <w:sz w:val="24"/>
          <w:szCs w:val="24"/>
        </w:rPr>
      </w:pPr>
      <w:r>
        <w:rPr>
          <w:rFonts w:ascii="Calibri" w:hAnsi="Calibri" w:cs="Cambria"/>
          <w:sz w:val="24"/>
          <w:szCs w:val="24"/>
        </w:rPr>
        <w:t>Améliorer la capacité d’absorption</w:t>
      </w:r>
    </w:p>
    <w:p w14:paraId="21294DD0" w14:textId="6505B8C2" w:rsidR="00C0133D" w:rsidRDefault="00C0133D" w:rsidP="00A97663">
      <w:pPr>
        <w:pStyle w:val="Paragraphedeliste"/>
        <w:numPr>
          <w:ilvl w:val="2"/>
          <w:numId w:val="77"/>
        </w:numPr>
        <w:spacing w:after="160"/>
        <w:jc w:val="both"/>
        <w:rPr>
          <w:rFonts w:ascii="Calibri" w:hAnsi="Calibri" w:cs="Calibri"/>
          <w:b/>
          <w:sz w:val="24"/>
          <w:szCs w:val="24"/>
        </w:rPr>
      </w:pPr>
      <w:bookmarkStart w:id="41" w:name="_Hlk527631148"/>
      <w:r w:rsidRPr="007E4F02">
        <w:rPr>
          <w:rFonts w:ascii="Calibri" w:hAnsi="Calibri" w:cs="Calibri"/>
          <w:b/>
          <w:sz w:val="24"/>
          <w:szCs w:val="24"/>
        </w:rPr>
        <w:t>Renforcer les actions intersectorielles en faveur de l’hygiène, assainissement, accès à l’eau potable, habitat salubre.</w:t>
      </w:r>
    </w:p>
    <w:p w14:paraId="278DCE0F" w14:textId="16D80F22" w:rsidR="005C475E" w:rsidRPr="00973463" w:rsidRDefault="005C475E" w:rsidP="00A97663">
      <w:pPr>
        <w:pStyle w:val="Paragraphedeliste"/>
        <w:numPr>
          <w:ilvl w:val="0"/>
          <w:numId w:val="104"/>
        </w:numPr>
        <w:spacing w:after="160"/>
        <w:jc w:val="both"/>
        <w:rPr>
          <w:rFonts w:ascii="Calibri" w:hAnsi="Calibri" w:cs="Calibri"/>
          <w:sz w:val="24"/>
          <w:szCs w:val="24"/>
        </w:rPr>
      </w:pPr>
      <w:r w:rsidRPr="00973463">
        <w:rPr>
          <w:rFonts w:ascii="Calibri" w:hAnsi="Calibri" w:cs="Calibri"/>
          <w:sz w:val="24"/>
          <w:szCs w:val="24"/>
        </w:rPr>
        <w:t>Renforcer les activités WASH</w:t>
      </w:r>
    </w:p>
    <w:p w14:paraId="489AE1C7" w14:textId="15512504" w:rsidR="00C0133D" w:rsidRPr="007E4F02" w:rsidRDefault="00C0133D" w:rsidP="00A97663">
      <w:pPr>
        <w:pStyle w:val="Paragraphedeliste"/>
        <w:numPr>
          <w:ilvl w:val="2"/>
          <w:numId w:val="77"/>
        </w:numPr>
        <w:spacing w:after="160"/>
        <w:jc w:val="both"/>
        <w:rPr>
          <w:rFonts w:ascii="Calibri" w:hAnsi="Calibri" w:cs="Calibri"/>
          <w:b/>
          <w:sz w:val="24"/>
          <w:szCs w:val="24"/>
        </w:rPr>
      </w:pPr>
      <w:r w:rsidRPr="007E4F02">
        <w:rPr>
          <w:rFonts w:ascii="Calibri" w:hAnsi="Calibri" w:cs="Calibri"/>
          <w:b/>
          <w:sz w:val="24"/>
          <w:szCs w:val="24"/>
        </w:rPr>
        <w:t>Améliorer l</w:t>
      </w:r>
      <w:r w:rsidR="008A0191">
        <w:rPr>
          <w:rFonts w:ascii="Calibri" w:hAnsi="Calibri" w:cs="Calibri"/>
          <w:b/>
          <w:sz w:val="24"/>
          <w:szCs w:val="24"/>
        </w:rPr>
        <w:t xml:space="preserve">es </w:t>
      </w:r>
      <w:r w:rsidR="005C475E" w:rsidRPr="007E4F02">
        <w:rPr>
          <w:rFonts w:ascii="Calibri" w:hAnsi="Calibri" w:cs="Calibri"/>
          <w:b/>
          <w:sz w:val="24"/>
          <w:szCs w:val="24"/>
        </w:rPr>
        <w:t>enregistrement</w:t>
      </w:r>
      <w:r w:rsidR="005C475E">
        <w:rPr>
          <w:rFonts w:ascii="Calibri" w:hAnsi="Calibri" w:cs="Calibri"/>
          <w:b/>
          <w:sz w:val="24"/>
          <w:szCs w:val="24"/>
        </w:rPr>
        <w:t>s</w:t>
      </w:r>
      <w:r w:rsidR="005C475E" w:rsidRPr="007E4F02">
        <w:rPr>
          <w:rFonts w:ascii="Calibri" w:hAnsi="Calibri" w:cs="Calibri"/>
          <w:b/>
          <w:sz w:val="24"/>
          <w:szCs w:val="24"/>
        </w:rPr>
        <w:t xml:space="preserve"> d’</w:t>
      </w:r>
      <w:r w:rsidR="005C475E">
        <w:rPr>
          <w:rFonts w:ascii="Calibri" w:hAnsi="Calibri" w:cs="Calibri"/>
          <w:b/>
          <w:sz w:val="24"/>
          <w:szCs w:val="24"/>
        </w:rPr>
        <w:t>E</w:t>
      </w:r>
      <w:r w:rsidR="005C475E" w:rsidRPr="007E4F02">
        <w:rPr>
          <w:rFonts w:ascii="Calibri" w:hAnsi="Calibri" w:cs="Calibri"/>
          <w:b/>
          <w:sz w:val="24"/>
          <w:szCs w:val="24"/>
        </w:rPr>
        <w:t>tat</w:t>
      </w:r>
      <w:r w:rsidRPr="007E4F02">
        <w:rPr>
          <w:rFonts w:ascii="Calibri" w:hAnsi="Calibri" w:cs="Calibri"/>
          <w:b/>
          <w:sz w:val="24"/>
          <w:szCs w:val="24"/>
        </w:rPr>
        <w:t xml:space="preserve"> civil et production des statistiques Vitales</w:t>
      </w:r>
    </w:p>
    <w:bookmarkEnd w:id="41"/>
    <w:p w14:paraId="78D4787D" w14:textId="77777777" w:rsidR="00C0133D" w:rsidRPr="00A80008" w:rsidRDefault="00C0133D" w:rsidP="00A97663">
      <w:pPr>
        <w:pStyle w:val="Paragraphedeliste"/>
        <w:numPr>
          <w:ilvl w:val="0"/>
          <w:numId w:val="66"/>
        </w:numPr>
        <w:spacing w:after="160"/>
        <w:ind w:left="1080"/>
        <w:jc w:val="both"/>
        <w:rPr>
          <w:rFonts w:cs="Arial"/>
          <w:sz w:val="24"/>
          <w:szCs w:val="24"/>
        </w:rPr>
      </w:pPr>
      <w:r w:rsidRPr="00A80008">
        <w:rPr>
          <w:rFonts w:cs="Arial"/>
          <w:sz w:val="24"/>
          <w:szCs w:val="24"/>
        </w:rPr>
        <w:t>Réaliser un audit sur l’informatisation des centres principaux d’état civil</w:t>
      </w:r>
    </w:p>
    <w:p w14:paraId="0A1F5484" w14:textId="77777777" w:rsidR="00C0133D" w:rsidRDefault="00C0133D" w:rsidP="00A97663">
      <w:pPr>
        <w:pStyle w:val="Paragraphedeliste"/>
        <w:numPr>
          <w:ilvl w:val="0"/>
          <w:numId w:val="66"/>
        </w:numPr>
        <w:spacing w:after="160"/>
        <w:ind w:left="1080"/>
        <w:jc w:val="both"/>
        <w:rPr>
          <w:rFonts w:cs="Arial"/>
          <w:sz w:val="24"/>
          <w:szCs w:val="24"/>
        </w:rPr>
      </w:pPr>
      <w:r w:rsidRPr="00A80008">
        <w:rPr>
          <w:rFonts w:cs="Arial"/>
          <w:sz w:val="24"/>
          <w:szCs w:val="24"/>
        </w:rPr>
        <w:t>Numériser et saisir les antériorités des communes ;</w:t>
      </w:r>
    </w:p>
    <w:p w14:paraId="6EF9FE3A" w14:textId="77777777" w:rsidR="00C0133D" w:rsidRPr="00A80008" w:rsidRDefault="00C0133D" w:rsidP="00A97663">
      <w:pPr>
        <w:pStyle w:val="Paragraphedeliste"/>
        <w:numPr>
          <w:ilvl w:val="0"/>
          <w:numId w:val="66"/>
        </w:numPr>
        <w:spacing w:after="160"/>
        <w:ind w:left="1080"/>
        <w:jc w:val="both"/>
        <w:rPr>
          <w:sz w:val="24"/>
          <w:szCs w:val="24"/>
        </w:rPr>
      </w:pPr>
      <w:r w:rsidRPr="00A80008">
        <w:rPr>
          <w:sz w:val="24"/>
          <w:szCs w:val="24"/>
        </w:rPr>
        <w:t>Renforcer la capacité des centres d’enregistrement de l’EC :</w:t>
      </w:r>
    </w:p>
    <w:p w14:paraId="079AF2B5" w14:textId="77777777" w:rsidR="00C0133D" w:rsidRDefault="00C0133D" w:rsidP="00A97663">
      <w:pPr>
        <w:pStyle w:val="Paragraphedeliste"/>
        <w:numPr>
          <w:ilvl w:val="0"/>
          <w:numId w:val="67"/>
        </w:numPr>
        <w:spacing w:after="160"/>
        <w:ind w:left="1440"/>
        <w:jc w:val="both"/>
        <w:rPr>
          <w:rFonts w:cs="Arial"/>
          <w:sz w:val="24"/>
          <w:szCs w:val="24"/>
        </w:rPr>
      </w:pPr>
      <w:r w:rsidRPr="00A80008">
        <w:rPr>
          <w:rFonts w:cs="Arial"/>
          <w:sz w:val="24"/>
          <w:szCs w:val="24"/>
        </w:rPr>
        <w:t>Recruter au moins 500 agents de l'état civil ;</w:t>
      </w:r>
    </w:p>
    <w:p w14:paraId="5E5DB224" w14:textId="77777777" w:rsidR="00C0133D" w:rsidRPr="00167792" w:rsidRDefault="00C0133D" w:rsidP="00A97663">
      <w:pPr>
        <w:pStyle w:val="Paragraphedeliste"/>
        <w:numPr>
          <w:ilvl w:val="0"/>
          <w:numId w:val="67"/>
        </w:numPr>
        <w:spacing w:after="160"/>
        <w:ind w:left="1440"/>
        <w:jc w:val="both"/>
        <w:rPr>
          <w:rFonts w:cs="Arial"/>
          <w:sz w:val="24"/>
          <w:szCs w:val="24"/>
        </w:rPr>
      </w:pPr>
      <w:r>
        <w:rPr>
          <w:rFonts w:cs="Arial"/>
          <w:sz w:val="24"/>
          <w:szCs w:val="24"/>
        </w:rPr>
        <w:t xml:space="preserve">Acquisition d’intrants : </w:t>
      </w:r>
      <w:r w:rsidRPr="00A80008">
        <w:rPr>
          <w:rFonts w:cs="Arial"/>
          <w:sz w:val="24"/>
          <w:szCs w:val="24"/>
        </w:rPr>
        <w:t xml:space="preserve"> </w:t>
      </w:r>
      <w:r w:rsidRPr="00167792">
        <w:rPr>
          <w:rFonts w:cs="Arial"/>
          <w:sz w:val="24"/>
          <w:szCs w:val="24"/>
        </w:rPr>
        <w:t>fournitures de bureau, des registres et imprimés au profit de toutes les structures des centres d'état civil dans les 13 régions</w:t>
      </w:r>
    </w:p>
    <w:p w14:paraId="4B87E53F" w14:textId="77777777" w:rsidR="00C0133D" w:rsidRDefault="00C0133D" w:rsidP="00A97663">
      <w:pPr>
        <w:pStyle w:val="Paragraphedeliste"/>
        <w:numPr>
          <w:ilvl w:val="0"/>
          <w:numId w:val="67"/>
        </w:numPr>
        <w:spacing w:after="160"/>
        <w:ind w:left="1440"/>
        <w:jc w:val="both"/>
        <w:rPr>
          <w:rFonts w:cs="Arial"/>
          <w:sz w:val="24"/>
          <w:szCs w:val="24"/>
        </w:rPr>
      </w:pPr>
      <w:r>
        <w:rPr>
          <w:rFonts w:cs="Arial"/>
          <w:sz w:val="24"/>
          <w:szCs w:val="24"/>
        </w:rPr>
        <w:t xml:space="preserve">Modernisation de l’outil informatique : </w:t>
      </w:r>
      <w:r w:rsidRPr="00A80008">
        <w:rPr>
          <w:rFonts w:cs="Arial"/>
          <w:sz w:val="24"/>
          <w:szCs w:val="24"/>
        </w:rPr>
        <w:t>Acqu</w:t>
      </w:r>
      <w:r>
        <w:rPr>
          <w:rFonts w:cs="Arial"/>
          <w:sz w:val="24"/>
          <w:szCs w:val="24"/>
        </w:rPr>
        <w:t>isition</w:t>
      </w:r>
      <w:r w:rsidRPr="00A80008">
        <w:rPr>
          <w:rFonts w:cs="Arial"/>
          <w:sz w:val="24"/>
          <w:szCs w:val="24"/>
        </w:rPr>
        <w:t xml:space="preserve"> des logiciels d'archivage et de gestion électronique des données</w:t>
      </w:r>
      <w:r>
        <w:rPr>
          <w:rFonts w:cs="Arial"/>
          <w:sz w:val="24"/>
          <w:szCs w:val="24"/>
        </w:rPr>
        <w:t xml:space="preserve"> </w:t>
      </w:r>
      <w:r w:rsidRPr="00A80008">
        <w:rPr>
          <w:rFonts w:cs="Arial"/>
          <w:sz w:val="24"/>
          <w:szCs w:val="24"/>
        </w:rPr>
        <w:t>(SAE) et GED</w:t>
      </w:r>
    </w:p>
    <w:p w14:paraId="37727761" w14:textId="77777777" w:rsidR="00C0133D" w:rsidRPr="00167792" w:rsidRDefault="00C0133D" w:rsidP="00A97663">
      <w:pPr>
        <w:pStyle w:val="Paragraphedeliste"/>
        <w:numPr>
          <w:ilvl w:val="0"/>
          <w:numId w:val="67"/>
        </w:numPr>
        <w:spacing w:after="160"/>
        <w:ind w:left="1418" w:hanging="284"/>
        <w:jc w:val="both"/>
        <w:rPr>
          <w:rFonts w:cs="Arial"/>
          <w:sz w:val="24"/>
          <w:szCs w:val="24"/>
        </w:rPr>
      </w:pPr>
      <w:r w:rsidRPr="00A80008">
        <w:rPr>
          <w:rFonts w:cs="Arial"/>
          <w:sz w:val="24"/>
          <w:szCs w:val="24"/>
        </w:rPr>
        <w:t>Mettre en réseau les centres principaux d’état civil, ONI, INSD, CIL, MATDSI, MJDHPC, MAECBE, CENI, MS, TGI, Régions, Communes (bureaux domaniaux et Service Foncier Rural)</w:t>
      </w:r>
    </w:p>
    <w:p w14:paraId="3D5AA7BE" w14:textId="77777777" w:rsidR="00C0133D" w:rsidRPr="00167792" w:rsidRDefault="00C0133D" w:rsidP="00A97663">
      <w:pPr>
        <w:pStyle w:val="Paragraphedeliste"/>
        <w:numPr>
          <w:ilvl w:val="0"/>
          <w:numId w:val="67"/>
        </w:numPr>
        <w:spacing w:after="160"/>
        <w:ind w:left="1418" w:hanging="284"/>
        <w:jc w:val="both"/>
        <w:rPr>
          <w:rFonts w:cs="Arial"/>
          <w:sz w:val="24"/>
          <w:szCs w:val="24"/>
        </w:rPr>
      </w:pPr>
      <w:r w:rsidRPr="00A80008">
        <w:rPr>
          <w:rFonts w:cs="Arial"/>
          <w:sz w:val="24"/>
          <w:szCs w:val="24"/>
        </w:rPr>
        <w:t xml:space="preserve">Assurer la maintenance des équipements informatiques dans les régions </w:t>
      </w:r>
    </w:p>
    <w:p w14:paraId="59E20641" w14:textId="77777777" w:rsidR="00C0133D" w:rsidRPr="00167792" w:rsidRDefault="00C0133D" w:rsidP="00A97663">
      <w:pPr>
        <w:pStyle w:val="Paragraphedeliste"/>
        <w:numPr>
          <w:ilvl w:val="0"/>
          <w:numId w:val="66"/>
        </w:numPr>
        <w:spacing w:after="160"/>
        <w:ind w:left="1134" w:hanging="425"/>
        <w:jc w:val="both"/>
        <w:rPr>
          <w:rFonts w:cs="Arial"/>
          <w:sz w:val="24"/>
          <w:szCs w:val="24"/>
        </w:rPr>
      </w:pPr>
      <w:r w:rsidRPr="00A80008">
        <w:rPr>
          <w:rFonts w:cs="Arial"/>
          <w:sz w:val="24"/>
          <w:szCs w:val="24"/>
        </w:rPr>
        <w:t>Mettre en</w:t>
      </w:r>
      <w:r>
        <w:rPr>
          <w:rFonts w:cs="Arial"/>
          <w:sz w:val="24"/>
          <w:szCs w:val="24"/>
        </w:rPr>
        <w:t xml:space="preserve"> application</w:t>
      </w:r>
      <w:r w:rsidRPr="00A80008">
        <w:rPr>
          <w:rFonts w:cs="Arial"/>
          <w:sz w:val="24"/>
          <w:szCs w:val="24"/>
        </w:rPr>
        <w:t xml:space="preserve"> le Système Intégré de Gestion de l'Etat Civil (SIGEC)</w:t>
      </w:r>
      <w:r>
        <w:rPr>
          <w:rFonts w:cs="Arial"/>
          <w:sz w:val="24"/>
          <w:szCs w:val="24"/>
        </w:rPr>
        <w:t xml:space="preserve"> et </w:t>
      </w:r>
      <w:r w:rsidRPr="00167792">
        <w:rPr>
          <w:rFonts w:cs="Arial"/>
          <w:sz w:val="24"/>
          <w:szCs w:val="24"/>
        </w:rPr>
        <w:t>le Système Intégré de Gestion de l'Identifiant Electronique de la Personne (SIGIEP) et l'enregistrement des actes d'EC par les TIC</w:t>
      </w:r>
    </w:p>
    <w:p w14:paraId="4F16CA79" w14:textId="77777777" w:rsidR="00C0133D" w:rsidRPr="00A80008" w:rsidRDefault="00C0133D" w:rsidP="00A97663">
      <w:pPr>
        <w:pStyle w:val="Paragraphedeliste"/>
        <w:numPr>
          <w:ilvl w:val="0"/>
          <w:numId w:val="66"/>
        </w:numPr>
        <w:spacing w:after="160"/>
        <w:ind w:left="1134" w:hanging="425"/>
        <w:jc w:val="both"/>
        <w:rPr>
          <w:rFonts w:cs="Arial"/>
          <w:sz w:val="24"/>
          <w:szCs w:val="24"/>
        </w:rPr>
      </w:pPr>
      <w:r w:rsidRPr="00A80008">
        <w:rPr>
          <w:rFonts w:cs="Arial"/>
          <w:sz w:val="24"/>
          <w:szCs w:val="24"/>
        </w:rPr>
        <w:t>Impliquer les responsables et les leaders coutumiers et religieux dans la mobilisation des populations pour l’enregistrement des faits d’état civil ;</w:t>
      </w:r>
    </w:p>
    <w:p w14:paraId="38625C26" w14:textId="77777777" w:rsidR="00C0133D" w:rsidRPr="00A80008" w:rsidRDefault="00C0133D" w:rsidP="00A97663">
      <w:pPr>
        <w:pStyle w:val="Paragraphedeliste"/>
        <w:numPr>
          <w:ilvl w:val="0"/>
          <w:numId w:val="66"/>
        </w:numPr>
        <w:spacing w:after="160"/>
        <w:ind w:left="1134" w:hanging="425"/>
        <w:jc w:val="both"/>
        <w:rPr>
          <w:rFonts w:cs="Arial"/>
          <w:sz w:val="24"/>
          <w:szCs w:val="24"/>
        </w:rPr>
      </w:pPr>
      <w:r w:rsidRPr="00A80008">
        <w:rPr>
          <w:rFonts w:cs="Arial"/>
          <w:sz w:val="24"/>
          <w:szCs w:val="24"/>
        </w:rPr>
        <w:t>Enregistrer les faits d’état civil via les bureaux mobiles ;</w:t>
      </w:r>
    </w:p>
    <w:p w14:paraId="3075EFA1" w14:textId="77777777" w:rsidR="00C0133D" w:rsidRPr="00A80008" w:rsidRDefault="00C0133D" w:rsidP="00A97663">
      <w:pPr>
        <w:pStyle w:val="Paragraphedeliste"/>
        <w:numPr>
          <w:ilvl w:val="0"/>
          <w:numId w:val="66"/>
        </w:numPr>
        <w:spacing w:after="160"/>
        <w:ind w:left="1134" w:hanging="425"/>
        <w:jc w:val="both"/>
        <w:rPr>
          <w:rFonts w:cs="Arial"/>
          <w:sz w:val="24"/>
          <w:szCs w:val="24"/>
        </w:rPr>
      </w:pPr>
      <w:r w:rsidRPr="00A80008">
        <w:rPr>
          <w:rFonts w:cs="Arial"/>
          <w:sz w:val="24"/>
          <w:szCs w:val="24"/>
        </w:rPr>
        <w:t>Assurer la subvention totale des deux (02) premiers extraits d'acte de naissance</w:t>
      </w:r>
    </w:p>
    <w:p w14:paraId="3776B474" w14:textId="02F8FBCB" w:rsidR="00C0133D" w:rsidRPr="00A80008" w:rsidRDefault="00C0133D" w:rsidP="00A97663">
      <w:pPr>
        <w:pStyle w:val="Paragraphedeliste"/>
        <w:numPr>
          <w:ilvl w:val="0"/>
          <w:numId w:val="66"/>
        </w:numPr>
        <w:spacing w:after="160"/>
        <w:ind w:left="1134" w:hanging="425"/>
        <w:jc w:val="both"/>
        <w:rPr>
          <w:sz w:val="24"/>
          <w:szCs w:val="24"/>
        </w:rPr>
      </w:pPr>
      <w:r>
        <w:rPr>
          <w:sz w:val="24"/>
          <w:szCs w:val="24"/>
        </w:rPr>
        <w:t>Assurer la p</w:t>
      </w:r>
      <w:r w:rsidRPr="00A80008">
        <w:rPr>
          <w:sz w:val="24"/>
          <w:szCs w:val="24"/>
        </w:rPr>
        <w:t>romotion de l’utilisation des services d’état civil et statistiques vi</w:t>
      </w:r>
      <w:r w:rsidR="00A9046F">
        <w:rPr>
          <w:sz w:val="24"/>
          <w:szCs w:val="24"/>
        </w:rPr>
        <w:t>tal</w:t>
      </w:r>
      <w:r w:rsidRPr="00A80008">
        <w:rPr>
          <w:sz w:val="24"/>
          <w:szCs w:val="24"/>
        </w:rPr>
        <w:t>e</w:t>
      </w:r>
      <w:r w:rsidR="00A9046F">
        <w:rPr>
          <w:sz w:val="24"/>
          <w:szCs w:val="24"/>
        </w:rPr>
        <w:t>s</w:t>
      </w:r>
    </w:p>
    <w:p w14:paraId="5FF58C1F" w14:textId="77777777" w:rsidR="00C0133D" w:rsidRPr="00167792" w:rsidRDefault="00C0133D" w:rsidP="00A97663">
      <w:pPr>
        <w:pStyle w:val="Paragraphedeliste"/>
        <w:numPr>
          <w:ilvl w:val="0"/>
          <w:numId w:val="66"/>
        </w:numPr>
        <w:spacing w:after="160"/>
        <w:ind w:left="1134" w:hanging="425"/>
        <w:jc w:val="both"/>
        <w:rPr>
          <w:rFonts w:cs="Arial"/>
          <w:sz w:val="24"/>
          <w:szCs w:val="24"/>
        </w:rPr>
      </w:pPr>
      <w:r w:rsidRPr="00A80008">
        <w:rPr>
          <w:sz w:val="24"/>
          <w:szCs w:val="24"/>
        </w:rPr>
        <w:t>Amélioration du cadre juridique</w:t>
      </w:r>
      <w:r>
        <w:rPr>
          <w:sz w:val="24"/>
          <w:szCs w:val="24"/>
        </w:rPr>
        <w:t xml:space="preserve">, </w:t>
      </w:r>
      <w:r w:rsidRPr="00A80008">
        <w:rPr>
          <w:sz w:val="24"/>
          <w:szCs w:val="24"/>
        </w:rPr>
        <w:t>institutionnel</w:t>
      </w:r>
      <w:r>
        <w:rPr>
          <w:sz w:val="24"/>
          <w:szCs w:val="24"/>
        </w:rPr>
        <w:t xml:space="preserve"> et fonctionnel </w:t>
      </w:r>
      <w:r w:rsidRPr="00167792">
        <w:rPr>
          <w:sz w:val="24"/>
          <w:szCs w:val="24"/>
        </w:rPr>
        <w:t>de la DGMEC</w:t>
      </w:r>
    </w:p>
    <w:p w14:paraId="21238268" w14:textId="49E9CCDD" w:rsidR="00B13B10" w:rsidRDefault="00C0133D" w:rsidP="00A97663">
      <w:pPr>
        <w:pStyle w:val="Paragraphedeliste"/>
        <w:numPr>
          <w:ilvl w:val="0"/>
          <w:numId w:val="66"/>
        </w:numPr>
        <w:spacing w:after="160"/>
        <w:ind w:left="1134" w:hanging="425"/>
        <w:jc w:val="both"/>
        <w:rPr>
          <w:rFonts w:cs="Arial"/>
          <w:sz w:val="24"/>
          <w:szCs w:val="24"/>
        </w:rPr>
      </w:pPr>
      <w:r w:rsidRPr="00167792">
        <w:rPr>
          <w:rFonts w:cs="Arial"/>
          <w:sz w:val="24"/>
          <w:szCs w:val="24"/>
        </w:rPr>
        <w:t>Organiser les audiences foraines.</w:t>
      </w:r>
    </w:p>
    <w:p w14:paraId="18D2A2BB" w14:textId="77777777" w:rsidR="00A9046F" w:rsidRDefault="00EF1F3D" w:rsidP="00A97663">
      <w:pPr>
        <w:pStyle w:val="Paragraphedeliste"/>
        <w:numPr>
          <w:ilvl w:val="0"/>
          <w:numId w:val="106"/>
        </w:numPr>
        <w:autoSpaceDE w:val="0"/>
        <w:autoSpaceDN w:val="0"/>
        <w:adjustRightInd w:val="0"/>
        <w:spacing w:after="0"/>
        <w:rPr>
          <w:rFonts w:cs="Arial"/>
          <w:b/>
          <w:sz w:val="32"/>
          <w:szCs w:val="32"/>
        </w:rPr>
      </w:pPr>
      <w:r w:rsidRPr="00A9046F">
        <w:rPr>
          <w:rFonts w:cs="Arial"/>
          <w:b/>
          <w:sz w:val="32"/>
          <w:szCs w:val="32"/>
        </w:rPr>
        <w:lastRenderedPageBreak/>
        <w:t xml:space="preserve">CADRE DE MISE EN </w:t>
      </w:r>
      <w:r w:rsidR="00BB1BAF" w:rsidRPr="00A9046F">
        <w:rPr>
          <w:rFonts w:cs="Arial"/>
          <w:b/>
          <w:sz w:val="32"/>
          <w:szCs w:val="32"/>
        </w:rPr>
        <w:t>ŒUVRE</w:t>
      </w:r>
    </w:p>
    <w:p w14:paraId="1A10A865" w14:textId="6DD5D8A1" w:rsidR="00BB1BAF" w:rsidRPr="00A9046F" w:rsidRDefault="00A9046F" w:rsidP="00A9046F">
      <w:pPr>
        <w:autoSpaceDE w:val="0"/>
        <w:autoSpaceDN w:val="0"/>
        <w:adjustRightInd w:val="0"/>
        <w:spacing w:after="0"/>
        <w:rPr>
          <w:rFonts w:cs="Arial"/>
          <w:b/>
          <w:sz w:val="32"/>
          <w:szCs w:val="32"/>
        </w:rPr>
      </w:pPr>
      <w:r>
        <w:rPr>
          <w:rFonts w:cs="Arial"/>
          <w:sz w:val="28"/>
          <w:szCs w:val="28"/>
        </w:rPr>
        <w:t xml:space="preserve">6.1. </w:t>
      </w:r>
      <w:r w:rsidR="00BB1BAF" w:rsidRPr="00A9046F">
        <w:rPr>
          <w:rFonts w:cs="Arial"/>
          <w:sz w:val="28"/>
          <w:szCs w:val="28"/>
        </w:rPr>
        <w:t>CADRE INSTITUTIONNEL</w:t>
      </w:r>
    </w:p>
    <w:p w14:paraId="187CEE1E" w14:textId="2FA526FF" w:rsidR="00B13B10" w:rsidRPr="00A9046F" w:rsidRDefault="00A9046F" w:rsidP="00A9046F">
      <w:pPr>
        <w:autoSpaceDE w:val="0"/>
        <w:autoSpaceDN w:val="0"/>
        <w:adjustRightInd w:val="0"/>
        <w:spacing w:after="0"/>
        <w:rPr>
          <w:rFonts w:cs="Arial"/>
          <w:b/>
          <w:sz w:val="24"/>
          <w:szCs w:val="24"/>
        </w:rPr>
      </w:pPr>
      <w:r>
        <w:rPr>
          <w:rFonts w:cs="Arial"/>
          <w:b/>
          <w:sz w:val="24"/>
          <w:szCs w:val="24"/>
        </w:rPr>
        <w:t xml:space="preserve">6.1.1. </w:t>
      </w:r>
      <w:r w:rsidR="00BB1BAF" w:rsidRPr="00A9046F">
        <w:rPr>
          <w:rFonts w:cs="Arial"/>
          <w:b/>
          <w:sz w:val="24"/>
          <w:szCs w:val="24"/>
        </w:rPr>
        <w:t>Coordination et pilotage</w:t>
      </w:r>
    </w:p>
    <w:p w14:paraId="79374E70" w14:textId="24F4E393" w:rsidR="00E32348" w:rsidRDefault="00E32348" w:rsidP="00051B38">
      <w:pPr>
        <w:pStyle w:val="Standard"/>
        <w:spacing w:before="60" w:after="60"/>
        <w:jc w:val="both"/>
        <w:rPr>
          <w:rFonts w:asciiTheme="minorHAnsi" w:hAnsiTheme="minorHAnsi" w:cstheme="minorHAnsi"/>
          <w:color w:val="auto"/>
        </w:rPr>
      </w:pPr>
      <w:r w:rsidRPr="005140A3">
        <w:rPr>
          <w:rFonts w:asciiTheme="minorHAnsi" w:hAnsiTheme="minorHAnsi" w:cstheme="minorHAnsi"/>
          <w:b/>
          <w:i/>
          <w:color w:val="auto"/>
        </w:rPr>
        <w:t>L</w:t>
      </w:r>
      <w:r w:rsidR="00186A46" w:rsidRPr="005140A3">
        <w:rPr>
          <w:rFonts w:asciiTheme="minorHAnsi" w:hAnsiTheme="minorHAnsi" w:cstheme="minorHAnsi"/>
          <w:b/>
          <w:i/>
          <w:color w:val="auto"/>
        </w:rPr>
        <w:t xml:space="preserve">e </w:t>
      </w:r>
      <w:r w:rsidRPr="005140A3">
        <w:rPr>
          <w:rFonts w:asciiTheme="minorHAnsi" w:hAnsiTheme="minorHAnsi" w:cstheme="minorHAnsi"/>
          <w:b/>
          <w:i/>
          <w:color w:val="auto"/>
        </w:rPr>
        <w:t>C</w:t>
      </w:r>
      <w:r w:rsidR="00186A46" w:rsidRPr="005140A3">
        <w:rPr>
          <w:rFonts w:asciiTheme="minorHAnsi" w:hAnsiTheme="minorHAnsi" w:cstheme="minorHAnsi"/>
          <w:b/>
          <w:i/>
          <w:color w:val="auto"/>
        </w:rPr>
        <w:t xml:space="preserve">adre </w:t>
      </w:r>
      <w:r w:rsidRPr="005140A3">
        <w:rPr>
          <w:rFonts w:asciiTheme="minorHAnsi" w:hAnsiTheme="minorHAnsi" w:cstheme="minorHAnsi"/>
          <w:b/>
          <w:i/>
          <w:color w:val="auto"/>
        </w:rPr>
        <w:t>S</w:t>
      </w:r>
      <w:r w:rsidR="00186A46" w:rsidRPr="005140A3">
        <w:rPr>
          <w:rFonts w:asciiTheme="minorHAnsi" w:hAnsiTheme="minorHAnsi" w:cstheme="minorHAnsi"/>
          <w:b/>
          <w:i/>
          <w:color w:val="auto"/>
        </w:rPr>
        <w:t xml:space="preserve">ectoriel de </w:t>
      </w:r>
      <w:r w:rsidRPr="005140A3">
        <w:rPr>
          <w:rFonts w:asciiTheme="minorHAnsi" w:hAnsiTheme="minorHAnsi" w:cstheme="minorHAnsi"/>
          <w:b/>
          <w:i/>
          <w:color w:val="auto"/>
        </w:rPr>
        <w:t>D</w:t>
      </w:r>
      <w:r w:rsidR="00186A46" w:rsidRPr="005140A3">
        <w:rPr>
          <w:rFonts w:asciiTheme="minorHAnsi" w:hAnsiTheme="minorHAnsi" w:cstheme="minorHAnsi"/>
          <w:b/>
          <w:i/>
          <w:color w:val="auto"/>
        </w:rPr>
        <w:t>ialogue</w:t>
      </w:r>
      <w:r w:rsidRPr="005140A3">
        <w:rPr>
          <w:rFonts w:asciiTheme="minorHAnsi" w:hAnsiTheme="minorHAnsi" w:cstheme="minorHAnsi"/>
          <w:b/>
          <w:i/>
          <w:color w:val="auto"/>
        </w:rPr>
        <w:t xml:space="preserve"> (CSD)</w:t>
      </w:r>
      <w:r w:rsidR="00186A46" w:rsidRPr="00EB2626">
        <w:rPr>
          <w:rFonts w:asciiTheme="minorHAnsi" w:hAnsiTheme="minorHAnsi" w:cstheme="minorHAnsi"/>
          <w:color w:val="auto"/>
        </w:rPr>
        <w:t xml:space="preserve"> </w:t>
      </w:r>
      <w:r>
        <w:rPr>
          <w:rFonts w:asciiTheme="minorHAnsi" w:hAnsiTheme="minorHAnsi" w:cstheme="minorHAnsi"/>
          <w:color w:val="auto"/>
        </w:rPr>
        <w:t>est la</w:t>
      </w:r>
      <w:r w:rsidR="00186A46" w:rsidRPr="00EB2626">
        <w:rPr>
          <w:rFonts w:asciiTheme="minorHAnsi" w:hAnsiTheme="minorHAnsi" w:cstheme="minorHAnsi"/>
          <w:color w:val="auto"/>
        </w:rPr>
        <w:t xml:space="preserve"> plateforme globale </w:t>
      </w:r>
      <w:r>
        <w:rPr>
          <w:rFonts w:asciiTheme="minorHAnsi" w:hAnsiTheme="minorHAnsi" w:cstheme="minorHAnsi"/>
          <w:color w:val="auto"/>
        </w:rPr>
        <w:t xml:space="preserve">qui sert d’interface entre le Burkina Faso et </w:t>
      </w:r>
      <w:r w:rsidR="00186A46" w:rsidRPr="00EB2626">
        <w:rPr>
          <w:rFonts w:asciiTheme="minorHAnsi" w:hAnsiTheme="minorHAnsi" w:cstheme="minorHAnsi"/>
          <w:color w:val="auto"/>
        </w:rPr>
        <w:t>le G</w:t>
      </w:r>
      <w:r>
        <w:rPr>
          <w:rFonts w:asciiTheme="minorHAnsi" w:hAnsiTheme="minorHAnsi" w:cstheme="minorHAnsi"/>
          <w:color w:val="auto"/>
        </w:rPr>
        <w:t xml:space="preserve">lobal </w:t>
      </w:r>
      <w:r w:rsidR="00186A46" w:rsidRPr="00EB2626">
        <w:rPr>
          <w:rFonts w:asciiTheme="minorHAnsi" w:hAnsiTheme="minorHAnsi" w:cstheme="minorHAnsi"/>
          <w:color w:val="auto"/>
        </w:rPr>
        <w:t>F</w:t>
      </w:r>
      <w:r>
        <w:rPr>
          <w:rFonts w:asciiTheme="minorHAnsi" w:hAnsiTheme="minorHAnsi" w:cstheme="minorHAnsi"/>
          <w:color w:val="auto"/>
        </w:rPr>
        <w:t xml:space="preserve">inancing </w:t>
      </w:r>
      <w:r w:rsidR="00186A46" w:rsidRPr="00EB2626">
        <w:rPr>
          <w:rFonts w:asciiTheme="minorHAnsi" w:hAnsiTheme="minorHAnsi" w:cstheme="minorHAnsi"/>
          <w:color w:val="auto"/>
        </w:rPr>
        <w:t>F</w:t>
      </w:r>
      <w:r>
        <w:rPr>
          <w:rFonts w:asciiTheme="minorHAnsi" w:hAnsiTheme="minorHAnsi" w:cstheme="minorHAnsi"/>
          <w:color w:val="auto"/>
        </w:rPr>
        <w:t xml:space="preserve">acilities (GFF). A ce titre le CSD </w:t>
      </w:r>
      <w:r w:rsidRPr="00EB2626">
        <w:rPr>
          <w:rFonts w:asciiTheme="minorHAnsi" w:hAnsiTheme="minorHAnsi" w:cstheme="minorHAnsi"/>
          <w:color w:val="auto"/>
        </w:rPr>
        <w:t>est</w:t>
      </w:r>
      <w:r>
        <w:rPr>
          <w:rFonts w:asciiTheme="minorHAnsi" w:hAnsiTheme="minorHAnsi" w:cstheme="minorHAnsi"/>
          <w:color w:val="auto"/>
        </w:rPr>
        <w:t xml:space="preserve"> en charge du pilotage politique et stratégique des principales étapes du Dossier d’Investissement en SRMNEA : Elaboration du document de stratégie, mobilisation des ressources, mises en œuvre </w:t>
      </w:r>
      <w:r w:rsidR="00186A46" w:rsidRPr="00EB2626">
        <w:rPr>
          <w:rFonts w:asciiTheme="minorHAnsi" w:hAnsiTheme="minorHAnsi" w:cstheme="minorHAnsi"/>
          <w:color w:val="auto"/>
        </w:rPr>
        <w:t xml:space="preserve">et </w:t>
      </w:r>
      <w:r>
        <w:rPr>
          <w:rFonts w:asciiTheme="minorHAnsi" w:hAnsiTheme="minorHAnsi" w:cstheme="minorHAnsi"/>
          <w:color w:val="auto"/>
        </w:rPr>
        <w:t>suivi-évaluation</w:t>
      </w:r>
      <w:r w:rsidR="00F3145B">
        <w:rPr>
          <w:rFonts w:asciiTheme="minorHAnsi" w:hAnsiTheme="minorHAnsi" w:cstheme="minorHAnsi"/>
          <w:color w:val="auto"/>
        </w:rPr>
        <w:t>-redevabilité</w:t>
      </w:r>
      <w:r>
        <w:rPr>
          <w:rFonts w:asciiTheme="minorHAnsi" w:hAnsiTheme="minorHAnsi" w:cstheme="minorHAnsi"/>
          <w:color w:val="auto"/>
        </w:rPr>
        <w:t>.</w:t>
      </w:r>
    </w:p>
    <w:p w14:paraId="32EA6DB2" w14:textId="19B54794" w:rsidR="005140A3" w:rsidRDefault="00561CCD" w:rsidP="00051B38">
      <w:pPr>
        <w:pStyle w:val="Standard"/>
        <w:spacing w:before="60" w:after="60"/>
        <w:jc w:val="both"/>
        <w:rPr>
          <w:rFonts w:asciiTheme="minorHAnsi" w:hAnsiTheme="minorHAnsi" w:cstheme="minorHAnsi"/>
          <w:color w:val="auto"/>
        </w:rPr>
      </w:pPr>
      <w:r>
        <w:rPr>
          <w:sz w:val="23"/>
          <w:szCs w:val="23"/>
        </w:rPr>
        <w:t xml:space="preserve">Le CSD assurera (i) la définition des priorités en matière de SRMNIA-N et ECSV, (ii) </w:t>
      </w:r>
      <w:r w:rsidR="009C5CE7">
        <w:rPr>
          <w:sz w:val="23"/>
          <w:szCs w:val="23"/>
        </w:rPr>
        <w:t xml:space="preserve">la coordination des interventions et des acteurs, (iii) </w:t>
      </w:r>
      <w:r>
        <w:rPr>
          <w:sz w:val="23"/>
          <w:szCs w:val="23"/>
        </w:rPr>
        <w:t>la mobilisation des acteurs impliqués dans la mise en œuvre</w:t>
      </w:r>
      <w:r w:rsidR="00536EA8">
        <w:rPr>
          <w:sz w:val="23"/>
          <w:szCs w:val="23"/>
        </w:rPr>
        <w:t xml:space="preserve">, </w:t>
      </w:r>
      <w:r>
        <w:rPr>
          <w:sz w:val="23"/>
          <w:szCs w:val="23"/>
        </w:rPr>
        <w:t>(iii)</w:t>
      </w:r>
      <w:r w:rsidR="009C5CE7">
        <w:rPr>
          <w:sz w:val="23"/>
          <w:szCs w:val="23"/>
        </w:rPr>
        <w:t xml:space="preserve"> </w:t>
      </w:r>
      <w:r w:rsidR="00536EA8">
        <w:rPr>
          <w:sz w:val="23"/>
          <w:szCs w:val="23"/>
        </w:rPr>
        <w:t xml:space="preserve">la collaboration </w:t>
      </w:r>
      <w:r w:rsidR="00536EA8">
        <w:rPr>
          <w:rFonts w:asciiTheme="minorHAnsi" w:hAnsiTheme="minorHAnsi" w:cstheme="minorHAnsi"/>
          <w:color w:val="auto"/>
        </w:rPr>
        <w:t>intersectorielle</w:t>
      </w:r>
      <w:r w:rsidR="005140A3">
        <w:rPr>
          <w:rFonts w:asciiTheme="minorHAnsi" w:hAnsiTheme="minorHAnsi" w:cstheme="minorHAnsi"/>
          <w:color w:val="auto"/>
        </w:rPr>
        <w:t xml:space="preserve"> </w:t>
      </w:r>
      <w:r>
        <w:rPr>
          <w:rFonts w:asciiTheme="minorHAnsi" w:hAnsiTheme="minorHAnsi" w:cstheme="minorHAnsi"/>
          <w:color w:val="auto"/>
        </w:rPr>
        <w:t xml:space="preserve">pour </w:t>
      </w:r>
      <w:r w:rsidR="005140A3">
        <w:rPr>
          <w:rFonts w:asciiTheme="minorHAnsi" w:hAnsiTheme="minorHAnsi" w:cstheme="minorHAnsi"/>
          <w:color w:val="auto"/>
        </w:rPr>
        <w:t>agir sur les</w:t>
      </w:r>
      <w:r>
        <w:rPr>
          <w:rFonts w:asciiTheme="minorHAnsi" w:hAnsiTheme="minorHAnsi" w:cstheme="minorHAnsi"/>
          <w:color w:val="auto"/>
        </w:rPr>
        <w:t xml:space="preserve"> </w:t>
      </w:r>
      <w:r w:rsidR="009C5CE7">
        <w:rPr>
          <w:rFonts w:asciiTheme="minorHAnsi" w:hAnsiTheme="minorHAnsi" w:cstheme="minorHAnsi"/>
          <w:color w:val="auto"/>
        </w:rPr>
        <w:t>principaux déterminants</w:t>
      </w:r>
      <w:r w:rsidR="005140A3">
        <w:rPr>
          <w:rFonts w:asciiTheme="minorHAnsi" w:hAnsiTheme="minorHAnsi" w:cstheme="minorHAnsi"/>
          <w:color w:val="auto"/>
        </w:rPr>
        <w:t xml:space="preserve"> de la santé</w:t>
      </w:r>
      <w:r w:rsidR="00536EA8">
        <w:rPr>
          <w:rFonts w:asciiTheme="minorHAnsi" w:hAnsiTheme="minorHAnsi" w:cstheme="minorHAnsi"/>
          <w:color w:val="auto"/>
        </w:rPr>
        <w:t xml:space="preserve"> et (iv) </w:t>
      </w:r>
      <w:r w:rsidR="00536EA8">
        <w:rPr>
          <w:rFonts w:asciiTheme="minorHAnsi" w:hAnsiTheme="minorHAnsi" w:cstheme="minorHAnsi"/>
        </w:rPr>
        <w:t>la vérification et l’analyse des résultats pour prendre les mesures correctives nécessaires dans le cadre de la redevabilité</w:t>
      </w:r>
      <w:r w:rsidR="005140A3">
        <w:rPr>
          <w:rFonts w:asciiTheme="minorHAnsi" w:hAnsiTheme="minorHAnsi" w:cstheme="minorHAnsi"/>
          <w:color w:val="auto"/>
        </w:rPr>
        <w:t xml:space="preserve">. </w:t>
      </w:r>
    </w:p>
    <w:p w14:paraId="5A87A918" w14:textId="2A3C1E29" w:rsidR="00536EA8" w:rsidRDefault="00536EA8" w:rsidP="00051B38">
      <w:pPr>
        <w:rPr>
          <w:rFonts w:cstheme="minorHAnsi"/>
        </w:rPr>
      </w:pPr>
      <w:r w:rsidRPr="00D67D16">
        <w:rPr>
          <w:rFonts w:cstheme="minorHAnsi"/>
        </w:rPr>
        <w:t>En plus des rencontres régulières semestrielles, le C</w:t>
      </w:r>
      <w:r>
        <w:rPr>
          <w:rFonts w:cstheme="minorHAnsi"/>
        </w:rPr>
        <w:t xml:space="preserve">adre sectoriel de dialogue peut </w:t>
      </w:r>
      <w:r w:rsidRPr="00D67D16">
        <w:rPr>
          <w:rFonts w:cstheme="minorHAnsi"/>
        </w:rPr>
        <w:t>organise</w:t>
      </w:r>
      <w:r>
        <w:rPr>
          <w:rFonts w:cstheme="minorHAnsi"/>
        </w:rPr>
        <w:t>r</w:t>
      </w:r>
      <w:r w:rsidRPr="00D67D16">
        <w:rPr>
          <w:rFonts w:cstheme="minorHAnsi"/>
        </w:rPr>
        <w:t xml:space="preserve"> des missions</w:t>
      </w:r>
      <w:r>
        <w:rPr>
          <w:rFonts w:cstheme="minorHAnsi"/>
        </w:rPr>
        <w:t xml:space="preserve"> et des études pour confirmer, sur terrain et si nécessaire, les résultats ou les problèmes rapportés</w:t>
      </w:r>
      <w:r w:rsidRPr="00D67D16">
        <w:rPr>
          <w:rFonts w:cstheme="minorHAnsi"/>
        </w:rPr>
        <w:t>.</w:t>
      </w:r>
    </w:p>
    <w:p w14:paraId="77B63852" w14:textId="2815169B" w:rsidR="00186A46" w:rsidRPr="00A9046F" w:rsidRDefault="00F3145B" w:rsidP="00A9046F">
      <w:pPr>
        <w:pStyle w:val="Paragraphedeliste"/>
        <w:numPr>
          <w:ilvl w:val="2"/>
          <w:numId w:val="2"/>
        </w:numPr>
        <w:autoSpaceDE w:val="0"/>
        <w:autoSpaceDN w:val="0"/>
        <w:adjustRightInd w:val="0"/>
        <w:spacing w:after="0"/>
        <w:jc w:val="both"/>
        <w:rPr>
          <w:rFonts w:cstheme="minorHAnsi"/>
          <w:b/>
        </w:rPr>
      </w:pPr>
      <w:r w:rsidRPr="00A9046F">
        <w:rPr>
          <w:rFonts w:cstheme="minorHAnsi"/>
          <w:b/>
        </w:rPr>
        <w:t>Niveaux de mise en œuvre, rôles et responsabilités</w:t>
      </w:r>
      <w:r w:rsidR="00186A46" w:rsidRPr="00A9046F">
        <w:rPr>
          <w:rFonts w:cstheme="minorHAnsi"/>
          <w:b/>
        </w:rPr>
        <w:t xml:space="preserve"> </w:t>
      </w:r>
    </w:p>
    <w:p w14:paraId="445DE6F7" w14:textId="45F6708F" w:rsidR="005140A3" w:rsidRPr="00A9046F" w:rsidRDefault="005140A3" w:rsidP="00A9046F">
      <w:pPr>
        <w:pStyle w:val="Paragraphedeliste"/>
        <w:numPr>
          <w:ilvl w:val="3"/>
          <w:numId w:val="2"/>
        </w:numPr>
        <w:autoSpaceDE w:val="0"/>
        <w:autoSpaceDN w:val="0"/>
        <w:adjustRightInd w:val="0"/>
        <w:spacing w:after="0"/>
        <w:jc w:val="both"/>
        <w:rPr>
          <w:rFonts w:cstheme="minorHAnsi"/>
          <w:b/>
        </w:rPr>
      </w:pPr>
      <w:r w:rsidRPr="00A9046F">
        <w:rPr>
          <w:rFonts w:cstheme="minorHAnsi"/>
          <w:b/>
        </w:rPr>
        <w:t>Niveau central</w:t>
      </w:r>
    </w:p>
    <w:p w14:paraId="32A3F851" w14:textId="17A2B6FF" w:rsidR="006F2560" w:rsidRDefault="006F2560" w:rsidP="00051B38">
      <w:pPr>
        <w:autoSpaceDE w:val="0"/>
        <w:autoSpaceDN w:val="0"/>
        <w:adjustRightInd w:val="0"/>
        <w:spacing w:after="0"/>
        <w:jc w:val="both"/>
        <w:rPr>
          <w:rFonts w:cstheme="minorHAnsi"/>
          <w:b/>
        </w:rPr>
      </w:pPr>
      <w:r>
        <w:rPr>
          <w:rFonts w:cstheme="minorHAnsi"/>
          <w:b/>
        </w:rPr>
        <w:t>Cabinet du Ministre et directions nationales</w:t>
      </w:r>
    </w:p>
    <w:p w14:paraId="4FBAEF5A" w14:textId="3B382489" w:rsidR="005140A3" w:rsidRPr="003F5941" w:rsidRDefault="005140A3" w:rsidP="00051B38">
      <w:pPr>
        <w:autoSpaceDE w:val="0"/>
        <w:autoSpaceDN w:val="0"/>
        <w:adjustRightInd w:val="0"/>
        <w:spacing w:after="0"/>
        <w:jc w:val="both"/>
        <w:rPr>
          <w:rFonts w:ascii="Calibri" w:hAnsi="Calibri" w:cs="Calibri"/>
        </w:rPr>
      </w:pPr>
      <w:r>
        <w:rPr>
          <w:rFonts w:ascii="Calibri" w:hAnsi="Calibri" w:cs="Calibri"/>
        </w:rPr>
        <w:t>Le niveau central est le lieu de définition des politiques et stratégies. Il devra jouer son rôle dans ce dossier d’investissement dans</w:t>
      </w:r>
      <w:r w:rsidR="003F5941">
        <w:rPr>
          <w:rFonts w:ascii="Calibri" w:hAnsi="Calibri" w:cs="Calibri"/>
        </w:rPr>
        <w:t xml:space="preserve"> (i) l</w:t>
      </w:r>
      <w:r w:rsidRPr="003F5941">
        <w:rPr>
          <w:rFonts w:ascii="Calibri" w:hAnsi="Calibri" w:cs="Calibri"/>
        </w:rPr>
        <w:t>a coordination du système de santé et d</w:t>
      </w:r>
      <w:r w:rsidR="00CF72A5" w:rsidRPr="003F5941">
        <w:rPr>
          <w:rFonts w:ascii="Calibri" w:hAnsi="Calibri" w:cs="Calibri"/>
        </w:rPr>
        <w:t>es différents acteurs de mise en œuvre</w:t>
      </w:r>
      <w:r w:rsidR="003F5941">
        <w:rPr>
          <w:rFonts w:ascii="Calibri" w:hAnsi="Calibri" w:cs="Calibri"/>
        </w:rPr>
        <w:t>, (ii) l</w:t>
      </w:r>
      <w:r w:rsidR="00CF72A5" w:rsidRPr="003F5941">
        <w:rPr>
          <w:rFonts w:ascii="Calibri" w:hAnsi="Calibri" w:cs="Calibri"/>
        </w:rPr>
        <w:t>’organisation</w:t>
      </w:r>
      <w:r w:rsidRPr="003F5941">
        <w:rPr>
          <w:rFonts w:ascii="Calibri" w:hAnsi="Calibri" w:cs="Calibri"/>
        </w:rPr>
        <w:t xml:space="preserve"> des services</w:t>
      </w:r>
      <w:r w:rsidR="003F5941">
        <w:rPr>
          <w:rFonts w:ascii="Calibri" w:hAnsi="Calibri" w:cs="Calibri"/>
        </w:rPr>
        <w:t>, (iii) l</w:t>
      </w:r>
      <w:r w:rsidR="00CF72A5" w:rsidRPr="003F5941">
        <w:rPr>
          <w:rFonts w:ascii="Calibri" w:hAnsi="Calibri" w:cs="Calibri"/>
        </w:rPr>
        <w:t>’élaboration et la diffusion des directives, des documents normatifs notamment dans l’application de la démarche qualité</w:t>
      </w:r>
      <w:r w:rsidR="003F5941">
        <w:rPr>
          <w:rFonts w:ascii="Calibri" w:hAnsi="Calibri" w:cs="Calibri"/>
        </w:rPr>
        <w:t>, (iv) l</w:t>
      </w:r>
      <w:r w:rsidRPr="003F5941">
        <w:rPr>
          <w:rFonts w:ascii="Calibri" w:hAnsi="Calibri" w:cs="Calibri"/>
        </w:rPr>
        <w:t>a gestion des ressources humaines, matérielles et financières en veillant à leur répartition et leur utilisation équitables</w:t>
      </w:r>
      <w:r w:rsidR="003F5941">
        <w:rPr>
          <w:rFonts w:ascii="Calibri" w:hAnsi="Calibri" w:cs="Calibri"/>
        </w:rPr>
        <w:t>, (v) l</w:t>
      </w:r>
      <w:r w:rsidR="006F2560" w:rsidRPr="003F5941">
        <w:rPr>
          <w:rFonts w:ascii="Calibri" w:hAnsi="Calibri" w:cs="Calibri"/>
        </w:rPr>
        <w:t>’évaluation</w:t>
      </w:r>
      <w:r w:rsidRPr="003F5941">
        <w:rPr>
          <w:rFonts w:ascii="Calibri" w:hAnsi="Calibri" w:cs="Calibri"/>
        </w:rPr>
        <w:t xml:space="preserve"> des résultats dans une perspective d’amélioration de la performance.</w:t>
      </w:r>
    </w:p>
    <w:p w14:paraId="4331A09D" w14:textId="346B1457" w:rsidR="006F2560" w:rsidRDefault="006F2560" w:rsidP="00051B38">
      <w:pPr>
        <w:pStyle w:val="Standard"/>
        <w:spacing w:before="60" w:after="60"/>
        <w:jc w:val="both"/>
        <w:rPr>
          <w:rFonts w:asciiTheme="minorHAnsi" w:hAnsiTheme="minorHAnsi" w:cstheme="minorHAnsi"/>
          <w:color w:val="auto"/>
        </w:rPr>
      </w:pPr>
      <w:r w:rsidRPr="005140A3">
        <w:rPr>
          <w:rFonts w:asciiTheme="minorHAnsi" w:hAnsiTheme="minorHAnsi" w:cstheme="minorHAnsi"/>
          <w:b/>
          <w:i/>
          <w:color w:val="auto"/>
        </w:rPr>
        <w:t>L’équipe fonctionnelle 7</w:t>
      </w:r>
      <w:r w:rsidRPr="00EB2626">
        <w:rPr>
          <w:rFonts w:asciiTheme="minorHAnsi" w:hAnsiTheme="minorHAnsi" w:cstheme="minorHAnsi"/>
          <w:color w:val="auto"/>
        </w:rPr>
        <w:t xml:space="preserve"> a été retenue pour être la plateforme technique en charge de conduire le processus l’élaboration du dossier d’investissement suivant une feuille de route consensuelle</w:t>
      </w:r>
      <w:r>
        <w:rPr>
          <w:rFonts w:asciiTheme="minorHAnsi" w:hAnsiTheme="minorHAnsi" w:cstheme="minorHAnsi"/>
          <w:color w:val="auto"/>
        </w:rPr>
        <w:t xml:space="preserve"> aura pour rôle de (i) animer la mise en œuvre, (ii) assurer le suivi de la mise en œuvre, (iii) donner les avis techniques nécessaires au pilotage et </w:t>
      </w:r>
      <w:r w:rsidR="00F264AE">
        <w:rPr>
          <w:rFonts w:asciiTheme="minorHAnsi" w:hAnsiTheme="minorHAnsi" w:cstheme="minorHAnsi"/>
          <w:color w:val="auto"/>
        </w:rPr>
        <w:t xml:space="preserve">(iv) </w:t>
      </w:r>
      <w:r>
        <w:rPr>
          <w:rFonts w:asciiTheme="minorHAnsi" w:hAnsiTheme="minorHAnsi" w:cstheme="minorHAnsi"/>
          <w:color w:val="auto"/>
        </w:rPr>
        <w:t xml:space="preserve">organiser la réalisation d’études et autres exercices </w:t>
      </w:r>
      <w:r w:rsidR="00F264AE">
        <w:rPr>
          <w:rFonts w:asciiTheme="minorHAnsi" w:hAnsiTheme="minorHAnsi" w:cstheme="minorHAnsi"/>
          <w:color w:val="auto"/>
        </w:rPr>
        <w:t xml:space="preserve">périodiques </w:t>
      </w:r>
      <w:r>
        <w:rPr>
          <w:rFonts w:asciiTheme="minorHAnsi" w:hAnsiTheme="minorHAnsi" w:cstheme="minorHAnsi"/>
          <w:color w:val="auto"/>
        </w:rPr>
        <w:t xml:space="preserve">d’évaluation pour évaluer les résultats et capitaliser l’expérience. </w:t>
      </w:r>
    </w:p>
    <w:p w14:paraId="6B50C7C8" w14:textId="5A0748B5" w:rsidR="00CF72A5" w:rsidRPr="00C95613" w:rsidRDefault="00CF72A5" w:rsidP="00A9046F">
      <w:pPr>
        <w:pStyle w:val="Paragraphedeliste"/>
        <w:numPr>
          <w:ilvl w:val="3"/>
          <w:numId w:val="2"/>
        </w:numPr>
        <w:autoSpaceDE w:val="0"/>
        <w:autoSpaceDN w:val="0"/>
        <w:adjustRightInd w:val="0"/>
        <w:spacing w:after="0"/>
        <w:jc w:val="both"/>
        <w:rPr>
          <w:rFonts w:cs="Calibri-Bold"/>
          <w:b/>
          <w:bCs/>
          <w:sz w:val="24"/>
          <w:szCs w:val="24"/>
        </w:rPr>
      </w:pPr>
      <w:r w:rsidRPr="00C95613">
        <w:rPr>
          <w:rFonts w:cs="Calibri-Bold"/>
          <w:b/>
          <w:bCs/>
          <w:sz w:val="24"/>
          <w:szCs w:val="24"/>
        </w:rPr>
        <w:t>Niveau régional</w:t>
      </w:r>
    </w:p>
    <w:p w14:paraId="3A40EB1C" w14:textId="77777777" w:rsidR="00ED3F10" w:rsidRDefault="00F264AE" w:rsidP="00051B38">
      <w:pPr>
        <w:autoSpaceDE w:val="0"/>
        <w:autoSpaceDN w:val="0"/>
        <w:adjustRightInd w:val="0"/>
        <w:spacing w:after="0"/>
        <w:jc w:val="both"/>
        <w:rPr>
          <w:rFonts w:cs="Calibri"/>
          <w:sz w:val="24"/>
          <w:szCs w:val="24"/>
        </w:rPr>
      </w:pPr>
      <w:r w:rsidRPr="00C95613">
        <w:rPr>
          <w:rFonts w:cs="Calibri"/>
          <w:sz w:val="24"/>
          <w:szCs w:val="24"/>
        </w:rPr>
        <w:t xml:space="preserve">Le niveau régional s’appuiera d’une sur </w:t>
      </w:r>
      <w:r w:rsidR="00CF72A5" w:rsidRPr="00C95613">
        <w:rPr>
          <w:rFonts w:cs="Calibri"/>
          <w:sz w:val="24"/>
          <w:szCs w:val="24"/>
        </w:rPr>
        <w:t>les comités régionaux SRMNIA présidés par les gouverneurs de régions</w:t>
      </w:r>
      <w:r w:rsidRPr="00C95613">
        <w:rPr>
          <w:rFonts w:cs="Calibri"/>
          <w:sz w:val="24"/>
          <w:szCs w:val="24"/>
        </w:rPr>
        <w:t xml:space="preserve"> et sur la direction régionale de la santé</w:t>
      </w:r>
      <w:r w:rsidR="00ED3F10">
        <w:rPr>
          <w:rFonts w:cs="Calibri"/>
          <w:sz w:val="24"/>
          <w:szCs w:val="24"/>
        </w:rPr>
        <w:t>.</w:t>
      </w:r>
    </w:p>
    <w:p w14:paraId="3CF1213F" w14:textId="59867B8F" w:rsidR="00F264AE" w:rsidRPr="003F5941" w:rsidRDefault="00ED3F10" w:rsidP="00051B38">
      <w:pPr>
        <w:autoSpaceDE w:val="0"/>
        <w:autoSpaceDN w:val="0"/>
        <w:adjustRightInd w:val="0"/>
        <w:spacing w:after="0"/>
        <w:jc w:val="both"/>
        <w:rPr>
          <w:rFonts w:cs="Calibri"/>
          <w:sz w:val="24"/>
          <w:szCs w:val="24"/>
        </w:rPr>
      </w:pPr>
      <w:r w:rsidRPr="00ED3F10">
        <w:rPr>
          <w:rFonts w:cs="Calibri"/>
          <w:b/>
          <w:i/>
          <w:sz w:val="24"/>
          <w:szCs w:val="24"/>
        </w:rPr>
        <w:t>Les comités régionaux SRMNIA</w:t>
      </w:r>
      <w:r w:rsidRPr="00C95613">
        <w:rPr>
          <w:rFonts w:cs="Calibri"/>
          <w:sz w:val="24"/>
          <w:szCs w:val="24"/>
        </w:rPr>
        <w:t xml:space="preserve"> </w:t>
      </w:r>
      <w:r w:rsidR="00F264AE" w:rsidRPr="00C95613">
        <w:rPr>
          <w:rFonts w:cs="Calibri"/>
          <w:sz w:val="24"/>
          <w:szCs w:val="24"/>
        </w:rPr>
        <w:t>aur</w:t>
      </w:r>
      <w:r>
        <w:rPr>
          <w:rFonts w:cs="Calibri"/>
          <w:sz w:val="24"/>
          <w:szCs w:val="24"/>
        </w:rPr>
        <w:t>ont</w:t>
      </w:r>
      <w:r w:rsidR="00F264AE" w:rsidRPr="00C95613">
        <w:rPr>
          <w:rFonts w:cs="Calibri"/>
          <w:sz w:val="24"/>
          <w:szCs w:val="24"/>
        </w:rPr>
        <w:t xml:space="preserve"> pour rôle de </w:t>
      </w:r>
      <w:r w:rsidR="003F5941">
        <w:rPr>
          <w:rFonts w:cs="Calibri"/>
          <w:sz w:val="24"/>
          <w:szCs w:val="24"/>
        </w:rPr>
        <w:t xml:space="preserve">(i) </w:t>
      </w:r>
      <w:r w:rsidRPr="003F5941">
        <w:rPr>
          <w:rFonts w:cs="Calibri"/>
          <w:sz w:val="24"/>
          <w:szCs w:val="24"/>
        </w:rPr>
        <w:t>Valider les plans opérationnels pour la mise en œuvre du Dossier d’Investissement</w:t>
      </w:r>
      <w:r w:rsidR="003F5941">
        <w:rPr>
          <w:rFonts w:cs="Calibri"/>
          <w:sz w:val="24"/>
          <w:szCs w:val="24"/>
        </w:rPr>
        <w:t xml:space="preserve">, (ii) </w:t>
      </w:r>
      <w:r w:rsidR="00C95613" w:rsidRPr="003F5941">
        <w:rPr>
          <w:rFonts w:cs="Calibri"/>
          <w:sz w:val="24"/>
          <w:szCs w:val="24"/>
        </w:rPr>
        <w:t>Analyser les rapports de progrès</w:t>
      </w:r>
      <w:r w:rsidR="003F5941">
        <w:rPr>
          <w:rFonts w:cs="Calibri"/>
          <w:sz w:val="24"/>
          <w:szCs w:val="24"/>
        </w:rPr>
        <w:t xml:space="preserve">, (iii) </w:t>
      </w:r>
      <w:r w:rsidR="00C95613" w:rsidRPr="003F5941">
        <w:rPr>
          <w:rFonts w:cs="ArialNarrow"/>
          <w:sz w:val="24"/>
          <w:szCs w:val="24"/>
        </w:rPr>
        <w:t>P</w:t>
      </w:r>
      <w:r w:rsidR="00F264AE" w:rsidRPr="003F5941">
        <w:rPr>
          <w:rFonts w:cs="Calibri"/>
          <w:sz w:val="24"/>
          <w:szCs w:val="24"/>
        </w:rPr>
        <w:t>articiper aux missions de sorties conjointes du niveau central</w:t>
      </w:r>
      <w:r w:rsidR="003F5941">
        <w:rPr>
          <w:rFonts w:cs="Calibri"/>
          <w:sz w:val="24"/>
          <w:szCs w:val="24"/>
        </w:rPr>
        <w:t xml:space="preserve"> et (iv) </w:t>
      </w:r>
      <w:r w:rsidR="00C95613" w:rsidRPr="003F5941">
        <w:rPr>
          <w:rFonts w:cs="ArialNarrow"/>
          <w:sz w:val="24"/>
          <w:szCs w:val="24"/>
        </w:rPr>
        <w:t>I</w:t>
      </w:r>
      <w:r w:rsidR="00F264AE" w:rsidRPr="003F5941">
        <w:rPr>
          <w:rFonts w:cs="Calibri"/>
          <w:sz w:val="24"/>
          <w:szCs w:val="24"/>
        </w:rPr>
        <w:t xml:space="preserve">ntégrer les interventions de </w:t>
      </w:r>
      <w:r w:rsidR="00C95613" w:rsidRPr="003F5941">
        <w:rPr>
          <w:rFonts w:cs="Calibri"/>
          <w:sz w:val="24"/>
          <w:szCs w:val="24"/>
        </w:rPr>
        <w:t>SRMNEA-N et ECSV au</w:t>
      </w:r>
      <w:r w:rsidR="00F264AE" w:rsidRPr="003F5941">
        <w:rPr>
          <w:rFonts w:cs="Calibri"/>
          <w:sz w:val="24"/>
          <w:szCs w:val="24"/>
        </w:rPr>
        <w:t xml:space="preserve"> niveau des collectivités territoriales.</w:t>
      </w:r>
    </w:p>
    <w:p w14:paraId="085E7802" w14:textId="77777777" w:rsidR="004C1C47" w:rsidRDefault="00ED3F10" w:rsidP="00051B38">
      <w:pPr>
        <w:widowControl w:val="0"/>
        <w:tabs>
          <w:tab w:val="left" w:pos="9498"/>
        </w:tabs>
        <w:autoSpaceDE w:val="0"/>
        <w:autoSpaceDN w:val="0"/>
        <w:adjustRightInd w:val="0"/>
        <w:spacing w:before="32" w:after="0"/>
        <w:ind w:right="-1"/>
        <w:jc w:val="both"/>
        <w:rPr>
          <w:rFonts w:cs="Calibri"/>
          <w:sz w:val="24"/>
          <w:szCs w:val="24"/>
        </w:rPr>
      </w:pPr>
      <w:r w:rsidRPr="00ED3F10">
        <w:rPr>
          <w:b/>
          <w:i/>
          <w:sz w:val="24"/>
          <w:szCs w:val="24"/>
        </w:rPr>
        <w:t>Les directions régionales de la santé</w:t>
      </w:r>
      <w:r>
        <w:rPr>
          <w:sz w:val="24"/>
          <w:szCs w:val="24"/>
        </w:rPr>
        <w:t xml:space="preserve"> </w:t>
      </w:r>
      <w:r w:rsidRPr="00ED3F10">
        <w:rPr>
          <w:sz w:val="24"/>
          <w:szCs w:val="24"/>
        </w:rPr>
        <w:t xml:space="preserve">auront pour rôle de  </w:t>
      </w:r>
      <w:r>
        <w:rPr>
          <w:sz w:val="24"/>
          <w:szCs w:val="24"/>
        </w:rPr>
        <w:t xml:space="preserve">(i) </w:t>
      </w:r>
      <w:r w:rsidRPr="00ED3F10">
        <w:rPr>
          <w:rFonts w:cs="Calibri"/>
          <w:sz w:val="24"/>
          <w:szCs w:val="24"/>
        </w:rPr>
        <w:t>Coordonner les interventions des différents acteurs de santé au niveau régional</w:t>
      </w:r>
      <w:r>
        <w:rPr>
          <w:rFonts w:cs="Calibri"/>
          <w:sz w:val="24"/>
          <w:szCs w:val="24"/>
        </w:rPr>
        <w:t xml:space="preserve">, (ii) </w:t>
      </w:r>
      <w:r w:rsidRPr="00ED3F10">
        <w:rPr>
          <w:rFonts w:cs="Calibri"/>
          <w:sz w:val="24"/>
          <w:szCs w:val="24"/>
        </w:rPr>
        <w:t>Evaluer la performance des équipes cadres de district dans la mise en œuvre du DI</w:t>
      </w:r>
      <w:r>
        <w:rPr>
          <w:rFonts w:cs="Calibri"/>
          <w:sz w:val="24"/>
          <w:szCs w:val="24"/>
        </w:rPr>
        <w:t xml:space="preserve">, (iii) </w:t>
      </w:r>
      <w:r w:rsidRPr="00ED3F10">
        <w:rPr>
          <w:rFonts w:cs="Calibri"/>
          <w:sz w:val="24"/>
          <w:szCs w:val="24"/>
        </w:rPr>
        <w:t>Elaborer les rapports de progrès et les bilans des plans d’action</w:t>
      </w:r>
      <w:r>
        <w:rPr>
          <w:rFonts w:cs="Calibri"/>
          <w:sz w:val="24"/>
          <w:szCs w:val="24"/>
        </w:rPr>
        <w:t xml:space="preserve">, (iv) </w:t>
      </w:r>
      <w:r w:rsidRPr="00ED3F10">
        <w:rPr>
          <w:rFonts w:cs="Calibri"/>
          <w:sz w:val="24"/>
          <w:szCs w:val="24"/>
        </w:rPr>
        <w:t>Suivre la mobilisation des financements</w:t>
      </w:r>
      <w:r>
        <w:rPr>
          <w:rFonts w:cs="Calibri"/>
          <w:sz w:val="24"/>
          <w:szCs w:val="24"/>
        </w:rPr>
        <w:t xml:space="preserve">, (v) </w:t>
      </w:r>
      <w:r w:rsidRPr="00ED3F10">
        <w:rPr>
          <w:rFonts w:cs="Calibri"/>
          <w:sz w:val="24"/>
          <w:szCs w:val="24"/>
        </w:rPr>
        <w:t xml:space="preserve">Participer à la réalisation des </w:t>
      </w:r>
      <w:r w:rsidRPr="00ED3F10">
        <w:rPr>
          <w:rFonts w:cs="Calibri"/>
          <w:sz w:val="24"/>
          <w:szCs w:val="24"/>
        </w:rPr>
        <w:lastRenderedPageBreak/>
        <w:t>audits</w:t>
      </w:r>
      <w:r>
        <w:rPr>
          <w:rFonts w:cs="Calibri"/>
          <w:sz w:val="24"/>
          <w:szCs w:val="24"/>
        </w:rPr>
        <w:t xml:space="preserve">, </w:t>
      </w:r>
      <w:r w:rsidR="004C1C47">
        <w:rPr>
          <w:rFonts w:cs="Calibri"/>
          <w:sz w:val="24"/>
          <w:szCs w:val="24"/>
        </w:rPr>
        <w:t xml:space="preserve">(vi) </w:t>
      </w:r>
      <w:r w:rsidRPr="00ED3F10">
        <w:rPr>
          <w:rFonts w:cs="Calibri"/>
          <w:sz w:val="24"/>
          <w:szCs w:val="24"/>
        </w:rPr>
        <w:t>Contribuer à la réalisation des évaluations</w:t>
      </w:r>
      <w:r w:rsidR="004C1C47">
        <w:rPr>
          <w:rFonts w:cs="Calibri"/>
          <w:sz w:val="24"/>
          <w:szCs w:val="24"/>
        </w:rPr>
        <w:t xml:space="preserve"> et (vii) </w:t>
      </w:r>
      <w:r w:rsidRPr="004C1C47">
        <w:rPr>
          <w:rFonts w:cs="Calibri"/>
          <w:sz w:val="24"/>
          <w:szCs w:val="24"/>
        </w:rPr>
        <w:t>Fournir des informations permettant de renseigner les indicateurs de suivi du DI.</w:t>
      </w:r>
    </w:p>
    <w:p w14:paraId="4A738B4A" w14:textId="2DEBEBED" w:rsidR="004C1C47" w:rsidRDefault="004C1C47" w:rsidP="00A9046F">
      <w:pPr>
        <w:pStyle w:val="Paragraphedeliste"/>
        <w:numPr>
          <w:ilvl w:val="3"/>
          <w:numId w:val="2"/>
        </w:numPr>
        <w:autoSpaceDE w:val="0"/>
        <w:autoSpaceDN w:val="0"/>
        <w:adjustRightInd w:val="0"/>
        <w:spacing w:after="0"/>
        <w:jc w:val="both"/>
        <w:rPr>
          <w:rFonts w:ascii="Calibri" w:hAnsi="Calibri" w:cs="Calibri"/>
          <w:b/>
          <w:sz w:val="24"/>
          <w:szCs w:val="24"/>
        </w:rPr>
      </w:pPr>
      <w:r w:rsidRPr="003F5941">
        <w:rPr>
          <w:rFonts w:ascii="Calibri" w:hAnsi="Calibri" w:cs="Calibri"/>
          <w:b/>
          <w:sz w:val="24"/>
          <w:szCs w:val="24"/>
        </w:rPr>
        <w:t>Au niveau opérationnel</w:t>
      </w:r>
    </w:p>
    <w:p w14:paraId="4EC6A290" w14:textId="21584BB8" w:rsidR="001D552D" w:rsidRPr="003F5941" w:rsidRDefault="001D552D" w:rsidP="00051B38">
      <w:pPr>
        <w:widowControl w:val="0"/>
        <w:tabs>
          <w:tab w:val="left" w:pos="9498"/>
        </w:tabs>
        <w:autoSpaceDE w:val="0"/>
        <w:autoSpaceDN w:val="0"/>
        <w:adjustRightInd w:val="0"/>
        <w:spacing w:before="32" w:after="0"/>
        <w:ind w:right="-1"/>
        <w:jc w:val="both"/>
        <w:rPr>
          <w:rFonts w:ascii="Calibri" w:hAnsi="Calibri" w:cs="Arial"/>
          <w:b/>
          <w:bCs/>
          <w:color w:val="000000"/>
          <w:sz w:val="23"/>
          <w:szCs w:val="23"/>
        </w:rPr>
      </w:pPr>
      <w:r>
        <w:rPr>
          <w:rFonts w:ascii="Calibri" w:hAnsi="Calibri" w:cs="Arial"/>
          <w:b/>
          <w:bCs/>
          <w:color w:val="000000"/>
          <w:sz w:val="23"/>
          <w:szCs w:val="23"/>
        </w:rPr>
        <w:t>L’Equipe Cadre de District</w:t>
      </w:r>
    </w:p>
    <w:p w14:paraId="47E71468" w14:textId="77777777" w:rsidR="001D552D" w:rsidRDefault="004C1C47" w:rsidP="00051B38">
      <w:pPr>
        <w:autoSpaceDE w:val="0"/>
        <w:autoSpaceDN w:val="0"/>
        <w:adjustRightInd w:val="0"/>
        <w:spacing w:after="0"/>
        <w:jc w:val="both"/>
        <w:rPr>
          <w:rFonts w:ascii="Calibri" w:hAnsi="Calibri" w:cs="Calibri"/>
          <w:sz w:val="24"/>
          <w:szCs w:val="24"/>
        </w:rPr>
      </w:pPr>
      <w:r w:rsidRPr="003F5941">
        <w:rPr>
          <w:rFonts w:ascii="Calibri" w:hAnsi="Calibri" w:cs="Times New Roman"/>
          <w:sz w:val="24"/>
          <w:szCs w:val="24"/>
        </w:rPr>
        <w:t xml:space="preserve">L’équipe cadre de district, sous la responsabilité du Médecin-Chef, est chargée de (i) </w:t>
      </w:r>
      <w:r w:rsidRPr="003F5941">
        <w:rPr>
          <w:rFonts w:ascii="Calibri" w:hAnsi="Calibri" w:cs="Calibri"/>
          <w:sz w:val="24"/>
          <w:szCs w:val="24"/>
        </w:rPr>
        <w:t>Elaborer les plans opérationnels, (ii) Elaborer les rapports de progrès et les bilans des plans d’action, (iii) Participer à la réalisation des audits</w:t>
      </w:r>
      <w:r w:rsidR="003F5941" w:rsidRPr="003F5941">
        <w:rPr>
          <w:rFonts w:ascii="Calibri" w:hAnsi="Calibri" w:cs="Calibri"/>
          <w:sz w:val="24"/>
          <w:szCs w:val="24"/>
        </w:rPr>
        <w:t xml:space="preserve"> et </w:t>
      </w:r>
      <w:r w:rsidRPr="003F5941">
        <w:rPr>
          <w:rFonts w:ascii="Calibri" w:hAnsi="Calibri" w:cs="Calibri"/>
          <w:sz w:val="24"/>
          <w:szCs w:val="24"/>
        </w:rPr>
        <w:t>des évaluations</w:t>
      </w:r>
      <w:r w:rsidR="003F5941" w:rsidRPr="003F5941">
        <w:rPr>
          <w:rFonts w:ascii="Calibri" w:hAnsi="Calibri" w:cs="Calibri"/>
          <w:sz w:val="24"/>
          <w:szCs w:val="24"/>
        </w:rPr>
        <w:t xml:space="preserve">, (iv) </w:t>
      </w:r>
      <w:r w:rsidRPr="003F5941">
        <w:rPr>
          <w:rFonts w:ascii="Calibri" w:hAnsi="Calibri" w:cs="Wingdings"/>
          <w:sz w:val="24"/>
          <w:szCs w:val="24"/>
        </w:rPr>
        <w:t>F</w:t>
      </w:r>
      <w:r w:rsidRPr="003F5941">
        <w:rPr>
          <w:rFonts w:ascii="Calibri" w:hAnsi="Calibri" w:cs="Calibri"/>
          <w:sz w:val="24"/>
          <w:szCs w:val="24"/>
        </w:rPr>
        <w:t>ournir des informations permettant de renseigner les indicateurs de suivi du DI.</w:t>
      </w:r>
    </w:p>
    <w:p w14:paraId="5ADA53B9" w14:textId="6969D6D3" w:rsidR="001D552D" w:rsidRDefault="001D552D" w:rsidP="00051B38">
      <w:pPr>
        <w:autoSpaceDE w:val="0"/>
        <w:autoSpaceDN w:val="0"/>
        <w:adjustRightInd w:val="0"/>
        <w:spacing w:after="0"/>
        <w:jc w:val="both"/>
        <w:rPr>
          <w:rFonts w:ascii="Calibri" w:hAnsi="Calibri" w:cs="Arial"/>
          <w:b/>
          <w:bCs/>
          <w:color w:val="000000"/>
          <w:sz w:val="23"/>
          <w:szCs w:val="23"/>
        </w:rPr>
      </w:pPr>
      <w:r>
        <w:rPr>
          <w:rFonts w:ascii="Calibri" w:hAnsi="Calibri" w:cs="Arial"/>
          <w:b/>
          <w:bCs/>
          <w:color w:val="000000"/>
          <w:sz w:val="23"/>
          <w:szCs w:val="23"/>
        </w:rPr>
        <w:t>Les acteurs communautaires auront pour rôle de</w:t>
      </w:r>
    </w:p>
    <w:p w14:paraId="1C634D46" w14:textId="687CB55A" w:rsidR="001D552D" w:rsidRPr="001D552D" w:rsidRDefault="001D552D" w:rsidP="00A97663">
      <w:pPr>
        <w:pStyle w:val="Paragraphedeliste"/>
        <w:numPr>
          <w:ilvl w:val="0"/>
          <w:numId w:val="83"/>
        </w:numPr>
        <w:autoSpaceDE w:val="0"/>
        <w:autoSpaceDN w:val="0"/>
        <w:adjustRightInd w:val="0"/>
        <w:spacing w:after="0"/>
        <w:jc w:val="both"/>
        <w:rPr>
          <w:rFonts w:ascii="Calibri" w:hAnsi="Calibri" w:cs="Arial"/>
          <w:bCs/>
          <w:color w:val="000000"/>
          <w:sz w:val="23"/>
          <w:szCs w:val="23"/>
        </w:rPr>
      </w:pPr>
      <w:r w:rsidRPr="001D552D">
        <w:rPr>
          <w:rFonts w:ascii="Calibri" w:hAnsi="Calibri" w:cs="Arial"/>
          <w:bCs/>
          <w:color w:val="000000"/>
          <w:sz w:val="23"/>
          <w:szCs w:val="23"/>
        </w:rPr>
        <w:t>Améliorer la couverture en interventions SRMNEA-N, de la pratique communautaire, pour les populations éloignées ou d’accès difficiles</w:t>
      </w:r>
      <w:r>
        <w:rPr>
          <w:rFonts w:ascii="Calibri" w:hAnsi="Calibri" w:cs="Arial"/>
          <w:bCs/>
          <w:color w:val="000000"/>
          <w:sz w:val="23"/>
          <w:szCs w:val="23"/>
        </w:rPr>
        <w:t> ;</w:t>
      </w:r>
    </w:p>
    <w:p w14:paraId="4AE97D6C" w14:textId="49CFDF9A" w:rsidR="001D552D" w:rsidRDefault="001D552D" w:rsidP="00A97663">
      <w:pPr>
        <w:pStyle w:val="Paragraphedeliste"/>
        <w:numPr>
          <w:ilvl w:val="0"/>
          <w:numId w:val="83"/>
        </w:numPr>
        <w:autoSpaceDE w:val="0"/>
        <w:autoSpaceDN w:val="0"/>
        <w:adjustRightInd w:val="0"/>
        <w:spacing w:after="0"/>
        <w:jc w:val="both"/>
        <w:rPr>
          <w:rFonts w:ascii="Calibri" w:hAnsi="Calibri" w:cs="Arial"/>
          <w:bCs/>
          <w:color w:val="000000"/>
          <w:sz w:val="23"/>
          <w:szCs w:val="23"/>
        </w:rPr>
      </w:pPr>
      <w:r w:rsidRPr="001D552D">
        <w:rPr>
          <w:rFonts w:ascii="Calibri" w:hAnsi="Calibri" w:cs="Arial"/>
          <w:bCs/>
          <w:color w:val="000000"/>
          <w:sz w:val="23"/>
          <w:szCs w:val="23"/>
        </w:rPr>
        <w:t>Promouvoir les comportements favorables à la santé par la levée de pesanteurs socio-culturelles</w:t>
      </w:r>
      <w:r>
        <w:rPr>
          <w:rFonts w:ascii="Calibri" w:hAnsi="Calibri" w:cs="Arial"/>
          <w:bCs/>
          <w:color w:val="000000"/>
          <w:sz w:val="23"/>
          <w:szCs w:val="23"/>
        </w:rPr>
        <w:t> ;</w:t>
      </w:r>
    </w:p>
    <w:p w14:paraId="625F520A" w14:textId="2F056F8F" w:rsidR="009C5CE7" w:rsidRDefault="001D552D" w:rsidP="00A97663">
      <w:pPr>
        <w:pStyle w:val="Paragraphedeliste"/>
        <w:numPr>
          <w:ilvl w:val="0"/>
          <w:numId w:val="83"/>
        </w:numPr>
        <w:autoSpaceDE w:val="0"/>
        <w:autoSpaceDN w:val="0"/>
        <w:adjustRightInd w:val="0"/>
        <w:spacing w:after="0"/>
        <w:jc w:val="both"/>
        <w:rPr>
          <w:rFonts w:ascii="Calibri" w:hAnsi="Calibri" w:cs="Arial"/>
          <w:bCs/>
          <w:color w:val="000000"/>
          <w:sz w:val="23"/>
          <w:szCs w:val="23"/>
        </w:rPr>
      </w:pPr>
      <w:r>
        <w:rPr>
          <w:rFonts w:ascii="Calibri" w:hAnsi="Calibri" w:cs="Arial"/>
          <w:bCs/>
          <w:color w:val="000000"/>
          <w:sz w:val="23"/>
          <w:szCs w:val="23"/>
        </w:rPr>
        <w:t>Améliorer la demande et l’utilisation de services SRMNEA par l’information</w:t>
      </w:r>
    </w:p>
    <w:p w14:paraId="7E95983D" w14:textId="77777777" w:rsidR="00A9046F" w:rsidRPr="001D552D" w:rsidRDefault="00A9046F" w:rsidP="00A9046F">
      <w:pPr>
        <w:pStyle w:val="Paragraphedeliste"/>
        <w:autoSpaceDE w:val="0"/>
        <w:autoSpaceDN w:val="0"/>
        <w:adjustRightInd w:val="0"/>
        <w:spacing w:after="0"/>
        <w:jc w:val="both"/>
        <w:rPr>
          <w:rFonts w:ascii="Calibri" w:hAnsi="Calibri" w:cs="Arial"/>
          <w:bCs/>
          <w:color w:val="000000"/>
          <w:sz w:val="23"/>
          <w:szCs w:val="23"/>
        </w:rPr>
      </w:pPr>
    </w:p>
    <w:p w14:paraId="54EAEFE6" w14:textId="7CF094A6" w:rsidR="00B05789" w:rsidRPr="00A9046F" w:rsidRDefault="00A9046F" w:rsidP="00A9046F">
      <w:pPr>
        <w:pStyle w:val="Paragraphedeliste"/>
        <w:numPr>
          <w:ilvl w:val="3"/>
          <w:numId w:val="2"/>
        </w:numPr>
        <w:autoSpaceDE w:val="0"/>
        <w:autoSpaceDN w:val="0"/>
        <w:adjustRightInd w:val="0"/>
        <w:spacing w:after="0"/>
        <w:jc w:val="both"/>
        <w:rPr>
          <w:rFonts w:ascii="Calibri" w:hAnsi="Calibri" w:cs="Arial"/>
          <w:b/>
          <w:bCs/>
          <w:color w:val="000000"/>
          <w:sz w:val="24"/>
          <w:szCs w:val="24"/>
        </w:rPr>
      </w:pPr>
      <w:r w:rsidRPr="00A9046F">
        <w:rPr>
          <w:rFonts w:ascii="Calibri" w:hAnsi="Calibri" w:cs="Arial"/>
          <w:b/>
          <w:bCs/>
          <w:color w:val="000000"/>
          <w:sz w:val="24"/>
          <w:szCs w:val="24"/>
        </w:rPr>
        <w:t xml:space="preserve"> </w:t>
      </w:r>
      <w:r w:rsidR="00B05789" w:rsidRPr="00A9046F">
        <w:rPr>
          <w:rFonts w:ascii="Calibri" w:hAnsi="Calibri" w:cs="Arial"/>
          <w:b/>
          <w:bCs/>
          <w:color w:val="000000"/>
          <w:sz w:val="24"/>
          <w:szCs w:val="24"/>
        </w:rPr>
        <w:t>A</w:t>
      </w:r>
      <w:r w:rsidRPr="00A9046F">
        <w:rPr>
          <w:rFonts w:ascii="Calibri" w:hAnsi="Calibri" w:cs="Arial"/>
          <w:b/>
          <w:bCs/>
          <w:color w:val="000000"/>
          <w:sz w:val="24"/>
          <w:szCs w:val="24"/>
        </w:rPr>
        <w:t>utres acteurs de la mise en œuvre en dehors du Gouvernement</w:t>
      </w:r>
    </w:p>
    <w:p w14:paraId="5895843A" w14:textId="0A2F932C" w:rsidR="00B05789" w:rsidRPr="00A9046F" w:rsidRDefault="00B05789" w:rsidP="00A9046F">
      <w:pPr>
        <w:autoSpaceDE w:val="0"/>
        <w:autoSpaceDN w:val="0"/>
        <w:adjustRightInd w:val="0"/>
        <w:spacing w:after="0"/>
        <w:jc w:val="both"/>
        <w:rPr>
          <w:rFonts w:ascii="Calibri" w:hAnsi="Calibri" w:cs="Arial"/>
          <w:b/>
          <w:bCs/>
          <w:color w:val="000000"/>
          <w:sz w:val="23"/>
          <w:szCs w:val="23"/>
        </w:rPr>
      </w:pPr>
      <w:r w:rsidRPr="00A9046F">
        <w:rPr>
          <w:rFonts w:ascii="Calibri" w:hAnsi="Calibri" w:cs="Arial"/>
          <w:b/>
          <w:bCs/>
          <w:color w:val="000000"/>
          <w:sz w:val="23"/>
          <w:szCs w:val="23"/>
        </w:rPr>
        <w:t>Le secteur privé</w:t>
      </w:r>
    </w:p>
    <w:p w14:paraId="4D31F45A" w14:textId="736F49DB" w:rsidR="00B05789" w:rsidRDefault="00B05789" w:rsidP="00051B38">
      <w:pPr>
        <w:autoSpaceDE w:val="0"/>
        <w:autoSpaceDN w:val="0"/>
        <w:adjustRightInd w:val="0"/>
        <w:spacing w:after="0"/>
        <w:jc w:val="both"/>
        <w:rPr>
          <w:rFonts w:ascii="Calibri" w:hAnsi="Calibri" w:cs="Arial"/>
          <w:bCs/>
          <w:color w:val="000000"/>
          <w:sz w:val="23"/>
          <w:szCs w:val="23"/>
        </w:rPr>
      </w:pPr>
      <w:r w:rsidRPr="005D29E9">
        <w:rPr>
          <w:rFonts w:ascii="Calibri" w:hAnsi="Calibri" w:cs="Arial"/>
          <w:bCs/>
          <w:color w:val="000000"/>
          <w:sz w:val="23"/>
          <w:szCs w:val="23"/>
        </w:rPr>
        <w:t xml:space="preserve">La contribution actuelle du secteur privé </w:t>
      </w:r>
      <w:r w:rsidR="005D29E9">
        <w:rPr>
          <w:rFonts w:ascii="Calibri" w:hAnsi="Calibri" w:cs="Arial"/>
          <w:bCs/>
          <w:color w:val="000000"/>
          <w:sz w:val="23"/>
          <w:szCs w:val="23"/>
        </w:rPr>
        <w:t xml:space="preserve">peut être un des leviers pour accroître la couverture de la population en interventions de SRMNEA-N. Un certain nombre de cadres pourraient être mieux exploités comme le conventionnement, la contractualisation ou l’achat stratégique. </w:t>
      </w:r>
    </w:p>
    <w:p w14:paraId="0F714B60" w14:textId="264943E0" w:rsidR="005D29E9" w:rsidRPr="00A9046F" w:rsidRDefault="005D29E9" w:rsidP="00A9046F">
      <w:pPr>
        <w:autoSpaceDE w:val="0"/>
        <w:autoSpaceDN w:val="0"/>
        <w:adjustRightInd w:val="0"/>
        <w:spacing w:after="0"/>
        <w:jc w:val="both"/>
        <w:rPr>
          <w:rFonts w:ascii="Calibri" w:hAnsi="Calibri" w:cs="Arial"/>
          <w:b/>
          <w:bCs/>
          <w:color w:val="000000"/>
          <w:sz w:val="23"/>
          <w:szCs w:val="23"/>
        </w:rPr>
      </w:pPr>
      <w:r w:rsidRPr="00A9046F">
        <w:rPr>
          <w:rFonts w:ascii="Calibri" w:hAnsi="Calibri" w:cs="Arial"/>
          <w:b/>
          <w:bCs/>
          <w:color w:val="000000"/>
          <w:sz w:val="23"/>
          <w:szCs w:val="23"/>
        </w:rPr>
        <w:t>La société civile</w:t>
      </w:r>
    </w:p>
    <w:p w14:paraId="1A264E71" w14:textId="6A825FC8" w:rsidR="00AD04E1" w:rsidRPr="008E2D45" w:rsidRDefault="005D29E9" w:rsidP="00051B38">
      <w:pPr>
        <w:autoSpaceDE w:val="0"/>
        <w:autoSpaceDN w:val="0"/>
        <w:adjustRightInd w:val="0"/>
        <w:spacing w:after="0"/>
        <w:jc w:val="both"/>
        <w:rPr>
          <w:rFonts w:ascii="Calibri" w:hAnsi="Calibri" w:cs="Arial"/>
          <w:bCs/>
          <w:color w:val="000000"/>
          <w:sz w:val="23"/>
          <w:szCs w:val="23"/>
        </w:rPr>
      </w:pPr>
      <w:r>
        <w:rPr>
          <w:rFonts w:ascii="Calibri" w:hAnsi="Calibri" w:cs="Arial"/>
          <w:bCs/>
          <w:color w:val="000000"/>
          <w:sz w:val="23"/>
          <w:szCs w:val="23"/>
        </w:rPr>
        <w:t>L</w:t>
      </w:r>
      <w:r w:rsidR="00AD04E1">
        <w:rPr>
          <w:rFonts w:ascii="Calibri" w:hAnsi="Calibri" w:cs="Arial"/>
          <w:bCs/>
          <w:color w:val="000000"/>
          <w:sz w:val="23"/>
          <w:szCs w:val="23"/>
        </w:rPr>
        <w:t>’implica</w:t>
      </w:r>
      <w:r>
        <w:rPr>
          <w:rFonts w:ascii="Calibri" w:hAnsi="Calibri" w:cs="Arial"/>
          <w:bCs/>
          <w:color w:val="000000"/>
          <w:sz w:val="23"/>
          <w:szCs w:val="23"/>
        </w:rPr>
        <w:t xml:space="preserve">tion de la société civile </w:t>
      </w:r>
      <w:r w:rsidR="00AD04E1">
        <w:rPr>
          <w:rFonts w:ascii="Calibri" w:hAnsi="Calibri" w:cs="Arial"/>
          <w:bCs/>
          <w:color w:val="000000"/>
          <w:sz w:val="23"/>
          <w:szCs w:val="23"/>
        </w:rPr>
        <w:t>sera</w:t>
      </w:r>
      <w:r>
        <w:rPr>
          <w:rFonts w:ascii="Calibri" w:hAnsi="Calibri" w:cs="Arial"/>
          <w:bCs/>
          <w:color w:val="000000"/>
          <w:sz w:val="23"/>
          <w:szCs w:val="23"/>
        </w:rPr>
        <w:t xml:space="preserve"> important</w:t>
      </w:r>
      <w:r w:rsidR="00AD04E1">
        <w:rPr>
          <w:rFonts w:ascii="Calibri" w:hAnsi="Calibri" w:cs="Arial"/>
          <w:bCs/>
          <w:color w:val="000000"/>
          <w:sz w:val="23"/>
          <w:szCs w:val="23"/>
        </w:rPr>
        <w:t>e</w:t>
      </w:r>
      <w:r>
        <w:rPr>
          <w:rFonts w:ascii="Calibri" w:hAnsi="Calibri" w:cs="Arial"/>
          <w:bCs/>
          <w:color w:val="000000"/>
          <w:sz w:val="23"/>
          <w:szCs w:val="23"/>
        </w:rPr>
        <w:t xml:space="preserve"> en particulier dans les </w:t>
      </w:r>
      <w:r w:rsidR="00AD04E1">
        <w:rPr>
          <w:rFonts w:ascii="Calibri" w:hAnsi="Calibri" w:cs="Arial"/>
          <w:bCs/>
          <w:color w:val="000000"/>
          <w:sz w:val="23"/>
          <w:szCs w:val="23"/>
        </w:rPr>
        <w:t>aspects</w:t>
      </w:r>
      <w:r>
        <w:rPr>
          <w:rFonts w:ascii="Calibri" w:hAnsi="Calibri" w:cs="Arial"/>
          <w:bCs/>
          <w:color w:val="000000"/>
          <w:sz w:val="23"/>
          <w:szCs w:val="23"/>
        </w:rPr>
        <w:t xml:space="preserve"> suivants</w:t>
      </w:r>
      <w:r w:rsidR="00AD04E1">
        <w:rPr>
          <w:rFonts w:ascii="Calibri" w:hAnsi="Calibri" w:cs="Arial"/>
          <w:bCs/>
          <w:color w:val="000000"/>
          <w:sz w:val="23"/>
          <w:szCs w:val="23"/>
        </w:rPr>
        <w:t> :</w:t>
      </w:r>
      <w:r w:rsidR="008E2D45">
        <w:rPr>
          <w:rFonts w:ascii="Calibri" w:hAnsi="Calibri" w:cs="Arial"/>
          <w:bCs/>
          <w:color w:val="000000"/>
          <w:sz w:val="23"/>
          <w:szCs w:val="23"/>
        </w:rPr>
        <w:t xml:space="preserve"> (i) l</w:t>
      </w:r>
      <w:r w:rsidR="00AD04E1" w:rsidRPr="008E2D45">
        <w:rPr>
          <w:rFonts w:ascii="Calibri" w:hAnsi="Calibri" w:cs="Calibri"/>
        </w:rPr>
        <w:t>’amélioration de l’offre de services</w:t>
      </w:r>
      <w:r w:rsidR="00842C38" w:rsidRPr="008E2D45">
        <w:rPr>
          <w:rFonts w:ascii="Calibri" w:hAnsi="Calibri" w:cs="Calibri"/>
        </w:rPr>
        <w:t xml:space="preserve"> en </w:t>
      </w:r>
      <w:r w:rsidR="008E2D45" w:rsidRPr="008E2D45">
        <w:rPr>
          <w:rFonts w:ascii="Calibri" w:hAnsi="Calibri" w:cs="Calibri"/>
        </w:rPr>
        <w:t>particulier au</w:t>
      </w:r>
      <w:r w:rsidR="00AD04E1" w:rsidRPr="008E2D45">
        <w:rPr>
          <w:rFonts w:ascii="Calibri" w:hAnsi="Calibri" w:cs="Calibri"/>
        </w:rPr>
        <w:t xml:space="preserve"> niveau des zones défavorisées ou d’accès difficile</w:t>
      </w:r>
      <w:r w:rsidR="008E2D45">
        <w:rPr>
          <w:rFonts w:ascii="Calibri" w:hAnsi="Calibri" w:cs="Calibri"/>
        </w:rPr>
        <w:t>, (ii)</w:t>
      </w:r>
      <w:r w:rsidR="00AD04E1" w:rsidRPr="008E2D45">
        <w:rPr>
          <w:rFonts w:ascii="Calibri" w:hAnsi="Calibri" w:cs="Calibri"/>
        </w:rPr>
        <w:t xml:space="preserve"> </w:t>
      </w:r>
      <w:r w:rsidR="008E2D45">
        <w:rPr>
          <w:rFonts w:ascii="Calibri" w:hAnsi="Calibri" w:cs="Arial"/>
          <w:bCs/>
          <w:color w:val="000000"/>
          <w:sz w:val="23"/>
          <w:szCs w:val="23"/>
        </w:rPr>
        <w:t>l</w:t>
      </w:r>
      <w:r w:rsidR="00AD04E1" w:rsidRPr="008E2D45">
        <w:rPr>
          <w:rFonts w:ascii="Calibri" w:hAnsi="Calibri" w:cs="Calibri"/>
        </w:rPr>
        <w:t>a mobilisation pour créer d’un environnement favorable à la SRMNIA</w:t>
      </w:r>
      <w:r w:rsidR="008E2D45">
        <w:rPr>
          <w:rFonts w:ascii="Calibri" w:hAnsi="Calibri" w:cs="Calibri"/>
        </w:rPr>
        <w:t>-N, (iii) l</w:t>
      </w:r>
      <w:r w:rsidR="00AD04E1" w:rsidRPr="008E2D45">
        <w:rPr>
          <w:rFonts w:ascii="Calibri" w:hAnsi="Calibri" w:cs="Calibri"/>
        </w:rPr>
        <w:t>a veille citoyenne pour le suivi et le contrôle de l’effectivité des engagements pris par les différents acteurs, le niveau de satisfaction des populations et le respect des droits des populations pauvres défavorisées</w:t>
      </w:r>
      <w:r w:rsidR="008E2D45">
        <w:rPr>
          <w:rFonts w:ascii="Calibri" w:hAnsi="Calibri" w:cs="Calibri"/>
        </w:rPr>
        <w:t xml:space="preserve"> et (iv) l</w:t>
      </w:r>
      <w:r w:rsidR="00AD04E1" w:rsidRPr="008E2D45">
        <w:rPr>
          <w:rFonts w:ascii="Calibri" w:hAnsi="Calibri" w:cs="Calibri"/>
        </w:rPr>
        <w:t xml:space="preserve">a mobilisation des ressources locales </w:t>
      </w:r>
      <w:r w:rsidR="001D552D" w:rsidRPr="008E2D45">
        <w:rPr>
          <w:rFonts w:ascii="Calibri" w:hAnsi="Calibri" w:cs="Calibri"/>
        </w:rPr>
        <w:t xml:space="preserve">ou </w:t>
      </w:r>
      <w:r w:rsidR="00AD04E1" w:rsidRPr="008E2D45">
        <w:rPr>
          <w:rFonts w:ascii="Calibri" w:hAnsi="Calibri" w:cs="Calibri"/>
        </w:rPr>
        <w:t>externes dans la mise en œuvre du dossier d’Investissement.</w:t>
      </w:r>
    </w:p>
    <w:p w14:paraId="6EE6A644" w14:textId="318364E9" w:rsidR="008E2D45" w:rsidRPr="00A9046F" w:rsidRDefault="008E2D45" w:rsidP="00A9046F">
      <w:pPr>
        <w:autoSpaceDE w:val="0"/>
        <w:autoSpaceDN w:val="0"/>
        <w:adjustRightInd w:val="0"/>
        <w:spacing w:after="0"/>
        <w:jc w:val="both"/>
        <w:rPr>
          <w:rFonts w:ascii="Calibri" w:hAnsi="Calibri" w:cs="Arial"/>
          <w:b/>
          <w:bCs/>
          <w:color w:val="000000"/>
          <w:sz w:val="23"/>
          <w:szCs w:val="23"/>
        </w:rPr>
      </w:pPr>
      <w:r w:rsidRPr="00A9046F">
        <w:rPr>
          <w:rFonts w:ascii="Calibri" w:hAnsi="Calibri" w:cs="Arial"/>
          <w:b/>
          <w:bCs/>
          <w:color w:val="000000"/>
          <w:sz w:val="23"/>
          <w:szCs w:val="23"/>
        </w:rPr>
        <w:t>Les partenaires techniques et financiers</w:t>
      </w:r>
    </w:p>
    <w:p w14:paraId="18C2FDBD" w14:textId="7B4FA4E9" w:rsidR="008E2D45" w:rsidRPr="008E2D45" w:rsidRDefault="008E2D45" w:rsidP="00A9046F">
      <w:pPr>
        <w:autoSpaceDE w:val="0"/>
        <w:autoSpaceDN w:val="0"/>
        <w:adjustRightInd w:val="0"/>
        <w:jc w:val="both"/>
        <w:rPr>
          <w:rFonts w:ascii="Calibri" w:hAnsi="Calibri" w:cs="Calibri"/>
        </w:rPr>
      </w:pPr>
      <w:r>
        <w:rPr>
          <w:rFonts w:ascii="Calibri" w:hAnsi="Calibri" w:cs="Calibri"/>
        </w:rPr>
        <w:t>Les PTF auront pour rôle</w:t>
      </w:r>
      <w:r w:rsidR="00062F92">
        <w:rPr>
          <w:rFonts w:ascii="Calibri" w:hAnsi="Calibri" w:cs="Calibri"/>
        </w:rPr>
        <w:t xml:space="preserve"> de</w:t>
      </w:r>
      <w:r>
        <w:rPr>
          <w:rFonts w:ascii="Calibri" w:hAnsi="Calibri" w:cs="Calibri"/>
        </w:rPr>
        <w:t xml:space="preserve"> (i)</w:t>
      </w:r>
      <w:r w:rsidR="00062F92">
        <w:rPr>
          <w:rFonts w:ascii="Calibri" w:hAnsi="Calibri" w:cs="Calibri"/>
        </w:rPr>
        <w:t xml:space="preserve"> s’aligner sur les priorités du DI, (ii) </w:t>
      </w:r>
      <w:r>
        <w:rPr>
          <w:rFonts w:ascii="Calibri" w:hAnsi="Calibri" w:cs="Calibri"/>
        </w:rPr>
        <w:t>accompagner le gouvernement dans son plaidoyer pour la mobilisation des ressources techniques et financières pour la mise en œuvre du DI, (i</w:t>
      </w:r>
      <w:r w:rsidR="00062F92">
        <w:rPr>
          <w:rFonts w:ascii="Calibri" w:hAnsi="Calibri" w:cs="Calibri"/>
        </w:rPr>
        <w:t>i</w:t>
      </w:r>
      <w:r>
        <w:rPr>
          <w:rFonts w:ascii="Calibri" w:hAnsi="Calibri" w:cs="Calibri"/>
        </w:rPr>
        <w:t xml:space="preserve">i) </w:t>
      </w:r>
      <w:r w:rsidR="00062F92">
        <w:rPr>
          <w:rFonts w:ascii="Calibri" w:hAnsi="Calibri" w:cs="Calibri"/>
        </w:rPr>
        <w:t>honor</w:t>
      </w:r>
      <w:r>
        <w:rPr>
          <w:rFonts w:ascii="Calibri" w:hAnsi="Calibri" w:cs="Calibri"/>
        </w:rPr>
        <w:t>er leurs engagements en respectant les volumes, l’échéancier et la prévisibilité des ressources annoncées</w:t>
      </w:r>
      <w:r w:rsidR="00062F92">
        <w:rPr>
          <w:rFonts w:ascii="Calibri" w:hAnsi="Calibri" w:cs="Calibri"/>
        </w:rPr>
        <w:t xml:space="preserve"> et</w:t>
      </w:r>
      <w:r>
        <w:rPr>
          <w:rFonts w:ascii="Calibri" w:hAnsi="Calibri" w:cs="Calibri"/>
        </w:rPr>
        <w:t xml:space="preserve"> (i</w:t>
      </w:r>
      <w:r w:rsidR="00062F92">
        <w:rPr>
          <w:rFonts w:ascii="Calibri" w:hAnsi="Calibri" w:cs="Calibri"/>
        </w:rPr>
        <w:t>v</w:t>
      </w:r>
      <w:r>
        <w:rPr>
          <w:rFonts w:ascii="Calibri" w:hAnsi="Calibri" w:cs="Calibri"/>
        </w:rPr>
        <w:t xml:space="preserve">) participer aux exercices </w:t>
      </w:r>
      <w:r w:rsidR="00062F92">
        <w:rPr>
          <w:rFonts w:ascii="Calibri" w:hAnsi="Calibri" w:cs="Calibri"/>
        </w:rPr>
        <w:t xml:space="preserve">de suivi et </w:t>
      </w:r>
      <w:r>
        <w:rPr>
          <w:rFonts w:ascii="Calibri" w:hAnsi="Calibri" w:cs="Calibri"/>
        </w:rPr>
        <w:t>d’évaluations dans le cadre de la redevabilité</w:t>
      </w:r>
      <w:r w:rsidR="00062F92">
        <w:rPr>
          <w:rFonts w:ascii="Calibri" w:hAnsi="Calibri" w:cs="Calibri"/>
        </w:rPr>
        <w:t>.</w:t>
      </w:r>
    </w:p>
    <w:p w14:paraId="3350A6C8" w14:textId="35D72F95" w:rsidR="00040322" w:rsidRPr="00A9046F" w:rsidRDefault="00040322" w:rsidP="00A9046F">
      <w:pPr>
        <w:pStyle w:val="Paragraphedeliste"/>
        <w:numPr>
          <w:ilvl w:val="2"/>
          <w:numId w:val="2"/>
        </w:numPr>
        <w:autoSpaceDE w:val="0"/>
        <w:autoSpaceDN w:val="0"/>
        <w:adjustRightInd w:val="0"/>
        <w:spacing w:after="0"/>
        <w:jc w:val="both"/>
        <w:rPr>
          <w:rFonts w:ascii="Calibri" w:hAnsi="Calibri" w:cs="Arial"/>
          <w:b/>
          <w:bCs/>
          <w:color w:val="000000"/>
          <w:sz w:val="23"/>
          <w:szCs w:val="23"/>
        </w:rPr>
      </w:pPr>
      <w:r w:rsidRPr="00A9046F">
        <w:rPr>
          <w:rFonts w:cstheme="minorHAnsi"/>
          <w:b/>
        </w:rPr>
        <w:t>L’exécution technique et financière</w:t>
      </w:r>
      <w:r w:rsidRPr="00A9046F">
        <w:rPr>
          <w:rFonts w:ascii="Calibri" w:hAnsi="Calibri" w:cs="Arial"/>
          <w:b/>
          <w:bCs/>
          <w:color w:val="000000"/>
          <w:sz w:val="23"/>
          <w:szCs w:val="23"/>
        </w:rPr>
        <w:t xml:space="preserve"> </w:t>
      </w:r>
    </w:p>
    <w:p w14:paraId="05B0EFA8" w14:textId="447ABF4D" w:rsidR="00040322" w:rsidRPr="00A9046F" w:rsidRDefault="00040322" w:rsidP="00A9046F">
      <w:pPr>
        <w:pStyle w:val="Paragraphedeliste"/>
        <w:numPr>
          <w:ilvl w:val="3"/>
          <w:numId w:val="2"/>
        </w:numPr>
        <w:autoSpaceDE w:val="0"/>
        <w:autoSpaceDN w:val="0"/>
        <w:adjustRightInd w:val="0"/>
        <w:spacing w:after="0"/>
        <w:jc w:val="both"/>
        <w:rPr>
          <w:rFonts w:ascii="Calibri" w:hAnsi="Calibri" w:cs="Arial"/>
          <w:b/>
          <w:bCs/>
          <w:color w:val="000000"/>
          <w:sz w:val="23"/>
          <w:szCs w:val="23"/>
        </w:rPr>
      </w:pPr>
      <w:r w:rsidRPr="00A9046F">
        <w:rPr>
          <w:rFonts w:ascii="Calibri" w:hAnsi="Calibri" w:cs="Arial"/>
          <w:b/>
          <w:bCs/>
          <w:color w:val="000000"/>
          <w:sz w:val="23"/>
          <w:szCs w:val="23"/>
        </w:rPr>
        <w:t>Planification</w:t>
      </w:r>
    </w:p>
    <w:p w14:paraId="03195607" w14:textId="2564E1EE" w:rsidR="00040322" w:rsidRPr="00C931D5" w:rsidRDefault="00040322" w:rsidP="00051B38">
      <w:pPr>
        <w:pStyle w:val="En-tte"/>
        <w:tabs>
          <w:tab w:val="clear" w:pos="4536"/>
          <w:tab w:val="clear" w:pos="9072"/>
        </w:tabs>
        <w:spacing w:line="276" w:lineRule="auto"/>
        <w:rPr>
          <w:rFonts w:asciiTheme="minorHAnsi" w:hAnsiTheme="minorHAnsi" w:cstheme="minorHAnsi"/>
        </w:rPr>
      </w:pPr>
      <w:r w:rsidRPr="007471DF">
        <w:rPr>
          <w:rFonts w:asciiTheme="minorHAnsi" w:hAnsiTheme="minorHAnsi" w:cstheme="minorHAnsi"/>
        </w:rPr>
        <w:t>La planification</w:t>
      </w:r>
      <w:r>
        <w:rPr>
          <w:rFonts w:asciiTheme="minorHAnsi" w:hAnsiTheme="minorHAnsi" w:cstheme="minorHAnsi"/>
        </w:rPr>
        <w:t xml:space="preserve"> pour la</w:t>
      </w:r>
      <w:r w:rsidRPr="00D67D16">
        <w:rPr>
          <w:rFonts w:asciiTheme="minorHAnsi" w:hAnsiTheme="minorHAnsi" w:cstheme="minorHAnsi"/>
        </w:rPr>
        <w:t xml:space="preserve"> mise en œuvre </w:t>
      </w:r>
      <w:r>
        <w:rPr>
          <w:rFonts w:cs="Arial"/>
          <w:bCs/>
          <w:color w:val="000000"/>
          <w:sz w:val="23"/>
          <w:szCs w:val="23"/>
        </w:rPr>
        <w:t>de l</w:t>
      </w:r>
      <w:r w:rsidRPr="00536EA8">
        <w:rPr>
          <w:rFonts w:cs="Arial"/>
          <w:bCs/>
          <w:color w:val="000000"/>
          <w:sz w:val="23"/>
          <w:szCs w:val="23"/>
        </w:rPr>
        <w:t xml:space="preserve">a stratégie de réduction de la morbidité et de la mortalité maternelle, néo-natale, infanto-juvénile et de l’adolescent/jeunes </w:t>
      </w:r>
      <w:r>
        <w:rPr>
          <w:rFonts w:asciiTheme="minorHAnsi" w:hAnsiTheme="minorHAnsi" w:cstheme="minorHAnsi"/>
        </w:rPr>
        <w:t xml:space="preserve">sera basée sur l’approche Gestion axée sur les résultats (GAR) et </w:t>
      </w:r>
      <w:r w:rsidRPr="00D67D16">
        <w:rPr>
          <w:rFonts w:asciiTheme="minorHAnsi" w:hAnsiTheme="minorHAnsi" w:cstheme="minorHAnsi"/>
        </w:rPr>
        <w:t>se fera à travers</w:t>
      </w:r>
      <w:r>
        <w:rPr>
          <w:rFonts w:asciiTheme="minorHAnsi" w:hAnsiTheme="minorHAnsi" w:cstheme="minorHAnsi"/>
        </w:rPr>
        <w:t xml:space="preserve"> </w:t>
      </w:r>
      <w:r w:rsidR="00842C38">
        <w:rPr>
          <w:rFonts w:asciiTheme="minorHAnsi" w:hAnsiTheme="minorHAnsi" w:cstheme="minorHAnsi"/>
        </w:rPr>
        <w:t>essentiellement deux outils de planification adoptés par le secteur santé au Burkina à savoir (i) la planification triennale glissante et (ii) l</w:t>
      </w:r>
      <w:r>
        <w:rPr>
          <w:rFonts w:asciiTheme="minorHAnsi" w:hAnsiTheme="minorHAnsi" w:cstheme="minorHAnsi"/>
        </w:rPr>
        <w:t>es plans annuels d’action à tous les niveaux,</w:t>
      </w:r>
      <w:r w:rsidRPr="00D67D16">
        <w:rPr>
          <w:rFonts w:asciiTheme="minorHAnsi" w:hAnsiTheme="minorHAnsi" w:cstheme="minorHAnsi"/>
        </w:rPr>
        <w:t xml:space="preserve"> les projets d’établissement des hôpitaux</w:t>
      </w:r>
      <w:r>
        <w:rPr>
          <w:rFonts w:asciiTheme="minorHAnsi" w:hAnsiTheme="minorHAnsi" w:cstheme="minorHAnsi"/>
        </w:rPr>
        <w:t>.</w:t>
      </w:r>
    </w:p>
    <w:p w14:paraId="381B13E8" w14:textId="347A1DB3" w:rsidR="00040322" w:rsidRPr="0013040C" w:rsidRDefault="00040322" w:rsidP="00A9046F">
      <w:pPr>
        <w:pStyle w:val="Paragraphedeliste"/>
        <w:numPr>
          <w:ilvl w:val="3"/>
          <w:numId w:val="2"/>
        </w:numPr>
        <w:spacing w:after="120"/>
        <w:rPr>
          <w:rFonts w:cstheme="minorHAnsi"/>
          <w:b/>
        </w:rPr>
      </w:pPr>
      <w:r w:rsidRPr="0013040C">
        <w:rPr>
          <w:rFonts w:cstheme="minorHAnsi"/>
          <w:b/>
        </w:rPr>
        <w:t>Exécution technique</w:t>
      </w:r>
    </w:p>
    <w:p w14:paraId="01D78F8A" w14:textId="4202B9C2" w:rsidR="00040322" w:rsidRPr="00FA37A7" w:rsidRDefault="00040322" w:rsidP="00051B38">
      <w:pPr>
        <w:spacing w:after="120"/>
        <w:rPr>
          <w:rFonts w:cstheme="minorHAnsi"/>
        </w:rPr>
      </w:pPr>
      <w:r w:rsidRPr="00FA37A7">
        <w:rPr>
          <w:rFonts w:cstheme="minorHAnsi"/>
        </w:rPr>
        <w:t>Le</w:t>
      </w:r>
      <w:r w:rsidR="0013040C">
        <w:rPr>
          <w:rFonts w:cstheme="minorHAnsi"/>
        </w:rPr>
        <w:t>s</w:t>
      </w:r>
      <w:r w:rsidRPr="00FA37A7">
        <w:rPr>
          <w:rFonts w:cstheme="minorHAnsi"/>
        </w:rPr>
        <w:t xml:space="preserve"> responsable</w:t>
      </w:r>
      <w:r w:rsidR="0013040C">
        <w:rPr>
          <w:rFonts w:cstheme="minorHAnsi"/>
        </w:rPr>
        <w:t xml:space="preserve">s techniques aux différents niveaux vérifient l’alignement des plans opérationnels sur la stratégie, </w:t>
      </w:r>
      <w:r w:rsidR="0013040C" w:rsidRPr="00FA37A7">
        <w:rPr>
          <w:rFonts w:cstheme="minorHAnsi"/>
        </w:rPr>
        <w:t>identifient</w:t>
      </w:r>
      <w:r w:rsidR="0013040C">
        <w:rPr>
          <w:rFonts w:cstheme="minorHAnsi"/>
        </w:rPr>
        <w:t xml:space="preserve"> les</w:t>
      </w:r>
      <w:r>
        <w:rPr>
          <w:rFonts w:cstheme="minorHAnsi"/>
        </w:rPr>
        <w:t xml:space="preserve"> progrès et les goulots d’étranglement dans l</w:t>
      </w:r>
      <w:r w:rsidRPr="006F602F">
        <w:rPr>
          <w:rFonts w:cstheme="minorHAnsi"/>
        </w:rPr>
        <w:t>’</w:t>
      </w:r>
      <w:r w:rsidRPr="00FA37A7">
        <w:rPr>
          <w:rFonts w:cstheme="minorHAnsi"/>
        </w:rPr>
        <w:t>e</w:t>
      </w:r>
      <w:r>
        <w:rPr>
          <w:rFonts w:cstheme="minorHAnsi"/>
        </w:rPr>
        <w:t>xécution des activités dans un rapport qui sera présenté au CSD.</w:t>
      </w:r>
    </w:p>
    <w:p w14:paraId="45AA55F5" w14:textId="3F04FBE2" w:rsidR="00040322" w:rsidRPr="00534889" w:rsidRDefault="00040322" w:rsidP="00051B38">
      <w:pPr>
        <w:spacing w:after="120"/>
        <w:rPr>
          <w:rFonts w:cstheme="minorHAnsi"/>
          <w:sz w:val="24"/>
          <w:szCs w:val="24"/>
        </w:rPr>
      </w:pPr>
      <w:r w:rsidRPr="00534889">
        <w:rPr>
          <w:rFonts w:cstheme="minorHAnsi"/>
          <w:sz w:val="24"/>
          <w:szCs w:val="24"/>
        </w:rPr>
        <w:lastRenderedPageBreak/>
        <w:t>Les équipes cadre de district coordonnent mensuellement avec les collectivités locales</w:t>
      </w:r>
      <w:r w:rsidR="0013040C" w:rsidRPr="00534889">
        <w:rPr>
          <w:rFonts w:cstheme="minorHAnsi"/>
          <w:sz w:val="24"/>
          <w:szCs w:val="24"/>
        </w:rPr>
        <w:t xml:space="preserve"> et les acteurs communautaires</w:t>
      </w:r>
      <w:r w:rsidRPr="00534889">
        <w:rPr>
          <w:rFonts w:cstheme="minorHAnsi"/>
          <w:sz w:val="24"/>
          <w:szCs w:val="24"/>
        </w:rPr>
        <w:t>, la répartition des tâches logistiques, de gestion de personnel, de financement.</w:t>
      </w:r>
    </w:p>
    <w:p w14:paraId="32B07405" w14:textId="77777777" w:rsidR="00040322" w:rsidRPr="00534889" w:rsidRDefault="00040322" w:rsidP="00A9046F">
      <w:pPr>
        <w:pStyle w:val="Paragraphedeliste"/>
        <w:numPr>
          <w:ilvl w:val="3"/>
          <w:numId w:val="2"/>
        </w:numPr>
        <w:spacing w:after="120"/>
        <w:rPr>
          <w:rFonts w:cstheme="minorHAnsi"/>
          <w:b/>
          <w:sz w:val="24"/>
          <w:szCs w:val="24"/>
        </w:rPr>
      </w:pPr>
      <w:r w:rsidRPr="00534889">
        <w:rPr>
          <w:rFonts w:cstheme="minorHAnsi"/>
          <w:b/>
          <w:sz w:val="24"/>
          <w:szCs w:val="24"/>
        </w:rPr>
        <w:t xml:space="preserve">Exécution financière </w:t>
      </w:r>
    </w:p>
    <w:p w14:paraId="5CA49AC0" w14:textId="544E3A67" w:rsidR="00062F92" w:rsidRPr="00534889" w:rsidRDefault="000F5A63" w:rsidP="00051B38">
      <w:pPr>
        <w:spacing w:after="120"/>
        <w:rPr>
          <w:rFonts w:ascii="Calibri" w:hAnsi="Calibri" w:cs="Arial"/>
          <w:b/>
          <w:bCs/>
          <w:color w:val="000000"/>
          <w:sz w:val="24"/>
          <w:szCs w:val="24"/>
        </w:rPr>
      </w:pPr>
      <w:r w:rsidRPr="00534889">
        <w:rPr>
          <w:rFonts w:cstheme="minorHAnsi"/>
          <w:sz w:val="24"/>
          <w:szCs w:val="24"/>
        </w:rPr>
        <w:t>Dans l’attente d’une orientation du CSD, les différentes modalités de financement, sur la table p</w:t>
      </w:r>
      <w:r w:rsidR="00040322" w:rsidRPr="00534889">
        <w:rPr>
          <w:rFonts w:cstheme="minorHAnsi"/>
          <w:sz w:val="24"/>
          <w:szCs w:val="24"/>
        </w:rPr>
        <w:t>our l’exécution financière</w:t>
      </w:r>
      <w:r w:rsidR="00842C38" w:rsidRPr="00534889">
        <w:rPr>
          <w:rFonts w:cstheme="minorHAnsi"/>
          <w:sz w:val="24"/>
          <w:szCs w:val="24"/>
        </w:rPr>
        <w:t xml:space="preserve"> du DI</w:t>
      </w:r>
      <w:r w:rsidRPr="00534889">
        <w:rPr>
          <w:rFonts w:cstheme="minorHAnsi"/>
          <w:sz w:val="24"/>
          <w:szCs w:val="24"/>
        </w:rPr>
        <w:t>, sont présentée avec leurs avantages et inconv</w:t>
      </w:r>
      <w:r w:rsidR="00051B38" w:rsidRPr="00534889">
        <w:rPr>
          <w:rFonts w:cstheme="minorHAnsi"/>
          <w:sz w:val="24"/>
          <w:szCs w:val="24"/>
        </w:rPr>
        <w:t>énients</w:t>
      </w:r>
      <w:r w:rsidR="00051B38" w:rsidRPr="00534889">
        <w:rPr>
          <w:rStyle w:val="Appelnotedebasdep"/>
          <w:rFonts w:cstheme="minorHAnsi"/>
          <w:sz w:val="24"/>
          <w:szCs w:val="24"/>
        </w:rPr>
        <w:footnoteReference w:id="93"/>
      </w:r>
      <w:r w:rsidR="00062F92" w:rsidRPr="00534889">
        <w:rPr>
          <w:rFonts w:ascii="Calibri" w:hAnsi="Calibri" w:cs="Arial"/>
          <w:b/>
          <w:bCs/>
          <w:color w:val="000000"/>
          <w:sz w:val="24"/>
          <w:szCs w:val="24"/>
        </w:rPr>
        <w:t>.</w:t>
      </w:r>
    </w:p>
    <w:p w14:paraId="582375A1" w14:textId="5D1B7A96" w:rsidR="00051B38" w:rsidRPr="00534889" w:rsidRDefault="00051B38" w:rsidP="00051B38">
      <w:pPr>
        <w:spacing w:after="0"/>
        <w:rPr>
          <w:rFonts w:ascii="Calibri" w:hAnsi="Calibri" w:cs="Arial"/>
          <w:b/>
          <w:bCs/>
          <w:color w:val="000000"/>
          <w:sz w:val="24"/>
          <w:szCs w:val="24"/>
        </w:rPr>
      </w:pPr>
      <w:r w:rsidRPr="00534889">
        <w:rPr>
          <w:rFonts w:ascii="Calibri" w:hAnsi="Calibri" w:cs="Arial"/>
          <w:b/>
          <w:bCs/>
          <w:color w:val="000000"/>
          <w:sz w:val="24"/>
          <w:szCs w:val="24"/>
        </w:rPr>
        <w:t>Budget de l’Etat</w:t>
      </w:r>
    </w:p>
    <w:p w14:paraId="24938DC0" w14:textId="73484AB3" w:rsidR="000F5A63" w:rsidRPr="00534889" w:rsidRDefault="000F5A63" w:rsidP="00051B38">
      <w:pPr>
        <w:spacing w:after="0"/>
        <w:jc w:val="both"/>
        <w:rPr>
          <w:rFonts w:cs="Arial"/>
          <w:b/>
          <w:i/>
          <w:sz w:val="24"/>
          <w:szCs w:val="24"/>
        </w:rPr>
      </w:pPr>
      <w:r w:rsidRPr="00534889">
        <w:rPr>
          <w:rFonts w:cs="Arial"/>
          <w:sz w:val="24"/>
          <w:szCs w:val="24"/>
        </w:rPr>
        <w:t>Le budget de l’état</w:t>
      </w:r>
      <w:r w:rsidRPr="00534889">
        <w:rPr>
          <w:rFonts w:cs="Arial"/>
          <w:b/>
          <w:i/>
          <w:sz w:val="24"/>
          <w:szCs w:val="24"/>
        </w:rPr>
        <w:t xml:space="preserve"> </w:t>
      </w:r>
      <w:r w:rsidRPr="00534889">
        <w:rPr>
          <w:rFonts w:cs="Arial"/>
          <w:sz w:val="24"/>
          <w:szCs w:val="24"/>
        </w:rPr>
        <w:t>montre</w:t>
      </w:r>
      <w:r w:rsidRPr="00534889">
        <w:rPr>
          <w:rFonts w:cs="Arial"/>
          <w:b/>
          <w:i/>
          <w:sz w:val="24"/>
          <w:szCs w:val="24"/>
        </w:rPr>
        <w:t xml:space="preserve"> </w:t>
      </w:r>
      <w:r w:rsidRPr="00534889">
        <w:rPr>
          <w:rFonts w:cs="Arial"/>
          <w:sz w:val="24"/>
          <w:szCs w:val="24"/>
        </w:rPr>
        <w:t xml:space="preserve">de grands écarts entre les dotations et les paiements effectifs pouvant </w:t>
      </w:r>
      <w:r w:rsidR="00051B38" w:rsidRPr="00534889">
        <w:rPr>
          <w:rFonts w:cs="Arial"/>
          <w:sz w:val="24"/>
          <w:szCs w:val="24"/>
        </w:rPr>
        <w:t>atteindre</w:t>
      </w:r>
      <w:r w:rsidRPr="00534889">
        <w:rPr>
          <w:rFonts w:cs="Arial"/>
          <w:sz w:val="24"/>
          <w:szCs w:val="24"/>
        </w:rPr>
        <w:t xml:space="preserve"> 40% et des taux moyens de consommation faibles a l’exception du titre 2 qui atteint 99</w:t>
      </w:r>
      <w:r w:rsidR="00534889" w:rsidRPr="00534889">
        <w:rPr>
          <w:rFonts w:cs="Arial"/>
          <w:sz w:val="24"/>
          <w:szCs w:val="24"/>
        </w:rPr>
        <w:t>% suite</w:t>
      </w:r>
      <w:r w:rsidRPr="00534889">
        <w:rPr>
          <w:rFonts w:cs="Arial"/>
          <w:sz w:val="24"/>
          <w:szCs w:val="24"/>
        </w:rPr>
        <w:t xml:space="preserve"> au recrutement massif du personnel.</w:t>
      </w:r>
    </w:p>
    <w:p w14:paraId="4BB1BDB0" w14:textId="77777777" w:rsidR="000F5A63" w:rsidRPr="00534889" w:rsidRDefault="000F5A63" w:rsidP="00051B38">
      <w:pPr>
        <w:jc w:val="both"/>
        <w:rPr>
          <w:rFonts w:cs="Arial"/>
          <w:sz w:val="24"/>
          <w:szCs w:val="24"/>
          <w:lang w:val="fr-BE" w:eastAsia="en-GB"/>
        </w:rPr>
      </w:pPr>
      <w:r w:rsidRPr="00534889">
        <w:rPr>
          <w:rFonts w:cs="Arial"/>
          <w:sz w:val="24"/>
          <w:szCs w:val="24"/>
          <w:lang w:val="fr-BE" w:eastAsia="en-GB"/>
        </w:rPr>
        <w:t>Ces faibles taux de consommation s’expliqueraient par (i) la mise à disposition tardive des allocations budgétaires, (ii) la faible capacité de certains acteurs à suivre les procédures de gestion notamment les collectivités territoriales et (iii) les difficultés de trésoreries liées au contexte sociopolitique ambiant.</w:t>
      </w:r>
    </w:p>
    <w:p w14:paraId="3A27AD74" w14:textId="337A9E87" w:rsidR="00051B38" w:rsidRPr="00534889" w:rsidRDefault="00051B38" w:rsidP="00051B38">
      <w:pPr>
        <w:spacing w:after="0"/>
        <w:jc w:val="both"/>
        <w:rPr>
          <w:rFonts w:cs="Arial"/>
          <w:b/>
          <w:sz w:val="24"/>
          <w:szCs w:val="24"/>
        </w:rPr>
      </w:pPr>
      <w:r w:rsidRPr="00534889">
        <w:rPr>
          <w:rFonts w:cs="Arial"/>
          <w:b/>
          <w:sz w:val="24"/>
          <w:szCs w:val="24"/>
        </w:rPr>
        <w:t>L’Appui budgétaire sectoriel (ABS)</w:t>
      </w:r>
    </w:p>
    <w:p w14:paraId="7CC6F8F4" w14:textId="5E4F1765" w:rsidR="000F5A63" w:rsidRPr="00534889" w:rsidRDefault="000F5A63" w:rsidP="00051B38">
      <w:pPr>
        <w:spacing w:after="0"/>
        <w:jc w:val="both"/>
        <w:rPr>
          <w:rFonts w:cs="Arial"/>
          <w:i/>
          <w:sz w:val="24"/>
          <w:szCs w:val="24"/>
        </w:rPr>
      </w:pPr>
      <w:r w:rsidRPr="00534889">
        <w:rPr>
          <w:rFonts w:cs="Arial"/>
          <w:sz w:val="24"/>
          <w:szCs w:val="24"/>
        </w:rPr>
        <w:t xml:space="preserve">Entre 2013 </w:t>
      </w:r>
      <w:r w:rsidR="00051B38" w:rsidRPr="00534889">
        <w:rPr>
          <w:rFonts w:cs="Arial"/>
          <w:sz w:val="24"/>
          <w:szCs w:val="24"/>
        </w:rPr>
        <w:t>et 2015</w:t>
      </w:r>
      <w:r w:rsidRPr="00534889">
        <w:rPr>
          <w:rFonts w:cs="Arial"/>
          <w:sz w:val="24"/>
          <w:szCs w:val="24"/>
        </w:rPr>
        <w:t>, le taux d’allocation de l’appui budgétaire sectoriel</w:t>
      </w:r>
      <w:r w:rsidRPr="00534889">
        <w:rPr>
          <w:rFonts w:cs="Arial"/>
          <w:i/>
          <w:sz w:val="24"/>
          <w:szCs w:val="24"/>
        </w:rPr>
        <w:t xml:space="preserve"> </w:t>
      </w:r>
      <w:r w:rsidR="00051B38" w:rsidRPr="00534889">
        <w:rPr>
          <w:rFonts w:cs="Arial"/>
          <w:sz w:val="24"/>
          <w:szCs w:val="24"/>
        </w:rPr>
        <w:t>atteignait 89</w:t>
      </w:r>
      <w:r w:rsidRPr="00534889">
        <w:rPr>
          <w:rFonts w:cs="Arial"/>
          <w:sz w:val="24"/>
          <w:szCs w:val="24"/>
        </w:rPr>
        <w:t xml:space="preserve">% pour une annonce de l’UE de 19,68 milliards de FCFA </w:t>
      </w:r>
      <w:r w:rsidR="00534889" w:rsidRPr="00534889">
        <w:rPr>
          <w:rFonts w:cs="Arial"/>
          <w:sz w:val="24"/>
          <w:szCs w:val="24"/>
        </w:rPr>
        <w:t>et le</w:t>
      </w:r>
      <w:r w:rsidRPr="00534889">
        <w:rPr>
          <w:rFonts w:cs="Arial"/>
          <w:sz w:val="24"/>
          <w:szCs w:val="24"/>
        </w:rPr>
        <w:t xml:space="preserve"> niveau de décaissement de l’appui institutionnel du 10ème FED était de 87,14% au premier janvier 2016.</w:t>
      </w:r>
    </w:p>
    <w:p w14:paraId="784997AE" w14:textId="6C4216DE" w:rsidR="000F5A63" w:rsidRPr="00534889" w:rsidRDefault="000F5A63" w:rsidP="00051B38">
      <w:pPr>
        <w:pStyle w:val="Titre3"/>
        <w:keepLines w:val="0"/>
        <w:spacing w:before="0" w:after="240" w:line="276" w:lineRule="auto"/>
        <w:jc w:val="both"/>
        <w:rPr>
          <w:rFonts w:asciiTheme="minorHAnsi" w:hAnsiTheme="minorHAnsi" w:cs="Arial"/>
          <w:b/>
          <w:color w:val="auto"/>
        </w:rPr>
      </w:pPr>
      <w:r w:rsidRPr="00534889">
        <w:rPr>
          <w:rFonts w:asciiTheme="minorHAnsi" w:hAnsiTheme="minorHAnsi" w:cs="Arial"/>
          <w:color w:val="auto"/>
        </w:rPr>
        <w:t xml:space="preserve">L’appui budgétaire sectoriel couplé à un appui institutionnel a contribuée au renforcement de la </w:t>
      </w:r>
      <w:r w:rsidR="00051B38" w:rsidRPr="00534889">
        <w:rPr>
          <w:rFonts w:asciiTheme="minorHAnsi" w:hAnsiTheme="minorHAnsi" w:cs="Arial"/>
          <w:color w:val="auto"/>
        </w:rPr>
        <w:t>capacité du</w:t>
      </w:r>
      <w:r w:rsidRPr="00534889">
        <w:rPr>
          <w:rFonts w:asciiTheme="minorHAnsi" w:hAnsiTheme="minorHAnsi" w:cs="Arial"/>
          <w:color w:val="auto"/>
        </w:rPr>
        <w:t xml:space="preserve"> secteur et au financement des priorités orphelines et partant à la réduction des inégalités. </w:t>
      </w:r>
    </w:p>
    <w:p w14:paraId="42C66CFF" w14:textId="7CD77C11" w:rsidR="00051B38" w:rsidRPr="00534889" w:rsidRDefault="00051B38" w:rsidP="00051B38">
      <w:pPr>
        <w:spacing w:after="0"/>
        <w:jc w:val="both"/>
        <w:rPr>
          <w:rFonts w:cs="Arial"/>
          <w:b/>
          <w:sz w:val="24"/>
          <w:szCs w:val="24"/>
        </w:rPr>
      </w:pPr>
      <w:r w:rsidRPr="00534889">
        <w:rPr>
          <w:rFonts w:cs="Arial"/>
          <w:b/>
          <w:sz w:val="24"/>
          <w:szCs w:val="24"/>
        </w:rPr>
        <w:t>Le Panier commun</w:t>
      </w:r>
    </w:p>
    <w:p w14:paraId="3A4CF5E8" w14:textId="5A96355D" w:rsidR="000F5A63" w:rsidRPr="00534889" w:rsidRDefault="000F5A63" w:rsidP="00051B38">
      <w:pPr>
        <w:spacing w:after="0"/>
        <w:jc w:val="both"/>
        <w:rPr>
          <w:rFonts w:cs="Arial"/>
          <w:color w:val="000000"/>
          <w:sz w:val="24"/>
          <w:szCs w:val="24"/>
        </w:rPr>
      </w:pPr>
      <w:r w:rsidRPr="00534889">
        <w:rPr>
          <w:rFonts w:cs="Arial"/>
          <w:sz w:val="24"/>
          <w:szCs w:val="24"/>
        </w:rPr>
        <w:t xml:space="preserve">De 2011-2015, le nombre de PTF contributeurs au fonds commun a diminué de </w:t>
      </w:r>
      <w:r w:rsidR="00051B38" w:rsidRPr="00534889">
        <w:rPr>
          <w:rFonts w:cs="Arial"/>
          <w:sz w:val="24"/>
          <w:szCs w:val="24"/>
        </w:rPr>
        <w:t>moitié</w:t>
      </w:r>
      <w:r w:rsidRPr="00534889">
        <w:rPr>
          <w:rFonts w:cs="Arial"/>
          <w:sz w:val="24"/>
          <w:szCs w:val="24"/>
        </w:rPr>
        <w:t xml:space="preserve"> et le pourcentage des fonds non ciblés du Fonds ou panier commun</w:t>
      </w:r>
      <w:r w:rsidRPr="00534889">
        <w:rPr>
          <w:rFonts w:cs="Arial"/>
          <w:b/>
          <w:sz w:val="24"/>
          <w:szCs w:val="24"/>
        </w:rPr>
        <w:t xml:space="preserve"> </w:t>
      </w:r>
      <w:r w:rsidRPr="00534889">
        <w:rPr>
          <w:rFonts w:cs="Arial"/>
          <w:sz w:val="24"/>
          <w:szCs w:val="24"/>
        </w:rPr>
        <w:t xml:space="preserve">est passé </w:t>
      </w:r>
      <w:r w:rsidR="00051B38" w:rsidRPr="00534889">
        <w:rPr>
          <w:rFonts w:cs="Arial"/>
          <w:sz w:val="24"/>
          <w:szCs w:val="24"/>
        </w:rPr>
        <w:t>de 94 à</w:t>
      </w:r>
      <w:r w:rsidRPr="00534889">
        <w:rPr>
          <w:rFonts w:cs="Arial"/>
          <w:sz w:val="24"/>
          <w:szCs w:val="24"/>
        </w:rPr>
        <w:t xml:space="preserve"> 28 %.</w:t>
      </w:r>
      <w:r w:rsidRPr="00534889">
        <w:rPr>
          <w:rFonts w:cs="Arial"/>
          <w:color w:val="000000"/>
          <w:sz w:val="24"/>
          <w:szCs w:val="24"/>
        </w:rPr>
        <w:t xml:space="preserve"> </w:t>
      </w:r>
    </w:p>
    <w:p w14:paraId="35829D53" w14:textId="77777777" w:rsidR="000F5A63" w:rsidRPr="00534889" w:rsidRDefault="000F5A63" w:rsidP="00051B38">
      <w:pPr>
        <w:spacing w:after="0"/>
        <w:jc w:val="both"/>
        <w:rPr>
          <w:rFonts w:cs="Arial"/>
          <w:sz w:val="24"/>
          <w:szCs w:val="24"/>
        </w:rPr>
      </w:pPr>
      <w:r w:rsidRPr="00534889">
        <w:rPr>
          <w:rFonts w:cs="Arial"/>
          <w:sz w:val="24"/>
          <w:szCs w:val="24"/>
        </w:rPr>
        <w:t>Ce changement a fait perdre au Fonds commun une de ses finalités fondamentales, celle de combler en partie les iniquités.</w:t>
      </w:r>
    </w:p>
    <w:p w14:paraId="6EDA3D09" w14:textId="77777777" w:rsidR="000F5A63" w:rsidRPr="00534889" w:rsidRDefault="000F5A63" w:rsidP="00051B38">
      <w:pPr>
        <w:jc w:val="both"/>
        <w:rPr>
          <w:rFonts w:cs="Arial"/>
          <w:i/>
          <w:sz w:val="24"/>
          <w:szCs w:val="24"/>
        </w:rPr>
      </w:pPr>
      <w:r w:rsidRPr="00534889">
        <w:rPr>
          <w:rFonts w:cs="Arial"/>
          <w:sz w:val="24"/>
          <w:szCs w:val="24"/>
        </w:rPr>
        <w:t>Une évaluation formelle du fonctionnement permettrait d’identifier les causes profondes de la désaffection d’un mécanisme recommandé par les signataires du COMPACT.</w:t>
      </w:r>
    </w:p>
    <w:p w14:paraId="4983FFE2" w14:textId="33AE6BE3" w:rsidR="00051B38" w:rsidRPr="00534889" w:rsidRDefault="00051B38" w:rsidP="00051B38">
      <w:pPr>
        <w:contextualSpacing/>
        <w:jc w:val="both"/>
        <w:rPr>
          <w:rFonts w:cs="Arial"/>
          <w:b/>
          <w:sz w:val="24"/>
          <w:szCs w:val="24"/>
          <w:lang w:eastAsia="en-GB"/>
        </w:rPr>
      </w:pPr>
      <w:r w:rsidRPr="00534889">
        <w:rPr>
          <w:rFonts w:cs="Arial"/>
          <w:b/>
          <w:sz w:val="24"/>
          <w:szCs w:val="24"/>
          <w:lang w:eastAsia="en-GB"/>
        </w:rPr>
        <w:t xml:space="preserve">Projets et programmes </w:t>
      </w:r>
    </w:p>
    <w:p w14:paraId="456471D6" w14:textId="0A7E8D2C" w:rsidR="000F5A63" w:rsidRPr="00534889" w:rsidRDefault="000F5A63" w:rsidP="00051B38">
      <w:pPr>
        <w:contextualSpacing/>
        <w:jc w:val="both"/>
        <w:rPr>
          <w:rFonts w:cs="Arial"/>
          <w:b/>
          <w:i/>
          <w:sz w:val="24"/>
          <w:szCs w:val="24"/>
        </w:rPr>
      </w:pPr>
      <w:r w:rsidRPr="00534889">
        <w:rPr>
          <w:rFonts w:cs="Arial"/>
          <w:sz w:val="24"/>
          <w:szCs w:val="24"/>
          <w:lang w:eastAsia="en-GB"/>
        </w:rPr>
        <w:t xml:space="preserve">Le coût total de mise en œuvre des </w:t>
      </w:r>
      <w:r w:rsidRPr="00534889">
        <w:rPr>
          <w:rFonts w:cs="Arial"/>
          <w:sz w:val="24"/>
          <w:szCs w:val="24"/>
        </w:rPr>
        <w:t>Projets et programmes</w:t>
      </w:r>
      <w:r w:rsidRPr="00534889">
        <w:rPr>
          <w:rFonts w:cs="Arial"/>
          <w:i/>
          <w:sz w:val="24"/>
          <w:szCs w:val="24"/>
        </w:rPr>
        <w:t>,</w:t>
      </w:r>
      <w:r w:rsidRPr="00534889">
        <w:rPr>
          <w:rFonts w:cs="Arial"/>
          <w:b/>
          <w:i/>
          <w:sz w:val="24"/>
          <w:szCs w:val="24"/>
        </w:rPr>
        <w:t xml:space="preserve"> </w:t>
      </w:r>
      <w:r w:rsidRPr="00534889">
        <w:rPr>
          <w:rFonts w:cs="Arial"/>
          <w:sz w:val="24"/>
          <w:szCs w:val="24"/>
          <w:lang w:eastAsia="en-GB"/>
        </w:rPr>
        <w:t xml:space="preserve">évalué </w:t>
      </w:r>
      <w:r w:rsidR="00051B38" w:rsidRPr="00534889">
        <w:rPr>
          <w:rFonts w:cs="Arial"/>
          <w:sz w:val="24"/>
          <w:szCs w:val="24"/>
          <w:lang w:eastAsia="en-GB"/>
        </w:rPr>
        <w:t>à 561</w:t>
      </w:r>
      <w:r w:rsidRPr="00534889">
        <w:rPr>
          <w:rFonts w:cs="Arial"/>
          <w:sz w:val="24"/>
          <w:szCs w:val="24"/>
          <w:lang w:eastAsia="en-GB"/>
        </w:rPr>
        <w:t xml:space="preserve"> 023 948 462F </w:t>
      </w:r>
      <w:r w:rsidR="00051B38" w:rsidRPr="00534889">
        <w:rPr>
          <w:rFonts w:cs="Arial"/>
          <w:sz w:val="24"/>
          <w:szCs w:val="24"/>
          <w:lang w:eastAsia="en-GB"/>
        </w:rPr>
        <w:t>CFA, est financés</w:t>
      </w:r>
      <w:r w:rsidRPr="00534889">
        <w:rPr>
          <w:rFonts w:cs="Arial"/>
          <w:sz w:val="24"/>
          <w:szCs w:val="24"/>
          <w:lang w:eastAsia="en-GB"/>
        </w:rPr>
        <w:t xml:space="preserve"> à hauteur de 57% par l’état et 43% de fonds extérieurs. </w:t>
      </w:r>
    </w:p>
    <w:p w14:paraId="39700A6A" w14:textId="77777777" w:rsidR="000F5A63" w:rsidRPr="00534889" w:rsidRDefault="000F5A63" w:rsidP="00051B38">
      <w:pPr>
        <w:autoSpaceDE w:val="0"/>
        <w:autoSpaceDN w:val="0"/>
        <w:adjustRightInd w:val="0"/>
        <w:jc w:val="both"/>
        <w:rPr>
          <w:rFonts w:cs="Arial"/>
          <w:sz w:val="24"/>
          <w:szCs w:val="24"/>
          <w:lang w:eastAsia="en-GB"/>
        </w:rPr>
      </w:pPr>
      <w:r w:rsidRPr="00534889">
        <w:rPr>
          <w:rFonts w:cs="Arial"/>
          <w:sz w:val="24"/>
          <w:szCs w:val="24"/>
          <w:lang w:eastAsia="en-GB"/>
        </w:rPr>
        <w:t>Le taux d’allocation était faible entre 56% pour les projets nationaux et 62% pour les projets avec financement extérieur avec un taux d’absorption satisfaisant dans l’ensemble (83 %).</w:t>
      </w:r>
    </w:p>
    <w:p w14:paraId="1E6306BE" w14:textId="2D06110C" w:rsidR="00051B38" w:rsidRPr="00534889" w:rsidRDefault="000F5A63" w:rsidP="00051B38">
      <w:pPr>
        <w:autoSpaceDE w:val="0"/>
        <w:autoSpaceDN w:val="0"/>
        <w:adjustRightInd w:val="0"/>
        <w:jc w:val="both"/>
        <w:rPr>
          <w:rFonts w:cs="Arial"/>
          <w:sz w:val="24"/>
          <w:szCs w:val="24"/>
          <w:lang w:eastAsia="en-GB"/>
        </w:rPr>
      </w:pPr>
      <w:r w:rsidRPr="00534889">
        <w:rPr>
          <w:rFonts w:cs="Arial"/>
          <w:sz w:val="24"/>
          <w:szCs w:val="24"/>
          <w:lang w:eastAsia="en-GB"/>
        </w:rPr>
        <w:t>Les difficultés d’exécution des projets nationaux semblaient liées entre autres à (i) l’existence d’un volume important d’arriérés de 2014 pris en charge en 2015, (ii</w:t>
      </w:r>
      <w:r w:rsidR="00051B38" w:rsidRPr="00534889">
        <w:rPr>
          <w:rFonts w:cs="Arial"/>
          <w:sz w:val="24"/>
          <w:szCs w:val="24"/>
          <w:lang w:eastAsia="en-GB"/>
        </w:rPr>
        <w:t>) la</w:t>
      </w:r>
      <w:r w:rsidRPr="00534889">
        <w:rPr>
          <w:rFonts w:cs="Arial"/>
          <w:sz w:val="24"/>
          <w:szCs w:val="24"/>
          <w:lang w:eastAsia="en-GB"/>
        </w:rPr>
        <w:t xml:space="preserve"> lourdeur des procédures de passation de marchés publics et à la défaillance de certains fournisseurs.</w:t>
      </w:r>
    </w:p>
    <w:p w14:paraId="1A4C5F06" w14:textId="0426ABDA" w:rsidR="000F5A63" w:rsidRPr="00534889" w:rsidRDefault="00051B38" w:rsidP="00051B38">
      <w:pPr>
        <w:autoSpaceDE w:val="0"/>
        <w:autoSpaceDN w:val="0"/>
        <w:adjustRightInd w:val="0"/>
        <w:spacing w:after="0"/>
        <w:jc w:val="both"/>
        <w:rPr>
          <w:rFonts w:cs="Arial"/>
          <w:sz w:val="24"/>
          <w:szCs w:val="24"/>
          <w:lang w:eastAsia="en-GB"/>
        </w:rPr>
      </w:pPr>
      <w:r w:rsidRPr="00534889">
        <w:rPr>
          <w:rFonts w:eastAsia="MS Mincho" w:cs="Arial"/>
          <w:b/>
          <w:sz w:val="24"/>
          <w:szCs w:val="24"/>
        </w:rPr>
        <w:lastRenderedPageBreak/>
        <w:t>Le Financement base sur les résultats (FBR)</w:t>
      </w:r>
      <w:r w:rsidR="000F5A63" w:rsidRPr="00534889">
        <w:rPr>
          <w:rFonts w:cs="Arial"/>
          <w:sz w:val="24"/>
          <w:szCs w:val="24"/>
          <w:lang w:eastAsia="en-GB"/>
        </w:rPr>
        <w:t xml:space="preserve"> </w:t>
      </w:r>
    </w:p>
    <w:p w14:paraId="7EE62CD6" w14:textId="3A54C590" w:rsidR="000F5A63" w:rsidRPr="00534889" w:rsidRDefault="000F5A63" w:rsidP="00051B38">
      <w:pPr>
        <w:contextualSpacing/>
        <w:jc w:val="both"/>
        <w:rPr>
          <w:rFonts w:eastAsia="MS Mincho" w:cs="Arial"/>
          <w:b/>
          <w:sz w:val="24"/>
          <w:szCs w:val="24"/>
        </w:rPr>
      </w:pPr>
      <w:r w:rsidRPr="00534889">
        <w:rPr>
          <w:rFonts w:eastAsia="MS Mincho" w:cs="Arial"/>
          <w:sz w:val="24"/>
          <w:szCs w:val="24"/>
        </w:rPr>
        <w:t>Le FBR,</w:t>
      </w:r>
      <w:r w:rsidRPr="00534889">
        <w:rPr>
          <w:rFonts w:cs="Arial"/>
          <w:sz w:val="24"/>
          <w:szCs w:val="24"/>
        </w:rPr>
        <w:t xml:space="preserve"> initiée en 2011 par la Banque mondiale couvr</w:t>
      </w:r>
      <w:r w:rsidR="00051B38" w:rsidRPr="00534889">
        <w:rPr>
          <w:rFonts w:cs="Arial"/>
          <w:sz w:val="24"/>
          <w:szCs w:val="24"/>
        </w:rPr>
        <w:t>ait six</w:t>
      </w:r>
      <w:r w:rsidRPr="00534889">
        <w:rPr>
          <w:rFonts w:cs="Arial"/>
          <w:bCs/>
          <w:color w:val="000000"/>
          <w:sz w:val="24"/>
          <w:szCs w:val="24"/>
        </w:rPr>
        <w:t xml:space="preserve"> régions et 4 Hôpitaux régionaux, 1</w:t>
      </w:r>
      <w:r w:rsidR="00051B38" w:rsidRPr="00534889">
        <w:rPr>
          <w:rFonts w:cs="Arial"/>
          <w:bCs/>
          <w:color w:val="000000"/>
          <w:sz w:val="24"/>
          <w:szCs w:val="24"/>
        </w:rPr>
        <w:t>9</w:t>
      </w:r>
      <w:r w:rsidRPr="00534889">
        <w:rPr>
          <w:rFonts w:cs="Arial"/>
          <w:bCs/>
          <w:color w:val="000000"/>
          <w:sz w:val="24"/>
          <w:szCs w:val="24"/>
        </w:rPr>
        <w:t xml:space="preserve"> districts sanitaires et </w:t>
      </w:r>
      <w:r w:rsidRPr="00534889">
        <w:rPr>
          <w:rFonts w:cs="Arial"/>
          <w:sz w:val="24"/>
          <w:szCs w:val="24"/>
        </w:rPr>
        <w:t xml:space="preserve">le montant total du financement de ce projet s’élève à </w:t>
      </w:r>
      <w:r w:rsidRPr="00534889">
        <w:rPr>
          <w:rFonts w:cs="Arial"/>
          <w:bCs/>
          <w:color w:val="000000"/>
          <w:sz w:val="24"/>
          <w:szCs w:val="24"/>
        </w:rPr>
        <w:t>4 504 795 583   FCFA.</w:t>
      </w:r>
    </w:p>
    <w:p w14:paraId="1C6F5C93" w14:textId="3A084F5A" w:rsidR="00194167" w:rsidRDefault="000F5A63" w:rsidP="00534889">
      <w:pPr>
        <w:spacing w:after="120"/>
        <w:rPr>
          <w:rFonts w:ascii="Calibri" w:hAnsi="Calibri" w:cs="Arial"/>
          <w:b/>
          <w:bCs/>
          <w:color w:val="000000"/>
          <w:sz w:val="24"/>
          <w:szCs w:val="24"/>
        </w:rPr>
      </w:pPr>
      <w:r w:rsidRPr="00534889">
        <w:rPr>
          <w:rFonts w:cs="Arial"/>
          <w:sz w:val="24"/>
          <w:szCs w:val="24"/>
        </w:rPr>
        <w:t>Le FBR est une approche avec beaucoup de potentialités mais qui ne semble pas suffisamment bien comprises par les principaux acteurs que sont les DRS et les MCD. Plus exactement le passage du cap entre la planification des activités et la planification axée sur les résultats semble être l’obstacle principal.</w:t>
      </w:r>
    </w:p>
    <w:p w14:paraId="6BD8FC0B" w14:textId="77777777" w:rsidR="00534889" w:rsidRPr="00534889" w:rsidRDefault="00534889" w:rsidP="00534889">
      <w:pPr>
        <w:spacing w:after="120"/>
        <w:rPr>
          <w:rFonts w:ascii="Calibri" w:hAnsi="Calibri" w:cs="Arial"/>
          <w:b/>
          <w:bCs/>
          <w:color w:val="000000"/>
          <w:sz w:val="24"/>
          <w:szCs w:val="24"/>
        </w:rPr>
      </w:pPr>
    </w:p>
    <w:tbl>
      <w:tblPr>
        <w:tblStyle w:val="Grilledutableau"/>
        <w:tblW w:w="0" w:type="auto"/>
        <w:shd w:val="clear" w:color="auto" w:fill="DBE5F1" w:themeFill="accent1" w:themeFillTint="33"/>
        <w:tblLook w:val="04A0" w:firstRow="1" w:lastRow="0" w:firstColumn="1" w:lastColumn="0" w:noHBand="0" w:noVBand="1"/>
      </w:tblPr>
      <w:tblGrid>
        <w:gridCol w:w="9016"/>
      </w:tblGrid>
      <w:tr w:rsidR="004D2238" w:rsidRPr="004D2238" w14:paraId="180DA313" w14:textId="77777777" w:rsidTr="00534889">
        <w:tc>
          <w:tcPr>
            <w:tcW w:w="9062" w:type="dxa"/>
            <w:shd w:val="clear" w:color="auto" w:fill="DBE5F1" w:themeFill="accent1" w:themeFillTint="33"/>
          </w:tcPr>
          <w:p w14:paraId="29E38262" w14:textId="2D3DB09D" w:rsidR="004D2238" w:rsidRPr="004D2238" w:rsidRDefault="004D2238" w:rsidP="004D2238">
            <w:pPr>
              <w:spacing w:after="120" w:line="276" w:lineRule="auto"/>
              <w:rPr>
                <w:rFonts w:ascii="Calibri" w:hAnsi="Calibri" w:cs="Arial"/>
                <w:b/>
                <w:bCs/>
                <w:color w:val="000000"/>
                <w:sz w:val="20"/>
                <w:szCs w:val="20"/>
              </w:rPr>
            </w:pPr>
            <w:r>
              <w:rPr>
                <w:rFonts w:ascii="Calibri" w:hAnsi="Calibri" w:cs="Arial"/>
                <w:b/>
                <w:bCs/>
                <w:color w:val="000000"/>
                <w:sz w:val="20"/>
                <w:szCs w:val="20"/>
              </w:rPr>
              <w:t>Encadré</w:t>
            </w:r>
            <w:r w:rsidR="00BD2D4B">
              <w:rPr>
                <w:rFonts w:ascii="Calibri" w:hAnsi="Calibri" w:cs="Arial"/>
                <w:b/>
                <w:bCs/>
                <w:color w:val="000000"/>
                <w:sz w:val="20"/>
                <w:szCs w:val="20"/>
              </w:rPr>
              <w:t xml:space="preserve"> 1</w:t>
            </w:r>
            <w:r>
              <w:rPr>
                <w:rFonts w:ascii="Calibri" w:hAnsi="Calibri" w:cs="Arial"/>
                <w:b/>
                <w:bCs/>
                <w:color w:val="000000"/>
                <w:sz w:val="20"/>
                <w:szCs w:val="20"/>
              </w:rPr>
              <w:t xml:space="preserve"> : L’ACHAT STRATEGIQUE </w:t>
            </w:r>
          </w:p>
        </w:tc>
      </w:tr>
      <w:tr w:rsidR="004D2238" w:rsidRPr="004D2238" w14:paraId="5169BCD4" w14:textId="77777777" w:rsidTr="00534889">
        <w:tc>
          <w:tcPr>
            <w:tcW w:w="9062" w:type="dxa"/>
            <w:shd w:val="clear" w:color="auto" w:fill="DBE5F1" w:themeFill="accent1" w:themeFillTint="33"/>
          </w:tcPr>
          <w:p w14:paraId="607DFD36" w14:textId="77777777" w:rsidR="004D2238" w:rsidRPr="004D2238" w:rsidRDefault="004D2238" w:rsidP="004D2238">
            <w:pPr>
              <w:spacing w:line="276" w:lineRule="auto"/>
              <w:rPr>
                <w:rFonts w:cs="Arial"/>
                <w:sz w:val="20"/>
                <w:szCs w:val="20"/>
              </w:rPr>
            </w:pPr>
            <w:r w:rsidRPr="004D2238">
              <w:rPr>
                <w:rFonts w:cs="Arial"/>
                <w:sz w:val="20"/>
                <w:szCs w:val="20"/>
              </w:rPr>
              <w:t>Le but de l’achat stratégique est que les ressources du secteur de la santé sont allouées et gérées de façon efficiente, transparente et équitable sur base contractuelle afin de produire, les soins et services de santé souhaitées et nécessaires à chaque bénéficiaire sans aucune discrimination en vue de l’atteinte de couverture sanitaire universelle.</w:t>
            </w:r>
          </w:p>
          <w:p w14:paraId="5C67E58B" w14:textId="77777777" w:rsidR="004D2238" w:rsidRPr="004D2238" w:rsidRDefault="004D2238" w:rsidP="004D2238">
            <w:pPr>
              <w:spacing w:line="276" w:lineRule="auto"/>
              <w:rPr>
                <w:rFonts w:cs="Arial"/>
                <w:sz w:val="20"/>
                <w:szCs w:val="20"/>
              </w:rPr>
            </w:pPr>
            <w:r w:rsidRPr="004D2238">
              <w:rPr>
                <w:rFonts w:cs="Arial"/>
                <w:sz w:val="20"/>
                <w:szCs w:val="20"/>
              </w:rPr>
              <w:t>L’achat stratégique des soins et services de santé consiste à allouer des ressources (financières ou non) à une structure proportionnellement à des résultats quantité (allocation faite après vérification de la quantité des résultats produits par le prestataire) et/ou qualité produits (montant à allouer au prestataire est proportionnel au score global de qualité obtenu à la suite d’une évaluation) selon les canaux de financement et les objectifs visés, sur la base d’un contrat.</w:t>
            </w:r>
          </w:p>
          <w:p w14:paraId="18DDF90A" w14:textId="77777777" w:rsidR="004D2238" w:rsidRPr="004D2238" w:rsidRDefault="004D2238" w:rsidP="004D2238">
            <w:pPr>
              <w:autoSpaceDE w:val="0"/>
              <w:autoSpaceDN w:val="0"/>
              <w:adjustRightInd w:val="0"/>
              <w:spacing w:line="276" w:lineRule="auto"/>
              <w:rPr>
                <w:rFonts w:cs="Arial"/>
                <w:sz w:val="20"/>
                <w:szCs w:val="20"/>
              </w:rPr>
            </w:pPr>
            <w:r w:rsidRPr="004D2238">
              <w:rPr>
                <w:rFonts w:cs="Arial"/>
                <w:sz w:val="20"/>
                <w:szCs w:val="20"/>
              </w:rPr>
              <w:t>L’achat stratégique se fonde sur un certain nombre de principes directeurs, la contractualisation, la responsabilisation des parties prenantes, la redevabilité, l’autonomie de gestion des prestataires, la séparation des fonctions, la participation communautaire, l’utilisation de données probantes.</w:t>
            </w:r>
          </w:p>
          <w:p w14:paraId="16A7AB8F" w14:textId="77777777" w:rsidR="004D2238" w:rsidRPr="004D2238" w:rsidRDefault="004D2238" w:rsidP="004D2238">
            <w:pPr>
              <w:spacing w:line="276" w:lineRule="auto"/>
              <w:rPr>
                <w:rFonts w:cs="Arial"/>
                <w:sz w:val="20"/>
                <w:szCs w:val="20"/>
              </w:rPr>
            </w:pPr>
            <w:r w:rsidRPr="004D2238">
              <w:rPr>
                <w:rFonts w:cs="Arial"/>
                <w:sz w:val="20"/>
                <w:szCs w:val="20"/>
              </w:rPr>
              <w:t>Toutes les formations sanitaires publiques sont d’office concernées par l’achat stratégique des soins et services de santé et l’inclusion des formations sanitaires privées se fera de commun accord avec l’acheteur.</w:t>
            </w:r>
          </w:p>
          <w:p w14:paraId="396D45E5" w14:textId="6633A043" w:rsidR="004D2238" w:rsidRPr="004D2238" w:rsidRDefault="004D2238" w:rsidP="004D2238">
            <w:pPr>
              <w:spacing w:line="276" w:lineRule="auto"/>
              <w:rPr>
                <w:sz w:val="20"/>
                <w:szCs w:val="20"/>
              </w:rPr>
            </w:pPr>
            <w:r w:rsidRPr="004D2238">
              <w:rPr>
                <w:sz w:val="20"/>
                <w:szCs w:val="20"/>
              </w:rPr>
              <w:t>Les structures nationales de régulation au niveau central (Directions générales, Directions techniques, Directions de programmes, institutions spécialisées, sociétés d’Etat) et au niveau déconcentré (DRS, ECD) peuvent bénéficier recevoir d</w:t>
            </w:r>
            <w:r w:rsidRPr="004D2238">
              <w:rPr>
                <w:rFonts w:cs="Arial"/>
                <w:sz w:val="20"/>
                <w:szCs w:val="20"/>
              </w:rPr>
              <w:t xml:space="preserve">’allocations de ressources de fonctionnement sur le mode </w:t>
            </w:r>
            <w:r w:rsidR="00534889" w:rsidRPr="004D2238">
              <w:rPr>
                <w:rFonts w:cs="Arial"/>
                <w:sz w:val="20"/>
                <w:szCs w:val="20"/>
              </w:rPr>
              <w:t>achat stratégique</w:t>
            </w:r>
            <w:r w:rsidRPr="004D2238">
              <w:rPr>
                <w:rFonts w:cs="Arial"/>
                <w:sz w:val="20"/>
                <w:szCs w:val="20"/>
              </w:rPr>
              <w:t>.</w:t>
            </w:r>
          </w:p>
          <w:p w14:paraId="301F3DD4" w14:textId="77777777" w:rsidR="004D2238" w:rsidRPr="004D2238" w:rsidRDefault="004D2238" w:rsidP="004D2238">
            <w:pPr>
              <w:spacing w:line="276" w:lineRule="auto"/>
              <w:rPr>
                <w:rFonts w:cs="Arial"/>
                <w:sz w:val="20"/>
                <w:szCs w:val="20"/>
              </w:rPr>
            </w:pPr>
            <w:r w:rsidRPr="004D2238">
              <w:rPr>
                <w:rFonts w:cs="Arial"/>
                <w:sz w:val="20"/>
                <w:szCs w:val="20"/>
              </w:rPr>
              <w:t>L’achat stratégique se fait au niveau communautaire à travers les ASBC, les mutuelles sociales, les COGES sur la base des paquets d’activités définies par le ministère de santé.</w:t>
            </w:r>
          </w:p>
          <w:p w14:paraId="3993CD7A" w14:textId="77777777" w:rsidR="004D2238" w:rsidRPr="004D2238" w:rsidRDefault="004D2238" w:rsidP="004D2238">
            <w:pPr>
              <w:spacing w:line="276" w:lineRule="auto"/>
              <w:rPr>
                <w:rFonts w:cs="Arial"/>
                <w:sz w:val="20"/>
                <w:szCs w:val="20"/>
              </w:rPr>
            </w:pPr>
            <w:r w:rsidRPr="004D2238">
              <w:rPr>
                <w:rFonts w:cs="Arial"/>
                <w:sz w:val="20"/>
                <w:szCs w:val="20"/>
              </w:rPr>
              <w:t>L’achat stratégique couvre les prestations de soins et les autres services de santé.</w:t>
            </w:r>
          </w:p>
          <w:p w14:paraId="5E35CF97" w14:textId="1474E3EB" w:rsidR="004D2238" w:rsidRPr="004D2238" w:rsidRDefault="004D2238" w:rsidP="004D2238">
            <w:pPr>
              <w:spacing w:line="276" w:lineRule="auto"/>
              <w:rPr>
                <w:rFonts w:cs="Arial"/>
                <w:sz w:val="20"/>
                <w:szCs w:val="20"/>
              </w:rPr>
            </w:pPr>
            <w:r w:rsidRPr="004D2238">
              <w:rPr>
                <w:rFonts w:cs="Arial"/>
                <w:sz w:val="20"/>
                <w:szCs w:val="20"/>
              </w:rPr>
              <w:t xml:space="preserve">L’instance de pilotage est le CSD et les instances de mise en œuvre comprennent au niveau central </w:t>
            </w:r>
            <w:r w:rsidR="00534889" w:rsidRPr="004D2238">
              <w:rPr>
                <w:rFonts w:cs="Arial"/>
                <w:sz w:val="20"/>
                <w:szCs w:val="20"/>
              </w:rPr>
              <w:t>la Cellule</w:t>
            </w:r>
            <w:r w:rsidRPr="004D2238">
              <w:rPr>
                <w:rFonts w:cs="Arial"/>
                <w:sz w:val="20"/>
                <w:szCs w:val="20"/>
              </w:rPr>
              <w:t xml:space="preserve"> Technique National de l’Achat Stratégique (CTN-AS), au niveau régional le CRD et au niveau opérationnel l’ECD. </w:t>
            </w:r>
          </w:p>
        </w:tc>
      </w:tr>
    </w:tbl>
    <w:p w14:paraId="4DEE49F6" w14:textId="49983550" w:rsidR="00194167" w:rsidRDefault="00194167" w:rsidP="00062F92">
      <w:pPr>
        <w:spacing w:after="120" w:line="360" w:lineRule="auto"/>
        <w:rPr>
          <w:rFonts w:ascii="Calibri" w:hAnsi="Calibri" w:cs="Arial"/>
          <w:b/>
          <w:bCs/>
          <w:color w:val="000000"/>
          <w:sz w:val="23"/>
          <w:szCs w:val="23"/>
        </w:rPr>
      </w:pPr>
    </w:p>
    <w:p w14:paraId="6F421AD2" w14:textId="560BE58C" w:rsidR="00194167" w:rsidRDefault="00194167" w:rsidP="00062F92">
      <w:pPr>
        <w:spacing w:after="120" w:line="360" w:lineRule="auto"/>
        <w:rPr>
          <w:rFonts w:ascii="Calibri" w:hAnsi="Calibri" w:cs="Arial"/>
          <w:b/>
          <w:bCs/>
          <w:color w:val="000000"/>
          <w:sz w:val="23"/>
          <w:szCs w:val="23"/>
        </w:rPr>
      </w:pPr>
    </w:p>
    <w:p w14:paraId="52C4DD41" w14:textId="39E42E60" w:rsidR="00062F92" w:rsidRDefault="00062F92" w:rsidP="00062F92">
      <w:pPr>
        <w:spacing w:after="120" w:line="360" w:lineRule="auto"/>
        <w:rPr>
          <w:rFonts w:ascii="Calibri" w:hAnsi="Calibri" w:cs="Arial"/>
          <w:bCs/>
          <w:color w:val="000000"/>
          <w:sz w:val="23"/>
          <w:szCs w:val="23"/>
        </w:rPr>
      </w:pPr>
    </w:p>
    <w:p w14:paraId="01D3F39E" w14:textId="3B35A69A" w:rsidR="00227EE6" w:rsidRDefault="00227EE6" w:rsidP="00062F92">
      <w:pPr>
        <w:spacing w:after="120" w:line="360" w:lineRule="auto"/>
        <w:rPr>
          <w:rFonts w:ascii="Calibri" w:hAnsi="Calibri" w:cs="Arial"/>
          <w:bCs/>
          <w:color w:val="000000"/>
          <w:sz w:val="23"/>
          <w:szCs w:val="23"/>
        </w:rPr>
      </w:pPr>
    </w:p>
    <w:p w14:paraId="1261A7D4" w14:textId="00737BDB" w:rsidR="00227EE6" w:rsidRDefault="00534889" w:rsidP="00062F92">
      <w:pPr>
        <w:spacing w:after="120" w:line="360" w:lineRule="auto"/>
        <w:rPr>
          <w:rFonts w:ascii="Calibri" w:hAnsi="Calibri" w:cs="Arial"/>
          <w:bCs/>
          <w:color w:val="000000"/>
          <w:sz w:val="23"/>
          <w:szCs w:val="23"/>
        </w:rPr>
      </w:pPr>
      <w:r>
        <w:rPr>
          <w:rFonts w:ascii="Calibri" w:hAnsi="Calibri" w:cs="Arial"/>
          <w:bCs/>
          <w:color w:val="000000"/>
          <w:sz w:val="23"/>
          <w:szCs w:val="23"/>
        </w:rPr>
        <w:br w:type="page"/>
      </w:r>
    </w:p>
    <w:p w14:paraId="73B390F8" w14:textId="68C46E00" w:rsidR="00227EE6" w:rsidRPr="00534889" w:rsidRDefault="00062F92" w:rsidP="00A9046F">
      <w:pPr>
        <w:pStyle w:val="Paragraphedeliste"/>
        <w:numPr>
          <w:ilvl w:val="0"/>
          <w:numId w:val="2"/>
        </w:numPr>
        <w:spacing w:after="120" w:line="360" w:lineRule="auto"/>
        <w:rPr>
          <w:rFonts w:ascii="Calibri" w:hAnsi="Calibri" w:cs="Arial"/>
          <w:b/>
          <w:bCs/>
          <w:color w:val="000000"/>
          <w:sz w:val="32"/>
          <w:szCs w:val="32"/>
        </w:rPr>
      </w:pPr>
      <w:r w:rsidRPr="00534889">
        <w:rPr>
          <w:rFonts w:ascii="Calibri" w:hAnsi="Calibri" w:cs="Arial"/>
          <w:b/>
          <w:bCs/>
          <w:color w:val="000000"/>
          <w:sz w:val="32"/>
          <w:szCs w:val="32"/>
        </w:rPr>
        <w:lastRenderedPageBreak/>
        <w:t>BUDGETISATION</w:t>
      </w:r>
    </w:p>
    <w:p w14:paraId="20642F02" w14:textId="014C6ABC" w:rsidR="00BF3393" w:rsidRPr="00BF3393" w:rsidRDefault="00BF3393" w:rsidP="00BF3393">
      <w:pPr>
        <w:pStyle w:val="Paragraphedeliste"/>
        <w:numPr>
          <w:ilvl w:val="1"/>
          <w:numId w:val="2"/>
        </w:numPr>
        <w:spacing w:after="0" w:line="360" w:lineRule="auto"/>
        <w:jc w:val="both"/>
        <w:rPr>
          <w:rStyle w:val="Titre1Car"/>
          <w:rFonts w:eastAsia="MS Mincho"/>
          <w:b w:val="0"/>
          <w:color w:val="000000" w:themeColor="text1"/>
        </w:rPr>
      </w:pPr>
      <w:bookmarkStart w:id="42" w:name="_Toc405708077"/>
      <w:r w:rsidRPr="00BF3393">
        <w:rPr>
          <w:rStyle w:val="Titre1Car"/>
          <w:rFonts w:eastAsia="MS Mincho"/>
          <w:b w:val="0"/>
          <w:color w:val="000000" w:themeColor="text1"/>
        </w:rPr>
        <w:t>METHODOLOGIE</w:t>
      </w:r>
      <w:bookmarkEnd w:id="42"/>
      <w:r w:rsidRPr="00BF3393">
        <w:rPr>
          <w:rStyle w:val="Titre1Car"/>
          <w:rFonts w:eastAsia="MS Mincho"/>
          <w:b w:val="0"/>
          <w:color w:val="000000" w:themeColor="text1"/>
        </w:rPr>
        <w:t xml:space="preserve"> D’ESTIMATION DES COUTS DU PLAN</w:t>
      </w:r>
    </w:p>
    <w:p w14:paraId="3E6C202A" w14:textId="77777777" w:rsidR="00BF3393" w:rsidRDefault="00BF3393" w:rsidP="00BF3393">
      <w:pPr>
        <w:spacing w:line="360" w:lineRule="auto"/>
        <w:jc w:val="both"/>
        <w:rPr>
          <w:rFonts w:eastAsia="Times New Roman"/>
          <w:sz w:val="24"/>
          <w:szCs w:val="24"/>
        </w:rPr>
      </w:pPr>
      <w:r>
        <w:rPr>
          <w:rFonts w:ascii="Cambria" w:hAnsi="Cambria"/>
        </w:rPr>
        <w:t>Les outils utilisés pour collecter et calculer les informations sur les coûts sont l'outil Onehealth (OHT) et le tableur Excel personnalisés.</w:t>
      </w:r>
    </w:p>
    <w:p w14:paraId="551ACD30" w14:textId="77777777" w:rsidR="00BF3393" w:rsidRDefault="00BF3393" w:rsidP="00BF3393">
      <w:pPr>
        <w:spacing w:line="360" w:lineRule="auto"/>
        <w:jc w:val="both"/>
        <w:rPr>
          <w:rFonts w:ascii="Cambria" w:hAnsi="Cambria"/>
        </w:rPr>
      </w:pPr>
      <w:r>
        <w:rPr>
          <w:rFonts w:ascii="Cambria" w:hAnsi="Cambria"/>
        </w:rPr>
        <w:t>L’outil Onehealth a été utilisé pour le costing des interventions retenues dans le plan ; le tableur Excel a servi pour le traitement des informations relatives aux activités avant leur prise en compte dans l’outil. Il aussi servi pour le traitement final des éléments de coût.</w:t>
      </w:r>
    </w:p>
    <w:p w14:paraId="003E93CA" w14:textId="2E3F9203" w:rsidR="00BF3393" w:rsidRPr="00BF3393" w:rsidRDefault="00BF3393" w:rsidP="00A97663">
      <w:pPr>
        <w:pStyle w:val="Paragraphedeliste"/>
        <w:numPr>
          <w:ilvl w:val="2"/>
          <w:numId w:val="111"/>
        </w:numPr>
        <w:spacing w:after="160" w:line="360" w:lineRule="auto"/>
        <w:jc w:val="both"/>
        <w:rPr>
          <w:rFonts w:ascii="Cambria" w:hAnsi="Cambria"/>
        </w:rPr>
      </w:pPr>
      <w:r w:rsidRPr="00BF3393">
        <w:rPr>
          <w:rFonts w:ascii="Cambria" w:hAnsi="Cambria"/>
          <w:b/>
        </w:rPr>
        <w:t xml:space="preserve">Costing des coûts des interventions </w:t>
      </w:r>
    </w:p>
    <w:p w14:paraId="7BB86EB1" w14:textId="77777777" w:rsidR="00BF3393" w:rsidRDefault="00BF3393" w:rsidP="00BF3393">
      <w:pPr>
        <w:spacing w:line="360" w:lineRule="auto"/>
        <w:jc w:val="both"/>
        <w:rPr>
          <w:rFonts w:ascii="Cambria" w:hAnsi="Cambria"/>
        </w:rPr>
      </w:pPr>
      <w:r>
        <w:rPr>
          <w:rFonts w:ascii="Cambria" w:hAnsi="Cambria"/>
        </w:rPr>
        <w:t xml:space="preserve">Les coûts unitaires pour chaque intervention ont été déterminés à partir des interventions retenues dans le plan, adoptant l'approche des ingrédients, ou une approche de coût normalisée, appliquée pour l'estimation des coûts directs des intrants. L'approche des ingrédients incarne une méthode ascendante de calcul des coûts, en isolant d'abord les interventions définissant chaque activité, puis en identifiant, en quantifiant et en calculant les intrants nécessaires pour produire la production de l'unité cible et en déterminant le coût unitaire moyen pour chaque intervention. En plus des coûts d'intrants directs pour les médicaments et les fournitures, les coûts unitaires comprennent également une partie des coûts du programme qui sont nécessaires pour soutenir la mise en œuvre des interventions qui ne sont pas directement liés au nombre de personnes recevant des soins (comme la formation, la supervision, le suivi et l'évaluation, l'équipement, le plaidoyer et la communication, les masses médias et la sensibilisation). </w:t>
      </w:r>
    </w:p>
    <w:p w14:paraId="33F73159" w14:textId="6F81672B" w:rsidR="00BF3393" w:rsidRPr="00BF3393" w:rsidRDefault="00BF3393" w:rsidP="00BF3393">
      <w:pPr>
        <w:spacing w:line="360" w:lineRule="auto"/>
        <w:jc w:val="both"/>
        <w:rPr>
          <w:rFonts w:ascii="Cambria" w:hAnsi="Cambria"/>
        </w:rPr>
      </w:pPr>
      <w:r>
        <w:rPr>
          <w:rFonts w:ascii="Cambria" w:hAnsi="Cambria"/>
        </w:rPr>
        <w:t>L'information sur les modalités de mise en œuvre de chaque intervention a été recueillie auprès des points focaux et au sein des partenaires techniques et financements.  Les coûts des intrants ont été obtenus à partir des prix du marché, de l'information disponible dans les bases de données d'approvisionnement du système des nations unies et des enquêtes.</w:t>
      </w:r>
    </w:p>
    <w:p w14:paraId="2D2CEA4A" w14:textId="77777777" w:rsidR="00BF3393" w:rsidRDefault="00BF3393" w:rsidP="00A97663">
      <w:pPr>
        <w:pStyle w:val="Paragraphedeliste"/>
        <w:numPr>
          <w:ilvl w:val="2"/>
          <w:numId w:val="111"/>
        </w:numPr>
        <w:spacing w:after="160" w:line="360" w:lineRule="auto"/>
        <w:jc w:val="both"/>
        <w:rPr>
          <w:rFonts w:ascii="Cambria" w:hAnsi="Cambria"/>
          <w:b/>
        </w:rPr>
      </w:pPr>
      <w:r>
        <w:rPr>
          <w:rFonts w:ascii="Cambria" w:hAnsi="Cambria"/>
          <w:b/>
        </w:rPr>
        <w:t>Limites des méthodes utilisées</w:t>
      </w:r>
    </w:p>
    <w:p w14:paraId="2F24F33F" w14:textId="77777777" w:rsidR="00BF3393" w:rsidRDefault="00BF3393" w:rsidP="00BF3393">
      <w:pPr>
        <w:tabs>
          <w:tab w:val="left" w:pos="900"/>
        </w:tabs>
        <w:spacing w:line="360" w:lineRule="auto"/>
        <w:jc w:val="both"/>
        <w:rPr>
          <w:rFonts w:ascii="Cambria" w:hAnsi="Cambria"/>
        </w:rPr>
      </w:pPr>
      <w:r>
        <w:rPr>
          <w:rFonts w:ascii="Cambria" w:hAnsi="Cambria"/>
        </w:rPr>
        <w:t>Les estimations de coûts présentées dans cette étude dépendent fortement des hypothèses faites et de la couverture actuelle des interventions. En outre, la méthodologie utilisée comporte un certain nombre de limites qui affectent principalement la façon dont les coûts ont été calculés.</w:t>
      </w:r>
    </w:p>
    <w:p w14:paraId="379493F9" w14:textId="77777777" w:rsidR="00BF3393" w:rsidRDefault="00BF3393" w:rsidP="00BF3393">
      <w:pPr>
        <w:tabs>
          <w:tab w:val="left" w:pos="900"/>
        </w:tabs>
        <w:spacing w:line="360" w:lineRule="auto"/>
        <w:jc w:val="both"/>
        <w:rPr>
          <w:rFonts w:ascii="Times New Roman" w:hAnsi="Times New Roman"/>
        </w:rPr>
      </w:pPr>
      <w:r>
        <w:rPr>
          <w:rFonts w:ascii="Cambria" w:hAnsi="Cambria"/>
        </w:rPr>
        <w:t>Quant à l’outil Onehealth, une de ses limites est sa forte dépendance de la complétude et de la fiabilité des données qui lui sont intégrées, ce qui justifie d’autant plus la nécessité de disposer d’informations pertinentes et de qualité.</w:t>
      </w:r>
      <w:r>
        <w:tab/>
      </w:r>
    </w:p>
    <w:p w14:paraId="59FD9A5C" w14:textId="77777777" w:rsidR="00BF3393" w:rsidRDefault="00BF3393" w:rsidP="00BF3393">
      <w:pPr>
        <w:spacing w:line="360" w:lineRule="auto"/>
        <w:jc w:val="both"/>
        <w:rPr>
          <w:rFonts w:ascii="Cambria" w:hAnsi="Cambria"/>
        </w:rPr>
      </w:pPr>
    </w:p>
    <w:p w14:paraId="7117B2A1" w14:textId="77777777" w:rsidR="00BF3393" w:rsidRDefault="00BF3393" w:rsidP="00BF3393">
      <w:pPr>
        <w:pStyle w:val="Paragraphedeliste"/>
        <w:spacing w:line="360" w:lineRule="auto"/>
        <w:ind w:left="0"/>
        <w:rPr>
          <w:rFonts w:ascii="Calibri" w:hAnsi="Calibri" w:cs="Arial"/>
          <w:color w:val="000000"/>
          <w:szCs w:val="24"/>
          <w:highlight w:val="yellow"/>
        </w:rPr>
      </w:pPr>
    </w:p>
    <w:p w14:paraId="352CCA51" w14:textId="5A434F7C" w:rsidR="00BF3393" w:rsidRPr="00BF3393" w:rsidRDefault="00BF3393" w:rsidP="00A97663">
      <w:pPr>
        <w:pStyle w:val="Paragraphedeliste"/>
        <w:numPr>
          <w:ilvl w:val="1"/>
          <w:numId w:val="111"/>
        </w:numPr>
        <w:spacing w:after="0" w:line="360" w:lineRule="auto"/>
        <w:jc w:val="both"/>
        <w:rPr>
          <w:rStyle w:val="Titre1Car"/>
          <w:rFonts w:eastAsia="MS Mincho"/>
          <w:b w:val="0"/>
          <w:color w:val="000000" w:themeColor="text1"/>
          <w:sz w:val="24"/>
          <w:szCs w:val="24"/>
        </w:rPr>
      </w:pPr>
      <w:bookmarkStart w:id="43" w:name="_Toc405708079"/>
      <w:bookmarkStart w:id="44" w:name="_Toc275527621"/>
      <w:bookmarkStart w:id="45" w:name="_Toc275528385"/>
      <w:r w:rsidRPr="00BF3393">
        <w:rPr>
          <w:rStyle w:val="Titre1Car"/>
          <w:rFonts w:eastAsia="MS Mincho"/>
          <w:b w:val="0"/>
          <w:color w:val="000000" w:themeColor="text1"/>
          <w:sz w:val="24"/>
          <w:szCs w:val="24"/>
        </w:rPr>
        <w:lastRenderedPageBreak/>
        <w:t>RESULTATS</w:t>
      </w:r>
      <w:bookmarkEnd w:id="43"/>
      <w:bookmarkEnd w:id="44"/>
      <w:bookmarkEnd w:id="45"/>
      <w:r w:rsidRPr="00BF3393">
        <w:rPr>
          <w:rStyle w:val="Titre1Car"/>
          <w:rFonts w:eastAsia="MS Mincho"/>
          <w:b w:val="0"/>
          <w:color w:val="000000" w:themeColor="text1"/>
          <w:sz w:val="24"/>
          <w:szCs w:val="24"/>
        </w:rPr>
        <w:t xml:space="preserve"> OBTENUS</w:t>
      </w:r>
    </w:p>
    <w:p w14:paraId="125A5AC6" w14:textId="4C263A0C" w:rsidR="00BF3393" w:rsidRPr="00BF3393" w:rsidRDefault="00BF3393" w:rsidP="00A97663">
      <w:pPr>
        <w:pStyle w:val="Titre2"/>
        <w:keepLines w:val="0"/>
        <w:numPr>
          <w:ilvl w:val="2"/>
          <w:numId w:val="111"/>
        </w:numPr>
        <w:spacing w:before="240" w:after="60" w:line="360" w:lineRule="auto"/>
        <w:jc w:val="both"/>
        <w:rPr>
          <w:rFonts w:ascii="Arial" w:eastAsia="Times New Roman" w:hAnsi="Arial" w:cs="Arial"/>
          <w:b/>
          <w:bCs/>
          <w:color w:val="000000" w:themeColor="text1"/>
          <w:sz w:val="24"/>
        </w:rPr>
      </w:pPr>
      <w:bookmarkStart w:id="46" w:name="_Toc405708085"/>
      <w:r w:rsidRPr="00BF3393">
        <w:rPr>
          <w:b/>
          <w:color w:val="000000" w:themeColor="text1"/>
          <w:sz w:val="24"/>
        </w:rPr>
        <w:t xml:space="preserve">Estimation du budget </w:t>
      </w:r>
      <w:bookmarkEnd w:id="46"/>
    </w:p>
    <w:p w14:paraId="2F590D23" w14:textId="77777777" w:rsidR="00BF3393" w:rsidRDefault="00BF3393" w:rsidP="00BF3393">
      <w:pPr>
        <w:tabs>
          <w:tab w:val="left" w:pos="900"/>
        </w:tabs>
        <w:spacing w:line="360" w:lineRule="auto"/>
        <w:jc w:val="both"/>
        <w:rPr>
          <w:rFonts w:ascii="Cambria" w:hAnsi="Cambria"/>
          <w:sz w:val="24"/>
        </w:rPr>
      </w:pPr>
      <w:r>
        <w:rPr>
          <w:rFonts w:ascii="Cambria" w:hAnsi="Cambria"/>
        </w:rPr>
        <w:t>Les coûts prévisionnels de mise en œuvre du plan d’investissement SRMNEAN ont été estimés annuellement et présentés par programme. Ce budget prend en compte l’estimation des ressources nécessaires pour la réalisation des infrastructures visant l’atteinte des objectifs fixés pour la réduction des mortalités spécifiques.  Aussi, les coûts des interventions des différents programmes de santé, intervenant dans l’amélioration de la santé de la mère, des enfants et des adolescents ont été pris en compte dans leurs volets « interventions ».</w:t>
      </w:r>
    </w:p>
    <w:p w14:paraId="0659BBD4" w14:textId="77777777" w:rsidR="00BF3393" w:rsidRDefault="00BF3393" w:rsidP="00BF3393">
      <w:pPr>
        <w:spacing w:line="360" w:lineRule="auto"/>
        <w:jc w:val="both"/>
        <w:rPr>
          <w:rFonts w:ascii="Calibri" w:hAnsi="Calibri" w:cs="Arial"/>
          <w:color w:val="000000"/>
        </w:rPr>
      </w:pPr>
      <w:r>
        <w:rPr>
          <w:rFonts w:ascii="Calibri" w:hAnsi="Calibri" w:cs="Arial"/>
          <w:color w:val="000000"/>
        </w:rPr>
        <w:t xml:space="preserve">Ainsi, Le coût global du plan par scénario est estimé comme suit : </w:t>
      </w:r>
    </w:p>
    <w:p w14:paraId="3B876BC3" w14:textId="77777777" w:rsidR="00BF3393" w:rsidRDefault="00BF3393" w:rsidP="00A97663">
      <w:pPr>
        <w:pStyle w:val="Paragraphedeliste"/>
        <w:numPr>
          <w:ilvl w:val="0"/>
          <w:numId w:val="110"/>
        </w:numPr>
        <w:spacing w:after="0" w:line="360" w:lineRule="auto"/>
        <w:jc w:val="both"/>
        <w:rPr>
          <w:rFonts w:ascii="Calibri" w:hAnsi="Calibri" w:cs="Arial"/>
          <w:color w:val="000000"/>
        </w:rPr>
      </w:pPr>
      <w:r>
        <w:rPr>
          <w:rFonts w:ascii="Calibri" w:hAnsi="Calibri" w:cs="Arial"/>
          <w:color w:val="000000"/>
        </w:rPr>
        <w:t xml:space="preserve">scénario minimum  </w:t>
      </w:r>
      <w:r>
        <w:rPr>
          <w:rFonts w:ascii="Calibri" w:hAnsi="Calibri" w:cs="Arial"/>
          <w:b/>
          <w:color w:val="000000"/>
        </w:rPr>
        <w:t>1 593 087 203 716 FCFA</w:t>
      </w:r>
      <w:r>
        <w:rPr>
          <w:rFonts w:ascii="Calibri" w:hAnsi="Calibri" w:cs="Arial"/>
          <w:color w:val="000000"/>
        </w:rPr>
        <w:t xml:space="preserve">, soit environ  </w:t>
      </w:r>
      <w:r>
        <w:rPr>
          <w:rFonts w:ascii="Calibri" w:hAnsi="Calibri" w:cs="Arial"/>
          <w:b/>
          <w:color w:val="000000"/>
        </w:rPr>
        <w:t>2 794 889 831 USD</w:t>
      </w:r>
      <w:r>
        <w:rPr>
          <w:rFonts w:ascii="Calibri" w:hAnsi="Calibri" w:cs="Arial"/>
          <w:color w:val="000000"/>
          <w:szCs w:val="24"/>
        </w:rPr>
        <w:t> </w:t>
      </w:r>
      <w:r>
        <w:rPr>
          <w:rFonts w:ascii="Calibri" w:hAnsi="Calibri" w:cs="Arial"/>
          <w:color w:val="000000"/>
        </w:rPr>
        <w:t>;</w:t>
      </w:r>
    </w:p>
    <w:p w14:paraId="553DF713" w14:textId="77777777" w:rsidR="00BF3393" w:rsidRDefault="00BF3393" w:rsidP="00A97663">
      <w:pPr>
        <w:pStyle w:val="Paragraphedeliste"/>
        <w:numPr>
          <w:ilvl w:val="0"/>
          <w:numId w:val="110"/>
        </w:numPr>
        <w:spacing w:after="0" w:line="360" w:lineRule="auto"/>
        <w:jc w:val="both"/>
        <w:rPr>
          <w:rFonts w:ascii="Calibri" w:hAnsi="Calibri" w:cs="Arial"/>
          <w:color w:val="000000"/>
        </w:rPr>
      </w:pPr>
      <w:r>
        <w:rPr>
          <w:rFonts w:ascii="Calibri" w:hAnsi="Calibri" w:cs="Arial"/>
          <w:color w:val="000000"/>
        </w:rPr>
        <w:t xml:space="preserve">scénario moyen  </w:t>
      </w:r>
      <w:r>
        <w:rPr>
          <w:rFonts w:ascii="Calibri" w:hAnsi="Calibri" w:cs="Arial"/>
          <w:b/>
          <w:color w:val="000000"/>
        </w:rPr>
        <w:t>1 687 088 163 FCFA</w:t>
      </w:r>
      <w:r>
        <w:rPr>
          <w:rFonts w:ascii="Calibri" w:hAnsi="Calibri" w:cs="Arial"/>
          <w:color w:val="000000"/>
        </w:rPr>
        <w:t xml:space="preserve">, soit environ  </w:t>
      </w:r>
      <w:r>
        <w:rPr>
          <w:rFonts w:ascii="Calibri" w:hAnsi="Calibri" w:cs="Arial"/>
          <w:b/>
          <w:color w:val="000000"/>
        </w:rPr>
        <w:t>2 959 803 796 USD</w:t>
      </w:r>
      <w:r>
        <w:rPr>
          <w:rFonts w:ascii="Calibri" w:hAnsi="Calibri" w:cs="Arial"/>
          <w:color w:val="000000"/>
        </w:rPr>
        <w:t xml:space="preserve"> ; </w:t>
      </w:r>
    </w:p>
    <w:p w14:paraId="453C6892" w14:textId="77777777" w:rsidR="00BF3393" w:rsidRDefault="00BF3393" w:rsidP="00A97663">
      <w:pPr>
        <w:pStyle w:val="Paragraphedeliste"/>
        <w:numPr>
          <w:ilvl w:val="0"/>
          <w:numId w:val="110"/>
        </w:numPr>
        <w:spacing w:after="0" w:line="360" w:lineRule="auto"/>
        <w:jc w:val="both"/>
        <w:rPr>
          <w:rFonts w:ascii="Calibri" w:hAnsi="Calibri" w:cs="Arial"/>
          <w:color w:val="000000"/>
        </w:rPr>
      </w:pPr>
      <w:r>
        <w:rPr>
          <w:rFonts w:ascii="Calibri" w:hAnsi="Calibri" w:cs="Arial"/>
          <w:color w:val="000000"/>
        </w:rPr>
        <w:t xml:space="preserve">scénario maximum </w:t>
      </w:r>
      <w:r>
        <w:rPr>
          <w:rFonts w:ascii="Calibri" w:hAnsi="Calibri" w:cs="Arial"/>
          <w:b/>
          <w:color w:val="000000"/>
        </w:rPr>
        <w:t>2 341 314 599 549  FCFA</w:t>
      </w:r>
      <w:r>
        <w:rPr>
          <w:rFonts w:ascii="Calibri" w:hAnsi="Calibri" w:cs="Arial"/>
          <w:color w:val="000000"/>
        </w:rPr>
        <w:t xml:space="preserve">, soit environ  </w:t>
      </w:r>
      <w:r>
        <w:rPr>
          <w:rFonts w:ascii="Calibri" w:hAnsi="Calibri" w:cs="Arial"/>
          <w:b/>
          <w:color w:val="000000"/>
        </w:rPr>
        <w:t>4 107 569 473 USD</w:t>
      </w:r>
      <w:r>
        <w:rPr>
          <w:rFonts w:ascii="Calibri" w:hAnsi="Calibri" w:cs="Arial"/>
          <w:color w:val="000000"/>
        </w:rPr>
        <w:t xml:space="preserve">. </w:t>
      </w:r>
    </w:p>
    <w:p w14:paraId="39848C9F" w14:textId="77777777" w:rsidR="00BF3393" w:rsidRDefault="00BF3393" w:rsidP="00BF3393">
      <w:pPr>
        <w:spacing w:line="360" w:lineRule="auto"/>
        <w:rPr>
          <w:rFonts w:ascii="Calibri" w:hAnsi="Calibri" w:cs="Arial"/>
          <w:color w:val="000000"/>
        </w:rPr>
      </w:pPr>
    </w:p>
    <w:p w14:paraId="2D137299" w14:textId="77777777" w:rsidR="00BF3393" w:rsidRDefault="00BF3393" w:rsidP="00BF3393">
      <w:pPr>
        <w:tabs>
          <w:tab w:val="left" w:pos="900"/>
        </w:tabs>
        <w:spacing w:line="360" w:lineRule="auto"/>
        <w:jc w:val="both"/>
        <w:rPr>
          <w:rFonts w:ascii="Cambria" w:hAnsi="Cambria" w:cs="Times New Roman"/>
        </w:rPr>
      </w:pPr>
      <w:r>
        <w:rPr>
          <w:rFonts w:ascii="Cambria" w:hAnsi="Cambria"/>
        </w:rPr>
        <w:t>Le scénario minimum repose sur le maintien des acquis en matière de couvertures des interventions avec une légère augmentation de l’ordre de 5% sur les couvertures.</w:t>
      </w:r>
    </w:p>
    <w:p w14:paraId="5E203252" w14:textId="77777777" w:rsidR="00BF3393" w:rsidRDefault="00BF3393" w:rsidP="00BF3393">
      <w:pPr>
        <w:tabs>
          <w:tab w:val="left" w:pos="900"/>
        </w:tabs>
        <w:spacing w:line="360" w:lineRule="auto"/>
        <w:jc w:val="both"/>
        <w:rPr>
          <w:rFonts w:ascii="Cambria" w:hAnsi="Cambria"/>
        </w:rPr>
      </w:pPr>
      <w:r>
        <w:rPr>
          <w:rFonts w:ascii="Cambria" w:hAnsi="Cambria"/>
        </w:rPr>
        <w:t>Le scénario moyen repose sur les couvertures attendues du plan SRMNEAN.</w:t>
      </w:r>
    </w:p>
    <w:p w14:paraId="28790D5C" w14:textId="2F1C320A" w:rsidR="00BF3393" w:rsidRPr="00BF3393" w:rsidRDefault="00BF3393" w:rsidP="00BF3393">
      <w:pPr>
        <w:tabs>
          <w:tab w:val="left" w:pos="900"/>
        </w:tabs>
        <w:spacing w:line="360" w:lineRule="auto"/>
        <w:jc w:val="both"/>
        <w:rPr>
          <w:rFonts w:ascii="Cambria" w:hAnsi="Cambria"/>
        </w:rPr>
      </w:pPr>
      <w:r>
        <w:rPr>
          <w:rFonts w:ascii="Cambria" w:hAnsi="Cambria"/>
        </w:rPr>
        <w:t>Le scénario maximum repose sur les objectifs fixés du PNDS.</w:t>
      </w:r>
    </w:p>
    <w:p w14:paraId="47025525" w14:textId="77777777" w:rsidR="00BF3393" w:rsidRDefault="00BF3393" w:rsidP="00BF3393">
      <w:pPr>
        <w:tabs>
          <w:tab w:val="left" w:pos="900"/>
        </w:tabs>
        <w:spacing w:line="360" w:lineRule="auto"/>
        <w:jc w:val="both"/>
        <w:rPr>
          <w:rFonts w:ascii="Cambria" w:hAnsi="Cambria" w:cs="Times New Roman"/>
        </w:rPr>
      </w:pPr>
      <w:r>
        <w:rPr>
          <w:rFonts w:ascii="Cambria" w:hAnsi="Cambria"/>
        </w:rPr>
        <w:t>De l’analyse des différents scénarii, l’option du scénario minimum serait le fait des contraintes conjoncturelles ou tout est au ralenti. Quant au scénario moyen ou tendanciel, il offre des possibilités de mobilisations de ressources plus réalistes. Cependant, l’objectif fixé dans le PNDS ne sera pas atteint. Le scénario maximum est celui qui est idéal mais demande plus de ressources. Il est souvent retenu dans le cas où le pays regorge des ressources extraordinaires.</w:t>
      </w:r>
    </w:p>
    <w:p w14:paraId="0DA828DF" w14:textId="67B888CA" w:rsidR="00BF3393" w:rsidRPr="00BF3393" w:rsidRDefault="00BF3393" w:rsidP="00BF3393">
      <w:pPr>
        <w:tabs>
          <w:tab w:val="left" w:pos="900"/>
        </w:tabs>
        <w:spacing w:line="360" w:lineRule="auto"/>
        <w:jc w:val="both"/>
        <w:rPr>
          <w:rFonts w:ascii="Cambria" w:hAnsi="Cambria"/>
        </w:rPr>
      </w:pPr>
      <w:r>
        <w:rPr>
          <w:rFonts w:ascii="Cambria" w:hAnsi="Cambria"/>
        </w:rPr>
        <w:t>Le scénario moyen ou tendanciel serait donc le meilleur choix pour l’atteinte des objectifs.</w:t>
      </w:r>
    </w:p>
    <w:p w14:paraId="07349DA6" w14:textId="77777777" w:rsidR="00BF3393" w:rsidRDefault="00BF3393" w:rsidP="00BF3393">
      <w:pPr>
        <w:tabs>
          <w:tab w:val="left" w:pos="900"/>
        </w:tabs>
        <w:spacing w:line="360" w:lineRule="auto"/>
        <w:jc w:val="both"/>
        <w:rPr>
          <w:rFonts w:ascii="Cambria" w:hAnsi="Cambria" w:cs="Times New Roman"/>
        </w:rPr>
      </w:pPr>
      <w:r>
        <w:rPr>
          <w:rFonts w:ascii="Cambria" w:hAnsi="Cambria"/>
        </w:rPr>
        <w:t>Ainsi, selon le scénario dit moyen, le coût du programme "Interventions transversales" représente 59 % du financement total, ce qui se justifie par la prise en compte dans ce programme de nouvelles constructions à réaliser dans le cadre de ce programme, des acquisitions d’ambulances et des équipements à acquérir au profit des formations sanitaires. Le programme "santé infanto-juvénile" représente 18% du financement ; suit ensuite le programme "Santé de la mère et du nouveau-né" avec 14% des ressources.</w:t>
      </w:r>
    </w:p>
    <w:p w14:paraId="0890AA59" w14:textId="77777777" w:rsidR="00BF3393" w:rsidRDefault="00BF3393" w:rsidP="00BF3393">
      <w:pPr>
        <w:tabs>
          <w:tab w:val="left" w:pos="900"/>
        </w:tabs>
        <w:spacing w:line="360" w:lineRule="auto"/>
        <w:jc w:val="both"/>
        <w:rPr>
          <w:rFonts w:ascii="Cambria" w:hAnsi="Cambria"/>
        </w:rPr>
      </w:pPr>
      <w:r>
        <w:rPr>
          <w:rFonts w:ascii="Cambria" w:hAnsi="Cambria"/>
        </w:rPr>
        <w:t>Les programmes nutrition, santé des adolescents et jeunes, état civil occupent respectivement 8%, 1% et 1% du financement total (Cf. graphique ci-dessous).</w:t>
      </w:r>
    </w:p>
    <w:p w14:paraId="30E3BEEC" w14:textId="77777777" w:rsidR="00BF3393" w:rsidRDefault="00BF3393" w:rsidP="00BF3393">
      <w:pPr>
        <w:tabs>
          <w:tab w:val="left" w:pos="900"/>
        </w:tabs>
        <w:spacing w:line="360" w:lineRule="auto"/>
        <w:jc w:val="both"/>
        <w:rPr>
          <w:rFonts w:ascii="Cambria" w:hAnsi="Cambria"/>
        </w:rPr>
      </w:pPr>
    </w:p>
    <w:p w14:paraId="2C202C1E" w14:textId="3A04D6A4" w:rsidR="00BF3393" w:rsidRDefault="00BF3393" w:rsidP="00BF3393">
      <w:pPr>
        <w:tabs>
          <w:tab w:val="left" w:pos="900"/>
        </w:tabs>
        <w:spacing w:line="360" w:lineRule="auto"/>
        <w:jc w:val="both"/>
        <w:rPr>
          <w:rFonts w:ascii="Cambria" w:hAnsi="Cambria"/>
        </w:rPr>
      </w:pPr>
      <w:r>
        <w:rPr>
          <w:rFonts w:ascii="Cambria" w:hAnsi="Cambria"/>
        </w:rPr>
        <w:t>Graphique</w:t>
      </w:r>
      <w:r w:rsidR="00BD2D4B">
        <w:rPr>
          <w:rFonts w:ascii="Cambria" w:hAnsi="Cambria"/>
        </w:rPr>
        <w:t xml:space="preserve"> 29</w:t>
      </w:r>
      <w:r>
        <w:rPr>
          <w:rFonts w:ascii="Cambria" w:hAnsi="Cambria"/>
        </w:rPr>
        <w:t> : Répartition du budget estimatif par programme</w:t>
      </w:r>
    </w:p>
    <w:p w14:paraId="69494034" w14:textId="77777777" w:rsidR="00BF3393" w:rsidRDefault="00BF3393" w:rsidP="00BF3393">
      <w:pPr>
        <w:tabs>
          <w:tab w:val="left" w:pos="900"/>
        </w:tabs>
        <w:spacing w:line="360" w:lineRule="auto"/>
        <w:jc w:val="both"/>
        <w:rPr>
          <w:rFonts w:ascii="Cambria" w:hAnsi="Cambria"/>
        </w:rPr>
      </w:pPr>
      <w:r>
        <w:rPr>
          <w:noProof/>
          <w:lang w:eastAsia="fr-FR"/>
        </w:rPr>
        <w:drawing>
          <wp:inline distT="0" distB="0" distL="0" distR="0" wp14:anchorId="491CC50B" wp14:editId="6FC016E7">
            <wp:extent cx="5743575" cy="3514725"/>
            <wp:effectExtent l="0" t="0" r="9525" b="9525"/>
            <wp:docPr id="248" name="Graphique 248"/>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3A310BC5" w14:textId="77777777" w:rsidR="00BF3393" w:rsidRDefault="00BF3393" w:rsidP="00BF3393">
      <w:pPr>
        <w:tabs>
          <w:tab w:val="left" w:pos="900"/>
        </w:tabs>
        <w:spacing w:line="360" w:lineRule="auto"/>
        <w:jc w:val="both"/>
        <w:rPr>
          <w:rFonts w:ascii="Cambria" w:hAnsi="Cambria"/>
        </w:rPr>
      </w:pPr>
    </w:p>
    <w:p w14:paraId="069D483B" w14:textId="77777777" w:rsidR="00BF3393" w:rsidRDefault="00BF3393" w:rsidP="00BF3393">
      <w:pPr>
        <w:tabs>
          <w:tab w:val="left" w:pos="900"/>
        </w:tabs>
        <w:spacing w:line="360" w:lineRule="auto"/>
        <w:jc w:val="both"/>
        <w:rPr>
          <w:rFonts w:ascii="Cambria" w:hAnsi="Cambria"/>
        </w:rPr>
      </w:pPr>
    </w:p>
    <w:p w14:paraId="5AE8B3BB" w14:textId="77777777" w:rsidR="00BF3393" w:rsidRDefault="00BF3393" w:rsidP="00BF3393">
      <w:pPr>
        <w:tabs>
          <w:tab w:val="left" w:pos="900"/>
        </w:tabs>
        <w:spacing w:line="360" w:lineRule="auto"/>
        <w:jc w:val="both"/>
        <w:rPr>
          <w:rFonts w:ascii="Cambria" w:hAnsi="Cambria"/>
        </w:rPr>
      </w:pPr>
    </w:p>
    <w:p w14:paraId="2C4404E5" w14:textId="2398B4FD" w:rsidR="00BF3393" w:rsidRDefault="00BF3393" w:rsidP="00BF3393">
      <w:pPr>
        <w:tabs>
          <w:tab w:val="left" w:pos="900"/>
        </w:tabs>
        <w:spacing w:line="360" w:lineRule="auto"/>
        <w:jc w:val="both"/>
        <w:rPr>
          <w:rFonts w:ascii="Cambria" w:hAnsi="Cambria"/>
        </w:rPr>
      </w:pPr>
      <w:r>
        <w:rPr>
          <w:rFonts w:ascii="Cambria" w:hAnsi="Cambria"/>
        </w:rPr>
        <w:t>Les tableaux ci-après présentent le budget annuel par scénario et par programme.</w:t>
      </w:r>
    </w:p>
    <w:p w14:paraId="34640AC1" w14:textId="77777777" w:rsidR="00220FDF" w:rsidRDefault="00220FDF" w:rsidP="00BF3393">
      <w:pPr>
        <w:tabs>
          <w:tab w:val="left" w:pos="900"/>
        </w:tabs>
        <w:spacing w:line="360" w:lineRule="auto"/>
        <w:jc w:val="both"/>
        <w:rPr>
          <w:rFonts w:ascii="Cambria" w:hAnsi="Cambria"/>
        </w:rPr>
      </w:pPr>
    </w:p>
    <w:p w14:paraId="487C979D" w14:textId="77777777" w:rsidR="00BF3393" w:rsidRDefault="00BF3393" w:rsidP="00BF3393">
      <w:pPr>
        <w:spacing w:line="360" w:lineRule="auto"/>
        <w:jc w:val="both"/>
        <w:rPr>
          <w:rFonts w:ascii="Calibri" w:hAnsi="Calibri" w:cs="Arial"/>
          <w:color w:val="000000"/>
        </w:rPr>
      </w:pPr>
    </w:p>
    <w:p w14:paraId="6ED13461" w14:textId="77777777" w:rsidR="00BF3393" w:rsidRDefault="00BF3393" w:rsidP="00BF3393">
      <w:pPr>
        <w:spacing w:line="360" w:lineRule="auto"/>
        <w:jc w:val="both"/>
        <w:rPr>
          <w:rFonts w:ascii="Calibri" w:hAnsi="Calibri" w:cs="Arial"/>
          <w:color w:val="000000"/>
        </w:rPr>
      </w:pPr>
    </w:p>
    <w:p w14:paraId="6AD35EFA" w14:textId="77777777" w:rsidR="00BF3393" w:rsidRDefault="00BF3393" w:rsidP="00BF3393">
      <w:pPr>
        <w:spacing w:line="360" w:lineRule="auto"/>
        <w:jc w:val="both"/>
        <w:rPr>
          <w:rFonts w:ascii="Calibri" w:hAnsi="Calibri" w:cs="Arial"/>
          <w:color w:val="000000"/>
        </w:rPr>
      </w:pPr>
    </w:p>
    <w:p w14:paraId="49EF92D5" w14:textId="77777777" w:rsidR="00BF3393" w:rsidRDefault="00BF3393" w:rsidP="00BF3393">
      <w:pPr>
        <w:spacing w:after="160" w:line="256" w:lineRule="auto"/>
        <w:rPr>
          <w:rFonts w:ascii="Calibri" w:hAnsi="Calibri" w:cs="Arial"/>
          <w:color w:val="000000"/>
        </w:rPr>
      </w:pPr>
      <w:r>
        <w:rPr>
          <w:rFonts w:ascii="Calibri" w:hAnsi="Calibri" w:cs="Arial"/>
          <w:color w:val="000000"/>
        </w:rPr>
        <w:br w:type="page"/>
      </w:r>
    </w:p>
    <w:p w14:paraId="06E0D285" w14:textId="77777777" w:rsidR="00BF3393" w:rsidRDefault="00BF3393" w:rsidP="00BF3393">
      <w:pPr>
        <w:spacing w:line="360" w:lineRule="auto"/>
        <w:rPr>
          <w:rFonts w:ascii="Calibri" w:hAnsi="Calibri" w:cs="Arial"/>
          <w:color w:val="000000"/>
        </w:rPr>
        <w:sectPr w:rsidR="00BF3393" w:rsidSect="00220FDF">
          <w:pgSz w:w="11906" w:h="16838"/>
          <w:pgMar w:top="1152" w:right="1440" w:bottom="1152" w:left="1440" w:header="720" w:footer="720" w:gutter="0"/>
          <w:pgNumType w:chapStyle="1"/>
          <w:cols w:space="720"/>
        </w:sectPr>
      </w:pPr>
    </w:p>
    <w:p w14:paraId="5C35CB08" w14:textId="192C9CB5" w:rsidR="00BF3393" w:rsidRPr="00BF3393" w:rsidRDefault="00BF3393" w:rsidP="00BF3393">
      <w:pPr>
        <w:spacing w:line="360" w:lineRule="auto"/>
        <w:jc w:val="both"/>
        <w:rPr>
          <w:rFonts w:ascii="Calibri" w:hAnsi="Calibri" w:cs="Arial"/>
          <w:b/>
          <w:color w:val="000000"/>
        </w:rPr>
      </w:pPr>
      <w:r>
        <w:rPr>
          <w:rFonts w:ascii="Calibri" w:hAnsi="Calibri" w:cs="Arial"/>
          <w:b/>
          <w:color w:val="000000"/>
          <w:u w:val="single"/>
        </w:rPr>
        <w:lastRenderedPageBreak/>
        <w:t xml:space="preserve">Tableau </w:t>
      </w:r>
      <w:r w:rsidR="00BD2D4B">
        <w:rPr>
          <w:rFonts w:ascii="Calibri" w:hAnsi="Calibri" w:cs="Arial"/>
          <w:b/>
          <w:color w:val="000000"/>
          <w:u w:val="single"/>
        </w:rPr>
        <w:t>10</w:t>
      </w:r>
      <w:r>
        <w:rPr>
          <w:rFonts w:ascii="Calibri" w:hAnsi="Calibri" w:cs="Arial"/>
          <w:b/>
          <w:color w:val="000000"/>
        </w:rPr>
        <w:t> : Budget annuel de la SRMNEAN-ETAT CIVIL par programme en FCFA_ Scénario minimum</w:t>
      </w:r>
    </w:p>
    <w:tbl>
      <w:tblPr>
        <w:tblW w:w="4781" w:type="pct"/>
        <w:tblInd w:w="354" w:type="dxa"/>
        <w:tblCellMar>
          <w:left w:w="70" w:type="dxa"/>
          <w:right w:w="70" w:type="dxa"/>
        </w:tblCellMar>
        <w:tblLook w:val="04A0" w:firstRow="1" w:lastRow="0" w:firstColumn="1" w:lastColumn="0" w:noHBand="0" w:noVBand="1"/>
      </w:tblPr>
      <w:tblGrid>
        <w:gridCol w:w="3285"/>
        <w:gridCol w:w="1612"/>
        <w:gridCol w:w="1611"/>
        <w:gridCol w:w="1628"/>
        <w:gridCol w:w="1611"/>
        <w:gridCol w:w="1617"/>
        <w:gridCol w:w="1770"/>
        <w:gridCol w:w="756"/>
      </w:tblGrid>
      <w:tr w:rsidR="00BF3393" w:rsidRPr="00BF3393" w14:paraId="17149E7C" w14:textId="77777777" w:rsidTr="00F847BF">
        <w:trPr>
          <w:trHeight w:val="300"/>
        </w:trPr>
        <w:tc>
          <w:tcPr>
            <w:tcW w:w="1182" w:type="pct"/>
            <w:tcBorders>
              <w:top w:val="single" w:sz="4" w:space="0" w:color="auto"/>
              <w:left w:val="single" w:sz="4" w:space="0" w:color="auto"/>
              <w:bottom w:val="single" w:sz="4" w:space="0" w:color="auto"/>
              <w:right w:val="single" w:sz="4" w:space="0" w:color="auto"/>
            </w:tcBorders>
            <w:shd w:val="clear" w:color="auto" w:fill="D9D9D9"/>
            <w:noWrap/>
            <w:vAlign w:val="bottom"/>
            <w:hideMark/>
          </w:tcPr>
          <w:p w14:paraId="16BAD0B2"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Programmes</w:t>
            </w:r>
          </w:p>
        </w:tc>
        <w:tc>
          <w:tcPr>
            <w:tcW w:w="580" w:type="pct"/>
            <w:tcBorders>
              <w:top w:val="single" w:sz="4" w:space="0" w:color="auto"/>
              <w:left w:val="nil"/>
              <w:bottom w:val="single" w:sz="4" w:space="0" w:color="auto"/>
              <w:right w:val="single" w:sz="4" w:space="0" w:color="auto"/>
            </w:tcBorders>
            <w:shd w:val="clear" w:color="auto" w:fill="D9D9D9"/>
            <w:noWrap/>
            <w:vAlign w:val="bottom"/>
            <w:hideMark/>
          </w:tcPr>
          <w:p w14:paraId="17E4E787"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2019</w:t>
            </w:r>
          </w:p>
        </w:tc>
        <w:tc>
          <w:tcPr>
            <w:tcW w:w="580" w:type="pct"/>
            <w:tcBorders>
              <w:top w:val="single" w:sz="4" w:space="0" w:color="auto"/>
              <w:left w:val="nil"/>
              <w:bottom w:val="single" w:sz="4" w:space="0" w:color="auto"/>
              <w:right w:val="single" w:sz="4" w:space="0" w:color="auto"/>
            </w:tcBorders>
            <w:shd w:val="clear" w:color="auto" w:fill="D9D9D9"/>
            <w:noWrap/>
            <w:vAlign w:val="bottom"/>
            <w:hideMark/>
          </w:tcPr>
          <w:p w14:paraId="4392D59F"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2020</w:t>
            </w:r>
          </w:p>
        </w:tc>
        <w:tc>
          <w:tcPr>
            <w:tcW w:w="586" w:type="pct"/>
            <w:tcBorders>
              <w:top w:val="single" w:sz="4" w:space="0" w:color="auto"/>
              <w:left w:val="nil"/>
              <w:bottom w:val="single" w:sz="4" w:space="0" w:color="auto"/>
              <w:right w:val="single" w:sz="4" w:space="0" w:color="auto"/>
            </w:tcBorders>
            <w:shd w:val="clear" w:color="auto" w:fill="D9D9D9"/>
            <w:noWrap/>
            <w:vAlign w:val="bottom"/>
            <w:hideMark/>
          </w:tcPr>
          <w:p w14:paraId="731A1BB6"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2021</w:t>
            </w:r>
          </w:p>
        </w:tc>
        <w:tc>
          <w:tcPr>
            <w:tcW w:w="580" w:type="pct"/>
            <w:tcBorders>
              <w:top w:val="single" w:sz="4" w:space="0" w:color="auto"/>
              <w:left w:val="nil"/>
              <w:bottom w:val="single" w:sz="4" w:space="0" w:color="auto"/>
              <w:right w:val="single" w:sz="4" w:space="0" w:color="auto"/>
            </w:tcBorders>
            <w:shd w:val="clear" w:color="auto" w:fill="D9D9D9"/>
            <w:noWrap/>
            <w:vAlign w:val="bottom"/>
            <w:hideMark/>
          </w:tcPr>
          <w:p w14:paraId="4BA604FC"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2022</w:t>
            </w:r>
          </w:p>
        </w:tc>
        <w:tc>
          <w:tcPr>
            <w:tcW w:w="582" w:type="pct"/>
            <w:tcBorders>
              <w:top w:val="single" w:sz="4" w:space="0" w:color="auto"/>
              <w:left w:val="nil"/>
              <w:bottom w:val="single" w:sz="4" w:space="0" w:color="auto"/>
              <w:right w:val="single" w:sz="4" w:space="0" w:color="auto"/>
            </w:tcBorders>
            <w:shd w:val="clear" w:color="auto" w:fill="D9D9D9"/>
            <w:noWrap/>
            <w:vAlign w:val="bottom"/>
            <w:hideMark/>
          </w:tcPr>
          <w:p w14:paraId="3B1A18BB"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2023</w:t>
            </w:r>
          </w:p>
        </w:tc>
        <w:tc>
          <w:tcPr>
            <w:tcW w:w="637" w:type="pct"/>
            <w:tcBorders>
              <w:top w:val="single" w:sz="4" w:space="0" w:color="auto"/>
              <w:left w:val="nil"/>
              <w:bottom w:val="single" w:sz="4" w:space="0" w:color="auto"/>
              <w:right w:val="single" w:sz="4" w:space="0" w:color="auto"/>
            </w:tcBorders>
            <w:shd w:val="clear" w:color="auto" w:fill="D9D9D9"/>
            <w:noWrap/>
            <w:vAlign w:val="bottom"/>
            <w:hideMark/>
          </w:tcPr>
          <w:p w14:paraId="733387F6"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Total</w:t>
            </w:r>
          </w:p>
        </w:tc>
        <w:tc>
          <w:tcPr>
            <w:tcW w:w="272" w:type="pct"/>
            <w:tcBorders>
              <w:top w:val="single" w:sz="4" w:space="0" w:color="auto"/>
              <w:left w:val="nil"/>
              <w:bottom w:val="single" w:sz="4" w:space="0" w:color="auto"/>
              <w:right w:val="single" w:sz="4" w:space="0" w:color="auto"/>
            </w:tcBorders>
            <w:shd w:val="clear" w:color="auto" w:fill="D9D9D9"/>
            <w:noWrap/>
            <w:vAlign w:val="bottom"/>
            <w:hideMark/>
          </w:tcPr>
          <w:p w14:paraId="1AF3D3E4"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w:t>
            </w:r>
          </w:p>
        </w:tc>
      </w:tr>
      <w:tr w:rsidR="00BF3393" w:rsidRPr="00BF3393" w14:paraId="45A01B80" w14:textId="77777777" w:rsidTr="00F847BF">
        <w:trPr>
          <w:trHeight w:val="300"/>
        </w:trPr>
        <w:tc>
          <w:tcPr>
            <w:tcW w:w="1182" w:type="pct"/>
            <w:tcBorders>
              <w:top w:val="nil"/>
              <w:left w:val="single" w:sz="4" w:space="0" w:color="auto"/>
              <w:bottom w:val="single" w:sz="4" w:space="0" w:color="auto"/>
              <w:right w:val="single" w:sz="4" w:space="0" w:color="auto"/>
            </w:tcBorders>
            <w:noWrap/>
            <w:vAlign w:val="bottom"/>
            <w:hideMark/>
          </w:tcPr>
          <w:p w14:paraId="0D10A78F" w14:textId="77777777" w:rsidR="00BF3393" w:rsidRPr="00BF3393" w:rsidRDefault="00BF3393" w:rsidP="00F847BF">
            <w:pPr>
              <w:spacing w:line="256" w:lineRule="auto"/>
              <w:rPr>
                <w:rFonts w:ascii="Calibri" w:hAnsi="Calibri" w:cs="Calibri"/>
                <w:color w:val="000000"/>
                <w:sz w:val="20"/>
                <w:szCs w:val="20"/>
              </w:rPr>
            </w:pPr>
            <w:r w:rsidRPr="00BF3393">
              <w:rPr>
                <w:rFonts w:ascii="Calibri" w:hAnsi="Calibri" w:cs="Calibri"/>
                <w:color w:val="000000"/>
                <w:sz w:val="20"/>
                <w:szCs w:val="20"/>
              </w:rPr>
              <w:t>Santé de la mère et du nouveau-né</w:t>
            </w:r>
          </w:p>
        </w:tc>
        <w:tc>
          <w:tcPr>
            <w:tcW w:w="580" w:type="pct"/>
            <w:tcBorders>
              <w:top w:val="nil"/>
              <w:left w:val="nil"/>
              <w:bottom w:val="single" w:sz="4" w:space="0" w:color="auto"/>
              <w:right w:val="single" w:sz="4" w:space="0" w:color="auto"/>
            </w:tcBorders>
            <w:noWrap/>
            <w:vAlign w:val="center"/>
            <w:hideMark/>
          </w:tcPr>
          <w:p w14:paraId="52F8C861"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46 268 949 665</w:t>
            </w:r>
          </w:p>
        </w:tc>
        <w:tc>
          <w:tcPr>
            <w:tcW w:w="580" w:type="pct"/>
            <w:tcBorders>
              <w:top w:val="nil"/>
              <w:left w:val="nil"/>
              <w:bottom w:val="single" w:sz="4" w:space="0" w:color="auto"/>
              <w:right w:val="single" w:sz="4" w:space="0" w:color="auto"/>
            </w:tcBorders>
            <w:noWrap/>
            <w:vAlign w:val="center"/>
            <w:hideMark/>
          </w:tcPr>
          <w:p w14:paraId="2D2C0A41"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44 350 267 667</w:t>
            </w:r>
          </w:p>
        </w:tc>
        <w:tc>
          <w:tcPr>
            <w:tcW w:w="586" w:type="pct"/>
            <w:tcBorders>
              <w:top w:val="nil"/>
              <w:left w:val="nil"/>
              <w:bottom w:val="single" w:sz="4" w:space="0" w:color="auto"/>
              <w:right w:val="single" w:sz="4" w:space="0" w:color="auto"/>
            </w:tcBorders>
            <w:noWrap/>
            <w:vAlign w:val="center"/>
            <w:hideMark/>
          </w:tcPr>
          <w:p w14:paraId="0D92315D"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43 238 073 618</w:t>
            </w:r>
          </w:p>
        </w:tc>
        <w:tc>
          <w:tcPr>
            <w:tcW w:w="580" w:type="pct"/>
            <w:tcBorders>
              <w:top w:val="nil"/>
              <w:left w:val="nil"/>
              <w:bottom w:val="single" w:sz="4" w:space="0" w:color="auto"/>
              <w:right w:val="single" w:sz="4" w:space="0" w:color="auto"/>
            </w:tcBorders>
            <w:noWrap/>
            <w:vAlign w:val="center"/>
            <w:hideMark/>
          </w:tcPr>
          <w:p w14:paraId="3C7C76C8"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47 371 454 878</w:t>
            </w:r>
          </w:p>
        </w:tc>
        <w:tc>
          <w:tcPr>
            <w:tcW w:w="582" w:type="pct"/>
            <w:tcBorders>
              <w:top w:val="nil"/>
              <w:left w:val="nil"/>
              <w:bottom w:val="single" w:sz="4" w:space="0" w:color="auto"/>
              <w:right w:val="single" w:sz="4" w:space="0" w:color="auto"/>
            </w:tcBorders>
            <w:noWrap/>
            <w:vAlign w:val="center"/>
            <w:hideMark/>
          </w:tcPr>
          <w:p w14:paraId="0DE5A0C4"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43 550 625 789</w:t>
            </w:r>
          </w:p>
        </w:tc>
        <w:tc>
          <w:tcPr>
            <w:tcW w:w="637" w:type="pct"/>
            <w:tcBorders>
              <w:top w:val="nil"/>
              <w:left w:val="nil"/>
              <w:bottom w:val="single" w:sz="4" w:space="0" w:color="auto"/>
              <w:right w:val="single" w:sz="4" w:space="0" w:color="auto"/>
            </w:tcBorders>
            <w:noWrap/>
            <w:vAlign w:val="center"/>
            <w:hideMark/>
          </w:tcPr>
          <w:p w14:paraId="3D5524F8"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224 779 371 617</w:t>
            </w:r>
          </w:p>
        </w:tc>
        <w:tc>
          <w:tcPr>
            <w:tcW w:w="272" w:type="pct"/>
            <w:tcBorders>
              <w:top w:val="nil"/>
              <w:left w:val="nil"/>
              <w:bottom w:val="single" w:sz="4" w:space="0" w:color="auto"/>
              <w:right w:val="single" w:sz="4" w:space="0" w:color="auto"/>
            </w:tcBorders>
            <w:noWrap/>
            <w:vAlign w:val="center"/>
            <w:hideMark/>
          </w:tcPr>
          <w:p w14:paraId="0678068E"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14%</w:t>
            </w:r>
          </w:p>
        </w:tc>
      </w:tr>
      <w:tr w:rsidR="00BF3393" w:rsidRPr="00BF3393" w14:paraId="0AFC4F72" w14:textId="77777777" w:rsidTr="00F847BF">
        <w:trPr>
          <w:trHeight w:val="300"/>
        </w:trPr>
        <w:tc>
          <w:tcPr>
            <w:tcW w:w="1182" w:type="pct"/>
            <w:tcBorders>
              <w:top w:val="nil"/>
              <w:left w:val="single" w:sz="4" w:space="0" w:color="auto"/>
              <w:bottom w:val="single" w:sz="4" w:space="0" w:color="auto"/>
              <w:right w:val="single" w:sz="4" w:space="0" w:color="auto"/>
            </w:tcBorders>
            <w:noWrap/>
            <w:vAlign w:val="bottom"/>
            <w:hideMark/>
          </w:tcPr>
          <w:p w14:paraId="2A4BD3E5" w14:textId="77777777" w:rsidR="00BF3393" w:rsidRPr="00BF3393" w:rsidRDefault="00BF3393" w:rsidP="00F847BF">
            <w:pPr>
              <w:spacing w:line="256" w:lineRule="auto"/>
              <w:rPr>
                <w:rFonts w:ascii="Calibri" w:hAnsi="Calibri" w:cs="Calibri"/>
                <w:color w:val="000000"/>
                <w:sz w:val="20"/>
                <w:szCs w:val="20"/>
              </w:rPr>
            </w:pPr>
            <w:r w:rsidRPr="00BF3393">
              <w:rPr>
                <w:rFonts w:ascii="Calibri" w:hAnsi="Calibri" w:cs="Calibri"/>
                <w:color w:val="000000"/>
                <w:sz w:val="20"/>
                <w:szCs w:val="20"/>
              </w:rPr>
              <w:t>Santé infanto-juvénile</w:t>
            </w:r>
          </w:p>
        </w:tc>
        <w:tc>
          <w:tcPr>
            <w:tcW w:w="580" w:type="pct"/>
            <w:tcBorders>
              <w:top w:val="nil"/>
              <w:left w:val="nil"/>
              <w:bottom w:val="single" w:sz="4" w:space="0" w:color="auto"/>
              <w:right w:val="single" w:sz="4" w:space="0" w:color="auto"/>
            </w:tcBorders>
            <w:noWrap/>
            <w:vAlign w:val="center"/>
            <w:hideMark/>
          </w:tcPr>
          <w:p w14:paraId="3A0CBC3A"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45 967 176 982</w:t>
            </w:r>
          </w:p>
        </w:tc>
        <w:tc>
          <w:tcPr>
            <w:tcW w:w="580" w:type="pct"/>
            <w:tcBorders>
              <w:top w:val="nil"/>
              <w:left w:val="nil"/>
              <w:bottom w:val="single" w:sz="4" w:space="0" w:color="auto"/>
              <w:right w:val="single" w:sz="4" w:space="0" w:color="auto"/>
            </w:tcBorders>
            <w:noWrap/>
            <w:vAlign w:val="center"/>
            <w:hideMark/>
          </w:tcPr>
          <w:p w14:paraId="159DD437"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42 315 771 813</w:t>
            </w:r>
          </w:p>
        </w:tc>
        <w:tc>
          <w:tcPr>
            <w:tcW w:w="586" w:type="pct"/>
            <w:tcBorders>
              <w:top w:val="nil"/>
              <w:left w:val="nil"/>
              <w:bottom w:val="single" w:sz="4" w:space="0" w:color="auto"/>
              <w:right w:val="single" w:sz="4" w:space="0" w:color="auto"/>
            </w:tcBorders>
            <w:noWrap/>
            <w:vAlign w:val="center"/>
            <w:hideMark/>
          </w:tcPr>
          <w:p w14:paraId="62E2FEF8"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42 674 714 009</w:t>
            </w:r>
          </w:p>
        </w:tc>
        <w:tc>
          <w:tcPr>
            <w:tcW w:w="580" w:type="pct"/>
            <w:tcBorders>
              <w:top w:val="nil"/>
              <w:left w:val="nil"/>
              <w:bottom w:val="single" w:sz="4" w:space="0" w:color="auto"/>
              <w:right w:val="single" w:sz="4" w:space="0" w:color="auto"/>
            </w:tcBorders>
            <w:noWrap/>
            <w:vAlign w:val="center"/>
            <w:hideMark/>
          </w:tcPr>
          <w:p w14:paraId="395C6AC1"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48 234 023 651</w:t>
            </w:r>
          </w:p>
        </w:tc>
        <w:tc>
          <w:tcPr>
            <w:tcW w:w="582" w:type="pct"/>
            <w:tcBorders>
              <w:top w:val="nil"/>
              <w:left w:val="nil"/>
              <w:bottom w:val="single" w:sz="4" w:space="0" w:color="auto"/>
              <w:right w:val="single" w:sz="4" w:space="0" w:color="auto"/>
            </w:tcBorders>
            <w:noWrap/>
            <w:vAlign w:val="center"/>
            <w:hideMark/>
          </w:tcPr>
          <w:p w14:paraId="29782EDA"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44 268 122 438</w:t>
            </w:r>
          </w:p>
        </w:tc>
        <w:tc>
          <w:tcPr>
            <w:tcW w:w="637" w:type="pct"/>
            <w:tcBorders>
              <w:top w:val="nil"/>
              <w:left w:val="nil"/>
              <w:bottom w:val="single" w:sz="4" w:space="0" w:color="auto"/>
              <w:right w:val="single" w:sz="4" w:space="0" w:color="auto"/>
            </w:tcBorders>
            <w:noWrap/>
            <w:vAlign w:val="center"/>
            <w:hideMark/>
          </w:tcPr>
          <w:p w14:paraId="02AA38A4"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223 459 808 892</w:t>
            </w:r>
          </w:p>
        </w:tc>
        <w:tc>
          <w:tcPr>
            <w:tcW w:w="272" w:type="pct"/>
            <w:tcBorders>
              <w:top w:val="nil"/>
              <w:left w:val="nil"/>
              <w:bottom w:val="single" w:sz="4" w:space="0" w:color="auto"/>
              <w:right w:val="single" w:sz="4" w:space="0" w:color="auto"/>
            </w:tcBorders>
            <w:noWrap/>
            <w:vAlign w:val="center"/>
            <w:hideMark/>
          </w:tcPr>
          <w:p w14:paraId="574B9E14"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14%</w:t>
            </w:r>
          </w:p>
        </w:tc>
      </w:tr>
      <w:tr w:rsidR="00BF3393" w:rsidRPr="00BF3393" w14:paraId="1EBDE06F" w14:textId="77777777" w:rsidTr="00F847BF">
        <w:trPr>
          <w:trHeight w:val="300"/>
        </w:trPr>
        <w:tc>
          <w:tcPr>
            <w:tcW w:w="1182" w:type="pct"/>
            <w:tcBorders>
              <w:top w:val="nil"/>
              <w:left w:val="single" w:sz="4" w:space="0" w:color="auto"/>
              <w:bottom w:val="single" w:sz="4" w:space="0" w:color="auto"/>
              <w:right w:val="single" w:sz="4" w:space="0" w:color="auto"/>
            </w:tcBorders>
            <w:noWrap/>
            <w:vAlign w:val="bottom"/>
            <w:hideMark/>
          </w:tcPr>
          <w:p w14:paraId="0C807B4B" w14:textId="77777777" w:rsidR="00BF3393" w:rsidRPr="00BF3393" w:rsidRDefault="00BF3393" w:rsidP="00F847BF">
            <w:pPr>
              <w:spacing w:line="256" w:lineRule="auto"/>
              <w:rPr>
                <w:rFonts w:ascii="Calibri" w:hAnsi="Calibri" w:cs="Calibri"/>
                <w:color w:val="000000"/>
                <w:sz w:val="20"/>
                <w:szCs w:val="20"/>
              </w:rPr>
            </w:pPr>
            <w:r w:rsidRPr="00BF3393">
              <w:rPr>
                <w:rFonts w:ascii="Calibri" w:hAnsi="Calibri" w:cs="Calibri"/>
                <w:color w:val="000000"/>
                <w:sz w:val="20"/>
                <w:szCs w:val="20"/>
              </w:rPr>
              <w:t>Sante des adolescents(es) et jeunes</w:t>
            </w:r>
          </w:p>
        </w:tc>
        <w:tc>
          <w:tcPr>
            <w:tcW w:w="580" w:type="pct"/>
            <w:tcBorders>
              <w:top w:val="nil"/>
              <w:left w:val="nil"/>
              <w:bottom w:val="single" w:sz="4" w:space="0" w:color="auto"/>
              <w:right w:val="single" w:sz="4" w:space="0" w:color="auto"/>
            </w:tcBorders>
            <w:noWrap/>
            <w:vAlign w:val="center"/>
            <w:hideMark/>
          </w:tcPr>
          <w:p w14:paraId="3806AC89"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884 332 278</w:t>
            </w:r>
          </w:p>
        </w:tc>
        <w:tc>
          <w:tcPr>
            <w:tcW w:w="580" w:type="pct"/>
            <w:tcBorders>
              <w:top w:val="nil"/>
              <w:left w:val="nil"/>
              <w:bottom w:val="single" w:sz="4" w:space="0" w:color="auto"/>
              <w:right w:val="single" w:sz="4" w:space="0" w:color="auto"/>
            </w:tcBorders>
            <w:noWrap/>
            <w:vAlign w:val="center"/>
            <w:hideMark/>
          </w:tcPr>
          <w:p w14:paraId="7315D7C3"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834 771 840</w:t>
            </w:r>
          </w:p>
        </w:tc>
        <w:tc>
          <w:tcPr>
            <w:tcW w:w="586" w:type="pct"/>
            <w:tcBorders>
              <w:top w:val="nil"/>
              <w:left w:val="nil"/>
              <w:bottom w:val="single" w:sz="4" w:space="0" w:color="auto"/>
              <w:right w:val="single" w:sz="4" w:space="0" w:color="auto"/>
            </w:tcBorders>
            <w:noWrap/>
            <w:vAlign w:val="center"/>
            <w:hideMark/>
          </w:tcPr>
          <w:p w14:paraId="2803456F"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921 395 790</w:t>
            </w:r>
          </w:p>
        </w:tc>
        <w:tc>
          <w:tcPr>
            <w:tcW w:w="580" w:type="pct"/>
            <w:tcBorders>
              <w:top w:val="nil"/>
              <w:left w:val="nil"/>
              <w:bottom w:val="single" w:sz="4" w:space="0" w:color="auto"/>
              <w:right w:val="single" w:sz="4" w:space="0" w:color="auto"/>
            </w:tcBorders>
            <w:noWrap/>
            <w:vAlign w:val="center"/>
            <w:hideMark/>
          </w:tcPr>
          <w:p w14:paraId="208B74E4"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873 465 134</w:t>
            </w:r>
          </w:p>
        </w:tc>
        <w:tc>
          <w:tcPr>
            <w:tcW w:w="582" w:type="pct"/>
            <w:tcBorders>
              <w:top w:val="nil"/>
              <w:left w:val="nil"/>
              <w:bottom w:val="single" w:sz="4" w:space="0" w:color="auto"/>
              <w:right w:val="single" w:sz="4" w:space="0" w:color="auto"/>
            </w:tcBorders>
            <w:noWrap/>
            <w:vAlign w:val="center"/>
            <w:hideMark/>
          </w:tcPr>
          <w:p w14:paraId="210FFFD5"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958 296 850</w:t>
            </w:r>
          </w:p>
        </w:tc>
        <w:tc>
          <w:tcPr>
            <w:tcW w:w="637" w:type="pct"/>
            <w:tcBorders>
              <w:top w:val="nil"/>
              <w:left w:val="nil"/>
              <w:bottom w:val="single" w:sz="4" w:space="0" w:color="auto"/>
              <w:right w:val="single" w:sz="4" w:space="0" w:color="auto"/>
            </w:tcBorders>
            <w:noWrap/>
            <w:vAlign w:val="center"/>
            <w:hideMark/>
          </w:tcPr>
          <w:p w14:paraId="7DD66046"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4 472 261 892</w:t>
            </w:r>
          </w:p>
        </w:tc>
        <w:tc>
          <w:tcPr>
            <w:tcW w:w="272" w:type="pct"/>
            <w:tcBorders>
              <w:top w:val="nil"/>
              <w:left w:val="nil"/>
              <w:bottom w:val="single" w:sz="4" w:space="0" w:color="auto"/>
              <w:right w:val="single" w:sz="4" w:space="0" w:color="auto"/>
            </w:tcBorders>
            <w:noWrap/>
            <w:vAlign w:val="center"/>
            <w:hideMark/>
          </w:tcPr>
          <w:p w14:paraId="24384BBA"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0,3%</w:t>
            </w:r>
          </w:p>
        </w:tc>
      </w:tr>
      <w:tr w:rsidR="00BF3393" w:rsidRPr="00BF3393" w14:paraId="0443702D" w14:textId="77777777" w:rsidTr="00F847BF">
        <w:trPr>
          <w:trHeight w:val="300"/>
        </w:trPr>
        <w:tc>
          <w:tcPr>
            <w:tcW w:w="1182" w:type="pct"/>
            <w:tcBorders>
              <w:top w:val="nil"/>
              <w:left w:val="single" w:sz="4" w:space="0" w:color="auto"/>
              <w:bottom w:val="single" w:sz="4" w:space="0" w:color="auto"/>
              <w:right w:val="single" w:sz="4" w:space="0" w:color="auto"/>
            </w:tcBorders>
            <w:noWrap/>
            <w:vAlign w:val="bottom"/>
            <w:hideMark/>
          </w:tcPr>
          <w:p w14:paraId="7557CF33" w14:textId="77777777" w:rsidR="00BF3393" w:rsidRPr="00BF3393" w:rsidRDefault="00BF3393" w:rsidP="00F847BF">
            <w:pPr>
              <w:spacing w:line="256" w:lineRule="auto"/>
              <w:rPr>
                <w:rFonts w:ascii="Calibri" w:hAnsi="Calibri" w:cs="Calibri"/>
                <w:color w:val="000000"/>
                <w:sz w:val="20"/>
                <w:szCs w:val="20"/>
              </w:rPr>
            </w:pPr>
            <w:r w:rsidRPr="00BF3393">
              <w:rPr>
                <w:rFonts w:ascii="Calibri" w:hAnsi="Calibri" w:cs="Calibri"/>
                <w:color w:val="000000"/>
                <w:sz w:val="20"/>
                <w:szCs w:val="20"/>
              </w:rPr>
              <w:t>Nutrition</w:t>
            </w:r>
          </w:p>
        </w:tc>
        <w:tc>
          <w:tcPr>
            <w:tcW w:w="580" w:type="pct"/>
            <w:tcBorders>
              <w:top w:val="nil"/>
              <w:left w:val="nil"/>
              <w:bottom w:val="single" w:sz="4" w:space="0" w:color="auto"/>
              <w:right w:val="single" w:sz="4" w:space="0" w:color="auto"/>
            </w:tcBorders>
            <w:noWrap/>
            <w:vAlign w:val="center"/>
            <w:hideMark/>
          </w:tcPr>
          <w:p w14:paraId="44B4BF4E"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25 592 043 867</w:t>
            </w:r>
          </w:p>
        </w:tc>
        <w:tc>
          <w:tcPr>
            <w:tcW w:w="580" w:type="pct"/>
            <w:tcBorders>
              <w:top w:val="nil"/>
              <w:left w:val="nil"/>
              <w:bottom w:val="single" w:sz="4" w:space="0" w:color="auto"/>
              <w:right w:val="single" w:sz="4" w:space="0" w:color="auto"/>
            </w:tcBorders>
            <w:noWrap/>
            <w:vAlign w:val="center"/>
            <w:hideMark/>
          </w:tcPr>
          <w:p w14:paraId="651BDCD7"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26 897 183 661</w:t>
            </w:r>
          </w:p>
        </w:tc>
        <w:tc>
          <w:tcPr>
            <w:tcW w:w="586" w:type="pct"/>
            <w:tcBorders>
              <w:top w:val="nil"/>
              <w:left w:val="nil"/>
              <w:bottom w:val="single" w:sz="4" w:space="0" w:color="auto"/>
              <w:right w:val="single" w:sz="4" w:space="0" w:color="auto"/>
            </w:tcBorders>
            <w:noWrap/>
            <w:vAlign w:val="center"/>
            <w:hideMark/>
          </w:tcPr>
          <w:p w14:paraId="78F40536"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26 755 266 649</w:t>
            </w:r>
          </w:p>
        </w:tc>
        <w:tc>
          <w:tcPr>
            <w:tcW w:w="580" w:type="pct"/>
            <w:tcBorders>
              <w:top w:val="nil"/>
              <w:left w:val="nil"/>
              <w:bottom w:val="single" w:sz="4" w:space="0" w:color="auto"/>
              <w:right w:val="single" w:sz="4" w:space="0" w:color="auto"/>
            </w:tcBorders>
            <w:noWrap/>
            <w:vAlign w:val="center"/>
            <w:hideMark/>
          </w:tcPr>
          <w:p w14:paraId="4478D20B"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25 943 739 912</w:t>
            </w:r>
          </w:p>
        </w:tc>
        <w:tc>
          <w:tcPr>
            <w:tcW w:w="582" w:type="pct"/>
            <w:tcBorders>
              <w:top w:val="nil"/>
              <w:left w:val="nil"/>
              <w:bottom w:val="single" w:sz="4" w:space="0" w:color="auto"/>
              <w:right w:val="single" w:sz="4" w:space="0" w:color="auto"/>
            </w:tcBorders>
            <w:noWrap/>
            <w:vAlign w:val="center"/>
            <w:hideMark/>
          </w:tcPr>
          <w:p w14:paraId="6A1EB959"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25 291 236 128</w:t>
            </w:r>
          </w:p>
        </w:tc>
        <w:tc>
          <w:tcPr>
            <w:tcW w:w="637" w:type="pct"/>
            <w:tcBorders>
              <w:top w:val="nil"/>
              <w:left w:val="nil"/>
              <w:bottom w:val="single" w:sz="4" w:space="0" w:color="auto"/>
              <w:right w:val="single" w:sz="4" w:space="0" w:color="auto"/>
            </w:tcBorders>
            <w:noWrap/>
            <w:vAlign w:val="center"/>
            <w:hideMark/>
          </w:tcPr>
          <w:p w14:paraId="37B984DE"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130 479 470 217</w:t>
            </w:r>
          </w:p>
        </w:tc>
        <w:tc>
          <w:tcPr>
            <w:tcW w:w="272" w:type="pct"/>
            <w:tcBorders>
              <w:top w:val="nil"/>
              <w:left w:val="nil"/>
              <w:bottom w:val="single" w:sz="4" w:space="0" w:color="auto"/>
              <w:right w:val="single" w:sz="4" w:space="0" w:color="auto"/>
            </w:tcBorders>
            <w:noWrap/>
            <w:vAlign w:val="center"/>
            <w:hideMark/>
          </w:tcPr>
          <w:p w14:paraId="632B03F3"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8%</w:t>
            </w:r>
          </w:p>
        </w:tc>
      </w:tr>
      <w:tr w:rsidR="00BF3393" w:rsidRPr="00BF3393" w14:paraId="0C2913EB" w14:textId="77777777" w:rsidTr="00F847BF">
        <w:trPr>
          <w:trHeight w:val="300"/>
        </w:trPr>
        <w:tc>
          <w:tcPr>
            <w:tcW w:w="1182" w:type="pct"/>
            <w:tcBorders>
              <w:top w:val="nil"/>
              <w:left w:val="single" w:sz="4" w:space="0" w:color="auto"/>
              <w:bottom w:val="single" w:sz="4" w:space="0" w:color="auto"/>
              <w:right w:val="single" w:sz="4" w:space="0" w:color="auto"/>
            </w:tcBorders>
            <w:noWrap/>
            <w:vAlign w:val="bottom"/>
            <w:hideMark/>
          </w:tcPr>
          <w:p w14:paraId="2A331B3B" w14:textId="77777777" w:rsidR="00BF3393" w:rsidRPr="00BF3393" w:rsidRDefault="00BF3393" w:rsidP="00F847BF">
            <w:pPr>
              <w:spacing w:line="256" w:lineRule="auto"/>
              <w:rPr>
                <w:rFonts w:ascii="Calibri" w:hAnsi="Calibri" w:cs="Calibri"/>
                <w:color w:val="000000"/>
                <w:sz w:val="20"/>
                <w:szCs w:val="20"/>
              </w:rPr>
            </w:pPr>
            <w:r w:rsidRPr="00BF3393">
              <w:rPr>
                <w:rFonts w:ascii="Calibri" w:hAnsi="Calibri" w:cs="Calibri"/>
                <w:color w:val="000000"/>
                <w:sz w:val="20"/>
                <w:szCs w:val="20"/>
              </w:rPr>
              <w:t>Interventions transversales</w:t>
            </w:r>
          </w:p>
        </w:tc>
        <w:tc>
          <w:tcPr>
            <w:tcW w:w="580" w:type="pct"/>
            <w:tcBorders>
              <w:top w:val="nil"/>
              <w:left w:val="nil"/>
              <w:bottom w:val="single" w:sz="4" w:space="0" w:color="auto"/>
              <w:right w:val="single" w:sz="4" w:space="0" w:color="auto"/>
            </w:tcBorders>
            <w:noWrap/>
            <w:vAlign w:val="center"/>
            <w:hideMark/>
          </w:tcPr>
          <w:p w14:paraId="05A878B5"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2 530 873 822</w:t>
            </w:r>
          </w:p>
        </w:tc>
        <w:tc>
          <w:tcPr>
            <w:tcW w:w="580" w:type="pct"/>
            <w:tcBorders>
              <w:top w:val="nil"/>
              <w:left w:val="nil"/>
              <w:bottom w:val="single" w:sz="4" w:space="0" w:color="auto"/>
              <w:right w:val="single" w:sz="4" w:space="0" w:color="auto"/>
            </w:tcBorders>
            <w:noWrap/>
            <w:vAlign w:val="center"/>
            <w:hideMark/>
          </w:tcPr>
          <w:p w14:paraId="2B2B7C2A"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1 907 959 819</w:t>
            </w:r>
          </w:p>
        </w:tc>
        <w:tc>
          <w:tcPr>
            <w:tcW w:w="586" w:type="pct"/>
            <w:tcBorders>
              <w:top w:val="nil"/>
              <w:left w:val="nil"/>
              <w:bottom w:val="single" w:sz="4" w:space="0" w:color="auto"/>
              <w:right w:val="single" w:sz="4" w:space="0" w:color="auto"/>
            </w:tcBorders>
            <w:noWrap/>
            <w:vAlign w:val="center"/>
            <w:hideMark/>
          </w:tcPr>
          <w:p w14:paraId="3E472AE1"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505 128 559 822</w:t>
            </w:r>
          </w:p>
        </w:tc>
        <w:tc>
          <w:tcPr>
            <w:tcW w:w="580" w:type="pct"/>
            <w:tcBorders>
              <w:top w:val="nil"/>
              <w:left w:val="nil"/>
              <w:bottom w:val="single" w:sz="4" w:space="0" w:color="auto"/>
              <w:right w:val="single" w:sz="4" w:space="0" w:color="auto"/>
            </w:tcBorders>
            <w:noWrap/>
            <w:vAlign w:val="center"/>
            <w:hideMark/>
          </w:tcPr>
          <w:p w14:paraId="4B44C87D"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1 878 559 814</w:t>
            </w:r>
          </w:p>
        </w:tc>
        <w:tc>
          <w:tcPr>
            <w:tcW w:w="582" w:type="pct"/>
            <w:tcBorders>
              <w:top w:val="nil"/>
              <w:left w:val="nil"/>
              <w:bottom w:val="single" w:sz="4" w:space="0" w:color="auto"/>
              <w:right w:val="single" w:sz="4" w:space="0" w:color="auto"/>
            </w:tcBorders>
            <w:noWrap/>
            <w:vAlign w:val="center"/>
            <w:hideMark/>
          </w:tcPr>
          <w:p w14:paraId="28CC3994"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483 128 559 821</w:t>
            </w:r>
          </w:p>
        </w:tc>
        <w:tc>
          <w:tcPr>
            <w:tcW w:w="637" w:type="pct"/>
            <w:tcBorders>
              <w:top w:val="nil"/>
              <w:left w:val="nil"/>
              <w:bottom w:val="single" w:sz="4" w:space="0" w:color="auto"/>
              <w:right w:val="single" w:sz="4" w:space="0" w:color="auto"/>
            </w:tcBorders>
            <w:noWrap/>
            <w:vAlign w:val="center"/>
            <w:hideMark/>
          </w:tcPr>
          <w:p w14:paraId="3DC9B842"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994 574 513 098</w:t>
            </w:r>
          </w:p>
        </w:tc>
        <w:tc>
          <w:tcPr>
            <w:tcW w:w="272" w:type="pct"/>
            <w:tcBorders>
              <w:top w:val="nil"/>
              <w:left w:val="nil"/>
              <w:bottom w:val="single" w:sz="4" w:space="0" w:color="auto"/>
              <w:right w:val="single" w:sz="4" w:space="0" w:color="auto"/>
            </w:tcBorders>
            <w:noWrap/>
            <w:vAlign w:val="center"/>
            <w:hideMark/>
          </w:tcPr>
          <w:p w14:paraId="7EAE9F7A"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62%</w:t>
            </w:r>
          </w:p>
        </w:tc>
      </w:tr>
      <w:tr w:rsidR="00BF3393" w:rsidRPr="00BF3393" w14:paraId="3EC8E026" w14:textId="77777777" w:rsidTr="00F847BF">
        <w:trPr>
          <w:trHeight w:val="300"/>
        </w:trPr>
        <w:tc>
          <w:tcPr>
            <w:tcW w:w="1182" w:type="pct"/>
            <w:tcBorders>
              <w:top w:val="nil"/>
              <w:left w:val="single" w:sz="4" w:space="0" w:color="auto"/>
              <w:bottom w:val="single" w:sz="4" w:space="0" w:color="auto"/>
              <w:right w:val="single" w:sz="4" w:space="0" w:color="auto"/>
            </w:tcBorders>
            <w:noWrap/>
            <w:vAlign w:val="bottom"/>
            <w:hideMark/>
          </w:tcPr>
          <w:p w14:paraId="1EEDD6F2" w14:textId="77777777" w:rsidR="00BF3393" w:rsidRPr="00BF3393" w:rsidRDefault="00BF3393" w:rsidP="00F847BF">
            <w:pPr>
              <w:spacing w:line="256" w:lineRule="auto"/>
              <w:rPr>
                <w:rFonts w:ascii="Calibri" w:hAnsi="Calibri" w:cs="Calibri"/>
                <w:color w:val="000000"/>
                <w:sz w:val="20"/>
                <w:szCs w:val="20"/>
              </w:rPr>
            </w:pPr>
            <w:r w:rsidRPr="00BF3393">
              <w:rPr>
                <w:rFonts w:ascii="Calibri" w:hAnsi="Calibri" w:cs="Calibri"/>
                <w:color w:val="000000"/>
                <w:sz w:val="20"/>
                <w:szCs w:val="20"/>
              </w:rPr>
              <w:t>Etat civile</w:t>
            </w:r>
          </w:p>
        </w:tc>
        <w:tc>
          <w:tcPr>
            <w:tcW w:w="580" w:type="pct"/>
            <w:tcBorders>
              <w:top w:val="nil"/>
              <w:left w:val="nil"/>
              <w:bottom w:val="single" w:sz="4" w:space="0" w:color="auto"/>
              <w:right w:val="single" w:sz="4" w:space="0" w:color="auto"/>
            </w:tcBorders>
            <w:noWrap/>
            <w:vAlign w:val="center"/>
            <w:hideMark/>
          </w:tcPr>
          <w:p w14:paraId="255BBAB6"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2 126 778 000</w:t>
            </w:r>
          </w:p>
        </w:tc>
        <w:tc>
          <w:tcPr>
            <w:tcW w:w="580" w:type="pct"/>
            <w:tcBorders>
              <w:top w:val="nil"/>
              <w:left w:val="nil"/>
              <w:bottom w:val="single" w:sz="4" w:space="0" w:color="auto"/>
              <w:right w:val="single" w:sz="4" w:space="0" w:color="auto"/>
            </w:tcBorders>
            <w:noWrap/>
            <w:vAlign w:val="center"/>
            <w:hideMark/>
          </w:tcPr>
          <w:p w14:paraId="4B16A5D1"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3 714 500 000</w:t>
            </w:r>
          </w:p>
        </w:tc>
        <w:tc>
          <w:tcPr>
            <w:tcW w:w="586" w:type="pct"/>
            <w:tcBorders>
              <w:top w:val="nil"/>
              <w:left w:val="nil"/>
              <w:bottom w:val="single" w:sz="4" w:space="0" w:color="auto"/>
              <w:right w:val="single" w:sz="4" w:space="0" w:color="auto"/>
            </w:tcBorders>
            <w:noWrap/>
            <w:vAlign w:val="center"/>
            <w:hideMark/>
          </w:tcPr>
          <w:p w14:paraId="3EE42AA0"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3 397 500 000</w:t>
            </w:r>
          </w:p>
        </w:tc>
        <w:tc>
          <w:tcPr>
            <w:tcW w:w="580" w:type="pct"/>
            <w:tcBorders>
              <w:top w:val="nil"/>
              <w:left w:val="nil"/>
              <w:bottom w:val="single" w:sz="4" w:space="0" w:color="auto"/>
              <w:right w:val="single" w:sz="4" w:space="0" w:color="auto"/>
            </w:tcBorders>
            <w:noWrap/>
            <w:vAlign w:val="center"/>
            <w:hideMark/>
          </w:tcPr>
          <w:p w14:paraId="524424F3"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3 041 500 000</w:t>
            </w:r>
          </w:p>
        </w:tc>
        <w:tc>
          <w:tcPr>
            <w:tcW w:w="582" w:type="pct"/>
            <w:tcBorders>
              <w:top w:val="nil"/>
              <w:left w:val="nil"/>
              <w:bottom w:val="single" w:sz="4" w:space="0" w:color="auto"/>
              <w:right w:val="single" w:sz="4" w:space="0" w:color="auto"/>
            </w:tcBorders>
            <w:noWrap/>
            <w:vAlign w:val="center"/>
            <w:hideMark/>
          </w:tcPr>
          <w:p w14:paraId="1B4A5C8A"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3 041 500 000</w:t>
            </w:r>
          </w:p>
        </w:tc>
        <w:tc>
          <w:tcPr>
            <w:tcW w:w="637" w:type="pct"/>
            <w:tcBorders>
              <w:top w:val="nil"/>
              <w:left w:val="nil"/>
              <w:bottom w:val="single" w:sz="4" w:space="0" w:color="auto"/>
              <w:right w:val="single" w:sz="4" w:space="0" w:color="auto"/>
            </w:tcBorders>
            <w:noWrap/>
            <w:vAlign w:val="center"/>
            <w:hideMark/>
          </w:tcPr>
          <w:p w14:paraId="0ECCE0F2"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15 321 778 000</w:t>
            </w:r>
          </w:p>
        </w:tc>
        <w:tc>
          <w:tcPr>
            <w:tcW w:w="272" w:type="pct"/>
            <w:tcBorders>
              <w:top w:val="nil"/>
              <w:left w:val="nil"/>
              <w:bottom w:val="single" w:sz="4" w:space="0" w:color="auto"/>
              <w:right w:val="single" w:sz="4" w:space="0" w:color="auto"/>
            </w:tcBorders>
            <w:noWrap/>
            <w:vAlign w:val="center"/>
            <w:hideMark/>
          </w:tcPr>
          <w:p w14:paraId="64DE49FA" w14:textId="77777777" w:rsidR="00BF3393" w:rsidRPr="00BF3393" w:rsidRDefault="00BF3393" w:rsidP="00F847BF">
            <w:pPr>
              <w:spacing w:line="256" w:lineRule="auto"/>
              <w:jc w:val="right"/>
              <w:rPr>
                <w:rFonts w:ascii="Calibri" w:hAnsi="Calibri" w:cs="Calibri"/>
                <w:color w:val="000000"/>
                <w:sz w:val="20"/>
                <w:szCs w:val="20"/>
              </w:rPr>
            </w:pPr>
            <w:r w:rsidRPr="00BF3393">
              <w:rPr>
                <w:rFonts w:ascii="Calibri" w:hAnsi="Calibri" w:cs="Calibri"/>
                <w:color w:val="000000"/>
                <w:sz w:val="20"/>
                <w:szCs w:val="20"/>
              </w:rPr>
              <w:t>1%</w:t>
            </w:r>
          </w:p>
        </w:tc>
      </w:tr>
      <w:tr w:rsidR="00BF3393" w:rsidRPr="00BF3393" w14:paraId="3F41D2D4" w14:textId="77777777" w:rsidTr="00F847BF">
        <w:trPr>
          <w:trHeight w:val="315"/>
        </w:trPr>
        <w:tc>
          <w:tcPr>
            <w:tcW w:w="1182" w:type="pct"/>
            <w:tcBorders>
              <w:top w:val="nil"/>
              <w:left w:val="single" w:sz="4" w:space="0" w:color="auto"/>
              <w:bottom w:val="single" w:sz="4" w:space="0" w:color="auto"/>
              <w:right w:val="single" w:sz="4" w:space="0" w:color="auto"/>
            </w:tcBorders>
            <w:shd w:val="clear" w:color="auto" w:fill="FFFF00"/>
            <w:noWrap/>
            <w:vAlign w:val="center"/>
            <w:hideMark/>
          </w:tcPr>
          <w:p w14:paraId="3B4BF3F6"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Total</w:t>
            </w:r>
          </w:p>
        </w:tc>
        <w:tc>
          <w:tcPr>
            <w:tcW w:w="580" w:type="pct"/>
            <w:tcBorders>
              <w:top w:val="nil"/>
              <w:left w:val="nil"/>
              <w:bottom w:val="single" w:sz="4" w:space="0" w:color="auto"/>
              <w:right w:val="single" w:sz="4" w:space="0" w:color="auto"/>
            </w:tcBorders>
            <w:shd w:val="clear" w:color="auto" w:fill="FFFF00"/>
            <w:noWrap/>
            <w:vAlign w:val="center"/>
            <w:hideMark/>
          </w:tcPr>
          <w:p w14:paraId="6BDAFC41"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123 370 154 614</w:t>
            </w:r>
          </w:p>
        </w:tc>
        <w:tc>
          <w:tcPr>
            <w:tcW w:w="580" w:type="pct"/>
            <w:tcBorders>
              <w:top w:val="nil"/>
              <w:left w:val="nil"/>
              <w:bottom w:val="single" w:sz="4" w:space="0" w:color="auto"/>
              <w:right w:val="single" w:sz="4" w:space="0" w:color="auto"/>
            </w:tcBorders>
            <w:shd w:val="clear" w:color="auto" w:fill="FFFF00"/>
            <w:noWrap/>
            <w:vAlign w:val="center"/>
            <w:hideMark/>
          </w:tcPr>
          <w:p w14:paraId="4B0C4C4A"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120 020 454 800</w:t>
            </w:r>
          </w:p>
        </w:tc>
        <w:tc>
          <w:tcPr>
            <w:tcW w:w="586" w:type="pct"/>
            <w:tcBorders>
              <w:top w:val="nil"/>
              <w:left w:val="nil"/>
              <w:bottom w:val="single" w:sz="4" w:space="0" w:color="auto"/>
              <w:right w:val="single" w:sz="4" w:space="0" w:color="auto"/>
            </w:tcBorders>
            <w:shd w:val="clear" w:color="auto" w:fill="FFFF00"/>
            <w:noWrap/>
            <w:vAlign w:val="center"/>
            <w:hideMark/>
          </w:tcPr>
          <w:p w14:paraId="31D78455"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622 115 509 888</w:t>
            </w:r>
          </w:p>
        </w:tc>
        <w:tc>
          <w:tcPr>
            <w:tcW w:w="580" w:type="pct"/>
            <w:tcBorders>
              <w:top w:val="nil"/>
              <w:left w:val="nil"/>
              <w:bottom w:val="single" w:sz="4" w:space="0" w:color="auto"/>
              <w:right w:val="single" w:sz="4" w:space="0" w:color="auto"/>
            </w:tcBorders>
            <w:shd w:val="clear" w:color="auto" w:fill="FFFF00"/>
            <w:noWrap/>
            <w:vAlign w:val="center"/>
            <w:hideMark/>
          </w:tcPr>
          <w:p w14:paraId="33FC755D"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127 342 743 389</w:t>
            </w:r>
          </w:p>
        </w:tc>
        <w:tc>
          <w:tcPr>
            <w:tcW w:w="582" w:type="pct"/>
            <w:tcBorders>
              <w:top w:val="nil"/>
              <w:left w:val="nil"/>
              <w:bottom w:val="single" w:sz="4" w:space="0" w:color="auto"/>
              <w:right w:val="single" w:sz="4" w:space="0" w:color="auto"/>
            </w:tcBorders>
            <w:shd w:val="clear" w:color="auto" w:fill="FFFF00"/>
            <w:noWrap/>
            <w:vAlign w:val="center"/>
            <w:hideMark/>
          </w:tcPr>
          <w:p w14:paraId="772F4B5F"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600 238 341 025</w:t>
            </w:r>
          </w:p>
        </w:tc>
        <w:tc>
          <w:tcPr>
            <w:tcW w:w="637" w:type="pct"/>
            <w:tcBorders>
              <w:top w:val="nil"/>
              <w:left w:val="nil"/>
              <w:bottom w:val="single" w:sz="4" w:space="0" w:color="auto"/>
              <w:right w:val="single" w:sz="4" w:space="0" w:color="auto"/>
            </w:tcBorders>
            <w:shd w:val="clear" w:color="auto" w:fill="FFFF00"/>
            <w:noWrap/>
            <w:vAlign w:val="center"/>
            <w:hideMark/>
          </w:tcPr>
          <w:p w14:paraId="6C6B6C80"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1 593 087 203 716</w:t>
            </w:r>
          </w:p>
        </w:tc>
        <w:tc>
          <w:tcPr>
            <w:tcW w:w="272" w:type="pct"/>
            <w:tcBorders>
              <w:top w:val="nil"/>
              <w:left w:val="nil"/>
              <w:bottom w:val="single" w:sz="4" w:space="0" w:color="auto"/>
              <w:right w:val="single" w:sz="4" w:space="0" w:color="auto"/>
            </w:tcBorders>
            <w:shd w:val="clear" w:color="auto" w:fill="FFFF00"/>
            <w:noWrap/>
            <w:vAlign w:val="center"/>
            <w:hideMark/>
          </w:tcPr>
          <w:p w14:paraId="702E6767" w14:textId="77777777" w:rsidR="00BF3393" w:rsidRPr="00BF3393" w:rsidRDefault="00BF3393" w:rsidP="00F847BF">
            <w:pPr>
              <w:spacing w:line="256" w:lineRule="auto"/>
              <w:jc w:val="right"/>
              <w:rPr>
                <w:rFonts w:ascii="Calibri" w:hAnsi="Calibri" w:cs="Calibri"/>
                <w:b/>
                <w:bCs/>
                <w:color w:val="000000"/>
                <w:sz w:val="20"/>
                <w:szCs w:val="20"/>
              </w:rPr>
            </w:pPr>
            <w:r w:rsidRPr="00BF3393">
              <w:rPr>
                <w:rFonts w:ascii="Calibri" w:hAnsi="Calibri" w:cs="Calibri"/>
                <w:b/>
                <w:bCs/>
                <w:color w:val="000000"/>
                <w:sz w:val="20"/>
                <w:szCs w:val="20"/>
              </w:rPr>
              <w:t>100%</w:t>
            </w:r>
          </w:p>
        </w:tc>
      </w:tr>
    </w:tbl>
    <w:p w14:paraId="7A53EE0B" w14:textId="77777777" w:rsidR="00BF3393" w:rsidRDefault="00BF3393" w:rsidP="00BF3393">
      <w:pPr>
        <w:spacing w:after="0" w:line="360" w:lineRule="auto"/>
        <w:jc w:val="both"/>
        <w:rPr>
          <w:rFonts w:ascii="Calibri" w:hAnsi="Calibri" w:cs="Arial"/>
          <w:b/>
          <w:color w:val="000000"/>
          <w:u w:val="single"/>
        </w:rPr>
      </w:pPr>
    </w:p>
    <w:p w14:paraId="41958D82" w14:textId="362CF7DA" w:rsidR="00BF3393" w:rsidRDefault="00BF3393" w:rsidP="00BF3393">
      <w:pPr>
        <w:spacing w:after="0" w:line="360" w:lineRule="auto"/>
        <w:jc w:val="both"/>
        <w:rPr>
          <w:rFonts w:ascii="Calibri" w:hAnsi="Calibri" w:cs="Arial"/>
          <w:b/>
          <w:color w:val="000000"/>
        </w:rPr>
      </w:pPr>
      <w:r>
        <w:rPr>
          <w:rFonts w:ascii="Calibri" w:hAnsi="Calibri" w:cs="Arial"/>
          <w:b/>
          <w:color w:val="000000"/>
          <w:u w:val="single"/>
        </w:rPr>
        <w:t xml:space="preserve">Tableau </w:t>
      </w:r>
      <w:r w:rsidR="00BD2D4B">
        <w:rPr>
          <w:rFonts w:ascii="Calibri" w:hAnsi="Calibri" w:cs="Arial"/>
          <w:b/>
          <w:color w:val="000000"/>
          <w:u w:val="single"/>
        </w:rPr>
        <w:t>11</w:t>
      </w:r>
      <w:r>
        <w:rPr>
          <w:rFonts w:ascii="Calibri" w:hAnsi="Calibri" w:cs="Arial"/>
          <w:b/>
          <w:color w:val="000000"/>
        </w:rPr>
        <w:t> : Budget annuel de la SRMNEAN-ETAT CIVIL par programme en FCFA_ Scénario moyen</w:t>
      </w:r>
    </w:p>
    <w:tbl>
      <w:tblPr>
        <w:tblW w:w="5000" w:type="pct"/>
        <w:jc w:val="center"/>
        <w:tblCellMar>
          <w:left w:w="70" w:type="dxa"/>
          <w:right w:w="70" w:type="dxa"/>
        </w:tblCellMar>
        <w:tblLook w:val="04A0" w:firstRow="1" w:lastRow="0" w:firstColumn="1" w:lastColumn="0" w:noHBand="0" w:noVBand="1"/>
      </w:tblPr>
      <w:tblGrid>
        <w:gridCol w:w="3269"/>
        <w:gridCol w:w="1706"/>
        <w:gridCol w:w="1726"/>
        <w:gridCol w:w="1726"/>
        <w:gridCol w:w="1726"/>
        <w:gridCol w:w="1726"/>
        <w:gridCol w:w="1897"/>
        <w:gridCol w:w="750"/>
      </w:tblGrid>
      <w:tr w:rsidR="00BF3393" w:rsidRPr="00BF3393" w14:paraId="49A43ED2" w14:textId="77777777" w:rsidTr="00F847BF">
        <w:trPr>
          <w:trHeight w:val="315"/>
          <w:jc w:val="center"/>
        </w:trPr>
        <w:tc>
          <w:tcPr>
            <w:tcW w:w="1125" w:type="pct"/>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1629556"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Programmes</w:t>
            </w:r>
          </w:p>
        </w:tc>
        <w:tc>
          <w:tcPr>
            <w:tcW w:w="587" w:type="pct"/>
            <w:tcBorders>
              <w:top w:val="single" w:sz="4" w:space="0" w:color="auto"/>
              <w:left w:val="nil"/>
              <w:bottom w:val="single" w:sz="4" w:space="0" w:color="auto"/>
              <w:right w:val="single" w:sz="4" w:space="0" w:color="auto"/>
            </w:tcBorders>
            <w:shd w:val="clear" w:color="auto" w:fill="D9D9D9"/>
            <w:noWrap/>
            <w:vAlign w:val="center"/>
            <w:hideMark/>
          </w:tcPr>
          <w:p w14:paraId="5E07C74D"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2019</w:t>
            </w:r>
          </w:p>
        </w:tc>
        <w:tc>
          <w:tcPr>
            <w:tcW w:w="594" w:type="pct"/>
            <w:tcBorders>
              <w:top w:val="single" w:sz="4" w:space="0" w:color="auto"/>
              <w:left w:val="nil"/>
              <w:bottom w:val="single" w:sz="4" w:space="0" w:color="auto"/>
              <w:right w:val="single" w:sz="4" w:space="0" w:color="auto"/>
            </w:tcBorders>
            <w:shd w:val="clear" w:color="auto" w:fill="D9D9D9"/>
            <w:noWrap/>
            <w:vAlign w:val="center"/>
            <w:hideMark/>
          </w:tcPr>
          <w:p w14:paraId="6B75C49D"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2020</w:t>
            </w:r>
          </w:p>
        </w:tc>
        <w:tc>
          <w:tcPr>
            <w:tcW w:w="594" w:type="pct"/>
            <w:tcBorders>
              <w:top w:val="single" w:sz="4" w:space="0" w:color="auto"/>
              <w:left w:val="nil"/>
              <w:bottom w:val="single" w:sz="4" w:space="0" w:color="auto"/>
              <w:right w:val="single" w:sz="4" w:space="0" w:color="auto"/>
            </w:tcBorders>
            <w:shd w:val="clear" w:color="auto" w:fill="D9D9D9"/>
            <w:noWrap/>
            <w:vAlign w:val="center"/>
            <w:hideMark/>
          </w:tcPr>
          <w:p w14:paraId="2004AD9A"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2021</w:t>
            </w:r>
          </w:p>
        </w:tc>
        <w:tc>
          <w:tcPr>
            <w:tcW w:w="594" w:type="pct"/>
            <w:tcBorders>
              <w:top w:val="single" w:sz="4" w:space="0" w:color="auto"/>
              <w:left w:val="nil"/>
              <w:bottom w:val="single" w:sz="4" w:space="0" w:color="auto"/>
              <w:right w:val="single" w:sz="4" w:space="0" w:color="auto"/>
            </w:tcBorders>
            <w:shd w:val="clear" w:color="auto" w:fill="D9D9D9"/>
            <w:noWrap/>
            <w:vAlign w:val="center"/>
            <w:hideMark/>
          </w:tcPr>
          <w:p w14:paraId="6E84BC71"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2022</w:t>
            </w:r>
          </w:p>
        </w:tc>
        <w:tc>
          <w:tcPr>
            <w:tcW w:w="594" w:type="pct"/>
            <w:tcBorders>
              <w:top w:val="single" w:sz="4" w:space="0" w:color="auto"/>
              <w:left w:val="nil"/>
              <w:bottom w:val="single" w:sz="4" w:space="0" w:color="auto"/>
              <w:right w:val="single" w:sz="4" w:space="0" w:color="auto"/>
            </w:tcBorders>
            <w:shd w:val="clear" w:color="auto" w:fill="D9D9D9"/>
            <w:noWrap/>
            <w:vAlign w:val="center"/>
            <w:hideMark/>
          </w:tcPr>
          <w:p w14:paraId="753E3089"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2023</w:t>
            </w:r>
          </w:p>
        </w:tc>
        <w:tc>
          <w:tcPr>
            <w:tcW w:w="653" w:type="pct"/>
            <w:tcBorders>
              <w:top w:val="single" w:sz="4" w:space="0" w:color="auto"/>
              <w:left w:val="nil"/>
              <w:bottom w:val="single" w:sz="4" w:space="0" w:color="auto"/>
              <w:right w:val="single" w:sz="4" w:space="0" w:color="auto"/>
            </w:tcBorders>
            <w:shd w:val="clear" w:color="auto" w:fill="D9D9D9"/>
            <w:noWrap/>
            <w:vAlign w:val="center"/>
            <w:hideMark/>
          </w:tcPr>
          <w:p w14:paraId="6DD8F0C7"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Total</w:t>
            </w:r>
          </w:p>
        </w:tc>
        <w:tc>
          <w:tcPr>
            <w:tcW w:w="258" w:type="pct"/>
            <w:tcBorders>
              <w:top w:val="single" w:sz="4" w:space="0" w:color="auto"/>
              <w:left w:val="nil"/>
              <w:bottom w:val="single" w:sz="4" w:space="0" w:color="auto"/>
              <w:right w:val="single" w:sz="4" w:space="0" w:color="auto"/>
            </w:tcBorders>
            <w:shd w:val="clear" w:color="auto" w:fill="D9D9D9"/>
            <w:noWrap/>
            <w:vAlign w:val="center"/>
            <w:hideMark/>
          </w:tcPr>
          <w:p w14:paraId="3699E99F"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w:t>
            </w:r>
          </w:p>
        </w:tc>
      </w:tr>
      <w:tr w:rsidR="00BF3393" w:rsidRPr="00BF3393" w14:paraId="03D93C5E" w14:textId="77777777" w:rsidTr="00F847BF">
        <w:trPr>
          <w:trHeight w:val="315"/>
          <w:jc w:val="center"/>
        </w:trPr>
        <w:tc>
          <w:tcPr>
            <w:tcW w:w="1125" w:type="pct"/>
            <w:tcBorders>
              <w:top w:val="nil"/>
              <w:left w:val="single" w:sz="4" w:space="0" w:color="auto"/>
              <w:bottom w:val="single" w:sz="4" w:space="0" w:color="auto"/>
              <w:right w:val="single" w:sz="4" w:space="0" w:color="auto"/>
            </w:tcBorders>
            <w:noWrap/>
            <w:vAlign w:val="center"/>
            <w:hideMark/>
          </w:tcPr>
          <w:p w14:paraId="3D0AD1C2" w14:textId="77777777" w:rsidR="00BF3393" w:rsidRPr="00BF3393" w:rsidRDefault="00BF3393" w:rsidP="00F847BF">
            <w:pPr>
              <w:spacing w:line="256" w:lineRule="auto"/>
              <w:rPr>
                <w:rFonts w:ascii="Calibri" w:hAnsi="Calibri" w:cs="Calibri"/>
                <w:color w:val="000000"/>
                <w:sz w:val="20"/>
                <w:szCs w:val="20"/>
              </w:rPr>
            </w:pPr>
            <w:r w:rsidRPr="00BF3393">
              <w:rPr>
                <w:rFonts w:ascii="Calibri" w:hAnsi="Calibri" w:cs="Calibri"/>
                <w:color w:val="000000"/>
                <w:sz w:val="20"/>
                <w:szCs w:val="20"/>
              </w:rPr>
              <w:t>Santé de la mère et du nouveau-né</w:t>
            </w:r>
          </w:p>
        </w:tc>
        <w:tc>
          <w:tcPr>
            <w:tcW w:w="587" w:type="pct"/>
            <w:tcBorders>
              <w:top w:val="nil"/>
              <w:left w:val="nil"/>
              <w:bottom w:val="single" w:sz="4" w:space="0" w:color="auto"/>
              <w:right w:val="single" w:sz="4" w:space="0" w:color="auto"/>
            </w:tcBorders>
            <w:noWrap/>
            <w:vAlign w:val="center"/>
            <w:hideMark/>
          </w:tcPr>
          <w:p w14:paraId="631DE6A7"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46 286 327 683</w:t>
            </w:r>
          </w:p>
        </w:tc>
        <w:tc>
          <w:tcPr>
            <w:tcW w:w="594" w:type="pct"/>
            <w:tcBorders>
              <w:top w:val="nil"/>
              <w:left w:val="nil"/>
              <w:bottom w:val="single" w:sz="4" w:space="0" w:color="auto"/>
              <w:right w:val="single" w:sz="4" w:space="0" w:color="auto"/>
            </w:tcBorders>
            <w:noWrap/>
            <w:vAlign w:val="center"/>
            <w:hideMark/>
          </w:tcPr>
          <w:p w14:paraId="0D267315"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45 004 401 495</w:t>
            </w:r>
          </w:p>
        </w:tc>
        <w:tc>
          <w:tcPr>
            <w:tcW w:w="594" w:type="pct"/>
            <w:tcBorders>
              <w:top w:val="nil"/>
              <w:left w:val="nil"/>
              <w:bottom w:val="single" w:sz="4" w:space="0" w:color="auto"/>
              <w:right w:val="single" w:sz="4" w:space="0" w:color="auto"/>
            </w:tcBorders>
            <w:noWrap/>
            <w:vAlign w:val="center"/>
            <w:hideMark/>
          </w:tcPr>
          <w:p w14:paraId="17199B03"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44 677 535 488</w:t>
            </w:r>
          </w:p>
        </w:tc>
        <w:tc>
          <w:tcPr>
            <w:tcW w:w="594" w:type="pct"/>
            <w:tcBorders>
              <w:top w:val="nil"/>
              <w:left w:val="nil"/>
              <w:bottom w:val="single" w:sz="4" w:space="0" w:color="auto"/>
              <w:right w:val="single" w:sz="4" w:space="0" w:color="auto"/>
            </w:tcBorders>
            <w:noWrap/>
            <w:vAlign w:val="center"/>
            <w:hideMark/>
          </w:tcPr>
          <w:p w14:paraId="4C5C8646"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49 579 409 522</w:t>
            </w:r>
          </w:p>
        </w:tc>
        <w:tc>
          <w:tcPr>
            <w:tcW w:w="594" w:type="pct"/>
            <w:tcBorders>
              <w:top w:val="nil"/>
              <w:left w:val="nil"/>
              <w:bottom w:val="single" w:sz="4" w:space="0" w:color="auto"/>
              <w:right w:val="single" w:sz="4" w:space="0" w:color="auto"/>
            </w:tcBorders>
            <w:noWrap/>
            <w:vAlign w:val="center"/>
            <w:hideMark/>
          </w:tcPr>
          <w:p w14:paraId="14981083"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46 565 769 518</w:t>
            </w:r>
          </w:p>
        </w:tc>
        <w:tc>
          <w:tcPr>
            <w:tcW w:w="653" w:type="pct"/>
            <w:tcBorders>
              <w:top w:val="nil"/>
              <w:left w:val="nil"/>
              <w:bottom w:val="single" w:sz="4" w:space="0" w:color="auto"/>
              <w:right w:val="single" w:sz="4" w:space="0" w:color="auto"/>
            </w:tcBorders>
            <w:noWrap/>
            <w:vAlign w:val="center"/>
            <w:hideMark/>
          </w:tcPr>
          <w:p w14:paraId="28BE2657"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232 113 443 706</w:t>
            </w:r>
          </w:p>
        </w:tc>
        <w:tc>
          <w:tcPr>
            <w:tcW w:w="258" w:type="pct"/>
            <w:tcBorders>
              <w:top w:val="nil"/>
              <w:left w:val="nil"/>
              <w:bottom w:val="single" w:sz="4" w:space="0" w:color="auto"/>
              <w:right w:val="single" w:sz="4" w:space="0" w:color="auto"/>
            </w:tcBorders>
            <w:noWrap/>
            <w:vAlign w:val="center"/>
            <w:hideMark/>
          </w:tcPr>
          <w:p w14:paraId="21D1ACA7"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14%</w:t>
            </w:r>
          </w:p>
        </w:tc>
      </w:tr>
      <w:tr w:rsidR="00BF3393" w:rsidRPr="00BF3393" w14:paraId="53EE0833" w14:textId="77777777" w:rsidTr="00F847BF">
        <w:trPr>
          <w:trHeight w:val="315"/>
          <w:jc w:val="center"/>
        </w:trPr>
        <w:tc>
          <w:tcPr>
            <w:tcW w:w="1125" w:type="pct"/>
            <w:tcBorders>
              <w:top w:val="nil"/>
              <w:left w:val="single" w:sz="4" w:space="0" w:color="auto"/>
              <w:bottom w:val="single" w:sz="4" w:space="0" w:color="auto"/>
              <w:right w:val="single" w:sz="4" w:space="0" w:color="auto"/>
            </w:tcBorders>
            <w:noWrap/>
            <w:vAlign w:val="center"/>
            <w:hideMark/>
          </w:tcPr>
          <w:p w14:paraId="3FED9061" w14:textId="77777777" w:rsidR="00BF3393" w:rsidRPr="00BF3393" w:rsidRDefault="00BF3393" w:rsidP="00F847BF">
            <w:pPr>
              <w:spacing w:line="256" w:lineRule="auto"/>
              <w:rPr>
                <w:rFonts w:ascii="Calibri" w:hAnsi="Calibri" w:cs="Calibri"/>
                <w:color w:val="000000"/>
                <w:sz w:val="20"/>
                <w:szCs w:val="20"/>
              </w:rPr>
            </w:pPr>
            <w:r w:rsidRPr="00BF3393">
              <w:rPr>
                <w:rFonts w:ascii="Calibri" w:hAnsi="Calibri" w:cs="Calibri"/>
                <w:color w:val="000000"/>
                <w:sz w:val="20"/>
                <w:szCs w:val="20"/>
              </w:rPr>
              <w:t>Santé infanto-juvénile</w:t>
            </w:r>
          </w:p>
        </w:tc>
        <w:tc>
          <w:tcPr>
            <w:tcW w:w="587" w:type="pct"/>
            <w:tcBorders>
              <w:top w:val="nil"/>
              <w:left w:val="nil"/>
              <w:bottom w:val="single" w:sz="4" w:space="0" w:color="auto"/>
              <w:right w:val="single" w:sz="4" w:space="0" w:color="auto"/>
            </w:tcBorders>
            <w:noWrap/>
            <w:vAlign w:val="center"/>
            <w:hideMark/>
          </w:tcPr>
          <w:p w14:paraId="17C8B5DA"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50 177 737 305</w:t>
            </w:r>
          </w:p>
        </w:tc>
        <w:tc>
          <w:tcPr>
            <w:tcW w:w="594" w:type="pct"/>
            <w:tcBorders>
              <w:top w:val="nil"/>
              <w:left w:val="nil"/>
              <w:bottom w:val="single" w:sz="4" w:space="0" w:color="auto"/>
              <w:right w:val="single" w:sz="4" w:space="0" w:color="auto"/>
            </w:tcBorders>
            <w:noWrap/>
            <w:vAlign w:val="center"/>
            <w:hideMark/>
          </w:tcPr>
          <w:p w14:paraId="09F53328"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51 380 540 853</w:t>
            </w:r>
          </w:p>
        </w:tc>
        <w:tc>
          <w:tcPr>
            <w:tcW w:w="594" w:type="pct"/>
            <w:tcBorders>
              <w:top w:val="nil"/>
              <w:left w:val="nil"/>
              <w:bottom w:val="single" w:sz="4" w:space="0" w:color="auto"/>
              <w:right w:val="single" w:sz="4" w:space="0" w:color="auto"/>
            </w:tcBorders>
            <w:noWrap/>
            <w:vAlign w:val="center"/>
            <w:hideMark/>
          </w:tcPr>
          <w:p w14:paraId="1EB83989"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56 885 248 258</w:t>
            </w:r>
          </w:p>
        </w:tc>
        <w:tc>
          <w:tcPr>
            <w:tcW w:w="594" w:type="pct"/>
            <w:tcBorders>
              <w:top w:val="nil"/>
              <w:left w:val="nil"/>
              <w:bottom w:val="single" w:sz="4" w:space="0" w:color="auto"/>
              <w:right w:val="single" w:sz="4" w:space="0" w:color="auto"/>
            </w:tcBorders>
            <w:noWrap/>
            <w:vAlign w:val="center"/>
            <w:hideMark/>
          </w:tcPr>
          <w:p w14:paraId="1C83F27F"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67 900 606 959</w:t>
            </w:r>
          </w:p>
        </w:tc>
        <w:tc>
          <w:tcPr>
            <w:tcW w:w="594" w:type="pct"/>
            <w:tcBorders>
              <w:top w:val="nil"/>
              <w:left w:val="nil"/>
              <w:bottom w:val="single" w:sz="4" w:space="0" w:color="auto"/>
              <w:right w:val="single" w:sz="4" w:space="0" w:color="auto"/>
            </w:tcBorders>
            <w:noWrap/>
            <w:vAlign w:val="center"/>
            <w:hideMark/>
          </w:tcPr>
          <w:p w14:paraId="0CFAAEAF"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69 153 809 001</w:t>
            </w:r>
          </w:p>
        </w:tc>
        <w:tc>
          <w:tcPr>
            <w:tcW w:w="653" w:type="pct"/>
            <w:tcBorders>
              <w:top w:val="nil"/>
              <w:left w:val="nil"/>
              <w:bottom w:val="single" w:sz="4" w:space="0" w:color="auto"/>
              <w:right w:val="single" w:sz="4" w:space="0" w:color="auto"/>
            </w:tcBorders>
            <w:noWrap/>
            <w:vAlign w:val="center"/>
            <w:hideMark/>
          </w:tcPr>
          <w:p w14:paraId="080C1A10"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295 497 942 376</w:t>
            </w:r>
          </w:p>
        </w:tc>
        <w:tc>
          <w:tcPr>
            <w:tcW w:w="258" w:type="pct"/>
            <w:tcBorders>
              <w:top w:val="nil"/>
              <w:left w:val="nil"/>
              <w:bottom w:val="single" w:sz="4" w:space="0" w:color="auto"/>
              <w:right w:val="single" w:sz="4" w:space="0" w:color="auto"/>
            </w:tcBorders>
            <w:noWrap/>
            <w:vAlign w:val="center"/>
            <w:hideMark/>
          </w:tcPr>
          <w:p w14:paraId="53508AEA"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18%</w:t>
            </w:r>
          </w:p>
        </w:tc>
      </w:tr>
      <w:tr w:rsidR="00BF3393" w:rsidRPr="00BF3393" w14:paraId="4DE7AD50" w14:textId="77777777" w:rsidTr="00F847BF">
        <w:trPr>
          <w:trHeight w:val="315"/>
          <w:jc w:val="center"/>
        </w:trPr>
        <w:tc>
          <w:tcPr>
            <w:tcW w:w="1125" w:type="pct"/>
            <w:tcBorders>
              <w:top w:val="nil"/>
              <w:left w:val="single" w:sz="4" w:space="0" w:color="auto"/>
              <w:bottom w:val="single" w:sz="4" w:space="0" w:color="auto"/>
              <w:right w:val="single" w:sz="4" w:space="0" w:color="auto"/>
            </w:tcBorders>
            <w:noWrap/>
            <w:vAlign w:val="center"/>
            <w:hideMark/>
          </w:tcPr>
          <w:p w14:paraId="6DBD7A85" w14:textId="77777777" w:rsidR="00BF3393" w:rsidRPr="00BF3393" w:rsidRDefault="00BF3393" w:rsidP="00F847BF">
            <w:pPr>
              <w:spacing w:line="256" w:lineRule="auto"/>
              <w:rPr>
                <w:rFonts w:ascii="Calibri" w:hAnsi="Calibri" w:cs="Calibri"/>
                <w:color w:val="000000"/>
                <w:sz w:val="20"/>
                <w:szCs w:val="20"/>
              </w:rPr>
            </w:pPr>
            <w:r w:rsidRPr="00BF3393">
              <w:rPr>
                <w:rFonts w:ascii="Calibri" w:hAnsi="Calibri" w:cs="Calibri"/>
                <w:color w:val="000000"/>
                <w:sz w:val="20"/>
                <w:szCs w:val="20"/>
              </w:rPr>
              <w:t>Sante des adolescents(es) et jeunes</w:t>
            </w:r>
          </w:p>
        </w:tc>
        <w:tc>
          <w:tcPr>
            <w:tcW w:w="587" w:type="pct"/>
            <w:tcBorders>
              <w:top w:val="nil"/>
              <w:left w:val="nil"/>
              <w:bottom w:val="single" w:sz="4" w:space="0" w:color="auto"/>
              <w:right w:val="single" w:sz="4" w:space="0" w:color="auto"/>
            </w:tcBorders>
            <w:noWrap/>
            <w:vAlign w:val="center"/>
            <w:hideMark/>
          </w:tcPr>
          <w:p w14:paraId="19123309"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884 388 876</w:t>
            </w:r>
          </w:p>
        </w:tc>
        <w:tc>
          <w:tcPr>
            <w:tcW w:w="594" w:type="pct"/>
            <w:tcBorders>
              <w:top w:val="nil"/>
              <w:left w:val="nil"/>
              <w:bottom w:val="single" w:sz="4" w:space="0" w:color="auto"/>
              <w:right w:val="single" w:sz="4" w:space="0" w:color="auto"/>
            </w:tcBorders>
            <w:noWrap/>
            <w:vAlign w:val="center"/>
            <w:hideMark/>
          </w:tcPr>
          <w:p w14:paraId="6A3C9757"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1 218 708 271</w:t>
            </w:r>
          </w:p>
        </w:tc>
        <w:tc>
          <w:tcPr>
            <w:tcW w:w="594" w:type="pct"/>
            <w:tcBorders>
              <w:top w:val="nil"/>
              <w:left w:val="nil"/>
              <w:bottom w:val="single" w:sz="4" w:space="0" w:color="auto"/>
              <w:right w:val="single" w:sz="4" w:space="0" w:color="auto"/>
            </w:tcBorders>
            <w:noWrap/>
            <w:vAlign w:val="center"/>
            <w:hideMark/>
          </w:tcPr>
          <w:p w14:paraId="3186D1DA"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1 712 985 434</w:t>
            </w:r>
          </w:p>
        </w:tc>
        <w:tc>
          <w:tcPr>
            <w:tcW w:w="594" w:type="pct"/>
            <w:tcBorders>
              <w:top w:val="nil"/>
              <w:left w:val="nil"/>
              <w:bottom w:val="single" w:sz="4" w:space="0" w:color="auto"/>
              <w:right w:val="single" w:sz="4" w:space="0" w:color="auto"/>
            </w:tcBorders>
            <w:noWrap/>
            <w:vAlign w:val="center"/>
            <w:hideMark/>
          </w:tcPr>
          <w:p w14:paraId="1C2D6B98"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2 097 908 140</w:t>
            </w:r>
          </w:p>
        </w:tc>
        <w:tc>
          <w:tcPr>
            <w:tcW w:w="594" w:type="pct"/>
            <w:tcBorders>
              <w:top w:val="nil"/>
              <w:left w:val="nil"/>
              <w:bottom w:val="single" w:sz="4" w:space="0" w:color="auto"/>
              <w:right w:val="single" w:sz="4" w:space="0" w:color="auto"/>
            </w:tcBorders>
            <w:noWrap/>
            <w:vAlign w:val="center"/>
            <w:hideMark/>
          </w:tcPr>
          <w:p w14:paraId="15856011"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2 642 222 631</w:t>
            </w:r>
          </w:p>
        </w:tc>
        <w:tc>
          <w:tcPr>
            <w:tcW w:w="653" w:type="pct"/>
            <w:tcBorders>
              <w:top w:val="nil"/>
              <w:left w:val="nil"/>
              <w:bottom w:val="single" w:sz="4" w:space="0" w:color="auto"/>
              <w:right w:val="single" w:sz="4" w:space="0" w:color="auto"/>
            </w:tcBorders>
            <w:noWrap/>
            <w:vAlign w:val="center"/>
            <w:hideMark/>
          </w:tcPr>
          <w:p w14:paraId="38C32858"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8 556 213 352</w:t>
            </w:r>
          </w:p>
        </w:tc>
        <w:tc>
          <w:tcPr>
            <w:tcW w:w="258" w:type="pct"/>
            <w:tcBorders>
              <w:top w:val="nil"/>
              <w:left w:val="nil"/>
              <w:bottom w:val="single" w:sz="4" w:space="0" w:color="auto"/>
              <w:right w:val="single" w:sz="4" w:space="0" w:color="auto"/>
            </w:tcBorders>
            <w:noWrap/>
            <w:vAlign w:val="center"/>
            <w:hideMark/>
          </w:tcPr>
          <w:p w14:paraId="31EF8C57"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1%</w:t>
            </w:r>
          </w:p>
        </w:tc>
      </w:tr>
      <w:tr w:rsidR="00BF3393" w:rsidRPr="00BF3393" w14:paraId="24320BA9" w14:textId="77777777" w:rsidTr="00F847BF">
        <w:trPr>
          <w:trHeight w:val="315"/>
          <w:jc w:val="center"/>
        </w:trPr>
        <w:tc>
          <w:tcPr>
            <w:tcW w:w="1125" w:type="pct"/>
            <w:tcBorders>
              <w:top w:val="nil"/>
              <w:left w:val="single" w:sz="4" w:space="0" w:color="auto"/>
              <w:bottom w:val="single" w:sz="4" w:space="0" w:color="auto"/>
              <w:right w:val="single" w:sz="4" w:space="0" w:color="auto"/>
            </w:tcBorders>
            <w:noWrap/>
            <w:vAlign w:val="center"/>
            <w:hideMark/>
          </w:tcPr>
          <w:p w14:paraId="4BF0A962" w14:textId="77777777" w:rsidR="00BF3393" w:rsidRPr="00BF3393" w:rsidRDefault="00BF3393" w:rsidP="00F847BF">
            <w:pPr>
              <w:spacing w:line="256" w:lineRule="auto"/>
              <w:rPr>
                <w:rFonts w:ascii="Calibri" w:hAnsi="Calibri" w:cs="Calibri"/>
                <w:color w:val="000000"/>
                <w:sz w:val="20"/>
                <w:szCs w:val="20"/>
              </w:rPr>
            </w:pPr>
            <w:r w:rsidRPr="00BF3393">
              <w:rPr>
                <w:rFonts w:ascii="Calibri" w:hAnsi="Calibri" w:cs="Calibri"/>
                <w:color w:val="000000"/>
                <w:sz w:val="20"/>
                <w:szCs w:val="20"/>
              </w:rPr>
              <w:t>Nutrition</w:t>
            </w:r>
          </w:p>
        </w:tc>
        <w:tc>
          <w:tcPr>
            <w:tcW w:w="587" w:type="pct"/>
            <w:tcBorders>
              <w:top w:val="nil"/>
              <w:left w:val="nil"/>
              <w:bottom w:val="single" w:sz="4" w:space="0" w:color="auto"/>
              <w:right w:val="single" w:sz="4" w:space="0" w:color="auto"/>
            </w:tcBorders>
            <w:noWrap/>
            <w:vAlign w:val="center"/>
            <w:hideMark/>
          </w:tcPr>
          <w:p w14:paraId="6A9EEDD7"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25 799 897 088</w:t>
            </w:r>
          </w:p>
        </w:tc>
        <w:tc>
          <w:tcPr>
            <w:tcW w:w="594" w:type="pct"/>
            <w:tcBorders>
              <w:top w:val="nil"/>
              <w:left w:val="nil"/>
              <w:bottom w:val="single" w:sz="4" w:space="0" w:color="auto"/>
              <w:right w:val="single" w:sz="4" w:space="0" w:color="auto"/>
            </w:tcBorders>
            <w:noWrap/>
            <w:vAlign w:val="center"/>
            <w:hideMark/>
          </w:tcPr>
          <w:p w14:paraId="6E1737C1"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27 997 118 130</w:t>
            </w:r>
          </w:p>
        </w:tc>
        <w:tc>
          <w:tcPr>
            <w:tcW w:w="594" w:type="pct"/>
            <w:tcBorders>
              <w:top w:val="nil"/>
              <w:left w:val="nil"/>
              <w:bottom w:val="single" w:sz="4" w:space="0" w:color="auto"/>
              <w:right w:val="single" w:sz="4" w:space="0" w:color="auto"/>
            </w:tcBorders>
            <w:noWrap/>
            <w:vAlign w:val="center"/>
            <w:hideMark/>
          </w:tcPr>
          <w:p w14:paraId="0BC2E17A"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28 802 233 963</w:t>
            </w:r>
          </w:p>
        </w:tc>
        <w:tc>
          <w:tcPr>
            <w:tcW w:w="594" w:type="pct"/>
            <w:tcBorders>
              <w:top w:val="nil"/>
              <w:left w:val="nil"/>
              <w:bottom w:val="single" w:sz="4" w:space="0" w:color="auto"/>
              <w:right w:val="single" w:sz="4" w:space="0" w:color="auto"/>
            </w:tcBorders>
            <w:noWrap/>
            <w:vAlign w:val="center"/>
            <w:hideMark/>
          </w:tcPr>
          <w:p w14:paraId="4E50AA42"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29 002 909 823</w:t>
            </w:r>
          </w:p>
        </w:tc>
        <w:tc>
          <w:tcPr>
            <w:tcW w:w="594" w:type="pct"/>
            <w:tcBorders>
              <w:top w:val="nil"/>
              <w:left w:val="nil"/>
              <w:bottom w:val="single" w:sz="4" w:space="0" w:color="auto"/>
              <w:right w:val="single" w:sz="4" w:space="0" w:color="auto"/>
            </w:tcBorders>
            <w:noWrap/>
            <w:vAlign w:val="center"/>
            <w:hideMark/>
          </w:tcPr>
          <w:p w14:paraId="07A094E0"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29 422 113 959</w:t>
            </w:r>
          </w:p>
        </w:tc>
        <w:tc>
          <w:tcPr>
            <w:tcW w:w="653" w:type="pct"/>
            <w:tcBorders>
              <w:top w:val="nil"/>
              <w:left w:val="nil"/>
              <w:bottom w:val="single" w:sz="4" w:space="0" w:color="auto"/>
              <w:right w:val="single" w:sz="4" w:space="0" w:color="auto"/>
            </w:tcBorders>
            <w:noWrap/>
            <w:vAlign w:val="center"/>
            <w:hideMark/>
          </w:tcPr>
          <w:p w14:paraId="367C0242"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141 024 272 963</w:t>
            </w:r>
          </w:p>
        </w:tc>
        <w:tc>
          <w:tcPr>
            <w:tcW w:w="258" w:type="pct"/>
            <w:tcBorders>
              <w:top w:val="nil"/>
              <w:left w:val="nil"/>
              <w:bottom w:val="single" w:sz="4" w:space="0" w:color="auto"/>
              <w:right w:val="single" w:sz="4" w:space="0" w:color="auto"/>
            </w:tcBorders>
            <w:noWrap/>
            <w:vAlign w:val="center"/>
            <w:hideMark/>
          </w:tcPr>
          <w:p w14:paraId="4E6F703F"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8%</w:t>
            </w:r>
          </w:p>
        </w:tc>
      </w:tr>
      <w:tr w:rsidR="00BF3393" w:rsidRPr="00BF3393" w14:paraId="6AF274AE" w14:textId="77777777" w:rsidTr="00F847BF">
        <w:trPr>
          <w:trHeight w:val="315"/>
          <w:jc w:val="center"/>
        </w:trPr>
        <w:tc>
          <w:tcPr>
            <w:tcW w:w="1125" w:type="pct"/>
            <w:tcBorders>
              <w:top w:val="nil"/>
              <w:left w:val="single" w:sz="4" w:space="0" w:color="auto"/>
              <w:bottom w:val="single" w:sz="4" w:space="0" w:color="auto"/>
              <w:right w:val="single" w:sz="4" w:space="0" w:color="auto"/>
            </w:tcBorders>
            <w:noWrap/>
            <w:vAlign w:val="center"/>
            <w:hideMark/>
          </w:tcPr>
          <w:p w14:paraId="2EF62604" w14:textId="77777777" w:rsidR="00BF3393" w:rsidRPr="00BF3393" w:rsidRDefault="00BF3393" w:rsidP="00F847BF">
            <w:pPr>
              <w:spacing w:line="256" w:lineRule="auto"/>
              <w:rPr>
                <w:rFonts w:ascii="Calibri" w:hAnsi="Calibri" w:cs="Calibri"/>
                <w:color w:val="000000"/>
                <w:sz w:val="20"/>
                <w:szCs w:val="20"/>
              </w:rPr>
            </w:pPr>
            <w:r w:rsidRPr="00BF3393">
              <w:rPr>
                <w:rFonts w:ascii="Calibri" w:hAnsi="Calibri" w:cs="Calibri"/>
                <w:color w:val="000000"/>
                <w:sz w:val="20"/>
                <w:szCs w:val="20"/>
              </w:rPr>
              <w:t>Interventions transversales</w:t>
            </w:r>
          </w:p>
        </w:tc>
        <w:tc>
          <w:tcPr>
            <w:tcW w:w="587" w:type="pct"/>
            <w:tcBorders>
              <w:top w:val="nil"/>
              <w:left w:val="nil"/>
              <w:bottom w:val="single" w:sz="4" w:space="0" w:color="auto"/>
              <w:right w:val="single" w:sz="4" w:space="0" w:color="auto"/>
            </w:tcBorders>
            <w:noWrap/>
            <w:vAlign w:val="center"/>
            <w:hideMark/>
          </w:tcPr>
          <w:p w14:paraId="341D3634"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2 530 873 822</w:t>
            </w:r>
          </w:p>
        </w:tc>
        <w:tc>
          <w:tcPr>
            <w:tcW w:w="594" w:type="pct"/>
            <w:tcBorders>
              <w:top w:val="nil"/>
              <w:left w:val="nil"/>
              <w:bottom w:val="single" w:sz="4" w:space="0" w:color="auto"/>
              <w:right w:val="single" w:sz="4" w:space="0" w:color="auto"/>
            </w:tcBorders>
            <w:noWrap/>
            <w:vAlign w:val="center"/>
            <w:hideMark/>
          </w:tcPr>
          <w:p w14:paraId="5FB53F0E"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1 907 959 819</w:t>
            </w:r>
          </w:p>
        </w:tc>
        <w:tc>
          <w:tcPr>
            <w:tcW w:w="594" w:type="pct"/>
            <w:tcBorders>
              <w:top w:val="nil"/>
              <w:left w:val="nil"/>
              <w:bottom w:val="single" w:sz="4" w:space="0" w:color="auto"/>
              <w:right w:val="single" w:sz="4" w:space="0" w:color="auto"/>
            </w:tcBorders>
            <w:noWrap/>
            <w:vAlign w:val="center"/>
            <w:hideMark/>
          </w:tcPr>
          <w:p w14:paraId="4740F7F1"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505 128 559 822</w:t>
            </w:r>
          </w:p>
        </w:tc>
        <w:tc>
          <w:tcPr>
            <w:tcW w:w="594" w:type="pct"/>
            <w:tcBorders>
              <w:top w:val="nil"/>
              <w:left w:val="nil"/>
              <w:bottom w:val="single" w:sz="4" w:space="0" w:color="auto"/>
              <w:right w:val="single" w:sz="4" w:space="0" w:color="auto"/>
            </w:tcBorders>
            <w:noWrap/>
            <w:vAlign w:val="center"/>
            <w:hideMark/>
          </w:tcPr>
          <w:p w14:paraId="2274BC0F"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1 878 559 814</w:t>
            </w:r>
          </w:p>
        </w:tc>
        <w:tc>
          <w:tcPr>
            <w:tcW w:w="594" w:type="pct"/>
            <w:tcBorders>
              <w:top w:val="nil"/>
              <w:left w:val="nil"/>
              <w:bottom w:val="single" w:sz="4" w:space="0" w:color="auto"/>
              <w:right w:val="single" w:sz="4" w:space="0" w:color="auto"/>
            </w:tcBorders>
            <w:noWrap/>
            <w:vAlign w:val="center"/>
            <w:hideMark/>
          </w:tcPr>
          <w:p w14:paraId="735F4750"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483 128 559 821</w:t>
            </w:r>
          </w:p>
        </w:tc>
        <w:tc>
          <w:tcPr>
            <w:tcW w:w="653" w:type="pct"/>
            <w:tcBorders>
              <w:top w:val="nil"/>
              <w:left w:val="nil"/>
              <w:bottom w:val="single" w:sz="4" w:space="0" w:color="auto"/>
              <w:right w:val="single" w:sz="4" w:space="0" w:color="auto"/>
            </w:tcBorders>
            <w:noWrap/>
            <w:vAlign w:val="center"/>
            <w:hideMark/>
          </w:tcPr>
          <w:p w14:paraId="293FCD49"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994 574 513 098</w:t>
            </w:r>
          </w:p>
        </w:tc>
        <w:tc>
          <w:tcPr>
            <w:tcW w:w="258" w:type="pct"/>
            <w:tcBorders>
              <w:top w:val="nil"/>
              <w:left w:val="nil"/>
              <w:bottom w:val="single" w:sz="4" w:space="0" w:color="auto"/>
              <w:right w:val="single" w:sz="4" w:space="0" w:color="auto"/>
            </w:tcBorders>
            <w:noWrap/>
            <w:vAlign w:val="center"/>
            <w:hideMark/>
          </w:tcPr>
          <w:p w14:paraId="0FB341DD"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59%</w:t>
            </w:r>
          </w:p>
        </w:tc>
      </w:tr>
      <w:tr w:rsidR="00BF3393" w:rsidRPr="00BF3393" w14:paraId="606E729E" w14:textId="77777777" w:rsidTr="00F847BF">
        <w:trPr>
          <w:trHeight w:val="315"/>
          <w:jc w:val="center"/>
        </w:trPr>
        <w:tc>
          <w:tcPr>
            <w:tcW w:w="1125" w:type="pct"/>
            <w:tcBorders>
              <w:top w:val="nil"/>
              <w:left w:val="single" w:sz="4" w:space="0" w:color="auto"/>
              <w:bottom w:val="single" w:sz="4" w:space="0" w:color="auto"/>
              <w:right w:val="single" w:sz="4" w:space="0" w:color="auto"/>
            </w:tcBorders>
            <w:noWrap/>
            <w:vAlign w:val="center"/>
            <w:hideMark/>
          </w:tcPr>
          <w:p w14:paraId="7273164B" w14:textId="77777777" w:rsidR="00BF3393" w:rsidRPr="00BF3393" w:rsidRDefault="00BF3393" w:rsidP="00F847BF">
            <w:pPr>
              <w:spacing w:line="256" w:lineRule="auto"/>
              <w:rPr>
                <w:rFonts w:ascii="Calibri" w:hAnsi="Calibri" w:cs="Calibri"/>
                <w:color w:val="000000"/>
                <w:sz w:val="20"/>
                <w:szCs w:val="20"/>
              </w:rPr>
            </w:pPr>
            <w:r w:rsidRPr="00BF3393">
              <w:rPr>
                <w:rFonts w:ascii="Calibri" w:hAnsi="Calibri" w:cs="Calibri"/>
                <w:color w:val="000000"/>
                <w:sz w:val="20"/>
                <w:szCs w:val="20"/>
              </w:rPr>
              <w:t>Etat civile</w:t>
            </w:r>
          </w:p>
        </w:tc>
        <w:tc>
          <w:tcPr>
            <w:tcW w:w="587" w:type="pct"/>
            <w:tcBorders>
              <w:top w:val="nil"/>
              <w:left w:val="nil"/>
              <w:bottom w:val="single" w:sz="4" w:space="0" w:color="auto"/>
              <w:right w:val="single" w:sz="4" w:space="0" w:color="auto"/>
            </w:tcBorders>
            <w:noWrap/>
            <w:vAlign w:val="center"/>
            <w:hideMark/>
          </w:tcPr>
          <w:p w14:paraId="442B286B"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2 126 778 000</w:t>
            </w:r>
          </w:p>
        </w:tc>
        <w:tc>
          <w:tcPr>
            <w:tcW w:w="594" w:type="pct"/>
            <w:tcBorders>
              <w:top w:val="nil"/>
              <w:left w:val="nil"/>
              <w:bottom w:val="single" w:sz="4" w:space="0" w:color="auto"/>
              <w:right w:val="single" w:sz="4" w:space="0" w:color="auto"/>
            </w:tcBorders>
            <w:noWrap/>
            <w:vAlign w:val="center"/>
            <w:hideMark/>
          </w:tcPr>
          <w:p w14:paraId="46BA5D5F"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3 714 500 000</w:t>
            </w:r>
          </w:p>
        </w:tc>
        <w:tc>
          <w:tcPr>
            <w:tcW w:w="594" w:type="pct"/>
            <w:tcBorders>
              <w:top w:val="nil"/>
              <w:left w:val="nil"/>
              <w:bottom w:val="single" w:sz="4" w:space="0" w:color="auto"/>
              <w:right w:val="single" w:sz="4" w:space="0" w:color="auto"/>
            </w:tcBorders>
            <w:noWrap/>
            <w:vAlign w:val="center"/>
            <w:hideMark/>
          </w:tcPr>
          <w:p w14:paraId="769CF0CE"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3 397 500 000</w:t>
            </w:r>
          </w:p>
        </w:tc>
        <w:tc>
          <w:tcPr>
            <w:tcW w:w="594" w:type="pct"/>
            <w:tcBorders>
              <w:top w:val="nil"/>
              <w:left w:val="nil"/>
              <w:bottom w:val="single" w:sz="4" w:space="0" w:color="auto"/>
              <w:right w:val="single" w:sz="4" w:space="0" w:color="auto"/>
            </w:tcBorders>
            <w:noWrap/>
            <w:vAlign w:val="center"/>
            <w:hideMark/>
          </w:tcPr>
          <w:p w14:paraId="7DCF133B"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3 041 500 000</w:t>
            </w:r>
          </w:p>
        </w:tc>
        <w:tc>
          <w:tcPr>
            <w:tcW w:w="594" w:type="pct"/>
            <w:tcBorders>
              <w:top w:val="nil"/>
              <w:left w:val="nil"/>
              <w:bottom w:val="single" w:sz="4" w:space="0" w:color="auto"/>
              <w:right w:val="single" w:sz="4" w:space="0" w:color="auto"/>
            </w:tcBorders>
            <w:noWrap/>
            <w:vAlign w:val="center"/>
            <w:hideMark/>
          </w:tcPr>
          <w:p w14:paraId="0C21BD24"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3 041 500 000</w:t>
            </w:r>
          </w:p>
        </w:tc>
        <w:tc>
          <w:tcPr>
            <w:tcW w:w="653" w:type="pct"/>
            <w:tcBorders>
              <w:top w:val="nil"/>
              <w:left w:val="nil"/>
              <w:bottom w:val="single" w:sz="4" w:space="0" w:color="auto"/>
              <w:right w:val="single" w:sz="4" w:space="0" w:color="auto"/>
            </w:tcBorders>
            <w:noWrap/>
            <w:vAlign w:val="center"/>
            <w:hideMark/>
          </w:tcPr>
          <w:p w14:paraId="0561C78D"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15 321 778 000</w:t>
            </w:r>
          </w:p>
        </w:tc>
        <w:tc>
          <w:tcPr>
            <w:tcW w:w="258" w:type="pct"/>
            <w:tcBorders>
              <w:top w:val="nil"/>
              <w:left w:val="nil"/>
              <w:bottom w:val="single" w:sz="4" w:space="0" w:color="auto"/>
              <w:right w:val="single" w:sz="4" w:space="0" w:color="auto"/>
            </w:tcBorders>
            <w:noWrap/>
            <w:vAlign w:val="center"/>
            <w:hideMark/>
          </w:tcPr>
          <w:p w14:paraId="13312BEA" w14:textId="77777777" w:rsidR="00BF3393" w:rsidRPr="00BF3393" w:rsidRDefault="00BF3393" w:rsidP="00F847BF">
            <w:pPr>
              <w:spacing w:line="256" w:lineRule="auto"/>
              <w:jc w:val="center"/>
              <w:rPr>
                <w:rFonts w:ascii="Calibri" w:hAnsi="Calibri" w:cs="Calibri"/>
                <w:color w:val="000000"/>
                <w:sz w:val="20"/>
                <w:szCs w:val="20"/>
              </w:rPr>
            </w:pPr>
            <w:r w:rsidRPr="00BF3393">
              <w:rPr>
                <w:rFonts w:ascii="Calibri" w:hAnsi="Calibri" w:cs="Calibri"/>
                <w:color w:val="000000"/>
                <w:sz w:val="20"/>
                <w:szCs w:val="20"/>
              </w:rPr>
              <w:t>1%</w:t>
            </w:r>
          </w:p>
        </w:tc>
      </w:tr>
      <w:tr w:rsidR="00BF3393" w:rsidRPr="00BF3393" w14:paraId="08204A26" w14:textId="77777777" w:rsidTr="00F847BF">
        <w:trPr>
          <w:trHeight w:val="315"/>
          <w:jc w:val="center"/>
        </w:trPr>
        <w:tc>
          <w:tcPr>
            <w:tcW w:w="1125" w:type="pct"/>
            <w:tcBorders>
              <w:top w:val="nil"/>
              <w:left w:val="single" w:sz="4" w:space="0" w:color="auto"/>
              <w:bottom w:val="single" w:sz="4" w:space="0" w:color="auto"/>
              <w:right w:val="single" w:sz="4" w:space="0" w:color="auto"/>
            </w:tcBorders>
            <w:shd w:val="clear" w:color="auto" w:fill="FFFF00"/>
            <w:noWrap/>
            <w:vAlign w:val="center"/>
            <w:hideMark/>
          </w:tcPr>
          <w:p w14:paraId="08300399"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Total</w:t>
            </w:r>
          </w:p>
        </w:tc>
        <w:tc>
          <w:tcPr>
            <w:tcW w:w="587" w:type="pct"/>
            <w:tcBorders>
              <w:top w:val="nil"/>
              <w:left w:val="nil"/>
              <w:bottom w:val="single" w:sz="4" w:space="0" w:color="auto"/>
              <w:right w:val="single" w:sz="4" w:space="0" w:color="auto"/>
            </w:tcBorders>
            <w:shd w:val="clear" w:color="auto" w:fill="FFFF00"/>
            <w:noWrap/>
            <w:vAlign w:val="center"/>
            <w:hideMark/>
          </w:tcPr>
          <w:p w14:paraId="3506C326"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127 806 002 774</w:t>
            </w:r>
          </w:p>
        </w:tc>
        <w:tc>
          <w:tcPr>
            <w:tcW w:w="594" w:type="pct"/>
            <w:tcBorders>
              <w:top w:val="nil"/>
              <w:left w:val="nil"/>
              <w:bottom w:val="single" w:sz="4" w:space="0" w:color="auto"/>
              <w:right w:val="single" w:sz="4" w:space="0" w:color="auto"/>
            </w:tcBorders>
            <w:shd w:val="clear" w:color="auto" w:fill="FFFF00"/>
            <w:noWrap/>
            <w:vAlign w:val="center"/>
            <w:hideMark/>
          </w:tcPr>
          <w:p w14:paraId="5F7955FB"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131 223 228 568</w:t>
            </w:r>
          </w:p>
        </w:tc>
        <w:tc>
          <w:tcPr>
            <w:tcW w:w="594" w:type="pct"/>
            <w:tcBorders>
              <w:top w:val="nil"/>
              <w:left w:val="nil"/>
              <w:bottom w:val="single" w:sz="4" w:space="0" w:color="auto"/>
              <w:right w:val="single" w:sz="4" w:space="0" w:color="auto"/>
            </w:tcBorders>
            <w:shd w:val="clear" w:color="auto" w:fill="FFFF00"/>
            <w:noWrap/>
            <w:vAlign w:val="center"/>
            <w:hideMark/>
          </w:tcPr>
          <w:p w14:paraId="4CE45B78"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640 604 062 966</w:t>
            </w:r>
          </w:p>
        </w:tc>
        <w:tc>
          <w:tcPr>
            <w:tcW w:w="594" w:type="pct"/>
            <w:tcBorders>
              <w:top w:val="nil"/>
              <w:left w:val="nil"/>
              <w:bottom w:val="single" w:sz="4" w:space="0" w:color="auto"/>
              <w:right w:val="single" w:sz="4" w:space="0" w:color="auto"/>
            </w:tcBorders>
            <w:shd w:val="clear" w:color="auto" w:fill="FFFF00"/>
            <w:noWrap/>
            <w:vAlign w:val="center"/>
            <w:hideMark/>
          </w:tcPr>
          <w:p w14:paraId="6F95E9E6"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153 500 894 258</w:t>
            </w:r>
          </w:p>
        </w:tc>
        <w:tc>
          <w:tcPr>
            <w:tcW w:w="594" w:type="pct"/>
            <w:tcBorders>
              <w:top w:val="nil"/>
              <w:left w:val="nil"/>
              <w:bottom w:val="single" w:sz="4" w:space="0" w:color="auto"/>
              <w:right w:val="single" w:sz="4" w:space="0" w:color="auto"/>
            </w:tcBorders>
            <w:shd w:val="clear" w:color="auto" w:fill="FFFF00"/>
            <w:noWrap/>
            <w:vAlign w:val="center"/>
            <w:hideMark/>
          </w:tcPr>
          <w:p w14:paraId="653B1E8E"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633 953 974 931</w:t>
            </w:r>
          </w:p>
        </w:tc>
        <w:tc>
          <w:tcPr>
            <w:tcW w:w="653" w:type="pct"/>
            <w:tcBorders>
              <w:top w:val="nil"/>
              <w:left w:val="nil"/>
              <w:bottom w:val="single" w:sz="4" w:space="0" w:color="auto"/>
              <w:right w:val="single" w:sz="4" w:space="0" w:color="auto"/>
            </w:tcBorders>
            <w:shd w:val="clear" w:color="auto" w:fill="FFFF00"/>
            <w:noWrap/>
            <w:vAlign w:val="center"/>
            <w:hideMark/>
          </w:tcPr>
          <w:p w14:paraId="28100D1F" w14:textId="77777777" w:rsidR="00BF3393" w:rsidRPr="00BF3393" w:rsidRDefault="00BF3393" w:rsidP="00F847BF">
            <w:pPr>
              <w:spacing w:line="256" w:lineRule="auto"/>
              <w:jc w:val="center"/>
              <w:rPr>
                <w:rFonts w:ascii="Calibri" w:hAnsi="Calibri" w:cs="Calibri"/>
                <w:b/>
                <w:bCs/>
                <w:color w:val="000000"/>
                <w:sz w:val="20"/>
                <w:szCs w:val="20"/>
              </w:rPr>
            </w:pPr>
            <w:r w:rsidRPr="00BF3393">
              <w:rPr>
                <w:rFonts w:ascii="Calibri" w:hAnsi="Calibri" w:cs="Calibri"/>
                <w:b/>
                <w:bCs/>
                <w:color w:val="000000"/>
                <w:sz w:val="20"/>
                <w:szCs w:val="20"/>
              </w:rPr>
              <w:t>1 687 088 163 496</w:t>
            </w:r>
          </w:p>
        </w:tc>
        <w:tc>
          <w:tcPr>
            <w:tcW w:w="258" w:type="pct"/>
            <w:tcBorders>
              <w:top w:val="nil"/>
              <w:left w:val="nil"/>
              <w:bottom w:val="single" w:sz="4" w:space="0" w:color="auto"/>
              <w:right w:val="single" w:sz="4" w:space="0" w:color="auto"/>
            </w:tcBorders>
            <w:shd w:val="clear" w:color="auto" w:fill="FFFF00"/>
            <w:noWrap/>
            <w:vAlign w:val="center"/>
            <w:hideMark/>
          </w:tcPr>
          <w:p w14:paraId="0AD42872" w14:textId="77777777" w:rsidR="00BF3393" w:rsidRPr="00BF3393" w:rsidRDefault="00BF3393" w:rsidP="00F847BF">
            <w:pPr>
              <w:spacing w:line="256" w:lineRule="auto"/>
              <w:jc w:val="center"/>
              <w:rPr>
                <w:rFonts w:ascii="Calibri" w:hAnsi="Calibri" w:cs="Calibri"/>
                <w:b/>
                <w:color w:val="000000"/>
                <w:sz w:val="20"/>
                <w:szCs w:val="20"/>
              </w:rPr>
            </w:pPr>
            <w:r w:rsidRPr="00BF3393">
              <w:rPr>
                <w:rFonts w:ascii="Calibri" w:hAnsi="Calibri" w:cs="Calibri"/>
                <w:b/>
                <w:color w:val="000000"/>
                <w:sz w:val="20"/>
                <w:szCs w:val="20"/>
              </w:rPr>
              <w:t>100%</w:t>
            </w:r>
          </w:p>
        </w:tc>
      </w:tr>
    </w:tbl>
    <w:p w14:paraId="5D365DA1" w14:textId="77777777" w:rsidR="00BF3393" w:rsidRDefault="00BF3393" w:rsidP="00BF3393">
      <w:pPr>
        <w:spacing w:line="360" w:lineRule="auto"/>
        <w:jc w:val="both"/>
        <w:rPr>
          <w:rFonts w:ascii="Calibri" w:hAnsi="Calibri" w:cs="Arial"/>
          <w:color w:val="000000"/>
        </w:rPr>
      </w:pPr>
    </w:p>
    <w:p w14:paraId="09B2C295" w14:textId="583BE708" w:rsidR="00BF3393" w:rsidRDefault="00BF3393" w:rsidP="00BF3393">
      <w:pPr>
        <w:spacing w:line="360" w:lineRule="auto"/>
        <w:jc w:val="both"/>
        <w:rPr>
          <w:rFonts w:ascii="Calibri" w:hAnsi="Calibri" w:cs="Arial"/>
          <w:b/>
          <w:color w:val="000000"/>
        </w:rPr>
      </w:pPr>
      <w:r>
        <w:rPr>
          <w:rFonts w:ascii="Calibri" w:hAnsi="Calibri" w:cs="Arial"/>
          <w:b/>
          <w:color w:val="000000"/>
          <w:u w:val="single"/>
        </w:rPr>
        <w:t xml:space="preserve">Tableau </w:t>
      </w:r>
      <w:r w:rsidR="00BD2D4B">
        <w:rPr>
          <w:rFonts w:ascii="Calibri" w:hAnsi="Calibri" w:cs="Arial"/>
          <w:b/>
          <w:color w:val="000000"/>
          <w:u w:val="single"/>
        </w:rPr>
        <w:t>12</w:t>
      </w:r>
      <w:r>
        <w:rPr>
          <w:rFonts w:ascii="Calibri" w:hAnsi="Calibri" w:cs="Arial"/>
          <w:b/>
          <w:color w:val="000000"/>
        </w:rPr>
        <w:t> : Budget annuel de la SRMNEAN-ETAT CIVIL par programme en FCFA_ Scénario maximum</w:t>
      </w:r>
    </w:p>
    <w:p w14:paraId="29DF807B" w14:textId="77777777" w:rsidR="00BF3393" w:rsidRDefault="00BF3393" w:rsidP="00BF3393">
      <w:pPr>
        <w:spacing w:line="360" w:lineRule="auto"/>
        <w:jc w:val="both"/>
        <w:rPr>
          <w:rFonts w:ascii="Calibri" w:hAnsi="Calibri" w:cs="Arial"/>
          <w:color w:val="000000"/>
        </w:rPr>
      </w:pPr>
    </w:p>
    <w:tbl>
      <w:tblPr>
        <w:tblW w:w="5000" w:type="pct"/>
        <w:tblCellMar>
          <w:left w:w="70" w:type="dxa"/>
          <w:right w:w="70" w:type="dxa"/>
        </w:tblCellMar>
        <w:tblLook w:val="04A0" w:firstRow="1" w:lastRow="0" w:firstColumn="1" w:lastColumn="0" w:noHBand="0" w:noVBand="1"/>
      </w:tblPr>
      <w:tblGrid>
        <w:gridCol w:w="3317"/>
        <w:gridCol w:w="1705"/>
        <w:gridCol w:w="1734"/>
        <w:gridCol w:w="1734"/>
        <w:gridCol w:w="1734"/>
        <w:gridCol w:w="1735"/>
        <w:gridCol w:w="1907"/>
        <w:gridCol w:w="660"/>
      </w:tblGrid>
      <w:tr w:rsidR="00BF3393" w14:paraId="42CC6D72" w14:textId="77777777" w:rsidTr="00F847BF">
        <w:trPr>
          <w:trHeight w:val="300"/>
        </w:trPr>
        <w:tc>
          <w:tcPr>
            <w:tcW w:w="1135" w:type="pct"/>
            <w:tcBorders>
              <w:top w:val="single" w:sz="4" w:space="0" w:color="auto"/>
              <w:left w:val="single" w:sz="4" w:space="0" w:color="auto"/>
              <w:bottom w:val="single" w:sz="4" w:space="0" w:color="auto"/>
              <w:right w:val="single" w:sz="4" w:space="0" w:color="auto"/>
            </w:tcBorders>
            <w:shd w:val="clear" w:color="auto" w:fill="D9D9D9"/>
            <w:noWrap/>
            <w:vAlign w:val="bottom"/>
            <w:hideMark/>
          </w:tcPr>
          <w:p w14:paraId="7E50CAEB" w14:textId="77777777" w:rsidR="00BF3393" w:rsidRDefault="00BF3393" w:rsidP="00F847BF">
            <w:pPr>
              <w:spacing w:line="256" w:lineRule="auto"/>
              <w:jc w:val="center"/>
              <w:rPr>
                <w:rFonts w:ascii="Calibri" w:hAnsi="Calibri" w:cs="Calibri"/>
                <w:b/>
                <w:bCs/>
                <w:color w:val="000000"/>
              </w:rPr>
            </w:pPr>
            <w:r>
              <w:rPr>
                <w:rFonts w:ascii="Calibri" w:hAnsi="Calibri" w:cs="Calibri"/>
                <w:b/>
                <w:bCs/>
                <w:color w:val="000000"/>
              </w:rPr>
              <w:t>Programmes</w:t>
            </w:r>
          </w:p>
        </w:tc>
        <w:tc>
          <w:tcPr>
            <w:tcW w:w="588" w:type="pct"/>
            <w:tcBorders>
              <w:top w:val="single" w:sz="4" w:space="0" w:color="auto"/>
              <w:left w:val="nil"/>
              <w:bottom w:val="single" w:sz="4" w:space="0" w:color="auto"/>
              <w:right w:val="single" w:sz="4" w:space="0" w:color="auto"/>
            </w:tcBorders>
            <w:shd w:val="clear" w:color="auto" w:fill="D9D9D9"/>
            <w:noWrap/>
            <w:vAlign w:val="bottom"/>
            <w:hideMark/>
          </w:tcPr>
          <w:p w14:paraId="7C858A36" w14:textId="77777777" w:rsidR="00BF3393" w:rsidRDefault="00BF3393" w:rsidP="00F847BF">
            <w:pPr>
              <w:spacing w:line="256" w:lineRule="auto"/>
              <w:jc w:val="center"/>
              <w:rPr>
                <w:rFonts w:ascii="Calibri" w:hAnsi="Calibri" w:cs="Calibri"/>
                <w:b/>
                <w:bCs/>
                <w:color w:val="000000"/>
              </w:rPr>
            </w:pPr>
            <w:r>
              <w:rPr>
                <w:rFonts w:ascii="Calibri" w:hAnsi="Calibri" w:cs="Calibri"/>
                <w:b/>
                <w:bCs/>
                <w:color w:val="000000"/>
              </w:rPr>
              <w:t>2019</w:t>
            </w:r>
          </w:p>
        </w:tc>
        <w:tc>
          <w:tcPr>
            <w:tcW w:w="598" w:type="pct"/>
            <w:tcBorders>
              <w:top w:val="single" w:sz="4" w:space="0" w:color="auto"/>
              <w:left w:val="nil"/>
              <w:bottom w:val="single" w:sz="4" w:space="0" w:color="auto"/>
              <w:right w:val="single" w:sz="4" w:space="0" w:color="auto"/>
            </w:tcBorders>
            <w:shd w:val="clear" w:color="auto" w:fill="D9D9D9"/>
            <w:noWrap/>
            <w:vAlign w:val="bottom"/>
            <w:hideMark/>
          </w:tcPr>
          <w:p w14:paraId="2A1428BD" w14:textId="77777777" w:rsidR="00BF3393" w:rsidRDefault="00BF3393" w:rsidP="00F847BF">
            <w:pPr>
              <w:spacing w:line="256" w:lineRule="auto"/>
              <w:jc w:val="center"/>
              <w:rPr>
                <w:rFonts w:ascii="Calibri" w:hAnsi="Calibri" w:cs="Calibri"/>
                <w:b/>
                <w:bCs/>
                <w:color w:val="000000"/>
              </w:rPr>
            </w:pPr>
            <w:r>
              <w:rPr>
                <w:rFonts w:ascii="Calibri" w:hAnsi="Calibri" w:cs="Calibri"/>
                <w:b/>
                <w:bCs/>
                <w:color w:val="000000"/>
              </w:rPr>
              <w:t>2020</w:t>
            </w:r>
          </w:p>
        </w:tc>
        <w:tc>
          <w:tcPr>
            <w:tcW w:w="598" w:type="pct"/>
            <w:tcBorders>
              <w:top w:val="single" w:sz="4" w:space="0" w:color="auto"/>
              <w:left w:val="nil"/>
              <w:bottom w:val="single" w:sz="4" w:space="0" w:color="auto"/>
              <w:right w:val="single" w:sz="4" w:space="0" w:color="auto"/>
            </w:tcBorders>
            <w:shd w:val="clear" w:color="auto" w:fill="D9D9D9"/>
            <w:noWrap/>
            <w:vAlign w:val="bottom"/>
            <w:hideMark/>
          </w:tcPr>
          <w:p w14:paraId="626B9C85" w14:textId="77777777" w:rsidR="00BF3393" w:rsidRDefault="00BF3393" w:rsidP="00F847BF">
            <w:pPr>
              <w:spacing w:line="256" w:lineRule="auto"/>
              <w:jc w:val="center"/>
              <w:rPr>
                <w:rFonts w:ascii="Calibri" w:hAnsi="Calibri" w:cs="Calibri"/>
                <w:b/>
                <w:bCs/>
                <w:color w:val="000000"/>
              </w:rPr>
            </w:pPr>
            <w:r>
              <w:rPr>
                <w:rFonts w:ascii="Calibri" w:hAnsi="Calibri" w:cs="Calibri"/>
                <w:b/>
                <w:bCs/>
                <w:color w:val="000000"/>
              </w:rPr>
              <w:t>2021</w:t>
            </w:r>
          </w:p>
        </w:tc>
        <w:tc>
          <w:tcPr>
            <w:tcW w:w="598" w:type="pct"/>
            <w:tcBorders>
              <w:top w:val="single" w:sz="4" w:space="0" w:color="auto"/>
              <w:left w:val="nil"/>
              <w:bottom w:val="single" w:sz="4" w:space="0" w:color="auto"/>
              <w:right w:val="single" w:sz="4" w:space="0" w:color="auto"/>
            </w:tcBorders>
            <w:shd w:val="clear" w:color="auto" w:fill="D9D9D9"/>
            <w:noWrap/>
            <w:vAlign w:val="bottom"/>
            <w:hideMark/>
          </w:tcPr>
          <w:p w14:paraId="55608D8E" w14:textId="77777777" w:rsidR="00BF3393" w:rsidRDefault="00BF3393" w:rsidP="00F847BF">
            <w:pPr>
              <w:spacing w:line="256" w:lineRule="auto"/>
              <w:jc w:val="center"/>
              <w:rPr>
                <w:rFonts w:ascii="Calibri" w:hAnsi="Calibri" w:cs="Calibri"/>
                <w:b/>
                <w:bCs/>
                <w:color w:val="000000"/>
              </w:rPr>
            </w:pPr>
            <w:r>
              <w:rPr>
                <w:rFonts w:ascii="Calibri" w:hAnsi="Calibri" w:cs="Calibri"/>
                <w:b/>
                <w:bCs/>
                <w:color w:val="000000"/>
              </w:rPr>
              <w:t>2022</w:t>
            </w:r>
          </w:p>
        </w:tc>
        <w:tc>
          <w:tcPr>
            <w:tcW w:w="598" w:type="pct"/>
            <w:tcBorders>
              <w:top w:val="single" w:sz="4" w:space="0" w:color="auto"/>
              <w:left w:val="nil"/>
              <w:bottom w:val="single" w:sz="4" w:space="0" w:color="auto"/>
              <w:right w:val="single" w:sz="4" w:space="0" w:color="auto"/>
            </w:tcBorders>
            <w:shd w:val="clear" w:color="auto" w:fill="D9D9D9"/>
            <w:noWrap/>
            <w:vAlign w:val="bottom"/>
            <w:hideMark/>
          </w:tcPr>
          <w:p w14:paraId="7423685C" w14:textId="77777777" w:rsidR="00BF3393" w:rsidRDefault="00BF3393" w:rsidP="00F847BF">
            <w:pPr>
              <w:spacing w:line="256" w:lineRule="auto"/>
              <w:jc w:val="center"/>
              <w:rPr>
                <w:rFonts w:ascii="Calibri" w:hAnsi="Calibri" w:cs="Calibri"/>
                <w:b/>
                <w:bCs/>
                <w:color w:val="000000"/>
              </w:rPr>
            </w:pPr>
            <w:r>
              <w:rPr>
                <w:rFonts w:ascii="Calibri" w:hAnsi="Calibri" w:cs="Calibri"/>
                <w:b/>
                <w:bCs/>
                <w:color w:val="000000"/>
              </w:rPr>
              <w:t>2023</w:t>
            </w:r>
          </w:p>
        </w:tc>
        <w:tc>
          <w:tcPr>
            <w:tcW w:w="657" w:type="pct"/>
            <w:tcBorders>
              <w:top w:val="single" w:sz="4" w:space="0" w:color="auto"/>
              <w:left w:val="nil"/>
              <w:bottom w:val="single" w:sz="4" w:space="0" w:color="auto"/>
              <w:right w:val="single" w:sz="4" w:space="0" w:color="auto"/>
            </w:tcBorders>
            <w:shd w:val="clear" w:color="auto" w:fill="D9D9D9"/>
            <w:noWrap/>
            <w:vAlign w:val="bottom"/>
            <w:hideMark/>
          </w:tcPr>
          <w:p w14:paraId="0D678138" w14:textId="77777777" w:rsidR="00BF3393" w:rsidRDefault="00BF3393" w:rsidP="00F847BF">
            <w:pPr>
              <w:spacing w:line="256" w:lineRule="auto"/>
              <w:jc w:val="center"/>
              <w:rPr>
                <w:rFonts w:ascii="Calibri" w:hAnsi="Calibri" w:cs="Calibri"/>
                <w:b/>
                <w:bCs/>
                <w:color w:val="000000"/>
              </w:rPr>
            </w:pPr>
            <w:r>
              <w:rPr>
                <w:rFonts w:ascii="Calibri" w:hAnsi="Calibri" w:cs="Calibri"/>
                <w:b/>
                <w:bCs/>
                <w:color w:val="000000"/>
              </w:rPr>
              <w:t>Total</w:t>
            </w:r>
          </w:p>
        </w:tc>
        <w:tc>
          <w:tcPr>
            <w:tcW w:w="229" w:type="pct"/>
            <w:tcBorders>
              <w:top w:val="single" w:sz="4" w:space="0" w:color="auto"/>
              <w:left w:val="nil"/>
              <w:bottom w:val="single" w:sz="4" w:space="0" w:color="auto"/>
              <w:right w:val="single" w:sz="4" w:space="0" w:color="auto"/>
            </w:tcBorders>
            <w:shd w:val="clear" w:color="auto" w:fill="D9D9D9"/>
            <w:noWrap/>
            <w:vAlign w:val="bottom"/>
            <w:hideMark/>
          </w:tcPr>
          <w:p w14:paraId="56D4F51E" w14:textId="77777777" w:rsidR="00BF3393" w:rsidRDefault="00BF3393" w:rsidP="00F847BF">
            <w:pPr>
              <w:spacing w:line="256" w:lineRule="auto"/>
              <w:jc w:val="center"/>
              <w:rPr>
                <w:rFonts w:ascii="Calibri" w:hAnsi="Calibri" w:cs="Calibri"/>
                <w:b/>
                <w:bCs/>
                <w:color w:val="000000"/>
              </w:rPr>
            </w:pPr>
            <w:r>
              <w:rPr>
                <w:rFonts w:ascii="Calibri" w:hAnsi="Calibri" w:cs="Calibri"/>
                <w:b/>
                <w:bCs/>
                <w:color w:val="000000"/>
              </w:rPr>
              <w:t>%</w:t>
            </w:r>
          </w:p>
        </w:tc>
      </w:tr>
      <w:tr w:rsidR="00BF3393" w14:paraId="3510FE6C" w14:textId="77777777" w:rsidTr="00F847BF">
        <w:trPr>
          <w:trHeight w:val="300"/>
        </w:trPr>
        <w:tc>
          <w:tcPr>
            <w:tcW w:w="1135" w:type="pct"/>
            <w:tcBorders>
              <w:top w:val="nil"/>
              <w:left w:val="single" w:sz="4" w:space="0" w:color="auto"/>
              <w:bottom w:val="single" w:sz="4" w:space="0" w:color="auto"/>
              <w:right w:val="single" w:sz="4" w:space="0" w:color="auto"/>
            </w:tcBorders>
            <w:noWrap/>
            <w:vAlign w:val="bottom"/>
            <w:hideMark/>
          </w:tcPr>
          <w:p w14:paraId="378F7752" w14:textId="77777777" w:rsidR="00BF3393" w:rsidRDefault="00BF3393" w:rsidP="00F847BF">
            <w:pPr>
              <w:spacing w:line="256" w:lineRule="auto"/>
              <w:rPr>
                <w:rFonts w:ascii="Calibri" w:hAnsi="Calibri" w:cs="Calibri"/>
                <w:color w:val="000000"/>
              </w:rPr>
            </w:pPr>
            <w:r>
              <w:rPr>
                <w:rFonts w:ascii="Calibri" w:hAnsi="Calibri" w:cs="Calibri"/>
                <w:color w:val="000000"/>
              </w:rPr>
              <w:t>Santé de la mère et du nouveau-né</w:t>
            </w:r>
          </w:p>
        </w:tc>
        <w:tc>
          <w:tcPr>
            <w:tcW w:w="588" w:type="pct"/>
            <w:tcBorders>
              <w:top w:val="nil"/>
              <w:left w:val="nil"/>
              <w:bottom w:val="single" w:sz="4" w:space="0" w:color="auto"/>
              <w:right w:val="single" w:sz="4" w:space="0" w:color="auto"/>
            </w:tcBorders>
            <w:noWrap/>
            <w:vAlign w:val="center"/>
            <w:hideMark/>
          </w:tcPr>
          <w:p w14:paraId="15E15484"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65 846 583 665</w:t>
            </w:r>
          </w:p>
        </w:tc>
        <w:tc>
          <w:tcPr>
            <w:tcW w:w="598" w:type="pct"/>
            <w:tcBorders>
              <w:top w:val="nil"/>
              <w:left w:val="nil"/>
              <w:bottom w:val="single" w:sz="4" w:space="0" w:color="auto"/>
              <w:right w:val="single" w:sz="4" w:space="0" w:color="auto"/>
            </w:tcBorders>
            <w:noWrap/>
            <w:vAlign w:val="center"/>
            <w:hideMark/>
          </w:tcPr>
          <w:p w14:paraId="007409A0"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73 014 350 439</w:t>
            </w:r>
          </w:p>
        </w:tc>
        <w:tc>
          <w:tcPr>
            <w:tcW w:w="598" w:type="pct"/>
            <w:tcBorders>
              <w:top w:val="nil"/>
              <w:left w:val="nil"/>
              <w:bottom w:val="single" w:sz="4" w:space="0" w:color="auto"/>
              <w:right w:val="single" w:sz="4" w:space="0" w:color="auto"/>
            </w:tcBorders>
            <w:noWrap/>
            <w:vAlign w:val="center"/>
            <w:hideMark/>
          </w:tcPr>
          <w:p w14:paraId="7EA1DF0A"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76 554 203 682</w:t>
            </w:r>
          </w:p>
        </w:tc>
        <w:tc>
          <w:tcPr>
            <w:tcW w:w="598" w:type="pct"/>
            <w:tcBorders>
              <w:top w:val="nil"/>
              <w:left w:val="nil"/>
              <w:bottom w:val="single" w:sz="4" w:space="0" w:color="auto"/>
              <w:right w:val="single" w:sz="4" w:space="0" w:color="auto"/>
            </w:tcBorders>
            <w:noWrap/>
            <w:vAlign w:val="center"/>
            <w:hideMark/>
          </w:tcPr>
          <w:p w14:paraId="22F69160"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81 725 889 064</w:t>
            </w:r>
          </w:p>
        </w:tc>
        <w:tc>
          <w:tcPr>
            <w:tcW w:w="598" w:type="pct"/>
            <w:tcBorders>
              <w:top w:val="nil"/>
              <w:left w:val="nil"/>
              <w:bottom w:val="single" w:sz="4" w:space="0" w:color="auto"/>
              <w:right w:val="single" w:sz="4" w:space="0" w:color="auto"/>
            </w:tcBorders>
            <w:noWrap/>
            <w:vAlign w:val="center"/>
            <w:hideMark/>
          </w:tcPr>
          <w:p w14:paraId="6833CFF0"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87 835 695 948</w:t>
            </w:r>
          </w:p>
        </w:tc>
        <w:tc>
          <w:tcPr>
            <w:tcW w:w="657" w:type="pct"/>
            <w:tcBorders>
              <w:top w:val="nil"/>
              <w:left w:val="nil"/>
              <w:bottom w:val="single" w:sz="4" w:space="0" w:color="auto"/>
              <w:right w:val="single" w:sz="4" w:space="0" w:color="auto"/>
            </w:tcBorders>
            <w:noWrap/>
            <w:vAlign w:val="center"/>
            <w:hideMark/>
          </w:tcPr>
          <w:p w14:paraId="26BD0FA4"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384 976 722 798</w:t>
            </w:r>
          </w:p>
        </w:tc>
        <w:tc>
          <w:tcPr>
            <w:tcW w:w="229" w:type="pct"/>
            <w:tcBorders>
              <w:top w:val="nil"/>
              <w:left w:val="nil"/>
              <w:bottom w:val="single" w:sz="4" w:space="0" w:color="auto"/>
              <w:right w:val="single" w:sz="4" w:space="0" w:color="auto"/>
            </w:tcBorders>
            <w:noWrap/>
            <w:vAlign w:val="bottom"/>
            <w:hideMark/>
          </w:tcPr>
          <w:p w14:paraId="3E0DDE2B"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16%</w:t>
            </w:r>
          </w:p>
        </w:tc>
      </w:tr>
      <w:tr w:rsidR="00BF3393" w14:paraId="578A2656" w14:textId="77777777" w:rsidTr="00F847BF">
        <w:trPr>
          <w:trHeight w:val="300"/>
        </w:trPr>
        <w:tc>
          <w:tcPr>
            <w:tcW w:w="1135" w:type="pct"/>
            <w:tcBorders>
              <w:top w:val="nil"/>
              <w:left w:val="single" w:sz="4" w:space="0" w:color="auto"/>
              <w:bottom w:val="single" w:sz="4" w:space="0" w:color="auto"/>
              <w:right w:val="single" w:sz="4" w:space="0" w:color="auto"/>
            </w:tcBorders>
            <w:noWrap/>
            <w:vAlign w:val="bottom"/>
            <w:hideMark/>
          </w:tcPr>
          <w:p w14:paraId="67FD572A" w14:textId="77777777" w:rsidR="00BF3393" w:rsidRDefault="00BF3393" w:rsidP="00F847BF">
            <w:pPr>
              <w:spacing w:line="256" w:lineRule="auto"/>
              <w:rPr>
                <w:rFonts w:ascii="Calibri" w:hAnsi="Calibri" w:cs="Calibri"/>
                <w:color w:val="000000"/>
              </w:rPr>
            </w:pPr>
            <w:r>
              <w:rPr>
                <w:rFonts w:ascii="Calibri" w:hAnsi="Calibri" w:cs="Calibri"/>
                <w:color w:val="000000"/>
              </w:rPr>
              <w:t>Santé infanto-juvénile</w:t>
            </w:r>
          </w:p>
        </w:tc>
        <w:tc>
          <w:tcPr>
            <w:tcW w:w="588" w:type="pct"/>
            <w:tcBorders>
              <w:top w:val="nil"/>
              <w:left w:val="nil"/>
              <w:bottom w:val="single" w:sz="4" w:space="0" w:color="auto"/>
              <w:right w:val="single" w:sz="4" w:space="0" w:color="auto"/>
            </w:tcBorders>
            <w:noWrap/>
            <w:vAlign w:val="center"/>
            <w:hideMark/>
          </w:tcPr>
          <w:p w14:paraId="7D05CF9B"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47 084 096 615</w:t>
            </w:r>
          </w:p>
        </w:tc>
        <w:tc>
          <w:tcPr>
            <w:tcW w:w="598" w:type="pct"/>
            <w:tcBorders>
              <w:top w:val="nil"/>
              <w:left w:val="nil"/>
              <w:bottom w:val="single" w:sz="4" w:space="0" w:color="auto"/>
              <w:right w:val="single" w:sz="4" w:space="0" w:color="auto"/>
            </w:tcBorders>
            <w:noWrap/>
            <w:vAlign w:val="center"/>
            <w:hideMark/>
          </w:tcPr>
          <w:p w14:paraId="62FA55FB"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56 268 637 291</w:t>
            </w:r>
          </w:p>
        </w:tc>
        <w:tc>
          <w:tcPr>
            <w:tcW w:w="598" w:type="pct"/>
            <w:tcBorders>
              <w:top w:val="nil"/>
              <w:left w:val="nil"/>
              <w:bottom w:val="single" w:sz="4" w:space="0" w:color="auto"/>
              <w:right w:val="single" w:sz="4" w:space="0" w:color="auto"/>
            </w:tcBorders>
            <w:noWrap/>
            <w:vAlign w:val="center"/>
            <w:hideMark/>
          </w:tcPr>
          <w:p w14:paraId="38C174F2"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63 157 999 272</w:t>
            </w:r>
          </w:p>
        </w:tc>
        <w:tc>
          <w:tcPr>
            <w:tcW w:w="598" w:type="pct"/>
            <w:tcBorders>
              <w:top w:val="nil"/>
              <w:left w:val="nil"/>
              <w:bottom w:val="single" w:sz="4" w:space="0" w:color="auto"/>
              <w:right w:val="single" w:sz="4" w:space="0" w:color="auto"/>
            </w:tcBorders>
            <w:noWrap/>
            <w:vAlign w:val="center"/>
            <w:hideMark/>
          </w:tcPr>
          <w:p w14:paraId="70B03DEE"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71 913 111 270</w:t>
            </w:r>
          </w:p>
        </w:tc>
        <w:tc>
          <w:tcPr>
            <w:tcW w:w="598" w:type="pct"/>
            <w:tcBorders>
              <w:top w:val="nil"/>
              <w:left w:val="nil"/>
              <w:bottom w:val="single" w:sz="4" w:space="0" w:color="auto"/>
              <w:right w:val="single" w:sz="4" w:space="0" w:color="auto"/>
            </w:tcBorders>
            <w:noWrap/>
            <w:vAlign w:val="center"/>
            <w:hideMark/>
          </w:tcPr>
          <w:p w14:paraId="3444C162"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79 689 375 276</w:t>
            </w:r>
          </w:p>
        </w:tc>
        <w:tc>
          <w:tcPr>
            <w:tcW w:w="657" w:type="pct"/>
            <w:tcBorders>
              <w:top w:val="nil"/>
              <w:left w:val="nil"/>
              <w:bottom w:val="single" w:sz="4" w:space="0" w:color="auto"/>
              <w:right w:val="single" w:sz="4" w:space="0" w:color="auto"/>
            </w:tcBorders>
            <w:noWrap/>
            <w:vAlign w:val="center"/>
            <w:hideMark/>
          </w:tcPr>
          <w:p w14:paraId="4CBB920F"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318 113 219 723</w:t>
            </w:r>
          </w:p>
        </w:tc>
        <w:tc>
          <w:tcPr>
            <w:tcW w:w="229" w:type="pct"/>
            <w:tcBorders>
              <w:top w:val="nil"/>
              <w:left w:val="nil"/>
              <w:bottom w:val="single" w:sz="4" w:space="0" w:color="auto"/>
              <w:right w:val="single" w:sz="4" w:space="0" w:color="auto"/>
            </w:tcBorders>
            <w:noWrap/>
            <w:vAlign w:val="bottom"/>
            <w:hideMark/>
          </w:tcPr>
          <w:p w14:paraId="52DF31E6"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14%</w:t>
            </w:r>
          </w:p>
        </w:tc>
      </w:tr>
      <w:tr w:rsidR="00BF3393" w14:paraId="5EB4CE62" w14:textId="77777777" w:rsidTr="00F847BF">
        <w:trPr>
          <w:trHeight w:val="300"/>
        </w:trPr>
        <w:tc>
          <w:tcPr>
            <w:tcW w:w="1135" w:type="pct"/>
            <w:tcBorders>
              <w:top w:val="nil"/>
              <w:left w:val="single" w:sz="4" w:space="0" w:color="auto"/>
              <w:bottom w:val="single" w:sz="4" w:space="0" w:color="auto"/>
              <w:right w:val="single" w:sz="4" w:space="0" w:color="auto"/>
            </w:tcBorders>
            <w:noWrap/>
            <w:vAlign w:val="bottom"/>
            <w:hideMark/>
          </w:tcPr>
          <w:p w14:paraId="69ED8CA7" w14:textId="77777777" w:rsidR="00BF3393" w:rsidRDefault="00BF3393" w:rsidP="00F847BF">
            <w:pPr>
              <w:spacing w:line="256" w:lineRule="auto"/>
              <w:rPr>
                <w:rFonts w:ascii="Calibri" w:hAnsi="Calibri" w:cs="Calibri"/>
                <w:color w:val="000000"/>
              </w:rPr>
            </w:pPr>
            <w:r>
              <w:rPr>
                <w:rFonts w:ascii="Calibri" w:hAnsi="Calibri" w:cs="Calibri"/>
                <w:color w:val="000000"/>
              </w:rPr>
              <w:t>Sante des adolescents(es) et jeunes</w:t>
            </w:r>
          </w:p>
        </w:tc>
        <w:tc>
          <w:tcPr>
            <w:tcW w:w="588" w:type="pct"/>
            <w:tcBorders>
              <w:top w:val="nil"/>
              <w:left w:val="nil"/>
              <w:bottom w:val="single" w:sz="4" w:space="0" w:color="auto"/>
              <w:right w:val="single" w:sz="4" w:space="0" w:color="auto"/>
            </w:tcBorders>
            <w:noWrap/>
            <w:vAlign w:val="center"/>
            <w:hideMark/>
          </w:tcPr>
          <w:p w14:paraId="5939D395"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51 417 686 229</w:t>
            </w:r>
          </w:p>
        </w:tc>
        <w:tc>
          <w:tcPr>
            <w:tcW w:w="598" w:type="pct"/>
            <w:tcBorders>
              <w:top w:val="nil"/>
              <w:left w:val="nil"/>
              <w:bottom w:val="single" w:sz="4" w:space="0" w:color="auto"/>
              <w:right w:val="single" w:sz="4" w:space="0" w:color="auto"/>
            </w:tcBorders>
            <w:noWrap/>
            <w:vAlign w:val="center"/>
            <w:hideMark/>
          </w:tcPr>
          <w:p w14:paraId="1A76F112"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54 092 984 440</w:t>
            </w:r>
          </w:p>
        </w:tc>
        <w:tc>
          <w:tcPr>
            <w:tcW w:w="598" w:type="pct"/>
            <w:tcBorders>
              <w:top w:val="nil"/>
              <w:left w:val="nil"/>
              <w:bottom w:val="single" w:sz="4" w:space="0" w:color="auto"/>
              <w:right w:val="single" w:sz="4" w:space="0" w:color="auto"/>
            </w:tcBorders>
            <w:noWrap/>
            <w:vAlign w:val="center"/>
            <w:hideMark/>
          </w:tcPr>
          <w:p w14:paraId="600AEF44"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56 979 406 978</w:t>
            </w:r>
          </w:p>
        </w:tc>
        <w:tc>
          <w:tcPr>
            <w:tcW w:w="598" w:type="pct"/>
            <w:tcBorders>
              <w:top w:val="nil"/>
              <w:left w:val="nil"/>
              <w:bottom w:val="single" w:sz="4" w:space="0" w:color="auto"/>
              <w:right w:val="single" w:sz="4" w:space="0" w:color="auto"/>
            </w:tcBorders>
            <w:noWrap/>
            <w:vAlign w:val="center"/>
            <w:hideMark/>
          </w:tcPr>
          <w:p w14:paraId="1E89F898"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59 801 415 400</w:t>
            </w:r>
          </w:p>
        </w:tc>
        <w:tc>
          <w:tcPr>
            <w:tcW w:w="598" w:type="pct"/>
            <w:tcBorders>
              <w:top w:val="nil"/>
              <w:left w:val="nil"/>
              <w:bottom w:val="single" w:sz="4" w:space="0" w:color="auto"/>
              <w:right w:val="single" w:sz="4" w:space="0" w:color="auto"/>
            </w:tcBorders>
            <w:noWrap/>
            <w:vAlign w:val="center"/>
            <w:hideMark/>
          </w:tcPr>
          <w:p w14:paraId="2E12A07C"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62 823 183 812</w:t>
            </w:r>
          </w:p>
        </w:tc>
        <w:tc>
          <w:tcPr>
            <w:tcW w:w="657" w:type="pct"/>
            <w:tcBorders>
              <w:top w:val="nil"/>
              <w:left w:val="nil"/>
              <w:bottom w:val="single" w:sz="4" w:space="0" w:color="auto"/>
              <w:right w:val="single" w:sz="4" w:space="0" w:color="auto"/>
            </w:tcBorders>
            <w:noWrap/>
            <w:vAlign w:val="center"/>
            <w:hideMark/>
          </w:tcPr>
          <w:p w14:paraId="1BA3708B"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285 114 676 860</w:t>
            </w:r>
          </w:p>
        </w:tc>
        <w:tc>
          <w:tcPr>
            <w:tcW w:w="229" w:type="pct"/>
            <w:tcBorders>
              <w:top w:val="nil"/>
              <w:left w:val="nil"/>
              <w:bottom w:val="single" w:sz="4" w:space="0" w:color="auto"/>
              <w:right w:val="single" w:sz="4" w:space="0" w:color="auto"/>
            </w:tcBorders>
            <w:noWrap/>
            <w:vAlign w:val="bottom"/>
            <w:hideMark/>
          </w:tcPr>
          <w:p w14:paraId="68214083"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12%</w:t>
            </w:r>
          </w:p>
        </w:tc>
      </w:tr>
      <w:tr w:rsidR="00BF3393" w14:paraId="4A1D1D89" w14:textId="77777777" w:rsidTr="00F847BF">
        <w:trPr>
          <w:trHeight w:val="300"/>
        </w:trPr>
        <w:tc>
          <w:tcPr>
            <w:tcW w:w="1135" w:type="pct"/>
            <w:tcBorders>
              <w:top w:val="nil"/>
              <w:left w:val="single" w:sz="4" w:space="0" w:color="auto"/>
              <w:bottom w:val="single" w:sz="4" w:space="0" w:color="auto"/>
              <w:right w:val="single" w:sz="4" w:space="0" w:color="auto"/>
            </w:tcBorders>
            <w:noWrap/>
            <w:vAlign w:val="bottom"/>
            <w:hideMark/>
          </w:tcPr>
          <w:p w14:paraId="595E7BEA" w14:textId="77777777" w:rsidR="00BF3393" w:rsidRDefault="00BF3393" w:rsidP="00F847BF">
            <w:pPr>
              <w:spacing w:line="256" w:lineRule="auto"/>
              <w:rPr>
                <w:rFonts w:ascii="Calibri" w:hAnsi="Calibri" w:cs="Calibri"/>
                <w:color w:val="000000"/>
              </w:rPr>
            </w:pPr>
            <w:r>
              <w:rPr>
                <w:rFonts w:ascii="Calibri" w:hAnsi="Calibri" w:cs="Calibri"/>
                <w:color w:val="000000"/>
              </w:rPr>
              <w:t>Nutrition</w:t>
            </w:r>
          </w:p>
        </w:tc>
        <w:tc>
          <w:tcPr>
            <w:tcW w:w="588" w:type="pct"/>
            <w:tcBorders>
              <w:top w:val="nil"/>
              <w:left w:val="nil"/>
              <w:bottom w:val="single" w:sz="4" w:space="0" w:color="auto"/>
              <w:right w:val="single" w:sz="4" w:space="0" w:color="auto"/>
            </w:tcBorders>
            <w:noWrap/>
            <w:vAlign w:val="center"/>
            <w:hideMark/>
          </w:tcPr>
          <w:p w14:paraId="18C49295"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63 056 360 570</w:t>
            </w:r>
          </w:p>
        </w:tc>
        <w:tc>
          <w:tcPr>
            <w:tcW w:w="598" w:type="pct"/>
            <w:tcBorders>
              <w:top w:val="nil"/>
              <w:left w:val="nil"/>
              <w:bottom w:val="single" w:sz="4" w:space="0" w:color="auto"/>
              <w:right w:val="single" w:sz="4" w:space="0" w:color="auto"/>
            </w:tcBorders>
            <w:noWrap/>
            <w:vAlign w:val="center"/>
            <w:hideMark/>
          </w:tcPr>
          <w:p w14:paraId="4838180C"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66 734 631 202</w:t>
            </w:r>
          </w:p>
        </w:tc>
        <w:tc>
          <w:tcPr>
            <w:tcW w:w="598" w:type="pct"/>
            <w:tcBorders>
              <w:top w:val="nil"/>
              <w:left w:val="nil"/>
              <w:bottom w:val="single" w:sz="4" w:space="0" w:color="auto"/>
              <w:right w:val="single" w:sz="4" w:space="0" w:color="auto"/>
            </w:tcBorders>
            <w:noWrap/>
            <w:vAlign w:val="center"/>
            <w:hideMark/>
          </w:tcPr>
          <w:p w14:paraId="2AFF6DDC"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69 160 379 122</w:t>
            </w:r>
          </w:p>
        </w:tc>
        <w:tc>
          <w:tcPr>
            <w:tcW w:w="598" w:type="pct"/>
            <w:tcBorders>
              <w:top w:val="nil"/>
              <w:left w:val="nil"/>
              <w:bottom w:val="single" w:sz="4" w:space="0" w:color="auto"/>
              <w:right w:val="single" w:sz="4" w:space="0" w:color="auto"/>
            </w:tcBorders>
            <w:noWrap/>
            <w:vAlign w:val="center"/>
            <w:hideMark/>
          </w:tcPr>
          <w:p w14:paraId="2426612C"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71 049 668 571</w:t>
            </w:r>
          </w:p>
        </w:tc>
        <w:tc>
          <w:tcPr>
            <w:tcW w:w="598" w:type="pct"/>
            <w:tcBorders>
              <w:top w:val="nil"/>
              <w:left w:val="nil"/>
              <w:bottom w:val="single" w:sz="4" w:space="0" w:color="auto"/>
              <w:right w:val="single" w:sz="4" w:space="0" w:color="auto"/>
            </w:tcBorders>
            <w:noWrap/>
            <w:vAlign w:val="center"/>
            <w:hideMark/>
          </w:tcPr>
          <w:p w14:paraId="6F6A9D10"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73 212 649 605</w:t>
            </w:r>
          </w:p>
        </w:tc>
        <w:tc>
          <w:tcPr>
            <w:tcW w:w="657" w:type="pct"/>
            <w:tcBorders>
              <w:top w:val="nil"/>
              <w:left w:val="nil"/>
              <w:bottom w:val="single" w:sz="4" w:space="0" w:color="auto"/>
              <w:right w:val="single" w:sz="4" w:space="0" w:color="auto"/>
            </w:tcBorders>
            <w:noWrap/>
            <w:vAlign w:val="center"/>
            <w:hideMark/>
          </w:tcPr>
          <w:p w14:paraId="681864F9"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343 213 689 070</w:t>
            </w:r>
          </w:p>
        </w:tc>
        <w:tc>
          <w:tcPr>
            <w:tcW w:w="229" w:type="pct"/>
            <w:tcBorders>
              <w:top w:val="nil"/>
              <w:left w:val="nil"/>
              <w:bottom w:val="single" w:sz="4" w:space="0" w:color="auto"/>
              <w:right w:val="single" w:sz="4" w:space="0" w:color="auto"/>
            </w:tcBorders>
            <w:noWrap/>
            <w:vAlign w:val="bottom"/>
            <w:hideMark/>
          </w:tcPr>
          <w:p w14:paraId="0AE68F88"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15%</w:t>
            </w:r>
          </w:p>
        </w:tc>
      </w:tr>
      <w:tr w:rsidR="00BF3393" w14:paraId="2851336C" w14:textId="77777777" w:rsidTr="00F847BF">
        <w:trPr>
          <w:trHeight w:val="300"/>
        </w:trPr>
        <w:tc>
          <w:tcPr>
            <w:tcW w:w="1135" w:type="pct"/>
            <w:tcBorders>
              <w:top w:val="nil"/>
              <w:left w:val="single" w:sz="4" w:space="0" w:color="auto"/>
              <w:bottom w:val="single" w:sz="4" w:space="0" w:color="auto"/>
              <w:right w:val="single" w:sz="4" w:space="0" w:color="auto"/>
            </w:tcBorders>
            <w:noWrap/>
            <w:vAlign w:val="bottom"/>
            <w:hideMark/>
          </w:tcPr>
          <w:p w14:paraId="5A02F566" w14:textId="77777777" w:rsidR="00BF3393" w:rsidRDefault="00BF3393" w:rsidP="00F847BF">
            <w:pPr>
              <w:spacing w:line="256" w:lineRule="auto"/>
              <w:rPr>
                <w:rFonts w:ascii="Calibri" w:hAnsi="Calibri" w:cs="Calibri"/>
                <w:color w:val="000000"/>
              </w:rPr>
            </w:pPr>
            <w:r>
              <w:rPr>
                <w:rFonts w:ascii="Calibri" w:hAnsi="Calibri" w:cs="Calibri"/>
                <w:color w:val="000000"/>
              </w:rPr>
              <w:t>Interventions transversales</w:t>
            </w:r>
          </w:p>
        </w:tc>
        <w:tc>
          <w:tcPr>
            <w:tcW w:w="588" w:type="pct"/>
            <w:tcBorders>
              <w:top w:val="nil"/>
              <w:left w:val="nil"/>
              <w:bottom w:val="single" w:sz="4" w:space="0" w:color="auto"/>
              <w:right w:val="single" w:sz="4" w:space="0" w:color="auto"/>
            </w:tcBorders>
            <w:noWrap/>
            <w:vAlign w:val="center"/>
            <w:hideMark/>
          </w:tcPr>
          <w:p w14:paraId="3E8D21B9"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2 530 873 822</w:t>
            </w:r>
          </w:p>
        </w:tc>
        <w:tc>
          <w:tcPr>
            <w:tcW w:w="598" w:type="pct"/>
            <w:tcBorders>
              <w:top w:val="nil"/>
              <w:left w:val="nil"/>
              <w:bottom w:val="single" w:sz="4" w:space="0" w:color="auto"/>
              <w:right w:val="single" w:sz="4" w:space="0" w:color="auto"/>
            </w:tcBorders>
            <w:noWrap/>
            <w:vAlign w:val="center"/>
            <w:hideMark/>
          </w:tcPr>
          <w:p w14:paraId="47537D9D"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1 907 959 819</w:t>
            </w:r>
          </w:p>
        </w:tc>
        <w:tc>
          <w:tcPr>
            <w:tcW w:w="598" w:type="pct"/>
            <w:tcBorders>
              <w:top w:val="nil"/>
              <w:left w:val="nil"/>
              <w:bottom w:val="single" w:sz="4" w:space="0" w:color="auto"/>
              <w:right w:val="single" w:sz="4" w:space="0" w:color="auto"/>
            </w:tcBorders>
            <w:noWrap/>
            <w:vAlign w:val="center"/>
            <w:hideMark/>
          </w:tcPr>
          <w:p w14:paraId="6906CDD8"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505 128 559 822</w:t>
            </w:r>
          </w:p>
        </w:tc>
        <w:tc>
          <w:tcPr>
            <w:tcW w:w="598" w:type="pct"/>
            <w:tcBorders>
              <w:top w:val="nil"/>
              <w:left w:val="nil"/>
              <w:bottom w:val="single" w:sz="4" w:space="0" w:color="auto"/>
              <w:right w:val="single" w:sz="4" w:space="0" w:color="auto"/>
            </w:tcBorders>
            <w:noWrap/>
            <w:vAlign w:val="center"/>
            <w:hideMark/>
          </w:tcPr>
          <w:p w14:paraId="4513C131"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1 878 559 814</w:t>
            </w:r>
          </w:p>
        </w:tc>
        <w:tc>
          <w:tcPr>
            <w:tcW w:w="598" w:type="pct"/>
            <w:tcBorders>
              <w:top w:val="nil"/>
              <w:left w:val="nil"/>
              <w:bottom w:val="single" w:sz="4" w:space="0" w:color="auto"/>
              <w:right w:val="single" w:sz="4" w:space="0" w:color="auto"/>
            </w:tcBorders>
            <w:noWrap/>
            <w:vAlign w:val="center"/>
            <w:hideMark/>
          </w:tcPr>
          <w:p w14:paraId="21E759F5"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483 128 559 821</w:t>
            </w:r>
          </w:p>
        </w:tc>
        <w:tc>
          <w:tcPr>
            <w:tcW w:w="657" w:type="pct"/>
            <w:tcBorders>
              <w:top w:val="nil"/>
              <w:left w:val="nil"/>
              <w:bottom w:val="single" w:sz="4" w:space="0" w:color="auto"/>
              <w:right w:val="single" w:sz="4" w:space="0" w:color="auto"/>
            </w:tcBorders>
            <w:noWrap/>
            <w:vAlign w:val="center"/>
            <w:hideMark/>
          </w:tcPr>
          <w:p w14:paraId="4372C7B9"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994 574 513 098</w:t>
            </w:r>
          </w:p>
        </w:tc>
        <w:tc>
          <w:tcPr>
            <w:tcW w:w="229" w:type="pct"/>
            <w:tcBorders>
              <w:top w:val="nil"/>
              <w:left w:val="nil"/>
              <w:bottom w:val="single" w:sz="4" w:space="0" w:color="auto"/>
              <w:right w:val="single" w:sz="4" w:space="0" w:color="auto"/>
            </w:tcBorders>
            <w:noWrap/>
            <w:vAlign w:val="bottom"/>
            <w:hideMark/>
          </w:tcPr>
          <w:p w14:paraId="2564D522"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42%</w:t>
            </w:r>
          </w:p>
        </w:tc>
      </w:tr>
      <w:tr w:rsidR="00BF3393" w14:paraId="124FCBEC" w14:textId="77777777" w:rsidTr="00F847BF">
        <w:trPr>
          <w:trHeight w:val="300"/>
        </w:trPr>
        <w:tc>
          <w:tcPr>
            <w:tcW w:w="1135" w:type="pct"/>
            <w:tcBorders>
              <w:top w:val="nil"/>
              <w:left w:val="single" w:sz="4" w:space="0" w:color="auto"/>
              <w:bottom w:val="single" w:sz="4" w:space="0" w:color="auto"/>
              <w:right w:val="single" w:sz="4" w:space="0" w:color="auto"/>
            </w:tcBorders>
            <w:noWrap/>
            <w:vAlign w:val="bottom"/>
            <w:hideMark/>
          </w:tcPr>
          <w:p w14:paraId="4E2E874E" w14:textId="77777777" w:rsidR="00BF3393" w:rsidRDefault="00BF3393" w:rsidP="00F847BF">
            <w:pPr>
              <w:spacing w:line="256" w:lineRule="auto"/>
              <w:rPr>
                <w:rFonts w:ascii="Calibri" w:hAnsi="Calibri" w:cs="Calibri"/>
                <w:color w:val="000000"/>
              </w:rPr>
            </w:pPr>
            <w:r>
              <w:rPr>
                <w:rFonts w:ascii="Calibri" w:hAnsi="Calibri" w:cs="Calibri"/>
                <w:color w:val="000000"/>
              </w:rPr>
              <w:t>Etat civile</w:t>
            </w:r>
          </w:p>
        </w:tc>
        <w:tc>
          <w:tcPr>
            <w:tcW w:w="588" w:type="pct"/>
            <w:tcBorders>
              <w:top w:val="nil"/>
              <w:left w:val="nil"/>
              <w:bottom w:val="single" w:sz="4" w:space="0" w:color="auto"/>
              <w:right w:val="single" w:sz="4" w:space="0" w:color="auto"/>
            </w:tcBorders>
            <w:noWrap/>
            <w:vAlign w:val="center"/>
            <w:hideMark/>
          </w:tcPr>
          <w:p w14:paraId="6A09A9B4"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2 126 778 000</w:t>
            </w:r>
          </w:p>
        </w:tc>
        <w:tc>
          <w:tcPr>
            <w:tcW w:w="598" w:type="pct"/>
            <w:tcBorders>
              <w:top w:val="nil"/>
              <w:left w:val="nil"/>
              <w:bottom w:val="single" w:sz="4" w:space="0" w:color="auto"/>
              <w:right w:val="single" w:sz="4" w:space="0" w:color="auto"/>
            </w:tcBorders>
            <w:noWrap/>
            <w:vAlign w:val="center"/>
            <w:hideMark/>
          </w:tcPr>
          <w:p w14:paraId="0FC04D96"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3 714 500 000</w:t>
            </w:r>
          </w:p>
        </w:tc>
        <w:tc>
          <w:tcPr>
            <w:tcW w:w="598" w:type="pct"/>
            <w:tcBorders>
              <w:top w:val="nil"/>
              <w:left w:val="nil"/>
              <w:bottom w:val="single" w:sz="4" w:space="0" w:color="auto"/>
              <w:right w:val="single" w:sz="4" w:space="0" w:color="auto"/>
            </w:tcBorders>
            <w:noWrap/>
            <w:vAlign w:val="center"/>
            <w:hideMark/>
          </w:tcPr>
          <w:p w14:paraId="5F6D3C3F"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3 397 500 000</w:t>
            </w:r>
          </w:p>
        </w:tc>
        <w:tc>
          <w:tcPr>
            <w:tcW w:w="598" w:type="pct"/>
            <w:tcBorders>
              <w:top w:val="nil"/>
              <w:left w:val="nil"/>
              <w:bottom w:val="single" w:sz="4" w:space="0" w:color="auto"/>
              <w:right w:val="single" w:sz="4" w:space="0" w:color="auto"/>
            </w:tcBorders>
            <w:noWrap/>
            <w:vAlign w:val="center"/>
            <w:hideMark/>
          </w:tcPr>
          <w:p w14:paraId="7CAD2509"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3 041 500 000</w:t>
            </w:r>
          </w:p>
        </w:tc>
        <w:tc>
          <w:tcPr>
            <w:tcW w:w="598" w:type="pct"/>
            <w:tcBorders>
              <w:top w:val="nil"/>
              <w:left w:val="nil"/>
              <w:bottom w:val="single" w:sz="4" w:space="0" w:color="auto"/>
              <w:right w:val="single" w:sz="4" w:space="0" w:color="auto"/>
            </w:tcBorders>
            <w:noWrap/>
            <w:vAlign w:val="center"/>
            <w:hideMark/>
          </w:tcPr>
          <w:p w14:paraId="1972B68B"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3 041 500 000</w:t>
            </w:r>
          </w:p>
        </w:tc>
        <w:tc>
          <w:tcPr>
            <w:tcW w:w="657" w:type="pct"/>
            <w:tcBorders>
              <w:top w:val="nil"/>
              <w:left w:val="nil"/>
              <w:bottom w:val="single" w:sz="4" w:space="0" w:color="auto"/>
              <w:right w:val="single" w:sz="4" w:space="0" w:color="auto"/>
            </w:tcBorders>
            <w:noWrap/>
            <w:vAlign w:val="center"/>
            <w:hideMark/>
          </w:tcPr>
          <w:p w14:paraId="60D1B81A" w14:textId="77777777" w:rsidR="00BF3393" w:rsidRDefault="00BF3393" w:rsidP="00F847BF">
            <w:pPr>
              <w:spacing w:line="256" w:lineRule="auto"/>
              <w:jc w:val="center"/>
              <w:rPr>
                <w:rFonts w:ascii="Calibri" w:hAnsi="Calibri" w:cs="Calibri"/>
                <w:color w:val="000000"/>
              </w:rPr>
            </w:pPr>
            <w:r>
              <w:rPr>
                <w:rFonts w:ascii="Calibri" w:hAnsi="Calibri" w:cs="Calibri"/>
                <w:color w:val="000000"/>
              </w:rPr>
              <w:t>15 321 778 000</w:t>
            </w:r>
          </w:p>
        </w:tc>
        <w:tc>
          <w:tcPr>
            <w:tcW w:w="229" w:type="pct"/>
            <w:tcBorders>
              <w:top w:val="nil"/>
              <w:left w:val="nil"/>
              <w:bottom w:val="single" w:sz="4" w:space="0" w:color="auto"/>
              <w:right w:val="single" w:sz="4" w:space="0" w:color="auto"/>
            </w:tcBorders>
            <w:noWrap/>
            <w:vAlign w:val="bottom"/>
            <w:hideMark/>
          </w:tcPr>
          <w:p w14:paraId="6890B3D4"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1%</w:t>
            </w:r>
          </w:p>
        </w:tc>
      </w:tr>
      <w:tr w:rsidR="00BF3393" w14:paraId="633C41B0" w14:textId="77777777" w:rsidTr="00F847BF">
        <w:trPr>
          <w:trHeight w:val="315"/>
        </w:trPr>
        <w:tc>
          <w:tcPr>
            <w:tcW w:w="1135" w:type="pct"/>
            <w:tcBorders>
              <w:top w:val="nil"/>
              <w:left w:val="single" w:sz="4" w:space="0" w:color="auto"/>
              <w:bottom w:val="single" w:sz="4" w:space="0" w:color="auto"/>
              <w:right w:val="single" w:sz="4" w:space="0" w:color="auto"/>
            </w:tcBorders>
            <w:shd w:val="clear" w:color="auto" w:fill="FFFF00"/>
            <w:noWrap/>
            <w:vAlign w:val="center"/>
            <w:hideMark/>
          </w:tcPr>
          <w:p w14:paraId="1A4ED289" w14:textId="77777777" w:rsidR="00BF3393" w:rsidRDefault="00BF3393" w:rsidP="00F847BF">
            <w:pPr>
              <w:spacing w:line="256" w:lineRule="auto"/>
              <w:jc w:val="center"/>
              <w:rPr>
                <w:rFonts w:ascii="Calibri" w:hAnsi="Calibri" w:cs="Calibri"/>
                <w:b/>
                <w:bCs/>
                <w:color w:val="000000"/>
                <w:szCs w:val="24"/>
              </w:rPr>
            </w:pPr>
            <w:r>
              <w:rPr>
                <w:rFonts w:ascii="Calibri" w:hAnsi="Calibri" w:cs="Calibri"/>
                <w:b/>
                <w:bCs/>
                <w:color w:val="000000"/>
              </w:rPr>
              <w:t>Total</w:t>
            </w:r>
          </w:p>
        </w:tc>
        <w:tc>
          <w:tcPr>
            <w:tcW w:w="588" w:type="pct"/>
            <w:tcBorders>
              <w:top w:val="nil"/>
              <w:left w:val="nil"/>
              <w:bottom w:val="single" w:sz="4" w:space="0" w:color="auto"/>
              <w:right w:val="single" w:sz="4" w:space="0" w:color="auto"/>
            </w:tcBorders>
            <w:shd w:val="clear" w:color="auto" w:fill="FFFF00"/>
            <w:noWrap/>
            <w:vAlign w:val="center"/>
            <w:hideMark/>
          </w:tcPr>
          <w:p w14:paraId="5CEF9547" w14:textId="77777777" w:rsidR="00BF3393" w:rsidRDefault="00BF3393" w:rsidP="00F847BF">
            <w:pPr>
              <w:spacing w:line="256" w:lineRule="auto"/>
              <w:jc w:val="center"/>
              <w:rPr>
                <w:rFonts w:ascii="Calibri" w:hAnsi="Calibri" w:cs="Calibri"/>
                <w:b/>
                <w:bCs/>
                <w:color w:val="000000"/>
              </w:rPr>
            </w:pPr>
            <w:r>
              <w:rPr>
                <w:rFonts w:ascii="Calibri" w:hAnsi="Calibri" w:cs="Calibri"/>
                <w:b/>
                <w:bCs/>
                <w:color w:val="000000"/>
              </w:rPr>
              <w:t>232 062 378 901</w:t>
            </w:r>
          </w:p>
        </w:tc>
        <w:tc>
          <w:tcPr>
            <w:tcW w:w="598" w:type="pct"/>
            <w:tcBorders>
              <w:top w:val="nil"/>
              <w:left w:val="nil"/>
              <w:bottom w:val="single" w:sz="4" w:space="0" w:color="auto"/>
              <w:right w:val="single" w:sz="4" w:space="0" w:color="auto"/>
            </w:tcBorders>
            <w:shd w:val="clear" w:color="auto" w:fill="FFFF00"/>
            <w:noWrap/>
            <w:vAlign w:val="center"/>
            <w:hideMark/>
          </w:tcPr>
          <w:p w14:paraId="6E3EB7E1" w14:textId="77777777" w:rsidR="00BF3393" w:rsidRDefault="00BF3393" w:rsidP="00F847BF">
            <w:pPr>
              <w:spacing w:line="256" w:lineRule="auto"/>
              <w:jc w:val="center"/>
              <w:rPr>
                <w:rFonts w:ascii="Calibri" w:hAnsi="Calibri" w:cs="Calibri"/>
                <w:b/>
                <w:bCs/>
                <w:color w:val="000000"/>
              </w:rPr>
            </w:pPr>
            <w:r>
              <w:rPr>
                <w:rFonts w:ascii="Calibri" w:hAnsi="Calibri" w:cs="Calibri"/>
                <w:b/>
                <w:bCs/>
                <w:color w:val="000000"/>
              </w:rPr>
              <w:t>255 733 063 190</w:t>
            </w:r>
          </w:p>
        </w:tc>
        <w:tc>
          <w:tcPr>
            <w:tcW w:w="598" w:type="pct"/>
            <w:tcBorders>
              <w:top w:val="nil"/>
              <w:left w:val="nil"/>
              <w:bottom w:val="single" w:sz="4" w:space="0" w:color="auto"/>
              <w:right w:val="single" w:sz="4" w:space="0" w:color="auto"/>
            </w:tcBorders>
            <w:shd w:val="clear" w:color="auto" w:fill="FFFF00"/>
            <w:noWrap/>
            <w:vAlign w:val="center"/>
            <w:hideMark/>
          </w:tcPr>
          <w:p w14:paraId="772132F0" w14:textId="77777777" w:rsidR="00BF3393" w:rsidRDefault="00BF3393" w:rsidP="00F847BF">
            <w:pPr>
              <w:spacing w:line="256" w:lineRule="auto"/>
              <w:jc w:val="center"/>
              <w:rPr>
                <w:rFonts w:ascii="Calibri" w:hAnsi="Calibri" w:cs="Calibri"/>
                <w:b/>
                <w:bCs/>
                <w:color w:val="000000"/>
              </w:rPr>
            </w:pPr>
            <w:r>
              <w:rPr>
                <w:rFonts w:ascii="Calibri" w:hAnsi="Calibri" w:cs="Calibri"/>
                <w:b/>
                <w:bCs/>
                <w:color w:val="000000"/>
              </w:rPr>
              <w:t>774 378 048 877</w:t>
            </w:r>
          </w:p>
        </w:tc>
        <w:tc>
          <w:tcPr>
            <w:tcW w:w="598" w:type="pct"/>
            <w:tcBorders>
              <w:top w:val="nil"/>
              <w:left w:val="nil"/>
              <w:bottom w:val="single" w:sz="4" w:space="0" w:color="auto"/>
              <w:right w:val="single" w:sz="4" w:space="0" w:color="auto"/>
            </w:tcBorders>
            <w:shd w:val="clear" w:color="auto" w:fill="FFFF00"/>
            <w:noWrap/>
            <w:vAlign w:val="center"/>
            <w:hideMark/>
          </w:tcPr>
          <w:p w14:paraId="4FAC194C" w14:textId="77777777" w:rsidR="00BF3393" w:rsidRDefault="00BF3393" w:rsidP="00F847BF">
            <w:pPr>
              <w:spacing w:line="256" w:lineRule="auto"/>
              <w:jc w:val="center"/>
              <w:rPr>
                <w:rFonts w:ascii="Calibri" w:hAnsi="Calibri" w:cs="Calibri"/>
                <w:b/>
                <w:bCs/>
                <w:color w:val="000000"/>
              </w:rPr>
            </w:pPr>
            <w:r>
              <w:rPr>
                <w:rFonts w:ascii="Calibri" w:hAnsi="Calibri" w:cs="Calibri"/>
                <w:b/>
                <w:bCs/>
                <w:color w:val="000000"/>
              </w:rPr>
              <w:t>289 410 144 120</w:t>
            </w:r>
          </w:p>
        </w:tc>
        <w:tc>
          <w:tcPr>
            <w:tcW w:w="598" w:type="pct"/>
            <w:tcBorders>
              <w:top w:val="nil"/>
              <w:left w:val="nil"/>
              <w:bottom w:val="single" w:sz="4" w:space="0" w:color="auto"/>
              <w:right w:val="single" w:sz="4" w:space="0" w:color="auto"/>
            </w:tcBorders>
            <w:shd w:val="clear" w:color="auto" w:fill="FFFF00"/>
            <w:noWrap/>
            <w:vAlign w:val="center"/>
            <w:hideMark/>
          </w:tcPr>
          <w:p w14:paraId="1853590B" w14:textId="77777777" w:rsidR="00BF3393" w:rsidRDefault="00BF3393" w:rsidP="00F847BF">
            <w:pPr>
              <w:spacing w:line="256" w:lineRule="auto"/>
              <w:jc w:val="center"/>
              <w:rPr>
                <w:rFonts w:ascii="Calibri" w:hAnsi="Calibri" w:cs="Calibri"/>
                <w:b/>
                <w:bCs/>
                <w:color w:val="000000"/>
              </w:rPr>
            </w:pPr>
            <w:r>
              <w:rPr>
                <w:rFonts w:ascii="Calibri" w:hAnsi="Calibri" w:cs="Calibri"/>
                <w:b/>
                <w:bCs/>
                <w:color w:val="000000"/>
              </w:rPr>
              <w:t>789 730 964 462</w:t>
            </w:r>
          </w:p>
        </w:tc>
        <w:tc>
          <w:tcPr>
            <w:tcW w:w="657" w:type="pct"/>
            <w:tcBorders>
              <w:top w:val="nil"/>
              <w:left w:val="nil"/>
              <w:bottom w:val="single" w:sz="4" w:space="0" w:color="auto"/>
              <w:right w:val="single" w:sz="4" w:space="0" w:color="auto"/>
            </w:tcBorders>
            <w:shd w:val="clear" w:color="auto" w:fill="FFFF00"/>
            <w:noWrap/>
            <w:vAlign w:val="center"/>
            <w:hideMark/>
          </w:tcPr>
          <w:p w14:paraId="508BCC11" w14:textId="77777777" w:rsidR="00BF3393" w:rsidRDefault="00BF3393" w:rsidP="00F847BF">
            <w:pPr>
              <w:spacing w:line="256" w:lineRule="auto"/>
              <w:jc w:val="center"/>
              <w:rPr>
                <w:rFonts w:ascii="Calibri" w:hAnsi="Calibri" w:cs="Calibri"/>
                <w:b/>
                <w:bCs/>
                <w:color w:val="000000"/>
              </w:rPr>
            </w:pPr>
            <w:r>
              <w:rPr>
                <w:rFonts w:ascii="Calibri" w:hAnsi="Calibri" w:cs="Calibri"/>
                <w:b/>
                <w:bCs/>
                <w:color w:val="000000"/>
              </w:rPr>
              <w:t>2 341 314 599 549</w:t>
            </w:r>
          </w:p>
        </w:tc>
        <w:tc>
          <w:tcPr>
            <w:tcW w:w="229" w:type="pct"/>
            <w:tcBorders>
              <w:top w:val="nil"/>
              <w:left w:val="nil"/>
              <w:bottom w:val="single" w:sz="4" w:space="0" w:color="auto"/>
              <w:right w:val="single" w:sz="4" w:space="0" w:color="auto"/>
            </w:tcBorders>
            <w:shd w:val="clear" w:color="auto" w:fill="FFFF00"/>
            <w:noWrap/>
            <w:vAlign w:val="center"/>
            <w:hideMark/>
          </w:tcPr>
          <w:p w14:paraId="1E20968C" w14:textId="77777777" w:rsidR="00BF3393" w:rsidRDefault="00BF3393" w:rsidP="00F847BF">
            <w:pPr>
              <w:spacing w:line="256" w:lineRule="auto"/>
              <w:jc w:val="center"/>
              <w:rPr>
                <w:rFonts w:ascii="Calibri" w:hAnsi="Calibri" w:cs="Calibri"/>
                <w:b/>
                <w:bCs/>
                <w:color w:val="000000"/>
              </w:rPr>
            </w:pPr>
            <w:r>
              <w:rPr>
                <w:rFonts w:ascii="Calibri" w:hAnsi="Calibri" w:cs="Calibri"/>
                <w:b/>
                <w:bCs/>
                <w:color w:val="000000"/>
              </w:rPr>
              <w:t>100%</w:t>
            </w:r>
          </w:p>
        </w:tc>
      </w:tr>
    </w:tbl>
    <w:p w14:paraId="19B0EC0F" w14:textId="77777777" w:rsidR="00BF3393" w:rsidRDefault="00BF3393" w:rsidP="00BF3393">
      <w:pPr>
        <w:spacing w:line="360" w:lineRule="auto"/>
        <w:jc w:val="both"/>
        <w:rPr>
          <w:rFonts w:ascii="Calibri" w:eastAsia="Times New Roman" w:hAnsi="Calibri" w:cs="Arial"/>
          <w:color w:val="000000"/>
          <w:sz w:val="24"/>
          <w:lang w:eastAsia="fr-FR"/>
        </w:rPr>
      </w:pPr>
    </w:p>
    <w:p w14:paraId="335CBD3D" w14:textId="77777777" w:rsidR="00BF3393" w:rsidRDefault="00BF3393" w:rsidP="00BF3393">
      <w:pPr>
        <w:spacing w:line="360" w:lineRule="auto"/>
        <w:jc w:val="both"/>
        <w:rPr>
          <w:rFonts w:ascii="Calibri" w:hAnsi="Calibri" w:cs="Arial"/>
          <w:color w:val="000000"/>
        </w:rPr>
      </w:pPr>
    </w:p>
    <w:p w14:paraId="07D49312" w14:textId="77777777" w:rsidR="00BF3393" w:rsidRDefault="00BF3393" w:rsidP="00BF3393">
      <w:pPr>
        <w:spacing w:line="360" w:lineRule="auto"/>
        <w:jc w:val="both"/>
        <w:rPr>
          <w:rFonts w:ascii="Calibri" w:hAnsi="Calibri" w:cs="Arial"/>
          <w:color w:val="000000"/>
        </w:rPr>
      </w:pPr>
    </w:p>
    <w:p w14:paraId="011ADF14" w14:textId="77777777" w:rsidR="00BF3393" w:rsidRDefault="00BF3393" w:rsidP="00BF3393">
      <w:pPr>
        <w:spacing w:line="360" w:lineRule="auto"/>
        <w:rPr>
          <w:rFonts w:ascii="Calibri" w:hAnsi="Calibri" w:cs="Arial"/>
          <w:color w:val="000000"/>
        </w:rPr>
        <w:sectPr w:rsidR="00BF3393" w:rsidSect="00220FDF">
          <w:pgSz w:w="16838" w:h="11906" w:orient="landscape"/>
          <w:pgMar w:top="1440" w:right="1151" w:bottom="1440" w:left="1151" w:header="720" w:footer="720" w:gutter="0"/>
          <w:pgNumType w:chapStyle="1"/>
          <w:cols w:space="720"/>
        </w:sectPr>
      </w:pPr>
    </w:p>
    <w:p w14:paraId="7EECA4F4" w14:textId="77777777" w:rsidR="00BF3393" w:rsidRDefault="00BF3393" w:rsidP="00BF3393">
      <w:pPr>
        <w:spacing w:line="360" w:lineRule="auto"/>
        <w:jc w:val="both"/>
        <w:rPr>
          <w:rFonts w:ascii="Calibri" w:hAnsi="Calibri" w:cs="Arial"/>
          <w:color w:val="000000"/>
        </w:rPr>
      </w:pPr>
    </w:p>
    <w:p w14:paraId="578128AA" w14:textId="77777777" w:rsidR="00BF3393" w:rsidRPr="00BF3393" w:rsidRDefault="00BF3393" w:rsidP="00A97663">
      <w:pPr>
        <w:pStyle w:val="Titre2"/>
        <w:keepLines w:val="0"/>
        <w:numPr>
          <w:ilvl w:val="2"/>
          <w:numId w:val="111"/>
        </w:numPr>
        <w:spacing w:before="240" w:after="60" w:line="360" w:lineRule="auto"/>
        <w:jc w:val="both"/>
        <w:rPr>
          <w:b/>
          <w:color w:val="000000" w:themeColor="text1"/>
          <w:sz w:val="24"/>
        </w:rPr>
      </w:pPr>
      <w:bookmarkStart w:id="47" w:name="_Toc405708080"/>
      <w:r w:rsidRPr="00BF3393">
        <w:rPr>
          <w:b/>
          <w:color w:val="000000" w:themeColor="text1"/>
          <w:sz w:val="24"/>
        </w:rPr>
        <w:t>Estimation des réductions de la mortalité</w:t>
      </w:r>
      <w:bookmarkEnd w:id="47"/>
    </w:p>
    <w:p w14:paraId="1101E916" w14:textId="77777777" w:rsidR="00BF3393" w:rsidRDefault="00BF3393" w:rsidP="00BF3393">
      <w:pPr>
        <w:tabs>
          <w:tab w:val="left" w:pos="900"/>
        </w:tabs>
        <w:spacing w:line="360" w:lineRule="auto"/>
        <w:jc w:val="both"/>
        <w:rPr>
          <w:rFonts w:ascii="Cambria" w:hAnsi="Cambria"/>
          <w:sz w:val="24"/>
        </w:rPr>
      </w:pPr>
      <w:r>
        <w:rPr>
          <w:rFonts w:ascii="Cambria" w:hAnsi="Cambria"/>
        </w:rPr>
        <w:t xml:space="preserve">A partir des données de base saisies dans l’outil et des projections de couverture attendues, l’outil permet d’une part, de ressortir les impacts de réduction de la mortalité (néonatale, infantile, maternelle) attendus et d’autre part, de déterminer des coûts liés aux objectifs de couverture fixés. </w:t>
      </w:r>
    </w:p>
    <w:p w14:paraId="6D136152" w14:textId="4AC53988" w:rsidR="00BF3393" w:rsidRPr="00BF3393" w:rsidRDefault="00BF3393" w:rsidP="00BF3393">
      <w:pPr>
        <w:tabs>
          <w:tab w:val="left" w:pos="900"/>
        </w:tabs>
        <w:spacing w:line="360" w:lineRule="auto"/>
        <w:jc w:val="both"/>
        <w:rPr>
          <w:rFonts w:ascii="Cambria" w:hAnsi="Cambria"/>
        </w:rPr>
      </w:pPr>
      <w:r>
        <w:rPr>
          <w:rFonts w:ascii="Cambria" w:hAnsi="Cambria"/>
        </w:rPr>
        <w:t xml:space="preserve">L’impact de la mise en œuvre des interventions proposées dans le plan sera la réduction du taux de mortalité néonatale, du taux de mortalité des enfants de moins de 5 ans et du ratio de mortalité maternelle. </w:t>
      </w:r>
    </w:p>
    <w:p w14:paraId="1B897217" w14:textId="57B08876" w:rsidR="00BF3393" w:rsidRPr="00BF3393" w:rsidRDefault="00BF3393" w:rsidP="00A97663">
      <w:pPr>
        <w:pStyle w:val="Titre3"/>
        <w:keepLines w:val="0"/>
        <w:numPr>
          <w:ilvl w:val="3"/>
          <w:numId w:val="111"/>
        </w:numPr>
        <w:spacing w:before="240" w:after="60" w:line="360" w:lineRule="auto"/>
        <w:jc w:val="both"/>
        <w:rPr>
          <w:color w:val="000000" w:themeColor="text1"/>
        </w:rPr>
      </w:pPr>
      <w:bookmarkStart w:id="48" w:name="_Toc405708081"/>
      <w:r w:rsidRPr="00BF3393">
        <w:rPr>
          <w:color w:val="000000" w:themeColor="text1"/>
        </w:rPr>
        <w:t>Mortalité néonatale</w:t>
      </w:r>
      <w:bookmarkEnd w:id="48"/>
    </w:p>
    <w:p w14:paraId="02EA9408" w14:textId="77777777" w:rsidR="00BF3393" w:rsidRDefault="00BF3393" w:rsidP="00BF3393">
      <w:pPr>
        <w:tabs>
          <w:tab w:val="left" w:pos="900"/>
        </w:tabs>
        <w:spacing w:line="360" w:lineRule="auto"/>
        <w:jc w:val="both"/>
        <w:rPr>
          <w:rFonts w:ascii="Cambria" w:hAnsi="Cambria"/>
        </w:rPr>
      </w:pPr>
      <w:r>
        <w:rPr>
          <w:rFonts w:ascii="Cambria" w:hAnsi="Cambria"/>
        </w:rPr>
        <w:t xml:space="preserve">Selon les résultats de l’Enquête modulaire de santé (EMDS) réalisée en 2016, le Burkina Faso a un taux de mortalité néonatale estimé à 23,2 pour 1000 naissantes vivantes. </w:t>
      </w:r>
    </w:p>
    <w:p w14:paraId="7C3DA8CE" w14:textId="77777777" w:rsidR="00BF3393" w:rsidRDefault="00BF3393" w:rsidP="00BF3393">
      <w:pPr>
        <w:tabs>
          <w:tab w:val="left" w:pos="900"/>
        </w:tabs>
        <w:spacing w:line="360" w:lineRule="auto"/>
        <w:jc w:val="both"/>
        <w:rPr>
          <w:rFonts w:ascii="Cambria" w:hAnsi="Cambria"/>
        </w:rPr>
      </w:pPr>
      <w:r>
        <w:rPr>
          <w:rFonts w:ascii="Cambria" w:hAnsi="Cambria"/>
        </w:rPr>
        <w:t>Au regard des projections de couvertures attendues et des interventions à mettre en œuvre, les décès additionnels chez les enfants de moins d'un mois par rapport à l'année d'impact qui pourraient être évités sont estimés à 4 441 nouveau-nés, soit 5% (scénario minimum), 16 737 nouveau-nés, soit 21% (scénario moyen) et 27 068 nouveau-nés, soit 40% (scénario maximum).</w:t>
      </w:r>
    </w:p>
    <w:p w14:paraId="6481E5FD" w14:textId="77777777" w:rsidR="00BF3393" w:rsidRPr="00BF3393" w:rsidRDefault="00BF3393" w:rsidP="00A97663">
      <w:pPr>
        <w:pStyle w:val="Titre3"/>
        <w:keepLines w:val="0"/>
        <w:numPr>
          <w:ilvl w:val="3"/>
          <w:numId w:val="111"/>
        </w:numPr>
        <w:spacing w:before="240" w:after="60" w:line="360" w:lineRule="auto"/>
        <w:jc w:val="both"/>
        <w:rPr>
          <w:rFonts w:ascii="Arial" w:hAnsi="Arial"/>
          <w:color w:val="000000" w:themeColor="text1"/>
        </w:rPr>
      </w:pPr>
      <w:bookmarkStart w:id="49" w:name="_Toc405708082"/>
      <w:r w:rsidRPr="00BF3393">
        <w:rPr>
          <w:color w:val="000000" w:themeColor="text1"/>
        </w:rPr>
        <w:t>Mortalité des enfants de moins de 5 ans</w:t>
      </w:r>
      <w:bookmarkEnd w:id="49"/>
    </w:p>
    <w:p w14:paraId="6661151E" w14:textId="77777777" w:rsidR="00BF3393" w:rsidRDefault="00BF3393" w:rsidP="00BF3393">
      <w:pPr>
        <w:tabs>
          <w:tab w:val="left" w:pos="900"/>
        </w:tabs>
        <w:spacing w:line="360" w:lineRule="auto"/>
        <w:jc w:val="both"/>
        <w:rPr>
          <w:rFonts w:ascii="Cambria" w:hAnsi="Cambria"/>
        </w:rPr>
      </w:pPr>
      <w:r>
        <w:rPr>
          <w:rFonts w:ascii="Cambria" w:hAnsi="Cambria"/>
        </w:rPr>
        <w:t>Selon les résultats de l’EMDS 2016, le taux de mortalité infanto-juvénile au Burkina Faso, est estimé à 81,6 pour mille naissances vivantes. Les projections de couverture faites à partir de l’outil Onehealth montrent que le nombre de décès de cette tranche d’âge entre la période 2019 à 2023 serait estimé à 250 305,  199 382,  222 399 respectivement pour les scénarios minimum, moyen et maximum.</w:t>
      </w:r>
    </w:p>
    <w:p w14:paraId="3574038E" w14:textId="77777777" w:rsidR="00BF3393" w:rsidRDefault="00BF3393" w:rsidP="00BF3393">
      <w:pPr>
        <w:tabs>
          <w:tab w:val="left" w:pos="900"/>
        </w:tabs>
        <w:spacing w:line="360" w:lineRule="auto"/>
        <w:jc w:val="both"/>
        <w:rPr>
          <w:rFonts w:ascii="Cambria" w:hAnsi="Cambria"/>
        </w:rPr>
      </w:pPr>
      <w:r>
        <w:rPr>
          <w:rFonts w:ascii="Cambria" w:hAnsi="Cambria"/>
        </w:rPr>
        <w:t xml:space="preserve"> Les interventions à mettre en œuvre permettront d’éviter 17 165 décès additionnels de ces enfants, soit environ 7 % pour le scénario minimum; 26 526 décès additionnels, soit environ 13% pour le scénario moyen et 35 151 décès additionnels, soit environ 16 % pour le scénario maximum.</w:t>
      </w:r>
    </w:p>
    <w:p w14:paraId="3EB92864" w14:textId="77777777" w:rsidR="00BF3393" w:rsidRPr="00BF3393" w:rsidRDefault="00BF3393" w:rsidP="00A97663">
      <w:pPr>
        <w:pStyle w:val="Titre3"/>
        <w:keepLines w:val="0"/>
        <w:numPr>
          <w:ilvl w:val="3"/>
          <w:numId w:val="111"/>
        </w:numPr>
        <w:spacing w:before="240" w:after="60" w:line="360" w:lineRule="auto"/>
        <w:jc w:val="both"/>
        <w:rPr>
          <w:b/>
          <w:color w:val="000000" w:themeColor="text1"/>
        </w:rPr>
      </w:pPr>
      <w:bookmarkStart w:id="50" w:name="_Toc405708083"/>
      <w:r w:rsidRPr="00BF3393">
        <w:rPr>
          <w:b/>
          <w:color w:val="000000" w:themeColor="text1"/>
        </w:rPr>
        <w:t>Mortalité maternelle</w:t>
      </w:r>
      <w:bookmarkEnd w:id="50"/>
    </w:p>
    <w:p w14:paraId="604F5AF2" w14:textId="77777777" w:rsidR="00BF3393" w:rsidRDefault="00BF3393" w:rsidP="00BF3393">
      <w:pPr>
        <w:tabs>
          <w:tab w:val="left" w:pos="900"/>
        </w:tabs>
        <w:spacing w:line="360" w:lineRule="auto"/>
        <w:jc w:val="both"/>
        <w:rPr>
          <w:rFonts w:ascii="Cambria" w:hAnsi="Cambria"/>
        </w:rPr>
      </w:pPr>
      <w:r>
        <w:rPr>
          <w:rFonts w:ascii="Cambria" w:hAnsi="Cambria"/>
        </w:rPr>
        <w:t xml:space="preserve">Quant au ratio de mortalité maternelle, il est estimé à 330 décès pour 100 000 naissances vivantes selon la même enquête. Les estimations réalisées par l’outil Onehealth montre qu’entre la période 2019-2023, le nombre de décès maternels se situerait à 12 577 femmes (scénario minimum), 11 665 femmes (scénario moyen et 10 013 femmes pour le scénario maximum. Cependant, les différentes interventions à mettre en œuvre permettront d’éviter 651 décès maternels soit 5% </w:t>
      </w:r>
      <w:r>
        <w:rPr>
          <w:rFonts w:ascii="Cambria" w:hAnsi="Cambria"/>
        </w:rPr>
        <w:lastRenderedPageBreak/>
        <w:t>pendant ladite période (scénario minimum), 1 860 décès soit 16% (scénario moyen) et 3 514 décès soit 35% (scénario maximum).</w:t>
      </w:r>
    </w:p>
    <w:p w14:paraId="5F60CEDA" w14:textId="77777777" w:rsidR="00BF3393" w:rsidRPr="00BD2D4B" w:rsidRDefault="00BF3393" w:rsidP="00A97663">
      <w:pPr>
        <w:pStyle w:val="Titre3"/>
        <w:keepLines w:val="0"/>
        <w:numPr>
          <w:ilvl w:val="3"/>
          <w:numId w:val="111"/>
        </w:numPr>
        <w:spacing w:before="240" w:after="60" w:line="360" w:lineRule="auto"/>
        <w:jc w:val="both"/>
        <w:rPr>
          <w:rFonts w:ascii="Arial" w:hAnsi="Arial"/>
          <w:b/>
          <w:color w:val="000000" w:themeColor="text1"/>
        </w:rPr>
      </w:pPr>
      <w:bookmarkStart w:id="51" w:name="_Toc405708084"/>
      <w:r w:rsidRPr="00BD2D4B">
        <w:rPr>
          <w:b/>
          <w:color w:val="000000" w:themeColor="text1"/>
        </w:rPr>
        <w:t>Synthèse de la réduction annuelle des taux de mortalité</w:t>
      </w:r>
      <w:bookmarkEnd w:id="51"/>
    </w:p>
    <w:p w14:paraId="1FEC7257" w14:textId="77777777" w:rsidR="00BF3393" w:rsidRDefault="00BF3393" w:rsidP="00BF3393">
      <w:pPr>
        <w:tabs>
          <w:tab w:val="left" w:pos="900"/>
        </w:tabs>
        <w:spacing w:line="360" w:lineRule="auto"/>
        <w:jc w:val="both"/>
        <w:rPr>
          <w:rFonts w:ascii="Cambria" w:hAnsi="Cambria"/>
        </w:rPr>
      </w:pPr>
      <w:r>
        <w:rPr>
          <w:rFonts w:ascii="Cambria" w:hAnsi="Cambria"/>
        </w:rPr>
        <w:t xml:space="preserve">Si les efforts sont maintenus et que les actions proposées à mettre en œuvre dans le plan sont effectives, le Burkina Faso pourrait atteindre ses objectifs à la fin de la mise en œuvre du plan en 2023. </w:t>
      </w:r>
    </w:p>
    <w:p w14:paraId="75DF4FEF" w14:textId="22A9EC6F" w:rsidR="00BF3393" w:rsidRPr="00BD2D4B" w:rsidRDefault="00BF3393" w:rsidP="00BD2D4B">
      <w:pPr>
        <w:tabs>
          <w:tab w:val="left" w:pos="900"/>
        </w:tabs>
        <w:spacing w:line="360" w:lineRule="auto"/>
        <w:jc w:val="both"/>
        <w:rPr>
          <w:rFonts w:ascii="Cambria" w:hAnsi="Cambria"/>
        </w:rPr>
      </w:pPr>
      <w:r>
        <w:rPr>
          <w:rFonts w:ascii="Cambria" w:hAnsi="Cambria"/>
        </w:rPr>
        <w:t>Les résultats du scénario minimum ne sont pas satisfaisants car comme son nom l’indique, peu d’effort est fourni pour l’atteinte des objectifs. Par contre, le scénario maximum où les moyens sont plus ou moins suffisamment déployés, les objectifs sont plus ou moins proches des cibles du PNDS. Quant au scénario moyen ou tendanciel, les objectifs sont fixés en fonction de la conjoncture du moment. Les moyens déployés sont supportables et les résultats pourraient être acceptables à l’horizon 2023. Le tableau ci-dessous met en exergue l’évolution comparative desdits résultats attendus.</w:t>
      </w:r>
    </w:p>
    <w:p w14:paraId="130A79D7" w14:textId="2D806723" w:rsidR="00BF3393" w:rsidRDefault="00BF3393" w:rsidP="00BF3393">
      <w:pPr>
        <w:spacing w:line="360" w:lineRule="auto"/>
        <w:jc w:val="both"/>
        <w:rPr>
          <w:rFonts w:ascii="Calibri" w:hAnsi="Calibri" w:cs="Arial"/>
          <w:b/>
          <w:color w:val="000000"/>
        </w:rPr>
      </w:pPr>
      <w:r>
        <w:rPr>
          <w:rFonts w:ascii="Calibri" w:hAnsi="Calibri" w:cs="Arial"/>
          <w:b/>
          <w:color w:val="000000"/>
          <w:u w:val="single"/>
        </w:rPr>
        <w:t xml:space="preserve">Tableau </w:t>
      </w:r>
      <w:r w:rsidR="00BD2D4B">
        <w:rPr>
          <w:rFonts w:ascii="Calibri" w:hAnsi="Calibri" w:cs="Arial"/>
          <w:b/>
          <w:color w:val="000000"/>
          <w:u w:val="single"/>
        </w:rPr>
        <w:t>13</w:t>
      </w:r>
      <w:r>
        <w:rPr>
          <w:rFonts w:ascii="Calibri" w:hAnsi="Calibri" w:cs="Arial"/>
          <w:b/>
          <w:color w:val="000000"/>
        </w:rPr>
        <w:t> : Evolution comparative des taux de mortalité par scénario</w:t>
      </w:r>
    </w:p>
    <w:tbl>
      <w:tblPr>
        <w:tblW w:w="105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38"/>
        <w:gridCol w:w="1134"/>
        <w:gridCol w:w="993"/>
        <w:gridCol w:w="992"/>
        <w:gridCol w:w="850"/>
        <w:gridCol w:w="851"/>
        <w:gridCol w:w="1006"/>
      </w:tblGrid>
      <w:tr w:rsidR="00BF3393" w14:paraId="60324D3E" w14:textId="77777777" w:rsidTr="00F847BF">
        <w:trPr>
          <w:trHeight w:val="300"/>
          <w:jc w:val="center"/>
        </w:trPr>
        <w:tc>
          <w:tcPr>
            <w:tcW w:w="4738"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3F0E3E2" w14:textId="77777777" w:rsidR="00BF3393" w:rsidRDefault="00BF3393" w:rsidP="00F847BF">
            <w:pPr>
              <w:spacing w:line="256" w:lineRule="auto"/>
              <w:rPr>
                <w:rFonts w:ascii="Calibri" w:hAnsi="Calibri" w:cs="Times New Roman"/>
                <w:b/>
                <w:color w:val="000000"/>
              </w:rPr>
            </w:pPr>
            <w:r>
              <w:rPr>
                <w:rFonts w:ascii="Calibri" w:hAnsi="Calibri"/>
                <w:b/>
                <w:color w:val="000000"/>
              </w:rPr>
              <w:t> INDICATEURS</w:t>
            </w:r>
          </w:p>
        </w:tc>
        <w:tc>
          <w:tcPr>
            <w:tcW w:w="1134"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B63001D" w14:textId="77777777" w:rsidR="00BF3393" w:rsidRDefault="00BF3393" w:rsidP="00F847BF">
            <w:pPr>
              <w:spacing w:line="256" w:lineRule="auto"/>
              <w:rPr>
                <w:rFonts w:ascii="Calibri" w:hAnsi="Calibri"/>
                <w:b/>
                <w:color w:val="000000"/>
              </w:rPr>
            </w:pPr>
            <w:r>
              <w:rPr>
                <w:rFonts w:ascii="Calibri" w:hAnsi="Calibri"/>
                <w:b/>
                <w:color w:val="000000"/>
              </w:rPr>
              <w:t>Base 2018</w:t>
            </w:r>
          </w:p>
        </w:tc>
        <w:tc>
          <w:tcPr>
            <w:tcW w:w="993"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008160D" w14:textId="77777777" w:rsidR="00BF3393" w:rsidRDefault="00BF3393" w:rsidP="00F847BF">
            <w:pPr>
              <w:spacing w:line="256" w:lineRule="auto"/>
              <w:jc w:val="right"/>
              <w:rPr>
                <w:rFonts w:ascii="Calibri" w:hAnsi="Calibri"/>
                <w:b/>
                <w:color w:val="000000"/>
              </w:rPr>
            </w:pPr>
            <w:r>
              <w:rPr>
                <w:rFonts w:ascii="Calibri" w:hAnsi="Calibri"/>
                <w:b/>
                <w:color w:val="000000"/>
              </w:rPr>
              <w:t>2019</w:t>
            </w:r>
          </w:p>
        </w:tc>
        <w:tc>
          <w:tcPr>
            <w:tcW w:w="992"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1142CF6F" w14:textId="77777777" w:rsidR="00BF3393" w:rsidRDefault="00BF3393" w:rsidP="00F847BF">
            <w:pPr>
              <w:spacing w:line="256" w:lineRule="auto"/>
              <w:jc w:val="right"/>
              <w:rPr>
                <w:rFonts w:ascii="Calibri" w:hAnsi="Calibri"/>
                <w:b/>
                <w:color w:val="000000"/>
              </w:rPr>
            </w:pPr>
            <w:r>
              <w:rPr>
                <w:rFonts w:ascii="Calibri" w:hAnsi="Calibri"/>
                <w:b/>
                <w:color w:val="000000"/>
              </w:rPr>
              <w:t>2020</w:t>
            </w:r>
          </w:p>
        </w:tc>
        <w:tc>
          <w:tcPr>
            <w:tcW w:w="850"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4B1C9F94" w14:textId="77777777" w:rsidR="00BF3393" w:rsidRDefault="00BF3393" w:rsidP="00F847BF">
            <w:pPr>
              <w:spacing w:line="256" w:lineRule="auto"/>
              <w:jc w:val="right"/>
              <w:rPr>
                <w:rFonts w:ascii="Calibri" w:hAnsi="Calibri"/>
                <w:b/>
                <w:color w:val="000000"/>
              </w:rPr>
            </w:pPr>
            <w:r>
              <w:rPr>
                <w:rFonts w:ascii="Calibri" w:hAnsi="Calibri"/>
                <w:b/>
                <w:color w:val="000000"/>
              </w:rPr>
              <w:t>2021</w:t>
            </w:r>
          </w:p>
        </w:tc>
        <w:tc>
          <w:tcPr>
            <w:tcW w:w="851" w:type="dxa"/>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bottom"/>
            <w:hideMark/>
          </w:tcPr>
          <w:p w14:paraId="2422CAD5" w14:textId="77777777" w:rsidR="00BF3393" w:rsidRDefault="00BF3393" w:rsidP="00F847BF">
            <w:pPr>
              <w:spacing w:line="256" w:lineRule="auto"/>
              <w:jc w:val="right"/>
              <w:rPr>
                <w:rFonts w:ascii="Calibri" w:hAnsi="Calibri"/>
                <w:b/>
                <w:color w:val="000000"/>
              </w:rPr>
            </w:pPr>
            <w:r>
              <w:rPr>
                <w:rFonts w:ascii="Calibri" w:hAnsi="Calibri"/>
                <w:b/>
                <w:color w:val="000000"/>
              </w:rPr>
              <w:t>2022</w:t>
            </w:r>
          </w:p>
        </w:tc>
        <w:tc>
          <w:tcPr>
            <w:tcW w:w="1006" w:type="dxa"/>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14:paraId="65CC0D97" w14:textId="77777777" w:rsidR="00BF3393" w:rsidRDefault="00BF3393" w:rsidP="00F847BF">
            <w:pPr>
              <w:spacing w:line="256" w:lineRule="auto"/>
              <w:jc w:val="right"/>
              <w:rPr>
                <w:rFonts w:ascii="Calibri" w:hAnsi="Calibri"/>
                <w:b/>
                <w:color w:val="000000"/>
              </w:rPr>
            </w:pPr>
            <w:r>
              <w:rPr>
                <w:rFonts w:ascii="Calibri" w:hAnsi="Calibri"/>
                <w:b/>
                <w:color w:val="000000"/>
              </w:rPr>
              <w:t>2023</w:t>
            </w:r>
          </w:p>
        </w:tc>
      </w:tr>
      <w:tr w:rsidR="00BF3393" w14:paraId="5D029A59" w14:textId="77777777" w:rsidTr="00F847BF">
        <w:trPr>
          <w:trHeight w:val="230"/>
          <w:jc w:val="center"/>
        </w:trPr>
        <w:tc>
          <w:tcPr>
            <w:tcW w:w="10564" w:type="dxa"/>
            <w:gridSpan w:val="7"/>
            <w:tcBorders>
              <w:top w:val="single" w:sz="4" w:space="0" w:color="auto"/>
              <w:left w:val="single" w:sz="4" w:space="0" w:color="auto"/>
              <w:bottom w:val="single" w:sz="4" w:space="0" w:color="auto"/>
              <w:right w:val="single" w:sz="4" w:space="0" w:color="auto"/>
            </w:tcBorders>
            <w:shd w:val="clear" w:color="auto" w:fill="FFFF00"/>
            <w:vAlign w:val="bottom"/>
            <w:hideMark/>
          </w:tcPr>
          <w:p w14:paraId="04CA393D" w14:textId="77777777" w:rsidR="00BF3393" w:rsidRDefault="00BF3393" w:rsidP="00F847BF">
            <w:pPr>
              <w:spacing w:line="256" w:lineRule="auto"/>
              <w:jc w:val="center"/>
              <w:rPr>
                <w:rFonts w:ascii="Calibri" w:hAnsi="Calibri"/>
                <w:b/>
                <w:color w:val="000000"/>
              </w:rPr>
            </w:pPr>
            <w:r>
              <w:rPr>
                <w:rFonts w:ascii="Calibri" w:hAnsi="Calibri"/>
                <w:b/>
                <w:color w:val="000000"/>
              </w:rPr>
              <w:t>Scénario minimum</w:t>
            </w:r>
          </w:p>
        </w:tc>
      </w:tr>
      <w:tr w:rsidR="00BF3393" w14:paraId="211B4020" w14:textId="77777777" w:rsidTr="00F847BF">
        <w:trPr>
          <w:trHeight w:val="371"/>
          <w:jc w:val="center"/>
        </w:trPr>
        <w:tc>
          <w:tcPr>
            <w:tcW w:w="4738" w:type="dxa"/>
            <w:tcBorders>
              <w:top w:val="single" w:sz="4" w:space="0" w:color="auto"/>
              <w:left w:val="single" w:sz="4" w:space="0" w:color="auto"/>
              <w:bottom w:val="single" w:sz="4" w:space="0" w:color="auto"/>
              <w:right w:val="single" w:sz="4" w:space="0" w:color="auto"/>
            </w:tcBorders>
            <w:vAlign w:val="bottom"/>
            <w:hideMark/>
          </w:tcPr>
          <w:p w14:paraId="47E82338" w14:textId="77777777" w:rsidR="00BF3393" w:rsidRDefault="00BF3393" w:rsidP="00F847BF">
            <w:pPr>
              <w:spacing w:line="256" w:lineRule="auto"/>
              <w:rPr>
                <w:rFonts w:ascii="Calibri" w:hAnsi="Calibri"/>
                <w:color w:val="000000"/>
              </w:rPr>
            </w:pPr>
            <w:r>
              <w:rPr>
                <w:rFonts w:ascii="Calibri" w:hAnsi="Calibri"/>
                <w:color w:val="000000"/>
              </w:rPr>
              <w:t>Ratio de mortalité maternelle (pour 100 000 NV)</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2F9C01D9" w14:textId="77777777" w:rsidR="00BF3393" w:rsidRDefault="00BF3393" w:rsidP="00F847BF">
            <w:pPr>
              <w:spacing w:line="256" w:lineRule="auto"/>
              <w:jc w:val="center"/>
              <w:rPr>
                <w:rFonts w:ascii="Calibri" w:hAnsi="Calibri"/>
                <w:color w:val="000000"/>
              </w:rPr>
            </w:pPr>
            <w:r>
              <w:rPr>
                <w:rFonts w:ascii="Calibri" w:hAnsi="Calibri"/>
                <w:color w:val="000000"/>
              </w:rPr>
              <w:t>330</w:t>
            </w:r>
          </w:p>
        </w:tc>
        <w:tc>
          <w:tcPr>
            <w:tcW w:w="993" w:type="dxa"/>
            <w:tcBorders>
              <w:top w:val="single" w:sz="4" w:space="0" w:color="auto"/>
              <w:left w:val="single" w:sz="4" w:space="0" w:color="auto"/>
              <w:bottom w:val="single" w:sz="4" w:space="0" w:color="auto"/>
              <w:right w:val="single" w:sz="4" w:space="0" w:color="auto"/>
            </w:tcBorders>
            <w:noWrap/>
            <w:vAlign w:val="bottom"/>
            <w:hideMark/>
          </w:tcPr>
          <w:p w14:paraId="0EFFA7E5"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314,12</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00D8A94D"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314,15</w:t>
            </w:r>
          </w:p>
        </w:tc>
        <w:tc>
          <w:tcPr>
            <w:tcW w:w="850" w:type="dxa"/>
            <w:tcBorders>
              <w:top w:val="single" w:sz="4" w:space="0" w:color="auto"/>
              <w:left w:val="single" w:sz="4" w:space="0" w:color="auto"/>
              <w:bottom w:val="single" w:sz="4" w:space="0" w:color="auto"/>
              <w:right w:val="single" w:sz="4" w:space="0" w:color="auto"/>
            </w:tcBorders>
            <w:noWrap/>
            <w:vAlign w:val="bottom"/>
            <w:hideMark/>
          </w:tcPr>
          <w:p w14:paraId="12E3AFCA"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314,14</w:t>
            </w:r>
          </w:p>
        </w:tc>
        <w:tc>
          <w:tcPr>
            <w:tcW w:w="851" w:type="dxa"/>
            <w:tcBorders>
              <w:top w:val="single" w:sz="4" w:space="0" w:color="auto"/>
              <w:left w:val="single" w:sz="4" w:space="0" w:color="auto"/>
              <w:bottom w:val="single" w:sz="4" w:space="0" w:color="auto"/>
              <w:right w:val="single" w:sz="4" w:space="0" w:color="auto"/>
            </w:tcBorders>
            <w:noWrap/>
            <w:vAlign w:val="bottom"/>
            <w:hideMark/>
          </w:tcPr>
          <w:p w14:paraId="43DB906E"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314,12</w:t>
            </w:r>
          </w:p>
        </w:tc>
        <w:tc>
          <w:tcPr>
            <w:tcW w:w="1006" w:type="dxa"/>
            <w:tcBorders>
              <w:top w:val="single" w:sz="4" w:space="0" w:color="auto"/>
              <w:left w:val="single" w:sz="4" w:space="0" w:color="auto"/>
              <w:bottom w:val="single" w:sz="4" w:space="0" w:color="auto"/>
              <w:right w:val="single" w:sz="4" w:space="0" w:color="auto"/>
            </w:tcBorders>
            <w:vAlign w:val="bottom"/>
            <w:hideMark/>
          </w:tcPr>
          <w:p w14:paraId="5940AC35"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314,09</w:t>
            </w:r>
          </w:p>
        </w:tc>
      </w:tr>
      <w:tr w:rsidR="00BF3393" w14:paraId="106816B1" w14:textId="77777777" w:rsidTr="00F847BF">
        <w:trPr>
          <w:trHeight w:val="323"/>
          <w:jc w:val="center"/>
        </w:trPr>
        <w:tc>
          <w:tcPr>
            <w:tcW w:w="4738" w:type="dxa"/>
            <w:tcBorders>
              <w:top w:val="single" w:sz="4" w:space="0" w:color="auto"/>
              <w:left w:val="single" w:sz="4" w:space="0" w:color="auto"/>
              <w:bottom w:val="single" w:sz="4" w:space="0" w:color="auto"/>
              <w:right w:val="single" w:sz="4" w:space="0" w:color="auto"/>
            </w:tcBorders>
            <w:vAlign w:val="bottom"/>
            <w:hideMark/>
          </w:tcPr>
          <w:p w14:paraId="2D77E16B" w14:textId="77777777" w:rsidR="00BF3393" w:rsidRDefault="00BF3393" w:rsidP="00F847BF">
            <w:pPr>
              <w:spacing w:line="256" w:lineRule="auto"/>
              <w:rPr>
                <w:rFonts w:ascii="Calibri" w:hAnsi="Calibri" w:cs="Times New Roman"/>
                <w:color w:val="000000"/>
              </w:rPr>
            </w:pPr>
            <w:r>
              <w:rPr>
                <w:rFonts w:ascii="Calibri" w:hAnsi="Calibri"/>
                <w:color w:val="000000"/>
              </w:rPr>
              <w:t>Taux de mortalité néonatale (pour 1 000 NV)</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6B0F9EE2" w14:textId="77777777" w:rsidR="00BF3393" w:rsidRDefault="00BF3393" w:rsidP="00F847BF">
            <w:pPr>
              <w:spacing w:line="256" w:lineRule="auto"/>
              <w:jc w:val="center"/>
              <w:rPr>
                <w:rFonts w:ascii="Calibri" w:hAnsi="Calibri"/>
                <w:color w:val="000000"/>
              </w:rPr>
            </w:pPr>
            <w:r>
              <w:rPr>
                <w:rFonts w:ascii="Calibri" w:hAnsi="Calibri"/>
                <w:color w:val="000000"/>
              </w:rPr>
              <w:t>23,2</w:t>
            </w:r>
          </w:p>
        </w:tc>
        <w:tc>
          <w:tcPr>
            <w:tcW w:w="993" w:type="dxa"/>
            <w:tcBorders>
              <w:top w:val="single" w:sz="4" w:space="0" w:color="auto"/>
              <w:left w:val="single" w:sz="4" w:space="0" w:color="auto"/>
              <w:bottom w:val="single" w:sz="4" w:space="0" w:color="auto"/>
              <w:right w:val="single" w:sz="4" w:space="0" w:color="auto"/>
            </w:tcBorders>
            <w:noWrap/>
            <w:vAlign w:val="bottom"/>
            <w:hideMark/>
          </w:tcPr>
          <w:p w14:paraId="514F3C36"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22,14</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67C5C40C"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22,13</w:t>
            </w:r>
          </w:p>
        </w:tc>
        <w:tc>
          <w:tcPr>
            <w:tcW w:w="850" w:type="dxa"/>
            <w:tcBorders>
              <w:top w:val="single" w:sz="4" w:space="0" w:color="auto"/>
              <w:left w:val="single" w:sz="4" w:space="0" w:color="auto"/>
              <w:bottom w:val="single" w:sz="4" w:space="0" w:color="auto"/>
              <w:right w:val="single" w:sz="4" w:space="0" w:color="auto"/>
            </w:tcBorders>
            <w:noWrap/>
            <w:vAlign w:val="bottom"/>
            <w:hideMark/>
          </w:tcPr>
          <w:p w14:paraId="28FEF7CC"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22,12</w:t>
            </w:r>
          </w:p>
        </w:tc>
        <w:tc>
          <w:tcPr>
            <w:tcW w:w="851" w:type="dxa"/>
            <w:tcBorders>
              <w:top w:val="single" w:sz="4" w:space="0" w:color="auto"/>
              <w:left w:val="single" w:sz="4" w:space="0" w:color="auto"/>
              <w:bottom w:val="single" w:sz="4" w:space="0" w:color="auto"/>
              <w:right w:val="single" w:sz="4" w:space="0" w:color="auto"/>
            </w:tcBorders>
            <w:noWrap/>
            <w:vAlign w:val="bottom"/>
            <w:hideMark/>
          </w:tcPr>
          <w:p w14:paraId="5875151D"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22,11</w:t>
            </w:r>
          </w:p>
        </w:tc>
        <w:tc>
          <w:tcPr>
            <w:tcW w:w="1006" w:type="dxa"/>
            <w:tcBorders>
              <w:top w:val="single" w:sz="4" w:space="0" w:color="auto"/>
              <w:left w:val="single" w:sz="4" w:space="0" w:color="auto"/>
              <w:bottom w:val="single" w:sz="4" w:space="0" w:color="auto"/>
              <w:right w:val="single" w:sz="4" w:space="0" w:color="auto"/>
            </w:tcBorders>
            <w:vAlign w:val="bottom"/>
            <w:hideMark/>
          </w:tcPr>
          <w:p w14:paraId="1EB7E8BB"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22,1</w:t>
            </w:r>
          </w:p>
        </w:tc>
      </w:tr>
      <w:tr w:rsidR="00BF3393" w14:paraId="18C101D4" w14:textId="77777777" w:rsidTr="00F847BF">
        <w:trPr>
          <w:trHeight w:val="272"/>
          <w:jc w:val="center"/>
        </w:trPr>
        <w:tc>
          <w:tcPr>
            <w:tcW w:w="4738" w:type="dxa"/>
            <w:tcBorders>
              <w:top w:val="single" w:sz="4" w:space="0" w:color="auto"/>
              <w:left w:val="single" w:sz="4" w:space="0" w:color="auto"/>
              <w:bottom w:val="single" w:sz="4" w:space="0" w:color="auto"/>
              <w:right w:val="single" w:sz="4" w:space="0" w:color="auto"/>
            </w:tcBorders>
            <w:vAlign w:val="bottom"/>
            <w:hideMark/>
          </w:tcPr>
          <w:p w14:paraId="043B4618" w14:textId="77777777" w:rsidR="00BF3393" w:rsidRDefault="00BF3393" w:rsidP="00F847BF">
            <w:pPr>
              <w:spacing w:line="256" w:lineRule="auto"/>
              <w:rPr>
                <w:rFonts w:ascii="Calibri" w:hAnsi="Calibri" w:cs="Times New Roman"/>
                <w:color w:val="000000"/>
              </w:rPr>
            </w:pPr>
            <w:r>
              <w:rPr>
                <w:rFonts w:ascii="Calibri" w:hAnsi="Calibri"/>
                <w:color w:val="000000"/>
              </w:rPr>
              <w:t>Taux de mortalité avant cinq ans (pour 1 000 NV)</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70FCA643" w14:textId="77777777" w:rsidR="00BF3393" w:rsidRDefault="00BF3393" w:rsidP="00F847BF">
            <w:pPr>
              <w:spacing w:line="256" w:lineRule="auto"/>
              <w:jc w:val="center"/>
              <w:rPr>
                <w:rFonts w:ascii="Calibri" w:hAnsi="Calibri"/>
                <w:color w:val="000000"/>
              </w:rPr>
            </w:pPr>
            <w:r>
              <w:rPr>
                <w:rFonts w:ascii="Calibri" w:hAnsi="Calibri"/>
                <w:color w:val="000000"/>
              </w:rPr>
              <w:t>81,6</w:t>
            </w:r>
          </w:p>
        </w:tc>
        <w:tc>
          <w:tcPr>
            <w:tcW w:w="993" w:type="dxa"/>
            <w:tcBorders>
              <w:top w:val="single" w:sz="4" w:space="0" w:color="auto"/>
              <w:left w:val="single" w:sz="4" w:space="0" w:color="auto"/>
              <w:bottom w:val="single" w:sz="4" w:space="0" w:color="auto"/>
              <w:right w:val="single" w:sz="4" w:space="0" w:color="auto"/>
            </w:tcBorders>
            <w:noWrap/>
            <w:vAlign w:val="bottom"/>
            <w:hideMark/>
          </w:tcPr>
          <w:p w14:paraId="2783443D"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64,93</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71DDA136"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63,84</w:t>
            </w:r>
          </w:p>
        </w:tc>
        <w:tc>
          <w:tcPr>
            <w:tcW w:w="850" w:type="dxa"/>
            <w:tcBorders>
              <w:top w:val="single" w:sz="4" w:space="0" w:color="auto"/>
              <w:left w:val="single" w:sz="4" w:space="0" w:color="auto"/>
              <w:bottom w:val="single" w:sz="4" w:space="0" w:color="auto"/>
              <w:right w:val="single" w:sz="4" w:space="0" w:color="auto"/>
            </w:tcBorders>
            <w:noWrap/>
            <w:vAlign w:val="bottom"/>
            <w:hideMark/>
          </w:tcPr>
          <w:p w14:paraId="5E7E98A4"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62,86</w:t>
            </w:r>
          </w:p>
        </w:tc>
        <w:tc>
          <w:tcPr>
            <w:tcW w:w="851" w:type="dxa"/>
            <w:tcBorders>
              <w:top w:val="single" w:sz="4" w:space="0" w:color="auto"/>
              <w:left w:val="single" w:sz="4" w:space="0" w:color="auto"/>
              <w:bottom w:val="single" w:sz="4" w:space="0" w:color="auto"/>
              <w:right w:val="single" w:sz="4" w:space="0" w:color="auto"/>
            </w:tcBorders>
            <w:noWrap/>
            <w:vAlign w:val="bottom"/>
            <w:hideMark/>
          </w:tcPr>
          <w:p w14:paraId="39B2A784"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61,85</w:t>
            </w:r>
          </w:p>
        </w:tc>
        <w:tc>
          <w:tcPr>
            <w:tcW w:w="1006" w:type="dxa"/>
            <w:tcBorders>
              <w:top w:val="single" w:sz="4" w:space="0" w:color="auto"/>
              <w:left w:val="single" w:sz="4" w:space="0" w:color="auto"/>
              <w:bottom w:val="single" w:sz="4" w:space="0" w:color="auto"/>
              <w:right w:val="single" w:sz="4" w:space="0" w:color="auto"/>
            </w:tcBorders>
            <w:vAlign w:val="bottom"/>
            <w:hideMark/>
          </w:tcPr>
          <w:p w14:paraId="15D147ED"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61,22</w:t>
            </w:r>
          </w:p>
        </w:tc>
      </w:tr>
      <w:tr w:rsidR="00BF3393" w14:paraId="4032F663" w14:textId="77777777" w:rsidTr="00F847BF">
        <w:trPr>
          <w:trHeight w:val="272"/>
          <w:jc w:val="center"/>
        </w:trPr>
        <w:tc>
          <w:tcPr>
            <w:tcW w:w="10564" w:type="dxa"/>
            <w:gridSpan w:val="7"/>
            <w:tcBorders>
              <w:top w:val="single" w:sz="4" w:space="0" w:color="auto"/>
              <w:left w:val="single" w:sz="4" w:space="0" w:color="auto"/>
              <w:bottom w:val="single" w:sz="4" w:space="0" w:color="auto"/>
              <w:right w:val="single" w:sz="4" w:space="0" w:color="auto"/>
            </w:tcBorders>
            <w:shd w:val="clear" w:color="auto" w:fill="FFFF00"/>
            <w:vAlign w:val="bottom"/>
            <w:hideMark/>
          </w:tcPr>
          <w:p w14:paraId="3F6FD45E" w14:textId="77777777" w:rsidR="00BF3393" w:rsidRDefault="00BF3393" w:rsidP="00F847BF">
            <w:pPr>
              <w:spacing w:line="256" w:lineRule="auto"/>
              <w:jc w:val="center"/>
              <w:rPr>
                <w:rFonts w:ascii="Calibri" w:hAnsi="Calibri" w:cs="Times New Roman"/>
                <w:b/>
                <w:color w:val="000000"/>
              </w:rPr>
            </w:pPr>
            <w:r>
              <w:rPr>
                <w:rFonts w:ascii="Calibri" w:hAnsi="Calibri"/>
                <w:b/>
                <w:color w:val="000000"/>
              </w:rPr>
              <w:t>Scénario moyen</w:t>
            </w:r>
          </w:p>
        </w:tc>
      </w:tr>
      <w:tr w:rsidR="00BF3393" w14:paraId="15EBAAFA" w14:textId="77777777" w:rsidTr="00F847BF">
        <w:trPr>
          <w:trHeight w:val="272"/>
          <w:jc w:val="center"/>
        </w:trPr>
        <w:tc>
          <w:tcPr>
            <w:tcW w:w="4738" w:type="dxa"/>
            <w:tcBorders>
              <w:top w:val="single" w:sz="4" w:space="0" w:color="auto"/>
              <w:left w:val="single" w:sz="4" w:space="0" w:color="auto"/>
              <w:bottom w:val="single" w:sz="4" w:space="0" w:color="auto"/>
              <w:right w:val="single" w:sz="4" w:space="0" w:color="auto"/>
            </w:tcBorders>
            <w:vAlign w:val="bottom"/>
            <w:hideMark/>
          </w:tcPr>
          <w:p w14:paraId="7E22FE71" w14:textId="77777777" w:rsidR="00BF3393" w:rsidRDefault="00BF3393" w:rsidP="00F847BF">
            <w:pPr>
              <w:spacing w:line="256" w:lineRule="auto"/>
              <w:rPr>
                <w:rFonts w:ascii="Calibri" w:hAnsi="Calibri"/>
                <w:color w:val="000000"/>
              </w:rPr>
            </w:pPr>
            <w:r>
              <w:rPr>
                <w:rFonts w:ascii="Calibri" w:hAnsi="Calibri"/>
                <w:color w:val="000000"/>
              </w:rPr>
              <w:t>Ratio de mortalité maternelle (pour 100 000 NV)</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1F882406" w14:textId="77777777" w:rsidR="00BF3393" w:rsidRDefault="00BF3393" w:rsidP="00F847BF">
            <w:pPr>
              <w:spacing w:line="256" w:lineRule="auto"/>
              <w:jc w:val="center"/>
              <w:rPr>
                <w:rFonts w:ascii="Calibri" w:hAnsi="Calibri"/>
                <w:color w:val="000000"/>
              </w:rPr>
            </w:pPr>
            <w:r>
              <w:rPr>
                <w:rFonts w:ascii="Calibri" w:hAnsi="Calibri"/>
                <w:color w:val="000000"/>
              </w:rPr>
              <w:t>330</w:t>
            </w:r>
          </w:p>
        </w:tc>
        <w:tc>
          <w:tcPr>
            <w:tcW w:w="993" w:type="dxa"/>
            <w:tcBorders>
              <w:top w:val="single" w:sz="4" w:space="0" w:color="auto"/>
              <w:left w:val="single" w:sz="4" w:space="0" w:color="auto"/>
              <w:bottom w:val="single" w:sz="4" w:space="0" w:color="auto"/>
              <w:right w:val="single" w:sz="4" w:space="0" w:color="auto"/>
            </w:tcBorders>
            <w:noWrap/>
            <w:vAlign w:val="bottom"/>
            <w:hideMark/>
          </w:tcPr>
          <w:p w14:paraId="44DAAE1B"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305,65</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145616EE"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295,26</w:t>
            </w:r>
          </w:p>
        </w:tc>
        <w:tc>
          <w:tcPr>
            <w:tcW w:w="850" w:type="dxa"/>
            <w:tcBorders>
              <w:top w:val="single" w:sz="4" w:space="0" w:color="auto"/>
              <w:left w:val="single" w:sz="4" w:space="0" w:color="auto"/>
              <w:bottom w:val="single" w:sz="4" w:space="0" w:color="auto"/>
              <w:right w:val="single" w:sz="4" w:space="0" w:color="auto"/>
            </w:tcBorders>
            <w:noWrap/>
            <w:vAlign w:val="bottom"/>
            <w:hideMark/>
          </w:tcPr>
          <w:p w14:paraId="45BA6920"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285,28</w:t>
            </w:r>
          </w:p>
        </w:tc>
        <w:tc>
          <w:tcPr>
            <w:tcW w:w="851" w:type="dxa"/>
            <w:tcBorders>
              <w:top w:val="single" w:sz="4" w:space="0" w:color="auto"/>
              <w:left w:val="single" w:sz="4" w:space="0" w:color="auto"/>
              <w:bottom w:val="single" w:sz="4" w:space="0" w:color="auto"/>
              <w:right w:val="single" w:sz="4" w:space="0" w:color="auto"/>
            </w:tcBorders>
            <w:noWrap/>
            <w:vAlign w:val="bottom"/>
            <w:hideMark/>
          </w:tcPr>
          <w:p w14:paraId="1B5FC11A"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274,72</w:t>
            </w:r>
          </w:p>
        </w:tc>
        <w:tc>
          <w:tcPr>
            <w:tcW w:w="1006" w:type="dxa"/>
            <w:tcBorders>
              <w:top w:val="single" w:sz="4" w:space="0" w:color="auto"/>
              <w:left w:val="single" w:sz="4" w:space="0" w:color="auto"/>
              <w:bottom w:val="single" w:sz="4" w:space="0" w:color="auto"/>
              <w:right w:val="single" w:sz="4" w:space="0" w:color="auto"/>
            </w:tcBorders>
            <w:vAlign w:val="bottom"/>
            <w:hideMark/>
          </w:tcPr>
          <w:p w14:paraId="437FB911"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265,37</w:t>
            </w:r>
          </w:p>
        </w:tc>
      </w:tr>
      <w:tr w:rsidR="00BF3393" w14:paraId="2E52AC3F" w14:textId="77777777" w:rsidTr="00F847BF">
        <w:trPr>
          <w:trHeight w:val="272"/>
          <w:jc w:val="center"/>
        </w:trPr>
        <w:tc>
          <w:tcPr>
            <w:tcW w:w="4738" w:type="dxa"/>
            <w:tcBorders>
              <w:top w:val="single" w:sz="4" w:space="0" w:color="auto"/>
              <w:left w:val="single" w:sz="4" w:space="0" w:color="auto"/>
              <w:bottom w:val="single" w:sz="4" w:space="0" w:color="auto"/>
              <w:right w:val="single" w:sz="4" w:space="0" w:color="auto"/>
            </w:tcBorders>
            <w:vAlign w:val="bottom"/>
            <w:hideMark/>
          </w:tcPr>
          <w:p w14:paraId="0D0AFE95" w14:textId="77777777" w:rsidR="00BF3393" w:rsidRDefault="00BF3393" w:rsidP="00F847BF">
            <w:pPr>
              <w:spacing w:line="256" w:lineRule="auto"/>
              <w:rPr>
                <w:rFonts w:ascii="Calibri" w:hAnsi="Calibri" w:cs="Times New Roman"/>
                <w:color w:val="000000"/>
              </w:rPr>
            </w:pPr>
            <w:r>
              <w:rPr>
                <w:rFonts w:ascii="Calibri" w:hAnsi="Calibri"/>
                <w:color w:val="000000"/>
              </w:rPr>
              <w:t>Taux de mortalité néonatale (pour 1 000 NV)</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79D551B9" w14:textId="77777777" w:rsidR="00BF3393" w:rsidRDefault="00BF3393" w:rsidP="00F847BF">
            <w:pPr>
              <w:spacing w:line="256" w:lineRule="auto"/>
              <w:jc w:val="center"/>
              <w:rPr>
                <w:rFonts w:ascii="Calibri" w:hAnsi="Calibri"/>
                <w:color w:val="000000"/>
              </w:rPr>
            </w:pPr>
            <w:r>
              <w:rPr>
                <w:rFonts w:ascii="Calibri" w:hAnsi="Calibri"/>
                <w:color w:val="000000"/>
              </w:rPr>
              <w:t>23,2</w:t>
            </w:r>
          </w:p>
        </w:tc>
        <w:tc>
          <w:tcPr>
            <w:tcW w:w="993" w:type="dxa"/>
            <w:tcBorders>
              <w:top w:val="single" w:sz="4" w:space="0" w:color="auto"/>
              <w:left w:val="single" w:sz="4" w:space="0" w:color="auto"/>
              <w:bottom w:val="single" w:sz="4" w:space="0" w:color="auto"/>
              <w:right w:val="single" w:sz="4" w:space="0" w:color="auto"/>
            </w:tcBorders>
            <w:noWrap/>
            <w:vAlign w:val="bottom"/>
            <w:hideMark/>
          </w:tcPr>
          <w:p w14:paraId="07AD1DDF"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21,46</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175FAAA3"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20,29</w:t>
            </w:r>
          </w:p>
        </w:tc>
        <w:tc>
          <w:tcPr>
            <w:tcW w:w="850" w:type="dxa"/>
            <w:tcBorders>
              <w:top w:val="single" w:sz="4" w:space="0" w:color="auto"/>
              <w:left w:val="single" w:sz="4" w:space="0" w:color="auto"/>
              <w:bottom w:val="single" w:sz="4" w:space="0" w:color="auto"/>
              <w:right w:val="single" w:sz="4" w:space="0" w:color="auto"/>
            </w:tcBorders>
            <w:noWrap/>
            <w:vAlign w:val="bottom"/>
            <w:hideMark/>
          </w:tcPr>
          <w:p w14:paraId="4C21F2A6"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19,15</w:t>
            </w:r>
          </w:p>
        </w:tc>
        <w:tc>
          <w:tcPr>
            <w:tcW w:w="851" w:type="dxa"/>
            <w:tcBorders>
              <w:top w:val="single" w:sz="4" w:space="0" w:color="auto"/>
              <w:left w:val="single" w:sz="4" w:space="0" w:color="auto"/>
              <w:bottom w:val="single" w:sz="4" w:space="0" w:color="auto"/>
              <w:right w:val="single" w:sz="4" w:space="0" w:color="auto"/>
            </w:tcBorders>
            <w:noWrap/>
            <w:vAlign w:val="bottom"/>
            <w:hideMark/>
          </w:tcPr>
          <w:p w14:paraId="4D66B66D"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17,99</w:t>
            </w:r>
          </w:p>
        </w:tc>
        <w:tc>
          <w:tcPr>
            <w:tcW w:w="1006" w:type="dxa"/>
            <w:tcBorders>
              <w:top w:val="single" w:sz="4" w:space="0" w:color="auto"/>
              <w:left w:val="single" w:sz="4" w:space="0" w:color="auto"/>
              <w:bottom w:val="single" w:sz="4" w:space="0" w:color="auto"/>
              <w:right w:val="single" w:sz="4" w:space="0" w:color="auto"/>
            </w:tcBorders>
            <w:vAlign w:val="bottom"/>
            <w:hideMark/>
          </w:tcPr>
          <w:p w14:paraId="7871518E"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17,06</w:t>
            </w:r>
          </w:p>
        </w:tc>
      </w:tr>
      <w:tr w:rsidR="00BF3393" w14:paraId="2127F6AD" w14:textId="77777777" w:rsidTr="00F847BF">
        <w:trPr>
          <w:trHeight w:val="272"/>
          <w:jc w:val="center"/>
        </w:trPr>
        <w:tc>
          <w:tcPr>
            <w:tcW w:w="4738" w:type="dxa"/>
            <w:tcBorders>
              <w:top w:val="single" w:sz="4" w:space="0" w:color="auto"/>
              <w:left w:val="single" w:sz="4" w:space="0" w:color="auto"/>
              <w:bottom w:val="single" w:sz="4" w:space="0" w:color="auto"/>
              <w:right w:val="single" w:sz="4" w:space="0" w:color="auto"/>
            </w:tcBorders>
            <w:vAlign w:val="bottom"/>
            <w:hideMark/>
          </w:tcPr>
          <w:p w14:paraId="34A6C9E0" w14:textId="77777777" w:rsidR="00BF3393" w:rsidRDefault="00BF3393" w:rsidP="00F847BF">
            <w:pPr>
              <w:spacing w:line="256" w:lineRule="auto"/>
              <w:rPr>
                <w:rFonts w:ascii="Calibri" w:hAnsi="Calibri" w:cs="Times New Roman"/>
                <w:color w:val="000000"/>
              </w:rPr>
            </w:pPr>
            <w:r>
              <w:rPr>
                <w:rFonts w:ascii="Calibri" w:hAnsi="Calibri"/>
                <w:color w:val="000000"/>
              </w:rPr>
              <w:t>Taux de mortalité avant cinq ans (pour 1 000 NV)</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7D9B59CF" w14:textId="77777777" w:rsidR="00BF3393" w:rsidRDefault="00BF3393" w:rsidP="00F847BF">
            <w:pPr>
              <w:spacing w:line="256" w:lineRule="auto"/>
              <w:jc w:val="center"/>
              <w:rPr>
                <w:rFonts w:ascii="Calibri" w:hAnsi="Calibri"/>
                <w:color w:val="000000"/>
              </w:rPr>
            </w:pPr>
            <w:r>
              <w:rPr>
                <w:rFonts w:ascii="Calibri" w:hAnsi="Calibri"/>
                <w:color w:val="000000"/>
              </w:rPr>
              <w:t>81,6</w:t>
            </w:r>
          </w:p>
        </w:tc>
        <w:tc>
          <w:tcPr>
            <w:tcW w:w="993" w:type="dxa"/>
            <w:tcBorders>
              <w:top w:val="single" w:sz="4" w:space="0" w:color="auto"/>
              <w:left w:val="single" w:sz="4" w:space="0" w:color="auto"/>
              <w:bottom w:val="single" w:sz="4" w:space="0" w:color="auto"/>
              <w:right w:val="single" w:sz="4" w:space="0" w:color="auto"/>
            </w:tcBorders>
            <w:noWrap/>
            <w:vAlign w:val="bottom"/>
            <w:hideMark/>
          </w:tcPr>
          <w:p w14:paraId="4BD14652"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62,71</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368395D3"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58,96</w:t>
            </w:r>
          </w:p>
        </w:tc>
        <w:tc>
          <w:tcPr>
            <w:tcW w:w="850" w:type="dxa"/>
            <w:tcBorders>
              <w:top w:val="single" w:sz="4" w:space="0" w:color="auto"/>
              <w:left w:val="single" w:sz="4" w:space="0" w:color="auto"/>
              <w:bottom w:val="single" w:sz="4" w:space="0" w:color="auto"/>
              <w:right w:val="single" w:sz="4" w:space="0" w:color="auto"/>
            </w:tcBorders>
            <w:noWrap/>
            <w:vAlign w:val="bottom"/>
            <w:hideMark/>
          </w:tcPr>
          <w:p w14:paraId="711797EA"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55,77</w:t>
            </w:r>
          </w:p>
        </w:tc>
        <w:tc>
          <w:tcPr>
            <w:tcW w:w="851" w:type="dxa"/>
            <w:tcBorders>
              <w:top w:val="single" w:sz="4" w:space="0" w:color="auto"/>
              <w:left w:val="single" w:sz="4" w:space="0" w:color="auto"/>
              <w:bottom w:val="single" w:sz="4" w:space="0" w:color="auto"/>
              <w:right w:val="single" w:sz="4" w:space="0" w:color="auto"/>
            </w:tcBorders>
            <w:noWrap/>
            <w:vAlign w:val="bottom"/>
            <w:hideMark/>
          </w:tcPr>
          <w:p w14:paraId="312BEB2A"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52,78</w:t>
            </w:r>
          </w:p>
        </w:tc>
        <w:tc>
          <w:tcPr>
            <w:tcW w:w="1006" w:type="dxa"/>
            <w:tcBorders>
              <w:top w:val="single" w:sz="4" w:space="0" w:color="auto"/>
              <w:left w:val="single" w:sz="4" w:space="0" w:color="auto"/>
              <w:bottom w:val="single" w:sz="4" w:space="0" w:color="auto"/>
              <w:right w:val="single" w:sz="4" w:space="0" w:color="auto"/>
            </w:tcBorders>
            <w:vAlign w:val="bottom"/>
            <w:hideMark/>
          </w:tcPr>
          <w:p w14:paraId="7CE9672C"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50,52</w:t>
            </w:r>
          </w:p>
        </w:tc>
      </w:tr>
      <w:tr w:rsidR="00BF3393" w14:paraId="497A69D2" w14:textId="77777777" w:rsidTr="00F847BF">
        <w:trPr>
          <w:trHeight w:val="272"/>
          <w:jc w:val="center"/>
        </w:trPr>
        <w:tc>
          <w:tcPr>
            <w:tcW w:w="10564" w:type="dxa"/>
            <w:gridSpan w:val="7"/>
            <w:tcBorders>
              <w:top w:val="single" w:sz="4" w:space="0" w:color="auto"/>
              <w:left w:val="single" w:sz="4" w:space="0" w:color="auto"/>
              <w:bottom w:val="single" w:sz="4" w:space="0" w:color="auto"/>
              <w:right w:val="single" w:sz="4" w:space="0" w:color="auto"/>
            </w:tcBorders>
            <w:shd w:val="clear" w:color="auto" w:fill="FFFF00"/>
            <w:vAlign w:val="bottom"/>
            <w:hideMark/>
          </w:tcPr>
          <w:p w14:paraId="152F0FB6" w14:textId="77777777" w:rsidR="00BF3393" w:rsidRDefault="00BF3393" w:rsidP="00F847BF">
            <w:pPr>
              <w:spacing w:line="256" w:lineRule="auto"/>
              <w:jc w:val="center"/>
              <w:rPr>
                <w:rFonts w:ascii="Calibri" w:hAnsi="Calibri" w:cs="Times New Roman"/>
                <w:b/>
                <w:color w:val="000000"/>
              </w:rPr>
            </w:pPr>
            <w:r>
              <w:rPr>
                <w:rFonts w:ascii="Calibri" w:hAnsi="Calibri"/>
                <w:b/>
                <w:color w:val="000000"/>
              </w:rPr>
              <w:t>Scénario maximum</w:t>
            </w:r>
          </w:p>
        </w:tc>
      </w:tr>
      <w:tr w:rsidR="00BF3393" w14:paraId="19B4F0DF" w14:textId="77777777" w:rsidTr="00F847BF">
        <w:trPr>
          <w:trHeight w:val="272"/>
          <w:jc w:val="center"/>
        </w:trPr>
        <w:tc>
          <w:tcPr>
            <w:tcW w:w="4738" w:type="dxa"/>
            <w:tcBorders>
              <w:top w:val="single" w:sz="4" w:space="0" w:color="auto"/>
              <w:left w:val="single" w:sz="4" w:space="0" w:color="auto"/>
              <w:bottom w:val="single" w:sz="4" w:space="0" w:color="auto"/>
              <w:right w:val="single" w:sz="4" w:space="0" w:color="auto"/>
            </w:tcBorders>
            <w:vAlign w:val="bottom"/>
            <w:hideMark/>
          </w:tcPr>
          <w:p w14:paraId="783A79AC" w14:textId="77777777" w:rsidR="00BF3393" w:rsidRDefault="00BF3393" w:rsidP="00F847BF">
            <w:pPr>
              <w:spacing w:line="256" w:lineRule="auto"/>
              <w:rPr>
                <w:rFonts w:ascii="Calibri" w:hAnsi="Calibri"/>
                <w:color w:val="000000"/>
              </w:rPr>
            </w:pPr>
            <w:r>
              <w:rPr>
                <w:rFonts w:ascii="Calibri" w:hAnsi="Calibri"/>
                <w:color w:val="000000"/>
              </w:rPr>
              <w:t>Ratio de mortalité maternelle (pour 100 000 NV)</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765ABA43" w14:textId="77777777" w:rsidR="00BF3393" w:rsidRDefault="00BF3393" w:rsidP="00F847BF">
            <w:pPr>
              <w:spacing w:line="256" w:lineRule="auto"/>
              <w:jc w:val="center"/>
              <w:rPr>
                <w:rFonts w:ascii="Calibri" w:hAnsi="Calibri"/>
                <w:color w:val="000000"/>
              </w:rPr>
            </w:pPr>
            <w:r>
              <w:rPr>
                <w:rFonts w:ascii="Calibri" w:hAnsi="Calibri"/>
                <w:color w:val="000000"/>
              </w:rPr>
              <w:t>330</w:t>
            </w:r>
          </w:p>
        </w:tc>
        <w:tc>
          <w:tcPr>
            <w:tcW w:w="993" w:type="dxa"/>
            <w:tcBorders>
              <w:top w:val="single" w:sz="4" w:space="0" w:color="auto"/>
              <w:left w:val="single" w:sz="4" w:space="0" w:color="auto"/>
              <w:bottom w:val="single" w:sz="4" w:space="0" w:color="auto"/>
              <w:right w:val="single" w:sz="4" w:space="0" w:color="auto"/>
            </w:tcBorders>
            <w:noWrap/>
            <w:vAlign w:val="bottom"/>
            <w:hideMark/>
          </w:tcPr>
          <w:p w14:paraId="11A88312"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296,63</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08B8FE38"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269</w:t>
            </w:r>
          </w:p>
        </w:tc>
        <w:tc>
          <w:tcPr>
            <w:tcW w:w="850" w:type="dxa"/>
            <w:tcBorders>
              <w:top w:val="single" w:sz="4" w:space="0" w:color="auto"/>
              <w:left w:val="single" w:sz="4" w:space="0" w:color="auto"/>
              <w:bottom w:val="single" w:sz="4" w:space="0" w:color="auto"/>
              <w:right w:val="single" w:sz="4" w:space="0" w:color="auto"/>
            </w:tcBorders>
            <w:noWrap/>
            <w:vAlign w:val="bottom"/>
            <w:hideMark/>
          </w:tcPr>
          <w:p w14:paraId="3BFD520E" w14:textId="77777777" w:rsidR="00BF3393" w:rsidRDefault="00BF3393" w:rsidP="00F847BF">
            <w:pPr>
              <w:spacing w:line="256" w:lineRule="auto"/>
              <w:jc w:val="right"/>
              <w:rPr>
                <w:rFonts w:ascii="Calibri" w:hAnsi="Calibri" w:cs="Calibri"/>
                <w:color w:val="FF0000"/>
              </w:rPr>
            </w:pPr>
            <w:r>
              <w:rPr>
                <w:rFonts w:ascii="Calibri" w:hAnsi="Calibri" w:cs="Calibri"/>
                <w:color w:val="FF0000"/>
              </w:rPr>
              <w:t>243,8</w:t>
            </w:r>
          </w:p>
        </w:tc>
        <w:tc>
          <w:tcPr>
            <w:tcW w:w="851" w:type="dxa"/>
            <w:tcBorders>
              <w:top w:val="single" w:sz="4" w:space="0" w:color="auto"/>
              <w:left w:val="single" w:sz="4" w:space="0" w:color="auto"/>
              <w:bottom w:val="single" w:sz="4" w:space="0" w:color="auto"/>
              <w:right w:val="single" w:sz="4" w:space="0" w:color="auto"/>
            </w:tcBorders>
            <w:noWrap/>
            <w:vAlign w:val="bottom"/>
            <w:hideMark/>
          </w:tcPr>
          <w:p w14:paraId="0041C745"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220,26</w:t>
            </w:r>
          </w:p>
        </w:tc>
        <w:tc>
          <w:tcPr>
            <w:tcW w:w="1006" w:type="dxa"/>
            <w:tcBorders>
              <w:top w:val="single" w:sz="4" w:space="0" w:color="auto"/>
              <w:left w:val="single" w:sz="4" w:space="0" w:color="auto"/>
              <w:bottom w:val="single" w:sz="4" w:space="0" w:color="auto"/>
              <w:right w:val="single" w:sz="4" w:space="0" w:color="auto"/>
            </w:tcBorders>
            <w:vAlign w:val="bottom"/>
            <w:hideMark/>
          </w:tcPr>
          <w:p w14:paraId="76864FEB"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199,51</w:t>
            </w:r>
          </w:p>
        </w:tc>
      </w:tr>
      <w:tr w:rsidR="00BF3393" w14:paraId="1C6C81F1" w14:textId="77777777" w:rsidTr="00F847BF">
        <w:trPr>
          <w:trHeight w:val="272"/>
          <w:jc w:val="center"/>
        </w:trPr>
        <w:tc>
          <w:tcPr>
            <w:tcW w:w="4738" w:type="dxa"/>
            <w:tcBorders>
              <w:top w:val="single" w:sz="4" w:space="0" w:color="auto"/>
              <w:left w:val="single" w:sz="4" w:space="0" w:color="auto"/>
              <w:bottom w:val="single" w:sz="4" w:space="0" w:color="auto"/>
              <w:right w:val="single" w:sz="4" w:space="0" w:color="auto"/>
            </w:tcBorders>
            <w:vAlign w:val="bottom"/>
            <w:hideMark/>
          </w:tcPr>
          <w:p w14:paraId="4D895EAC" w14:textId="77777777" w:rsidR="00BF3393" w:rsidRDefault="00BF3393" w:rsidP="00F847BF">
            <w:pPr>
              <w:spacing w:line="256" w:lineRule="auto"/>
              <w:rPr>
                <w:rFonts w:ascii="Calibri" w:hAnsi="Calibri" w:cs="Times New Roman"/>
                <w:color w:val="000000"/>
              </w:rPr>
            </w:pPr>
            <w:r>
              <w:rPr>
                <w:rFonts w:ascii="Calibri" w:hAnsi="Calibri"/>
                <w:color w:val="000000"/>
              </w:rPr>
              <w:t>Taux de mortalité néonatale (pour 1 000 NV)</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2A01C726" w14:textId="77777777" w:rsidR="00BF3393" w:rsidRDefault="00BF3393" w:rsidP="00F847BF">
            <w:pPr>
              <w:spacing w:line="256" w:lineRule="auto"/>
              <w:jc w:val="center"/>
              <w:rPr>
                <w:rFonts w:ascii="Calibri" w:hAnsi="Calibri"/>
                <w:color w:val="000000"/>
              </w:rPr>
            </w:pPr>
            <w:r>
              <w:rPr>
                <w:rFonts w:ascii="Calibri" w:hAnsi="Calibri"/>
                <w:color w:val="000000"/>
              </w:rPr>
              <w:t>23,2</w:t>
            </w:r>
          </w:p>
        </w:tc>
        <w:tc>
          <w:tcPr>
            <w:tcW w:w="993" w:type="dxa"/>
            <w:tcBorders>
              <w:top w:val="single" w:sz="4" w:space="0" w:color="auto"/>
              <w:left w:val="single" w:sz="4" w:space="0" w:color="auto"/>
              <w:bottom w:val="single" w:sz="4" w:space="0" w:color="auto"/>
              <w:right w:val="single" w:sz="4" w:space="0" w:color="auto"/>
            </w:tcBorders>
            <w:noWrap/>
            <w:vAlign w:val="bottom"/>
            <w:hideMark/>
          </w:tcPr>
          <w:p w14:paraId="2141CE67"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20,2</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749817D6"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17,64</w:t>
            </w:r>
          </w:p>
        </w:tc>
        <w:tc>
          <w:tcPr>
            <w:tcW w:w="850" w:type="dxa"/>
            <w:tcBorders>
              <w:top w:val="single" w:sz="4" w:space="0" w:color="auto"/>
              <w:left w:val="single" w:sz="4" w:space="0" w:color="auto"/>
              <w:bottom w:val="single" w:sz="4" w:space="0" w:color="auto"/>
              <w:right w:val="single" w:sz="4" w:space="0" w:color="auto"/>
            </w:tcBorders>
            <w:noWrap/>
            <w:vAlign w:val="bottom"/>
            <w:hideMark/>
          </w:tcPr>
          <w:p w14:paraId="09D76575"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16,39</w:t>
            </w:r>
          </w:p>
        </w:tc>
        <w:tc>
          <w:tcPr>
            <w:tcW w:w="851" w:type="dxa"/>
            <w:tcBorders>
              <w:top w:val="single" w:sz="4" w:space="0" w:color="auto"/>
              <w:left w:val="single" w:sz="4" w:space="0" w:color="auto"/>
              <w:bottom w:val="single" w:sz="4" w:space="0" w:color="auto"/>
              <w:right w:val="single" w:sz="4" w:space="0" w:color="auto"/>
            </w:tcBorders>
            <w:noWrap/>
            <w:vAlign w:val="bottom"/>
            <w:hideMark/>
          </w:tcPr>
          <w:p w14:paraId="275BDE98"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15,16</w:t>
            </w:r>
          </w:p>
        </w:tc>
        <w:tc>
          <w:tcPr>
            <w:tcW w:w="1006" w:type="dxa"/>
            <w:tcBorders>
              <w:top w:val="single" w:sz="4" w:space="0" w:color="auto"/>
              <w:left w:val="single" w:sz="4" w:space="0" w:color="auto"/>
              <w:bottom w:val="single" w:sz="4" w:space="0" w:color="auto"/>
              <w:right w:val="single" w:sz="4" w:space="0" w:color="auto"/>
            </w:tcBorders>
            <w:vAlign w:val="bottom"/>
            <w:hideMark/>
          </w:tcPr>
          <w:p w14:paraId="0A7743B1"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14,06</w:t>
            </w:r>
          </w:p>
        </w:tc>
      </w:tr>
      <w:tr w:rsidR="00BF3393" w14:paraId="0C10AC59" w14:textId="77777777" w:rsidTr="00F847BF">
        <w:trPr>
          <w:trHeight w:val="272"/>
          <w:jc w:val="center"/>
        </w:trPr>
        <w:tc>
          <w:tcPr>
            <w:tcW w:w="4738" w:type="dxa"/>
            <w:tcBorders>
              <w:top w:val="single" w:sz="4" w:space="0" w:color="auto"/>
              <w:left w:val="single" w:sz="4" w:space="0" w:color="auto"/>
              <w:bottom w:val="single" w:sz="4" w:space="0" w:color="auto"/>
              <w:right w:val="single" w:sz="4" w:space="0" w:color="auto"/>
            </w:tcBorders>
            <w:vAlign w:val="bottom"/>
            <w:hideMark/>
          </w:tcPr>
          <w:p w14:paraId="09C1CD93" w14:textId="77777777" w:rsidR="00BF3393" w:rsidRDefault="00BF3393" w:rsidP="00F847BF">
            <w:pPr>
              <w:spacing w:line="256" w:lineRule="auto"/>
              <w:rPr>
                <w:rFonts w:ascii="Calibri" w:hAnsi="Calibri" w:cs="Times New Roman"/>
                <w:color w:val="000000"/>
              </w:rPr>
            </w:pPr>
            <w:r>
              <w:rPr>
                <w:rFonts w:ascii="Calibri" w:hAnsi="Calibri"/>
                <w:color w:val="000000"/>
              </w:rPr>
              <w:t>Taux de mortalité avant cinq ans (pour 1 000 NV)</w:t>
            </w:r>
          </w:p>
        </w:tc>
        <w:tc>
          <w:tcPr>
            <w:tcW w:w="1134" w:type="dxa"/>
            <w:tcBorders>
              <w:top w:val="single" w:sz="4" w:space="0" w:color="auto"/>
              <w:left w:val="single" w:sz="4" w:space="0" w:color="auto"/>
              <w:bottom w:val="single" w:sz="4" w:space="0" w:color="auto"/>
              <w:right w:val="single" w:sz="4" w:space="0" w:color="auto"/>
            </w:tcBorders>
            <w:noWrap/>
            <w:vAlign w:val="bottom"/>
            <w:hideMark/>
          </w:tcPr>
          <w:p w14:paraId="6AF83DC4" w14:textId="77777777" w:rsidR="00BF3393" w:rsidRDefault="00BF3393" w:rsidP="00F847BF">
            <w:pPr>
              <w:spacing w:line="256" w:lineRule="auto"/>
              <w:jc w:val="center"/>
              <w:rPr>
                <w:rFonts w:ascii="Calibri" w:hAnsi="Calibri"/>
                <w:color w:val="000000"/>
              </w:rPr>
            </w:pPr>
            <w:r>
              <w:rPr>
                <w:rFonts w:ascii="Calibri" w:hAnsi="Calibri"/>
                <w:color w:val="000000"/>
              </w:rPr>
              <w:t>81,6</w:t>
            </w:r>
          </w:p>
        </w:tc>
        <w:tc>
          <w:tcPr>
            <w:tcW w:w="993" w:type="dxa"/>
            <w:tcBorders>
              <w:top w:val="single" w:sz="4" w:space="0" w:color="auto"/>
              <w:left w:val="single" w:sz="4" w:space="0" w:color="auto"/>
              <w:bottom w:val="single" w:sz="4" w:space="0" w:color="auto"/>
              <w:right w:val="single" w:sz="4" w:space="0" w:color="auto"/>
            </w:tcBorders>
            <w:noWrap/>
            <w:vAlign w:val="bottom"/>
            <w:hideMark/>
          </w:tcPr>
          <w:p w14:paraId="50667F57"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63,48</w:t>
            </w:r>
          </w:p>
        </w:tc>
        <w:tc>
          <w:tcPr>
            <w:tcW w:w="992" w:type="dxa"/>
            <w:tcBorders>
              <w:top w:val="single" w:sz="4" w:space="0" w:color="auto"/>
              <w:left w:val="single" w:sz="4" w:space="0" w:color="auto"/>
              <w:bottom w:val="single" w:sz="4" w:space="0" w:color="auto"/>
              <w:right w:val="single" w:sz="4" w:space="0" w:color="auto"/>
            </w:tcBorders>
            <w:noWrap/>
            <w:vAlign w:val="bottom"/>
            <w:hideMark/>
          </w:tcPr>
          <w:p w14:paraId="072FFF41"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55,24</w:t>
            </w:r>
          </w:p>
        </w:tc>
        <w:tc>
          <w:tcPr>
            <w:tcW w:w="850" w:type="dxa"/>
            <w:tcBorders>
              <w:top w:val="single" w:sz="4" w:space="0" w:color="auto"/>
              <w:left w:val="single" w:sz="4" w:space="0" w:color="auto"/>
              <w:bottom w:val="single" w:sz="4" w:space="0" w:color="auto"/>
              <w:right w:val="single" w:sz="4" w:space="0" w:color="auto"/>
            </w:tcBorders>
            <w:noWrap/>
            <w:vAlign w:val="bottom"/>
            <w:hideMark/>
          </w:tcPr>
          <w:p w14:paraId="57602180"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49,35</w:t>
            </w:r>
          </w:p>
        </w:tc>
        <w:tc>
          <w:tcPr>
            <w:tcW w:w="851" w:type="dxa"/>
            <w:tcBorders>
              <w:top w:val="single" w:sz="4" w:space="0" w:color="auto"/>
              <w:left w:val="single" w:sz="4" w:space="0" w:color="auto"/>
              <w:bottom w:val="single" w:sz="4" w:space="0" w:color="auto"/>
              <w:right w:val="single" w:sz="4" w:space="0" w:color="auto"/>
            </w:tcBorders>
            <w:noWrap/>
            <w:vAlign w:val="bottom"/>
            <w:hideMark/>
          </w:tcPr>
          <w:p w14:paraId="1DF210E1"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44,35</w:t>
            </w:r>
          </w:p>
        </w:tc>
        <w:tc>
          <w:tcPr>
            <w:tcW w:w="1006" w:type="dxa"/>
            <w:tcBorders>
              <w:top w:val="single" w:sz="4" w:space="0" w:color="auto"/>
              <w:left w:val="single" w:sz="4" w:space="0" w:color="auto"/>
              <w:bottom w:val="single" w:sz="4" w:space="0" w:color="auto"/>
              <w:right w:val="single" w:sz="4" w:space="0" w:color="auto"/>
            </w:tcBorders>
            <w:vAlign w:val="bottom"/>
            <w:hideMark/>
          </w:tcPr>
          <w:p w14:paraId="6A7E585C" w14:textId="77777777" w:rsidR="00BF3393" w:rsidRDefault="00BF3393" w:rsidP="00F847BF">
            <w:pPr>
              <w:spacing w:line="256" w:lineRule="auto"/>
              <w:jc w:val="right"/>
              <w:rPr>
                <w:rFonts w:ascii="Calibri" w:hAnsi="Calibri" w:cs="Calibri"/>
                <w:color w:val="000000"/>
              </w:rPr>
            </w:pPr>
            <w:r>
              <w:rPr>
                <w:rFonts w:ascii="Calibri" w:hAnsi="Calibri" w:cs="Calibri"/>
                <w:color w:val="000000"/>
              </w:rPr>
              <w:t>40,52</w:t>
            </w:r>
          </w:p>
        </w:tc>
      </w:tr>
    </w:tbl>
    <w:p w14:paraId="76B08D86" w14:textId="77777777" w:rsidR="00BF3393" w:rsidRDefault="00BF3393" w:rsidP="00BF3393">
      <w:pPr>
        <w:rPr>
          <w:rFonts w:ascii="Times New Roman" w:eastAsia="Times New Roman" w:hAnsi="Times New Roman" w:cs="Times New Roman"/>
          <w:sz w:val="24"/>
          <w:szCs w:val="24"/>
          <w:lang w:eastAsia="fr-FR"/>
        </w:rPr>
      </w:pPr>
    </w:p>
    <w:p w14:paraId="6E323A8C" w14:textId="77777777" w:rsidR="00BF3393" w:rsidRDefault="00BF3393" w:rsidP="00BF3393"/>
    <w:p w14:paraId="75757F18" w14:textId="77777777" w:rsidR="00BF3393" w:rsidRDefault="00BF3393" w:rsidP="00BF3393">
      <w:pPr>
        <w:spacing w:line="360" w:lineRule="auto"/>
        <w:rPr>
          <w:rFonts w:ascii="Calibri" w:hAnsi="Calibri" w:cs="Arial"/>
          <w:color w:val="000000"/>
        </w:rPr>
        <w:sectPr w:rsidR="00BF3393" w:rsidSect="00220FDF">
          <w:pgSz w:w="11906" w:h="16838"/>
          <w:pgMar w:top="1152" w:right="1440" w:bottom="1152" w:left="1440" w:header="720" w:footer="720" w:gutter="0"/>
          <w:pgNumType w:chapStyle="1"/>
          <w:cols w:space="720"/>
        </w:sectPr>
      </w:pPr>
    </w:p>
    <w:p w14:paraId="208BB5E5" w14:textId="145569AA" w:rsidR="00BF3393" w:rsidRPr="00BD2D4B" w:rsidRDefault="00BF3393" w:rsidP="00A97663">
      <w:pPr>
        <w:pStyle w:val="Paragraphedeliste"/>
        <w:numPr>
          <w:ilvl w:val="1"/>
          <w:numId w:val="111"/>
        </w:numPr>
        <w:spacing w:after="0" w:line="360" w:lineRule="auto"/>
        <w:jc w:val="both"/>
        <w:rPr>
          <w:rFonts w:ascii="Calibri" w:eastAsia="MS Mincho" w:hAnsi="Calibri" w:cs="Times New Roman"/>
          <w:bCs/>
          <w:caps/>
          <w:color w:val="000000" w:themeColor="text1"/>
          <w:sz w:val="28"/>
          <w:szCs w:val="28"/>
        </w:rPr>
      </w:pPr>
      <w:r w:rsidRPr="00BD2D4B">
        <w:rPr>
          <w:rStyle w:val="Titre1Car"/>
          <w:rFonts w:eastAsia="MS Mincho"/>
          <w:b w:val="0"/>
          <w:color w:val="000000" w:themeColor="text1"/>
          <w:sz w:val="28"/>
          <w:szCs w:val="28"/>
        </w:rPr>
        <w:lastRenderedPageBreak/>
        <w:t>Analyse des gaps de financement selon le scénario retenu</w:t>
      </w:r>
    </w:p>
    <w:p w14:paraId="34081894" w14:textId="2BC354A2" w:rsidR="00BF3393" w:rsidRDefault="00BF3393" w:rsidP="00BF3393">
      <w:pPr>
        <w:tabs>
          <w:tab w:val="left" w:pos="900"/>
        </w:tabs>
        <w:spacing w:line="360" w:lineRule="auto"/>
        <w:jc w:val="both"/>
        <w:rPr>
          <w:rFonts w:ascii="Cambria" w:hAnsi="Cambria"/>
        </w:rPr>
      </w:pPr>
      <w:r>
        <w:rPr>
          <w:rFonts w:ascii="Cambria" w:hAnsi="Cambria"/>
        </w:rPr>
        <w:t>L’analyse du GAP de financement permet de fournir des données sur les coûts nécessaires à la mise en œuvre des programmes, des stratégies ou des activités. Elle aide à examiner les coûts qui sont actuellement couverts ou sont prévus de l’être et donne une compréhension claire de la façon dont le montant du financement additionnel pourra être alloué, demandé ou obtenu à travers des actions de plaidoyer.</w:t>
      </w:r>
    </w:p>
    <w:p w14:paraId="631D6FF5" w14:textId="7F929554" w:rsidR="00BF3393" w:rsidRDefault="00BF3393" w:rsidP="00BF3393">
      <w:pPr>
        <w:spacing w:line="360" w:lineRule="auto"/>
        <w:jc w:val="both"/>
        <w:rPr>
          <w:rFonts w:ascii="Cambria" w:hAnsi="Cambria"/>
          <w:b/>
        </w:rPr>
      </w:pPr>
      <w:r>
        <w:rPr>
          <w:rFonts w:ascii="Cambria" w:hAnsi="Cambria"/>
        </w:rPr>
        <w:t>Ainsi, la différence entre les ressources disponibles et les besoins de financement a permis de dégager un gap de financements qui s’élève à</w:t>
      </w:r>
      <w:r>
        <w:rPr>
          <w:rFonts w:ascii="Cambria" w:hAnsi="Cambria"/>
          <w:b/>
        </w:rPr>
        <w:t xml:space="preserve"> 1 120 249 304 826 FCFA </w:t>
      </w:r>
      <w:r>
        <w:rPr>
          <w:rFonts w:ascii="Cambria" w:hAnsi="Cambria"/>
        </w:rPr>
        <w:t>soit environ</w:t>
      </w:r>
      <w:r>
        <w:rPr>
          <w:rFonts w:ascii="Cambria" w:hAnsi="Cambria"/>
          <w:b/>
        </w:rPr>
        <w:t xml:space="preserve"> 1 965 349 658 USD. </w:t>
      </w:r>
      <w:r>
        <w:rPr>
          <w:rFonts w:ascii="Cambria" w:hAnsi="Cambria"/>
        </w:rPr>
        <w:t xml:space="preserve">Ce gap négatif représente 66% des besoins de financement estimés à </w:t>
      </w:r>
      <w:r>
        <w:rPr>
          <w:rFonts w:ascii="Cambria" w:hAnsi="Cambria"/>
          <w:b/>
        </w:rPr>
        <w:t>1 687 062 316 566</w:t>
      </w:r>
      <w:r>
        <w:rPr>
          <w:rFonts w:ascii="Cambria" w:hAnsi="Cambria"/>
        </w:rPr>
        <w:t xml:space="preserve"> </w:t>
      </w:r>
      <w:r>
        <w:rPr>
          <w:rFonts w:ascii="Cambria" w:hAnsi="Cambria"/>
          <w:b/>
        </w:rPr>
        <w:t>FCFA.</w:t>
      </w:r>
      <w:r>
        <w:rPr>
          <w:rFonts w:ascii="Cambria" w:hAnsi="Cambria"/>
        </w:rPr>
        <w:t xml:space="preserve"> </w:t>
      </w:r>
      <w:r>
        <w:rPr>
          <w:rFonts w:ascii="Cambria" w:hAnsi="Cambria"/>
          <w:b/>
        </w:rPr>
        <w:t xml:space="preserve"> </w:t>
      </w:r>
    </w:p>
    <w:p w14:paraId="7B5CF273" w14:textId="7DBC404A" w:rsidR="00BF3393" w:rsidRDefault="00BF3393" w:rsidP="00BF3393">
      <w:pPr>
        <w:spacing w:line="360" w:lineRule="auto"/>
        <w:jc w:val="both"/>
        <w:rPr>
          <w:rFonts w:ascii="Cambria" w:hAnsi="Cambria"/>
        </w:rPr>
      </w:pPr>
      <w:r>
        <w:rPr>
          <w:rFonts w:ascii="Cambria" w:hAnsi="Cambria"/>
        </w:rPr>
        <w:t>Graphique </w:t>
      </w:r>
      <w:r w:rsidR="00BD2D4B">
        <w:rPr>
          <w:rFonts w:ascii="Cambria" w:hAnsi="Cambria"/>
        </w:rPr>
        <w:t>30</w:t>
      </w:r>
      <w:r>
        <w:rPr>
          <w:rFonts w:ascii="Cambria" w:hAnsi="Cambria"/>
        </w:rPr>
        <w:t>: Disponibilité et gap de financement</w:t>
      </w:r>
    </w:p>
    <w:p w14:paraId="3F2A663B" w14:textId="3577A67C" w:rsidR="00BF3393" w:rsidRPr="00BD2D4B" w:rsidRDefault="00BF3393" w:rsidP="00BD2D4B">
      <w:pPr>
        <w:spacing w:line="360" w:lineRule="auto"/>
        <w:jc w:val="both"/>
        <w:rPr>
          <w:rFonts w:ascii="Cambria" w:hAnsi="Cambria"/>
          <w:b/>
        </w:rPr>
      </w:pPr>
      <w:r>
        <w:rPr>
          <w:noProof/>
          <w:lang w:eastAsia="fr-FR"/>
        </w:rPr>
        <w:drawing>
          <wp:inline distT="0" distB="0" distL="0" distR="0" wp14:anchorId="373B9467" wp14:editId="03B91042">
            <wp:extent cx="4381500" cy="2228850"/>
            <wp:effectExtent l="0" t="0" r="0" b="0"/>
            <wp:docPr id="249" name="Graphique 249"/>
            <wp:cNvGraphicFramePr/>
            <a:graphic xmlns:a="http://schemas.openxmlformats.org/drawingml/2006/main">
              <a:graphicData uri="http://schemas.openxmlformats.org/drawingml/2006/chart">
                <c:chart xmlns:c="http://schemas.openxmlformats.org/drawingml/2006/chart" xmlns:r="http://schemas.openxmlformats.org/officeDocument/2006/relationships" r:id="rId43"/>
              </a:graphicData>
            </a:graphic>
          </wp:inline>
        </w:drawing>
      </w:r>
    </w:p>
    <w:p w14:paraId="27AECAEF" w14:textId="4A3ABD56" w:rsidR="00BF3393" w:rsidRDefault="00BF3393" w:rsidP="00BF3393">
      <w:pPr>
        <w:tabs>
          <w:tab w:val="left" w:pos="900"/>
        </w:tabs>
        <w:spacing w:line="360" w:lineRule="auto"/>
        <w:jc w:val="both"/>
        <w:rPr>
          <w:rFonts w:ascii="Cambria" w:hAnsi="Cambria"/>
        </w:rPr>
      </w:pPr>
      <w:r>
        <w:rPr>
          <w:rFonts w:ascii="Cambria" w:hAnsi="Cambria"/>
        </w:rPr>
        <w:t xml:space="preserve">L’estimation des ressources disponibles des partenaires a été faite sur la base des annonces de financement faites par les partenaires dans leurs différents plans de travail et consignées dans le document de cartographie de financement SRMNEAN (étude réalisée par le Centre Muraz de Bobo courant 2018).   </w:t>
      </w:r>
    </w:p>
    <w:p w14:paraId="77ABFDD3" w14:textId="77777777" w:rsidR="00BF3393" w:rsidRDefault="00BF3393" w:rsidP="00BF3393">
      <w:pPr>
        <w:tabs>
          <w:tab w:val="left" w:pos="900"/>
        </w:tabs>
        <w:spacing w:line="360" w:lineRule="auto"/>
        <w:jc w:val="both"/>
        <w:rPr>
          <w:rFonts w:ascii="Cambria" w:hAnsi="Cambria"/>
        </w:rPr>
      </w:pPr>
      <w:r>
        <w:rPr>
          <w:rFonts w:ascii="Cambria" w:hAnsi="Cambria"/>
        </w:rPr>
        <w:t xml:space="preserve">L’analyse montre une baisse des contributions financières des partenaires beaucoup plus marquée à partir de 2021 (Cf tableau de financement du plan).. Cela s’explique par le fait que la plupart de ceux-ci ne communique pas leurs contributions financières au-delà de 02 années. Ainsi, la contribution totales des PTF sur la période s’élèvent à 39% des annonces totales (Cf. graphique ci-dessous). </w:t>
      </w:r>
    </w:p>
    <w:p w14:paraId="1C35810A" w14:textId="77777777" w:rsidR="00BF3393" w:rsidRDefault="00BF3393" w:rsidP="00BF3393">
      <w:pPr>
        <w:tabs>
          <w:tab w:val="left" w:pos="900"/>
        </w:tabs>
        <w:spacing w:line="360" w:lineRule="auto"/>
        <w:jc w:val="both"/>
        <w:rPr>
          <w:rFonts w:ascii="Cambria" w:hAnsi="Cambria"/>
        </w:rPr>
      </w:pPr>
      <w:r>
        <w:rPr>
          <w:rFonts w:ascii="Cambria" w:hAnsi="Cambria"/>
        </w:rPr>
        <w:t>Quant aux ressources de l’Etat, des ménages et des ONG et certaines entreprises, elles ont été estimées sur la base des résultats des comptes de santé réalisés par le Ministère de la santé. Ainsi, la contribution de l’Etat est de51%, les ménages 9% et le secteur privé (ONG/entreprises) 1%.</w:t>
      </w:r>
    </w:p>
    <w:p w14:paraId="718642C5" w14:textId="4A7E615C" w:rsidR="00BF3393" w:rsidRDefault="00BF3393" w:rsidP="00BF3393">
      <w:pPr>
        <w:tabs>
          <w:tab w:val="left" w:pos="900"/>
        </w:tabs>
        <w:spacing w:line="360" w:lineRule="auto"/>
        <w:jc w:val="both"/>
        <w:rPr>
          <w:rFonts w:ascii="Cambria" w:hAnsi="Cambria"/>
        </w:rPr>
      </w:pPr>
      <w:r>
        <w:rPr>
          <w:rFonts w:ascii="Cambria" w:hAnsi="Cambria"/>
        </w:rPr>
        <w:lastRenderedPageBreak/>
        <w:t>Le graphique ci-dessous montre un aperçu de la part contributive par source de financement.</w:t>
      </w:r>
    </w:p>
    <w:p w14:paraId="46BC786D" w14:textId="7C0EE44D" w:rsidR="00BF3393" w:rsidRDefault="00BF3393" w:rsidP="00BF3393">
      <w:pPr>
        <w:tabs>
          <w:tab w:val="left" w:pos="900"/>
        </w:tabs>
        <w:spacing w:line="360" w:lineRule="auto"/>
        <w:jc w:val="both"/>
        <w:rPr>
          <w:rFonts w:ascii="Cambria" w:hAnsi="Cambria"/>
        </w:rPr>
      </w:pPr>
      <w:r>
        <w:rPr>
          <w:rFonts w:ascii="Cambria" w:hAnsi="Cambria"/>
        </w:rPr>
        <w:t>Graphique </w:t>
      </w:r>
      <w:r w:rsidR="00BD2D4B">
        <w:rPr>
          <w:rFonts w:ascii="Cambria" w:hAnsi="Cambria"/>
        </w:rPr>
        <w:t>31</w:t>
      </w:r>
      <w:r>
        <w:rPr>
          <w:rFonts w:ascii="Cambria" w:hAnsi="Cambria"/>
        </w:rPr>
        <w:t>: Disponibilité financière</w:t>
      </w:r>
    </w:p>
    <w:p w14:paraId="0032A624" w14:textId="59ECE562" w:rsidR="00BF3393" w:rsidRDefault="00BF3393" w:rsidP="00BD2D4B">
      <w:pPr>
        <w:tabs>
          <w:tab w:val="left" w:pos="900"/>
        </w:tabs>
        <w:spacing w:line="360" w:lineRule="auto"/>
        <w:jc w:val="center"/>
        <w:rPr>
          <w:rFonts w:ascii="Cambria" w:hAnsi="Cambria"/>
        </w:rPr>
      </w:pPr>
      <w:r>
        <w:rPr>
          <w:noProof/>
          <w:lang w:eastAsia="fr-FR"/>
        </w:rPr>
        <w:drawing>
          <wp:inline distT="0" distB="0" distL="0" distR="0" wp14:anchorId="6DB16979" wp14:editId="063FE7D8">
            <wp:extent cx="5121575" cy="2939451"/>
            <wp:effectExtent l="0" t="0" r="3175" b="13335"/>
            <wp:docPr id="250" name="Graphique 250"/>
            <wp:cNvGraphicFramePr/>
            <a:graphic xmlns:a="http://schemas.openxmlformats.org/drawingml/2006/main">
              <a:graphicData uri="http://schemas.openxmlformats.org/drawingml/2006/chart">
                <c:chart xmlns:c="http://schemas.openxmlformats.org/drawingml/2006/chart" xmlns:r="http://schemas.openxmlformats.org/officeDocument/2006/relationships" r:id="rId44"/>
              </a:graphicData>
            </a:graphic>
          </wp:inline>
        </w:drawing>
      </w:r>
    </w:p>
    <w:p w14:paraId="0CF2C417" w14:textId="58594DC4" w:rsidR="00BD2D4B" w:rsidRDefault="00BF3393" w:rsidP="00BD2D4B">
      <w:pPr>
        <w:spacing w:line="360" w:lineRule="auto"/>
        <w:jc w:val="both"/>
        <w:rPr>
          <w:rFonts w:ascii="Cambria" w:hAnsi="Cambria"/>
        </w:rPr>
      </w:pPr>
      <w:r>
        <w:rPr>
          <w:rFonts w:ascii="Cambria" w:hAnsi="Cambria"/>
        </w:rPr>
        <w:t>Ce gap devra être comblé par une mobilisation plus accrue des ressources propres de l’Etat et des partenaires au développement. Cependant, une gestion plus efficiente des ressources mobilisées garantirait la sécurité des sommes mobilisées. L’existence de Gap positif en 2019 et 2020 s’explique par le fait de l’existence des données exactes des partenaires pour ces années. Le Gap est plus important en 2021 et 2023 dû au fait des importants investissements prévus  pour ces 2 années.</w:t>
      </w:r>
    </w:p>
    <w:tbl>
      <w:tblPr>
        <w:tblStyle w:val="Grilledutableau"/>
        <w:tblW w:w="0" w:type="auto"/>
        <w:tblLook w:val="04A0" w:firstRow="1" w:lastRow="0" w:firstColumn="1" w:lastColumn="0" w:noHBand="0" w:noVBand="1"/>
      </w:tblPr>
      <w:tblGrid>
        <w:gridCol w:w="2254"/>
        <w:gridCol w:w="2254"/>
        <w:gridCol w:w="2254"/>
        <w:gridCol w:w="2254"/>
      </w:tblGrid>
      <w:tr w:rsidR="00BF3393" w:rsidRPr="00BD2D4B" w14:paraId="41EC00FA" w14:textId="77777777" w:rsidTr="00F847BF">
        <w:tc>
          <w:tcPr>
            <w:tcW w:w="9016" w:type="dxa"/>
            <w:gridSpan w:val="4"/>
          </w:tcPr>
          <w:p w14:paraId="2D246F65" w14:textId="77777777" w:rsidR="00BF3393" w:rsidRPr="00BD2D4B" w:rsidRDefault="00BF3393" w:rsidP="00F847BF">
            <w:pPr>
              <w:rPr>
                <w:rFonts w:ascii="Calibri" w:hAnsi="Calibri" w:cs="Calibri"/>
                <w:color w:val="000000"/>
                <w:sz w:val="20"/>
                <w:szCs w:val="20"/>
              </w:rPr>
            </w:pPr>
            <w:r w:rsidRPr="00BD2D4B">
              <w:rPr>
                <w:rFonts w:ascii="Cambria" w:hAnsi="Cambria"/>
                <w:sz w:val="20"/>
                <w:szCs w:val="20"/>
              </w:rPr>
              <w:t>Tableau 14: GAP de financement du plan</w:t>
            </w:r>
          </w:p>
          <w:p w14:paraId="69D23FF1" w14:textId="77777777" w:rsidR="00BF3393" w:rsidRPr="00BD2D4B" w:rsidRDefault="00BF3393" w:rsidP="00F847BF">
            <w:pPr>
              <w:tabs>
                <w:tab w:val="left" w:pos="900"/>
              </w:tabs>
              <w:spacing w:line="360" w:lineRule="auto"/>
              <w:jc w:val="both"/>
              <w:rPr>
                <w:rFonts w:ascii="Cambria" w:hAnsi="Cambria" w:cs="Calibri"/>
                <w:b/>
                <w:color w:val="000000"/>
                <w:sz w:val="20"/>
                <w:szCs w:val="20"/>
              </w:rPr>
            </w:pPr>
          </w:p>
        </w:tc>
      </w:tr>
      <w:tr w:rsidR="00BF3393" w:rsidRPr="00BD2D4B" w14:paraId="12CA0C46" w14:textId="77777777" w:rsidTr="00F847BF">
        <w:tc>
          <w:tcPr>
            <w:tcW w:w="2254" w:type="dxa"/>
          </w:tcPr>
          <w:p w14:paraId="15EE5D66" w14:textId="77777777" w:rsidR="00BF3393" w:rsidRPr="00BD2D4B" w:rsidRDefault="00BF3393" w:rsidP="00F847BF">
            <w:pPr>
              <w:tabs>
                <w:tab w:val="left" w:pos="900"/>
              </w:tabs>
              <w:spacing w:line="360" w:lineRule="auto"/>
              <w:jc w:val="both"/>
              <w:rPr>
                <w:rFonts w:ascii="Cambria" w:hAnsi="Cambria"/>
                <w:sz w:val="20"/>
                <w:szCs w:val="20"/>
              </w:rPr>
            </w:pPr>
          </w:p>
        </w:tc>
        <w:tc>
          <w:tcPr>
            <w:tcW w:w="2254" w:type="dxa"/>
          </w:tcPr>
          <w:p w14:paraId="7481DF14"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color w:val="000000"/>
                <w:sz w:val="20"/>
                <w:szCs w:val="20"/>
              </w:rPr>
              <w:t>BESOINS DE FINANCEMENT</w:t>
            </w:r>
          </w:p>
        </w:tc>
        <w:tc>
          <w:tcPr>
            <w:tcW w:w="2254" w:type="dxa"/>
          </w:tcPr>
          <w:p w14:paraId="3557F7FB"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color w:val="000000"/>
                <w:sz w:val="20"/>
                <w:szCs w:val="20"/>
              </w:rPr>
              <w:t>DISPONIBILITES FINANCIERES</w:t>
            </w:r>
          </w:p>
        </w:tc>
        <w:tc>
          <w:tcPr>
            <w:tcW w:w="2254" w:type="dxa"/>
          </w:tcPr>
          <w:p w14:paraId="0AD11973"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b/>
                <w:color w:val="000000"/>
                <w:sz w:val="20"/>
                <w:szCs w:val="20"/>
              </w:rPr>
              <w:t>GAP DE FINANCEMENT</w:t>
            </w:r>
          </w:p>
        </w:tc>
      </w:tr>
      <w:tr w:rsidR="00BF3393" w:rsidRPr="00BD2D4B" w14:paraId="456D9852" w14:textId="77777777" w:rsidTr="00F847BF">
        <w:tc>
          <w:tcPr>
            <w:tcW w:w="2254" w:type="dxa"/>
          </w:tcPr>
          <w:p w14:paraId="6C459572"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sz w:val="20"/>
                <w:szCs w:val="20"/>
              </w:rPr>
              <w:t>2019</w:t>
            </w:r>
          </w:p>
        </w:tc>
        <w:tc>
          <w:tcPr>
            <w:tcW w:w="2254" w:type="dxa"/>
          </w:tcPr>
          <w:p w14:paraId="44832336"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color w:val="000000"/>
                <w:sz w:val="20"/>
                <w:szCs w:val="20"/>
              </w:rPr>
              <w:t xml:space="preserve">127 804 518 952   </w:t>
            </w:r>
          </w:p>
        </w:tc>
        <w:tc>
          <w:tcPr>
            <w:tcW w:w="2254" w:type="dxa"/>
          </w:tcPr>
          <w:p w14:paraId="75EA9E90"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color w:val="000000"/>
                <w:sz w:val="20"/>
                <w:szCs w:val="20"/>
              </w:rPr>
              <w:t xml:space="preserve">140 656 001 965   </w:t>
            </w:r>
          </w:p>
        </w:tc>
        <w:tc>
          <w:tcPr>
            <w:tcW w:w="2254" w:type="dxa"/>
          </w:tcPr>
          <w:p w14:paraId="44D1F33F"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b/>
                <w:color w:val="000000"/>
                <w:sz w:val="20"/>
                <w:szCs w:val="20"/>
              </w:rPr>
              <w:t xml:space="preserve">12 851 483 012   </w:t>
            </w:r>
          </w:p>
        </w:tc>
      </w:tr>
      <w:tr w:rsidR="00BF3393" w:rsidRPr="00BD2D4B" w14:paraId="4463816E" w14:textId="77777777" w:rsidTr="00F847BF">
        <w:tc>
          <w:tcPr>
            <w:tcW w:w="2254" w:type="dxa"/>
          </w:tcPr>
          <w:p w14:paraId="187952DD"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sz w:val="20"/>
                <w:szCs w:val="20"/>
              </w:rPr>
              <w:t>2020</w:t>
            </w:r>
          </w:p>
        </w:tc>
        <w:tc>
          <w:tcPr>
            <w:tcW w:w="2254" w:type="dxa"/>
            <w:vAlign w:val="bottom"/>
          </w:tcPr>
          <w:p w14:paraId="016CB04C"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color w:val="000000"/>
                <w:sz w:val="20"/>
                <w:szCs w:val="20"/>
              </w:rPr>
              <w:t xml:space="preserve">131 220 408 941   </w:t>
            </w:r>
          </w:p>
        </w:tc>
        <w:tc>
          <w:tcPr>
            <w:tcW w:w="2254" w:type="dxa"/>
          </w:tcPr>
          <w:p w14:paraId="41B3F614"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color w:val="000000"/>
                <w:sz w:val="20"/>
                <w:szCs w:val="20"/>
              </w:rPr>
              <w:t xml:space="preserve">143 922 003 249   </w:t>
            </w:r>
          </w:p>
        </w:tc>
        <w:tc>
          <w:tcPr>
            <w:tcW w:w="2254" w:type="dxa"/>
          </w:tcPr>
          <w:p w14:paraId="2FF42606"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b/>
                <w:color w:val="000000"/>
                <w:sz w:val="20"/>
                <w:szCs w:val="20"/>
              </w:rPr>
              <w:t xml:space="preserve">12 701 594 308   </w:t>
            </w:r>
          </w:p>
        </w:tc>
      </w:tr>
      <w:tr w:rsidR="00BF3393" w:rsidRPr="00BD2D4B" w14:paraId="131C335B" w14:textId="77777777" w:rsidTr="00F847BF">
        <w:tc>
          <w:tcPr>
            <w:tcW w:w="2254" w:type="dxa"/>
          </w:tcPr>
          <w:p w14:paraId="38693D37"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sz w:val="20"/>
                <w:szCs w:val="20"/>
              </w:rPr>
              <w:t>2021</w:t>
            </w:r>
          </w:p>
        </w:tc>
        <w:tc>
          <w:tcPr>
            <w:tcW w:w="2254" w:type="dxa"/>
            <w:vAlign w:val="bottom"/>
          </w:tcPr>
          <w:p w14:paraId="385E422B"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color w:val="000000"/>
                <w:sz w:val="20"/>
                <w:szCs w:val="20"/>
              </w:rPr>
              <w:t xml:space="preserve">640 599 449 509   </w:t>
            </w:r>
          </w:p>
        </w:tc>
        <w:tc>
          <w:tcPr>
            <w:tcW w:w="2254" w:type="dxa"/>
          </w:tcPr>
          <w:p w14:paraId="131D47A3"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color w:val="000000"/>
                <w:sz w:val="20"/>
                <w:szCs w:val="20"/>
              </w:rPr>
              <w:t xml:space="preserve">81 137 001 791   </w:t>
            </w:r>
          </w:p>
        </w:tc>
        <w:tc>
          <w:tcPr>
            <w:tcW w:w="2254" w:type="dxa"/>
          </w:tcPr>
          <w:p w14:paraId="6551EDC9"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b/>
                <w:color w:val="000000"/>
                <w:sz w:val="20"/>
                <w:szCs w:val="20"/>
              </w:rPr>
              <w:t xml:space="preserve">- 559 462 447 718   </w:t>
            </w:r>
          </w:p>
        </w:tc>
      </w:tr>
      <w:tr w:rsidR="00BF3393" w:rsidRPr="00BD2D4B" w14:paraId="158CE102" w14:textId="77777777" w:rsidTr="00F847BF">
        <w:tc>
          <w:tcPr>
            <w:tcW w:w="2254" w:type="dxa"/>
          </w:tcPr>
          <w:p w14:paraId="3BEADCC9"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sz w:val="20"/>
                <w:szCs w:val="20"/>
              </w:rPr>
              <w:t>2022</w:t>
            </w:r>
          </w:p>
        </w:tc>
        <w:tc>
          <w:tcPr>
            <w:tcW w:w="2254" w:type="dxa"/>
            <w:vAlign w:val="bottom"/>
          </w:tcPr>
          <w:p w14:paraId="3C24E3BC"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color w:val="000000"/>
                <w:sz w:val="20"/>
                <w:szCs w:val="20"/>
              </w:rPr>
              <w:t xml:space="preserve">153 493 808 698   </w:t>
            </w:r>
          </w:p>
        </w:tc>
        <w:tc>
          <w:tcPr>
            <w:tcW w:w="2254" w:type="dxa"/>
          </w:tcPr>
          <w:p w14:paraId="6E417F88"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color w:val="000000"/>
                <w:sz w:val="20"/>
                <w:szCs w:val="20"/>
              </w:rPr>
              <w:t xml:space="preserve">68 545 002 339   </w:t>
            </w:r>
          </w:p>
        </w:tc>
        <w:tc>
          <w:tcPr>
            <w:tcW w:w="2254" w:type="dxa"/>
          </w:tcPr>
          <w:p w14:paraId="61C6753F"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b/>
                <w:color w:val="000000"/>
                <w:sz w:val="20"/>
                <w:szCs w:val="20"/>
              </w:rPr>
              <w:t xml:space="preserve">- 84 948 806 359   </w:t>
            </w:r>
          </w:p>
        </w:tc>
      </w:tr>
      <w:tr w:rsidR="00BF3393" w:rsidRPr="00BD2D4B" w14:paraId="3A2F61A1" w14:textId="77777777" w:rsidTr="00F847BF">
        <w:tc>
          <w:tcPr>
            <w:tcW w:w="2254" w:type="dxa"/>
          </w:tcPr>
          <w:p w14:paraId="58A0CB83"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sz w:val="20"/>
                <w:szCs w:val="20"/>
              </w:rPr>
              <w:t>2023</w:t>
            </w:r>
          </w:p>
        </w:tc>
        <w:tc>
          <w:tcPr>
            <w:tcW w:w="2254" w:type="dxa"/>
            <w:vAlign w:val="bottom"/>
          </w:tcPr>
          <w:p w14:paraId="2BAC4CDD"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color w:val="000000"/>
                <w:sz w:val="20"/>
                <w:szCs w:val="20"/>
              </w:rPr>
              <w:t xml:space="preserve">633 944 130 466   </w:t>
            </w:r>
          </w:p>
        </w:tc>
        <w:tc>
          <w:tcPr>
            <w:tcW w:w="2254" w:type="dxa"/>
          </w:tcPr>
          <w:p w14:paraId="0C0D7FD2"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color w:val="000000"/>
                <w:sz w:val="20"/>
                <w:szCs w:val="20"/>
              </w:rPr>
              <w:t xml:space="preserve">71 041 002 374   </w:t>
            </w:r>
          </w:p>
        </w:tc>
        <w:tc>
          <w:tcPr>
            <w:tcW w:w="2254" w:type="dxa"/>
          </w:tcPr>
          <w:p w14:paraId="7CED6457" w14:textId="77777777" w:rsidR="00BF3393" w:rsidRPr="00BD2D4B" w:rsidRDefault="00BF3393" w:rsidP="00F847BF">
            <w:pPr>
              <w:tabs>
                <w:tab w:val="left" w:pos="900"/>
              </w:tabs>
              <w:spacing w:line="360" w:lineRule="auto"/>
              <w:jc w:val="both"/>
              <w:rPr>
                <w:rFonts w:ascii="Cambria" w:hAnsi="Cambria"/>
                <w:sz w:val="20"/>
                <w:szCs w:val="20"/>
              </w:rPr>
            </w:pPr>
            <w:r w:rsidRPr="00BD2D4B">
              <w:rPr>
                <w:rFonts w:ascii="Cambria" w:hAnsi="Cambria" w:cs="Calibri"/>
                <w:b/>
                <w:color w:val="000000"/>
                <w:sz w:val="20"/>
                <w:szCs w:val="20"/>
              </w:rPr>
              <w:t xml:space="preserve">- 562 903 128 093   </w:t>
            </w:r>
          </w:p>
        </w:tc>
      </w:tr>
      <w:tr w:rsidR="00BF3393" w:rsidRPr="00BD2D4B" w14:paraId="4F6FB47A" w14:textId="77777777" w:rsidTr="00F847BF">
        <w:tc>
          <w:tcPr>
            <w:tcW w:w="2254" w:type="dxa"/>
          </w:tcPr>
          <w:p w14:paraId="46C1396D" w14:textId="77777777" w:rsidR="00BF3393" w:rsidRPr="00BD2D4B" w:rsidRDefault="00BF3393" w:rsidP="00F847BF">
            <w:pPr>
              <w:tabs>
                <w:tab w:val="left" w:pos="900"/>
              </w:tabs>
              <w:spacing w:line="360" w:lineRule="auto"/>
              <w:jc w:val="both"/>
              <w:rPr>
                <w:rFonts w:ascii="Cambria" w:hAnsi="Cambria"/>
                <w:b/>
                <w:sz w:val="20"/>
                <w:szCs w:val="20"/>
              </w:rPr>
            </w:pPr>
            <w:r w:rsidRPr="00BD2D4B">
              <w:rPr>
                <w:rFonts w:ascii="Cambria" w:hAnsi="Cambria"/>
                <w:b/>
                <w:sz w:val="20"/>
                <w:szCs w:val="20"/>
              </w:rPr>
              <w:t>TOTAL</w:t>
            </w:r>
          </w:p>
        </w:tc>
        <w:tc>
          <w:tcPr>
            <w:tcW w:w="2254" w:type="dxa"/>
            <w:vAlign w:val="bottom"/>
          </w:tcPr>
          <w:p w14:paraId="7DC4DF90" w14:textId="77777777" w:rsidR="00BF3393" w:rsidRPr="00BD2D4B" w:rsidRDefault="00BF3393" w:rsidP="00F847BF">
            <w:pPr>
              <w:tabs>
                <w:tab w:val="left" w:pos="900"/>
              </w:tabs>
              <w:spacing w:line="360" w:lineRule="auto"/>
              <w:jc w:val="both"/>
              <w:rPr>
                <w:rFonts w:ascii="Cambria" w:hAnsi="Cambria"/>
                <w:b/>
                <w:sz w:val="20"/>
                <w:szCs w:val="20"/>
              </w:rPr>
            </w:pPr>
            <w:r w:rsidRPr="00BD2D4B">
              <w:rPr>
                <w:rFonts w:ascii="Cambria" w:hAnsi="Cambria" w:cs="Calibri"/>
                <w:b/>
                <w:color w:val="000000"/>
                <w:sz w:val="20"/>
                <w:szCs w:val="20"/>
              </w:rPr>
              <w:t xml:space="preserve">1 687 062 316 567   </w:t>
            </w:r>
          </w:p>
        </w:tc>
        <w:tc>
          <w:tcPr>
            <w:tcW w:w="2254" w:type="dxa"/>
          </w:tcPr>
          <w:p w14:paraId="04C196C5" w14:textId="77777777" w:rsidR="00BF3393" w:rsidRPr="00BD2D4B" w:rsidRDefault="00BF3393" w:rsidP="00F847BF">
            <w:pPr>
              <w:tabs>
                <w:tab w:val="left" w:pos="900"/>
              </w:tabs>
              <w:spacing w:line="360" w:lineRule="auto"/>
              <w:jc w:val="both"/>
              <w:rPr>
                <w:rFonts w:ascii="Cambria" w:hAnsi="Cambria"/>
                <w:b/>
                <w:sz w:val="20"/>
                <w:szCs w:val="20"/>
              </w:rPr>
            </w:pPr>
            <w:r w:rsidRPr="00BD2D4B">
              <w:rPr>
                <w:rFonts w:ascii="Cambria" w:hAnsi="Cambria" w:cs="Calibri"/>
                <w:b/>
                <w:color w:val="000000"/>
                <w:sz w:val="20"/>
                <w:szCs w:val="20"/>
              </w:rPr>
              <w:t xml:space="preserve">505 301 011 718   </w:t>
            </w:r>
          </w:p>
        </w:tc>
        <w:tc>
          <w:tcPr>
            <w:tcW w:w="2254" w:type="dxa"/>
          </w:tcPr>
          <w:p w14:paraId="11C1B5FF" w14:textId="77777777" w:rsidR="00BF3393" w:rsidRPr="00BD2D4B" w:rsidRDefault="00BF3393" w:rsidP="00F847BF">
            <w:pPr>
              <w:tabs>
                <w:tab w:val="left" w:pos="900"/>
              </w:tabs>
              <w:spacing w:line="360" w:lineRule="auto"/>
              <w:jc w:val="both"/>
              <w:rPr>
                <w:rFonts w:ascii="Cambria" w:hAnsi="Cambria"/>
                <w:b/>
                <w:sz w:val="20"/>
                <w:szCs w:val="20"/>
              </w:rPr>
            </w:pPr>
            <w:r w:rsidRPr="00BD2D4B">
              <w:rPr>
                <w:rFonts w:ascii="Cambria" w:hAnsi="Cambria" w:cs="Calibri"/>
                <w:b/>
                <w:color w:val="000000"/>
                <w:sz w:val="20"/>
                <w:szCs w:val="20"/>
              </w:rPr>
              <w:t xml:space="preserve">- 1 181 761 304 849   </w:t>
            </w:r>
          </w:p>
        </w:tc>
      </w:tr>
    </w:tbl>
    <w:p w14:paraId="0B6B990B" w14:textId="77777777" w:rsidR="00BF3393" w:rsidRDefault="00BF3393" w:rsidP="00BF3393">
      <w:pPr>
        <w:rPr>
          <w:rFonts w:ascii="Cambria" w:hAnsi="Cambria"/>
        </w:rPr>
      </w:pPr>
    </w:p>
    <w:p w14:paraId="39DB03FA" w14:textId="77777777" w:rsidR="00BF3393" w:rsidRDefault="00BF3393" w:rsidP="00BF3393">
      <w:pPr>
        <w:spacing w:after="160" w:line="256" w:lineRule="auto"/>
        <w:rPr>
          <w:rFonts w:ascii="Calibri" w:eastAsia="Times New Roman" w:hAnsi="Calibri" w:cs="Arial"/>
          <w:sz w:val="24"/>
          <w:szCs w:val="24"/>
          <w:lang w:eastAsia="fr-FR"/>
        </w:rPr>
      </w:pPr>
    </w:p>
    <w:p w14:paraId="011CCE23" w14:textId="77777777" w:rsidR="00BF3393" w:rsidRDefault="00BF3393" w:rsidP="00BF3393"/>
    <w:p w14:paraId="3CC7F76D" w14:textId="776DD87D" w:rsidR="00227EE6" w:rsidRDefault="00227EE6" w:rsidP="00227EE6">
      <w:pPr>
        <w:tabs>
          <w:tab w:val="left" w:pos="900"/>
        </w:tabs>
        <w:spacing w:line="360" w:lineRule="auto"/>
        <w:jc w:val="both"/>
        <w:rPr>
          <w:rFonts w:ascii="Cambria" w:hAnsi="Cambria"/>
        </w:rPr>
      </w:pPr>
    </w:p>
    <w:p w14:paraId="4C171A49" w14:textId="77777777" w:rsidR="00AD5603" w:rsidRPr="000A6C1A" w:rsidRDefault="00AD5603" w:rsidP="00227EE6">
      <w:pPr>
        <w:tabs>
          <w:tab w:val="left" w:pos="900"/>
        </w:tabs>
        <w:spacing w:line="360" w:lineRule="auto"/>
        <w:jc w:val="both"/>
        <w:rPr>
          <w:rFonts w:ascii="Cambria" w:hAnsi="Cambria"/>
        </w:rPr>
      </w:pPr>
    </w:p>
    <w:p w14:paraId="79D51BD0" w14:textId="3111C5B8" w:rsidR="008A6647" w:rsidRDefault="008A6647" w:rsidP="004C1C47">
      <w:pPr>
        <w:autoSpaceDE w:val="0"/>
        <w:autoSpaceDN w:val="0"/>
        <w:adjustRightInd w:val="0"/>
        <w:spacing w:after="0" w:line="240" w:lineRule="auto"/>
        <w:rPr>
          <w:rFonts w:ascii="Arial" w:hAnsi="Arial" w:cs="Arial"/>
          <w:b/>
          <w:bCs/>
          <w:color w:val="000000"/>
          <w:sz w:val="23"/>
          <w:szCs w:val="23"/>
        </w:rPr>
      </w:pPr>
      <w:r>
        <w:rPr>
          <w:rFonts w:ascii="Arial" w:hAnsi="Arial" w:cs="Arial"/>
          <w:b/>
          <w:bCs/>
          <w:color w:val="000000"/>
          <w:sz w:val="23"/>
          <w:szCs w:val="23"/>
        </w:rPr>
        <w:br w:type="page"/>
      </w:r>
      <w:r w:rsidR="00F926BF">
        <w:rPr>
          <w:rFonts w:ascii="Arial" w:hAnsi="Arial" w:cs="Arial"/>
          <w:b/>
          <w:bCs/>
          <w:color w:val="000000"/>
          <w:sz w:val="23"/>
          <w:szCs w:val="23"/>
        </w:rPr>
        <w:lastRenderedPageBreak/>
        <w:t>ANNEXES</w:t>
      </w:r>
      <w:r>
        <w:rPr>
          <w:rFonts w:ascii="Arial" w:hAnsi="Arial" w:cs="Arial"/>
          <w:b/>
          <w:bCs/>
          <w:color w:val="000000"/>
          <w:sz w:val="23"/>
          <w:szCs w:val="23"/>
        </w:rPr>
        <w:br w:type="page"/>
      </w:r>
    </w:p>
    <w:p w14:paraId="13140279" w14:textId="77777777" w:rsidR="008A6647" w:rsidRPr="005228D9" w:rsidRDefault="008A6647" w:rsidP="008A6647">
      <w:pPr>
        <w:spacing w:after="0"/>
        <w:jc w:val="center"/>
        <w:rPr>
          <w:rFonts w:cs="ArialNarrow;Arial Narrow"/>
          <w:b/>
          <w:sz w:val="20"/>
          <w:szCs w:val="20"/>
        </w:rPr>
      </w:pPr>
      <w:r w:rsidRPr="005228D9">
        <w:rPr>
          <w:rFonts w:cs="ArialNarrow;Arial Narrow"/>
          <w:b/>
          <w:sz w:val="20"/>
          <w:szCs w:val="20"/>
        </w:rPr>
        <w:lastRenderedPageBreak/>
        <w:t>ELABORATION DU DOSSIER D’INVESTISSEMENT DANS LE CADRE DE LA SANTE REPRODUCTIVE MATERNELLE, NEONATALE, DE L’ENFANT, DES ADOLESCENTS ET LA NUTRITION (SRMNEAN).</w:t>
      </w:r>
    </w:p>
    <w:p w14:paraId="01AF9D00" w14:textId="77777777" w:rsidR="008A6647" w:rsidRPr="005228D9" w:rsidRDefault="008A6647" w:rsidP="008A6647">
      <w:pPr>
        <w:pBdr>
          <w:bottom w:val="single" w:sz="12" w:space="1" w:color="auto"/>
        </w:pBdr>
        <w:jc w:val="center"/>
        <w:rPr>
          <w:rFonts w:cs="ArialNarrow;Arial Narrow"/>
          <w:b/>
          <w:sz w:val="20"/>
          <w:szCs w:val="20"/>
        </w:rPr>
      </w:pPr>
      <w:r w:rsidRPr="005228D9">
        <w:rPr>
          <w:rFonts w:cs="ArialNarrow;Arial Narrow"/>
          <w:b/>
          <w:sz w:val="20"/>
          <w:szCs w:val="20"/>
        </w:rPr>
        <w:t>METHODOLOGIE DE TRAVAIL</w:t>
      </w:r>
    </w:p>
    <w:p w14:paraId="4926AF96" w14:textId="77777777" w:rsidR="008A6647" w:rsidRPr="005228D9" w:rsidRDefault="008A6647" w:rsidP="00A97663">
      <w:pPr>
        <w:pStyle w:val="Corpsdetexte"/>
        <w:numPr>
          <w:ilvl w:val="0"/>
          <w:numId w:val="102"/>
        </w:numPr>
        <w:spacing w:before="60" w:after="60" w:line="276" w:lineRule="auto"/>
        <w:jc w:val="both"/>
        <w:rPr>
          <w:rFonts w:asciiTheme="minorHAnsi" w:hAnsiTheme="minorHAnsi" w:cstheme="minorHAnsi"/>
          <w:b/>
          <w:lang w:eastAsia="fr-FR"/>
        </w:rPr>
      </w:pPr>
      <w:r w:rsidRPr="005228D9">
        <w:rPr>
          <w:rFonts w:asciiTheme="minorHAnsi" w:hAnsiTheme="minorHAnsi" w:cstheme="minorHAnsi"/>
          <w:b/>
          <w:lang w:eastAsia="fr-FR"/>
        </w:rPr>
        <w:t xml:space="preserve">CONTEXTE ET JUSTIFICATION </w:t>
      </w:r>
    </w:p>
    <w:p w14:paraId="6C2AFC3C" w14:textId="77777777" w:rsidR="008A6647" w:rsidRPr="005228D9" w:rsidRDefault="008A6647" w:rsidP="008A6647">
      <w:pPr>
        <w:pStyle w:val="Standard"/>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 xml:space="preserve">Au Burkina Faso, des progrès ont été réalisés en SRMNEA-N avec  des taux de mortalité maternelle et infanto-juvénile qui sont passés respectivement de 341 pour 100 000 naissances vivantes et 129 pour 1000 à 330 pour 100 000 naissances vivantes et 81,6 pour 1000 entre 2010 et 2015. La prévalence du retard de croissance chez les enfants de moins de 5 ans est passée de 33% en 2013 à 21% en 2017. La prévalence contraceptive est passée de 15 % en 2010 à 22.5 % en 2015. </w:t>
      </w:r>
    </w:p>
    <w:p w14:paraId="481B8C79" w14:textId="77777777" w:rsidR="008A6647" w:rsidRPr="005228D9" w:rsidRDefault="008A6647" w:rsidP="008A6647">
      <w:pPr>
        <w:pStyle w:val="Standard"/>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 xml:space="preserve">Mais ces progrès restent insuffisants et les niveaux de mortalité maternelle et infanto-juvénile restent inacceptables. </w:t>
      </w:r>
    </w:p>
    <w:p w14:paraId="63E8CF67" w14:textId="77777777" w:rsidR="008A6647" w:rsidRPr="005228D9" w:rsidRDefault="008A6647" w:rsidP="008A6647">
      <w:pPr>
        <w:pStyle w:val="Standard"/>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 xml:space="preserve">Cette situation justifie l’éligibilité du Burkina Faso au GFF, initiative à laquelle  le pays a adhéré en septembre 2017 dans l’optique  d’élaborer et soutenir un dossier d’investissement qui s’adresse aux retards particuliers dans l'atteinte de certaines cibles et aux disparités pour plus d’impact et d’équité. </w:t>
      </w:r>
    </w:p>
    <w:p w14:paraId="75698D43" w14:textId="77777777" w:rsidR="008A6647" w:rsidRPr="005228D9" w:rsidRDefault="008A6647" w:rsidP="008A6647">
      <w:pPr>
        <w:pStyle w:val="Standard"/>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 xml:space="preserve">Le cadre sectoriel de dialogue a été retenu comme plateforme globale pour le GFF et l’équipe fonctionnelle 7 a été retenue pour être la plateforme technique en charge de conduire le processus l’élaboration du dossier d’investissement suivant une feuille de route consensuelle. </w:t>
      </w:r>
    </w:p>
    <w:p w14:paraId="6D5D444A" w14:textId="77777777" w:rsidR="008A6647" w:rsidRPr="005228D9" w:rsidRDefault="008A6647" w:rsidP="008A6647">
      <w:pPr>
        <w:pStyle w:val="Standard"/>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En préparation de l’élaboration du dossier d’investissement, quelques activités ont été ou sont en cours de réalisation dont  (i) la cartographie des interventions, intervenants et des financements en matière de SRMNEA-N et des actions transversales qui soutiennent les objectifs de SRMNEA-N, (ii) l’analyse des gaps de performance en matière de SRMNEAN, iii) la priorisation des interventions coût-efficaces en SRMNEAN, iv) la sécurisation des ressources financières du budget de l’Etat pour contribuer à financer le dossier d’investissement.</w:t>
      </w:r>
    </w:p>
    <w:p w14:paraId="2E11BBF3" w14:textId="77777777" w:rsidR="008A6647" w:rsidRPr="005228D9" w:rsidRDefault="008A6647" w:rsidP="008A6647">
      <w:pPr>
        <w:pStyle w:val="Standard"/>
        <w:spacing w:before="60"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 xml:space="preserve">Pour appuyer l’EF7, il est donc apparu nécessaire de recruter une équipe de Consultants comprenant un consultant senior en santé publique, un consultant junior et un consultant senior économistes de la santé pour le volet costing à l’aide du logiciel One Health. </w:t>
      </w:r>
    </w:p>
    <w:p w14:paraId="796436DC" w14:textId="77777777" w:rsidR="008A6647" w:rsidRPr="005228D9" w:rsidRDefault="008A6647" w:rsidP="008A6647">
      <w:pPr>
        <w:pStyle w:val="Standard"/>
        <w:spacing w:before="60" w:after="0"/>
        <w:jc w:val="both"/>
        <w:rPr>
          <w:rFonts w:asciiTheme="minorHAnsi" w:hAnsiTheme="minorHAnsi" w:cstheme="minorHAnsi"/>
          <w:color w:val="auto"/>
          <w:sz w:val="20"/>
          <w:szCs w:val="20"/>
        </w:rPr>
      </w:pPr>
    </w:p>
    <w:p w14:paraId="1499911B" w14:textId="77777777" w:rsidR="008A6647" w:rsidRPr="005228D9" w:rsidRDefault="008A6647" w:rsidP="00A97663">
      <w:pPr>
        <w:pStyle w:val="Paragraphedeliste"/>
        <w:numPr>
          <w:ilvl w:val="0"/>
          <w:numId w:val="102"/>
        </w:numPr>
        <w:spacing w:after="0"/>
        <w:jc w:val="both"/>
        <w:rPr>
          <w:rFonts w:cstheme="minorHAnsi"/>
          <w:b/>
          <w:sz w:val="20"/>
          <w:szCs w:val="20"/>
        </w:rPr>
      </w:pPr>
      <w:r w:rsidRPr="005228D9">
        <w:rPr>
          <w:rFonts w:cstheme="minorHAnsi"/>
          <w:b/>
          <w:sz w:val="20"/>
          <w:szCs w:val="20"/>
        </w:rPr>
        <w:t>OBJECTIFS</w:t>
      </w:r>
    </w:p>
    <w:p w14:paraId="626083F6" w14:textId="77777777" w:rsidR="008A6647" w:rsidRPr="005228D9" w:rsidRDefault="008A6647" w:rsidP="008A6647">
      <w:pPr>
        <w:pStyle w:val="Paragraphedeliste"/>
        <w:ind w:left="360"/>
        <w:jc w:val="both"/>
        <w:rPr>
          <w:rFonts w:cstheme="minorHAnsi"/>
          <w:b/>
          <w:sz w:val="20"/>
          <w:szCs w:val="20"/>
        </w:rPr>
      </w:pPr>
    </w:p>
    <w:p w14:paraId="2BB35553" w14:textId="77777777" w:rsidR="008A6647" w:rsidRPr="005228D9" w:rsidRDefault="008A6647" w:rsidP="00A97663">
      <w:pPr>
        <w:pStyle w:val="Paragraphedeliste"/>
        <w:numPr>
          <w:ilvl w:val="1"/>
          <w:numId w:val="102"/>
        </w:numPr>
        <w:spacing w:after="0"/>
        <w:jc w:val="both"/>
        <w:rPr>
          <w:rFonts w:cstheme="minorHAnsi"/>
          <w:sz w:val="20"/>
          <w:szCs w:val="20"/>
          <w:lang w:eastAsia="fr-FR"/>
        </w:rPr>
      </w:pPr>
      <w:r w:rsidRPr="005228D9">
        <w:rPr>
          <w:rFonts w:cstheme="minorHAnsi"/>
          <w:sz w:val="20"/>
          <w:szCs w:val="20"/>
          <w:lang w:eastAsia="fr-FR"/>
        </w:rPr>
        <w:t>OBJECTIFS DE LA MISSION</w:t>
      </w:r>
    </w:p>
    <w:p w14:paraId="19DD2CA4" w14:textId="77777777" w:rsidR="008A6647" w:rsidRPr="005228D9" w:rsidRDefault="008A6647" w:rsidP="008A6647">
      <w:pPr>
        <w:jc w:val="both"/>
        <w:rPr>
          <w:rFonts w:cstheme="minorHAnsi"/>
          <w:sz w:val="20"/>
          <w:szCs w:val="20"/>
        </w:rPr>
      </w:pPr>
      <w:r w:rsidRPr="005228D9">
        <w:rPr>
          <w:rFonts w:cstheme="minorHAnsi"/>
          <w:sz w:val="20"/>
          <w:szCs w:val="20"/>
        </w:rPr>
        <w:t>Appuyer l’équipe fonctionnelle 7 dans l’élaboration et le costing du dossier d’investissement pour la SRMNEAN au Burkina Faso.</w:t>
      </w:r>
    </w:p>
    <w:p w14:paraId="55066119" w14:textId="77777777" w:rsidR="008A6647" w:rsidRPr="005228D9" w:rsidRDefault="008A6647" w:rsidP="008A6647">
      <w:pPr>
        <w:jc w:val="both"/>
        <w:rPr>
          <w:rFonts w:cstheme="minorHAnsi"/>
          <w:sz w:val="20"/>
          <w:szCs w:val="20"/>
        </w:rPr>
      </w:pPr>
    </w:p>
    <w:p w14:paraId="70C7EDE5" w14:textId="77777777" w:rsidR="008A6647" w:rsidRPr="005228D9" w:rsidRDefault="008A6647" w:rsidP="00A97663">
      <w:pPr>
        <w:pStyle w:val="Paragraphedeliste"/>
        <w:numPr>
          <w:ilvl w:val="1"/>
          <w:numId w:val="102"/>
        </w:numPr>
        <w:spacing w:after="0"/>
        <w:jc w:val="both"/>
        <w:rPr>
          <w:rFonts w:cstheme="minorHAnsi"/>
          <w:sz w:val="20"/>
          <w:szCs w:val="20"/>
          <w:lang w:eastAsia="fr-FR"/>
        </w:rPr>
      </w:pPr>
      <w:r w:rsidRPr="005228D9">
        <w:rPr>
          <w:rFonts w:cstheme="minorHAnsi"/>
          <w:sz w:val="20"/>
          <w:szCs w:val="20"/>
          <w:lang w:eastAsia="fr-FR"/>
        </w:rPr>
        <w:t>OBJECTIFS SPECIFIQUES</w:t>
      </w:r>
    </w:p>
    <w:p w14:paraId="40FE6706" w14:textId="77777777" w:rsidR="008A6647" w:rsidRPr="005228D9" w:rsidRDefault="008A6647" w:rsidP="00A97663">
      <w:pPr>
        <w:pStyle w:val="Standard"/>
        <w:numPr>
          <w:ilvl w:val="0"/>
          <w:numId w:val="90"/>
        </w:numPr>
        <w:spacing w:before="60"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Appuyer l’équipe fonctionnelle 7 dans la conduite et la finalisation d’une analyse des gaps de performance sur la SRMNEAN ;</w:t>
      </w:r>
    </w:p>
    <w:p w14:paraId="7AC31C54" w14:textId="77777777" w:rsidR="008A6647" w:rsidRPr="005228D9" w:rsidRDefault="008A6647" w:rsidP="00A97663">
      <w:pPr>
        <w:pStyle w:val="Standard"/>
        <w:numPr>
          <w:ilvl w:val="0"/>
          <w:numId w:val="90"/>
        </w:numPr>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Appuyer l’équipe fonctionnelle 7 dans la conduite de la priorisation des interventions à haut impact sur la SRMNEAN à retenir dans le dossier d’investissement ;</w:t>
      </w:r>
    </w:p>
    <w:p w14:paraId="2A22C9D6" w14:textId="77777777" w:rsidR="008A6647" w:rsidRPr="005228D9" w:rsidRDefault="008A6647" w:rsidP="00A97663">
      <w:pPr>
        <w:pStyle w:val="Standard"/>
        <w:numPr>
          <w:ilvl w:val="0"/>
          <w:numId w:val="90"/>
        </w:numPr>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Appuyer l’équipe fonctionnelle 7 dans l’identification des actions transversales critiques soutenant les objectifs de la SRMNEA-N à inclure dans le dossier d’investissement;</w:t>
      </w:r>
    </w:p>
    <w:p w14:paraId="13A5F262" w14:textId="77777777" w:rsidR="008A6647" w:rsidRPr="005228D9" w:rsidRDefault="008A6647" w:rsidP="00A97663">
      <w:pPr>
        <w:pStyle w:val="Standard"/>
        <w:numPr>
          <w:ilvl w:val="0"/>
          <w:numId w:val="90"/>
        </w:numPr>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Intégrer et mettre en cohérence toutes les informations utiles et pertinentes ci-dessus décrites et d’autres informations pour écrire le dossier d’investissement.</w:t>
      </w:r>
    </w:p>
    <w:p w14:paraId="605052B2" w14:textId="77777777" w:rsidR="008A6647" w:rsidRPr="005228D9" w:rsidRDefault="008A6647" w:rsidP="00A97663">
      <w:pPr>
        <w:pStyle w:val="Standard"/>
        <w:numPr>
          <w:ilvl w:val="0"/>
          <w:numId w:val="90"/>
        </w:numPr>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Faire le costing du dossier d’investissement.</w:t>
      </w:r>
    </w:p>
    <w:p w14:paraId="0481603E" w14:textId="77777777" w:rsidR="008A6647" w:rsidRPr="005228D9" w:rsidRDefault="008A6647" w:rsidP="008A6647">
      <w:pPr>
        <w:pStyle w:val="Standard"/>
        <w:spacing w:before="60" w:after="60"/>
        <w:ind w:left="720"/>
        <w:jc w:val="both"/>
        <w:rPr>
          <w:rFonts w:asciiTheme="minorHAnsi" w:hAnsiTheme="minorHAnsi" w:cstheme="minorHAnsi"/>
          <w:color w:val="auto"/>
          <w:sz w:val="20"/>
          <w:szCs w:val="20"/>
        </w:rPr>
      </w:pPr>
    </w:p>
    <w:p w14:paraId="7255DB60" w14:textId="77777777" w:rsidR="008A6647" w:rsidRPr="005228D9" w:rsidRDefault="008A6647" w:rsidP="00A97663">
      <w:pPr>
        <w:pStyle w:val="Standard"/>
        <w:numPr>
          <w:ilvl w:val="1"/>
          <w:numId w:val="102"/>
        </w:numPr>
        <w:spacing w:before="60" w:after="60"/>
        <w:jc w:val="both"/>
        <w:rPr>
          <w:rFonts w:asciiTheme="minorHAnsi" w:hAnsiTheme="minorHAnsi" w:cstheme="minorHAnsi"/>
          <w:sz w:val="20"/>
          <w:szCs w:val="20"/>
          <w:lang w:eastAsia="fr-FR"/>
        </w:rPr>
      </w:pPr>
      <w:r w:rsidRPr="005228D9">
        <w:rPr>
          <w:rFonts w:asciiTheme="minorHAnsi" w:hAnsiTheme="minorHAnsi" w:cstheme="minorHAnsi"/>
          <w:sz w:val="20"/>
          <w:szCs w:val="20"/>
          <w:lang w:eastAsia="fr-FR"/>
        </w:rPr>
        <w:t>RESULTATS ATTENDUS ET LIVRABLES </w:t>
      </w:r>
    </w:p>
    <w:p w14:paraId="62CDDC32" w14:textId="77777777" w:rsidR="008A6647" w:rsidRPr="005228D9" w:rsidRDefault="008A6647" w:rsidP="008A6647">
      <w:pPr>
        <w:pStyle w:val="Standard"/>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Au terme de l’étude le consultant devra transmettre les produits suivants au Ministère de la santé:</w:t>
      </w:r>
    </w:p>
    <w:p w14:paraId="0E8560C7" w14:textId="77777777" w:rsidR="008A6647" w:rsidRPr="005228D9" w:rsidRDefault="008A6647" w:rsidP="00A97663">
      <w:pPr>
        <w:pStyle w:val="Standard"/>
        <w:numPr>
          <w:ilvl w:val="0"/>
          <w:numId w:val="90"/>
        </w:numPr>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lastRenderedPageBreak/>
        <w:t xml:space="preserve">Un dossier d’investissement sur la SRMNEAN avec un costing.  Le dossier est validé par l’équipe fonctionnelle 7. </w:t>
      </w:r>
    </w:p>
    <w:p w14:paraId="2DDE7A60" w14:textId="77777777" w:rsidR="008A6647" w:rsidRPr="005228D9" w:rsidRDefault="008A6647" w:rsidP="00A97663">
      <w:pPr>
        <w:pStyle w:val="Standard"/>
        <w:numPr>
          <w:ilvl w:val="0"/>
          <w:numId w:val="90"/>
        </w:numPr>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Un rapport de mission. Le rapport de mission est validé par le chargé de programme de la DUE.</w:t>
      </w:r>
    </w:p>
    <w:p w14:paraId="4B0984AC" w14:textId="77777777" w:rsidR="008A6647" w:rsidRPr="005228D9" w:rsidRDefault="008A6647" w:rsidP="00A97663">
      <w:pPr>
        <w:pStyle w:val="Standard"/>
        <w:numPr>
          <w:ilvl w:val="0"/>
          <w:numId w:val="102"/>
        </w:numPr>
        <w:jc w:val="both"/>
        <w:rPr>
          <w:rFonts w:asciiTheme="minorHAnsi" w:hAnsiTheme="minorHAnsi" w:cstheme="minorHAnsi"/>
          <w:b/>
          <w:color w:val="auto"/>
          <w:sz w:val="20"/>
          <w:szCs w:val="20"/>
        </w:rPr>
      </w:pPr>
      <w:r w:rsidRPr="005228D9">
        <w:rPr>
          <w:rFonts w:asciiTheme="minorHAnsi" w:hAnsiTheme="minorHAnsi" w:cstheme="minorHAnsi"/>
          <w:b/>
          <w:color w:val="auto"/>
          <w:sz w:val="20"/>
          <w:szCs w:val="20"/>
        </w:rPr>
        <w:t>METHODOLOGIE</w:t>
      </w:r>
    </w:p>
    <w:p w14:paraId="4733A57B" w14:textId="77777777" w:rsidR="008A6647" w:rsidRPr="005228D9" w:rsidRDefault="008A6647" w:rsidP="00A97663">
      <w:pPr>
        <w:pStyle w:val="Standard"/>
        <w:numPr>
          <w:ilvl w:val="1"/>
          <w:numId w:val="102"/>
        </w:numPr>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 xml:space="preserve">APPROCHE </w:t>
      </w:r>
    </w:p>
    <w:p w14:paraId="23604836" w14:textId="77777777" w:rsidR="008A6647" w:rsidRPr="005228D9" w:rsidRDefault="008A6647" w:rsidP="008A6647">
      <w:pPr>
        <w:pStyle w:val="Standard"/>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L’approche est inclusive est participative et prend en compte les principes suivant :</w:t>
      </w:r>
    </w:p>
    <w:p w14:paraId="3FBF0201" w14:textId="77777777" w:rsidR="008A6647" w:rsidRPr="005228D9" w:rsidRDefault="008A6647" w:rsidP="00A97663">
      <w:pPr>
        <w:pStyle w:val="Standard"/>
        <w:numPr>
          <w:ilvl w:val="0"/>
          <w:numId w:val="91"/>
        </w:numPr>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Choix d’un nombre limité de priorités guidé par les ressources disponibles</w:t>
      </w:r>
    </w:p>
    <w:p w14:paraId="1DBCB7A8" w14:textId="77777777" w:rsidR="008A6647" w:rsidRPr="005228D9" w:rsidRDefault="008A6647" w:rsidP="00A97663">
      <w:pPr>
        <w:pStyle w:val="Standard"/>
        <w:numPr>
          <w:ilvl w:val="0"/>
          <w:numId w:val="91"/>
        </w:numPr>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Retour sur l’investissement des interventions SRMNEAN</w:t>
      </w:r>
    </w:p>
    <w:p w14:paraId="6BDE72F5" w14:textId="77777777" w:rsidR="008A6647" w:rsidRPr="005228D9" w:rsidRDefault="008A6647" w:rsidP="00A97663">
      <w:pPr>
        <w:pStyle w:val="Standard"/>
        <w:numPr>
          <w:ilvl w:val="0"/>
          <w:numId w:val="91"/>
        </w:numPr>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Réduction de la fragmentation et de la duplication pour améliorer la cohérence des interventions SRMNEAN</w:t>
      </w:r>
    </w:p>
    <w:p w14:paraId="4FED136B" w14:textId="77777777" w:rsidR="008A6647" w:rsidRPr="005228D9" w:rsidRDefault="008A6647" w:rsidP="00A97663">
      <w:pPr>
        <w:pStyle w:val="Standard"/>
        <w:numPr>
          <w:ilvl w:val="0"/>
          <w:numId w:val="91"/>
        </w:numPr>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Focus sur la mise en œuvre</w:t>
      </w:r>
    </w:p>
    <w:p w14:paraId="550ED7CC" w14:textId="77777777" w:rsidR="008A6647" w:rsidRPr="005228D9" w:rsidRDefault="008A6647" w:rsidP="00A97663">
      <w:pPr>
        <w:pStyle w:val="Standard"/>
        <w:numPr>
          <w:ilvl w:val="0"/>
          <w:numId w:val="91"/>
        </w:numPr>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Une plus grande orientation vers le long terme.</w:t>
      </w:r>
    </w:p>
    <w:p w14:paraId="3579847A" w14:textId="77777777" w:rsidR="008A6647" w:rsidRPr="005228D9" w:rsidRDefault="008A6647" w:rsidP="00A97663">
      <w:pPr>
        <w:pStyle w:val="Standard"/>
        <w:numPr>
          <w:ilvl w:val="1"/>
          <w:numId w:val="102"/>
        </w:numPr>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METHODES</w:t>
      </w:r>
    </w:p>
    <w:p w14:paraId="11DC0E38" w14:textId="77777777" w:rsidR="008A6647" w:rsidRPr="005228D9" w:rsidRDefault="008A6647" w:rsidP="00A97663">
      <w:pPr>
        <w:pStyle w:val="Standard"/>
        <w:numPr>
          <w:ilvl w:val="2"/>
          <w:numId w:val="102"/>
        </w:numPr>
        <w:spacing w:after="0"/>
        <w:jc w:val="both"/>
        <w:rPr>
          <w:rFonts w:asciiTheme="minorHAnsi" w:hAnsiTheme="minorHAnsi" w:cstheme="minorHAnsi"/>
          <w:b/>
          <w:color w:val="auto"/>
          <w:sz w:val="20"/>
          <w:szCs w:val="20"/>
        </w:rPr>
      </w:pPr>
      <w:r w:rsidRPr="005228D9">
        <w:rPr>
          <w:rFonts w:asciiTheme="minorHAnsi" w:hAnsiTheme="minorHAnsi" w:cstheme="minorHAnsi"/>
          <w:b/>
          <w:color w:val="auto"/>
          <w:sz w:val="20"/>
          <w:szCs w:val="20"/>
        </w:rPr>
        <w:t>Elaboration du chronogramme de travail</w:t>
      </w:r>
    </w:p>
    <w:p w14:paraId="421A4246" w14:textId="77777777" w:rsidR="008A6647" w:rsidRPr="005228D9" w:rsidRDefault="008A6647" w:rsidP="008A6647">
      <w:pPr>
        <w:pStyle w:val="Standard"/>
        <w:ind w:left="3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Le chronogramme de travail (repris en annexe) comprend 15 activités reparties de manière successive sur la période de travail du 10 septembre au 12 Octobre 2018, soit 25 jours de travail dont 25 jours de travail sur place et 3 jours à domicile.</w:t>
      </w:r>
    </w:p>
    <w:p w14:paraId="046D5FA9" w14:textId="77777777" w:rsidR="008A6647" w:rsidRPr="005228D9" w:rsidRDefault="008A6647" w:rsidP="00A97663">
      <w:pPr>
        <w:pStyle w:val="Standard"/>
        <w:numPr>
          <w:ilvl w:val="2"/>
          <w:numId w:val="102"/>
        </w:numPr>
        <w:spacing w:after="0"/>
        <w:jc w:val="both"/>
        <w:rPr>
          <w:rFonts w:asciiTheme="minorHAnsi" w:hAnsiTheme="minorHAnsi" w:cstheme="minorHAnsi"/>
          <w:b/>
          <w:color w:val="auto"/>
          <w:sz w:val="20"/>
          <w:szCs w:val="20"/>
        </w:rPr>
      </w:pPr>
      <w:r w:rsidRPr="005228D9">
        <w:rPr>
          <w:rFonts w:asciiTheme="minorHAnsi" w:hAnsiTheme="minorHAnsi" w:cstheme="minorHAnsi"/>
          <w:b/>
          <w:color w:val="auto"/>
          <w:sz w:val="20"/>
          <w:szCs w:val="20"/>
        </w:rPr>
        <w:t>Elaboration des questions de recherche</w:t>
      </w:r>
    </w:p>
    <w:p w14:paraId="72FB7CE8" w14:textId="77777777" w:rsidR="008A6647" w:rsidRPr="005228D9" w:rsidRDefault="008A6647" w:rsidP="008A6647">
      <w:pPr>
        <w:pStyle w:val="Standard"/>
        <w:spacing w:after="0"/>
        <w:ind w:left="3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A partir de l’objectif général et des objectifs spécifiques fixés par les termes de référence une série de questions de recherche sont identifiés pour permettre d’atteindre les objectifs assignés à cette mission.</w:t>
      </w:r>
    </w:p>
    <w:p w14:paraId="34F3B80F" w14:textId="77777777" w:rsidR="008A6647" w:rsidRPr="005228D9" w:rsidRDefault="008A6647" w:rsidP="00A97663">
      <w:pPr>
        <w:pStyle w:val="Standard"/>
        <w:numPr>
          <w:ilvl w:val="0"/>
          <w:numId w:val="92"/>
        </w:numPr>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OS1 : Appuyer l’équipe fonctionnelle 7 dans la conduite et la finalisation d’une analyse des gaps de performance sur la SRMNEAN ;</w:t>
      </w:r>
    </w:p>
    <w:p w14:paraId="04E8E0F5" w14:textId="77777777" w:rsidR="008A6647" w:rsidRPr="005228D9" w:rsidRDefault="008A6647" w:rsidP="00A97663">
      <w:pPr>
        <w:pStyle w:val="Standard"/>
        <w:numPr>
          <w:ilvl w:val="0"/>
          <w:numId w:val="93"/>
        </w:numPr>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Quelle est la situation actuelle des indicateurs de SRMNEA-N</w:t>
      </w:r>
    </w:p>
    <w:p w14:paraId="750AD1BF" w14:textId="77777777" w:rsidR="008A6647" w:rsidRPr="005228D9" w:rsidRDefault="008A6647" w:rsidP="00A97663">
      <w:pPr>
        <w:pStyle w:val="Standard"/>
        <w:numPr>
          <w:ilvl w:val="0"/>
          <w:numId w:val="93"/>
        </w:numPr>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Quelle est la situation actuelle de l’enregistrement à l’état civile et des statistiques vitales.</w:t>
      </w:r>
    </w:p>
    <w:p w14:paraId="3B1D75D0" w14:textId="77777777" w:rsidR="008A6647" w:rsidRPr="005228D9" w:rsidRDefault="008A6647" w:rsidP="00A97663">
      <w:pPr>
        <w:pStyle w:val="Standard"/>
        <w:numPr>
          <w:ilvl w:val="0"/>
          <w:numId w:val="93"/>
        </w:numPr>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Quels les gaps de performance constatés au niveau national et au niveau régional en SRMNEA-N et enregistrement à l’état civile et des statistiques vitales.</w:t>
      </w:r>
    </w:p>
    <w:p w14:paraId="743D75EA" w14:textId="77777777" w:rsidR="008A6647" w:rsidRPr="005228D9" w:rsidRDefault="008A6647" w:rsidP="00A97663">
      <w:pPr>
        <w:pStyle w:val="Standard"/>
        <w:numPr>
          <w:ilvl w:val="0"/>
          <w:numId w:val="93"/>
        </w:numPr>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Quelles sont les causes principales des gaps</w:t>
      </w:r>
    </w:p>
    <w:p w14:paraId="74E18B8A" w14:textId="77777777" w:rsidR="008A6647" w:rsidRPr="005228D9" w:rsidRDefault="008A6647" w:rsidP="00A97663">
      <w:pPr>
        <w:pStyle w:val="Standard"/>
        <w:numPr>
          <w:ilvl w:val="0"/>
          <w:numId w:val="92"/>
        </w:numPr>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OS2 : Appuyer l’équipe fonctionnelle 7 dans la conduite de la priorisation des interventions à haut impact sur la SRMNEAN à retenir dans le dossier d’investissement ;</w:t>
      </w:r>
    </w:p>
    <w:p w14:paraId="0BB31EF4" w14:textId="77777777" w:rsidR="008A6647" w:rsidRPr="005228D9" w:rsidRDefault="008A6647" w:rsidP="00A97663">
      <w:pPr>
        <w:pStyle w:val="Standard"/>
        <w:numPr>
          <w:ilvl w:val="0"/>
          <w:numId w:val="94"/>
        </w:numPr>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Quels sont les principaux  goulots d’étranglement et leurs causes</w:t>
      </w:r>
    </w:p>
    <w:p w14:paraId="71B726D1" w14:textId="77777777" w:rsidR="008A6647" w:rsidRPr="005228D9" w:rsidRDefault="008A6647" w:rsidP="00A97663">
      <w:pPr>
        <w:pStyle w:val="Standard"/>
        <w:numPr>
          <w:ilvl w:val="0"/>
          <w:numId w:val="94"/>
        </w:numPr>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Quelles sont les interventions et actions prioritaires pour lever les goulots d’étranglement.</w:t>
      </w:r>
    </w:p>
    <w:p w14:paraId="1A591843" w14:textId="77777777" w:rsidR="008A6647" w:rsidRPr="005228D9" w:rsidRDefault="008A6647" w:rsidP="00A97663">
      <w:pPr>
        <w:pStyle w:val="Standard"/>
        <w:numPr>
          <w:ilvl w:val="0"/>
          <w:numId w:val="94"/>
        </w:numPr>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Quelles sont les zones d’intervention</w:t>
      </w:r>
    </w:p>
    <w:p w14:paraId="67049163" w14:textId="77777777" w:rsidR="008A6647" w:rsidRPr="005228D9" w:rsidRDefault="008A6647" w:rsidP="00A97663">
      <w:pPr>
        <w:pStyle w:val="Standard"/>
        <w:numPr>
          <w:ilvl w:val="0"/>
          <w:numId w:val="92"/>
        </w:numPr>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OS3 : Appuyer l’équipe fonctionnelle 7 dans l’identification des actions transversales critiques soutenant les objectifs de la SRMNEA-N à inclure dans le dossier d’investissement;</w:t>
      </w:r>
    </w:p>
    <w:p w14:paraId="354A7502" w14:textId="77777777" w:rsidR="008A6647" w:rsidRPr="005228D9" w:rsidRDefault="008A6647" w:rsidP="00A97663">
      <w:pPr>
        <w:pStyle w:val="Standard"/>
        <w:numPr>
          <w:ilvl w:val="0"/>
          <w:numId w:val="95"/>
        </w:numPr>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Quels sont les goulots d’étranglement systémiques?</w:t>
      </w:r>
    </w:p>
    <w:p w14:paraId="047792BD" w14:textId="77777777" w:rsidR="008A6647" w:rsidRPr="005228D9" w:rsidRDefault="008A6647" w:rsidP="00A97663">
      <w:pPr>
        <w:pStyle w:val="Standard"/>
        <w:numPr>
          <w:ilvl w:val="0"/>
          <w:numId w:val="95"/>
        </w:numPr>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Quelles sont les actions transversales prioritaires ?</w:t>
      </w:r>
    </w:p>
    <w:p w14:paraId="7A451B4C" w14:textId="77777777" w:rsidR="008A6647" w:rsidRPr="005228D9" w:rsidRDefault="008A6647" w:rsidP="00A97663">
      <w:pPr>
        <w:pStyle w:val="Standard"/>
        <w:numPr>
          <w:ilvl w:val="0"/>
          <w:numId w:val="92"/>
        </w:numPr>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OS4 : Intégrer et mettre en cohérence toutes les informations utiles et pertinentes ci-dessus décrites et d’autres informations pour écrire le dossier d’investissement.</w:t>
      </w:r>
    </w:p>
    <w:p w14:paraId="48352D1E" w14:textId="77777777" w:rsidR="008A6647" w:rsidRPr="005228D9" w:rsidRDefault="008A6647" w:rsidP="00A97663">
      <w:pPr>
        <w:pStyle w:val="Standard"/>
        <w:numPr>
          <w:ilvl w:val="0"/>
          <w:numId w:val="96"/>
        </w:numPr>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Quelles sont les informations les plus utiles et  pertinentes ?</w:t>
      </w:r>
    </w:p>
    <w:p w14:paraId="3B10B123" w14:textId="77777777" w:rsidR="008A6647" w:rsidRPr="005228D9" w:rsidRDefault="008A6647" w:rsidP="00A97663">
      <w:pPr>
        <w:pStyle w:val="Standard"/>
        <w:numPr>
          <w:ilvl w:val="0"/>
          <w:numId w:val="92"/>
        </w:numPr>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Faire le costing du dossier d’investissement.</w:t>
      </w:r>
    </w:p>
    <w:p w14:paraId="0A68725F" w14:textId="77777777" w:rsidR="008A6647" w:rsidRPr="005228D9" w:rsidRDefault="008A6647" w:rsidP="00A97663">
      <w:pPr>
        <w:pStyle w:val="Standard"/>
        <w:numPr>
          <w:ilvl w:val="0"/>
          <w:numId w:val="96"/>
        </w:numPr>
        <w:spacing w:before="60" w:after="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 xml:space="preserve">Quelle est l’enveloppe budgétaire totale, le cout par intervention prioritaire ; pqr bailleur et par zone d’intervention   </w:t>
      </w:r>
    </w:p>
    <w:p w14:paraId="63F85424" w14:textId="77777777" w:rsidR="008A6647" w:rsidRPr="005228D9" w:rsidRDefault="008A6647" w:rsidP="00A97663">
      <w:pPr>
        <w:pStyle w:val="Standard"/>
        <w:numPr>
          <w:ilvl w:val="2"/>
          <w:numId w:val="102"/>
        </w:numPr>
        <w:spacing w:before="240" w:after="0"/>
        <w:jc w:val="both"/>
        <w:rPr>
          <w:rFonts w:asciiTheme="minorHAnsi" w:hAnsiTheme="minorHAnsi" w:cstheme="minorHAnsi"/>
          <w:b/>
          <w:color w:val="auto"/>
          <w:sz w:val="20"/>
          <w:szCs w:val="20"/>
        </w:rPr>
      </w:pPr>
      <w:r w:rsidRPr="005228D9">
        <w:rPr>
          <w:rFonts w:asciiTheme="minorHAnsi" w:hAnsiTheme="minorHAnsi" w:cstheme="minorHAnsi"/>
          <w:b/>
          <w:color w:val="auto"/>
          <w:sz w:val="20"/>
          <w:szCs w:val="20"/>
        </w:rPr>
        <w:t>Collecte de l’information</w:t>
      </w:r>
    </w:p>
    <w:p w14:paraId="48C0DAAB" w14:textId="77777777" w:rsidR="008A6647" w:rsidRPr="005228D9" w:rsidRDefault="008A6647" w:rsidP="00A97663">
      <w:pPr>
        <w:pStyle w:val="Standard"/>
        <w:numPr>
          <w:ilvl w:val="0"/>
          <w:numId w:val="97"/>
        </w:numPr>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Briefing d’orientation par les autorités du Ministère de la santé</w:t>
      </w:r>
    </w:p>
    <w:p w14:paraId="2991BA0C" w14:textId="77777777" w:rsidR="008A6647" w:rsidRPr="005228D9" w:rsidRDefault="008A6647" w:rsidP="00A97663">
      <w:pPr>
        <w:pStyle w:val="Standard"/>
        <w:numPr>
          <w:ilvl w:val="0"/>
          <w:numId w:val="97"/>
        </w:numPr>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lastRenderedPageBreak/>
        <w:t>Revue documentaire : Documents stratégiques nationaux et mondiaux, rapports des sous groupes mis en place dans l’équipe fonctionnelle (SRMNEA, Nutrition, Actions transversales, Analyse des GAP, Financement)</w:t>
      </w:r>
    </w:p>
    <w:p w14:paraId="569B35BA" w14:textId="77777777" w:rsidR="008A6647" w:rsidRPr="005228D9" w:rsidRDefault="008A6647" w:rsidP="00A97663">
      <w:pPr>
        <w:pStyle w:val="Standard"/>
        <w:numPr>
          <w:ilvl w:val="0"/>
          <w:numId w:val="97"/>
        </w:numPr>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Entretien avec quelques informateurs clés : PTF (OMS, UNICEF, UNFPA –Chef de File, UE, USAID), Représentant du secteur privé,  Représentant de la société civile,</w:t>
      </w:r>
    </w:p>
    <w:p w14:paraId="1B68F278" w14:textId="77777777" w:rsidR="008A6647" w:rsidRPr="005228D9" w:rsidRDefault="008A6647" w:rsidP="00A97663">
      <w:pPr>
        <w:pStyle w:val="Standard"/>
        <w:numPr>
          <w:ilvl w:val="2"/>
          <w:numId w:val="102"/>
        </w:numPr>
        <w:spacing w:after="0"/>
        <w:jc w:val="both"/>
        <w:rPr>
          <w:rFonts w:asciiTheme="minorHAnsi" w:hAnsiTheme="minorHAnsi" w:cstheme="minorHAnsi"/>
          <w:b/>
          <w:color w:val="auto"/>
          <w:sz w:val="20"/>
          <w:szCs w:val="20"/>
        </w:rPr>
      </w:pPr>
      <w:r w:rsidRPr="005228D9">
        <w:rPr>
          <w:rFonts w:asciiTheme="minorHAnsi" w:hAnsiTheme="minorHAnsi" w:cstheme="minorHAnsi"/>
          <w:b/>
          <w:color w:val="auto"/>
          <w:sz w:val="20"/>
          <w:szCs w:val="20"/>
        </w:rPr>
        <w:t>Analyse de situ</w:t>
      </w:r>
      <w:r w:rsidRPr="005228D9">
        <w:rPr>
          <w:rFonts w:asciiTheme="minorHAnsi" w:hAnsiTheme="minorHAnsi" w:cstheme="minorHAnsi"/>
          <w:b/>
          <w:color w:val="auto"/>
          <w:sz w:val="20"/>
          <w:szCs w:val="20"/>
          <w:lang w:val="en-US"/>
        </w:rPr>
        <w:t>a</w:t>
      </w:r>
      <w:r w:rsidRPr="005228D9">
        <w:rPr>
          <w:rFonts w:asciiTheme="minorHAnsi" w:hAnsiTheme="minorHAnsi" w:cstheme="minorHAnsi"/>
          <w:b/>
          <w:color w:val="auto"/>
          <w:sz w:val="20"/>
          <w:szCs w:val="20"/>
        </w:rPr>
        <w:t>tion</w:t>
      </w:r>
    </w:p>
    <w:p w14:paraId="242AAD87" w14:textId="77777777" w:rsidR="008A6647" w:rsidRPr="005228D9" w:rsidRDefault="008A6647" w:rsidP="00A97663">
      <w:pPr>
        <w:pStyle w:val="Standard"/>
        <w:numPr>
          <w:ilvl w:val="0"/>
          <w:numId w:val="99"/>
        </w:numPr>
        <w:spacing w:after="0"/>
        <w:jc w:val="both"/>
        <w:rPr>
          <w:rFonts w:asciiTheme="minorHAnsi" w:hAnsiTheme="minorHAnsi" w:cstheme="minorHAnsi"/>
          <w:sz w:val="20"/>
          <w:szCs w:val="20"/>
        </w:rPr>
      </w:pPr>
      <w:r w:rsidRPr="005228D9">
        <w:rPr>
          <w:rFonts w:asciiTheme="minorHAnsi" w:hAnsiTheme="minorHAnsi" w:cstheme="minorHAnsi"/>
          <w:color w:val="auto"/>
          <w:sz w:val="20"/>
          <w:szCs w:val="20"/>
        </w:rPr>
        <w:t xml:space="preserve">A partir d’une analyse documentaire et notamment </w:t>
      </w:r>
      <w:r w:rsidRPr="005228D9">
        <w:rPr>
          <w:rFonts w:asciiTheme="minorHAnsi" w:hAnsiTheme="minorHAnsi" w:cstheme="minorHAnsi"/>
          <w:sz w:val="20"/>
          <w:szCs w:val="20"/>
        </w:rPr>
        <w:t>des indicateurs clefs (Mortalité Maternelle, Mortalité néonatale, Mortalité infanto-juvénile, Malnutrition, Santé des adolescents/jeunes)</w:t>
      </w:r>
      <w:r w:rsidRPr="005228D9">
        <w:rPr>
          <w:rFonts w:asciiTheme="minorHAnsi" w:hAnsiTheme="minorHAnsi" w:cstheme="minorHAnsi"/>
          <w:color w:val="auto"/>
          <w:sz w:val="20"/>
          <w:szCs w:val="20"/>
        </w:rPr>
        <w:t xml:space="preserve">, préciser la situation </w:t>
      </w:r>
      <w:r w:rsidRPr="005228D9">
        <w:rPr>
          <w:rFonts w:asciiTheme="minorHAnsi" w:hAnsiTheme="minorHAnsi" w:cstheme="minorHAnsi"/>
          <w:sz w:val="20"/>
          <w:szCs w:val="20"/>
        </w:rPr>
        <w:t>de la santé de la reproduction de la mère, du nouveau-né, de l’enfant et des adolescents et la situation en termes de malnutrition.</w:t>
      </w:r>
    </w:p>
    <w:p w14:paraId="144FD5E8" w14:textId="77777777" w:rsidR="008A6647" w:rsidRPr="005228D9" w:rsidRDefault="008A6647" w:rsidP="00A97663">
      <w:pPr>
        <w:pStyle w:val="Standard"/>
        <w:numPr>
          <w:ilvl w:val="0"/>
          <w:numId w:val="99"/>
        </w:numPr>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A partir de l’analyse des indicateurs clés, identifier les écarts (valeur cible de l’indicateur-valeur atteinte) qui seront traduites en  gaps de performance.</w:t>
      </w:r>
    </w:p>
    <w:p w14:paraId="55CDF228" w14:textId="77777777" w:rsidR="008A6647" w:rsidRPr="005228D9" w:rsidRDefault="008A6647" w:rsidP="00A97663">
      <w:pPr>
        <w:pStyle w:val="Standard"/>
        <w:numPr>
          <w:ilvl w:val="0"/>
          <w:numId w:val="99"/>
        </w:numPr>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Rechercher les goulots d’étranglement qui causent les gaps (Analyse SWOT et utilisation de l’outil PHCPI)</w:t>
      </w:r>
    </w:p>
    <w:p w14:paraId="58CFD04E" w14:textId="77777777" w:rsidR="008A6647" w:rsidRPr="005228D9" w:rsidRDefault="008A6647" w:rsidP="00A97663">
      <w:pPr>
        <w:pStyle w:val="Standard"/>
        <w:numPr>
          <w:ilvl w:val="0"/>
          <w:numId w:val="99"/>
        </w:numPr>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 xml:space="preserve">A partir de l’analyse des causes des goulots d’étranglement, identifier les interventions prioritaires pour lever les goulots d’étranglement </w:t>
      </w:r>
    </w:p>
    <w:p w14:paraId="37773021" w14:textId="77777777" w:rsidR="008A6647" w:rsidRPr="005228D9" w:rsidRDefault="008A6647" w:rsidP="00A97663">
      <w:pPr>
        <w:pStyle w:val="Standard"/>
        <w:numPr>
          <w:ilvl w:val="2"/>
          <w:numId w:val="102"/>
        </w:numPr>
        <w:spacing w:after="0"/>
        <w:jc w:val="both"/>
        <w:rPr>
          <w:rFonts w:asciiTheme="minorHAnsi" w:hAnsiTheme="minorHAnsi" w:cstheme="minorHAnsi"/>
          <w:b/>
          <w:color w:val="auto"/>
          <w:sz w:val="20"/>
          <w:szCs w:val="20"/>
        </w:rPr>
      </w:pPr>
      <w:r w:rsidRPr="005228D9">
        <w:rPr>
          <w:rFonts w:asciiTheme="minorHAnsi" w:hAnsiTheme="minorHAnsi" w:cstheme="minorHAnsi"/>
          <w:b/>
          <w:color w:val="auto"/>
          <w:sz w:val="20"/>
          <w:szCs w:val="20"/>
        </w:rPr>
        <w:t>Validation du diagnostic, de la réponse aux causes des goulots d’étranglement et du choix de la zone d’intervention</w:t>
      </w:r>
    </w:p>
    <w:p w14:paraId="727E3C20" w14:textId="77777777" w:rsidR="008A6647" w:rsidRPr="005228D9" w:rsidRDefault="008A6647" w:rsidP="008A6647">
      <w:pPr>
        <w:pStyle w:val="Standard"/>
        <w:spacing w:after="0"/>
        <w:ind w:left="72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La validation sera faite au travers de réunions au cours desquelles les consultants présenteront leur contribution aux membres de l’équipe fonctionnelle 7 :</w:t>
      </w:r>
    </w:p>
    <w:p w14:paraId="6FD5852B" w14:textId="77777777" w:rsidR="008A6647" w:rsidRPr="005228D9" w:rsidRDefault="008A6647" w:rsidP="00A97663">
      <w:pPr>
        <w:pStyle w:val="Standard"/>
        <w:numPr>
          <w:ilvl w:val="0"/>
          <w:numId w:val="98"/>
        </w:numPr>
        <w:spacing w:after="0"/>
        <w:jc w:val="both"/>
        <w:rPr>
          <w:rFonts w:asciiTheme="minorHAnsi" w:hAnsiTheme="minorHAnsi" w:cstheme="minorHAnsi"/>
          <w:sz w:val="20"/>
          <w:szCs w:val="20"/>
        </w:rPr>
      </w:pPr>
      <w:r w:rsidRPr="005228D9">
        <w:rPr>
          <w:rFonts w:asciiTheme="minorHAnsi" w:hAnsiTheme="minorHAnsi" w:cstheme="minorHAnsi"/>
          <w:color w:val="auto"/>
          <w:sz w:val="20"/>
          <w:szCs w:val="20"/>
        </w:rPr>
        <w:t>1</w:t>
      </w:r>
      <w:r w:rsidRPr="005228D9">
        <w:rPr>
          <w:rFonts w:asciiTheme="minorHAnsi" w:hAnsiTheme="minorHAnsi" w:cstheme="minorHAnsi"/>
          <w:color w:val="auto"/>
          <w:sz w:val="20"/>
          <w:szCs w:val="20"/>
          <w:vertAlign w:val="superscript"/>
        </w:rPr>
        <w:t>ère</w:t>
      </w:r>
      <w:r w:rsidRPr="005228D9">
        <w:rPr>
          <w:rFonts w:asciiTheme="minorHAnsi" w:hAnsiTheme="minorHAnsi" w:cstheme="minorHAnsi"/>
          <w:color w:val="auto"/>
          <w:sz w:val="20"/>
          <w:szCs w:val="20"/>
        </w:rPr>
        <w:t xml:space="preserve"> Réunion </w:t>
      </w:r>
      <w:r w:rsidRPr="005228D9">
        <w:rPr>
          <w:rFonts w:asciiTheme="minorHAnsi" w:hAnsiTheme="minorHAnsi" w:cstheme="minorHAnsi"/>
          <w:color w:val="auto"/>
          <w:sz w:val="20"/>
          <w:szCs w:val="20"/>
          <w:highlight w:val="yellow"/>
        </w:rPr>
        <w:t>(13-09-2018)</w:t>
      </w:r>
      <w:r w:rsidRPr="005228D9">
        <w:rPr>
          <w:rFonts w:asciiTheme="minorHAnsi" w:hAnsiTheme="minorHAnsi" w:cstheme="minorHAnsi"/>
          <w:color w:val="auto"/>
          <w:sz w:val="20"/>
          <w:szCs w:val="20"/>
        </w:rPr>
        <w:t xml:space="preserve"> : Présentation de la méthodologie</w:t>
      </w:r>
    </w:p>
    <w:p w14:paraId="6D62B209" w14:textId="77777777" w:rsidR="008A6647" w:rsidRPr="005228D9" w:rsidRDefault="008A6647" w:rsidP="00A97663">
      <w:pPr>
        <w:pStyle w:val="Standard"/>
        <w:numPr>
          <w:ilvl w:val="0"/>
          <w:numId w:val="98"/>
        </w:numPr>
        <w:spacing w:after="0"/>
        <w:jc w:val="both"/>
        <w:rPr>
          <w:rFonts w:asciiTheme="minorHAnsi" w:hAnsiTheme="minorHAnsi" w:cstheme="minorHAnsi"/>
          <w:sz w:val="20"/>
          <w:szCs w:val="20"/>
        </w:rPr>
      </w:pPr>
      <w:r w:rsidRPr="005228D9">
        <w:rPr>
          <w:rFonts w:asciiTheme="minorHAnsi" w:hAnsiTheme="minorHAnsi" w:cstheme="minorHAnsi"/>
          <w:sz w:val="20"/>
          <w:szCs w:val="20"/>
        </w:rPr>
        <w:t>2</w:t>
      </w:r>
      <w:r w:rsidRPr="005228D9">
        <w:rPr>
          <w:rFonts w:asciiTheme="minorHAnsi" w:hAnsiTheme="minorHAnsi" w:cstheme="minorHAnsi"/>
          <w:sz w:val="20"/>
          <w:szCs w:val="20"/>
          <w:vertAlign w:val="superscript"/>
        </w:rPr>
        <w:t>e</w:t>
      </w:r>
      <w:r w:rsidRPr="005228D9">
        <w:rPr>
          <w:rFonts w:asciiTheme="minorHAnsi" w:hAnsiTheme="minorHAnsi" w:cstheme="minorHAnsi"/>
          <w:sz w:val="20"/>
          <w:szCs w:val="20"/>
        </w:rPr>
        <w:t xml:space="preserve"> Réunion </w:t>
      </w:r>
      <w:r w:rsidRPr="005228D9">
        <w:rPr>
          <w:rFonts w:asciiTheme="minorHAnsi" w:hAnsiTheme="minorHAnsi" w:cstheme="minorHAnsi"/>
          <w:sz w:val="20"/>
          <w:szCs w:val="20"/>
          <w:highlight w:val="yellow"/>
        </w:rPr>
        <w:t>(25-09-2018)</w:t>
      </w:r>
      <w:r w:rsidRPr="005228D9">
        <w:rPr>
          <w:rFonts w:asciiTheme="minorHAnsi" w:hAnsiTheme="minorHAnsi" w:cstheme="minorHAnsi"/>
          <w:sz w:val="20"/>
          <w:szCs w:val="20"/>
        </w:rPr>
        <w:t>: Présentation de l’analyse des gaps et de l'approche de sécurisation des activités vitales et essentielles et la  sécurisation du financement pour les activités vitales et essentielles</w:t>
      </w:r>
    </w:p>
    <w:p w14:paraId="7E55075D" w14:textId="77777777" w:rsidR="008A6647" w:rsidRPr="005228D9" w:rsidRDefault="008A6647" w:rsidP="00A97663">
      <w:pPr>
        <w:pStyle w:val="Standard"/>
        <w:numPr>
          <w:ilvl w:val="0"/>
          <w:numId w:val="98"/>
        </w:numPr>
        <w:spacing w:after="0"/>
        <w:jc w:val="both"/>
        <w:rPr>
          <w:rFonts w:asciiTheme="minorHAnsi" w:hAnsiTheme="minorHAnsi" w:cstheme="minorHAnsi"/>
          <w:sz w:val="20"/>
          <w:szCs w:val="20"/>
        </w:rPr>
      </w:pPr>
      <w:r w:rsidRPr="005228D9">
        <w:rPr>
          <w:rFonts w:asciiTheme="minorHAnsi" w:hAnsiTheme="minorHAnsi" w:cstheme="minorHAnsi"/>
          <w:sz w:val="20"/>
          <w:szCs w:val="20"/>
        </w:rPr>
        <w:t>3</w:t>
      </w:r>
      <w:r w:rsidRPr="005228D9">
        <w:rPr>
          <w:rFonts w:asciiTheme="minorHAnsi" w:hAnsiTheme="minorHAnsi" w:cstheme="minorHAnsi"/>
          <w:sz w:val="20"/>
          <w:szCs w:val="20"/>
          <w:vertAlign w:val="superscript"/>
        </w:rPr>
        <w:t>e</w:t>
      </w:r>
      <w:r w:rsidRPr="005228D9">
        <w:rPr>
          <w:rFonts w:asciiTheme="minorHAnsi" w:hAnsiTheme="minorHAnsi" w:cstheme="minorHAnsi"/>
          <w:sz w:val="20"/>
          <w:szCs w:val="20"/>
        </w:rPr>
        <w:t xml:space="preserve"> Réunion </w:t>
      </w:r>
      <w:r w:rsidRPr="005228D9">
        <w:rPr>
          <w:rFonts w:asciiTheme="minorHAnsi" w:hAnsiTheme="minorHAnsi" w:cstheme="minorHAnsi"/>
          <w:sz w:val="20"/>
          <w:szCs w:val="20"/>
          <w:highlight w:val="yellow"/>
        </w:rPr>
        <w:t>(28-09-2018)</w:t>
      </w:r>
      <w:r w:rsidRPr="005228D9">
        <w:rPr>
          <w:rFonts w:asciiTheme="minorHAnsi" w:hAnsiTheme="minorHAnsi" w:cstheme="minorHAnsi"/>
          <w:sz w:val="20"/>
          <w:szCs w:val="20"/>
        </w:rPr>
        <w:t xml:space="preserve">: Présentation du rapport d’étape </w:t>
      </w:r>
    </w:p>
    <w:p w14:paraId="1F0883FB" w14:textId="77777777" w:rsidR="008A6647" w:rsidRPr="005228D9" w:rsidRDefault="008A6647" w:rsidP="00A97663">
      <w:pPr>
        <w:pStyle w:val="Standard"/>
        <w:numPr>
          <w:ilvl w:val="0"/>
          <w:numId w:val="98"/>
        </w:numPr>
        <w:jc w:val="both"/>
        <w:rPr>
          <w:rFonts w:asciiTheme="minorHAnsi" w:hAnsiTheme="minorHAnsi" w:cstheme="minorHAnsi"/>
          <w:color w:val="auto"/>
          <w:sz w:val="20"/>
          <w:szCs w:val="20"/>
        </w:rPr>
      </w:pPr>
      <w:r w:rsidRPr="005228D9">
        <w:rPr>
          <w:rFonts w:asciiTheme="minorHAnsi" w:hAnsiTheme="minorHAnsi" w:cstheme="minorHAnsi"/>
          <w:sz w:val="20"/>
          <w:szCs w:val="20"/>
        </w:rPr>
        <w:t>4</w:t>
      </w:r>
      <w:r w:rsidRPr="005228D9">
        <w:rPr>
          <w:rFonts w:asciiTheme="minorHAnsi" w:hAnsiTheme="minorHAnsi" w:cstheme="minorHAnsi"/>
          <w:sz w:val="20"/>
          <w:szCs w:val="20"/>
          <w:vertAlign w:val="superscript"/>
        </w:rPr>
        <w:t>e</w:t>
      </w:r>
      <w:r w:rsidRPr="005228D9">
        <w:rPr>
          <w:rFonts w:asciiTheme="minorHAnsi" w:hAnsiTheme="minorHAnsi" w:cstheme="minorHAnsi"/>
          <w:sz w:val="20"/>
          <w:szCs w:val="20"/>
        </w:rPr>
        <w:t xml:space="preserve"> Réunion </w:t>
      </w:r>
      <w:r w:rsidRPr="005228D9">
        <w:rPr>
          <w:rFonts w:asciiTheme="minorHAnsi" w:hAnsiTheme="minorHAnsi" w:cstheme="minorHAnsi"/>
          <w:sz w:val="20"/>
          <w:szCs w:val="20"/>
          <w:highlight w:val="yellow"/>
        </w:rPr>
        <w:t>(09-10-2018)</w:t>
      </w:r>
      <w:r w:rsidRPr="005228D9">
        <w:rPr>
          <w:rFonts w:asciiTheme="minorHAnsi" w:hAnsiTheme="minorHAnsi" w:cstheme="minorHAnsi"/>
          <w:sz w:val="20"/>
          <w:szCs w:val="20"/>
        </w:rPr>
        <w:t>: Présentation du rapport préliminaire du dossier d’investissement.</w:t>
      </w:r>
    </w:p>
    <w:p w14:paraId="24BBFE24" w14:textId="77777777" w:rsidR="008A6647" w:rsidRPr="005228D9" w:rsidRDefault="008A6647" w:rsidP="00A97663">
      <w:pPr>
        <w:pStyle w:val="Standard"/>
        <w:numPr>
          <w:ilvl w:val="2"/>
          <w:numId w:val="102"/>
        </w:numPr>
        <w:spacing w:after="0"/>
        <w:jc w:val="both"/>
        <w:rPr>
          <w:rFonts w:asciiTheme="minorHAnsi" w:hAnsiTheme="minorHAnsi" w:cstheme="minorHAnsi"/>
          <w:b/>
          <w:sz w:val="20"/>
          <w:szCs w:val="20"/>
        </w:rPr>
      </w:pPr>
      <w:r w:rsidRPr="005228D9">
        <w:rPr>
          <w:rFonts w:asciiTheme="minorHAnsi" w:hAnsiTheme="minorHAnsi" w:cstheme="minorHAnsi"/>
          <w:b/>
          <w:sz w:val="20"/>
          <w:szCs w:val="20"/>
        </w:rPr>
        <w:t>Description de la réponse pour lever les goulots d’étranglement</w:t>
      </w:r>
    </w:p>
    <w:p w14:paraId="5B116944" w14:textId="77777777" w:rsidR="008A6647" w:rsidRPr="005228D9" w:rsidRDefault="008A6647" w:rsidP="00A97663">
      <w:pPr>
        <w:pStyle w:val="Standard"/>
        <w:numPr>
          <w:ilvl w:val="0"/>
          <w:numId w:val="100"/>
        </w:numPr>
        <w:spacing w:after="0"/>
        <w:jc w:val="both"/>
        <w:rPr>
          <w:rFonts w:asciiTheme="minorHAnsi" w:hAnsiTheme="minorHAnsi" w:cstheme="minorHAnsi"/>
          <w:sz w:val="20"/>
          <w:szCs w:val="20"/>
        </w:rPr>
      </w:pPr>
      <w:r w:rsidRPr="005228D9">
        <w:rPr>
          <w:rFonts w:asciiTheme="minorHAnsi" w:hAnsiTheme="minorHAnsi" w:cstheme="minorHAnsi"/>
          <w:sz w:val="20"/>
          <w:szCs w:val="20"/>
        </w:rPr>
        <w:t xml:space="preserve">Description du changement escompté (Résultats attendus) en matière de santé de la reproduction de la mère, du nouveau-né, de l’enfant et des adolescents et la situation en termes de malnutrition. Le choix des résultats attendus doit tenir compte de l’équité, de l’efficience, les déterminants de la santé  et les tendances en matière de croissance économique, urbanisation, changements climatiques, conflits et épidémies. </w:t>
      </w:r>
    </w:p>
    <w:p w14:paraId="46004CC4" w14:textId="77777777" w:rsidR="008A6647" w:rsidRPr="005228D9" w:rsidRDefault="008A6647" w:rsidP="00A97663">
      <w:pPr>
        <w:pStyle w:val="Standard"/>
        <w:numPr>
          <w:ilvl w:val="0"/>
          <w:numId w:val="100"/>
        </w:numPr>
        <w:spacing w:after="0"/>
        <w:jc w:val="both"/>
        <w:rPr>
          <w:rFonts w:asciiTheme="minorHAnsi" w:hAnsiTheme="minorHAnsi" w:cstheme="minorHAnsi"/>
          <w:sz w:val="20"/>
          <w:szCs w:val="20"/>
        </w:rPr>
      </w:pPr>
      <w:r w:rsidRPr="005228D9">
        <w:rPr>
          <w:rFonts w:asciiTheme="minorHAnsi" w:hAnsiTheme="minorHAnsi" w:cstheme="minorHAnsi"/>
          <w:sz w:val="20"/>
          <w:szCs w:val="20"/>
        </w:rPr>
        <w:t>Choix des investissements prioritaires pour atteindre les résultats attendus. Pour chaque intervention, les éléments suivants seront précisés : Quoi, comment, pour qui et où.</w:t>
      </w:r>
    </w:p>
    <w:p w14:paraId="148DC6BC" w14:textId="77777777" w:rsidR="008A6647" w:rsidRPr="005228D9" w:rsidRDefault="008A6647" w:rsidP="00A97663">
      <w:pPr>
        <w:pStyle w:val="Standard"/>
        <w:numPr>
          <w:ilvl w:val="0"/>
          <w:numId w:val="100"/>
        </w:numPr>
        <w:jc w:val="both"/>
        <w:rPr>
          <w:rFonts w:asciiTheme="minorHAnsi" w:hAnsiTheme="minorHAnsi" w:cstheme="minorHAnsi"/>
          <w:sz w:val="20"/>
          <w:szCs w:val="20"/>
        </w:rPr>
      </w:pPr>
      <w:r w:rsidRPr="005228D9">
        <w:rPr>
          <w:rFonts w:asciiTheme="minorHAnsi" w:hAnsiTheme="minorHAnsi" w:cstheme="minorHAnsi"/>
          <w:sz w:val="20"/>
          <w:szCs w:val="20"/>
        </w:rPr>
        <w:t>Description des interventions de renforcement du système de santé nécessaires pour fournir les interventions a haut impact de SRMNEA-N</w:t>
      </w:r>
    </w:p>
    <w:p w14:paraId="1E0DD15F" w14:textId="77777777" w:rsidR="008A6647" w:rsidRPr="005228D9" w:rsidRDefault="008A6647" w:rsidP="00A97663">
      <w:pPr>
        <w:pStyle w:val="Standard"/>
        <w:numPr>
          <w:ilvl w:val="2"/>
          <w:numId w:val="102"/>
        </w:numPr>
        <w:jc w:val="both"/>
        <w:rPr>
          <w:rFonts w:asciiTheme="minorHAnsi" w:hAnsiTheme="minorHAnsi" w:cstheme="minorHAnsi"/>
          <w:b/>
          <w:color w:val="auto"/>
          <w:sz w:val="20"/>
          <w:szCs w:val="20"/>
        </w:rPr>
      </w:pPr>
      <w:r w:rsidRPr="005228D9">
        <w:rPr>
          <w:rFonts w:asciiTheme="minorHAnsi" w:hAnsiTheme="minorHAnsi" w:cstheme="minorHAnsi"/>
          <w:b/>
          <w:color w:val="auto"/>
          <w:sz w:val="20"/>
          <w:szCs w:val="20"/>
        </w:rPr>
        <w:t>Budgétisation des interventions</w:t>
      </w:r>
    </w:p>
    <w:p w14:paraId="1325F066" w14:textId="77777777" w:rsidR="008A6647" w:rsidRPr="005228D9" w:rsidRDefault="008A6647" w:rsidP="00A97663">
      <w:pPr>
        <w:pStyle w:val="Paragraphedeliste"/>
        <w:numPr>
          <w:ilvl w:val="3"/>
          <w:numId w:val="102"/>
        </w:numPr>
        <w:spacing w:after="0"/>
        <w:jc w:val="both"/>
        <w:rPr>
          <w:rFonts w:cstheme="minorHAnsi"/>
          <w:b/>
          <w:i/>
          <w:sz w:val="20"/>
          <w:szCs w:val="20"/>
        </w:rPr>
      </w:pPr>
      <w:r w:rsidRPr="005228D9">
        <w:rPr>
          <w:rFonts w:cstheme="minorHAnsi"/>
          <w:b/>
          <w:i/>
          <w:sz w:val="20"/>
          <w:szCs w:val="20"/>
        </w:rPr>
        <w:t>Conduite du processus de costing</w:t>
      </w:r>
    </w:p>
    <w:p w14:paraId="31842616" w14:textId="77777777" w:rsidR="008A6647" w:rsidRPr="005228D9" w:rsidRDefault="008A6647" w:rsidP="008A6647">
      <w:pPr>
        <w:spacing w:after="0"/>
        <w:jc w:val="both"/>
        <w:rPr>
          <w:rFonts w:cstheme="minorHAnsi"/>
          <w:sz w:val="20"/>
          <w:szCs w:val="20"/>
        </w:rPr>
      </w:pPr>
      <w:r w:rsidRPr="005228D9">
        <w:rPr>
          <w:rFonts w:cstheme="minorHAnsi"/>
          <w:sz w:val="20"/>
          <w:szCs w:val="20"/>
        </w:rPr>
        <w:t xml:space="preserve">Le costing de la SRMNEAN obéira aux étapes suivantes : </w:t>
      </w:r>
    </w:p>
    <w:p w14:paraId="35B5FA33" w14:textId="77777777" w:rsidR="008A6647" w:rsidRPr="005228D9" w:rsidRDefault="008A6647" w:rsidP="00A97663">
      <w:pPr>
        <w:pStyle w:val="Paragraphedeliste"/>
        <w:numPr>
          <w:ilvl w:val="0"/>
          <w:numId w:val="103"/>
        </w:numPr>
        <w:spacing w:after="0"/>
        <w:jc w:val="both"/>
        <w:rPr>
          <w:rFonts w:cstheme="minorHAnsi"/>
          <w:b/>
          <w:sz w:val="20"/>
          <w:szCs w:val="20"/>
        </w:rPr>
      </w:pPr>
      <w:r w:rsidRPr="005228D9">
        <w:rPr>
          <w:rFonts w:cstheme="minorHAnsi"/>
          <w:b/>
          <w:sz w:val="20"/>
          <w:szCs w:val="20"/>
        </w:rPr>
        <w:t xml:space="preserve">Phase préparatoire </w:t>
      </w:r>
    </w:p>
    <w:p w14:paraId="214C590F" w14:textId="77777777" w:rsidR="008A6647" w:rsidRPr="005228D9" w:rsidRDefault="008A6647" w:rsidP="008A6647">
      <w:pPr>
        <w:spacing w:after="0"/>
        <w:jc w:val="both"/>
        <w:rPr>
          <w:rFonts w:cstheme="minorHAnsi"/>
          <w:sz w:val="20"/>
          <w:szCs w:val="20"/>
        </w:rPr>
      </w:pPr>
      <w:r w:rsidRPr="005228D9">
        <w:rPr>
          <w:rFonts w:cstheme="minorHAnsi"/>
          <w:sz w:val="20"/>
          <w:szCs w:val="20"/>
        </w:rPr>
        <w:t>Cette étape est purement administrative puisqu’elle sera consacrée à une prise de contact du consultant avec les acteurs concernés par le travail de costing. Elle permettra en même temps le recueil de certains documents nécessaires à la budgétisation.</w:t>
      </w:r>
    </w:p>
    <w:p w14:paraId="090168D2" w14:textId="77777777" w:rsidR="008A6647" w:rsidRPr="005228D9" w:rsidRDefault="008A6647" w:rsidP="00A97663">
      <w:pPr>
        <w:pStyle w:val="Paragraphedeliste"/>
        <w:numPr>
          <w:ilvl w:val="0"/>
          <w:numId w:val="103"/>
        </w:numPr>
        <w:spacing w:after="0"/>
        <w:jc w:val="both"/>
        <w:rPr>
          <w:rFonts w:cstheme="minorHAnsi"/>
          <w:b/>
          <w:sz w:val="20"/>
          <w:szCs w:val="20"/>
        </w:rPr>
      </w:pPr>
      <w:r w:rsidRPr="005228D9">
        <w:rPr>
          <w:rFonts w:cstheme="minorHAnsi"/>
          <w:b/>
          <w:sz w:val="20"/>
          <w:szCs w:val="20"/>
        </w:rPr>
        <w:t>Phase de costing</w:t>
      </w:r>
    </w:p>
    <w:p w14:paraId="161F0800" w14:textId="77777777" w:rsidR="008A6647" w:rsidRPr="005228D9" w:rsidRDefault="008A6647" w:rsidP="008A6647">
      <w:pPr>
        <w:spacing w:after="0"/>
        <w:jc w:val="both"/>
        <w:rPr>
          <w:rFonts w:cstheme="minorHAnsi"/>
          <w:sz w:val="20"/>
          <w:szCs w:val="20"/>
        </w:rPr>
      </w:pPr>
      <w:r w:rsidRPr="005228D9">
        <w:rPr>
          <w:rFonts w:cstheme="minorHAnsi"/>
          <w:sz w:val="20"/>
          <w:szCs w:val="20"/>
        </w:rPr>
        <w:t>L’utilisation de l’OHT passe nécessairement par des étapes essentielles :</w:t>
      </w:r>
    </w:p>
    <w:p w14:paraId="3F8294F5" w14:textId="77777777" w:rsidR="008A6647" w:rsidRPr="005228D9" w:rsidRDefault="008A6647" w:rsidP="008A6647">
      <w:pPr>
        <w:spacing w:after="0"/>
        <w:jc w:val="both"/>
        <w:rPr>
          <w:rFonts w:cstheme="minorHAnsi"/>
          <w:sz w:val="20"/>
          <w:szCs w:val="20"/>
        </w:rPr>
      </w:pPr>
      <w:r w:rsidRPr="005228D9">
        <w:rPr>
          <w:rFonts w:cstheme="minorHAnsi"/>
          <w:b/>
          <w:sz w:val="20"/>
          <w:szCs w:val="20"/>
        </w:rPr>
        <w:t>(1)</w:t>
      </w:r>
      <w:r w:rsidRPr="005228D9">
        <w:rPr>
          <w:rFonts w:cstheme="minorHAnsi"/>
          <w:sz w:val="20"/>
          <w:szCs w:val="20"/>
        </w:rPr>
        <w:t xml:space="preserve"> La présentation des différentes étapes de l’OHT aux utilisateurs potentiels ;</w:t>
      </w:r>
    </w:p>
    <w:p w14:paraId="0F99543F" w14:textId="77777777" w:rsidR="008A6647" w:rsidRPr="005228D9" w:rsidRDefault="008A6647" w:rsidP="008A6647">
      <w:pPr>
        <w:spacing w:after="0"/>
        <w:jc w:val="both"/>
        <w:rPr>
          <w:rFonts w:cstheme="minorHAnsi"/>
          <w:sz w:val="20"/>
          <w:szCs w:val="20"/>
        </w:rPr>
      </w:pPr>
      <w:r w:rsidRPr="005228D9">
        <w:rPr>
          <w:rFonts w:cstheme="minorHAnsi"/>
          <w:b/>
          <w:sz w:val="20"/>
          <w:szCs w:val="20"/>
        </w:rPr>
        <w:lastRenderedPageBreak/>
        <w:t>(2)</w:t>
      </w:r>
      <w:r w:rsidRPr="005228D9">
        <w:rPr>
          <w:rFonts w:cstheme="minorHAnsi"/>
          <w:sz w:val="20"/>
          <w:szCs w:val="20"/>
        </w:rPr>
        <w:t xml:space="preserve"> le paramétrage des interventions : la réalisation du paramétrage peut avoir lieu au cours d’une séance de travail avec l’équipe fonctionnelle n°7 en vue de retenir et de déterminer les interventions à haut impact à prendre en compte dans l’outil pour la budgétisation;</w:t>
      </w:r>
    </w:p>
    <w:p w14:paraId="0841B52E" w14:textId="77777777" w:rsidR="008A6647" w:rsidRPr="005228D9" w:rsidRDefault="008A6647" w:rsidP="008A6647">
      <w:pPr>
        <w:spacing w:after="0"/>
        <w:jc w:val="both"/>
        <w:rPr>
          <w:rFonts w:cstheme="minorHAnsi"/>
          <w:sz w:val="20"/>
          <w:szCs w:val="20"/>
        </w:rPr>
      </w:pPr>
      <w:r w:rsidRPr="005228D9">
        <w:rPr>
          <w:rFonts w:cstheme="minorHAnsi"/>
          <w:b/>
          <w:sz w:val="20"/>
          <w:szCs w:val="20"/>
        </w:rPr>
        <w:t xml:space="preserve"> (3)</w:t>
      </w:r>
      <w:r w:rsidRPr="005228D9">
        <w:rPr>
          <w:rFonts w:cstheme="minorHAnsi"/>
          <w:sz w:val="20"/>
          <w:szCs w:val="20"/>
        </w:rPr>
        <w:t xml:space="preserve"> la collecte et apurement des données : elle consiste à une collecte active des données dans les structures sanitaires qui ont lien avec la SRMNEAN afin de collecter et vérifier l’exactitude des données ;</w:t>
      </w:r>
    </w:p>
    <w:p w14:paraId="5BD05357" w14:textId="77777777" w:rsidR="008A6647" w:rsidRPr="005228D9" w:rsidRDefault="008A6647" w:rsidP="008A6647">
      <w:pPr>
        <w:spacing w:after="0"/>
        <w:jc w:val="both"/>
        <w:rPr>
          <w:rFonts w:cstheme="minorHAnsi"/>
          <w:sz w:val="20"/>
          <w:szCs w:val="20"/>
        </w:rPr>
      </w:pPr>
      <w:r w:rsidRPr="005228D9">
        <w:rPr>
          <w:rFonts w:cstheme="minorHAnsi"/>
          <w:b/>
          <w:sz w:val="20"/>
          <w:szCs w:val="20"/>
        </w:rPr>
        <w:t xml:space="preserve"> (4)</w:t>
      </w:r>
      <w:r w:rsidRPr="005228D9">
        <w:rPr>
          <w:rFonts w:cstheme="minorHAnsi"/>
          <w:sz w:val="20"/>
          <w:szCs w:val="20"/>
        </w:rPr>
        <w:t xml:space="preserve"> la saisie des données collectées dans l’outil : elle gagnerait à se faire en atelier(s) afin de garantir le consensus dans le choix de ces données;</w:t>
      </w:r>
    </w:p>
    <w:p w14:paraId="621A2232" w14:textId="77777777" w:rsidR="008A6647" w:rsidRPr="005228D9" w:rsidRDefault="008A6647" w:rsidP="008A6647">
      <w:pPr>
        <w:spacing w:after="0"/>
        <w:jc w:val="both"/>
        <w:rPr>
          <w:rFonts w:cstheme="minorHAnsi"/>
          <w:sz w:val="20"/>
          <w:szCs w:val="20"/>
        </w:rPr>
      </w:pPr>
      <w:r w:rsidRPr="005228D9">
        <w:rPr>
          <w:rFonts w:cstheme="minorHAnsi"/>
          <w:b/>
          <w:sz w:val="20"/>
          <w:szCs w:val="20"/>
        </w:rPr>
        <w:t>(5)</w:t>
      </w:r>
      <w:r w:rsidRPr="005228D9">
        <w:rPr>
          <w:rFonts w:cstheme="minorHAnsi"/>
          <w:sz w:val="20"/>
          <w:szCs w:val="20"/>
        </w:rPr>
        <w:t xml:space="preserve">l’analyse des outputs en vue de faire, de manière objective, les choix stratégiques qui répondent à la situation dont les caractéristiques ont été saisies dans l’outil. </w:t>
      </w:r>
    </w:p>
    <w:p w14:paraId="1F9EC018" w14:textId="77777777" w:rsidR="008A6647" w:rsidRPr="005228D9" w:rsidRDefault="008A6647" w:rsidP="00A97663">
      <w:pPr>
        <w:pStyle w:val="Paragraphedeliste"/>
        <w:numPr>
          <w:ilvl w:val="3"/>
          <w:numId w:val="102"/>
        </w:numPr>
        <w:spacing w:after="0"/>
        <w:jc w:val="both"/>
        <w:rPr>
          <w:rFonts w:cstheme="minorHAnsi"/>
          <w:b/>
          <w:i/>
          <w:sz w:val="20"/>
          <w:szCs w:val="20"/>
        </w:rPr>
      </w:pPr>
      <w:r w:rsidRPr="005228D9">
        <w:rPr>
          <w:rFonts w:cstheme="minorHAnsi"/>
          <w:b/>
          <w:i/>
          <w:sz w:val="20"/>
          <w:szCs w:val="20"/>
        </w:rPr>
        <w:t>Besoins d’information</w:t>
      </w:r>
    </w:p>
    <w:p w14:paraId="283C09B9" w14:textId="77777777" w:rsidR="008A6647" w:rsidRPr="005228D9" w:rsidRDefault="008A6647" w:rsidP="008A6647">
      <w:pPr>
        <w:spacing w:after="0"/>
        <w:jc w:val="both"/>
        <w:rPr>
          <w:rFonts w:cstheme="minorHAnsi"/>
          <w:sz w:val="20"/>
          <w:szCs w:val="20"/>
        </w:rPr>
      </w:pPr>
      <w:r w:rsidRPr="005228D9">
        <w:rPr>
          <w:rFonts w:cstheme="minorHAnsi"/>
          <w:sz w:val="20"/>
          <w:szCs w:val="20"/>
        </w:rPr>
        <w:t>Un nombre non négligeable d’informations quantitatives et qualitatives sera nécessaire pour un costing solide.</w:t>
      </w:r>
    </w:p>
    <w:p w14:paraId="224DD01B" w14:textId="77777777" w:rsidR="008A6647" w:rsidRPr="005228D9" w:rsidRDefault="008A6647" w:rsidP="008A6647">
      <w:pPr>
        <w:spacing w:after="0"/>
        <w:jc w:val="both"/>
        <w:rPr>
          <w:rFonts w:cstheme="minorHAnsi"/>
          <w:sz w:val="20"/>
          <w:szCs w:val="20"/>
        </w:rPr>
      </w:pPr>
      <w:r w:rsidRPr="005228D9">
        <w:rPr>
          <w:rFonts w:cstheme="minorHAnsi"/>
          <w:sz w:val="20"/>
          <w:szCs w:val="20"/>
        </w:rPr>
        <w:t xml:space="preserve">Les informations quantitatives et qualitatives nécessaires pour renseigner l’outil OHT sont de quatre types différents : </w:t>
      </w:r>
    </w:p>
    <w:p w14:paraId="1E3563BE" w14:textId="77777777" w:rsidR="008A6647" w:rsidRPr="005228D9" w:rsidRDefault="008A6647" w:rsidP="008A6647">
      <w:pPr>
        <w:spacing w:after="0"/>
        <w:jc w:val="both"/>
        <w:rPr>
          <w:rFonts w:cstheme="minorHAnsi"/>
          <w:sz w:val="20"/>
          <w:szCs w:val="20"/>
        </w:rPr>
      </w:pPr>
      <w:r w:rsidRPr="005228D9">
        <w:rPr>
          <w:rFonts w:cstheme="minorHAnsi"/>
          <w:sz w:val="20"/>
          <w:szCs w:val="20"/>
        </w:rPr>
        <w:t>•</w:t>
      </w:r>
      <w:r w:rsidRPr="005228D9">
        <w:rPr>
          <w:rFonts w:cstheme="minorHAnsi"/>
          <w:sz w:val="20"/>
          <w:szCs w:val="20"/>
        </w:rPr>
        <w:tab/>
        <w:t>Les données épidémiologiques de mortalité et de morbidité permettant de faire le choix des impacts au regard des résultats d’effets visés. Les principales sources seraient les enquêtes populationnelles, en particulier l’EDS ou la MICS et  SMART.</w:t>
      </w:r>
    </w:p>
    <w:p w14:paraId="014031E4" w14:textId="77777777" w:rsidR="008A6647" w:rsidRPr="005228D9" w:rsidRDefault="008A6647" w:rsidP="008A6647">
      <w:pPr>
        <w:spacing w:after="0"/>
        <w:jc w:val="both"/>
        <w:rPr>
          <w:rFonts w:cstheme="minorHAnsi"/>
          <w:sz w:val="20"/>
          <w:szCs w:val="20"/>
        </w:rPr>
      </w:pPr>
      <w:r w:rsidRPr="005228D9">
        <w:rPr>
          <w:rFonts w:cstheme="minorHAnsi"/>
          <w:sz w:val="20"/>
          <w:szCs w:val="20"/>
        </w:rPr>
        <w:t>•</w:t>
      </w:r>
      <w:r w:rsidRPr="005228D9">
        <w:rPr>
          <w:rFonts w:cstheme="minorHAnsi"/>
          <w:sz w:val="20"/>
          <w:szCs w:val="20"/>
        </w:rPr>
        <w:tab/>
        <w:t xml:space="preserve">Les données de couverture relatives au paquet d’intervention – préventives et curatives – déjà développées ou internationalement connues pour leur efficacité ; ces niveaux de couverture permettront de faire le choix des résultats d’effet. </w:t>
      </w:r>
    </w:p>
    <w:p w14:paraId="16C69E58" w14:textId="77777777" w:rsidR="008A6647" w:rsidRPr="005228D9" w:rsidRDefault="008A6647" w:rsidP="008A6647">
      <w:pPr>
        <w:spacing w:after="0"/>
        <w:jc w:val="both"/>
        <w:rPr>
          <w:rFonts w:cstheme="minorHAnsi"/>
          <w:sz w:val="20"/>
          <w:szCs w:val="20"/>
        </w:rPr>
      </w:pPr>
      <w:r w:rsidRPr="005228D9">
        <w:rPr>
          <w:rFonts w:cstheme="minorHAnsi"/>
          <w:sz w:val="20"/>
          <w:szCs w:val="20"/>
        </w:rPr>
        <w:t>•</w:t>
      </w:r>
      <w:r w:rsidRPr="005228D9">
        <w:rPr>
          <w:rFonts w:cstheme="minorHAnsi"/>
          <w:sz w:val="20"/>
          <w:szCs w:val="20"/>
        </w:rPr>
        <w:tab/>
        <w:t>Les données d’accès et de qualité de l’offre de services permettant de définir les goulots d’étranglement du système de santé qu’il faudra lever pour améliorer les couvertures en interventions essentielles ; Les données d’accès et de qualité pourraient aussi être obtenues à travers les enquêtes, SIS, ).</w:t>
      </w:r>
    </w:p>
    <w:p w14:paraId="5CB55762" w14:textId="77777777" w:rsidR="008A6647" w:rsidRPr="005228D9" w:rsidRDefault="008A6647" w:rsidP="008A6647">
      <w:pPr>
        <w:jc w:val="both"/>
        <w:rPr>
          <w:rFonts w:cstheme="minorHAnsi"/>
          <w:sz w:val="20"/>
          <w:szCs w:val="20"/>
        </w:rPr>
      </w:pPr>
      <w:r w:rsidRPr="005228D9">
        <w:rPr>
          <w:rFonts w:cstheme="minorHAnsi"/>
          <w:sz w:val="20"/>
          <w:szCs w:val="20"/>
        </w:rPr>
        <w:t>•</w:t>
      </w:r>
      <w:r w:rsidRPr="005228D9">
        <w:rPr>
          <w:rFonts w:cstheme="minorHAnsi"/>
          <w:sz w:val="20"/>
          <w:szCs w:val="20"/>
        </w:rPr>
        <w:tab/>
        <w:t>Les données relatives à la disponibilité des ressources humaines, matérielles et financières; ces données permettront d’estimer les besoins en ressources de la SRMNEAN.</w:t>
      </w:r>
    </w:p>
    <w:p w14:paraId="33E61F89" w14:textId="77777777" w:rsidR="008A6647" w:rsidRPr="005228D9" w:rsidRDefault="008A6647" w:rsidP="00A97663">
      <w:pPr>
        <w:pStyle w:val="Standard"/>
        <w:numPr>
          <w:ilvl w:val="2"/>
          <w:numId w:val="102"/>
        </w:numPr>
        <w:spacing w:after="0"/>
        <w:jc w:val="both"/>
        <w:rPr>
          <w:rFonts w:asciiTheme="minorHAnsi" w:hAnsiTheme="minorHAnsi" w:cstheme="minorHAnsi"/>
          <w:b/>
          <w:color w:val="auto"/>
          <w:sz w:val="20"/>
          <w:szCs w:val="20"/>
        </w:rPr>
      </w:pPr>
      <w:r w:rsidRPr="005228D9">
        <w:rPr>
          <w:rFonts w:asciiTheme="minorHAnsi" w:hAnsiTheme="minorHAnsi" w:cstheme="minorHAnsi"/>
          <w:b/>
          <w:color w:val="auto"/>
          <w:sz w:val="20"/>
          <w:szCs w:val="20"/>
        </w:rPr>
        <w:t xml:space="preserve">Description du dispositif de mécanisme en œuvre </w:t>
      </w:r>
    </w:p>
    <w:p w14:paraId="1E548D29" w14:textId="77777777" w:rsidR="008A6647" w:rsidRPr="005228D9" w:rsidRDefault="008A6647" w:rsidP="008A6647">
      <w:pPr>
        <w:pStyle w:val="Standard"/>
        <w:spacing w:after="0"/>
        <w:ind w:left="708"/>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Description du cadre de mise en œuvre</w:t>
      </w:r>
    </w:p>
    <w:p w14:paraId="2CB80ED3" w14:textId="77777777" w:rsidR="008A6647" w:rsidRPr="005228D9" w:rsidRDefault="008A6647" w:rsidP="008A6647">
      <w:pPr>
        <w:pStyle w:val="Standard"/>
        <w:spacing w:after="0"/>
        <w:ind w:left="708"/>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Description du partenariat</w:t>
      </w:r>
    </w:p>
    <w:p w14:paraId="2C1D7F95" w14:textId="77777777" w:rsidR="008A6647" w:rsidRPr="005228D9" w:rsidRDefault="008A6647" w:rsidP="008A6647">
      <w:pPr>
        <w:pStyle w:val="Standard"/>
        <w:ind w:left="708"/>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 xml:space="preserve">Elaboration du cadre de performance   </w:t>
      </w:r>
    </w:p>
    <w:p w14:paraId="02B4432F" w14:textId="77777777" w:rsidR="008A6647" w:rsidRPr="005228D9" w:rsidRDefault="008A6647" w:rsidP="00A97663">
      <w:pPr>
        <w:pStyle w:val="Standard"/>
        <w:numPr>
          <w:ilvl w:val="2"/>
          <w:numId w:val="102"/>
        </w:numPr>
        <w:spacing w:after="0"/>
        <w:jc w:val="both"/>
        <w:rPr>
          <w:rFonts w:asciiTheme="minorHAnsi" w:hAnsiTheme="minorHAnsi" w:cstheme="minorHAnsi"/>
          <w:b/>
          <w:color w:val="auto"/>
          <w:sz w:val="20"/>
          <w:szCs w:val="20"/>
        </w:rPr>
      </w:pPr>
      <w:r w:rsidRPr="005228D9">
        <w:rPr>
          <w:rFonts w:asciiTheme="minorHAnsi" w:hAnsiTheme="minorHAnsi" w:cstheme="minorHAnsi"/>
          <w:b/>
          <w:color w:val="auto"/>
          <w:sz w:val="20"/>
          <w:szCs w:val="20"/>
        </w:rPr>
        <w:t>Rapportage</w:t>
      </w:r>
    </w:p>
    <w:p w14:paraId="5882238F" w14:textId="77777777" w:rsidR="008A6647" w:rsidRPr="005228D9" w:rsidRDefault="008A6647" w:rsidP="00A97663">
      <w:pPr>
        <w:pStyle w:val="Standard"/>
        <w:numPr>
          <w:ilvl w:val="0"/>
          <w:numId w:val="101"/>
        </w:numPr>
        <w:spacing w:after="0"/>
        <w:jc w:val="both"/>
        <w:rPr>
          <w:rFonts w:asciiTheme="minorHAnsi" w:hAnsiTheme="minorHAnsi" w:cstheme="minorHAnsi"/>
          <w:color w:val="auto"/>
          <w:sz w:val="20"/>
          <w:szCs w:val="20"/>
        </w:rPr>
      </w:pPr>
      <w:r w:rsidRPr="005228D9">
        <w:rPr>
          <w:rFonts w:asciiTheme="minorHAnsi" w:hAnsiTheme="minorHAnsi" w:cstheme="minorHAnsi"/>
          <w:sz w:val="20"/>
          <w:szCs w:val="20"/>
        </w:rPr>
        <w:t>Rapport d’étape</w:t>
      </w:r>
    </w:p>
    <w:p w14:paraId="139B1BB7" w14:textId="77777777" w:rsidR="008A6647" w:rsidRPr="005228D9" w:rsidRDefault="008A6647" w:rsidP="008A6647">
      <w:pPr>
        <w:pStyle w:val="Standard"/>
        <w:spacing w:after="0"/>
        <w:ind w:left="1068"/>
        <w:jc w:val="both"/>
        <w:rPr>
          <w:rFonts w:asciiTheme="minorHAnsi" w:hAnsiTheme="minorHAnsi" w:cstheme="minorHAnsi"/>
          <w:color w:val="auto"/>
          <w:sz w:val="20"/>
          <w:szCs w:val="20"/>
        </w:rPr>
      </w:pPr>
      <w:r w:rsidRPr="005228D9">
        <w:rPr>
          <w:rFonts w:asciiTheme="minorHAnsi" w:hAnsiTheme="minorHAnsi" w:cstheme="minorHAnsi"/>
          <w:sz w:val="20"/>
          <w:szCs w:val="20"/>
        </w:rPr>
        <w:t xml:space="preserve">Le rapport d’étape comprend les éléments du diagnostic, les interventions prioritaires et les zones d’intervention </w:t>
      </w:r>
    </w:p>
    <w:p w14:paraId="40830223" w14:textId="77777777" w:rsidR="008A6647" w:rsidRPr="005228D9" w:rsidRDefault="008A6647" w:rsidP="00A97663">
      <w:pPr>
        <w:pStyle w:val="Standard"/>
        <w:numPr>
          <w:ilvl w:val="0"/>
          <w:numId w:val="101"/>
        </w:numPr>
        <w:spacing w:after="0"/>
        <w:jc w:val="both"/>
        <w:rPr>
          <w:rFonts w:asciiTheme="minorHAnsi" w:hAnsiTheme="minorHAnsi" w:cstheme="minorHAnsi"/>
          <w:color w:val="auto"/>
          <w:sz w:val="20"/>
          <w:szCs w:val="20"/>
        </w:rPr>
      </w:pPr>
      <w:r w:rsidRPr="005228D9">
        <w:rPr>
          <w:rFonts w:asciiTheme="minorHAnsi" w:hAnsiTheme="minorHAnsi" w:cstheme="minorHAnsi"/>
          <w:sz w:val="20"/>
          <w:szCs w:val="20"/>
        </w:rPr>
        <w:t>Rapport préliminaire du dossier d’investissement en SRMNEA-N et Etat civile</w:t>
      </w:r>
    </w:p>
    <w:p w14:paraId="7CF5DD91" w14:textId="77777777" w:rsidR="008A6647" w:rsidRPr="005228D9" w:rsidRDefault="008A6647" w:rsidP="008A6647">
      <w:pPr>
        <w:pStyle w:val="Standard"/>
        <w:spacing w:after="0"/>
        <w:ind w:left="1068"/>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 xml:space="preserve">Le </w:t>
      </w:r>
      <w:r w:rsidRPr="005228D9">
        <w:rPr>
          <w:rFonts w:asciiTheme="minorHAnsi" w:hAnsiTheme="minorHAnsi" w:cstheme="minorHAnsi"/>
          <w:sz w:val="20"/>
          <w:szCs w:val="20"/>
        </w:rPr>
        <w:t>Rapport préliminaire comprend les éléments validés du rapport d’étape plus la budgétisation.</w:t>
      </w:r>
    </w:p>
    <w:p w14:paraId="7F41F03E" w14:textId="77777777" w:rsidR="008A6647" w:rsidRPr="005228D9" w:rsidRDefault="008A6647" w:rsidP="00A97663">
      <w:pPr>
        <w:pStyle w:val="Standard"/>
        <w:numPr>
          <w:ilvl w:val="0"/>
          <w:numId w:val="101"/>
        </w:numPr>
        <w:spacing w:after="0"/>
        <w:jc w:val="both"/>
        <w:rPr>
          <w:rFonts w:asciiTheme="minorHAnsi" w:hAnsiTheme="minorHAnsi" w:cstheme="minorHAnsi"/>
          <w:color w:val="auto"/>
          <w:sz w:val="20"/>
          <w:szCs w:val="20"/>
        </w:rPr>
      </w:pPr>
      <w:r w:rsidRPr="005228D9">
        <w:rPr>
          <w:rFonts w:asciiTheme="minorHAnsi" w:hAnsiTheme="minorHAnsi" w:cstheme="minorHAnsi"/>
          <w:sz w:val="20"/>
          <w:szCs w:val="20"/>
        </w:rPr>
        <w:t>Rapport final du dossier d’investissement en SRMNEA-N et Etat civile</w:t>
      </w:r>
    </w:p>
    <w:p w14:paraId="1FAA825F" w14:textId="77777777" w:rsidR="008A6647" w:rsidRPr="005228D9" w:rsidRDefault="008A6647" w:rsidP="008A6647">
      <w:pPr>
        <w:pStyle w:val="Standard"/>
        <w:spacing w:after="0"/>
        <w:ind w:left="1068"/>
        <w:jc w:val="both"/>
        <w:rPr>
          <w:rFonts w:asciiTheme="minorHAnsi" w:hAnsiTheme="minorHAnsi" w:cstheme="minorHAnsi"/>
          <w:sz w:val="20"/>
          <w:szCs w:val="20"/>
        </w:rPr>
      </w:pPr>
      <w:r w:rsidRPr="005228D9">
        <w:rPr>
          <w:rFonts w:asciiTheme="minorHAnsi" w:hAnsiTheme="minorHAnsi" w:cstheme="minorHAnsi"/>
          <w:sz w:val="20"/>
          <w:szCs w:val="20"/>
        </w:rPr>
        <w:t>Le Rapport final comprend les éléments validés du Rapport préliminaire et prend en compte les compléments d’information issus de la 3</w:t>
      </w:r>
      <w:r w:rsidRPr="005228D9">
        <w:rPr>
          <w:rFonts w:asciiTheme="minorHAnsi" w:hAnsiTheme="minorHAnsi" w:cstheme="minorHAnsi"/>
          <w:sz w:val="20"/>
          <w:szCs w:val="20"/>
          <w:vertAlign w:val="superscript"/>
        </w:rPr>
        <w:t>e</w:t>
      </w:r>
      <w:r w:rsidRPr="005228D9">
        <w:rPr>
          <w:rFonts w:asciiTheme="minorHAnsi" w:hAnsiTheme="minorHAnsi" w:cstheme="minorHAnsi"/>
          <w:sz w:val="20"/>
          <w:szCs w:val="20"/>
        </w:rPr>
        <w:t xml:space="preserve"> réunion de validation.</w:t>
      </w:r>
    </w:p>
    <w:p w14:paraId="6B583620" w14:textId="77777777" w:rsidR="008A6647" w:rsidRPr="005228D9" w:rsidRDefault="008A6647" w:rsidP="00A97663">
      <w:pPr>
        <w:pStyle w:val="Standard"/>
        <w:numPr>
          <w:ilvl w:val="0"/>
          <w:numId w:val="101"/>
        </w:numPr>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Rapport de mission.</w:t>
      </w:r>
    </w:p>
    <w:p w14:paraId="32214BA2" w14:textId="77777777" w:rsidR="008A6647" w:rsidRPr="005228D9" w:rsidRDefault="008A6647" w:rsidP="00A97663">
      <w:pPr>
        <w:pStyle w:val="Standard"/>
        <w:numPr>
          <w:ilvl w:val="0"/>
          <w:numId w:val="102"/>
        </w:numPr>
        <w:spacing w:after="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 xml:space="preserve">OBSERVATIONS ET LIMITES </w:t>
      </w:r>
    </w:p>
    <w:p w14:paraId="14A0270B" w14:textId="77777777" w:rsidR="008A6647" w:rsidRDefault="008A6647" w:rsidP="008A6647">
      <w:pPr>
        <w:pStyle w:val="Standard"/>
        <w:spacing w:after="0"/>
        <w:ind w:left="360"/>
        <w:jc w:val="both"/>
        <w:rPr>
          <w:rFonts w:asciiTheme="minorHAnsi" w:hAnsiTheme="minorHAnsi" w:cstheme="minorHAnsi"/>
          <w:color w:val="auto"/>
          <w:sz w:val="20"/>
          <w:szCs w:val="20"/>
        </w:rPr>
      </w:pPr>
      <w:r w:rsidRPr="005228D9">
        <w:rPr>
          <w:rFonts w:asciiTheme="minorHAnsi" w:hAnsiTheme="minorHAnsi" w:cstheme="minorHAnsi"/>
          <w:color w:val="auto"/>
          <w:sz w:val="20"/>
          <w:szCs w:val="20"/>
        </w:rPr>
        <w:t>La disponibilité et l’accès en temps utiles à une information de qualité, pertinente et actualisée notamment au travers des rapports des sous groupes mis en place au sein de l’équipe fonctionnelle 7 reste la condition sine qua non de la rédaction d’un dossier d’investissement  de bonne qualité.</w:t>
      </w:r>
    </w:p>
    <w:p w14:paraId="195C98E3" w14:textId="77777777" w:rsidR="00234B28" w:rsidRDefault="00234B28" w:rsidP="008A6647">
      <w:pPr>
        <w:pStyle w:val="Standard"/>
        <w:spacing w:after="0"/>
        <w:ind w:left="360"/>
        <w:jc w:val="both"/>
        <w:rPr>
          <w:rFonts w:asciiTheme="minorHAnsi" w:hAnsiTheme="minorHAnsi" w:cstheme="minorHAnsi"/>
          <w:color w:val="auto"/>
          <w:sz w:val="20"/>
          <w:szCs w:val="20"/>
        </w:rPr>
      </w:pPr>
    </w:p>
    <w:p w14:paraId="1C831115" w14:textId="77777777" w:rsidR="00234B28" w:rsidRDefault="00234B28" w:rsidP="008A6647">
      <w:pPr>
        <w:pStyle w:val="Standard"/>
        <w:spacing w:after="0"/>
        <w:ind w:left="360"/>
        <w:jc w:val="both"/>
        <w:rPr>
          <w:rFonts w:asciiTheme="minorHAnsi" w:hAnsiTheme="minorHAnsi" w:cstheme="minorHAnsi"/>
          <w:color w:val="auto"/>
          <w:sz w:val="20"/>
          <w:szCs w:val="20"/>
        </w:rPr>
      </w:pPr>
    </w:p>
    <w:p w14:paraId="2075405C" w14:textId="77777777" w:rsidR="00234B28" w:rsidRDefault="00234B28" w:rsidP="008A6647">
      <w:pPr>
        <w:pStyle w:val="Standard"/>
        <w:spacing w:after="0"/>
        <w:ind w:left="360"/>
        <w:jc w:val="both"/>
        <w:rPr>
          <w:rFonts w:asciiTheme="minorHAnsi" w:hAnsiTheme="minorHAnsi" w:cstheme="minorHAnsi"/>
          <w:color w:val="auto"/>
          <w:sz w:val="20"/>
          <w:szCs w:val="20"/>
        </w:rPr>
      </w:pPr>
    </w:p>
    <w:p w14:paraId="32D56391" w14:textId="77777777" w:rsidR="00234B28" w:rsidRDefault="00234B28" w:rsidP="008A6647">
      <w:pPr>
        <w:pStyle w:val="Standard"/>
        <w:spacing w:after="0"/>
        <w:ind w:left="360"/>
        <w:jc w:val="both"/>
        <w:rPr>
          <w:rFonts w:asciiTheme="minorHAnsi" w:hAnsiTheme="minorHAnsi" w:cstheme="minorHAnsi"/>
          <w:color w:val="auto"/>
          <w:sz w:val="20"/>
          <w:szCs w:val="20"/>
        </w:rPr>
      </w:pPr>
    </w:p>
    <w:p w14:paraId="67C8E9F4" w14:textId="77777777" w:rsidR="00234B28" w:rsidRDefault="00234B28" w:rsidP="008A6647">
      <w:pPr>
        <w:pStyle w:val="Standard"/>
        <w:spacing w:after="0"/>
        <w:ind w:left="360"/>
        <w:jc w:val="both"/>
        <w:rPr>
          <w:rFonts w:asciiTheme="minorHAnsi" w:hAnsiTheme="minorHAnsi" w:cstheme="minorHAnsi"/>
          <w:color w:val="auto"/>
          <w:sz w:val="20"/>
          <w:szCs w:val="20"/>
        </w:rPr>
      </w:pPr>
    </w:p>
    <w:p w14:paraId="7BC61A01" w14:textId="77777777" w:rsidR="00234B28" w:rsidRDefault="00234B28" w:rsidP="008A6647">
      <w:pPr>
        <w:pStyle w:val="Standard"/>
        <w:spacing w:after="0"/>
        <w:ind w:left="360"/>
        <w:jc w:val="both"/>
        <w:rPr>
          <w:rFonts w:asciiTheme="minorHAnsi" w:hAnsiTheme="minorHAnsi" w:cstheme="minorHAnsi"/>
          <w:color w:val="auto"/>
          <w:sz w:val="20"/>
          <w:szCs w:val="20"/>
        </w:rPr>
      </w:pPr>
    </w:p>
    <w:p w14:paraId="37E808D2" w14:textId="77777777" w:rsidR="00234B28" w:rsidRDefault="00234B28" w:rsidP="008A6647">
      <w:pPr>
        <w:pStyle w:val="Standard"/>
        <w:spacing w:after="0"/>
        <w:ind w:left="360"/>
        <w:jc w:val="both"/>
        <w:rPr>
          <w:rFonts w:asciiTheme="minorHAnsi" w:hAnsiTheme="minorHAnsi" w:cstheme="minorHAnsi"/>
          <w:color w:val="auto"/>
          <w:sz w:val="20"/>
          <w:szCs w:val="20"/>
        </w:rPr>
      </w:pPr>
    </w:p>
    <w:p w14:paraId="386B214D" w14:textId="77777777" w:rsidR="00234B28" w:rsidRDefault="00234B28" w:rsidP="008A6647">
      <w:pPr>
        <w:pStyle w:val="Standard"/>
        <w:spacing w:after="0"/>
        <w:ind w:left="360"/>
        <w:jc w:val="both"/>
        <w:rPr>
          <w:rFonts w:asciiTheme="minorHAnsi" w:hAnsiTheme="minorHAnsi" w:cstheme="minorHAnsi"/>
          <w:color w:val="auto"/>
          <w:sz w:val="20"/>
          <w:szCs w:val="20"/>
        </w:rPr>
      </w:pPr>
    </w:p>
    <w:p w14:paraId="5CBD0CC8" w14:textId="77777777" w:rsidR="007B36A3" w:rsidRDefault="007B36A3" w:rsidP="007B36A3">
      <w:pPr>
        <w:pStyle w:val="Standard"/>
        <w:spacing w:after="0"/>
        <w:jc w:val="both"/>
        <w:rPr>
          <w:rFonts w:asciiTheme="minorHAnsi" w:hAnsiTheme="minorHAnsi" w:cstheme="minorHAnsi"/>
          <w:color w:val="auto"/>
          <w:sz w:val="20"/>
          <w:szCs w:val="20"/>
        </w:rPr>
        <w:sectPr w:rsidR="007B36A3" w:rsidSect="006B3880">
          <w:footerReference w:type="default" r:id="rId45"/>
          <w:pgSz w:w="11906" w:h="16838"/>
          <w:pgMar w:top="1151" w:right="1440" w:bottom="1151" w:left="1440" w:header="720" w:footer="720" w:gutter="0"/>
          <w:cols w:space="720"/>
          <w:docGrid w:linePitch="360"/>
        </w:sectPr>
      </w:pPr>
    </w:p>
    <w:p w14:paraId="4AF0CDCD" w14:textId="2B5DFD9A" w:rsidR="00F926BF" w:rsidRDefault="008A6647" w:rsidP="004C1C47">
      <w:pPr>
        <w:autoSpaceDE w:val="0"/>
        <w:autoSpaceDN w:val="0"/>
        <w:adjustRightInd w:val="0"/>
        <w:spacing w:after="0" w:line="240" w:lineRule="auto"/>
        <w:rPr>
          <w:rFonts w:ascii="Arial" w:hAnsi="Arial" w:cs="Arial"/>
          <w:b/>
          <w:bCs/>
          <w:color w:val="000000"/>
          <w:sz w:val="23"/>
          <w:szCs w:val="23"/>
        </w:rPr>
      </w:pPr>
      <w:r w:rsidRPr="00EE1C2D">
        <w:rPr>
          <w:noProof/>
          <w:lang w:eastAsia="fr-FR"/>
        </w:rPr>
        <w:lastRenderedPageBreak/>
        <w:drawing>
          <wp:inline distT="0" distB="0" distL="0" distR="0" wp14:anchorId="4FD6D150" wp14:editId="60E26374">
            <wp:extent cx="8892540" cy="5560695"/>
            <wp:effectExtent l="0" t="0" r="381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6"/>
                    <a:srcRect/>
                    <a:stretch>
                      <a:fillRect/>
                    </a:stretch>
                  </pic:blipFill>
                  <pic:spPr bwMode="auto">
                    <a:xfrm>
                      <a:off x="0" y="0"/>
                      <a:ext cx="8892540" cy="5560695"/>
                    </a:xfrm>
                    <a:prstGeom prst="rect">
                      <a:avLst/>
                    </a:prstGeom>
                    <a:noFill/>
                    <a:ln w="9525">
                      <a:noFill/>
                      <a:miter lim="800000"/>
                      <a:headEnd/>
                      <a:tailEnd/>
                    </a:ln>
                  </pic:spPr>
                </pic:pic>
              </a:graphicData>
            </a:graphic>
          </wp:inline>
        </w:drawing>
      </w:r>
    </w:p>
    <w:p w14:paraId="3CD2382D" w14:textId="77777777" w:rsidR="00F926BF" w:rsidRDefault="00F926BF" w:rsidP="004C1C47">
      <w:pPr>
        <w:autoSpaceDE w:val="0"/>
        <w:autoSpaceDN w:val="0"/>
        <w:adjustRightInd w:val="0"/>
        <w:spacing w:after="0" w:line="240" w:lineRule="auto"/>
        <w:rPr>
          <w:rFonts w:ascii="Arial" w:hAnsi="Arial" w:cs="Arial"/>
          <w:b/>
          <w:bCs/>
          <w:color w:val="000000"/>
          <w:sz w:val="23"/>
          <w:szCs w:val="23"/>
        </w:rPr>
      </w:pPr>
    </w:p>
    <w:p w14:paraId="45D668A5" w14:textId="32DB5ACA" w:rsidR="004C1C47" w:rsidRDefault="008A6647" w:rsidP="004C1C47">
      <w:pPr>
        <w:autoSpaceDE w:val="0"/>
        <w:autoSpaceDN w:val="0"/>
        <w:adjustRightInd w:val="0"/>
        <w:spacing w:after="0" w:line="240" w:lineRule="auto"/>
        <w:rPr>
          <w:rFonts w:ascii="Arial" w:hAnsi="Arial" w:cs="Arial"/>
          <w:sz w:val="24"/>
          <w:szCs w:val="24"/>
        </w:rPr>
      </w:pPr>
      <w:r>
        <w:rPr>
          <w:rFonts w:ascii="Arial" w:hAnsi="Arial" w:cs="Arial"/>
          <w:sz w:val="24"/>
          <w:szCs w:val="24"/>
        </w:rPr>
        <w:lastRenderedPageBreak/>
        <w:t>ANNEXE 2</w:t>
      </w:r>
    </w:p>
    <w:p w14:paraId="2436D8F1" w14:textId="43D874FB" w:rsidR="008A6647" w:rsidRPr="004C1C47" w:rsidRDefault="008A6647" w:rsidP="004C1C47">
      <w:pPr>
        <w:autoSpaceDE w:val="0"/>
        <w:autoSpaceDN w:val="0"/>
        <w:adjustRightInd w:val="0"/>
        <w:spacing w:after="0" w:line="240" w:lineRule="auto"/>
        <w:rPr>
          <w:rFonts w:ascii="Arial" w:hAnsi="Arial" w:cs="Arial"/>
          <w:sz w:val="24"/>
          <w:szCs w:val="24"/>
        </w:rPr>
      </w:pPr>
      <w:r>
        <w:rPr>
          <w:rFonts w:ascii="Arial" w:hAnsi="Arial" w:cs="Arial"/>
          <w:sz w:val="24"/>
          <w:szCs w:val="24"/>
        </w:rPr>
        <w:object w:dxaOrig="22852" w:dyaOrig="10277" w14:anchorId="13CB7D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42.7pt;height:335.05pt" o:ole="">
            <v:imagedata r:id="rId47" o:title=""/>
          </v:shape>
          <o:OLEObject Type="Embed" ProgID="Excel.Sheet.12" ShapeID="_x0000_i1025" DrawAspect="Content" ObjectID="_1601758840" r:id="rId48"/>
        </w:object>
      </w:r>
    </w:p>
    <w:p w14:paraId="3E06D182" w14:textId="3E2AD42D" w:rsidR="00ED3F10" w:rsidRDefault="00ED3F10" w:rsidP="00DC1D95">
      <w:pPr>
        <w:widowControl w:val="0"/>
        <w:tabs>
          <w:tab w:val="left" w:pos="9498"/>
        </w:tabs>
        <w:autoSpaceDE w:val="0"/>
        <w:autoSpaceDN w:val="0"/>
        <w:adjustRightInd w:val="0"/>
        <w:spacing w:before="32" w:after="0" w:line="360" w:lineRule="auto"/>
        <w:ind w:right="-1"/>
        <w:jc w:val="both"/>
        <w:rPr>
          <w:rFonts w:ascii="Cambria" w:hAnsi="Cambria"/>
          <w:sz w:val="24"/>
          <w:szCs w:val="24"/>
        </w:rPr>
      </w:pPr>
    </w:p>
    <w:sectPr w:rsidR="00ED3F10" w:rsidSect="007B36A3">
      <w:footerReference w:type="default" r:id="rId49"/>
      <w:pgSz w:w="16838" w:h="11906" w:orient="landscape"/>
      <w:pgMar w:top="1440" w:right="1151" w:bottom="1440" w:left="1151"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6B47134" w14:textId="77777777" w:rsidR="00B67446" w:rsidRDefault="00B67446" w:rsidP="00120BD6">
      <w:pPr>
        <w:spacing w:after="0" w:line="240" w:lineRule="auto"/>
      </w:pPr>
      <w:r>
        <w:separator/>
      </w:r>
    </w:p>
  </w:endnote>
  <w:endnote w:type="continuationSeparator" w:id="0">
    <w:p w14:paraId="440481B8" w14:textId="77777777" w:rsidR="00B67446" w:rsidRDefault="00B67446" w:rsidP="00120B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altName w:val="Geneva"/>
    <w:panose1 w:val="05000000000000000000"/>
    <w:charset w:val="02"/>
    <w:family w:val="auto"/>
    <w:pitch w:val="variable"/>
    <w:sig w:usb0="00000000" w:usb1="10000000" w:usb2="00000000" w:usb3="00000000" w:csb0="80000000" w:csb1="00000000"/>
  </w:font>
  <w:font w:name="Times New Roman">
    <w:altName w:val=" Times"/>
    <w:panose1 w:val="02020603050405020304"/>
    <w:charset w:val="00"/>
    <w:family w:val="roman"/>
    <w:pitch w:val="variable"/>
    <w:sig w:usb0="E0002EFF" w:usb1="C0007843" w:usb2="00000009" w:usb3="00000000" w:csb0="000001FF" w:csb1="00000000"/>
  </w:font>
  <w:font w:name="Courier New">
    <w:altName w:val="Times New Roman"/>
    <w:panose1 w:val="02070309020205020404"/>
    <w:charset w:val="00"/>
    <w:family w:val="modern"/>
    <w:pitch w:val="fixed"/>
    <w:sig w:usb0="E0002AFF" w:usb1="C0007843" w:usb2="00000009" w:usb3="00000000" w:csb0="000001FF" w:csb1="00000000"/>
  </w:font>
  <w:font w:name="Symbol">
    <w:altName w:val="Geneva"/>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A00002AF" w:usb1="400078FB" w:usb2="00000000" w:usb3="00000000" w:csb0="0000009F" w:csb1="00000000"/>
  </w:font>
  <w:font w:name="Maiandra GD">
    <w:panose1 w:val="020E0502030308020204"/>
    <w:charset w:val="00"/>
    <w:family w:val="swiss"/>
    <w:pitch w:val="variable"/>
    <w:sig w:usb0="00000003" w:usb1="00000000" w:usb2="00000000" w:usb3="00000000" w:csb0="00000001" w:csb1="00000000"/>
  </w:font>
  <w:font w:name="Gisha">
    <w:panose1 w:val="020B0502040204020203"/>
    <w:charset w:val="00"/>
    <w:family w:val="swiss"/>
    <w:pitch w:val="variable"/>
    <w:sig w:usb0="80000807" w:usb1="40000042" w:usb2="00000000" w:usb3="00000000" w:csb0="00000021"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Rockwell">
    <w:panose1 w:val="02060603020205020403"/>
    <w:charset w:val="00"/>
    <w:family w:val="roman"/>
    <w:pitch w:val="variable"/>
    <w:sig w:usb0="00000003" w:usb1="00000000" w:usb2="00000000" w:usb3="00000000" w:csb0="00000001"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Optim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QuaySans">
    <w:altName w:val="Calibri"/>
    <w:panose1 w:val="00000000000000000000"/>
    <w:charset w:val="00"/>
    <w:family w:val="auto"/>
    <w:notTrueType/>
    <w:pitch w:val="default"/>
    <w:sig w:usb0="00000003" w:usb1="00000000" w:usb2="00000000" w:usb3="00000000" w:csb0="00000001" w:csb1="00000000"/>
  </w:font>
  <w:font w:name="QuaySansItalic">
    <w:altName w:val="Calibri"/>
    <w:panose1 w:val="00000000000000000000"/>
    <w:charset w:val="00"/>
    <w:family w:val="auto"/>
    <w:notTrueType/>
    <w:pitch w:val="default"/>
    <w:sig w:usb0="00000003" w:usb1="00000000" w:usb2="00000000" w:usb3="00000000" w:csb0="00000001" w:csb1="00000000"/>
  </w:font>
  <w:font w:name="MS Shell Dlg 2">
    <w:altName w:val="Sylfaen"/>
    <w:panose1 w:val="020B0604030504040204"/>
    <w:charset w:val="00"/>
    <w:family w:val="swiss"/>
    <w:pitch w:val="variable"/>
    <w:sig w:usb0="E1002EFF" w:usb1="C000605B" w:usb2="00000029" w:usb3="00000000" w:csb0="000101FF" w:csb1="00000000"/>
  </w:font>
  <w:font w:name="Arial,Italic">
    <w:altName w:val="Arial"/>
    <w:panose1 w:val="00000000000000000000"/>
    <w:charset w:val="00"/>
    <w:family w:val="swiss"/>
    <w:notTrueType/>
    <w:pitch w:val="default"/>
    <w:sig w:usb0="00000003" w:usb1="00000000" w:usb2="00000000" w:usb3="00000000" w:csb0="00000001" w:csb1="00000000"/>
  </w:font>
  <w:font w:name="OfficinaSans-Book">
    <w:altName w:val="Calibri"/>
    <w:panose1 w:val="00000000000000000000"/>
    <w:charset w:val="00"/>
    <w:family w:val="auto"/>
    <w:notTrueType/>
    <w:pitch w:val="default"/>
    <w:sig w:usb0="00000003" w:usb1="00000000" w:usb2="00000000" w:usb3="00000000" w:csb0="00000001" w:csb1="00000000"/>
  </w:font>
  <w:font w:name="OfficinaSerif-Bold">
    <w:altName w:val="Cambria"/>
    <w:panose1 w:val="00000000000000000000"/>
    <w:charset w:val="00"/>
    <w:family w:val="roman"/>
    <w:notTrueType/>
    <w:pitch w:val="default"/>
    <w:sig w:usb0="00000003" w:usb1="00000000" w:usb2="00000000" w:usb3="00000000" w:csb0="00000001" w:csb1="00000000"/>
  </w:font>
  <w:font w:name="HelveticaNeue-Roman">
    <w:altName w:val="Arial"/>
    <w:panose1 w:val="00000000000000000000"/>
    <w:charset w:val="00"/>
    <w:family w:val="swiss"/>
    <w:notTrueType/>
    <w:pitch w:val="default"/>
    <w:sig w:usb0="00000003" w:usb1="00000000" w:usb2="00000000" w:usb3="00000000" w:csb0="00000001" w:csb1="00000000"/>
  </w:font>
  <w:font w:name="HelveticaNeue-LightItalic">
    <w:altName w:val="Arial"/>
    <w:panose1 w:val="00000000000000000000"/>
    <w:charset w:val="00"/>
    <w:family w:val="swiss"/>
    <w:notTrueType/>
    <w:pitch w:val="default"/>
    <w:sig w:usb0="00000003" w:usb1="00000000" w:usb2="00000000" w:usb3="00000000" w:csb0="00000001" w:csb1="00000000"/>
  </w:font>
  <w:font w:name="BookAntiqua">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DejaVuSerif">
    <w:altName w:val="MS Gothic"/>
    <w:panose1 w:val="00000000000000000000"/>
    <w:charset w:val="80"/>
    <w:family w:val="auto"/>
    <w:notTrueType/>
    <w:pitch w:val="default"/>
    <w:sig w:usb0="00000000" w:usb1="08070000" w:usb2="00000010" w:usb3="00000000" w:csb0="00020000" w:csb1="00000000"/>
  </w:font>
  <w:font w:name="DejaVuSerif-Italic">
    <w:altName w:val="MS Gothic"/>
    <w:panose1 w:val="00000000000000000000"/>
    <w:charset w:val="80"/>
    <w:family w:val="auto"/>
    <w:notTrueType/>
    <w:pitch w:val="default"/>
    <w:sig w:usb0="00000000" w:usb1="08070000" w:usb2="00000010" w:usb3="00000000" w:csb0="00020000" w:csb1="00000000"/>
  </w:font>
  <w:font w:name="TimesNewRoman">
    <w:panose1 w:val="00000000000000000000"/>
    <w:charset w:val="00"/>
    <w:family w:val="roman"/>
    <w:notTrueType/>
    <w:pitch w:val="default"/>
    <w:sig w:usb0="00000003" w:usb1="00000000" w:usb2="00000000" w:usb3="00000000" w:csb0="00000001" w:csb1="00000000"/>
  </w:font>
  <w:font w:name="ArialMT">
    <w:altName w:val="Arial"/>
    <w:charset w:val="00"/>
    <w:family w:val="swiss"/>
    <w:pitch w:val="variable"/>
    <w:sig w:usb0="E0002AFF" w:usb1="C0007843" w:usb2="00000009" w:usb3="00000000" w:csb0="000001FF" w:csb1="00000000"/>
  </w:font>
  <w:font w:name="TT213t00">
    <w:altName w:val="Calibri"/>
    <w:panose1 w:val="00000000000000000000"/>
    <w:charset w:val="00"/>
    <w:family w:val="auto"/>
    <w:notTrueType/>
    <w:pitch w:val="default"/>
    <w:sig w:usb0="00000003" w:usb1="00000000" w:usb2="00000000" w:usb3="00000000" w:csb0="00000001" w:csb1="00000000"/>
  </w:font>
  <w:font w:name="Futura-Bold">
    <w:altName w:val="Century Gothic"/>
    <w:panose1 w:val="00000000000000000000"/>
    <w:charset w:val="00"/>
    <w:family w:val="swiss"/>
    <w:notTrueType/>
    <w:pitch w:val="default"/>
    <w:sig w:usb0="00000003" w:usb1="00000000" w:usb2="00000000" w:usb3="00000000" w:csb0="00000001" w:csb1="00000000"/>
  </w:font>
  <w:font w:name="Calibri-Bold">
    <w:altName w:val="Calibri"/>
    <w:panose1 w:val="00000000000000000000"/>
    <w:charset w:val="00"/>
    <w:family w:val="swiss"/>
    <w:notTrueType/>
    <w:pitch w:val="default"/>
    <w:sig w:usb0="00000003" w:usb1="00000000" w:usb2="00000000" w:usb3="00000000" w:csb0="00000001" w:csb1="00000000"/>
  </w:font>
  <w:font w:name="ArialNarrow">
    <w:altName w:val="Arial"/>
    <w:panose1 w:val="00000000000000000000"/>
    <w:charset w:val="00"/>
    <w:family w:val="auto"/>
    <w:notTrueType/>
    <w:pitch w:val="default"/>
    <w:sig w:usb0="00000003" w:usb1="00000000" w:usb2="00000000" w:usb3="00000000" w:csb0="00000001" w:csb1="00000000"/>
  </w:font>
  <w:font w:name="ArialNarrow;Arial Narrow">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545C98" w14:textId="77777777" w:rsidR="00520196" w:rsidRDefault="00520196">
    <w:pPr>
      <w:pStyle w:val="Pieddepage"/>
      <w:jc w:val="right"/>
    </w:pPr>
    <w:r>
      <w:fldChar w:fldCharType="begin"/>
    </w:r>
    <w:r>
      <w:instrText xml:space="preserve"> PAGE   \* MERGEFORMAT </w:instrText>
    </w:r>
    <w:r>
      <w:fldChar w:fldCharType="separate"/>
    </w:r>
    <w:r w:rsidR="00B85A95">
      <w:rPr>
        <w:noProof/>
      </w:rPr>
      <w:t>61</w:t>
    </w:r>
    <w:r>
      <w:fldChar w:fldCharType="end"/>
    </w:r>
  </w:p>
  <w:p w14:paraId="6271276E" w14:textId="77777777" w:rsidR="00520196" w:rsidRDefault="00520196">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D857663" w14:textId="77777777" w:rsidR="00520196" w:rsidRDefault="00520196">
    <w:pPr>
      <w:pStyle w:val="Pieddepage"/>
      <w:pBdr>
        <w:top w:val="thinThickSmallGap" w:sz="24" w:space="1" w:color="622423" w:themeColor="accent2" w:themeShade="7F"/>
      </w:pBdr>
      <w:rPr>
        <w:rFonts w:asciiTheme="majorHAnsi" w:hAnsiTheme="majorHAnsi"/>
      </w:rPr>
    </w:pPr>
    <w:r w:rsidRPr="000572C9">
      <w:rPr>
        <w:rFonts w:asciiTheme="majorHAnsi" w:hAnsiTheme="majorHAnsi"/>
        <w:b/>
        <w:sz w:val="16"/>
        <w:szCs w:val="16"/>
      </w:rPr>
      <w:t>Dossier d’investissement en SRMNEA-N   BURKINA FASO 2018</w:t>
    </w:r>
    <w:r w:rsidRPr="000572C9">
      <w:rPr>
        <w:rFonts w:asciiTheme="majorHAnsi" w:hAnsiTheme="majorHAnsi"/>
        <w:b/>
        <w:sz w:val="16"/>
        <w:szCs w:val="16"/>
      </w:rPr>
      <w:ptab w:relativeTo="margin" w:alignment="right" w:leader="none"/>
    </w:r>
    <w:r w:rsidRPr="000572C9">
      <w:rPr>
        <w:rFonts w:asciiTheme="majorHAnsi" w:hAnsiTheme="majorHAnsi"/>
        <w:b/>
        <w:sz w:val="16"/>
        <w:szCs w:val="16"/>
      </w:rPr>
      <w:t>Page</w:t>
    </w:r>
    <w:r>
      <w:rPr>
        <w:rFonts w:asciiTheme="majorHAnsi" w:hAnsiTheme="majorHAnsi"/>
      </w:rPr>
      <w:t xml:space="preserve"> </w:t>
    </w:r>
    <w:r>
      <w:rPr>
        <w:rFonts w:asciiTheme="majorHAnsi" w:hAnsiTheme="majorHAnsi"/>
        <w:noProof/>
      </w:rPr>
      <w:fldChar w:fldCharType="begin"/>
    </w:r>
    <w:r>
      <w:rPr>
        <w:rFonts w:asciiTheme="majorHAnsi" w:hAnsiTheme="majorHAnsi"/>
        <w:noProof/>
      </w:rPr>
      <w:instrText xml:space="preserve"> PAGE   \* MERGEFORMAT </w:instrText>
    </w:r>
    <w:r>
      <w:rPr>
        <w:rFonts w:asciiTheme="majorHAnsi" w:hAnsiTheme="majorHAnsi"/>
        <w:noProof/>
      </w:rPr>
      <w:fldChar w:fldCharType="separate"/>
    </w:r>
    <w:r w:rsidR="0083138A">
      <w:rPr>
        <w:rFonts w:asciiTheme="majorHAnsi" w:hAnsiTheme="majorHAnsi"/>
        <w:noProof/>
      </w:rPr>
      <w:t>93</w:t>
    </w:r>
    <w:r>
      <w:rPr>
        <w:rFonts w:asciiTheme="majorHAnsi" w:hAnsiTheme="majorHAnsi"/>
        <w:noProof/>
      </w:rPr>
      <w:fldChar w:fldCharType="end"/>
    </w:r>
  </w:p>
  <w:p w14:paraId="641BAB06" w14:textId="77777777" w:rsidR="00520196" w:rsidRDefault="00520196">
    <w:pPr>
      <w:pStyle w:val="Pieddepag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02427551"/>
      <w:docPartObj>
        <w:docPartGallery w:val="Page Numbers (Bottom of Page)"/>
        <w:docPartUnique/>
      </w:docPartObj>
    </w:sdtPr>
    <w:sdtEndPr/>
    <w:sdtContent>
      <w:p w14:paraId="64B8275D" w14:textId="77777777" w:rsidR="00520196" w:rsidRDefault="00520196">
        <w:pPr>
          <w:pStyle w:val="Pieddepage"/>
        </w:pPr>
        <w:r>
          <w:rPr>
            <w:noProof/>
            <w:lang w:eastAsia="fr-FR"/>
          </w:rPr>
          <mc:AlternateContent>
            <mc:Choice Requires="wps">
              <w:drawing>
                <wp:anchor distT="0" distB="0" distL="114300" distR="114300" simplePos="0" relativeHeight="251659264" behindDoc="0" locked="0" layoutInCell="0" allowOverlap="1" wp14:anchorId="1ECD0A0F" wp14:editId="3B07B299">
                  <wp:simplePos x="0" y="0"/>
                  <wp:positionH relativeFrom="rightMargin">
                    <wp:align>left</wp:align>
                  </wp:positionH>
                  <mc:AlternateContent>
                    <mc:Choice Requires="wp14">
                      <wp:positionV relativeFrom="bottomMargin">
                        <wp14:pctPosVOffset>7000</wp14:pctPosVOffset>
                      </wp:positionV>
                    </mc:Choice>
                    <mc:Fallback>
                      <wp:positionV relativeFrom="page">
                        <wp:posOffset>6709410</wp:posOffset>
                      </wp:positionV>
                    </mc:Fallback>
                  </mc:AlternateContent>
                  <wp:extent cx="368300" cy="274320"/>
                  <wp:effectExtent l="9525" t="9525" r="12700" b="11430"/>
                  <wp:wrapNone/>
                  <wp:docPr id="224" name="Rectangle : carré corné 2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68300" cy="274320"/>
                          </a:xfrm>
                          <a:prstGeom prst="foldedCorner">
                            <a:avLst>
                              <a:gd name="adj" fmla="val 34560"/>
                            </a:avLst>
                          </a:prstGeom>
                          <a:solidFill>
                            <a:srgbClr val="FFFFFF"/>
                          </a:solidFill>
                          <a:ln w="3175">
                            <a:solidFill>
                              <a:srgbClr val="808080"/>
                            </a:solidFill>
                            <a:round/>
                            <a:headEnd/>
                            <a:tailEnd/>
                          </a:ln>
                        </wps:spPr>
                        <wps:txbx>
                          <w:txbxContent>
                            <w:p w14:paraId="29A188C2" w14:textId="77777777" w:rsidR="00520196" w:rsidRDefault="00520196">
                              <w:pPr>
                                <w:jc w:val="center"/>
                              </w:pPr>
                              <w:r>
                                <w:fldChar w:fldCharType="begin"/>
                              </w:r>
                              <w:r>
                                <w:instrText>PAGE    \* MERGEFORMAT</w:instrText>
                              </w:r>
                              <w:r>
                                <w:fldChar w:fldCharType="separate"/>
                              </w:r>
                              <w:r w:rsidR="0083138A" w:rsidRPr="0083138A">
                                <w:rPr>
                                  <w:noProof/>
                                  <w:sz w:val="16"/>
                                  <w:szCs w:val="16"/>
                                </w:rPr>
                                <w:t>95</w:t>
                              </w:r>
                              <w:r>
                                <w:rPr>
                                  <w:sz w:val="16"/>
                                  <w:szCs w:val="16"/>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CD0A0F"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Rectangle : carré corné 224" o:spid="_x0000_s1036" type="#_x0000_t65" style="position:absolute;margin-left:0;margin-top:0;width:29pt;height:21.6pt;z-index:251659264;visibility:visible;mso-wrap-style:square;mso-width-percent:0;mso-height-percent:0;mso-top-percent:70;mso-wrap-distance-left:9pt;mso-wrap-distance-top:0;mso-wrap-distance-right:9pt;mso-wrap-distance-bottom:0;mso-position-horizontal:left;mso-position-horizontal-relative:right-margin-area;mso-position-vertical-relative:bottom-margin-area;mso-width-percent:0;mso-height-percent:0;mso-top-percent:7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" o:allowincell="f" adj="14135" strokecolor="gray" strokeweight=".25pt">
                  <v:textbox>
                    <w:txbxContent>
                      <w:p w14:paraId="29A188C2" w14:textId="77777777" w:rsidR="00520196" w:rsidRDefault="00520196">
                        <w:pPr>
                          <w:jc w:val="center"/>
                        </w:pPr>
                        <w:r>
                          <w:fldChar w:fldCharType="begin"/>
                        </w:r>
                        <w:r>
                          <w:instrText>PAGE    \* MERGEFORMAT</w:instrText>
                        </w:r>
                        <w:r>
                          <w:fldChar w:fldCharType="separate"/>
                        </w:r>
                        <w:r w:rsidR="0083138A" w:rsidRPr="0083138A">
                          <w:rPr>
                            <w:noProof/>
                            <w:sz w:val="16"/>
                            <w:szCs w:val="16"/>
                          </w:rPr>
                          <w:t>95</w:t>
                        </w:r>
                        <w:r>
                          <w:rPr>
                            <w:sz w:val="16"/>
                            <w:szCs w:val="16"/>
                          </w:rPr>
                          <w:fldChar w:fldCharType="end"/>
                        </w:r>
                      </w:p>
                    </w:txbxContent>
                  </v:textbox>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B7F5F4" w14:textId="77777777" w:rsidR="00B67446" w:rsidRDefault="00B67446" w:rsidP="00120BD6">
      <w:pPr>
        <w:spacing w:after="0" w:line="240" w:lineRule="auto"/>
      </w:pPr>
      <w:r>
        <w:separator/>
      </w:r>
    </w:p>
  </w:footnote>
  <w:footnote w:type="continuationSeparator" w:id="0">
    <w:p w14:paraId="292125C1" w14:textId="77777777" w:rsidR="00B67446" w:rsidRDefault="00B67446" w:rsidP="00120BD6">
      <w:pPr>
        <w:spacing w:after="0" w:line="240" w:lineRule="auto"/>
      </w:pPr>
      <w:r>
        <w:continuationSeparator/>
      </w:r>
    </w:p>
  </w:footnote>
  <w:footnote w:id="1">
    <w:p w14:paraId="315B668F" w14:textId="77777777" w:rsidR="00520196" w:rsidRPr="00120BD6" w:rsidRDefault="00520196">
      <w:pPr>
        <w:pStyle w:val="Notedebasdepage"/>
        <w:rPr>
          <w:lang w:val="en-US"/>
        </w:rPr>
      </w:pPr>
      <w:r>
        <w:rPr>
          <w:rStyle w:val="Appelnotedebasdep"/>
        </w:rPr>
        <w:footnoteRef/>
      </w:r>
      <w:r>
        <w:t xml:space="preserve"> Institut national de la statistique et de la démographie (INSD). (2008). Le Burkina en chiffre  </w:t>
      </w:r>
    </w:p>
  </w:footnote>
  <w:footnote w:id="2">
    <w:p w14:paraId="1A7A40A9" w14:textId="77777777" w:rsidR="00520196" w:rsidRDefault="00520196">
      <w:pPr>
        <w:pStyle w:val="Notedebasdepage"/>
      </w:pPr>
      <w:r>
        <w:rPr>
          <w:rStyle w:val="Appelnotedebasdep"/>
        </w:rPr>
        <w:footnoteRef/>
      </w:r>
      <w:r>
        <w:t xml:space="preserve"> Annuaire statistique 2017. Ministère de la Santé. Burkina Faso</w:t>
      </w:r>
    </w:p>
  </w:footnote>
  <w:footnote w:id="3">
    <w:p w14:paraId="5F0F5C86" w14:textId="77777777" w:rsidR="00520196" w:rsidRPr="00B4695B" w:rsidRDefault="00520196" w:rsidP="00803F33">
      <w:pPr>
        <w:pStyle w:val="Notedebasdepage"/>
        <w:rPr>
          <w:rFonts w:ascii="Arial Narrow" w:hAnsi="Arial Narrow" w:cs="Arial"/>
          <w:sz w:val="16"/>
          <w:szCs w:val="16"/>
        </w:rPr>
      </w:pPr>
      <w:r w:rsidRPr="00B4695B">
        <w:rPr>
          <w:sz w:val="16"/>
          <w:szCs w:val="16"/>
          <w:vertAlign w:val="superscript"/>
        </w:rPr>
        <w:footnoteRef/>
      </w:r>
      <w:r w:rsidRPr="00B4695B">
        <w:rPr>
          <w:sz w:val="16"/>
          <w:szCs w:val="16"/>
          <w:vertAlign w:val="superscript"/>
        </w:rPr>
        <w:t xml:space="preserve"> </w:t>
      </w:r>
      <w:r w:rsidRPr="00B4695B">
        <w:rPr>
          <w:sz w:val="16"/>
          <w:szCs w:val="16"/>
        </w:rPr>
        <w:t>Recensement général de la population et de l’habitat, Burkina Faso, 2006</w:t>
      </w:r>
    </w:p>
  </w:footnote>
  <w:footnote w:id="4">
    <w:p w14:paraId="6B5D654E" w14:textId="77777777" w:rsidR="00520196" w:rsidRPr="00B4695B" w:rsidRDefault="00520196" w:rsidP="00803F33">
      <w:pPr>
        <w:pStyle w:val="Notedebasdepage"/>
        <w:rPr>
          <w:sz w:val="16"/>
          <w:szCs w:val="16"/>
        </w:rPr>
      </w:pPr>
      <w:r w:rsidRPr="00B4695B">
        <w:rPr>
          <w:sz w:val="16"/>
          <w:szCs w:val="16"/>
          <w:lang w:val="en-US"/>
        </w:rPr>
        <w:footnoteRef/>
      </w:r>
      <w:r w:rsidRPr="00B4695B">
        <w:rPr>
          <w:sz w:val="16"/>
          <w:szCs w:val="16"/>
        </w:rPr>
        <w:t xml:space="preserve"> Institut national des statistiques et de la démographie, Burkina, enquête module démographie et santé, 2015 </w:t>
      </w:r>
    </w:p>
  </w:footnote>
  <w:footnote w:id="5">
    <w:p w14:paraId="79045F5D" w14:textId="77777777" w:rsidR="00520196" w:rsidRPr="00B4695B" w:rsidRDefault="00520196">
      <w:pPr>
        <w:pStyle w:val="Notedebasdepage"/>
        <w:rPr>
          <w:sz w:val="16"/>
          <w:szCs w:val="16"/>
        </w:rPr>
      </w:pPr>
      <w:r w:rsidRPr="00B4695B">
        <w:rPr>
          <w:rStyle w:val="Appelnotedebasdep"/>
          <w:sz w:val="16"/>
          <w:szCs w:val="16"/>
        </w:rPr>
        <w:footnoteRef/>
      </w:r>
      <w:r w:rsidRPr="00B4695B">
        <w:rPr>
          <w:sz w:val="16"/>
          <w:szCs w:val="16"/>
        </w:rPr>
        <w:t xml:space="preserve"> </w:t>
      </w:r>
      <w:r w:rsidRPr="00B4695B">
        <w:rPr>
          <w:rFonts w:cs="Arial"/>
          <w:sz w:val="16"/>
          <w:szCs w:val="16"/>
        </w:rPr>
        <w:t>Enquête SMART, 2017</w:t>
      </w:r>
    </w:p>
  </w:footnote>
  <w:footnote w:id="6">
    <w:p w14:paraId="37CB60B5" w14:textId="77777777" w:rsidR="00520196" w:rsidRPr="00C82704" w:rsidRDefault="00520196" w:rsidP="00803F33">
      <w:pPr>
        <w:pStyle w:val="Notedebasdepage"/>
        <w:rPr>
          <w:sz w:val="18"/>
          <w:szCs w:val="18"/>
        </w:rPr>
      </w:pPr>
      <w:r w:rsidRPr="00C82704">
        <w:rPr>
          <w:rStyle w:val="Appelnotedebasdep"/>
          <w:sz w:val="18"/>
          <w:szCs w:val="18"/>
        </w:rPr>
        <w:footnoteRef/>
      </w:r>
      <w:r w:rsidRPr="00E17A95">
        <w:rPr>
          <w:sz w:val="18"/>
          <w:szCs w:val="18"/>
        </w:rPr>
        <w:t xml:space="preserve"> Plan national multisectoriel de lutte contre le Sida et les IST, Burkina Faso, 2016</w:t>
      </w:r>
    </w:p>
  </w:footnote>
  <w:footnote w:id="7">
    <w:p w14:paraId="1049C537" w14:textId="77777777" w:rsidR="00520196" w:rsidRPr="0000608C" w:rsidRDefault="00520196" w:rsidP="00803F33">
      <w:pPr>
        <w:pStyle w:val="Notedebasdepage"/>
      </w:pPr>
      <w:r w:rsidRPr="00C82704">
        <w:rPr>
          <w:rStyle w:val="Appelnotedebasdep"/>
          <w:sz w:val="18"/>
          <w:szCs w:val="18"/>
        </w:rPr>
        <w:footnoteRef/>
      </w:r>
      <w:r w:rsidRPr="00E17A95">
        <w:rPr>
          <w:sz w:val="18"/>
          <w:szCs w:val="18"/>
        </w:rPr>
        <w:t xml:space="preserve"> Ministère de la Santé, Burkina Faso, annuaire statistique 2017</w:t>
      </w:r>
    </w:p>
  </w:footnote>
  <w:footnote w:id="8">
    <w:p w14:paraId="791F9110" w14:textId="77777777" w:rsidR="00520196" w:rsidRPr="00054A9E" w:rsidRDefault="00520196" w:rsidP="004050A1">
      <w:pPr>
        <w:pStyle w:val="Notedebasdepage"/>
        <w:rPr>
          <w:sz w:val="16"/>
          <w:szCs w:val="16"/>
        </w:rPr>
      </w:pPr>
      <w:r w:rsidRPr="00054A9E">
        <w:rPr>
          <w:rStyle w:val="Appelnotedebasdep"/>
          <w:sz w:val="16"/>
          <w:szCs w:val="16"/>
        </w:rPr>
        <w:footnoteRef/>
      </w:r>
      <w:r w:rsidRPr="00054A9E">
        <w:rPr>
          <w:sz w:val="16"/>
          <w:szCs w:val="16"/>
        </w:rPr>
        <w:t xml:space="preserve"> Enquête Démographique et de santé 1998-1999   </w:t>
      </w:r>
      <w:r>
        <w:rPr>
          <w:sz w:val="16"/>
          <w:szCs w:val="16"/>
        </w:rPr>
        <w:t xml:space="preserve">Burkina Faso - </w:t>
      </w:r>
      <w:r w:rsidRPr="00054A9E">
        <w:rPr>
          <w:sz w:val="16"/>
          <w:szCs w:val="16"/>
        </w:rPr>
        <w:t xml:space="preserve"> Enquête Démographique et de santé 2003 – Burkina Faso </w:t>
      </w:r>
      <w:r>
        <w:rPr>
          <w:sz w:val="16"/>
          <w:szCs w:val="16"/>
        </w:rPr>
        <w:t>-</w:t>
      </w:r>
      <w:r w:rsidRPr="00054A9E">
        <w:rPr>
          <w:sz w:val="16"/>
          <w:szCs w:val="16"/>
        </w:rPr>
        <w:t xml:space="preserve"> Enquête Démographique et de santé 2010 – Burkina Faso</w:t>
      </w:r>
      <w:r>
        <w:rPr>
          <w:sz w:val="16"/>
          <w:szCs w:val="16"/>
        </w:rPr>
        <w:t>-</w:t>
      </w:r>
      <w:r w:rsidRPr="00054A9E">
        <w:rPr>
          <w:sz w:val="16"/>
          <w:szCs w:val="16"/>
        </w:rPr>
        <w:t xml:space="preserve"> Enquête Module Démographique et Santé (EMDS) 2015 – Burkina Faso</w:t>
      </w:r>
    </w:p>
  </w:footnote>
  <w:footnote w:id="9">
    <w:p w14:paraId="4B0D1AF5" w14:textId="77777777" w:rsidR="00520196" w:rsidRPr="003667E7" w:rsidRDefault="00520196" w:rsidP="00137E94">
      <w:pPr>
        <w:pStyle w:val="Notedebasdepage"/>
        <w:rPr>
          <w:sz w:val="16"/>
          <w:szCs w:val="16"/>
        </w:rPr>
      </w:pPr>
      <w:r w:rsidRPr="003667E7">
        <w:rPr>
          <w:rStyle w:val="Appelnotedebasdep"/>
          <w:sz w:val="16"/>
          <w:szCs w:val="16"/>
        </w:rPr>
        <w:footnoteRef/>
      </w:r>
      <w:r w:rsidRPr="003667E7">
        <w:rPr>
          <w:sz w:val="16"/>
          <w:szCs w:val="16"/>
        </w:rPr>
        <w:t xml:space="preserve"> Enquête démographie et santé 1998-99. Burkina Faso</w:t>
      </w:r>
    </w:p>
  </w:footnote>
  <w:footnote w:id="10">
    <w:p w14:paraId="50D0047E" w14:textId="77777777" w:rsidR="00520196" w:rsidRPr="008839B9" w:rsidRDefault="00520196" w:rsidP="008839B9">
      <w:pPr>
        <w:autoSpaceDE w:val="0"/>
        <w:autoSpaceDN w:val="0"/>
        <w:adjustRightInd w:val="0"/>
        <w:spacing w:after="0"/>
        <w:rPr>
          <w:sz w:val="16"/>
          <w:szCs w:val="16"/>
        </w:rPr>
      </w:pPr>
      <w:r w:rsidRPr="008839B9">
        <w:rPr>
          <w:rStyle w:val="Appelnotedebasdep"/>
          <w:sz w:val="16"/>
          <w:szCs w:val="16"/>
        </w:rPr>
        <w:footnoteRef/>
      </w:r>
      <w:r w:rsidRPr="008839B9">
        <w:rPr>
          <w:rFonts w:cs="QuaySans"/>
          <w:sz w:val="16"/>
          <w:szCs w:val="16"/>
        </w:rPr>
        <w:t>Somé DT, Sombie I, Meda N. What prevent women for a sustainable use of maternal care in two medical districts of Burkina Faso? A qualitative study. Pan Afr Med J. 2014;18:43.</w:t>
      </w:r>
    </w:p>
  </w:footnote>
  <w:footnote w:id="11">
    <w:p w14:paraId="5749274B" w14:textId="77777777" w:rsidR="00520196" w:rsidRPr="008839B9" w:rsidRDefault="00520196" w:rsidP="008839B9">
      <w:pPr>
        <w:autoSpaceDE w:val="0"/>
        <w:autoSpaceDN w:val="0"/>
        <w:adjustRightInd w:val="0"/>
        <w:spacing w:after="0"/>
        <w:rPr>
          <w:sz w:val="16"/>
          <w:szCs w:val="16"/>
        </w:rPr>
      </w:pPr>
      <w:r w:rsidRPr="008839B9">
        <w:rPr>
          <w:rStyle w:val="Appelnotedebasdep"/>
          <w:sz w:val="16"/>
          <w:szCs w:val="16"/>
        </w:rPr>
        <w:footnoteRef/>
      </w:r>
      <w:r w:rsidRPr="008839B9">
        <w:rPr>
          <w:rFonts w:cs="QuaySans"/>
          <w:sz w:val="16"/>
          <w:szCs w:val="16"/>
        </w:rPr>
        <w:t>Duysburgh E, Ye M, Williams A, Massawe S, Sié A, Williams J, Mpembeni R, Loukanova S, Temmerman M. Counseling on and women’s awareness of pregnancy danger signs in selected rural health facilities in Burkina Faso, Ghana and Tanzania. Trop Med Int Health. 2013;18:1498-509.</w:t>
      </w:r>
    </w:p>
  </w:footnote>
  <w:footnote w:id="12">
    <w:p w14:paraId="2C755A10" w14:textId="77777777" w:rsidR="00520196" w:rsidRPr="008839B9" w:rsidRDefault="00520196" w:rsidP="008839B9">
      <w:pPr>
        <w:autoSpaceDE w:val="0"/>
        <w:autoSpaceDN w:val="0"/>
        <w:adjustRightInd w:val="0"/>
        <w:spacing w:after="0"/>
        <w:rPr>
          <w:sz w:val="16"/>
          <w:szCs w:val="16"/>
        </w:rPr>
      </w:pPr>
      <w:r w:rsidRPr="008839B9">
        <w:rPr>
          <w:rStyle w:val="Appelnotedebasdep"/>
          <w:sz w:val="16"/>
          <w:szCs w:val="16"/>
        </w:rPr>
        <w:footnoteRef/>
      </w:r>
      <w:r w:rsidRPr="008839B9">
        <w:rPr>
          <w:rFonts w:cs="QuaySans"/>
          <w:sz w:val="16"/>
          <w:szCs w:val="16"/>
        </w:rPr>
        <w:t xml:space="preserve">Bell J, Ouedraogo M, Ganaba R, Sombié I, Byass P </w:t>
      </w:r>
      <w:r w:rsidRPr="008839B9">
        <w:rPr>
          <w:rFonts w:cs="QuaySansItalic"/>
          <w:i/>
          <w:iCs/>
          <w:sz w:val="16"/>
          <w:szCs w:val="16"/>
        </w:rPr>
        <w:t xml:space="preserve">et al. </w:t>
      </w:r>
      <w:r w:rsidRPr="008839B9">
        <w:rPr>
          <w:rFonts w:cs="QuaySans"/>
          <w:sz w:val="16"/>
          <w:szCs w:val="16"/>
        </w:rPr>
        <w:t>The epidemiology of pregnancy outcomes in rural Burkina Faso. Tropical Medicine and International Health. 2008;13:31-41.</w:t>
      </w:r>
    </w:p>
  </w:footnote>
  <w:footnote w:id="13">
    <w:p w14:paraId="2D0CEE48" w14:textId="77777777" w:rsidR="00520196" w:rsidRPr="008839B9" w:rsidRDefault="00520196" w:rsidP="008839B9">
      <w:pPr>
        <w:autoSpaceDE w:val="0"/>
        <w:autoSpaceDN w:val="0"/>
        <w:adjustRightInd w:val="0"/>
        <w:spacing w:after="0"/>
        <w:jc w:val="both"/>
        <w:rPr>
          <w:sz w:val="16"/>
          <w:szCs w:val="16"/>
        </w:rPr>
      </w:pPr>
      <w:r w:rsidRPr="008839B9">
        <w:rPr>
          <w:rStyle w:val="Appelnotedebasdep"/>
          <w:sz w:val="16"/>
          <w:szCs w:val="16"/>
        </w:rPr>
        <w:footnoteRef/>
      </w:r>
      <w:r w:rsidRPr="008839B9">
        <w:rPr>
          <w:rFonts w:cs="QuaySans"/>
          <w:sz w:val="16"/>
          <w:szCs w:val="16"/>
        </w:rPr>
        <w:t>De Allegri M, Tiendrebéogo J, Müller O, Yé M, Jahn A, Ridde V.Understanding home delivery in a context of user fee reduction: across-sectional mixed methods study in rural Burkina Faso. BMC Pregnancy Childbirth. 2015;15:330. doi : 10.1186/s12884-015-0764-0.</w:t>
      </w:r>
    </w:p>
  </w:footnote>
  <w:footnote w:id="14">
    <w:p w14:paraId="641E0B28" w14:textId="77777777" w:rsidR="00520196" w:rsidRPr="008839B9" w:rsidRDefault="00520196" w:rsidP="008839B9">
      <w:pPr>
        <w:autoSpaceDE w:val="0"/>
        <w:autoSpaceDN w:val="0"/>
        <w:adjustRightInd w:val="0"/>
        <w:spacing w:after="0"/>
        <w:rPr>
          <w:sz w:val="16"/>
          <w:szCs w:val="16"/>
        </w:rPr>
      </w:pPr>
      <w:r w:rsidRPr="008839B9">
        <w:rPr>
          <w:rStyle w:val="Appelnotedebasdep"/>
          <w:sz w:val="16"/>
          <w:szCs w:val="16"/>
        </w:rPr>
        <w:footnoteRef/>
      </w:r>
      <w:r w:rsidRPr="008839B9">
        <w:rPr>
          <w:rFonts w:cs="QuaySans"/>
          <w:sz w:val="16"/>
          <w:szCs w:val="16"/>
        </w:rPr>
        <w:t>Sia D, Fournier P. The role of transportation to access maternal care services for women in rural Bangladesh and Burkina Faso: A mixed methods study. Int J Gynaecol Obstet. 2016;135:S45-S50.</w:t>
      </w:r>
    </w:p>
  </w:footnote>
  <w:footnote w:id="15">
    <w:p w14:paraId="6F9EF6EA" w14:textId="77777777" w:rsidR="00520196" w:rsidRPr="008839B9" w:rsidRDefault="00520196" w:rsidP="008839B9">
      <w:pPr>
        <w:autoSpaceDE w:val="0"/>
        <w:autoSpaceDN w:val="0"/>
        <w:adjustRightInd w:val="0"/>
        <w:spacing w:after="0"/>
        <w:rPr>
          <w:sz w:val="16"/>
          <w:szCs w:val="16"/>
        </w:rPr>
      </w:pPr>
      <w:r w:rsidRPr="008839B9">
        <w:rPr>
          <w:rStyle w:val="Appelnotedebasdep"/>
          <w:sz w:val="16"/>
          <w:szCs w:val="16"/>
        </w:rPr>
        <w:footnoteRef/>
      </w:r>
      <w:r w:rsidRPr="008839B9">
        <w:rPr>
          <w:rFonts w:cs="QuaySans"/>
          <w:sz w:val="16"/>
          <w:szCs w:val="16"/>
        </w:rPr>
        <w:t>Kouanda S, Ouédraogo AM, Ouédraogo GH, Sanon D, Belemviré S, Ouédraogo L. Emergency obstetric and neonatal care needs assessment: Results of the 2010 and 2014 surveys in Burkina Faso. International Journal of Gynecology and Obstetrics 2016;135:S11-S15.</w:t>
      </w:r>
    </w:p>
  </w:footnote>
  <w:footnote w:id="16">
    <w:p w14:paraId="54D6AC19" w14:textId="77777777" w:rsidR="00520196" w:rsidRPr="00CC78F6" w:rsidRDefault="00520196" w:rsidP="008839B9">
      <w:pPr>
        <w:spacing w:after="0"/>
        <w:rPr>
          <w:sz w:val="16"/>
          <w:szCs w:val="16"/>
        </w:rPr>
      </w:pPr>
      <w:r w:rsidRPr="00CC78F6">
        <w:rPr>
          <w:rFonts w:cs="Arial"/>
          <w:sz w:val="16"/>
          <w:szCs w:val="16"/>
          <w:vertAlign w:val="superscript"/>
        </w:rPr>
        <w:footnoteRef/>
      </w:r>
      <w:r w:rsidRPr="00CC78F6">
        <w:rPr>
          <w:sz w:val="16"/>
          <w:szCs w:val="16"/>
        </w:rPr>
        <w:t xml:space="preserve"> EMC-MDS, 2015.</w:t>
      </w:r>
    </w:p>
  </w:footnote>
  <w:footnote w:id="17">
    <w:p w14:paraId="407352BD" w14:textId="77777777" w:rsidR="00520196" w:rsidRPr="00CC78F6" w:rsidRDefault="00520196" w:rsidP="005A1CF9">
      <w:pPr>
        <w:pStyle w:val="Notedebasdepage"/>
        <w:rPr>
          <w:sz w:val="16"/>
          <w:szCs w:val="16"/>
        </w:rPr>
      </w:pPr>
      <w:r w:rsidRPr="00CC78F6">
        <w:rPr>
          <w:rStyle w:val="Appelnotedebasdep"/>
          <w:sz w:val="16"/>
          <w:szCs w:val="16"/>
        </w:rPr>
        <w:footnoteRef/>
      </w:r>
      <w:r w:rsidRPr="00CC78F6">
        <w:rPr>
          <w:sz w:val="16"/>
          <w:szCs w:val="16"/>
        </w:rPr>
        <w:t xml:space="preserve"> Enquête Démographique et de santé 1998-1999   Burkina Faso -  Enquête Démographique et de santé 2003 – Burkina Faso </w:t>
      </w:r>
    </w:p>
    <w:p w14:paraId="2339ED83" w14:textId="77777777" w:rsidR="00520196" w:rsidRPr="00CC78F6" w:rsidRDefault="00520196" w:rsidP="005A1CF9">
      <w:pPr>
        <w:pStyle w:val="Notedebasdepage"/>
        <w:rPr>
          <w:sz w:val="16"/>
          <w:szCs w:val="16"/>
        </w:rPr>
      </w:pPr>
      <w:r w:rsidRPr="00CC78F6">
        <w:rPr>
          <w:sz w:val="16"/>
          <w:szCs w:val="16"/>
        </w:rPr>
        <w:t xml:space="preserve">    Enquête Démographique et de santé 2010 – Burkina Faso-  Enquête Module Démographique et Santé (EMDS) 2015 – Burkina Faso</w:t>
      </w:r>
    </w:p>
  </w:footnote>
  <w:footnote w:id="18">
    <w:p w14:paraId="12134BA0" w14:textId="77777777" w:rsidR="00520196" w:rsidRPr="00CC78F6" w:rsidRDefault="00520196" w:rsidP="00CC78F6">
      <w:pPr>
        <w:spacing w:after="0" w:line="240" w:lineRule="auto"/>
        <w:jc w:val="both"/>
        <w:rPr>
          <w:rFonts w:cs="Calibri"/>
          <w:noProof/>
          <w:sz w:val="16"/>
          <w:szCs w:val="16"/>
          <w:lang w:eastAsia="fr-FR"/>
        </w:rPr>
      </w:pPr>
      <w:r w:rsidRPr="00CC78F6">
        <w:rPr>
          <w:rStyle w:val="Appelnotedebasdep"/>
          <w:sz w:val="16"/>
          <w:szCs w:val="16"/>
        </w:rPr>
        <w:footnoteRef/>
      </w:r>
      <w:r w:rsidRPr="00CC78F6">
        <w:rPr>
          <w:sz w:val="16"/>
          <w:szCs w:val="16"/>
        </w:rPr>
        <w:t xml:space="preserve"> </w:t>
      </w:r>
      <w:r w:rsidRPr="00CC78F6">
        <w:rPr>
          <w:rFonts w:cs="Calibri"/>
          <w:noProof/>
          <w:sz w:val="16"/>
          <w:szCs w:val="16"/>
          <w:lang w:eastAsia="fr-FR"/>
        </w:rPr>
        <w:t>Source : Equist Octobre 2018 (Rapport Enquête EMC 2015 BF)</w:t>
      </w:r>
    </w:p>
    <w:p w14:paraId="6E3C9699" w14:textId="7D1DA221" w:rsidR="00520196" w:rsidRDefault="00520196">
      <w:pPr>
        <w:pStyle w:val="Notedebasdepage"/>
      </w:pPr>
    </w:p>
  </w:footnote>
  <w:footnote w:id="19">
    <w:p w14:paraId="6E9D73C4" w14:textId="77777777" w:rsidR="00520196" w:rsidRPr="00292C96" w:rsidRDefault="00520196">
      <w:pPr>
        <w:pStyle w:val="Notedebasdepage"/>
        <w:rPr>
          <w:sz w:val="16"/>
          <w:szCs w:val="16"/>
        </w:rPr>
      </w:pPr>
      <w:r w:rsidRPr="00292C96">
        <w:rPr>
          <w:rStyle w:val="Appelnotedebasdep"/>
          <w:sz w:val="16"/>
          <w:szCs w:val="16"/>
        </w:rPr>
        <w:footnoteRef/>
      </w:r>
      <w:r w:rsidRPr="00292C96">
        <w:rPr>
          <w:sz w:val="16"/>
          <w:szCs w:val="16"/>
        </w:rPr>
        <w:t xml:space="preserve">  Enquête Démographique et de santé 2010 – Burkina Faso-  </w:t>
      </w:r>
    </w:p>
  </w:footnote>
  <w:footnote w:id="20">
    <w:p w14:paraId="296F274B" w14:textId="0CFFF30B" w:rsidR="00520196" w:rsidRPr="00292C96" w:rsidRDefault="00520196" w:rsidP="002560F3">
      <w:pPr>
        <w:spacing w:after="0"/>
        <w:rPr>
          <w:sz w:val="16"/>
          <w:szCs w:val="16"/>
          <w:lang w:val="en-US"/>
        </w:rPr>
      </w:pPr>
      <w:r w:rsidRPr="00292C96">
        <w:rPr>
          <w:rStyle w:val="Appelnotedebasdep"/>
          <w:sz w:val="16"/>
          <w:szCs w:val="16"/>
        </w:rPr>
        <w:footnoteRef/>
      </w:r>
      <w:r w:rsidRPr="00292C96">
        <w:rPr>
          <w:sz w:val="16"/>
          <w:szCs w:val="16"/>
          <w:lang w:val="en-US"/>
        </w:rPr>
        <w:t>Liu L, Johnson HL, Cousens S, Perin J, Scott S, Lawn JE, et al. Global, regional, and national causes of child mortality: an   updated systematic analysis for 2010 with time trends since 2000. Lancet. 9 juin 2012;379(9832):2151</w:t>
      </w:r>
      <w:r w:rsidRPr="00292C96">
        <w:rPr>
          <w:sz w:val="16"/>
          <w:szCs w:val="16"/>
          <w:lang w:val="en-US"/>
        </w:rPr>
        <w:noBreakHyphen/>
        <w:t>61.</w:t>
      </w:r>
    </w:p>
  </w:footnote>
  <w:footnote w:id="21">
    <w:p w14:paraId="2843410A" w14:textId="77777777" w:rsidR="00520196" w:rsidRPr="009B2F27" w:rsidRDefault="00520196" w:rsidP="00292C96">
      <w:pPr>
        <w:autoSpaceDE w:val="0"/>
        <w:autoSpaceDN w:val="0"/>
        <w:adjustRightInd w:val="0"/>
        <w:spacing w:after="0"/>
        <w:jc w:val="both"/>
        <w:rPr>
          <w:rFonts w:cs="Arial"/>
        </w:rPr>
      </w:pPr>
      <w:r w:rsidRPr="00292C96">
        <w:rPr>
          <w:rFonts w:cs="Arial"/>
          <w:sz w:val="16"/>
          <w:szCs w:val="16"/>
          <w:vertAlign w:val="superscript"/>
        </w:rPr>
        <w:footnoteRef/>
      </w:r>
      <w:r w:rsidRPr="00292C96">
        <w:rPr>
          <w:rFonts w:cs="Arial"/>
          <w:sz w:val="16"/>
          <w:szCs w:val="16"/>
        </w:rPr>
        <w:t>Ministère de la Santé, 2008.</w:t>
      </w:r>
    </w:p>
  </w:footnote>
  <w:footnote w:id="22">
    <w:p w14:paraId="25D4060F" w14:textId="77777777" w:rsidR="00520196" w:rsidRPr="004B2318" w:rsidRDefault="00520196" w:rsidP="00843FC2">
      <w:pPr>
        <w:pStyle w:val="Notedebasdepage"/>
        <w:rPr>
          <w:sz w:val="16"/>
          <w:szCs w:val="16"/>
        </w:rPr>
      </w:pPr>
      <w:r w:rsidRPr="004B2318">
        <w:rPr>
          <w:rStyle w:val="Appelnotedebasdep"/>
          <w:sz w:val="16"/>
          <w:szCs w:val="16"/>
        </w:rPr>
        <w:footnoteRef/>
      </w:r>
      <w:r w:rsidRPr="004B2318">
        <w:rPr>
          <w:sz w:val="16"/>
          <w:szCs w:val="16"/>
        </w:rPr>
        <w:t xml:space="preserve"> EDS BURKINA 1998-99, EDS BURKINA 2003 et EDS BURKINA2010</w:t>
      </w:r>
    </w:p>
  </w:footnote>
  <w:footnote w:id="23">
    <w:p w14:paraId="3722D97A" w14:textId="77777777" w:rsidR="00520196" w:rsidRPr="00AC4F28" w:rsidRDefault="00520196" w:rsidP="00AC4F28">
      <w:pPr>
        <w:autoSpaceDE w:val="0"/>
        <w:autoSpaceDN w:val="0"/>
        <w:adjustRightInd w:val="0"/>
        <w:spacing w:after="0"/>
        <w:jc w:val="both"/>
        <w:rPr>
          <w:rFonts w:cs="Times New Roman"/>
          <w:i/>
          <w:iCs/>
          <w:sz w:val="16"/>
          <w:szCs w:val="16"/>
        </w:rPr>
      </w:pPr>
      <w:r>
        <w:rPr>
          <w:rStyle w:val="Appelnotedebasdep"/>
        </w:rPr>
        <w:footnoteRef/>
      </w:r>
      <w:r>
        <w:t xml:space="preserve"> </w:t>
      </w:r>
      <w:r w:rsidRPr="00AC4F28">
        <w:rPr>
          <w:rFonts w:cs="Times New Roman"/>
          <w:sz w:val="16"/>
          <w:szCs w:val="16"/>
        </w:rPr>
        <w:t xml:space="preserve">Institut National de la Statistique et de la Démographie, et Macro International Inc. 2000. </w:t>
      </w:r>
      <w:r w:rsidRPr="00AC4F28">
        <w:rPr>
          <w:rFonts w:cs="Times New Roman"/>
          <w:i/>
          <w:iCs/>
          <w:sz w:val="16"/>
          <w:szCs w:val="16"/>
        </w:rPr>
        <w:t xml:space="preserve">Enquête Démographique et de Santé, Burkina Faso 1998-1999. </w:t>
      </w:r>
      <w:r w:rsidRPr="00AC4F28">
        <w:rPr>
          <w:rFonts w:cs="Times New Roman"/>
          <w:sz w:val="16"/>
          <w:szCs w:val="16"/>
        </w:rPr>
        <w:t>Calverton, Maryland (USA) : Macro International Inc.</w:t>
      </w:r>
    </w:p>
  </w:footnote>
  <w:footnote w:id="24">
    <w:p w14:paraId="4EFDE3AD" w14:textId="77777777" w:rsidR="00520196" w:rsidRPr="00AC4F28" w:rsidRDefault="00520196" w:rsidP="00AC4F28">
      <w:pPr>
        <w:autoSpaceDE w:val="0"/>
        <w:autoSpaceDN w:val="0"/>
        <w:adjustRightInd w:val="0"/>
        <w:spacing w:after="0"/>
        <w:jc w:val="both"/>
        <w:rPr>
          <w:rFonts w:cs="Times New Roman"/>
          <w:i/>
          <w:iCs/>
          <w:sz w:val="16"/>
          <w:szCs w:val="16"/>
        </w:rPr>
      </w:pPr>
      <w:r>
        <w:rPr>
          <w:rStyle w:val="Appelnotedebasdep"/>
        </w:rPr>
        <w:footnoteRef/>
      </w:r>
      <w:r>
        <w:t xml:space="preserve"> </w:t>
      </w:r>
      <w:r w:rsidRPr="00AC4F28">
        <w:rPr>
          <w:rFonts w:cs="Times New Roman"/>
          <w:sz w:val="16"/>
          <w:szCs w:val="16"/>
        </w:rPr>
        <w:t xml:space="preserve">Institut National de la Statistique et de la Démographie (INSD) et ORC Macro. 2004. </w:t>
      </w:r>
      <w:r w:rsidRPr="00AC4F28">
        <w:rPr>
          <w:rFonts w:cs="Times New Roman"/>
          <w:i/>
          <w:iCs/>
          <w:sz w:val="16"/>
          <w:szCs w:val="16"/>
        </w:rPr>
        <w:t>Enquête Démographique et de Santé du Burkina Faso 2003</w:t>
      </w:r>
      <w:r w:rsidRPr="00AC4F28">
        <w:rPr>
          <w:rFonts w:cs="Times New Roman"/>
          <w:sz w:val="16"/>
          <w:szCs w:val="16"/>
        </w:rPr>
        <w:t>. Calverton, Maryland, USA : INSD et ORC Macro.</w:t>
      </w:r>
    </w:p>
  </w:footnote>
  <w:footnote w:id="25">
    <w:p w14:paraId="7D145330" w14:textId="77777777" w:rsidR="00520196" w:rsidRDefault="00520196">
      <w:pPr>
        <w:pStyle w:val="Notedebasdepage"/>
      </w:pPr>
      <w:r>
        <w:rPr>
          <w:rStyle w:val="Appelnotedebasdep"/>
        </w:rPr>
        <w:footnoteRef/>
      </w:r>
      <w:r>
        <w:t xml:space="preserve"> </w:t>
      </w:r>
      <w:r w:rsidRPr="00752A84">
        <w:rPr>
          <w:rFonts w:cs="Arial"/>
          <w:sz w:val="16"/>
          <w:szCs w:val="16"/>
        </w:rPr>
        <w:t xml:space="preserve">Institut National de la Statistique et de la Démographie (INSD) et ICF International, 2012. </w:t>
      </w:r>
      <w:r w:rsidRPr="00752A84">
        <w:rPr>
          <w:rFonts w:cs="Arial,Italic"/>
          <w:i/>
          <w:iCs/>
          <w:sz w:val="16"/>
          <w:szCs w:val="16"/>
        </w:rPr>
        <w:t>Enquête Démographique et de Santé et à Indicateurs Multiples du Burkina Faso 2010</w:t>
      </w:r>
      <w:r w:rsidRPr="00752A84">
        <w:rPr>
          <w:rFonts w:cs="Arial"/>
          <w:sz w:val="16"/>
          <w:szCs w:val="16"/>
        </w:rPr>
        <w:t>. Calverton, Maryland, USA : INSD et ICF International.</w:t>
      </w:r>
    </w:p>
  </w:footnote>
  <w:footnote w:id="26">
    <w:p w14:paraId="1384A2C2" w14:textId="77777777" w:rsidR="00520196" w:rsidRPr="00843FC2" w:rsidRDefault="00520196" w:rsidP="00843FC2">
      <w:pPr>
        <w:pStyle w:val="Notedebasdepage"/>
        <w:rPr>
          <w:sz w:val="16"/>
          <w:szCs w:val="16"/>
        </w:rPr>
      </w:pPr>
      <w:r w:rsidRPr="00843FC2">
        <w:rPr>
          <w:rStyle w:val="Appelnotedebasdep"/>
          <w:sz w:val="16"/>
          <w:szCs w:val="16"/>
        </w:rPr>
        <w:footnoteRef/>
      </w:r>
      <w:r w:rsidRPr="00843FC2">
        <w:rPr>
          <w:sz w:val="16"/>
          <w:szCs w:val="16"/>
        </w:rPr>
        <w:t xml:space="preserve"> </w:t>
      </w:r>
      <w:r w:rsidRPr="00843FC2">
        <w:rPr>
          <w:rFonts w:cs="Arial"/>
          <w:sz w:val="16"/>
          <w:szCs w:val="16"/>
        </w:rPr>
        <w:t xml:space="preserve">Institut National de la Statistique et de la Démographie (INSD) et ICF International, 2012. </w:t>
      </w:r>
      <w:r w:rsidRPr="00843FC2">
        <w:rPr>
          <w:rFonts w:cs="Arial,Italic"/>
          <w:i/>
          <w:iCs/>
          <w:sz w:val="16"/>
          <w:szCs w:val="16"/>
        </w:rPr>
        <w:t>Enquête Démographique et de Santé et à Indicateurs Multiples du Burkina Faso 2010</w:t>
      </w:r>
      <w:r w:rsidRPr="00843FC2">
        <w:rPr>
          <w:rFonts w:cs="Arial"/>
          <w:sz w:val="16"/>
          <w:szCs w:val="16"/>
        </w:rPr>
        <w:t>. Calverton, Maryland, USA : INSD et ICF International.</w:t>
      </w:r>
    </w:p>
  </w:footnote>
  <w:footnote w:id="27">
    <w:p w14:paraId="6264BA1A" w14:textId="77777777" w:rsidR="00520196" w:rsidRPr="00843FC2" w:rsidRDefault="00520196" w:rsidP="00843FC2">
      <w:pPr>
        <w:spacing w:after="0" w:line="240" w:lineRule="auto"/>
        <w:jc w:val="both"/>
        <w:rPr>
          <w:sz w:val="16"/>
          <w:szCs w:val="16"/>
        </w:rPr>
      </w:pPr>
      <w:r w:rsidRPr="00843FC2">
        <w:rPr>
          <w:sz w:val="16"/>
          <w:szCs w:val="16"/>
        </w:rPr>
        <w:footnoteRef/>
      </w:r>
      <w:r w:rsidRPr="00843FC2">
        <w:rPr>
          <w:sz w:val="16"/>
          <w:szCs w:val="16"/>
        </w:rPr>
        <w:t xml:space="preserve"> Rapport ONUSIDA, 2014</w:t>
      </w:r>
    </w:p>
  </w:footnote>
  <w:footnote w:id="28">
    <w:p w14:paraId="4D44582D" w14:textId="77777777" w:rsidR="00520196" w:rsidRPr="00843FC2" w:rsidRDefault="00520196" w:rsidP="00843FC2">
      <w:pPr>
        <w:pStyle w:val="Notedebasdepage"/>
        <w:rPr>
          <w:sz w:val="16"/>
          <w:szCs w:val="16"/>
        </w:rPr>
      </w:pPr>
      <w:r w:rsidRPr="00843FC2">
        <w:rPr>
          <w:rStyle w:val="Appelnotedebasdep"/>
          <w:sz w:val="16"/>
          <w:szCs w:val="16"/>
        </w:rPr>
        <w:footnoteRef/>
      </w:r>
      <w:r w:rsidRPr="00843FC2">
        <w:rPr>
          <w:sz w:val="16"/>
          <w:szCs w:val="16"/>
        </w:rPr>
        <w:t xml:space="preserve"> Enquête module démographie et santé, Burkina Faso. 2015</w:t>
      </w:r>
    </w:p>
  </w:footnote>
  <w:footnote w:id="29">
    <w:p w14:paraId="51F7A34B" w14:textId="77777777" w:rsidR="00520196" w:rsidRPr="00843FC2" w:rsidRDefault="00520196" w:rsidP="00843FC2">
      <w:pPr>
        <w:spacing w:after="0" w:line="240" w:lineRule="auto"/>
        <w:jc w:val="both"/>
        <w:rPr>
          <w:sz w:val="16"/>
          <w:szCs w:val="16"/>
        </w:rPr>
      </w:pPr>
      <w:r w:rsidRPr="00843FC2">
        <w:rPr>
          <w:sz w:val="16"/>
          <w:szCs w:val="16"/>
          <w:vertAlign w:val="superscript"/>
        </w:rPr>
        <w:footnoteRef/>
      </w:r>
      <w:r w:rsidRPr="00843FC2">
        <w:rPr>
          <w:sz w:val="16"/>
          <w:szCs w:val="16"/>
        </w:rPr>
        <w:t xml:space="preserve">Voir quelques exemples éloquents présentés en ligne par un responsable du RAJS en suivant le lien : </w:t>
      </w:r>
      <w:hyperlink r:id="rId1" w:history="1">
        <w:r w:rsidRPr="00843FC2">
          <w:rPr>
            <w:rStyle w:val="Lienhypertexte"/>
            <w:sz w:val="16"/>
            <w:szCs w:val="16"/>
          </w:rPr>
          <w:t>www.bayiri.com/societe/sciences-sante /grossesses-non-desirees-et-paternites-precoces-le-rajs-bf-lance-sa-campagne-talents-de-jeunes-2013.html</w:t>
        </w:r>
      </w:hyperlink>
      <w:r w:rsidRPr="00843FC2">
        <w:rPr>
          <w:sz w:val="16"/>
          <w:szCs w:val="16"/>
        </w:rPr>
        <w:t xml:space="preserve">. </w:t>
      </w:r>
    </w:p>
  </w:footnote>
  <w:footnote w:id="30">
    <w:p w14:paraId="24405222" w14:textId="77777777" w:rsidR="00520196" w:rsidRPr="00843FC2" w:rsidRDefault="00520196" w:rsidP="00843FC2">
      <w:pPr>
        <w:pStyle w:val="Notedebasdepage"/>
        <w:rPr>
          <w:sz w:val="16"/>
          <w:szCs w:val="16"/>
        </w:rPr>
      </w:pPr>
      <w:r w:rsidRPr="00843FC2">
        <w:rPr>
          <w:rStyle w:val="Appelnotedebasdep"/>
          <w:sz w:val="16"/>
          <w:szCs w:val="16"/>
        </w:rPr>
        <w:footnoteRef/>
      </w:r>
      <w:r w:rsidRPr="00843FC2">
        <w:rPr>
          <w:sz w:val="16"/>
          <w:szCs w:val="16"/>
        </w:rPr>
        <w:t xml:space="preserve"> </w:t>
      </w:r>
      <w:r w:rsidRPr="00843FC2">
        <w:rPr>
          <w:rFonts w:cs="OfficinaSerif-Bold"/>
          <w:bCs/>
          <w:sz w:val="16"/>
          <w:szCs w:val="16"/>
        </w:rPr>
        <w:t>Avortement au Burkina Faso. Guttmacher Institute. New York, Février 2014.</w:t>
      </w:r>
    </w:p>
  </w:footnote>
  <w:footnote w:id="31">
    <w:p w14:paraId="529BACAE" w14:textId="77777777" w:rsidR="00520196" w:rsidRPr="00843FC2" w:rsidRDefault="00520196" w:rsidP="00843FC2">
      <w:pPr>
        <w:spacing w:after="0" w:line="240" w:lineRule="auto"/>
        <w:jc w:val="both"/>
        <w:rPr>
          <w:sz w:val="16"/>
          <w:szCs w:val="16"/>
          <w:vertAlign w:val="superscript"/>
        </w:rPr>
      </w:pPr>
      <w:r w:rsidRPr="00843FC2">
        <w:rPr>
          <w:rStyle w:val="Appelnotedebasdep"/>
          <w:sz w:val="16"/>
          <w:szCs w:val="16"/>
        </w:rPr>
        <w:footnoteRef/>
      </w:r>
      <w:r w:rsidRPr="00843FC2">
        <w:rPr>
          <w:sz w:val="16"/>
          <w:szCs w:val="16"/>
        </w:rPr>
        <w:t>EDS, 2010.</w:t>
      </w:r>
    </w:p>
  </w:footnote>
  <w:footnote w:id="32">
    <w:p w14:paraId="393C703E" w14:textId="77777777" w:rsidR="00520196" w:rsidRPr="009B2F27" w:rsidRDefault="00520196" w:rsidP="00843FC2">
      <w:pPr>
        <w:spacing w:line="240" w:lineRule="auto"/>
        <w:jc w:val="both"/>
      </w:pPr>
      <w:r w:rsidRPr="00843FC2">
        <w:rPr>
          <w:rStyle w:val="Appelnotedebasdep"/>
          <w:sz w:val="16"/>
          <w:szCs w:val="16"/>
        </w:rPr>
        <w:footnoteRef/>
      </w:r>
      <w:r w:rsidRPr="00843FC2">
        <w:rPr>
          <w:sz w:val="16"/>
          <w:szCs w:val="16"/>
        </w:rPr>
        <w:t>ENIAB, 2014.</w:t>
      </w:r>
    </w:p>
  </w:footnote>
  <w:footnote w:id="33">
    <w:p w14:paraId="5EAADCFA" w14:textId="77777777" w:rsidR="00520196" w:rsidRPr="008D79CC" w:rsidRDefault="00520196" w:rsidP="002523B6">
      <w:pPr>
        <w:autoSpaceDE w:val="0"/>
        <w:autoSpaceDN w:val="0"/>
        <w:adjustRightInd w:val="0"/>
        <w:spacing w:after="0" w:line="240" w:lineRule="auto"/>
        <w:rPr>
          <w:rFonts w:cs="Arial"/>
          <w:color w:val="000000"/>
          <w:sz w:val="16"/>
          <w:szCs w:val="16"/>
        </w:rPr>
      </w:pPr>
      <w:r w:rsidRPr="008D79CC">
        <w:rPr>
          <w:rStyle w:val="Appelnotedebasdep"/>
          <w:sz w:val="16"/>
          <w:szCs w:val="16"/>
        </w:rPr>
        <w:footnoteRef/>
      </w:r>
      <w:r w:rsidRPr="008D79CC">
        <w:rPr>
          <w:sz w:val="16"/>
          <w:szCs w:val="16"/>
        </w:rPr>
        <w:t xml:space="preserve"> </w:t>
      </w:r>
      <w:r w:rsidRPr="008D79CC">
        <w:rPr>
          <w:rFonts w:cs="HelveticaNeue-LightItalic"/>
          <w:i/>
          <w:iCs/>
          <w:color w:val="4D4D4D"/>
          <w:sz w:val="16"/>
          <w:szCs w:val="16"/>
        </w:rPr>
        <w:t xml:space="preserve">Guide d’orientation pour l’élaboration des stratégies nationales en matière d’offre de services de santé intègres </w:t>
      </w:r>
      <w:r w:rsidRPr="008D79CC">
        <w:rPr>
          <w:rFonts w:cs="Arial"/>
          <w:color w:val="000000"/>
          <w:sz w:val="16"/>
          <w:szCs w:val="16"/>
        </w:rPr>
        <w:t>adaptés aux adolescent(e)s et jeunes dans les pays de l’espace CEDEAO</w:t>
      </w:r>
    </w:p>
  </w:footnote>
  <w:footnote w:id="34">
    <w:p w14:paraId="5BEC5695" w14:textId="77777777" w:rsidR="00520196" w:rsidRPr="00E209B6" w:rsidRDefault="00520196" w:rsidP="008D79CC">
      <w:pPr>
        <w:pStyle w:val="Default"/>
        <w:jc w:val="both"/>
        <w:rPr>
          <w:rFonts w:ascii="Calibri" w:hAnsi="Calibri"/>
          <w:sz w:val="16"/>
          <w:szCs w:val="16"/>
        </w:rPr>
      </w:pPr>
      <w:r w:rsidRPr="008D79CC">
        <w:rPr>
          <w:rStyle w:val="Appelnotedebasdep"/>
          <w:rFonts w:asciiTheme="minorHAnsi" w:hAnsiTheme="minorHAnsi"/>
          <w:sz w:val="16"/>
          <w:szCs w:val="16"/>
        </w:rPr>
        <w:footnoteRef/>
      </w:r>
      <w:r w:rsidRPr="008D79CC">
        <w:rPr>
          <w:rFonts w:asciiTheme="minorHAnsi" w:hAnsiTheme="minorHAnsi"/>
          <w:sz w:val="16"/>
          <w:szCs w:val="16"/>
        </w:rPr>
        <w:t>EDS Burkina Faso 1998-99, EDS Burkina Faso 2003, EDS – MICS Burkina Faso 2010, Evaluation Mi-Parcours du PNDS 2011-20 Burkina Faso. Rapport – Ministère de la santé publique 2016, Enquête nutritionnelle nationale SMART 2016</w:t>
      </w:r>
    </w:p>
  </w:footnote>
  <w:footnote w:id="35">
    <w:p w14:paraId="14C28453" w14:textId="77777777" w:rsidR="00520196" w:rsidRPr="00EE3B8A" w:rsidRDefault="00520196" w:rsidP="00EE3B8A">
      <w:pPr>
        <w:autoSpaceDE w:val="0"/>
        <w:autoSpaceDN w:val="0"/>
        <w:adjustRightInd w:val="0"/>
        <w:spacing w:after="0"/>
        <w:jc w:val="both"/>
        <w:rPr>
          <w:rFonts w:cs="BookAntiqua"/>
          <w:sz w:val="16"/>
          <w:szCs w:val="16"/>
        </w:rPr>
      </w:pPr>
      <w:r w:rsidRPr="00EE3B8A">
        <w:rPr>
          <w:rFonts w:cs="BookAntiqua"/>
          <w:sz w:val="16"/>
          <w:szCs w:val="16"/>
          <w:vertAlign w:val="superscript"/>
        </w:rPr>
        <w:footnoteRef/>
      </w:r>
      <w:r w:rsidRPr="00EE3B8A">
        <w:rPr>
          <w:rFonts w:cs="BookAntiqua"/>
          <w:sz w:val="16"/>
          <w:szCs w:val="16"/>
        </w:rPr>
        <w:t>ENIAB, 2014.</w:t>
      </w:r>
    </w:p>
  </w:footnote>
  <w:footnote w:id="36">
    <w:p w14:paraId="59E4B9CD" w14:textId="5153C9B0" w:rsidR="00520196" w:rsidRPr="00EE3B8A" w:rsidRDefault="00520196">
      <w:pPr>
        <w:pStyle w:val="Notedebasdepage"/>
        <w:rPr>
          <w:sz w:val="16"/>
          <w:szCs w:val="16"/>
        </w:rPr>
      </w:pPr>
      <w:r w:rsidRPr="00EE3B8A">
        <w:rPr>
          <w:rStyle w:val="Appelnotedebasdep"/>
          <w:sz w:val="16"/>
          <w:szCs w:val="16"/>
        </w:rPr>
        <w:footnoteRef/>
      </w:r>
      <w:r w:rsidRPr="00EE3B8A">
        <w:rPr>
          <w:sz w:val="16"/>
          <w:szCs w:val="16"/>
        </w:rPr>
        <w:t xml:space="preserve"> Analyse par l’Outil Equist sur Base de données  DHS 2010</w:t>
      </w:r>
    </w:p>
  </w:footnote>
  <w:footnote w:id="37">
    <w:p w14:paraId="3D0B8826" w14:textId="0D2296C3" w:rsidR="00520196" w:rsidRPr="00EE3B8A" w:rsidRDefault="00520196">
      <w:pPr>
        <w:pStyle w:val="Notedebasdepage"/>
        <w:rPr>
          <w:sz w:val="16"/>
          <w:szCs w:val="16"/>
        </w:rPr>
      </w:pPr>
      <w:r w:rsidRPr="00EE3B8A">
        <w:rPr>
          <w:rStyle w:val="Appelnotedebasdep"/>
          <w:sz w:val="16"/>
          <w:szCs w:val="16"/>
        </w:rPr>
        <w:footnoteRef/>
      </w:r>
      <w:r w:rsidRPr="00EE3B8A">
        <w:rPr>
          <w:sz w:val="16"/>
          <w:szCs w:val="16"/>
        </w:rPr>
        <w:t xml:space="preserve"> </w:t>
      </w:r>
      <w:r w:rsidRPr="00EE3B8A">
        <w:rPr>
          <w:rFonts w:ascii="Calibri" w:hAnsi="Calibri"/>
          <w:sz w:val="16"/>
          <w:szCs w:val="16"/>
        </w:rPr>
        <w:t>ENIAB 2014</w:t>
      </w:r>
    </w:p>
  </w:footnote>
  <w:footnote w:id="38">
    <w:p w14:paraId="055B10BD" w14:textId="77777777" w:rsidR="00520196" w:rsidRDefault="00520196">
      <w:pPr>
        <w:pStyle w:val="Notedebasdepage"/>
      </w:pPr>
      <w:r>
        <w:rPr>
          <w:rStyle w:val="Appelnotedebasdep"/>
        </w:rPr>
        <w:footnoteRef/>
      </w:r>
      <w:r>
        <w:t xml:space="preserve"> Annuaire statistique 2016. Ministère de la Santé Publique. Burkina Faso</w:t>
      </w:r>
    </w:p>
  </w:footnote>
  <w:footnote w:id="39">
    <w:p w14:paraId="119DD910" w14:textId="77777777" w:rsidR="00520196" w:rsidRDefault="00520196" w:rsidP="00E06484">
      <w:pPr>
        <w:pStyle w:val="Default"/>
        <w:rPr>
          <w:rFonts w:asciiTheme="minorHAnsi" w:hAnsiTheme="minorHAnsi"/>
          <w:bCs/>
          <w:sz w:val="16"/>
          <w:szCs w:val="16"/>
        </w:rPr>
      </w:pPr>
      <w:r w:rsidRPr="00E4251F">
        <w:rPr>
          <w:rStyle w:val="Appelnotedebasdep"/>
          <w:rFonts w:asciiTheme="minorHAnsi" w:hAnsiTheme="minorHAnsi"/>
          <w:sz w:val="16"/>
          <w:szCs w:val="16"/>
        </w:rPr>
        <w:footnoteRef/>
      </w:r>
      <w:r w:rsidRPr="00E4251F">
        <w:rPr>
          <w:rFonts w:asciiTheme="minorHAnsi" w:hAnsiTheme="minorHAnsi"/>
          <w:sz w:val="16"/>
          <w:szCs w:val="16"/>
        </w:rPr>
        <w:t xml:space="preserve"> </w:t>
      </w:r>
      <w:r w:rsidRPr="00E4251F">
        <w:rPr>
          <w:rFonts w:asciiTheme="minorHAnsi" w:hAnsiTheme="minorHAnsi"/>
          <w:bCs/>
          <w:sz w:val="16"/>
          <w:szCs w:val="16"/>
        </w:rPr>
        <w:t>Enquête nationale sur la disponibilité et la capacité opérationnelle des services de santé (SARA III) Edition 2016. Ministère de la Santé</w:t>
      </w:r>
    </w:p>
    <w:p w14:paraId="6F9CE957" w14:textId="77777777" w:rsidR="00520196" w:rsidRPr="00E4251F" w:rsidRDefault="00520196" w:rsidP="00E06484">
      <w:pPr>
        <w:pStyle w:val="Default"/>
        <w:rPr>
          <w:rFonts w:asciiTheme="minorHAnsi" w:hAnsiTheme="minorHAnsi"/>
          <w:sz w:val="16"/>
          <w:szCs w:val="16"/>
        </w:rPr>
      </w:pPr>
      <w:r>
        <w:rPr>
          <w:rFonts w:asciiTheme="minorHAnsi" w:hAnsiTheme="minorHAnsi"/>
          <w:bCs/>
          <w:sz w:val="16"/>
          <w:szCs w:val="16"/>
        </w:rPr>
        <w:t xml:space="preserve">    </w:t>
      </w:r>
      <w:r w:rsidRPr="00E4251F">
        <w:rPr>
          <w:rFonts w:asciiTheme="minorHAnsi" w:hAnsiTheme="minorHAnsi"/>
          <w:bCs/>
          <w:sz w:val="16"/>
          <w:szCs w:val="16"/>
        </w:rPr>
        <w:t xml:space="preserve"> Publique-Burkina Faso</w:t>
      </w:r>
    </w:p>
  </w:footnote>
  <w:footnote w:id="40">
    <w:p w14:paraId="71B0A716" w14:textId="77777777" w:rsidR="00520196" w:rsidRDefault="00520196" w:rsidP="001C7B98">
      <w:pPr>
        <w:pStyle w:val="Notedebasdepage"/>
      </w:pPr>
      <w:r>
        <w:rPr>
          <w:rStyle w:val="Appelnotedebasdep"/>
        </w:rPr>
        <w:footnoteRef/>
      </w:r>
      <w:r>
        <w:t xml:space="preserve"> Annuaire statistique 2016. Ministère de la Santé Publique. Burkina Faso</w:t>
      </w:r>
    </w:p>
  </w:footnote>
  <w:footnote w:id="41">
    <w:p w14:paraId="2106FA32" w14:textId="77777777" w:rsidR="00520196" w:rsidRDefault="00520196">
      <w:pPr>
        <w:pStyle w:val="Notedebasdepage"/>
      </w:pPr>
      <w:r w:rsidRPr="00E4251F">
        <w:rPr>
          <w:rStyle w:val="Appelnotedebasdep"/>
          <w:sz w:val="16"/>
          <w:szCs w:val="16"/>
        </w:rPr>
        <w:footnoteRef/>
      </w:r>
      <w:r w:rsidRPr="00E4251F">
        <w:rPr>
          <w:sz w:val="16"/>
          <w:szCs w:val="16"/>
        </w:rPr>
        <w:t xml:space="preserve"> Annuaire statistique 2017. Ministère de la Santé Publique. Burkina Faso</w:t>
      </w:r>
    </w:p>
  </w:footnote>
  <w:footnote w:id="42">
    <w:p w14:paraId="23B905BD" w14:textId="77777777" w:rsidR="00520196" w:rsidRPr="001605A4" w:rsidRDefault="00520196">
      <w:pPr>
        <w:pStyle w:val="Notedebasdepage"/>
        <w:rPr>
          <w:sz w:val="16"/>
          <w:szCs w:val="16"/>
        </w:rPr>
      </w:pPr>
      <w:r w:rsidRPr="001605A4">
        <w:rPr>
          <w:rStyle w:val="Appelnotedebasdep"/>
          <w:sz w:val="16"/>
          <w:szCs w:val="16"/>
        </w:rPr>
        <w:footnoteRef/>
      </w:r>
      <w:r w:rsidRPr="001605A4">
        <w:rPr>
          <w:sz w:val="16"/>
          <w:szCs w:val="16"/>
        </w:rPr>
        <w:t xml:space="preserve"> Analyse avec l’outil EQUIST </w:t>
      </w:r>
      <w:r w:rsidRPr="001605A4">
        <w:rPr>
          <w:sz w:val="16"/>
          <w:szCs w:val="16"/>
          <w:highlight w:val="yellow"/>
        </w:rPr>
        <w:t>(Année)</w:t>
      </w:r>
    </w:p>
    <w:p w14:paraId="0C1DF8A2" w14:textId="77777777" w:rsidR="00520196" w:rsidRPr="001605A4" w:rsidRDefault="00520196" w:rsidP="001605A4">
      <w:pPr>
        <w:autoSpaceDE w:val="0"/>
        <w:autoSpaceDN w:val="0"/>
        <w:adjustRightInd w:val="0"/>
        <w:spacing w:after="0" w:line="240" w:lineRule="auto"/>
        <w:rPr>
          <w:rFonts w:eastAsia="DejaVuSerif" w:cs="DejaVuSerif"/>
          <w:color w:val="222222"/>
          <w:sz w:val="16"/>
          <w:szCs w:val="16"/>
        </w:rPr>
      </w:pPr>
      <w:r w:rsidRPr="001605A4">
        <w:rPr>
          <w:sz w:val="16"/>
          <w:szCs w:val="16"/>
        </w:rPr>
        <w:t xml:space="preserve">29 </w:t>
      </w:r>
      <w:r w:rsidRPr="001605A4">
        <w:rPr>
          <w:rFonts w:eastAsia="DejaVuSerif" w:cs="DejaVuSerif"/>
          <w:color w:val="222222"/>
          <w:sz w:val="16"/>
          <w:szCs w:val="16"/>
        </w:rPr>
        <w:t xml:space="preserve">Marietou Niang </w:t>
      </w:r>
      <w:r w:rsidRPr="001605A4">
        <w:rPr>
          <w:rFonts w:eastAsia="DejaVuSerif-Italic" w:cs="DejaVuSerif-Italic"/>
          <w:iCs/>
          <w:color w:val="222222"/>
          <w:sz w:val="16"/>
          <w:szCs w:val="16"/>
        </w:rPr>
        <w:t>et al.</w:t>
      </w:r>
      <w:r w:rsidRPr="001605A4">
        <w:rPr>
          <w:rFonts w:eastAsia="DejaVuSerif" w:cs="DejaVuSerif"/>
          <w:color w:val="222222"/>
          <w:sz w:val="16"/>
          <w:szCs w:val="16"/>
        </w:rPr>
        <w:t>, « Le non-recours aux soins prénatals au Burkina Faso »,</w:t>
      </w:r>
      <w:r w:rsidRPr="001605A4">
        <w:rPr>
          <w:rFonts w:eastAsia="DejaVuSerif-Italic" w:cs="DejaVuSerif-Italic"/>
          <w:iCs/>
          <w:color w:val="222222"/>
          <w:sz w:val="16"/>
          <w:szCs w:val="16"/>
        </w:rPr>
        <w:t xml:space="preserve">Santé Publique </w:t>
      </w:r>
      <w:r w:rsidRPr="001605A4">
        <w:rPr>
          <w:rFonts w:eastAsia="DejaVuSerif" w:cs="DejaVuSerif"/>
          <w:color w:val="222222"/>
          <w:sz w:val="16"/>
          <w:szCs w:val="16"/>
        </w:rPr>
        <w:t>2015/3 (Vol. 27), p. 405-414.</w:t>
      </w:r>
    </w:p>
    <w:p w14:paraId="74D81193" w14:textId="77777777" w:rsidR="00520196" w:rsidRDefault="00520196" w:rsidP="001605A4">
      <w:pPr>
        <w:pStyle w:val="Notedebasdepage"/>
      </w:pPr>
    </w:p>
  </w:footnote>
  <w:footnote w:id="43">
    <w:p w14:paraId="2027337C" w14:textId="77777777" w:rsidR="00520196" w:rsidRPr="00F80C74" w:rsidRDefault="00520196" w:rsidP="00D527C5">
      <w:pPr>
        <w:pStyle w:val="Notedebasdepage"/>
        <w:rPr>
          <w:sz w:val="16"/>
          <w:szCs w:val="16"/>
        </w:rPr>
      </w:pPr>
      <w:r w:rsidRPr="00F80C74">
        <w:rPr>
          <w:rStyle w:val="Appelnotedebasdep"/>
          <w:sz w:val="16"/>
          <w:szCs w:val="16"/>
        </w:rPr>
        <w:footnoteRef/>
      </w:r>
      <w:r w:rsidRPr="00F80C74">
        <w:rPr>
          <w:sz w:val="16"/>
          <w:szCs w:val="16"/>
        </w:rPr>
        <w:t xml:space="preserve"> </w:t>
      </w:r>
      <w:r w:rsidRPr="00F80C74">
        <w:rPr>
          <w:iCs/>
          <w:sz w:val="16"/>
          <w:szCs w:val="16"/>
        </w:rPr>
        <w:t>Annuaire statistique MS 2017</w:t>
      </w:r>
    </w:p>
  </w:footnote>
  <w:footnote w:id="44">
    <w:p w14:paraId="1AEED1EC" w14:textId="77777777" w:rsidR="00520196" w:rsidRPr="00F80C74" w:rsidRDefault="00520196" w:rsidP="00D527C5">
      <w:pPr>
        <w:pStyle w:val="Notedebasdepage"/>
        <w:rPr>
          <w:sz w:val="16"/>
          <w:szCs w:val="16"/>
        </w:rPr>
      </w:pPr>
      <w:r w:rsidRPr="00F80C74">
        <w:rPr>
          <w:rStyle w:val="Appelnotedebasdep"/>
          <w:sz w:val="16"/>
          <w:szCs w:val="16"/>
        </w:rPr>
        <w:footnoteRef/>
      </w:r>
      <w:r w:rsidRPr="00F80C74">
        <w:rPr>
          <w:sz w:val="16"/>
          <w:szCs w:val="16"/>
        </w:rPr>
        <w:t xml:space="preserve"> Enquête SARA. 2016</w:t>
      </w:r>
    </w:p>
  </w:footnote>
  <w:footnote w:id="45">
    <w:p w14:paraId="56F81536" w14:textId="77777777" w:rsidR="00520196" w:rsidRDefault="00520196">
      <w:pPr>
        <w:pStyle w:val="Notedebasdepage"/>
      </w:pPr>
      <w:r>
        <w:rPr>
          <w:rStyle w:val="Appelnotedebasdep"/>
        </w:rPr>
        <w:footnoteRef/>
      </w:r>
      <w:r>
        <w:t xml:space="preserve"> Annuaire statistique 2017 . Ministère de la Santé. Burkina Faso</w:t>
      </w:r>
    </w:p>
  </w:footnote>
  <w:footnote w:id="46">
    <w:p w14:paraId="1215EA6A" w14:textId="0CD9DD04" w:rsidR="00520196" w:rsidRDefault="00520196">
      <w:pPr>
        <w:pStyle w:val="Notedebasdepage"/>
      </w:pPr>
      <w:r>
        <w:rPr>
          <w:rStyle w:val="Appelnotedebasdep"/>
        </w:rPr>
        <w:footnoteRef/>
      </w:r>
      <w:r>
        <w:t xml:space="preserve"> </w:t>
      </w:r>
      <w:r w:rsidRPr="00F80C74">
        <w:rPr>
          <w:sz w:val="16"/>
          <w:szCs w:val="16"/>
        </w:rPr>
        <w:t>Enquête SARA. 2016</w:t>
      </w:r>
    </w:p>
  </w:footnote>
  <w:footnote w:id="47">
    <w:p w14:paraId="0652A797" w14:textId="77777777" w:rsidR="00520196" w:rsidRPr="00CF6E45" w:rsidRDefault="00520196" w:rsidP="00DA750F">
      <w:pPr>
        <w:pStyle w:val="Default"/>
      </w:pPr>
      <w:r>
        <w:rPr>
          <w:rStyle w:val="Appelnotedebasdep"/>
        </w:rPr>
        <w:footnoteRef/>
      </w:r>
      <w:r>
        <w:t xml:space="preserve">  </w:t>
      </w:r>
      <w:r w:rsidRPr="00CF6E45">
        <w:rPr>
          <w:b/>
          <w:bCs/>
          <w:sz w:val="16"/>
          <w:szCs w:val="16"/>
        </w:rPr>
        <w:t>Enquête nationale sur la disponibilité et la capacité opérationnelle des services de santé (SARA III) Edition 2016</w:t>
      </w:r>
    </w:p>
  </w:footnote>
  <w:footnote w:id="48">
    <w:p w14:paraId="2BF3FFB5" w14:textId="77777777" w:rsidR="00520196" w:rsidRDefault="00520196" w:rsidP="007C0112">
      <w:pPr>
        <w:pStyle w:val="Notedebasdepage"/>
      </w:pPr>
      <w:r>
        <w:rPr>
          <w:rStyle w:val="Appelnotedebasdep"/>
        </w:rPr>
        <w:footnoteRef/>
      </w:r>
      <w:r>
        <w:t xml:space="preserve"> </w:t>
      </w:r>
      <w:r w:rsidRPr="00CF6E45">
        <w:rPr>
          <w:b/>
          <w:bCs/>
          <w:sz w:val="16"/>
          <w:szCs w:val="16"/>
        </w:rPr>
        <w:t>Enquête nationale sur la disponibilité et la capacité opérationnelle des services de santé (SARA III) Edition 2016</w:t>
      </w:r>
    </w:p>
  </w:footnote>
  <w:footnote w:id="49">
    <w:p w14:paraId="4AA590E7" w14:textId="77777777" w:rsidR="00520196" w:rsidRPr="00D515D6" w:rsidRDefault="00520196" w:rsidP="00D515D6">
      <w:pPr>
        <w:pStyle w:val="Default"/>
      </w:pPr>
      <w:r>
        <w:rPr>
          <w:rStyle w:val="Appelnotedebasdep"/>
        </w:rPr>
        <w:footnoteRef/>
      </w:r>
      <w:r>
        <w:t xml:space="preserve">  </w:t>
      </w:r>
      <w:r w:rsidRPr="00D515D6">
        <w:rPr>
          <w:rFonts w:asciiTheme="minorHAnsi" w:hAnsiTheme="minorHAnsi"/>
          <w:bCs/>
          <w:sz w:val="16"/>
          <w:szCs w:val="16"/>
        </w:rPr>
        <w:t>ENQUETE NATIONALE SUR LA DISPONIBILITE ET LA CAPACITE OPERATIONNELLE DES SERVICES DE SANTE (SARA III) Edition 2016. Ministère de la Santé Publique – Burkina Faso</w:t>
      </w:r>
    </w:p>
  </w:footnote>
  <w:footnote w:id="50">
    <w:p w14:paraId="4CB4D911" w14:textId="77777777" w:rsidR="00520196" w:rsidRPr="004A6997" w:rsidRDefault="00520196" w:rsidP="00597284">
      <w:pPr>
        <w:pStyle w:val="Notedebasdepage"/>
        <w:rPr>
          <w:b/>
          <w:sz w:val="16"/>
          <w:szCs w:val="16"/>
        </w:rPr>
      </w:pPr>
      <w:r w:rsidRPr="004A6997">
        <w:rPr>
          <w:rStyle w:val="Appelnotedebasdep"/>
          <w:b/>
          <w:sz w:val="16"/>
          <w:szCs w:val="16"/>
        </w:rPr>
        <w:footnoteRef/>
      </w:r>
      <w:r w:rsidRPr="004A6997">
        <w:rPr>
          <w:b/>
          <w:sz w:val="16"/>
          <w:szCs w:val="16"/>
        </w:rPr>
        <w:t xml:space="preserve"> </w:t>
      </w:r>
      <w:r w:rsidRPr="004A6997">
        <w:rPr>
          <w:rFonts w:eastAsia="Times New Roman" w:cs="Arial"/>
          <w:b/>
          <w:sz w:val="16"/>
          <w:szCs w:val="16"/>
        </w:rPr>
        <w:t>Annuaires statistiques 2014, 2015, 2016 et 2017. Ministère de la Santé Publique. Burkina Faso.</w:t>
      </w:r>
    </w:p>
  </w:footnote>
  <w:footnote w:id="51">
    <w:p w14:paraId="50F83146" w14:textId="77777777" w:rsidR="00520196" w:rsidRDefault="00520196" w:rsidP="001178BB">
      <w:pPr>
        <w:pStyle w:val="Notedebasdepage"/>
      </w:pPr>
      <w:r>
        <w:rPr>
          <w:rStyle w:val="Appelnotedebasdep"/>
        </w:rPr>
        <w:footnoteRef/>
      </w:r>
      <w:r>
        <w:t xml:space="preserve"> </w:t>
      </w:r>
      <w:r w:rsidRPr="004A6997">
        <w:rPr>
          <w:rFonts w:eastAsia="Times New Roman" w:cs="Arial"/>
          <w:b/>
          <w:sz w:val="16"/>
          <w:szCs w:val="16"/>
        </w:rPr>
        <w:t>Annuaires s</w:t>
      </w:r>
      <w:r>
        <w:rPr>
          <w:rFonts w:eastAsia="Times New Roman" w:cs="Arial"/>
          <w:b/>
          <w:sz w:val="16"/>
          <w:szCs w:val="16"/>
        </w:rPr>
        <w:t xml:space="preserve">tatistiques </w:t>
      </w:r>
      <w:r w:rsidRPr="004A6997">
        <w:rPr>
          <w:rFonts w:eastAsia="Times New Roman" w:cs="Arial"/>
          <w:b/>
          <w:sz w:val="16"/>
          <w:szCs w:val="16"/>
        </w:rPr>
        <w:t>2017. Ministère de la Santé Publique. Burkina Faso.</w:t>
      </w:r>
    </w:p>
  </w:footnote>
  <w:footnote w:id="52">
    <w:p w14:paraId="5C872AF0" w14:textId="77777777" w:rsidR="00520196" w:rsidRDefault="00520196" w:rsidP="00C53392">
      <w:pPr>
        <w:autoSpaceDE w:val="0"/>
        <w:autoSpaceDN w:val="0"/>
        <w:adjustRightInd w:val="0"/>
        <w:spacing w:after="0" w:line="240" w:lineRule="auto"/>
        <w:rPr>
          <w:rFonts w:cs="Arial"/>
          <w:i/>
          <w:iCs/>
          <w:sz w:val="16"/>
          <w:szCs w:val="16"/>
        </w:rPr>
      </w:pPr>
      <w:r w:rsidRPr="00896852">
        <w:rPr>
          <w:rStyle w:val="Appelnotedebasdep"/>
          <w:sz w:val="16"/>
          <w:szCs w:val="16"/>
        </w:rPr>
        <w:footnoteRef/>
      </w:r>
      <w:r w:rsidRPr="00896852">
        <w:rPr>
          <w:sz w:val="16"/>
          <w:szCs w:val="16"/>
        </w:rPr>
        <w:t xml:space="preserve"> </w:t>
      </w:r>
      <w:r w:rsidRPr="00896852">
        <w:rPr>
          <w:rFonts w:cs="Arial"/>
          <w:sz w:val="16"/>
          <w:szCs w:val="16"/>
        </w:rPr>
        <w:t xml:space="preserve">Institut National de la Statistique et de la Démographie (INSD) et ICF International, 2012. </w:t>
      </w:r>
      <w:r>
        <w:rPr>
          <w:rFonts w:cs="Arial"/>
          <w:i/>
          <w:iCs/>
          <w:sz w:val="16"/>
          <w:szCs w:val="16"/>
        </w:rPr>
        <w:t xml:space="preserve">Enquête </w:t>
      </w:r>
      <w:r w:rsidRPr="00896852">
        <w:rPr>
          <w:rFonts w:cs="Arial"/>
          <w:i/>
          <w:iCs/>
          <w:sz w:val="16"/>
          <w:szCs w:val="16"/>
        </w:rPr>
        <w:t>Démographique et de Santé et à</w:t>
      </w:r>
    </w:p>
    <w:p w14:paraId="4887113A" w14:textId="77777777" w:rsidR="00520196" w:rsidRPr="00896852" w:rsidRDefault="00520196" w:rsidP="00C53392">
      <w:pPr>
        <w:autoSpaceDE w:val="0"/>
        <w:autoSpaceDN w:val="0"/>
        <w:adjustRightInd w:val="0"/>
        <w:spacing w:after="0" w:line="240" w:lineRule="auto"/>
        <w:rPr>
          <w:rFonts w:cs="Arial"/>
          <w:i/>
          <w:iCs/>
          <w:sz w:val="16"/>
          <w:szCs w:val="16"/>
        </w:rPr>
      </w:pPr>
      <w:r>
        <w:rPr>
          <w:rFonts w:cs="Arial"/>
          <w:i/>
          <w:iCs/>
          <w:sz w:val="16"/>
          <w:szCs w:val="16"/>
        </w:rPr>
        <w:t xml:space="preserve">    </w:t>
      </w:r>
      <w:r w:rsidRPr="00896852">
        <w:rPr>
          <w:rFonts w:cs="Arial"/>
          <w:i/>
          <w:iCs/>
          <w:sz w:val="16"/>
          <w:szCs w:val="16"/>
        </w:rPr>
        <w:t xml:space="preserve"> Indicateurs Multiples du Burkina Faso 2010</w:t>
      </w:r>
      <w:r w:rsidRPr="00896852">
        <w:rPr>
          <w:rFonts w:cs="Arial"/>
          <w:sz w:val="16"/>
          <w:szCs w:val="16"/>
        </w:rPr>
        <w:t>.</w:t>
      </w:r>
      <w:r>
        <w:rPr>
          <w:rFonts w:cs="Arial"/>
          <w:sz w:val="16"/>
          <w:szCs w:val="16"/>
        </w:rPr>
        <w:t xml:space="preserve"> Calverton, Maryland, USA : INSD </w:t>
      </w:r>
      <w:r w:rsidRPr="00896852">
        <w:rPr>
          <w:rFonts w:cs="Arial"/>
          <w:sz w:val="16"/>
          <w:szCs w:val="16"/>
        </w:rPr>
        <w:t>et ICF International.</w:t>
      </w:r>
    </w:p>
  </w:footnote>
  <w:footnote w:id="53">
    <w:p w14:paraId="00ACC853" w14:textId="77777777" w:rsidR="00520196" w:rsidRPr="00C53392" w:rsidRDefault="00520196" w:rsidP="00597284">
      <w:pPr>
        <w:pStyle w:val="Notedebasdepage"/>
        <w:rPr>
          <w:sz w:val="16"/>
          <w:szCs w:val="16"/>
        </w:rPr>
      </w:pPr>
      <w:r w:rsidRPr="00C53392">
        <w:rPr>
          <w:rStyle w:val="Appelnotedebasdep"/>
          <w:sz w:val="16"/>
          <w:szCs w:val="16"/>
        </w:rPr>
        <w:footnoteRef/>
      </w:r>
      <w:r w:rsidRPr="00C53392">
        <w:rPr>
          <w:sz w:val="16"/>
          <w:szCs w:val="16"/>
        </w:rPr>
        <w:t xml:space="preserve"> </w:t>
      </w:r>
      <w:r w:rsidRPr="00C53392">
        <w:rPr>
          <w:rFonts w:cs="OfficinaSerif-Bold"/>
          <w:bCs/>
          <w:sz w:val="16"/>
          <w:szCs w:val="16"/>
        </w:rPr>
        <w:t>Avortement au Burkina Faso. Guttmacher Institute. New York, Février 2014.</w:t>
      </w:r>
    </w:p>
  </w:footnote>
  <w:footnote w:id="54">
    <w:p w14:paraId="7F8DBAFE" w14:textId="77777777" w:rsidR="00520196" w:rsidRPr="00C53392" w:rsidRDefault="00520196">
      <w:pPr>
        <w:pStyle w:val="Notedebasdepage"/>
        <w:rPr>
          <w:sz w:val="16"/>
          <w:szCs w:val="16"/>
        </w:rPr>
      </w:pPr>
      <w:r w:rsidRPr="00C53392">
        <w:rPr>
          <w:rStyle w:val="Appelnotedebasdep"/>
          <w:sz w:val="16"/>
          <w:szCs w:val="16"/>
        </w:rPr>
        <w:footnoteRef/>
      </w:r>
      <w:r w:rsidRPr="00C53392">
        <w:rPr>
          <w:sz w:val="16"/>
          <w:szCs w:val="16"/>
        </w:rPr>
        <w:t xml:space="preserve"> </w:t>
      </w:r>
      <w:r w:rsidRPr="00C53392">
        <w:rPr>
          <w:rFonts w:eastAsia="Times New Roman"/>
          <w:sz w:val="16"/>
          <w:szCs w:val="16"/>
        </w:rPr>
        <w:t>Enquête SONU-2013 et du CEFOREP-2017</w:t>
      </w:r>
    </w:p>
  </w:footnote>
  <w:footnote w:id="55">
    <w:p w14:paraId="7B4B8DDE" w14:textId="77777777" w:rsidR="00520196" w:rsidRDefault="00520196" w:rsidP="00806411">
      <w:pPr>
        <w:pStyle w:val="Notedebasdepage"/>
      </w:pPr>
      <w:r>
        <w:rPr>
          <w:rStyle w:val="Appelnotedebasdep"/>
        </w:rPr>
        <w:footnoteRef/>
      </w:r>
      <w:r>
        <w:t xml:space="preserve"> </w:t>
      </w:r>
      <w:r w:rsidRPr="00CF6E45">
        <w:rPr>
          <w:b/>
          <w:bCs/>
          <w:sz w:val="16"/>
          <w:szCs w:val="16"/>
        </w:rPr>
        <w:t>Enquête nationale sur la disponibilité et la capacité opérationnelle des services de santé (SARA III) Edition 2016</w:t>
      </w:r>
    </w:p>
  </w:footnote>
  <w:footnote w:id="56">
    <w:p w14:paraId="1C8E8319" w14:textId="77777777" w:rsidR="00520196" w:rsidRDefault="00520196">
      <w:pPr>
        <w:pStyle w:val="Notedebasdepage"/>
      </w:pPr>
      <w:r>
        <w:rPr>
          <w:rStyle w:val="Appelnotedebasdep"/>
        </w:rPr>
        <w:footnoteRef/>
      </w:r>
      <w:r>
        <w:t xml:space="preserve"> </w:t>
      </w:r>
      <w:r w:rsidRPr="00752A84">
        <w:rPr>
          <w:rFonts w:cs="Arial"/>
          <w:sz w:val="16"/>
          <w:szCs w:val="16"/>
        </w:rPr>
        <w:t xml:space="preserve">Institut National de la Statistique et de la Démographie (INSD) et ICF International, 2012. </w:t>
      </w:r>
      <w:r w:rsidRPr="00752A84">
        <w:rPr>
          <w:rFonts w:cs="Arial,Italic"/>
          <w:i/>
          <w:iCs/>
          <w:sz w:val="16"/>
          <w:szCs w:val="16"/>
        </w:rPr>
        <w:t>Enquête Démographique et de Santé et à Indicateurs Multiples du Burkina Faso 2010</w:t>
      </w:r>
      <w:r w:rsidRPr="00752A84">
        <w:rPr>
          <w:rFonts w:cs="Arial"/>
          <w:sz w:val="16"/>
          <w:szCs w:val="16"/>
        </w:rPr>
        <w:t>. Calverton, Maryland, USA : INSD et ICF International.</w:t>
      </w:r>
    </w:p>
  </w:footnote>
  <w:footnote w:id="57">
    <w:p w14:paraId="22481CE4" w14:textId="77777777" w:rsidR="00520196" w:rsidRPr="009C67A0" w:rsidRDefault="00520196">
      <w:pPr>
        <w:pStyle w:val="Notedebasdepage"/>
        <w:rPr>
          <w:b/>
          <w:sz w:val="16"/>
          <w:szCs w:val="16"/>
        </w:rPr>
      </w:pPr>
      <w:r w:rsidRPr="009C67A0">
        <w:rPr>
          <w:rStyle w:val="Appelnotedebasdep"/>
          <w:b/>
          <w:sz w:val="16"/>
          <w:szCs w:val="16"/>
        </w:rPr>
        <w:footnoteRef/>
      </w:r>
      <w:r w:rsidRPr="009C67A0">
        <w:rPr>
          <w:b/>
          <w:sz w:val="16"/>
          <w:szCs w:val="16"/>
        </w:rPr>
        <w:t xml:space="preserve"> </w:t>
      </w:r>
      <w:r w:rsidRPr="009C67A0">
        <w:rPr>
          <w:rFonts w:eastAsia="Times New Roman"/>
          <w:b/>
          <w:sz w:val="16"/>
          <w:szCs w:val="16"/>
        </w:rPr>
        <w:t>GLOBOCAN 2012, Cancer Incidence, Mortality and Prevalence Worldwide </w:t>
      </w:r>
    </w:p>
  </w:footnote>
  <w:footnote w:id="58">
    <w:p w14:paraId="43892341" w14:textId="77777777" w:rsidR="00520196" w:rsidRDefault="00520196">
      <w:pPr>
        <w:pStyle w:val="Notedebasdepage"/>
      </w:pPr>
      <w:r>
        <w:rPr>
          <w:rStyle w:val="Appelnotedebasdep"/>
        </w:rPr>
        <w:footnoteRef/>
      </w:r>
      <w:r>
        <w:t xml:space="preserve"> </w:t>
      </w:r>
      <w:r w:rsidRPr="004A6997">
        <w:rPr>
          <w:rFonts w:eastAsia="Times New Roman" w:cs="Arial"/>
          <w:b/>
          <w:sz w:val="16"/>
          <w:szCs w:val="16"/>
        </w:rPr>
        <w:t>Annuaires s</w:t>
      </w:r>
      <w:r>
        <w:rPr>
          <w:rFonts w:eastAsia="Times New Roman" w:cs="Arial"/>
          <w:b/>
          <w:sz w:val="16"/>
          <w:szCs w:val="16"/>
        </w:rPr>
        <w:t xml:space="preserve">tatistiques </w:t>
      </w:r>
      <w:r w:rsidRPr="004A6997">
        <w:rPr>
          <w:rFonts w:eastAsia="Times New Roman" w:cs="Arial"/>
          <w:b/>
          <w:sz w:val="16"/>
          <w:szCs w:val="16"/>
        </w:rPr>
        <w:t>2017</w:t>
      </w:r>
      <w:r>
        <w:rPr>
          <w:rFonts w:eastAsia="Times New Roman" w:cs="Arial"/>
          <w:b/>
          <w:sz w:val="16"/>
          <w:szCs w:val="16"/>
        </w:rPr>
        <w:t xml:space="preserve">. Ministère de la Santé </w:t>
      </w:r>
      <w:r w:rsidRPr="004A6997">
        <w:rPr>
          <w:rFonts w:eastAsia="Times New Roman" w:cs="Arial"/>
          <w:b/>
          <w:sz w:val="16"/>
          <w:szCs w:val="16"/>
        </w:rPr>
        <w:t>. Burkina Faso.</w:t>
      </w:r>
    </w:p>
  </w:footnote>
  <w:footnote w:id="59">
    <w:p w14:paraId="7F1A58F0" w14:textId="77777777" w:rsidR="00520196" w:rsidRDefault="00520196" w:rsidP="00F76A62">
      <w:pPr>
        <w:pStyle w:val="Notedebasdepage"/>
      </w:pPr>
      <w:r w:rsidRPr="00121298">
        <w:rPr>
          <w:sz w:val="16"/>
        </w:rPr>
        <w:footnoteRef/>
      </w:r>
      <w:r w:rsidRPr="00121298">
        <w:rPr>
          <w:sz w:val="16"/>
        </w:rPr>
        <w:t xml:space="preserve"> Ministère de la Santé, Projet de Rapport des Comptes de la Santé 2015. 2016. Copie dure</w:t>
      </w:r>
    </w:p>
  </w:footnote>
  <w:footnote w:id="60">
    <w:p w14:paraId="30D2F7B5" w14:textId="77777777" w:rsidR="00520196" w:rsidRPr="008134F5" w:rsidRDefault="00520196">
      <w:pPr>
        <w:pStyle w:val="Notedebasdepage"/>
        <w:rPr>
          <w:sz w:val="16"/>
          <w:szCs w:val="16"/>
        </w:rPr>
      </w:pPr>
      <w:r w:rsidRPr="008134F5">
        <w:rPr>
          <w:rStyle w:val="Appelnotedebasdep"/>
          <w:sz w:val="16"/>
          <w:szCs w:val="16"/>
        </w:rPr>
        <w:footnoteRef/>
      </w:r>
      <w:r w:rsidRPr="008134F5">
        <w:rPr>
          <w:sz w:val="16"/>
          <w:szCs w:val="16"/>
        </w:rPr>
        <w:t xml:space="preserve"> Enquête SARA 2016</w:t>
      </w:r>
    </w:p>
  </w:footnote>
  <w:footnote w:id="61">
    <w:p w14:paraId="2875B2CC" w14:textId="77777777" w:rsidR="00520196" w:rsidRDefault="00520196">
      <w:pPr>
        <w:pStyle w:val="Notedebasdepage"/>
      </w:pPr>
      <w:r>
        <w:rPr>
          <w:rStyle w:val="Appelnotedebasdep"/>
        </w:rPr>
        <w:footnoteRef/>
      </w:r>
      <w:r>
        <w:t xml:space="preserve"> Analyse à l’aide de l’outil EQUIST sur des données </w:t>
      </w:r>
      <w:r w:rsidRPr="00442FE1">
        <w:rPr>
          <w:highlight w:val="yellow"/>
        </w:rPr>
        <w:t>de …</w:t>
      </w:r>
    </w:p>
  </w:footnote>
  <w:footnote w:id="62">
    <w:p w14:paraId="4658FFFF" w14:textId="77777777" w:rsidR="00520196" w:rsidRDefault="00520196">
      <w:pPr>
        <w:pStyle w:val="Notedebasdepage"/>
      </w:pPr>
      <w:r>
        <w:rPr>
          <w:rStyle w:val="Appelnotedebasdep"/>
        </w:rPr>
        <w:footnoteRef/>
      </w:r>
      <w:r>
        <w:t xml:space="preserve"> Analyse à l’aide de l’outil EQUIST sur des données </w:t>
      </w:r>
      <w:r w:rsidRPr="00442FE1">
        <w:rPr>
          <w:highlight w:val="yellow"/>
        </w:rPr>
        <w:t>de …</w:t>
      </w:r>
    </w:p>
  </w:footnote>
  <w:footnote w:id="63">
    <w:p w14:paraId="5F61A2D7" w14:textId="77777777" w:rsidR="00520196" w:rsidRDefault="00520196">
      <w:pPr>
        <w:pStyle w:val="Notedebasdepage"/>
      </w:pPr>
      <w:r>
        <w:rPr>
          <w:rStyle w:val="Appelnotedebasdep"/>
        </w:rPr>
        <w:footnoteRef/>
      </w:r>
      <w:r>
        <w:t xml:space="preserve"> Analyse à l’aide de l’outil EQUIST sur des données </w:t>
      </w:r>
      <w:r w:rsidRPr="00442FE1">
        <w:rPr>
          <w:highlight w:val="yellow"/>
        </w:rPr>
        <w:t>de …</w:t>
      </w:r>
    </w:p>
  </w:footnote>
  <w:footnote w:id="64">
    <w:p w14:paraId="3FB0FDB4" w14:textId="77777777" w:rsidR="00520196" w:rsidRDefault="00520196" w:rsidP="00A60A80">
      <w:pPr>
        <w:pStyle w:val="Notedebasdepage"/>
      </w:pPr>
      <w:r>
        <w:rPr>
          <w:rStyle w:val="Appelnotedebasdep"/>
        </w:rPr>
        <w:footnoteRef/>
      </w:r>
      <w:r>
        <w:t xml:space="preserve"> Analyse à l’aide de l’outil EQUIST sur des données </w:t>
      </w:r>
      <w:r w:rsidRPr="00442FE1">
        <w:rPr>
          <w:highlight w:val="yellow"/>
        </w:rPr>
        <w:t>de …</w:t>
      </w:r>
    </w:p>
  </w:footnote>
  <w:footnote w:id="65">
    <w:p w14:paraId="0401B5F1" w14:textId="77777777" w:rsidR="00520196" w:rsidRPr="009F7816" w:rsidRDefault="00520196">
      <w:pPr>
        <w:pStyle w:val="Notedebasdepage"/>
        <w:rPr>
          <w:b/>
          <w:sz w:val="16"/>
          <w:szCs w:val="16"/>
        </w:rPr>
      </w:pPr>
      <w:r w:rsidRPr="009F7816">
        <w:rPr>
          <w:rStyle w:val="Appelnotedebasdep"/>
          <w:b/>
          <w:sz w:val="16"/>
          <w:szCs w:val="16"/>
        </w:rPr>
        <w:footnoteRef/>
      </w:r>
      <w:r w:rsidRPr="009F7816">
        <w:rPr>
          <w:b/>
          <w:sz w:val="16"/>
          <w:szCs w:val="16"/>
        </w:rPr>
        <w:t xml:space="preserve"> Annuaire statistique 2017. Ministère de la Santé. Burkina Faso </w:t>
      </w:r>
    </w:p>
  </w:footnote>
  <w:footnote w:id="66">
    <w:p w14:paraId="50AD7FF8" w14:textId="77777777" w:rsidR="00520196" w:rsidRDefault="00520196" w:rsidP="00B42D95"/>
    <w:p w14:paraId="2B132762" w14:textId="77777777" w:rsidR="00520196" w:rsidRPr="005C422B" w:rsidRDefault="00520196" w:rsidP="00B42D95">
      <w:pPr>
        <w:pStyle w:val="Notedebasdepage"/>
        <w:jc w:val="both"/>
        <w:rPr>
          <w:sz w:val="2"/>
          <w:szCs w:val="2"/>
        </w:rPr>
      </w:pPr>
    </w:p>
  </w:footnote>
  <w:footnote w:id="67">
    <w:p w14:paraId="18DAAFB9" w14:textId="77777777" w:rsidR="00520196" w:rsidRPr="007A4F88" w:rsidRDefault="00520196" w:rsidP="007A4F88">
      <w:pPr>
        <w:pStyle w:val="Notedebasdepage"/>
        <w:rPr>
          <w:b/>
          <w:sz w:val="16"/>
          <w:szCs w:val="16"/>
        </w:rPr>
      </w:pPr>
      <w:r w:rsidRPr="007A4F88">
        <w:rPr>
          <w:rStyle w:val="Appelnotedebasdep"/>
          <w:b/>
          <w:sz w:val="16"/>
          <w:szCs w:val="16"/>
        </w:rPr>
        <w:footnoteRef/>
      </w:r>
      <w:r w:rsidRPr="007A4F88">
        <w:rPr>
          <w:b/>
          <w:sz w:val="16"/>
          <w:szCs w:val="16"/>
        </w:rPr>
        <w:t xml:space="preserve"> Rapport d’audit des programmes au Burkina Faso. Département Audit et Investigations de GAVI. Décembre 2015</w:t>
      </w:r>
    </w:p>
  </w:footnote>
  <w:footnote w:id="68">
    <w:p w14:paraId="18940CDF" w14:textId="77777777" w:rsidR="00520196" w:rsidRDefault="00520196" w:rsidP="007A4F88">
      <w:pPr>
        <w:pStyle w:val="Notedebasdepage"/>
      </w:pPr>
      <w:r>
        <w:rPr>
          <w:rStyle w:val="Appelnotedebasdep"/>
        </w:rPr>
        <w:footnoteRef/>
      </w:r>
      <w:r>
        <w:t xml:space="preserve"> </w:t>
      </w:r>
      <w:r w:rsidRPr="009F7816">
        <w:rPr>
          <w:b/>
          <w:sz w:val="16"/>
          <w:szCs w:val="16"/>
        </w:rPr>
        <w:t>Annuaire statistique 2017. Ministère de la Santé. Burkina Faso</w:t>
      </w:r>
    </w:p>
  </w:footnote>
  <w:footnote w:id="69">
    <w:p w14:paraId="1B243097" w14:textId="77777777" w:rsidR="00520196" w:rsidRDefault="00520196" w:rsidP="009C79D1"/>
    <w:p w14:paraId="5668BEA3" w14:textId="77777777" w:rsidR="00520196" w:rsidRPr="005C422B" w:rsidRDefault="00520196" w:rsidP="009C79D1">
      <w:pPr>
        <w:pStyle w:val="Notedebasdepage"/>
        <w:jc w:val="both"/>
        <w:rPr>
          <w:sz w:val="2"/>
          <w:szCs w:val="2"/>
        </w:rPr>
      </w:pPr>
    </w:p>
  </w:footnote>
  <w:footnote w:id="70">
    <w:p w14:paraId="02BE977D" w14:textId="77777777" w:rsidR="00520196" w:rsidRPr="006465A1" w:rsidRDefault="00520196">
      <w:pPr>
        <w:pStyle w:val="Notedebasdepage"/>
        <w:rPr>
          <w:b/>
          <w:sz w:val="16"/>
          <w:szCs w:val="16"/>
        </w:rPr>
      </w:pPr>
      <w:r w:rsidRPr="006465A1">
        <w:rPr>
          <w:rStyle w:val="Appelnotedebasdep"/>
          <w:b/>
          <w:sz w:val="16"/>
          <w:szCs w:val="16"/>
        </w:rPr>
        <w:footnoteRef/>
      </w:r>
      <w:r w:rsidRPr="006465A1">
        <w:rPr>
          <w:b/>
          <w:sz w:val="16"/>
          <w:szCs w:val="16"/>
        </w:rPr>
        <w:t xml:space="preserve"> Enquête Module Démographie et Santé 2015. Ministère de la Santé. Burkina Faso  </w:t>
      </w:r>
    </w:p>
  </w:footnote>
  <w:footnote w:id="71">
    <w:p w14:paraId="00FB9D85" w14:textId="77777777" w:rsidR="00520196" w:rsidRDefault="00520196" w:rsidP="00A17219">
      <w:pPr>
        <w:pStyle w:val="Notedebasdepage"/>
      </w:pPr>
      <w:r>
        <w:rPr>
          <w:rStyle w:val="Appelnotedebasdep"/>
        </w:rPr>
        <w:footnoteRef/>
      </w:r>
      <w:r>
        <w:t xml:space="preserve"> </w:t>
      </w:r>
      <w:r w:rsidRPr="009F7816">
        <w:rPr>
          <w:b/>
          <w:sz w:val="16"/>
          <w:szCs w:val="16"/>
        </w:rPr>
        <w:t>Annuaire statistique 2017. Ministère de la Santé. Burkina Faso</w:t>
      </w:r>
    </w:p>
  </w:footnote>
  <w:footnote w:id="72">
    <w:p w14:paraId="4FD6A5D9" w14:textId="77777777" w:rsidR="00520196" w:rsidRPr="00616482" w:rsidRDefault="00520196" w:rsidP="007B486A">
      <w:pPr>
        <w:pStyle w:val="Notedebasdepage"/>
        <w:rPr>
          <w:sz w:val="16"/>
          <w:szCs w:val="16"/>
        </w:rPr>
      </w:pPr>
      <w:r w:rsidRPr="00616482">
        <w:rPr>
          <w:rStyle w:val="Appelnotedebasdep"/>
          <w:sz w:val="16"/>
          <w:szCs w:val="16"/>
        </w:rPr>
        <w:footnoteRef/>
      </w:r>
      <w:r w:rsidRPr="00616482">
        <w:rPr>
          <w:sz w:val="16"/>
          <w:szCs w:val="16"/>
        </w:rPr>
        <w:t xml:space="preserve"> Enquête nationale nutritionnelle. Burkina Faso 2017</w:t>
      </w:r>
    </w:p>
  </w:footnote>
  <w:footnote w:id="73">
    <w:p w14:paraId="78A547F4" w14:textId="77777777" w:rsidR="00520196" w:rsidRPr="000077E3" w:rsidRDefault="00520196">
      <w:pPr>
        <w:pStyle w:val="Notedebasdepage"/>
        <w:rPr>
          <w:sz w:val="16"/>
          <w:szCs w:val="16"/>
        </w:rPr>
      </w:pPr>
      <w:r w:rsidRPr="000077E3">
        <w:rPr>
          <w:rStyle w:val="Appelnotedebasdep"/>
          <w:sz w:val="16"/>
          <w:szCs w:val="16"/>
        </w:rPr>
        <w:footnoteRef/>
      </w:r>
      <w:r w:rsidRPr="000077E3">
        <w:rPr>
          <w:sz w:val="16"/>
          <w:szCs w:val="16"/>
        </w:rPr>
        <w:t xml:space="preserve"> Enquête SMART 2016</w:t>
      </w:r>
    </w:p>
  </w:footnote>
  <w:footnote w:id="74">
    <w:p w14:paraId="77C643F0" w14:textId="77777777" w:rsidR="00520196" w:rsidRPr="00616482" w:rsidRDefault="00520196" w:rsidP="000F033D">
      <w:pPr>
        <w:pStyle w:val="Notedebasdepage"/>
        <w:rPr>
          <w:sz w:val="16"/>
          <w:szCs w:val="16"/>
        </w:rPr>
      </w:pPr>
      <w:r w:rsidRPr="00616482">
        <w:rPr>
          <w:rStyle w:val="Appelnotedebasdep"/>
          <w:sz w:val="16"/>
          <w:szCs w:val="16"/>
        </w:rPr>
        <w:footnoteRef/>
      </w:r>
      <w:r w:rsidRPr="00616482">
        <w:rPr>
          <w:sz w:val="16"/>
          <w:szCs w:val="16"/>
        </w:rPr>
        <w:t xml:space="preserve"> </w:t>
      </w:r>
      <w:r w:rsidRPr="00616482">
        <w:rPr>
          <w:iCs/>
          <w:sz w:val="16"/>
          <w:szCs w:val="16"/>
        </w:rPr>
        <w:t xml:space="preserve">Enquêtes nutritionnelles nationales 2013 – 2017. </w:t>
      </w:r>
      <w:r w:rsidRPr="00616482">
        <w:rPr>
          <w:sz w:val="16"/>
          <w:szCs w:val="16"/>
        </w:rPr>
        <w:t>Burkina Faso</w:t>
      </w:r>
    </w:p>
  </w:footnote>
  <w:footnote w:id="75">
    <w:p w14:paraId="0C294866" w14:textId="77777777" w:rsidR="00520196" w:rsidRPr="00616482" w:rsidRDefault="00520196">
      <w:pPr>
        <w:pStyle w:val="Notedebasdepage"/>
        <w:rPr>
          <w:sz w:val="16"/>
          <w:szCs w:val="16"/>
        </w:rPr>
      </w:pPr>
      <w:r w:rsidRPr="00616482">
        <w:rPr>
          <w:rStyle w:val="Appelnotedebasdep"/>
          <w:sz w:val="16"/>
          <w:szCs w:val="16"/>
        </w:rPr>
        <w:footnoteRef/>
      </w:r>
      <w:r w:rsidRPr="00616482">
        <w:rPr>
          <w:sz w:val="16"/>
          <w:szCs w:val="16"/>
        </w:rPr>
        <w:t xml:space="preserve"> Annuaire statistique 2017. Ministère de la Santé. Burkina Faso</w:t>
      </w:r>
    </w:p>
  </w:footnote>
  <w:footnote w:id="76">
    <w:p w14:paraId="26CB2E6C" w14:textId="77777777" w:rsidR="00520196" w:rsidRPr="00616482" w:rsidRDefault="00520196" w:rsidP="00616482">
      <w:pPr>
        <w:pStyle w:val="Notedebasdepage"/>
        <w:rPr>
          <w:sz w:val="16"/>
          <w:szCs w:val="16"/>
        </w:rPr>
      </w:pPr>
      <w:r w:rsidRPr="00616482">
        <w:rPr>
          <w:rStyle w:val="Appelnotedebasdep"/>
          <w:sz w:val="16"/>
          <w:szCs w:val="16"/>
        </w:rPr>
        <w:footnoteRef/>
      </w:r>
      <w:r w:rsidRPr="00616482">
        <w:rPr>
          <w:sz w:val="16"/>
          <w:szCs w:val="16"/>
        </w:rPr>
        <w:t xml:space="preserve"> Enquête SMART 2017</w:t>
      </w:r>
    </w:p>
  </w:footnote>
  <w:footnote w:id="77">
    <w:p w14:paraId="091643F2" w14:textId="77777777" w:rsidR="00520196" w:rsidRPr="00F80C74" w:rsidRDefault="00520196" w:rsidP="00CF7C04">
      <w:pPr>
        <w:pStyle w:val="Notedebasdepage"/>
        <w:rPr>
          <w:sz w:val="16"/>
          <w:szCs w:val="16"/>
        </w:rPr>
      </w:pPr>
      <w:r w:rsidRPr="00F80C74">
        <w:rPr>
          <w:rStyle w:val="Appelnotedebasdep"/>
          <w:sz w:val="16"/>
          <w:szCs w:val="16"/>
        </w:rPr>
        <w:footnoteRef/>
      </w:r>
      <w:r w:rsidRPr="00F80C74">
        <w:rPr>
          <w:sz w:val="16"/>
          <w:szCs w:val="16"/>
        </w:rPr>
        <w:t xml:space="preserve"> </w:t>
      </w:r>
      <w:r w:rsidRPr="00F80C74">
        <w:rPr>
          <w:iCs/>
          <w:sz w:val="16"/>
          <w:szCs w:val="16"/>
        </w:rPr>
        <w:t>Annuaire statistique MS 2017</w:t>
      </w:r>
    </w:p>
  </w:footnote>
  <w:footnote w:id="78">
    <w:p w14:paraId="363946BF" w14:textId="77777777" w:rsidR="00520196" w:rsidRPr="00F80C74" w:rsidRDefault="00520196" w:rsidP="00CF7C04">
      <w:pPr>
        <w:pStyle w:val="Notedebasdepage"/>
        <w:rPr>
          <w:sz w:val="16"/>
          <w:szCs w:val="16"/>
        </w:rPr>
      </w:pPr>
      <w:r w:rsidRPr="00F80C74">
        <w:rPr>
          <w:rStyle w:val="Appelnotedebasdep"/>
          <w:sz w:val="16"/>
          <w:szCs w:val="16"/>
        </w:rPr>
        <w:footnoteRef/>
      </w:r>
      <w:r w:rsidRPr="00F80C74">
        <w:rPr>
          <w:sz w:val="16"/>
          <w:szCs w:val="16"/>
        </w:rPr>
        <w:t xml:space="preserve"> Enquête SARA. 2016</w:t>
      </w:r>
    </w:p>
  </w:footnote>
  <w:footnote w:id="79">
    <w:p w14:paraId="4E5BF131" w14:textId="77777777" w:rsidR="00520196" w:rsidRPr="004E5E26" w:rsidRDefault="00520196" w:rsidP="00CF7C04">
      <w:pPr>
        <w:pStyle w:val="Notedebasdepage"/>
        <w:rPr>
          <w:sz w:val="16"/>
          <w:szCs w:val="16"/>
        </w:rPr>
      </w:pPr>
      <w:r w:rsidRPr="004E5E26">
        <w:rPr>
          <w:rStyle w:val="Appelnotedebasdep"/>
          <w:sz w:val="16"/>
          <w:szCs w:val="16"/>
        </w:rPr>
        <w:footnoteRef/>
      </w:r>
      <w:r w:rsidRPr="004E5E26">
        <w:rPr>
          <w:sz w:val="16"/>
          <w:szCs w:val="16"/>
        </w:rPr>
        <w:t xml:space="preserve"> Annuaire statistiques 2017. MS Burkina Faso</w:t>
      </w:r>
    </w:p>
  </w:footnote>
  <w:footnote w:id="80">
    <w:p w14:paraId="3840BC8B" w14:textId="77777777" w:rsidR="00520196" w:rsidRDefault="00520196" w:rsidP="00CF7C04">
      <w:pPr>
        <w:pStyle w:val="Notedebasdepage"/>
      </w:pPr>
      <w:r>
        <w:rPr>
          <w:rStyle w:val="Appelnotedebasdep"/>
        </w:rPr>
        <w:footnoteRef/>
      </w:r>
      <w:r>
        <w:t xml:space="preserve"> Comptes nationaux de la santé 2007-2016</w:t>
      </w:r>
    </w:p>
  </w:footnote>
  <w:footnote w:id="81">
    <w:p w14:paraId="268DEEDF" w14:textId="77777777" w:rsidR="00520196" w:rsidRPr="00175211" w:rsidRDefault="00520196" w:rsidP="00CF7C04">
      <w:pPr>
        <w:pStyle w:val="Notedebasdepage"/>
        <w:rPr>
          <w:sz w:val="16"/>
          <w:szCs w:val="16"/>
        </w:rPr>
      </w:pPr>
      <w:r w:rsidRPr="00175211">
        <w:rPr>
          <w:rStyle w:val="Appelnotedebasdep"/>
          <w:sz w:val="16"/>
          <w:szCs w:val="16"/>
        </w:rPr>
        <w:footnoteRef/>
      </w:r>
      <w:r w:rsidRPr="00175211">
        <w:rPr>
          <w:sz w:val="16"/>
          <w:szCs w:val="16"/>
        </w:rPr>
        <w:t xml:space="preserve"> Comptes nationaux de la santé 2007-2016</w:t>
      </w:r>
    </w:p>
  </w:footnote>
  <w:footnote w:id="82">
    <w:p w14:paraId="2E11BAB4" w14:textId="77777777" w:rsidR="00520196" w:rsidRPr="00CB476D" w:rsidRDefault="00520196" w:rsidP="00CF7C04">
      <w:pPr>
        <w:pStyle w:val="Notedebasdepage"/>
      </w:pPr>
      <w:r w:rsidRPr="00CB476D">
        <w:rPr>
          <w:rStyle w:val="Appelnotedebasdep"/>
        </w:rPr>
        <w:footnoteRef/>
      </w:r>
      <w:r w:rsidRPr="00CB476D">
        <w:t xml:space="preserve"> </w:t>
      </w:r>
      <w:r w:rsidRPr="00CB476D">
        <w:rPr>
          <w:color w:val="262626" w:themeColor="text1" w:themeTint="D9"/>
          <w:sz w:val="16"/>
          <w:szCs w:val="16"/>
        </w:rPr>
        <w:t>Cartographie des interventions, intervenants et financements en SRMNEA-N au BURKINA FASO. Rapport d’études. Ministère de la Santé – Centre Muraz</w:t>
      </w:r>
    </w:p>
  </w:footnote>
  <w:footnote w:id="83">
    <w:p w14:paraId="79344F1F" w14:textId="77777777" w:rsidR="00520196" w:rsidRPr="00335A2F" w:rsidRDefault="00520196" w:rsidP="00CF7C04">
      <w:pPr>
        <w:pStyle w:val="Notedebasdepage"/>
        <w:rPr>
          <w:sz w:val="16"/>
          <w:szCs w:val="16"/>
        </w:rPr>
      </w:pPr>
      <w:r w:rsidRPr="00335A2F">
        <w:rPr>
          <w:rStyle w:val="Appelnotedebasdep"/>
          <w:sz w:val="16"/>
          <w:szCs w:val="16"/>
        </w:rPr>
        <w:footnoteRef/>
      </w:r>
      <w:r w:rsidRPr="00335A2F">
        <w:rPr>
          <w:sz w:val="16"/>
          <w:szCs w:val="16"/>
        </w:rPr>
        <w:t xml:space="preserve"> </w:t>
      </w:r>
      <w:r w:rsidRPr="00335A2F">
        <w:rPr>
          <w:rFonts w:ascii="Calibri" w:hAnsi="Calibri"/>
          <w:sz w:val="16"/>
          <w:szCs w:val="16"/>
        </w:rPr>
        <w:t>Analyse de la qualité des soins de SRMNEA-N. Rapport 2018. Ministère de la Santé. Burkina Faso</w:t>
      </w:r>
    </w:p>
  </w:footnote>
  <w:footnote w:id="84">
    <w:p w14:paraId="66CC6041" w14:textId="77777777" w:rsidR="00520196" w:rsidRPr="006467BF" w:rsidRDefault="00520196" w:rsidP="00CF7C04">
      <w:pPr>
        <w:pStyle w:val="Default"/>
        <w:rPr>
          <w:rFonts w:ascii="Times New Roman" w:hAnsi="Times New Roman" w:cs="Times New Roman"/>
        </w:rPr>
      </w:pPr>
      <w:r>
        <w:rPr>
          <w:rStyle w:val="Appelnotedebasdep"/>
        </w:rPr>
        <w:footnoteRef/>
      </w:r>
      <w:r>
        <w:t xml:space="preserve"> </w:t>
      </w:r>
      <w:r w:rsidRPr="006467BF">
        <w:t xml:space="preserve"> </w:t>
      </w:r>
      <w:r w:rsidRPr="006467BF">
        <w:rPr>
          <w:rFonts w:asciiTheme="minorHAnsi" w:hAnsiTheme="minorHAnsi"/>
          <w:bCs/>
          <w:iCs/>
          <w:sz w:val="18"/>
          <w:szCs w:val="18"/>
        </w:rPr>
        <w:t>Analyse de la santé communautaire au Burkina Faso</w:t>
      </w:r>
      <w:r>
        <w:rPr>
          <w:rFonts w:asciiTheme="minorHAnsi" w:hAnsiTheme="minorHAnsi"/>
          <w:bCs/>
          <w:iCs/>
          <w:sz w:val="18"/>
          <w:szCs w:val="18"/>
        </w:rPr>
        <w:t>. Rapport de mission par Awa Seck et Dieudonne Valea. Ministère de la santé du Burkina Faso. 2011</w:t>
      </w:r>
    </w:p>
  </w:footnote>
  <w:footnote w:id="85">
    <w:p w14:paraId="49959187" w14:textId="77777777" w:rsidR="00520196" w:rsidRPr="007E0BB0" w:rsidRDefault="00520196" w:rsidP="00CF7C04">
      <w:pPr>
        <w:pStyle w:val="Notedebasdepage"/>
        <w:rPr>
          <w:sz w:val="16"/>
          <w:szCs w:val="16"/>
        </w:rPr>
      </w:pPr>
      <w:r w:rsidRPr="007E0BB0">
        <w:rPr>
          <w:rStyle w:val="Appelnotedebasdep"/>
          <w:sz w:val="16"/>
          <w:szCs w:val="16"/>
        </w:rPr>
        <w:footnoteRef/>
      </w:r>
      <w:r w:rsidRPr="007E0BB0">
        <w:rPr>
          <w:bCs/>
          <w:iCs/>
          <w:color w:val="000000"/>
          <w:sz w:val="16"/>
          <w:szCs w:val="16"/>
        </w:rPr>
        <w:t>Analyse de la santé communautaire au Burkina Faso</w:t>
      </w:r>
      <w:r w:rsidRPr="007E0BB0">
        <w:rPr>
          <w:bCs/>
          <w:iCs/>
          <w:sz w:val="16"/>
          <w:szCs w:val="16"/>
        </w:rPr>
        <w:t>. Rapport de mission par Awa Seck et Dieudonne Valea. Ministère de la santé du Burkina Faso. 2011</w:t>
      </w:r>
    </w:p>
  </w:footnote>
  <w:footnote w:id="86">
    <w:p w14:paraId="09FCC1D0" w14:textId="77777777" w:rsidR="00520196" w:rsidRPr="007E0BB0" w:rsidRDefault="00520196" w:rsidP="00CF7C04">
      <w:pPr>
        <w:pStyle w:val="Notedebasdepage"/>
        <w:rPr>
          <w:sz w:val="16"/>
          <w:szCs w:val="16"/>
        </w:rPr>
      </w:pPr>
      <w:r w:rsidRPr="007E0BB0">
        <w:rPr>
          <w:rStyle w:val="Appelnotedebasdep"/>
          <w:sz w:val="16"/>
          <w:szCs w:val="16"/>
        </w:rPr>
        <w:footnoteRef/>
      </w:r>
      <w:r w:rsidRPr="007E0BB0">
        <w:rPr>
          <w:sz w:val="16"/>
          <w:szCs w:val="16"/>
        </w:rPr>
        <w:t xml:space="preserve"> Rapport du PNUD 2016</w:t>
      </w:r>
    </w:p>
  </w:footnote>
  <w:footnote w:id="87">
    <w:p w14:paraId="40A3ECE7" w14:textId="77777777" w:rsidR="00520196" w:rsidRPr="007E0BB0" w:rsidRDefault="00520196" w:rsidP="00CF7C04">
      <w:pPr>
        <w:pStyle w:val="Notedebasdepage"/>
        <w:rPr>
          <w:sz w:val="16"/>
          <w:szCs w:val="16"/>
        </w:rPr>
      </w:pPr>
      <w:r w:rsidRPr="007E0BB0">
        <w:rPr>
          <w:rStyle w:val="Appelnotedebasdep"/>
          <w:sz w:val="16"/>
          <w:szCs w:val="16"/>
        </w:rPr>
        <w:footnoteRef/>
      </w:r>
      <w:r w:rsidRPr="007E0BB0">
        <w:rPr>
          <w:sz w:val="16"/>
          <w:szCs w:val="16"/>
        </w:rPr>
        <w:t xml:space="preserve"> Enquête module démographie et santé 2015</w:t>
      </w:r>
    </w:p>
  </w:footnote>
  <w:footnote w:id="88">
    <w:p w14:paraId="0F2B119C" w14:textId="0D956F25" w:rsidR="00520196" w:rsidRPr="007E0BB0" w:rsidRDefault="00520196">
      <w:pPr>
        <w:pStyle w:val="Notedebasdepage"/>
        <w:rPr>
          <w:sz w:val="16"/>
          <w:szCs w:val="16"/>
        </w:rPr>
      </w:pPr>
      <w:r w:rsidRPr="007E0BB0">
        <w:rPr>
          <w:rStyle w:val="Appelnotedebasdep"/>
          <w:sz w:val="16"/>
          <w:szCs w:val="16"/>
        </w:rPr>
        <w:footnoteRef/>
      </w:r>
      <w:r w:rsidRPr="007E0BB0">
        <w:rPr>
          <w:sz w:val="16"/>
          <w:szCs w:val="16"/>
        </w:rPr>
        <w:t xml:space="preserve"> Enquête module démographie et santé 2015</w:t>
      </w:r>
    </w:p>
  </w:footnote>
  <w:footnote w:id="89">
    <w:p w14:paraId="349D71A8" w14:textId="3CB712EE" w:rsidR="00520196" w:rsidRPr="00651794" w:rsidRDefault="00520196">
      <w:pPr>
        <w:pStyle w:val="Notedebasdepage"/>
        <w:rPr>
          <w:sz w:val="16"/>
          <w:szCs w:val="16"/>
        </w:rPr>
      </w:pPr>
      <w:r w:rsidRPr="00651794">
        <w:rPr>
          <w:rStyle w:val="Appelnotedebasdep"/>
          <w:sz w:val="16"/>
          <w:szCs w:val="16"/>
        </w:rPr>
        <w:footnoteRef/>
      </w:r>
      <w:r w:rsidRPr="00651794">
        <w:rPr>
          <w:sz w:val="16"/>
          <w:szCs w:val="16"/>
        </w:rPr>
        <w:t xml:space="preserve"> Analyse par l’outil EQUIST 2018</w:t>
      </w:r>
    </w:p>
  </w:footnote>
  <w:footnote w:id="90">
    <w:p w14:paraId="5BC0B601" w14:textId="77777777" w:rsidR="00520196" w:rsidRPr="006135DB" w:rsidRDefault="00520196" w:rsidP="00FD6E16">
      <w:pPr>
        <w:pStyle w:val="Notedebasdepage"/>
        <w:rPr>
          <w:sz w:val="16"/>
          <w:szCs w:val="16"/>
        </w:rPr>
      </w:pPr>
      <w:r w:rsidRPr="006135DB">
        <w:rPr>
          <w:rStyle w:val="Appelnotedebasdep"/>
          <w:sz w:val="16"/>
          <w:szCs w:val="16"/>
        </w:rPr>
        <w:footnoteRef/>
      </w:r>
      <w:r w:rsidRPr="006135DB">
        <w:rPr>
          <w:sz w:val="16"/>
          <w:szCs w:val="16"/>
        </w:rPr>
        <w:t xml:space="preserve"> PNDES Aout 2016  </w:t>
      </w:r>
    </w:p>
  </w:footnote>
  <w:footnote w:id="91">
    <w:p w14:paraId="0B133D3A" w14:textId="77777777" w:rsidR="00520196" w:rsidRDefault="00520196">
      <w:pPr>
        <w:pStyle w:val="Notedebasdepage"/>
      </w:pPr>
      <w:r>
        <w:rPr>
          <w:rStyle w:val="Appelnotedebasdep"/>
        </w:rPr>
        <w:footnoteRef/>
      </w:r>
      <w:r>
        <w:t xml:space="preserve"> </w:t>
      </w:r>
      <w:r w:rsidRPr="006135DB">
        <w:rPr>
          <w:sz w:val="16"/>
          <w:szCs w:val="16"/>
        </w:rPr>
        <w:t>Enquête Module Démographie et Santé. Burkina Faso 2015</w:t>
      </w:r>
    </w:p>
  </w:footnote>
  <w:footnote w:id="92">
    <w:p w14:paraId="7C208D05" w14:textId="77777777" w:rsidR="00520196" w:rsidRPr="008134F5" w:rsidRDefault="00520196" w:rsidP="008134F5">
      <w:pPr>
        <w:spacing w:after="0" w:line="360" w:lineRule="auto"/>
        <w:jc w:val="both"/>
        <w:rPr>
          <w:sz w:val="16"/>
          <w:szCs w:val="16"/>
        </w:rPr>
      </w:pPr>
      <w:r>
        <w:rPr>
          <w:rStyle w:val="Appelnotedebasdep"/>
        </w:rPr>
        <w:footnoteRef/>
      </w:r>
      <w:r>
        <w:t xml:space="preserve"> </w:t>
      </w:r>
      <w:r w:rsidRPr="008134F5">
        <w:rPr>
          <w:sz w:val="16"/>
          <w:szCs w:val="16"/>
        </w:rPr>
        <w:t>L’évaluation de la situation des données administratives et de l’état civil et proposition d’une méthodologie simple de collecte des données. Juin</w:t>
      </w:r>
      <w:r>
        <w:rPr>
          <w:sz w:val="16"/>
          <w:szCs w:val="16"/>
        </w:rPr>
        <w:t xml:space="preserve"> 2006. INSD-</w:t>
      </w:r>
      <w:r w:rsidRPr="008134F5">
        <w:rPr>
          <w:sz w:val="16"/>
          <w:szCs w:val="16"/>
        </w:rPr>
        <w:t>MINISTERE DE L’ECONOMIE ET DU DEVELOPPEMENT. BURKINA FASO</w:t>
      </w:r>
    </w:p>
    <w:p w14:paraId="07CEE671" w14:textId="77777777" w:rsidR="00520196" w:rsidRDefault="00520196">
      <w:pPr>
        <w:pStyle w:val="Notedebasdepage"/>
      </w:pPr>
    </w:p>
  </w:footnote>
  <w:footnote w:id="93">
    <w:p w14:paraId="55ACA9BE" w14:textId="23677369" w:rsidR="00520196" w:rsidRPr="00051B38" w:rsidRDefault="00520196">
      <w:pPr>
        <w:pStyle w:val="Notedebasdepage"/>
        <w:rPr>
          <w:sz w:val="16"/>
          <w:szCs w:val="16"/>
        </w:rPr>
      </w:pPr>
      <w:r w:rsidRPr="00051B38">
        <w:rPr>
          <w:rStyle w:val="Appelnotedebasdep"/>
          <w:sz w:val="16"/>
          <w:szCs w:val="16"/>
        </w:rPr>
        <w:footnoteRef/>
      </w:r>
      <w:r w:rsidRPr="00051B38">
        <w:rPr>
          <w:sz w:val="16"/>
          <w:szCs w:val="16"/>
        </w:rPr>
        <w:t xml:space="preserve"> Rapport d’évaluation mi-parcours du PNDS 2011-2020 du BURKINA. Ministère de la Santé. 2016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F90642"/>
    <w:multiLevelType w:val="hybridMultilevel"/>
    <w:tmpl w:val="F266CC32"/>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
    <w:nsid w:val="013869EE"/>
    <w:multiLevelType w:val="hybridMultilevel"/>
    <w:tmpl w:val="1C5A134E"/>
    <w:lvl w:ilvl="0" w:tplc="040C0005">
      <w:start w:val="1"/>
      <w:numFmt w:val="bullet"/>
      <w:lvlText w:val=""/>
      <w:lvlJc w:val="left"/>
      <w:pPr>
        <w:ind w:left="1776" w:hanging="360"/>
      </w:pPr>
      <w:rPr>
        <w:rFonts w:ascii="Wingdings" w:hAnsi="Wingdings" w:hint="default"/>
      </w:rPr>
    </w:lvl>
    <w:lvl w:ilvl="1" w:tplc="040C0003">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2">
    <w:nsid w:val="01391FFB"/>
    <w:multiLevelType w:val="hybridMultilevel"/>
    <w:tmpl w:val="29BED09A"/>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
    <w:nsid w:val="02540EA5"/>
    <w:multiLevelType w:val="multilevel"/>
    <w:tmpl w:val="25F0D7EC"/>
    <w:lvl w:ilvl="0">
      <w:start w:val="1"/>
      <w:numFmt w:val="bullet"/>
      <w:lvlText w:val=""/>
      <w:lvlJc w:val="left"/>
      <w:pPr>
        <w:ind w:left="360" w:hanging="360"/>
      </w:pPr>
      <w:rPr>
        <w:rFonts w:ascii="Wingdings" w:hAnsi="Wingding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nsid w:val="05327912"/>
    <w:multiLevelType w:val="hybridMultilevel"/>
    <w:tmpl w:val="9CB07120"/>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nsid w:val="05C03972"/>
    <w:multiLevelType w:val="hybridMultilevel"/>
    <w:tmpl w:val="1DEC4546"/>
    <w:lvl w:ilvl="0" w:tplc="040C000D">
      <w:start w:val="1"/>
      <w:numFmt w:val="bullet"/>
      <w:lvlText w:val=""/>
      <w:lvlJc w:val="left"/>
      <w:pPr>
        <w:ind w:left="2136" w:hanging="360"/>
      </w:pPr>
      <w:rPr>
        <w:rFonts w:ascii="Wingdings" w:hAnsi="Wingdings" w:hint="default"/>
      </w:rPr>
    </w:lvl>
    <w:lvl w:ilvl="1" w:tplc="040C0003">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6">
    <w:nsid w:val="07EF1F76"/>
    <w:multiLevelType w:val="hybridMultilevel"/>
    <w:tmpl w:val="2F6A54BC"/>
    <w:lvl w:ilvl="0" w:tplc="9028CF8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08C775BF"/>
    <w:multiLevelType w:val="hybridMultilevel"/>
    <w:tmpl w:val="F550B1C6"/>
    <w:lvl w:ilvl="0" w:tplc="040C0005">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8">
    <w:nsid w:val="0A022325"/>
    <w:multiLevelType w:val="hybridMultilevel"/>
    <w:tmpl w:val="F7484ACE"/>
    <w:lvl w:ilvl="0" w:tplc="040C0005">
      <w:start w:val="1"/>
      <w:numFmt w:val="bullet"/>
      <w:lvlText w:val=""/>
      <w:lvlJc w:val="left"/>
      <w:pPr>
        <w:ind w:left="360" w:hanging="360"/>
      </w:pPr>
      <w:rPr>
        <w:rFonts w:ascii="Wingdings" w:hAnsi="Wingdings" w:hint="default"/>
      </w:rPr>
    </w:lvl>
    <w:lvl w:ilvl="1" w:tplc="040C0019">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
    <w:nsid w:val="0A504E23"/>
    <w:multiLevelType w:val="hybridMultilevel"/>
    <w:tmpl w:val="D7624AB6"/>
    <w:lvl w:ilvl="0" w:tplc="040C0005">
      <w:start w:val="1"/>
      <w:numFmt w:val="bullet"/>
      <w:lvlText w:val=""/>
      <w:lvlJc w:val="left"/>
      <w:pPr>
        <w:ind w:left="1068" w:hanging="360"/>
      </w:pPr>
      <w:rPr>
        <w:rFonts w:ascii="Wingdings" w:hAnsi="Wingding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0">
    <w:nsid w:val="0AAC0740"/>
    <w:multiLevelType w:val="hybridMultilevel"/>
    <w:tmpl w:val="26DACA36"/>
    <w:lvl w:ilvl="0" w:tplc="040C0005">
      <w:start w:val="1"/>
      <w:numFmt w:val="bullet"/>
      <w:lvlText w:val=""/>
      <w:lvlJc w:val="left"/>
      <w:pPr>
        <w:ind w:left="1440" w:hanging="360"/>
      </w:pPr>
      <w:rPr>
        <w:rFonts w:ascii="Wingdings" w:hAnsi="Wingdings"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1">
    <w:nsid w:val="0B683DF5"/>
    <w:multiLevelType w:val="hybridMultilevel"/>
    <w:tmpl w:val="297CC764"/>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2">
    <w:nsid w:val="0B6B3331"/>
    <w:multiLevelType w:val="multilevel"/>
    <w:tmpl w:val="22B6FC6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
    <w:nsid w:val="0BA74826"/>
    <w:multiLevelType w:val="hybridMultilevel"/>
    <w:tmpl w:val="248A1C1E"/>
    <w:lvl w:ilvl="0" w:tplc="040C000D">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nsid w:val="0D8A1865"/>
    <w:multiLevelType w:val="hybridMultilevel"/>
    <w:tmpl w:val="198A37F2"/>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5">
    <w:nsid w:val="103D262F"/>
    <w:multiLevelType w:val="hybridMultilevel"/>
    <w:tmpl w:val="39B2D738"/>
    <w:lvl w:ilvl="0" w:tplc="040C0005">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16">
    <w:nsid w:val="11465389"/>
    <w:multiLevelType w:val="hybridMultilevel"/>
    <w:tmpl w:val="D9DEB1B4"/>
    <w:lvl w:ilvl="0" w:tplc="040C0005">
      <w:start w:val="1"/>
      <w:numFmt w:val="bullet"/>
      <w:lvlText w:val=""/>
      <w:lvlJc w:val="left"/>
      <w:pPr>
        <w:ind w:left="720" w:hanging="720"/>
      </w:pPr>
      <w:rPr>
        <w:rFonts w:ascii="Wingdings" w:hAnsi="Wingding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7">
    <w:nsid w:val="12046A0E"/>
    <w:multiLevelType w:val="hybridMultilevel"/>
    <w:tmpl w:val="DFA2EB0A"/>
    <w:lvl w:ilvl="0" w:tplc="040C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8">
    <w:nsid w:val="124C1463"/>
    <w:multiLevelType w:val="hybridMultilevel"/>
    <w:tmpl w:val="F65CC4D6"/>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9">
    <w:nsid w:val="12AF6DEE"/>
    <w:multiLevelType w:val="hybridMultilevel"/>
    <w:tmpl w:val="03A8AFC6"/>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14DB4CAA"/>
    <w:multiLevelType w:val="hybridMultilevel"/>
    <w:tmpl w:val="DBB432F4"/>
    <w:lvl w:ilvl="0" w:tplc="040C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1">
    <w:nsid w:val="15382ED3"/>
    <w:multiLevelType w:val="hybridMultilevel"/>
    <w:tmpl w:val="2F727696"/>
    <w:lvl w:ilvl="0" w:tplc="D9589280">
      <w:start w:val="1"/>
      <w:numFmt w:val="lowerLetter"/>
      <w:lvlText w:val="%1."/>
      <w:lvlJc w:val="left"/>
      <w:pPr>
        <w:ind w:left="360" w:hanging="360"/>
      </w:pPr>
      <w:rPr>
        <w:rFonts w:asciiTheme="minorHAnsi" w:eastAsiaTheme="minorHAnsi" w:hAnsiTheme="minorHAnsi" w:cstheme="minorBidi"/>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2">
    <w:nsid w:val="170C6BF8"/>
    <w:multiLevelType w:val="multilevel"/>
    <w:tmpl w:val="A9D86734"/>
    <w:lvl w:ilvl="0">
      <w:start w:val="5"/>
      <w:numFmt w:val="decimal"/>
      <w:lvlText w:val="%1."/>
      <w:lvlJc w:val="left"/>
      <w:pPr>
        <w:ind w:left="360" w:hanging="360"/>
      </w:pPr>
      <w:rPr>
        <w:rFonts w:hint="default"/>
        <w:b w:val="0"/>
        <w:sz w:val="24"/>
      </w:rPr>
    </w:lvl>
    <w:lvl w:ilvl="1">
      <w:start w:val="1"/>
      <w:numFmt w:val="decimal"/>
      <w:lvlText w:val="%1.%2."/>
      <w:lvlJc w:val="left"/>
      <w:pPr>
        <w:ind w:left="720" w:hanging="720"/>
      </w:pPr>
      <w:rPr>
        <w:rFonts w:hint="default"/>
        <w:b w:val="0"/>
        <w:sz w:val="24"/>
      </w:rPr>
    </w:lvl>
    <w:lvl w:ilvl="2">
      <w:start w:val="1"/>
      <w:numFmt w:val="decimal"/>
      <w:lvlText w:val="%1.%2.%3."/>
      <w:lvlJc w:val="left"/>
      <w:pPr>
        <w:ind w:left="720" w:hanging="720"/>
      </w:pPr>
      <w:rPr>
        <w:rFonts w:hint="default"/>
        <w:b w:val="0"/>
        <w:sz w:val="24"/>
      </w:rPr>
    </w:lvl>
    <w:lvl w:ilvl="3">
      <w:start w:val="1"/>
      <w:numFmt w:val="decimal"/>
      <w:lvlText w:val="%1.%2.%3.%4."/>
      <w:lvlJc w:val="left"/>
      <w:pPr>
        <w:ind w:left="1080" w:hanging="1080"/>
      </w:pPr>
      <w:rPr>
        <w:rFonts w:hint="default"/>
        <w:b w:val="0"/>
        <w:sz w:val="24"/>
      </w:rPr>
    </w:lvl>
    <w:lvl w:ilvl="4">
      <w:start w:val="1"/>
      <w:numFmt w:val="decimal"/>
      <w:lvlText w:val="%1.%2.%3.%4.%5."/>
      <w:lvlJc w:val="left"/>
      <w:pPr>
        <w:ind w:left="1080" w:hanging="1080"/>
      </w:pPr>
      <w:rPr>
        <w:rFonts w:hint="default"/>
        <w:b w:val="0"/>
        <w:sz w:val="24"/>
      </w:rPr>
    </w:lvl>
    <w:lvl w:ilvl="5">
      <w:start w:val="1"/>
      <w:numFmt w:val="decimal"/>
      <w:lvlText w:val="%1.%2.%3.%4.%5.%6."/>
      <w:lvlJc w:val="left"/>
      <w:pPr>
        <w:ind w:left="1440" w:hanging="1440"/>
      </w:pPr>
      <w:rPr>
        <w:rFonts w:hint="default"/>
        <w:b w:val="0"/>
        <w:sz w:val="24"/>
      </w:rPr>
    </w:lvl>
    <w:lvl w:ilvl="6">
      <w:start w:val="1"/>
      <w:numFmt w:val="decimal"/>
      <w:lvlText w:val="%1.%2.%3.%4.%5.%6.%7."/>
      <w:lvlJc w:val="left"/>
      <w:pPr>
        <w:ind w:left="1800" w:hanging="1800"/>
      </w:pPr>
      <w:rPr>
        <w:rFonts w:hint="default"/>
        <w:b w:val="0"/>
        <w:sz w:val="24"/>
      </w:rPr>
    </w:lvl>
    <w:lvl w:ilvl="7">
      <w:start w:val="1"/>
      <w:numFmt w:val="decimal"/>
      <w:lvlText w:val="%1.%2.%3.%4.%5.%6.%7.%8."/>
      <w:lvlJc w:val="left"/>
      <w:pPr>
        <w:ind w:left="1800" w:hanging="1800"/>
      </w:pPr>
      <w:rPr>
        <w:rFonts w:hint="default"/>
        <w:b w:val="0"/>
        <w:sz w:val="24"/>
      </w:rPr>
    </w:lvl>
    <w:lvl w:ilvl="8">
      <w:start w:val="1"/>
      <w:numFmt w:val="decimal"/>
      <w:lvlText w:val="%1.%2.%3.%4.%5.%6.%7.%8.%9."/>
      <w:lvlJc w:val="left"/>
      <w:pPr>
        <w:ind w:left="2160" w:hanging="2160"/>
      </w:pPr>
      <w:rPr>
        <w:rFonts w:hint="default"/>
        <w:b w:val="0"/>
        <w:sz w:val="24"/>
      </w:rPr>
    </w:lvl>
  </w:abstractNum>
  <w:abstractNum w:abstractNumId="23">
    <w:nsid w:val="176C2FA4"/>
    <w:multiLevelType w:val="hybridMultilevel"/>
    <w:tmpl w:val="D8027932"/>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4">
    <w:nsid w:val="178D3C69"/>
    <w:multiLevelType w:val="hybridMultilevel"/>
    <w:tmpl w:val="B170A554"/>
    <w:lvl w:ilvl="0" w:tplc="040C0005">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25">
    <w:nsid w:val="19835E2D"/>
    <w:multiLevelType w:val="hybridMultilevel"/>
    <w:tmpl w:val="4A9CAD9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1BBA6DB4"/>
    <w:multiLevelType w:val="hybridMultilevel"/>
    <w:tmpl w:val="B18A9C3A"/>
    <w:lvl w:ilvl="0" w:tplc="040C0005">
      <w:start w:val="1"/>
      <w:numFmt w:val="bullet"/>
      <w:lvlText w:val=""/>
      <w:lvlJc w:val="left"/>
      <w:pPr>
        <w:ind w:left="0" w:hanging="360"/>
      </w:pPr>
      <w:rPr>
        <w:rFonts w:ascii="Wingdings" w:hAnsi="Wingdings" w:hint="default"/>
      </w:rPr>
    </w:lvl>
    <w:lvl w:ilvl="1" w:tplc="040C0003" w:tentative="1">
      <w:start w:val="1"/>
      <w:numFmt w:val="bullet"/>
      <w:lvlText w:val="o"/>
      <w:lvlJc w:val="left"/>
      <w:pPr>
        <w:ind w:left="720" w:hanging="360"/>
      </w:pPr>
      <w:rPr>
        <w:rFonts w:ascii="Courier New" w:hAnsi="Courier New" w:cs="Courier New" w:hint="default"/>
      </w:rPr>
    </w:lvl>
    <w:lvl w:ilvl="2" w:tplc="040C0005" w:tentative="1">
      <w:start w:val="1"/>
      <w:numFmt w:val="bullet"/>
      <w:lvlText w:val=""/>
      <w:lvlJc w:val="left"/>
      <w:pPr>
        <w:ind w:left="1440" w:hanging="360"/>
      </w:pPr>
      <w:rPr>
        <w:rFonts w:ascii="Wingdings" w:hAnsi="Wingdings" w:hint="default"/>
      </w:rPr>
    </w:lvl>
    <w:lvl w:ilvl="3" w:tplc="040C0001" w:tentative="1">
      <w:start w:val="1"/>
      <w:numFmt w:val="bullet"/>
      <w:lvlText w:val=""/>
      <w:lvlJc w:val="left"/>
      <w:pPr>
        <w:ind w:left="2160" w:hanging="360"/>
      </w:pPr>
      <w:rPr>
        <w:rFonts w:ascii="Symbol" w:hAnsi="Symbol" w:hint="default"/>
      </w:rPr>
    </w:lvl>
    <w:lvl w:ilvl="4" w:tplc="040C0003" w:tentative="1">
      <w:start w:val="1"/>
      <w:numFmt w:val="bullet"/>
      <w:lvlText w:val="o"/>
      <w:lvlJc w:val="left"/>
      <w:pPr>
        <w:ind w:left="2880" w:hanging="360"/>
      </w:pPr>
      <w:rPr>
        <w:rFonts w:ascii="Courier New" w:hAnsi="Courier New" w:cs="Courier New" w:hint="default"/>
      </w:rPr>
    </w:lvl>
    <w:lvl w:ilvl="5" w:tplc="040C0005" w:tentative="1">
      <w:start w:val="1"/>
      <w:numFmt w:val="bullet"/>
      <w:lvlText w:val=""/>
      <w:lvlJc w:val="left"/>
      <w:pPr>
        <w:ind w:left="3600" w:hanging="360"/>
      </w:pPr>
      <w:rPr>
        <w:rFonts w:ascii="Wingdings" w:hAnsi="Wingdings" w:hint="default"/>
      </w:rPr>
    </w:lvl>
    <w:lvl w:ilvl="6" w:tplc="040C0001" w:tentative="1">
      <w:start w:val="1"/>
      <w:numFmt w:val="bullet"/>
      <w:lvlText w:val=""/>
      <w:lvlJc w:val="left"/>
      <w:pPr>
        <w:ind w:left="4320" w:hanging="360"/>
      </w:pPr>
      <w:rPr>
        <w:rFonts w:ascii="Symbol" w:hAnsi="Symbol" w:hint="default"/>
      </w:rPr>
    </w:lvl>
    <w:lvl w:ilvl="7" w:tplc="040C0003" w:tentative="1">
      <w:start w:val="1"/>
      <w:numFmt w:val="bullet"/>
      <w:lvlText w:val="o"/>
      <w:lvlJc w:val="left"/>
      <w:pPr>
        <w:ind w:left="5040" w:hanging="360"/>
      </w:pPr>
      <w:rPr>
        <w:rFonts w:ascii="Courier New" w:hAnsi="Courier New" w:cs="Courier New" w:hint="default"/>
      </w:rPr>
    </w:lvl>
    <w:lvl w:ilvl="8" w:tplc="040C0005" w:tentative="1">
      <w:start w:val="1"/>
      <w:numFmt w:val="bullet"/>
      <w:lvlText w:val=""/>
      <w:lvlJc w:val="left"/>
      <w:pPr>
        <w:ind w:left="5760" w:hanging="360"/>
      </w:pPr>
      <w:rPr>
        <w:rFonts w:ascii="Wingdings" w:hAnsi="Wingdings" w:hint="default"/>
      </w:rPr>
    </w:lvl>
  </w:abstractNum>
  <w:abstractNum w:abstractNumId="27">
    <w:nsid w:val="1BEE297F"/>
    <w:multiLevelType w:val="multilevel"/>
    <w:tmpl w:val="982084B2"/>
    <w:lvl w:ilvl="0">
      <w:start w:val="1"/>
      <w:numFmt w:val="decimal"/>
      <w:lvlText w:val="%1."/>
      <w:lvlJc w:val="left"/>
      <w:pPr>
        <w:ind w:left="360" w:hanging="360"/>
      </w:pPr>
      <w:rPr>
        <w:rFonts w:hint="default"/>
      </w:rPr>
    </w:lvl>
    <w:lvl w:ilvl="1">
      <w:start w:val="1"/>
      <w:numFmt w:val="decimal"/>
      <w:isLgl/>
      <w:lvlText w:val="%1.%2."/>
      <w:lvlJc w:val="left"/>
      <w:pPr>
        <w:ind w:left="495" w:hanging="495"/>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8">
    <w:nsid w:val="1D1266AB"/>
    <w:multiLevelType w:val="hybridMultilevel"/>
    <w:tmpl w:val="07049E2A"/>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1D23007E"/>
    <w:multiLevelType w:val="hybridMultilevel"/>
    <w:tmpl w:val="3CC4A6A0"/>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0">
    <w:nsid w:val="1D42195F"/>
    <w:multiLevelType w:val="hybridMultilevel"/>
    <w:tmpl w:val="FB8AA67A"/>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1">
    <w:nsid w:val="1E781FB2"/>
    <w:multiLevelType w:val="hybridMultilevel"/>
    <w:tmpl w:val="326477B0"/>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2">
    <w:nsid w:val="26A4089F"/>
    <w:multiLevelType w:val="hybridMultilevel"/>
    <w:tmpl w:val="B582EF5A"/>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3">
    <w:nsid w:val="291A050D"/>
    <w:multiLevelType w:val="hybridMultilevel"/>
    <w:tmpl w:val="0A5E2B34"/>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4">
    <w:nsid w:val="2987510D"/>
    <w:multiLevelType w:val="multilevel"/>
    <w:tmpl w:val="458807E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nsid w:val="2A0009AD"/>
    <w:multiLevelType w:val="hybridMultilevel"/>
    <w:tmpl w:val="A11EA092"/>
    <w:lvl w:ilvl="0" w:tplc="AE5A5F46">
      <w:start w:val="1"/>
      <w:numFmt w:val="lowerLetter"/>
      <w:lvlText w:val="%1."/>
      <w:lvlJc w:val="left"/>
      <w:pPr>
        <w:ind w:left="360" w:hanging="360"/>
      </w:pPr>
      <w:rPr>
        <w:rFonts w:asciiTheme="minorHAnsi" w:eastAsiaTheme="minorHAnsi" w:hAnsiTheme="minorHAnsi" w:cstheme="minorBidi"/>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6">
    <w:nsid w:val="2B8004C0"/>
    <w:multiLevelType w:val="multilevel"/>
    <w:tmpl w:val="BA82A220"/>
    <w:lvl w:ilvl="0">
      <w:start w:val="1"/>
      <w:numFmt w:val="decimal"/>
      <w:lvlText w:val="%1."/>
      <w:lvlJc w:val="left"/>
      <w:pPr>
        <w:ind w:left="360" w:hanging="360"/>
      </w:pPr>
      <w:rPr>
        <w:rFonts w:cstheme="minorBidi"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7">
    <w:nsid w:val="2B9D5C72"/>
    <w:multiLevelType w:val="hybridMultilevel"/>
    <w:tmpl w:val="86BC3FAE"/>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8">
    <w:nsid w:val="2BCC7C05"/>
    <w:multiLevelType w:val="hybridMultilevel"/>
    <w:tmpl w:val="427C18E8"/>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39">
    <w:nsid w:val="2DE315AA"/>
    <w:multiLevelType w:val="hybridMultilevel"/>
    <w:tmpl w:val="C0FC2826"/>
    <w:lvl w:ilvl="0" w:tplc="040C0019">
      <w:start w:val="1"/>
      <w:numFmt w:val="lowerLetter"/>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40">
    <w:nsid w:val="2EC3254F"/>
    <w:multiLevelType w:val="multilevel"/>
    <w:tmpl w:val="EB9EAB88"/>
    <w:lvl w:ilvl="0">
      <w:start w:val="1"/>
      <w:numFmt w:val="bullet"/>
      <w:lvlText w:val=""/>
      <w:lvlJc w:val="left"/>
      <w:pPr>
        <w:ind w:left="360" w:hanging="360"/>
      </w:pPr>
      <w:rPr>
        <w:rFonts w:ascii="Wingdings" w:hAnsi="Wingding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41">
    <w:nsid w:val="303649E4"/>
    <w:multiLevelType w:val="hybridMultilevel"/>
    <w:tmpl w:val="AF96BEA2"/>
    <w:lvl w:ilvl="0" w:tplc="95381B74">
      <w:start w:val="8"/>
      <w:numFmt w:val="bullet"/>
      <w:lvlText w:val="-"/>
      <w:lvlJc w:val="left"/>
      <w:pPr>
        <w:ind w:left="360" w:hanging="360"/>
      </w:pPr>
      <w:rPr>
        <w:rFonts w:ascii="Times New Roman" w:eastAsia="Times New Roman" w:hAnsi="Times New Roman" w:cs="Times New Roman" w:hint="default"/>
        <w:sz w:val="23"/>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2">
    <w:nsid w:val="31513F16"/>
    <w:multiLevelType w:val="hybridMultilevel"/>
    <w:tmpl w:val="B746743A"/>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3">
    <w:nsid w:val="320105EC"/>
    <w:multiLevelType w:val="hybridMultilevel"/>
    <w:tmpl w:val="DD2A4EEC"/>
    <w:lvl w:ilvl="0" w:tplc="040C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4">
    <w:nsid w:val="32C72FD1"/>
    <w:multiLevelType w:val="hybridMultilevel"/>
    <w:tmpl w:val="3196CB1E"/>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5">
    <w:nsid w:val="33921CC0"/>
    <w:multiLevelType w:val="hybridMultilevel"/>
    <w:tmpl w:val="BDB696A4"/>
    <w:lvl w:ilvl="0" w:tplc="040C0005">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46">
    <w:nsid w:val="356B7FDB"/>
    <w:multiLevelType w:val="hybridMultilevel"/>
    <w:tmpl w:val="2FB6D5B6"/>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47">
    <w:nsid w:val="35826875"/>
    <w:multiLevelType w:val="hybridMultilevel"/>
    <w:tmpl w:val="5768ADCA"/>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8">
    <w:nsid w:val="35966C8E"/>
    <w:multiLevelType w:val="hybridMultilevel"/>
    <w:tmpl w:val="B904755E"/>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49">
    <w:nsid w:val="37474C66"/>
    <w:multiLevelType w:val="hybridMultilevel"/>
    <w:tmpl w:val="329E61C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0">
    <w:nsid w:val="37FA35EA"/>
    <w:multiLevelType w:val="hybridMultilevel"/>
    <w:tmpl w:val="3B2219A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nsid w:val="3A226205"/>
    <w:multiLevelType w:val="hybridMultilevel"/>
    <w:tmpl w:val="2FB8FA6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nsid w:val="3C414EF9"/>
    <w:multiLevelType w:val="multilevel"/>
    <w:tmpl w:val="DAE2CCE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3">
    <w:nsid w:val="3F2E113D"/>
    <w:multiLevelType w:val="hybridMultilevel"/>
    <w:tmpl w:val="2012C0EE"/>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4">
    <w:nsid w:val="3F9D2CBC"/>
    <w:multiLevelType w:val="hybridMultilevel"/>
    <w:tmpl w:val="C62658E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5">
    <w:nsid w:val="3FA429AE"/>
    <w:multiLevelType w:val="hybridMultilevel"/>
    <w:tmpl w:val="7D9C5BE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nsid w:val="3FF423B2"/>
    <w:multiLevelType w:val="hybridMultilevel"/>
    <w:tmpl w:val="157ECD90"/>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7">
    <w:nsid w:val="406F31C2"/>
    <w:multiLevelType w:val="hybridMultilevel"/>
    <w:tmpl w:val="1A88219E"/>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8">
    <w:nsid w:val="424B7412"/>
    <w:multiLevelType w:val="multilevel"/>
    <w:tmpl w:val="EAB00AE8"/>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59">
    <w:nsid w:val="42933A9D"/>
    <w:multiLevelType w:val="hybridMultilevel"/>
    <w:tmpl w:val="A62C93A0"/>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
    <w:nsid w:val="43362CD0"/>
    <w:multiLevelType w:val="hybridMultilevel"/>
    <w:tmpl w:val="C12AE9E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1">
    <w:nsid w:val="43485D32"/>
    <w:multiLevelType w:val="hybridMultilevel"/>
    <w:tmpl w:val="07E2ADC6"/>
    <w:lvl w:ilvl="0" w:tplc="040C0005">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62">
    <w:nsid w:val="43F83FE4"/>
    <w:multiLevelType w:val="multilevel"/>
    <w:tmpl w:val="A9FA8874"/>
    <w:lvl w:ilvl="0">
      <w:start w:val="4"/>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3">
    <w:nsid w:val="47165351"/>
    <w:multiLevelType w:val="hybridMultilevel"/>
    <w:tmpl w:val="43B27C6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4">
    <w:nsid w:val="49CB41D0"/>
    <w:multiLevelType w:val="hybridMultilevel"/>
    <w:tmpl w:val="00F639E4"/>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65">
    <w:nsid w:val="4AEE5991"/>
    <w:multiLevelType w:val="hybridMultilevel"/>
    <w:tmpl w:val="072ECACA"/>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66">
    <w:nsid w:val="4AF974E0"/>
    <w:multiLevelType w:val="hybridMultilevel"/>
    <w:tmpl w:val="F86E41E2"/>
    <w:lvl w:ilvl="0" w:tplc="040C0005">
      <w:start w:val="1"/>
      <w:numFmt w:val="bullet"/>
      <w:lvlText w:val=""/>
      <w:lvlJc w:val="left"/>
      <w:pPr>
        <w:ind w:left="720" w:hanging="360"/>
      </w:pPr>
      <w:rPr>
        <w:rFonts w:ascii="Wingdings" w:hAnsi="Wingdings" w:hint="default"/>
        <w:sz w:val="23"/>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7">
    <w:nsid w:val="4BB77475"/>
    <w:multiLevelType w:val="hybridMultilevel"/>
    <w:tmpl w:val="1F16E94E"/>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8">
    <w:nsid w:val="4FC212B6"/>
    <w:multiLevelType w:val="hybridMultilevel"/>
    <w:tmpl w:val="0D7CBE7A"/>
    <w:lvl w:ilvl="0" w:tplc="040C0005">
      <w:start w:val="1"/>
      <w:numFmt w:val="bullet"/>
      <w:lvlText w:val=""/>
      <w:lvlJc w:val="left"/>
      <w:pPr>
        <w:ind w:left="1068" w:hanging="360"/>
      </w:pPr>
      <w:rPr>
        <w:rFonts w:ascii="Wingdings" w:hAnsi="Wingding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69">
    <w:nsid w:val="50BB5897"/>
    <w:multiLevelType w:val="hybridMultilevel"/>
    <w:tmpl w:val="D4600A9C"/>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0">
    <w:nsid w:val="52747D72"/>
    <w:multiLevelType w:val="hybridMultilevel"/>
    <w:tmpl w:val="B4C2E3AE"/>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1">
    <w:nsid w:val="57D0127C"/>
    <w:multiLevelType w:val="multilevel"/>
    <w:tmpl w:val="B4A80922"/>
    <w:lvl w:ilvl="0">
      <w:start w:val="7"/>
      <w:numFmt w:val="decimal"/>
      <w:lvlText w:val="%1."/>
      <w:lvlJc w:val="left"/>
      <w:pPr>
        <w:ind w:left="585" w:hanging="585"/>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72">
    <w:nsid w:val="58127FBC"/>
    <w:multiLevelType w:val="hybridMultilevel"/>
    <w:tmpl w:val="457409FA"/>
    <w:lvl w:ilvl="0" w:tplc="040C0019">
      <w:start w:val="1"/>
      <w:numFmt w:val="lowerLetter"/>
      <w:lvlText w:val="%1."/>
      <w:lvlJc w:val="left"/>
      <w:pPr>
        <w:ind w:left="360" w:hanging="360"/>
      </w:pPr>
      <w:rPr>
        <w:rFonts w:hint="default"/>
      </w:rPr>
    </w:lvl>
    <w:lvl w:ilvl="1" w:tplc="040C0019">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3">
    <w:nsid w:val="59CE706D"/>
    <w:multiLevelType w:val="hybridMultilevel"/>
    <w:tmpl w:val="CFCC825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4">
    <w:nsid w:val="5A4E2190"/>
    <w:multiLevelType w:val="hybridMultilevel"/>
    <w:tmpl w:val="7E1C5AB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5">
    <w:nsid w:val="5AA00852"/>
    <w:multiLevelType w:val="hybridMultilevel"/>
    <w:tmpl w:val="DF484FD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6">
    <w:nsid w:val="5B910672"/>
    <w:multiLevelType w:val="multilevel"/>
    <w:tmpl w:val="C3541AB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7">
    <w:nsid w:val="5E3A1CFD"/>
    <w:multiLevelType w:val="hybridMultilevel"/>
    <w:tmpl w:val="74F2E9C0"/>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8">
    <w:nsid w:val="5EFA77D7"/>
    <w:multiLevelType w:val="hybridMultilevel"/>
    <w:tmpl w:val="A1363232"/>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9">
    <w:nsid w:val="5F657AB8"/>
    <w:multiLevelType w:val="hybridMultilevel"/>
    <w:tmpl w:val="5CB85F20"/>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0">
    <w:nsid w:val="5F9D5E21"/>
    <w:multiLevelType w:val="hybridMultilevel"/>
    <w:tmpl w:val="B4362FF6"/>
    <w:lvl w:ilvl="0" w:tplc="040C0005">
      <w:start w:val="1"/>
      <w:numFmt w:val="bullet"/>
      <w:lvlText w:val=""/>
      <w:lvlJc w:val="left"/>
      <w:pPr>
        <w:ind w:left="1776" w:hanging="360"/>
      </w:pPr>
      <w:rPr>
        <w:rFonts w:ascii="Wingdings" w:hAnsi="Wingdings" w:hint="default"/>
      </w:rPr>
    </w:lvl>
    <w:lvl w:ilvl="1" w:tplc="040C0003" w:tentative="1">
      <w:start w:val="1"/>
      <w:numFmt w:val="bullet"/>
      <w:lvlText w:val="o"/>
      <w:lvlJc w:val="left"/>
      <w:pPr>
        <w:ind w:left="2496" w:hanging="360"/>
      </w:pPr>
      <w:rPr>
        <w:rFonts w:ascii="Courier New" w:hAnsi="Courier New" w:cs="Courier New" w:hint="default"/>
      </w:rPr>
    </w:lvl>
    <w:lvl w:ilvl="2" w:tplc="040C0005" w:tentative="1">
      <w:start w:val="1"/>
      <w:numFmt w:val="bullet"/>
      <w:lvlText w:val=""/>
      <w:lvlJc w:val="left"/>
      <w:pPr>
        <w:ind w:left="3216" w:hanging="360"/>
      </w:pPr>
      <w:rPr>
        <w:rFonts w:ascii="Wingdings" w:hAnsi="Wingdings" w:hint="default"/>
      </w:rPr>
    </w:lvl>
    <w:lvl w:ilvl="3" w:tplc="040C0001" w:tentative="1">
      <w:start w:val="1"/>
      <w:numFmt w:val="bullet"/>
      <w:lvlText w:val=""/>
      <w:lvlJc w:val="left"/>
      <w:pPr>
        <w:ind w:left="3936" w:hanging="360"/>
      </w:pPr>
      <w:rPr>
        <w:rFonts w:ascii="Symbol" w:hAnsi="Symbol" w:hint="default"/>
      </w:rPr>
    </w:lvl>
    <w:lvl w:ilvl="4" w:tplc="040C0003" w:tentative="1">
      <w:start w:val="1"/>
      <w:numFmt w:val="bullet"/>
      <w:lvlText w:val="o"/>
      <w:lvlJc w:val="left"/>
      <w:pPr>
        <w:ind w:left="4656" w:hanging="360"/>
      </w:pPr>
      <w:rPr>
        <w:rFonts w:ascii="Courier New" w:hAnsi="Courier New" w:cs="Courier New" w:hint="default"/>
      </w:rPr>
    </w:lvl>
    <w:lvl w:ilvl="5" w:tplc="040C0005" w:tentative="1">
      <w:start w:val="1"/>
      <w:numFmt w:val="bullet"/>
      <w:lvlText w:val=""/>
      <w:lvlJc w:val="left"/>
      <w:pPr>
        <w:ind w:left="5376" w:hanging="360"/>
      </w:pPr>
      <w:rPr>
        <w:rFonts w:ascii="Wingdings" w:hAnsi="Wingdings" w:hint="default"/>
      </w:rPr>
    </w:lvl>
    <w:lvl w:ilvl="6" w:tplc="040C0001" w:tentative="1">
      <w:start w:val="1"/>
      <w:numFmt w:val="bullet"/>
      <w:lvlText w:val=""/>
      <w:lvlJc w:val="left"/>
      <w:pPr>
        <w:ind w:left="6096" w:hanging="360"/>
      </w:pPr>
      <w:rPr>
        <w:rFonts w:ascii="Symbol" w:hAnsi="Symbol" w:hint="default"/>
      </w:rPr>
    </w:lvl>
    <w:lvl w:ilvl="7" w:tplc="040C0003" w:tentative="1">
      <w:start w:val="1"/>
      <w:numFmt w:val="bullet"/>
      <w:lvlText w:val="o"/>
      <w:lvlJc w:val="left"/>
      <w:pPr>
        <w:ind w:left="6816" w:hanging="360"/>
      </w:pPr>
      <w:rPr>
        <w:rFonts w:ascii="Courier New" w:hAnsi="Courier New" w:cs="Courier New" w:hint="default"/>
      </w:rPr>
    </w:lvl>
    <w:lvl w:ilvl="8" w:tplc="040C0005" w:tentative="1">
      <w:start w:val="1"/>
      <w:numFmt w:val="bullet"/>
      <w:lvlText w:val=""/>
      <w:lvlJc w:val="left"/>
      <w:pPr>
        <w:ind w:left="7536" w:hanging="360"/>
      </w:pPr>
      <w:rPr>
        <w:rFonts w:ascii="Wingdings" w:hAnsi="Wingdings" w:hint="default"/>
      </w:rPr>
    </w:lvl>
  </w:abstractNum>
  <w:abstractNum w:abstractNumId="81">
    <w:nsid w:val="60D17201"/>
    <w:multiLevelType w:val="hybridMultilevel"/>
    <w:tmpl w:val="9E081614"/>
    <w:lvl w:ilvl="0" w:tplc="040C0005">
      <w:start w:val="1"/>
      <w:numFmt w:val="bullet"/>
      <w:lvlText w:val=""/>
      <w:lvlJc w:val="left"/>
      <w:pPr>
        <w:ind w:left="1068" w:hanging="360"/>
      </w:pPr>
      <w:rPr>
        <w:rFonts w:ascii="Wingdings" w:hAnsi="Wingding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82">
    <w:nsid w:val="619A2BB8"/>
    <w:multiLevelType w:val="hybridMultilevel"/>
    <w:tmpl w:val="D6EE2AA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3">
    <w:nsid w:val="61B40D91"/>
    <w:multiLevelType w:val="hybridMultilevel"/>
    <w:tmpl w:val="6B9A55EC"/>
    <w:lvl w:ilvl="0" w:tplc="040C0005">
      <w:start w:val="1"/>
      <w:numFmt w:val="bullet"/>
      <w:lvlText w:val=""/>
      <w:lvlJc w:val="left"/>
      <w:pPr>
        <w:ind w:left="1068" w:hanging="360"/>
      </w:pPr>
      <w:rPr>
        <w:rFonts w:ascii="Wingdings" w:hAnsi="Wingdings"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84">
    <w:nsid w:val="65943991"/>
    <w:multiLevelType w:val="hybridMultilevel"/>
    <w:tmpl w:val="4B186702"/>
    <w:lvl w:ilvl="0" w:tplc="040C0005">
      <w:start w:val="1"/>
      <w:numFmt w:val="bullet"/>
      <w:lvlText w:val=""/>
      <w:lvlJc w:val="left"/>
      <w:pPr>
        <w:ind w:left="360" w:hanging="360"/>
      </w:pPr>
      <w:rPr>
        <w:rFonts w:ascii="Wingdings" w:hAnsi="Wingdings" w:hint="default"/>
      </w:rPr>
    </w:lvl>
    <w:lvl w:ilvl="1" w:tplc="040C0019">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5">
    <w:nsid w:val="67E46748"/>
    <w:multiLevelType w:val="hybridMultilevel"/>
    <w:tmpl w:val="EB608706"/>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6">
    <w:nsid w:val="68595A6A"/>
    <w:multiLevelType w:val="multilevel"/>
    <w:tmpl w:val="ACF839C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7">
    <w:nsid w:val="69692B71"/>
    <w:multiLevelType w:val="hybridMultilevel"/>
    <w:tmpl w:val="80164876"/>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8">
    <w:nsid w:val="6B235C3C"/>
    <w:multiLevelType w:val="hybridMultilevel"/>
    <w:tmpl w:val="52CCD9A4"/>
    <w:lvl w:ilvl="0" w:tplc="040C0005">
      <w:start w:val="1"/>
      <w:numFmt w:val="bullet"/>
      <w:lvlText w:val=""/>
      <w:lvlJc w:val="left"/>
      <w:pPr>
        <w:ind w:left="360" w:hanging="360"/>
      </w:pPr>
      <w:rPr>
        <w:rFonts w:ascii="Wingdings" w:hAnsi="Wingdings" w:hint="default"/>
        <w:sz w:val="23"/>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89">
    <w:nsid w:val="6C5F5319"/>
    <w:multiLevelType w:val="hybridMultilevel"/>
    <w:tmpl w:val="5388FF64"/>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0">
    <w:nsid w:val="6CCA4BFF"/>
    <w:multiLevelType w:val="hybridMultilevel"/>
    <w:tmpl w:val="4EFA325A"/>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1">
    <w:nsid w:val="6D052B47"/>
    <w:multiLevelType w:val="hybridMultilevel"/>
    <w:tmpl w:val="F69ECB1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2">
    <w:nsid w:val="6DAD5C5A"/>
    <w:multiLevelType w:val="hybridMultilevel"/>
    <w:tmpl w:val="58288E72"/>
    <w:lvl w:ilvl="0" w:tplc="040C0005">
      <w:start w:val="1"/>
      <w:numFmt w:val="bullet"/>
      <w:lvlText w:val=""/>
      <w:lvlJc w:val="left"/>
      <w:pPr>
        <w:ind w:left="360" w:hanging="360"/>
      </w:pPr>
      <w:rPr>
        <w:rFonts w:ascii="Wingdings" w:hAnsi="Wingdings" w:hint="default"/>
      </w:rPr>
    </w:lvl>
    <w:lvl w:ilvl="1" w:tplc="040C0019">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93">
    <w:nsid w:val="6DE7042F"/>
    <w:multiLevelType w:val="hybridMultilevel"/>
    <w:tmpl w:val="774E5F8C"/>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4">
    <w:nsid w:val="70704D8D"/>
    <w:multiLevelType w:val="hybridMultilevel"/>
    <w:tmpl w:val="CEAAD2F2"/>
    <w:lvl w:ilvl="0" w:tplc="040C0005">
      <w:start w:val="1"/>
      <w:numFmt w:val="bullet"/>
      <w:lvlText w:val=""/>
      <w:lvlJc w:val="left"/>
      <w:pPr>
        <w:ind w:left="1068" w:hanging="360"/>
      </w:pPr>
      <w:rPr>
        <w:rFonts w:ascii="Wingdings" w:hAnsi="Wingding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95">
    <w:nsid w:val="722535E6"/>
    <w:multiLevelType w:val="multilevel"/>
    <w:tmpl w:val="71CE620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6">
    <w:nsid w:val="730559B8"/>
    <w:multiLevelType w:val="hybridMultilevel"/>
    <w:tmpl w:val="3F18D1DC"/>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7">
    <w:nsid w:val="7375178A"/>
    <w:multiLevelType w:val="hybridMultilevel"/>
    <w:tmpl w:val="5F00EC48"/>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98">
    <w:nsid w:val="73E15B70"/>
    <w:multiLevelType w:val="hybridMultilevel"/>
    <w:tmpl w:val="223471A0"/>
    <w:lvl w:ilvl="0" w:tplc="040C000D">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9">
    <w:nsid w:val="756A2B2C"/>
    <w:multiLevelType w:val="hybridMultilevel"/>
    <w:tmpl w:val="EB9425FC"/>
    <w:lvl w:ilvl="0" w:tplc="040C000F">
      <w:start w:val="1"/>
      <w:numFmt w:val="decimal"/>
      <w:lvlText w:val="%1."/>
      <w:lvlJc w:val="left"/>
      <w:pPr>
        <w:ind w:left="360" w:hanging="360"/>
      </w:pPr>
      <w:rPr>
        <w:rFonts w:hint="default"/>
      </w:rPr>
    </w:lvl>
    <w:lvl w:ilvl="1" w:tplc="040C0019">
      <w:start w:val="1"/>
      <w:numFmt w:val="lowerLetter"/>
      <w:lvlText w:val="%2."/>
      <w:lvlJc w:val="left"/>
      <w:pPr>
        <w:ind w:left="1080" w:hanging="360"/>
      </w:pPr>
    </w:lvl>
    <w:lvl w:ilvl="2" w:tplc="040C001B">
      <w:start w:val="1"/>
      <w:numFmt w:val="lowerRoman"/>
      <w:lvlText w:val="%3."/>
      <w:lvlJc w:val="right"/>
      <w:pPr>
        <w:ind w:left="1800" w:hanging="180"/>
      </w:pPr>
    </w:lvl>
    <w:lvl w:ilvl="3" w:tplc="040C000F">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00">
    <w:nsid w:val="75935DAE"/>
    <w:multiLevelType w:val="hybridMultilevel"/>
    <w:tmpl w:val="5D68DC6C"/>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1">
    <w:nsid w:val="77B76727"/>
    <w:multiLevelType w:val="multilevel"/>
    <w:tmpl w:val="AD8AFE8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02">
    <w:nsid w:val="78B15F6B"/>
    <w:multiLevelType w:val="hybridMultilevel"/>
    <w:tmpl w:val="AECAFCDC"/>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3">
    <w:nsid w:val="7969166B"/>
    <w:multiLevelType w:val="multilevel"/>
    <w:tmpl w:val="91D2892A"/>
    <w:lvl w:ilvl="0">
      <w:start w:val="1"/>
      <w:numFmt w:val="bullet"/>
      <w:lvlText w:val=""/>
      <w:lvlJc w:val="left"/>
      <w:pPr>
        <w:ind w:left="360" w:hanging="360"/>
      </w:pPr>
      <w:rPr>
        <w:rFonts w:ascii="Wingdings" w:hAnsi="Wingding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04">
    <w:nsid w:val="796F5E22"/>
    <w:multiLevelType w:val="hybridMultilevel"/>
    <w:tmpl w:val="169CD954"/>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5">
    <w:nsid w:val="7ACA5CC3"/>
    <w:multiLevelType w:val="hybridMultilevel"/>
    <w:tmpl w:val="C234F65E"/>
    <w:lvl w:ilvl="0" w:tplc="040C0005">
      <w:start w:val="1"/>
      <w:numFmt w:val="bullet"/>
      <w:lvlText w:val=""/>
      <w:lvlJc w:val="left"/>
      <w:pPr>
        <w:ind w:left="360" w:hanging="360"/>
      </w:pPr>
      <w:rPr>
        <w:rFonts w:ascii="Wingdings" w:hAnsi="Wingding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6">
    <w:nsid w:val="7C495509"/>
    <w:multiLevelType w:val="hybridMultilevel"/>
    <w:tmpl w:val="ED789D0A"/>
    <w:lvl w:ilvl="0" w:tplc="040C0005">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7">
    <w:nsid w:val="7D4819D0"/>
    <w:multiLevelType w:val="hybridMultilevel"/>
    <w:tmpl w:val="7370093A"/>
    <w:lvl w:ilvl="0" w:tplc="040C0005">
      <w:start w:val="1"/>
      <w:numFmt w:val="bullet"/>
      <w:lvlText w:val=""/>
      <w:lvlJc w:val="left"/>
      <w:pPr>
        <w:ind w:left="1068" w:hanging="360"/>
      </w:pPr>
      <w:rPr>
        <w:rFonts w:ascii="Wingdings" w:hAnsi="Wingdings" w:hint="default"/>
      </w:rPr>
    </w:lvl>
    <w:lvl w:ilvl="1" w:tplc="040C0019" w:tentative="1">
      <w:start w:val="1"/>
      <w:numFmt w:val="lowerLetter"/>
      <w:lvlText w:val="%2."/>
      <w:lvlJc w:val="left"/>
      <w:pPr>
        <w:ind w:left="1788" w:hanging="360"/>
      </w:pPr>
    </w:lvl>
    <w:lvl w:ilvl="2" w:tplc="040C001B" w:tentative="1">
      <w:start w:val="1"/>
      <w:numFmt w:val="lowerRoman"/>
      <w:lvlText w:val="%3."/>
      <w:lvlJc w:val="right"/>
      <w:pPr>
        <w:ind w:left="2508" w:hanging="180"/>
      </w:pPr>
    </w:lvl>
    <w:lvl w:ilvl="3" w:tplc="040C000F" w:tentative="1">
      <w:start w:val="1"/>
      <w:numFmt w:val="decimal"/>
      <w:lvlText w:val="%4."/>
      <w:lvlJc w:val="left"/>
      <w:pPr>
        <w:ind w:left="3228" w:hanging="360"/>
      </w:pPr>
    </w:lvl>
    <w:lvl w:ilvl="4" w:tplc="040C0019" w:tentative="1">
      <w:start w:val="1"/>
      <w:numFmt w:val="lowerLetter"/>
      <w:lvlText w:val="%5."/>
      <w:lvlJc w:val="left"/>
      <w:pPr>
        <w:ind w:left="3948" w:hanging="360"/>
      </w:pPr>
    </w:lvl>
    <w:lvl w:ilvl="5" w:tplc="040C001B" w:tentative="1">
      <w:start w:val="1"/>
      <w:numFmt w:val="lowerRoman"/>
      <w:lvlText w:val="%6."/>
      <w:lvlJc w:val="right"/>
      <w:pPr>
        <w:ind w:left="4668" w:hanging="180"/>
      </w:pPr>
    </w:lvl>
    <w:lvl w:ilvl="6" w:tplc="040C000F" w:tentative="1">
      <w:start w:val="1"/>
      <w:numFmt w:val="decimal"/>
      <w:lvlText w:val="%7."/>
      <w:lvlJc w:val="left"/>
      <w:pPr>
        <w:ind w:left="5388" w:hanging="360"/>
      </w:pPr>
    </w:lvl>
    <w:lvl w:ilvl="7" w:tplc="040C0019" w:tentative="1">
      <w:start w:val="1"/>
      <w:numFmt w:val="lowerLetter"/>
      <w:lvlText w:val="%8."/>
      <w:lvlJc w:val="left"/>
      <w:pPr>
        <w:ind w:left="6108" w:hanging="360"/>
      </w:pPr>
    </w:lvl>
    <w:lvl w:ilvl="8" w:tplc="040C001B" w:tentative="1">
      <w:start w:val="1"/>
      <w:numFmt w:val="lowerRoman"/>
      <w:lvlText w:val="%9."/>
      <w:lvlJc w:val="right"/>
      <w:pPr>
        <w:ind w:left="6828" w:hanging="180"/>
      </w:pPr>
    </w:lvl>
  </w:abstractNum>
  <w:abstractNum w:abstractNumId="108">
    <w:nsid w:val="7E497BB2"/>
    <w:multiLevelType w:val="hybridMultilevel"/>
    <w:tmpl w:val="5968717A"/>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09">
    <w:nsid w:val="7F177063"/>
    <w:multiLevelType w:val="hybridMultilevel"/>
    <w:tmpl w:val="BD0296D2"/>
    <w:lvl w:ilvl="0" w:tplc="040C000D">
      <w:start w:val="1"/>
      <w:numFmt w:val="bullet"/>
      <w:lvlText w:val=""/>
      <w:lvlJc w:val="left"/>
      <w:pPr>
        <w:ind w:left="720" w:hanging="360"/>
      </w:pPr>
      <w:rPr>
        <w:rFonts w:ascii="Wingdings" w:hAnsi="Wingding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0">
    <w:nsid w:val="7FB942FB"/>
    <w:multiLevelType w:val="hybridMultilevel"/>
    <w:tmpl w:val="6A56BF9C"/>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12"/>
  </w:num>
  <w:num w:numId="2">
    <w:abstractNumId w:val="27"/>
  </w:num>
  <w:num w:numId="3">
    <w:abstractNumId w:val="65"/>
  </w:num>
  <w:num w:numId="4">
    <w:abstractNumId w:val="95"/>
  </w:num>
  <w:num w:numId="5">
    <w:abstractNumId w:val="69"/>
  </w:num>
  <w:num w:numId="6">
    <w:abstractNumId w:val="84"/>
  </w:num>
  <w:num w:numId="7">
    <w:abstractNumId w:val="29"/>
  </w:num>
  <w:num w:numId="8">
    <w:abstractNumId w:val="39"/>
  </w:num>
  <w:num w:numId="9">
    <w:abstractNumId w:val="32"/>
  </w:num>
  <w:num w:numId="10">
    <w:abstractNumId w:val="35"/>
  </w:num>
  <w:num w:numId="11">
    <w:abstractNumId w:val="21"/>
  </w:num>
  <w:num w:numId="12">
    <w:abstractNumId w:val="78"/>
  </w:num>
  <w:num w:numId="13">
    <w:abstractNumId w:val="2"/>
  </w:num>
  <w:num w:numId="14">
    <w:abstractNumId w:val="37"/>
  </w:num>
  <w:num w:numId="15">
    <w:abstractNumId w:val="41"/>
  </w:num>
  <w:num w:numId="16">
    <w:abstractNumId w:val="16"/>
  </w:num>
  <w:num w:numId="17">
    <w:abstractNumId w:val="56"/>
  </w:num>
  <w:num w:numId="18">
    <w:abstractNumId w:val="44"/>
  </w:num>
  <w:num w:numId="19">
    <w:abstractNumId w:val="64"/>
  </w:num>
  <w:num w:numId="20">
    <w:abstractNumId w:val="96"/>
  </w:num>
  <w:num w:numId="21">
    <w:abstractNumId w:val="33"/>
  </w:num>
  <w:num w:numId="22">
    <w:abstractNumId w:val="100"/>
  </w:num>
  <w:num w:numId="23">
    <w:abstractNumId w:val="26"/>
  </w:num>
  <w:num w:numId="24">
    <w:abstractNumId w:val="38"/>
  </w:num>
  <w:num w:numId="25">
    <w:abstractNumId w:val="87"/>
  </w:num>
  <w:num w:numId="26">
    <w:abstractNumId w:val="106"/>
  </w:num>
  <w:num w:numId="27">
    <w:abstractNumId w:val="72"/>
  </w:num>
  <w:num w:numId="28">
    <w:abstractNumId w:val="92"/>
  </w:num>
  <w:num w:numId="29">
    <w:abstractNumId w:val="105"/>
  </w:num>
  <w:num w:numId="30">
    <w:abstractNumId w:val="8"/>
  </w:num>
  <w:num w:numId="31">
    <w:abstractNumId w:val="11"/>
  </w:num>
  <w:num w:numId="32">
    <w:abstractNumId w:val="63"/>
  </w:num>
  <w:num w:numId="33">
    <w:abstractNumId w:val="4"/>
  </w:num>
  <w:num w:numId="34">
    <w:abstractNumId w:val="25"/>
  </w:num>
  <w:num w:numId="35">
    <w:abstractNumId w:val="89"/>
  </w:num>
  <w:num w:numId="36">
    <w:abstractNumId w:val="47"/>
  </w:num>
  <w:num w:numId="37">
    <w:abstractNumId w:val="102"/>
  </w:num>
  <w:num w:numId="38">
    <w:abstractNumId w:val="82"/>
  </w:num>
  <w:num w:numId="39">
    <w:abstractNumId w:val="75"/>
  </w:num>
  <w:num w:numId="40">
    <w:abstractNumId w:val="60"/>
  </w:num>
  <w:num w:numId="41">
    <w:abstractNumId w:val="91"/>
  </w:num>
  <w:num w:numId="42">
    <w:abstractNumId w:val="42"/>
  </w:num>
  <w:num w:numId="43">
    <w:abstractNumId w:val="74"/>
  </w:num>
  <w:num w:numId="44">
    <w:abstractNumId w:val="73"/>
  </w:num>
  <w:num w:numId="45">
    <w:abstractNumId w:val="50"/>
  </w:num>
  <w:num w:numId="46">
    <w:abstractNumId w:val="51"/>
  </w:num>
  <w:num w:numId="47">
    <w:abstractNumId w:val="70"/>
  </w:num>
  <w:num w:numId="48">
    <w:abstractNumId w:val="77"/>
  </w:num>
  <w:num w:numId="49">
    <w:abstractNumId w:val="30"/>
  </w:num>
  <w:num w:numId="50">
    <w:abstractNumId w:val="85"/>
  </w:num>
  <w:num w:numId="51">
    <w:abstractNumId w:val="40"/>
  </w:num>
  <w:num w:numId="52">
    <w:abstractNumId w:val="79"/>
  </w:num>
  <w:num w:numId="53">
    <w:abstractNumId w:val="88"/>
  </w:num>
  <w:num w:numId="54">
    <w:abstractNumId w:val="0"/>
  </w:num>
  <w:num w:numId="55">
    <w:abstractNumId w:val="31"/>
  </w:num>
  <w:num w:numId="56">
    <w:abstractNumId w:val="98"/>
  </w:num>
  <w:num w:numId="57">
    <w:abstractNumId w:val="48"/>
  </w:num>
  <w:num w:numId="58">
    <w:abstractNumId w:val="76"/>
  </w:num>
  <w:num w:numId="59">
    <w:abstractNumId w:val="15"/>
  </w:num>
  <w:num w:numId="60">
    <w:abstractNumId w:val="83"/>
  </w:num>
  <w:num w:numId="61">
    <w:abstractNumId w:val="43"/>
  </w:num>
  <w:num w:numId="62">
    <w:abstractNumId w:val="80"/>
  </w:num>
  <w:num w:numId="63">
    <w:abstractNumId w:val="97"/>
  </w:num>
  <w:num w:numId="64">
    <w:abstractNumId w:val="10"/>
  </w:num>
  <w:num w:numId="65">
    <w:abstractNumId w:val="24"/>
  </w:num>
  <w:num w:numId="66">
    <w:abstractNumId w:val="1"/>
  </w:num>
  <w:num w:numId="67">
    <w:abstractNumId w:val="5"/>
  </w:num>
  <w:num w:numId="68">
    <w:abstractNumId w:val="57"/>
  </w:num>
  <w:num w:numId="69">
    <w:abstractNumId w:val="109"/>
  </w:num>
  <w:num w:numId="70">
    <w:abstractNumId w:val="46"/>
  </w:num>
  <w:num w:numId="71">
    <w:abstractNumId w:val="14"/>
  </w:num>
  <w:num w:numId="72">
    <w:abstractNumId w:val="13"/>
  </w:num>
  <w:num w:numId="73">
    <w:abstractNumId w:val="110"/>
  </w:num>
  <w:num w:numId="74">
    <w:abstractNumId w:val="99"/>
  </w:num>
  <w:num w:numId="75">
    <w:abstractNumId w:val="18"/>
  </w:num>
  <w:num w:numId="76">
    <w:abstractNumId w:val="23"/>
  </w:num>
  <w:num w:numId="77">
    <w:abstractNumId w:val="36"/>
  </w:num>
  <w:num w:numId="78">
    <w:abstractNumId w:val="101"/>
  </w:num>
  <w:num w:numId="79">
    <w:abstractNumId w:val="7"/>
  </w:num>
  <w:num w:numId="80">
    <w:abstractNumId w:val="34"/>
  </w:num>
  <w:num w:numId="81">
    <w:abstractNumId w:val="86"/>
  </w:num>
  <w:num w:numId="82">
    <w:abstractNumId w:val="52"/>
  </w:num>
  <w:num w:numId="83">
    <w:abstractNumId w:val="66"/>
  </w:num>
  <w:num w:numId="84">
    <w:abstractNumId w:val="104"/>
  </w:num>
  <w:num w:numId="85">
    <w:abstractNumId w:val="67"/>
  </w:num>
  <w:num w:numId="86">
    <w:abstractNumId w:val="54"/>
  </w:num>
  <w:num w:numId="87">
    <w:abstractNumId w:val="93"/>
  </w:num>
  <w:num w:numId="88">
    <w:abstractNumId w:val="53"/>
  </w:num>
  <w:num w:numId="89">
    <w:abstractNumId w:val="28"/>
  </w:num>
  <w:num w:numId="90">
    <w:abstractNumId w:val="55"/>
  </w:num>
  <w:num w:numId="91">
    <w:abstractNumId w:val="59"/>
  </w:num>
  <w:num w:numId="92">
    <w:abstractNumId w:val="19"/>
  </w:num>
  <w:num w:numId="93">
    <w:abstractNumId w:val="9"/>
  </w:num>
  <w:num w:numId="94">
    <w:abstractNumId w:val="81"/>
  </w:num>
  <w:num w:numId="95">
    <w:abstractNumId w:val="68"/>
  </w:num>
  <w:num w:numId="96">
    <w:abstractNumId w:val="107"/>
  </w:num>
  <w:num w:numId="97">
    <w:abstractNumId w:val="17"/>
  </w:num>
  <w:num w:numId="98">
    <w:abstractNumId w:val="20"/>
  </w:num>
  <w:num w:numId="99">
    <w:abstractNumId w:val="108"/>
  </w:num>
  <w:num w:numId="100">
    <w:abstractNumId w:val="94"/>
  </w:num>
  <w:num w:numId="101">
    <w:abstractNumId w:val="45"/>
  </w:num>
  <w:num w:numId="102">
    <w:abstractNumId w:val="58"/>
  </w:num>
  <w:num w:numId="103">
    <w:abstractNumId w:val="90"/>
  </w:num>
  <w:num w:numId="104">
    <w:abstractNumId w:val="61"/>
  </w:num>
  <w:num w:numId="105">
    <w:abstractNumId w:val="49"/>
  </w:num>
  <w:num w:numId="106">
    <w:abstractNumId w:val="62"/>
  </w:num>
  <w:num w:numId="107">
    <w:abstractNumId w:val="103"/>
  </w:num>
  <w:num w:numId="108">
    <w:abstractNumId w:val="3"/>
  </w:num>
  <w:num w:numId="109">
    <w:abstractNumId w:val="22"/>
  </w:num>
  <w:num w:numId="110">
    <w:abstractNumId w:val="6"/>
  </w:num>
  <w:num w:numId="111">
    <w:abstractNumId w:val="71"/>
  </w:num>
  <w:numIdMacAtCleanup w:val="1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D89"/>
    <w:rsid w:val="000013DC"/>
    <w:rsid w:val="000017A5"/>
    <w:rsid w:val="0000538F"/>
    <w:rsid w:val="000077E3"/>
    <w:rsid w:val="000103C7"/>
    <w:rsid w:val="000126D2"/>
    <w:rsid w:val="000139B2"/>
    <w:rsid w:val="00017F9E"/>
    <w:rsid w:val="000213E0"/>
    <w:rsid w:val="000327F9"/>
    <w:rsid w:val="00032C2F"/>
    <w:rsid w:val="0003358C"/>
    <w:rsid w:val="00033D18"/>
    <w:rsid w:val="00034D08"/>
    <w:rsid w:val="00035CFF"/>
    <w:rsid w:val="0003636A"/>
    <w:rsid w:val="00036FAD"/>
    <w:rsid w:val="00040322"/>
    <w:rsid w:val="00046EEC"/>
    <w:rsid w:val="00051B38"/>
    <w:rsid w:val="00052FAA"/>
    <w:rsid w:val="00054A9E"/>
    <w:rsid w:val="00055544"/>
    <w:rsid w:val="00056EA7"/>
    <w:rsid w:val="00062F92"/>
    <w:rsid w:val="00065EFA"/>
    <w:rsid w:val="00074796"/>
    <w:rsid w:val="0007619C"/>
    <w:rsid w:val="000772A2"/>
    <w:rsid w:val="00084F74"/>
    <w:rsid w:val="000940CC"/>
    <w:rsid w:val="00097674"/>
    <w:rsid w:val="00097980"/>
    <w:rsid w:val="000B228D"/>
    <w:rsid w:val="000B441B"/>
    <w:rsid w:val="000B5473"/>
    <w:rsid w:val="000B74A6"/>
    <w:rsid w:val="000C14C7"/>
    <w:rsid w:val="000C15E2"/>
    <w:rsid w:val="000C2FCC"/>
    <w:rsid w:val="000C3784"/>
    <w:rsid w:val="000C6374"/>
    <w:rsid w:val="000C67C0"/>
    <w:rsid w:val="000D1374"/>
    <w:rsid w:val="000D1EDC"/>
    <w:rsid w:val="000D5FA5"/>
    <w:rsid w:val="000D640D"/>
    <w:rsid w:val="000E01BC"/>
    <w:rsid w:val="000E574C"/>
    <w:rsid w:val="000F033D"/>
    <w:rsid w:val="000F03B8"/>
    <w:rsid w:val="000F2265"/>
    <w:rsid w:val="000F2403"/>
    <w:rsid w:val="000F2728"/>
    <w:rsid w:val="000F2A99"/>
    <w:rsid w:val="000F5A63"/>
    <w:rsid w:val="000F64A8"/>
    <w:rsid w:val="000F73E9"/>
    <w:rsid w:val="0010279D"/>
    <w:rsid w:val="00104798"/>
    <w:rsid w:val="0010688D"/>
    <w:rsid w:val="00111186"/>
    <w:rsid w:val="00111454"/>
    <w:rsid w:val="0011574E"/>
    <w:rsid w:val="00117752"/>
    <w:rsid w:val="001178BB"/>
    <w:rsid w:val="00117B88"/>
    <w:rsid w:val="00120BD6"/>
    <w:rsid w:val="00127C8F"/>
    <w:rsid w:val="001302EE"/>
    <w:rsid w:val="0013040C"/>
    <w:rsid w:val="0013238F"/>
    <w:rsid w:val="00136BBF"/>
    <w:rsid w:val="00137E94"/>
    <w:rsid w:val="001400A0"/>
    <w:rsid w:val="00141591"/>
    <w:rsid w:val="00142284"/>
    <w:rsid w:val="0015006E"/>
    <w:rsid w:val="00153E52"/>
    <w:rsid w:val="00155AB8"/>
    <w:rsid w:val="00155AC9"/>
    <w:rsid w:val="001564C5"/>
    <w:rsid w:val="0016028B"/>
    <w:rsid w:val="001605A4"/>
    <w:rsid w:val="00160A77"/>
    <w:rsid w:val="00163DC5"/>
    <w:rsid w:val="00164A24"/>
    <w:rsid w:val="001672D1"/>
    <w:rsid w:val="00170FB3"/>
    <w:rsid w:val="0017134B"/>
    <w:rsid w:val="00175211"/>
    <w:rsid w:val="00177856"/>
    <w:rsid w:val="001800FA"/>
    <w:rsid w:val="00184AB6"/>
    <w:rsid w:val="00186386"/>
    <w:rsid w:val="00186A46"/>
    <w:rsid w:val="001870FD"/>
    <w:rsid w:val="001914FF"/>
    <w:rsid w:val="00192276"/>
    <w:rsid w:val="00194167"/>
    <w:rsid w:val="00195653"/>
    <w:rsid w:val="001A2994"/>
    <w:rsid w:val="001B0DDA"/>
    <w:rsid w:val="001B38AD"/>
    <w:rsid w:val="001B40B5"/>
    <w:rsid w:val="001B7D43"/>
    <w:rsid w:val="001C6C8F"/>
    <w:rsid w:val="001C76BC"/>
    <w:rsid w:val="001C7B98"/>
    <w:rsid w:val="001D1300"/>
    <w:rsid w:val="001D2179"/>
    <w:rsid w:val="001D484B"/>
    <w:rsid w:val="001D552D"/>
    <w:rsid w:val="001D57AD"/>
    <w:rsid w:val="001D6916"/>
    <w:rsid w:val="001E046A"/>
    <w:rsid w:val="001E2DB9"/>
    <w:rsid w:val="001E2F3F"/>
    <w:rsid w:val="002054EA"/>
    <w:rsid w:val="00206142"/>
    <w:rsid w:val="0020635F"/>
    <w:rsid w:val="0021053E"/>
    <w:rsid w:val="002163B8"/>
    <w:rsid w:val="00216A1D"/>
    <w:rsid w:val="00217983"/>
    <w:rsid w:val="00217A8B"/>
    <w:rsid w:val="00220FDF"/>
    <w:rsid w:val="00222EC3"/>
    <w:rsid w:val="00223463"/>
    <w:rsid w:val="00227EE6"/>
    <w:rsid w:val="002306DB"/>
    <w:rsid w:val="00231001"/>
    <w:rsid w:val="00234B28"/>
    <w:rsid w:val="00240F62"/>
    <w:rsid w:val="002429C8"/>
    <w:rsid w:val="00245DF4"/>
    <w:rsid w:val="00246143"/>
    <w:rsid w:val="00251818"/>
    <w:rsid w:val="002523B6"/>
    <w:rsid w:val="002560F3"/>
    <w:rsid w:val="002617A7"/>
    <w:rsid w:val="002650E2"/>
    <w:rsid w:val="00266310"/>
    <w:rsid w:val="00271504"/>
    <w:rsid w:val="00271EDE"/>
    <w:rsid w:val="002753E9"/>
    <w:rsid w:val="0028196B"/>
    <w:rsid w:val="00282BDB"/>
    <w:rsid w:val="0028371A"/>
    <w:rsid w:val="00283DE5"/>
    <w:rsid w:val="00285C4E"/>
    <w:rsid w:val="00286CA0"/>
    <w:rsid w:val="00292C96"/>
    <w:rsid w:val="00292FD1"/>
    <w:rsid w:val="002A3DE5"/>
    <w:rsid w:val="002A5D7A"/>
    <w:rsid w:val="002A6763"/>
    <w:rsid w:val="002B3A14"/>
    <w:rsid w:val="002B4127"/>
    <w:rsid w:val="002C0A20"/>
    <w:rsid w:val="002C0C58"/>
    <w:rsid w:val="002D2A65"/>
    <w:rsid w:val="002D49AE"/>
    <w:rsid w:val="002E239B"/>
    <w:rsid w:val="002E3A74"/>
    <w:rsid w:val="002E3CA1"/>
    <w:rsid w:val="002E54D9"/>
    <w:rsid w:val="002E5DEB"/>
    <w:rsid w:val="002E6D93"/>
    <w:rsid w:val="002E7FDC"/>
    <w:rsid w:val="002F088D"/>
    <w:rsid w:val="002F18CC"/>
    <w:rsid w:val="002F1A40"/>
    <w:rsid w:val="002F2DCF"/>
    <w:rsid w:val="002F48B8"/>
    <w:rsid w:val="002F55C9"/>
    <w:rsid w:val="003044E1"/>
    <w:rsid w:val="0030746A"/>
    <w:rsid w:val="003078DD"/>
    <w:rsid w:val="00310656"/>
    <w:rsid w:val="003106BB"/>
    <w:rsid w:val="003108E3"/>
    <w:rsid w:val="00313A4F"/>
    <w:rsid w:val="0031438E"/>
    <w:rsid w:val="00317BE5"/>
    <w:rsid w:val="003213C9"/>
    <w:rsid w:val="00323A9C"/>
    <w:rsid w:val="00330B41"/>
    <w:rsid w:val="003358E7"/>
    <w:rsid w:val="00335A2F"/>
    <w:rsid w:val="00336945"/>
    <w:rsid w:val="0033707B"/>
    <w:rsid w:val="00337CE2"/>
    <w:rsid w:val="003410F2"/>
    <w:rsid w:val="00342A98"/>
    <w:rsid w:val="00346A11"/>
    <w:rsid w:val="003519F7"/>
    <w:rsid w:val="00351C4A"/>
    <w:rsid w:val="00353A78"/>
    <w:rsid w:val="0035496B"/>
    <w:rsid w:val="00354F6F"/>
    <w:rsid w:val="00360689"/>
    <w:rsid w:val="00361331"/>
    <w:rsid w:val="003624F0"/>
    <w:rsid w:val="003667E7"/>
    <w:rsid w:val="00366D8D"/>
    <w:rsid w:val="0037047C"/>
    <w:rsid w:val="0037619B"/>
    <w:rsid w:val="0038299D"/>
    <w:rsid w:val="0039318F"/>
    <w:rsid w:val="003934C5"/>
    <w:rsid w:val="003A6742"/>
    <w:rsid w:val="003A69F6"/>
    <w:rsid w:val="003A71C8"/>
    <w:rsid w:val="003B439A"/>
    <w:rsid w:val="003B59D3"/>
    <w:rsid w:val="003C204A"/>
    <w:rsid w:val="003C55D0"/>
    <w:rsid w:val="003D320E"/>
    <w:rsid w:val="003D481D"/>
    <w:rsid w:val="003D6371"/>
    <w:rsid w:val="003E1162"/>
    <w:rsid w:val="003E6B60"/>
    <w:rsid w:val="003E7067"/>
    <w:rsid w:val="003F0F60"/>
    <w:rsid w:val="003F29CB"/>
    <w:rsid w:val="003F2F2E"/>
    <w:rsid w:val="003F3018"/>
    <w:rsid w:val="003F3B74"/>
    <w:rsid w:val="003F5941"/>
    <w:rsid w:val="003F6630"/>
    <w:rsid w:val="003F72FE"/>
    <w:rsid w:val="00400BB4"/>
    <w:rsid w:val="00401175"/>
    <w:rsid w:val="00403597"/>
    <w:rsid w:val="00404A72"/>
    <w:rsid w:val="004050A1"/>
    <w:rsid w:val="004078E6"/>
    <w:rsid w:val="00410D5D"/>
    <w:rsid w:val="00415E8F"/>
    <w:rsid w:val="0042019D"/>
    <w:rsid w:val="00420280"/>
    <w:rsid w:val="00421684"/>
    <w:rsid w:val="00422492"/>
    <w:rsid w:val="004241D6"/>
    <w:rsid w:val="004247CF"/>
    <w:rsid w:val="00425078"/>
    <w:rsid w:val="00442FE1"/>
    <w:rsid w:val="004527CF"/>
    <w:rsid w:val="004528A1"/>
    <w:rsid w:val="00453A08"/>
    <w:rsid w:val="00454FB1"/>
    <w:rsid w:val="004555A0"/>
    <w:rsid w:val="00455971"/>
    <w:rsid w:val="00466DE6"/>
    <w:rsid w:val="004735F7"/>
    <w:rsid w:val="00473BFF"/>
    <w:rsid w:val="00481263"/>
    <w:rsid w:val="00482841"/>
    <w:rsid w:val="00487A94"/>
    <w:rsid w:val="004908C6"/>
    <w:rsid w:val="00495D42"/>
    <w:rsid w:val="004974CF"/>
    <w:rsid w:val="004A33A0"/>
    <w:rsid w:val="004A6882"/>
    <w:rsid w:val="004A6997"/>
    <w:rsid w:val="004B2318"/>
    <w:rsid w:val="004B2F8B"/>
    <w:rsid w:val="004B592E"/>
    <w:rsid w:val="004B5BD2"/>
    <w:rsid w:val="004B5F2E"/>
    <w:rsid w:val="004C012F"/>
    <w:rsid w:val="004C1C47"/>
    <w:rsid w:val="004C37AB"/>
    <w:rsid w:val="004C430E"/>
    <w:rsid w:val="004C540B"/>
    <w:rsid w:val="004D2238"/>
    <w:rsid w:val="004D2B1F"/>
    <w:rsid w:val="004E2F97"/>
    <w:rsid w:val="004E3A8A"/>
    <w:rsid w:val="004E4216"/>
    <w:rsid w:val="004E55B1"/>
    <w:rsid w:val="004E5E26"/>
    <w:rsid w:val="004F3052"/>
    <w:rsid w:val="004F4785"/>
    <w:rsid w:val="004F52BD"/>
    <w:rsid w:val="004F5B43"/>
    <w:rsid w:val="004F5BF6"/>
    <w:rsid w:val="004F5D8E"/>
    <w:rsid w:val="004F60CF"/>
    <w:rsid w:val="005021B2"/>
    <w:rsid w:val="00504C25"/>
    <w:rsid w:val="00507358"/>
    <w:rsid w:val="00510F75"/>
    <w:rsid w:val="005140A3"/>
    <w:rsid w:val="005142D0"/>
    <w:rsid w:val="005143F0"/>
    <w:rsid w:val="00516D12"/>
    <w:rsid w:val="005178ED"/>
    <w:rsid w:val="00520196"/>
    <w:rsid w:val="00522139"/>
    <w:rsid w:val="005229B9"/>
    <w:rsid w:val="00530BF8"/>
    <w:rsid w:val="00534889"/>
    <w:rsid w:val="00534D6A"/>
    <w:rsid w:val="005365B2"/>
    <w:rsid w:val="00536D72"/>
    <w:rsid w:val="00536EA8"/>
    <w:rsid w:val="00550974"/>
    <w:rsid w:val="0055350B"/>
    <w:rsid w:val="00561CCD"/>
    <w:rsid w:val="0056205D"/>
    <w:rsid w:val="0056387C"/>
    <w:rsid w:val="005655E1"/>
    <w:rsid w:val="00572A4A"/>
    <w:rsid w:val="00574F8E"/>
    <w:rsid w:val="00576F81"/>
    <w:rsid w:val="005844E0"/>
    <w:rsid w:val="00585D4F"/>
    <w:rsid w:val="0059258D"/>
    <w:rsid w:val="00592C25"/>
    <w:rsid w:val="00594683"/>
    <w:rsid w:val="0059603C"/>
    <w:rsid w:val="00597284"/>
    <w:rsid w:val="00597748"/>
    <w:rsid w:val="005A1969"/>
    <w:rsid w:val="005A1CF9"/>
    <w:rsid w:val="005A571F"/>
    <w:rsid w:val="005A6397"/>
    <w:rsid w:val="005B4927"/>
    <w:rsid w:val="005B6238"/>
    <w:rsid w:val="005C01B3"/>
    <w:rsid w:val="005C2CE2"/>
    <w:rsid w:val="005C475E"/>
    <w:rsid w:val="005D1B32"/>
    <w:rsid w:val="005D29E9"/>
    <w:rsid w:val="005D4AFF"/>
    <w:rsid w:val="005D5A42"/>
    <w:rsid w:val="005D5AC4"/>
    <w:rsid w:val="005E4864"/>
    <w:rsid w:val="005E655F"/>
    <w:rsid w:val="005F5A6D"/>
    <w:rsid w:val="00600EF9"/>
    <w:rsid w:val="00607123"/>
    <w:rsid w:val="00611028"/>
    <w:rsid w:val="0061244B"/>
    <w:rsid w:val="006135DB"/>
    <w:rsid w:val="00613E13"/>
    <w:rsid w:val="00616482"/>
    <w:rsid w:val="00616C9F"/>
    <w:rsid w:val="0062112E"/>
    <w:rsid w:val="00621F1B"/>
    <w:rsid w:val="006222EF"/>
    <w:rsid w:val="006226B9"/>
    <w:rsid w:val="00624CDC"/>
    <w:rsid w:val="00626C1E"/>
    <w:rsid w:val="00627173"/>
    <w:rsid w:val="0063169B"/>
    <w:rsid w:val="00634C71"/>
    <w:rsid w:val="006435D4"/>
    <w:rsid w:val="00643ACE"/>
    <w:rsid w:val="006465A1"/>
    <w:rsid w:val="006513CE"/>
    <w:rsid w:val="00651794"/>
    <w:rsid w:val="006546C5"/>
    <w:rsid w:val="006618AC"/>
    <w:rsid w:val="00666088"/>
    <w:rsid w:val="00667CB9"/>
    <w:rsid w:val="00674270"/>
    <w:rsid w:val="00676455"/>
    <w:rsid w:val="0068364E"/>
    <w:rsid w:val="00683F87"/>
    <w:rsid w:val="00685878"/>
    <w:rsid w:val="00685B2D"/>
    <w:rsid w:val="0068623E"/>
    <w:rsid w:val="00696EFB"/>
    <w:rsid w:val="006A071B"/>
    <w:rsid w:val="006B1A20"/>
    <w:rsid w:val="006B2B94"/>
    <w:rsid w:val="006B3880"/>
    <w:rsid w:val="006B63D9"/>
    <w:rsid w:val="006B672B"/>
    <w:rsid w:val="006C72EF"/>
    <w:rsid w:val="006D01CF"/>
    <w:rsid w:val="006D0EDB"/>
    <w:rsid w:val="006D1810"/>
    <w:rsid w:val="006D1C0A"/>
    <w:rsid w:val="006D3665"/>
    <w:rsid w:val="006D523C"/>
    <w:rsid w:val="006D71AA"/>
    <w:rsid w:val="006E0E0C"/>
    <w:rsid w:val="006E1D65"/>
    <w:rsid w:val="006E545A"/>
    <w:rsid w:val="006E652A"/>
    <w:rsid w:val="006F2560"/>
    <w:rsid w:val="006F4B4E"/>
    <w:rsid w:val="00700BF2"/>
    <w:rsid w:val="007069D4"/>
    <w:rsid w:val="007104E7"/>
    <w:rsid w:val="007121A3"/>
    <w:rsid w:val="00713437"/>
    <w:rsid w:val="00716082"/>
    <w:rsid w:val="00720087"/>
    <w:rsid w:val="00721E7E"/>
    <w:rsid w:val="00730840"/>
    <w:rsid w:val="0073294B"/>
    <w:rsid w:val="00734A9A"/>
    <w:rsid w:val="00740953"/>
    <w:rsid w:val="00741C3C"/>
    <w:rsid w:val="0074349D"/>
    <w:rsid w:val="00744829"/>
    <w:rsid w:val="00744F1E"/>
    <w:rsid w:val="007450C3"/>
    <w:rsid w:val="007462D2"/>
    <w:rsid w:val="0075199F"/>
    <w:rsid w:val="00752A84"/>
    <w:rsid w:val="00752EA5"/>
    <w:rsid w:val="007544D4"/>
    <w:rsid w:val="00754E45"/>
    <w:rsid w:val="00754F0E"/>
    <w:rsid w:val="007651B3"/>
    <w:rsid w:val="0076522C"/>
    <w:rsid w:val="00766F76"/>
    <w:rsid w:val="00771DE5"/>
    <w:rsid w:val="00771DFC"/>
    <w:rsid w:val="00776350"/>
    <w:rsid w:val="00777B75"/>
    <w:rsid w:val="00780C12"/>
    <w:rsid w:val="00785797"/>
    <w:rsid w:val="00785AA7"/>
    <w:rsid w:val="0079015E"/>
    <w:rsid w:val="007A4F88"/>
    <w:rsid w:val="007A76B7"/>
    <w:rsid w:val="007B089F"/>
    <w:rsid w:val="007B11DB"/>
    <w:rsid w:val="007B36A3"/>
    <w:rsid w:val="007B486A"/>
    <w:rsid w:val="007C0112"/>
    <w:rsid w:val="007C0586"/>
    <w:rsid w:val="007C0E33"/>
    <w:rsid w:val="007D17ED"/>
    <w:rsid w:val="007D4D60"/>
    <w:rsid w:val="007E0288"/>
    <w:rsid w:val="007E07DB"/>
    <w:rsid w:val="007E0BB0"/>
    <w:rsid w:val="007E32CD"/>
    <w:rsid w:val="007E4DAC"/>
    <w:rsid w:val="007E6D5A"/>
    <w:rsid w:val="007F450E"/>
    <w:rsid w:val="007F57BE"/>
    <w:rsid w:val="007F7E9A"/>
    <w:rsid w:val="00803F33"/>
    <w:rsid w:val="00804E55"/>
    <w:rsid w:val="0080596D"/>
    <w:rsid w:val="00806411"/>
    <w:rsid w:val="008129E9"/>
    <w:rsid w:val="008134F5"/>
    <w:rsid w:val="00821F0E"/>
    <w:rsid w:val="00825EB0"/>
    <w:rsid w:val="0083138A"/>
    <w:rsid w:val="00831EC3"/>
    <w:rsid w:val="00833071"/>
    <w:rsid w:val="008340D8"/>
    <w:rsid w:val="00834617"/>
    <w:rsid w:val="00836DED"/>
    <w:rsid w:val="00842C38"/>
    <w:rsid w:val="00843F83"/>
    <w:rsid w:val="00843FC2"/>
    <w:rsid w:val="00844D73"/>
    <w:rsid w:val="00850215"/>
    <w:rsid w:val="008562F3"/>
    <w:rsid w:val="008650D7"/>
    <w:rsid w:val="0087010D"/>
    <w:rsid w:val="00876592"/>
    <w:rsid w:val="008839B9"/>
    <w:rsid w:val="00886E6E"/>
    <w:rsid w:val="00896852"/>
    <w:rsid w:val="008A0191"/>
    <w:rsid w:val="008A2DF6"/>
    <w:rsid w:val="008A3E9E"/>
    <w:rsid w:val="008A4131"/>
    <w:rsid w:val="008A5243"/>
    <w:rsid w:val="008A6647"/>
    <w:rsid w:val="008C65B0"/>
    <w:rsid w:val="008C7DD7"/>
    <w:rsid w:val="008D1DB8"/>
    <w:rsid w:val="008D79CC"/>
    <w:rsid w:val="008E0C09"/>
    <w:rsid w:val="008E2D45"/>
    <w:rsid w:val="008E6252"/>
    <w:rsid w:val="008E7A1F"/>
    <w:rsid w:val="008F73F1"/>
    <w:rsid w:val="00901954"/>
    <w:rsid w:val="00903D01"/>
    <w:rsid w:val="00904625"/>
    <w:rsid w:val="009078FF"/>
    <w:rsid w:val="00912392"/>
    <w:rsid w:val="0091276F"/>
    <w:rsid w:val="0091423A"/>
    <w:rsid w:val="0091460F"/>
    <w:rsid w:val="009172FA"/>
    <w:rsid w:val="00920258"/>
    <w:rsid w:val="009208EE"/>
    <w:rsid w:val="00926BD4"/>
    <w:rsid w:val="00927491"/>
    <w:rsid w:val="009327C1"/>
    <w:rsid w:val="00937DB2"/>
    <w:rsid w:val="00940C28"/>
    <w:rsid w:val="00944E8E"/>
    <w:rsid w:val="00945D47"/>
    <w:rsid w:val="00950C05"/>
    <w:rsid w:val="00952404"/>
    <w:rsid w:val="00957AC2"/>
    <w:rsid w:val="00960A33"/>
    <w:rsid w:val="0096111C"/>
    <w:rsid w:val="00962C41"/>
    <w:rsid w:val="00963874"/>
    <w:rsid w:val="0096459D"/>
    <w:rsid w:val="009649C6"/>
    <w:rsid w:val="009656DE"/>
    <w:rsid w:val="00965B88"/>
    <w:rsid w:val="0096613A"/>
    <w:rsid w:val="00966B93"/>
    <w:rsid w:val="00973463"/>
    <w:rsid w:val="0097727D"/>
    <w:rsid w:val="00977CFD"/>
    <w:rsid w:val="0098070C"/>
    <w:rsid w:val="00980D34"/>
    <w:rsid w:val="00980F6A"/>
    <w:rsid w:val="00981410"/>
    <w:rsid w:val="009817B8"/>
    <w:rsid w:val="009836E5"/>
    <w:rsid w:val="009856A3"/>
    <w:rsid w:val="00987FCC"/>
    <w:rsid w:val="009901F3"/>
    <w:rsid w:val="009919D8"/>
    <w:rsid w:val="00991A15"/>
    <w:rsid w:val="009925BF"/>
    <w:rsid w:val="00993504"/>
    <w:rsid w:val="009935ED"/>
    <w:rsid w:val="0099370E"/>
    <w:rsid w:val="009955F8"/>
    <w:rsid w:val="009977DE"/>
    <w:rsid w:val="009A029C"/>
    <w:rsid w:val="009A175D"/>
    <w:rsid w:val="009A54F6"/>
    <w:rsid w:val="009A560F"/>
    <w:rsid w:val="009B686A"/>
    <w:rsid w:val="009C077B"/>
    <w:rsid w:val="009C0D79"/>
    <w:rsid w:val="009C345E"/>
    <w:rsid w:val="009C5CE7"/>
    <w:rsid w:val="009C67A0"/>
    <w:rsid w:val="009C79D1"/>
    <w:rsid w:val="009D3348"/>
    <w:rsid w:val="009D339B"/>
    <w:rsid w:val="009D75A2"/>
    <w:rsid w:val="009E3992"/>
    <w:rsid w:val="009E399F"/>
    <w:rsid w:val="009E3BA0"/>
    <w:rsid w:val="009E3C4E"/>
    <w:rsid w:val="009E707B"/>
    <w:rsid w:val="009F7816"/>
    <w:rsid w:val="00A00341"/>
    <w:rsid w:val="00A00470"/>
    <w:rsid w:val="00A0401B"/>
    <w:rsid w:val="00A102C0"/>
    <w:rsid w:val="00A12E1A"/>
    <w:rsid w:val="00A17219"/>
    <w:rsid w:val="00A22497"/>
    <w:rsid w:val="00A27901"/>
    <w:rsid w:val="00A27DC4"/>
    <w:rsid w:val="00A3099F"/>
    <w:rsid w:val="00A30C8C"/>
    <w:rsid w:val="00A43813"/>
    <w:rsid w:val="00A45A56"/>
    <w:rsid w:val="00A47BBC"/>
    <w:rsid w:val="00A54476"/>
    <w:rsid w:val="00A54FC4"/>
    <w:rsid w:val="00A55F26"/>
    <w:rsid w:val="00A60A80"/>
    <w:rsid w:val="00A65F11"/>
    <w:rsid w:val="00A7416F"/>
    <w:rsid w:val="00A7421F"/>
    <w:rsid w:val="00A759A3"/>
    <w:rsid w:val="00A773D3"/>
    <w:rsid w:val="00A82B4F"/>
    <w:rsid w:val="00A85C5F"/>
    <w:rsid w:val="00A9046F"/>
    <w:rsid w:val="00A97407"/>
    <w:rsid w:val="00A97663"/>
    <w:rsid w:val="00AA342A"/>
    <w:rsid w:val="00AA4650"/>
    <w:rsid w:val="00AA535A"/>
    <w:rsid w:val="00AB0B0C"/>
    <w:rsid w:val="00AB2D90"/>
    <w:rsid w:val="00AB5973"/>
    <w:rsid w:val="00AB7ED6"/>
    <w:rsid w:val="00AC2046"/>
    <w:rsid w:val="00AC367D"/>
    <w:rsid w:val="00AC4F28"/>
    <w:rsid w:val="00AC5252"/>
    <w:rsid w:val="00AC56F1"/>
    <w:rsid w:val="00AC5BEF"/>
    <w:rsid w:val="00AC7B50"/>
    <w:rsid w:val="00AD04E1"/>
    <w:rsid w:val="00AD5603"/>
    <w:rsid w:val="00AD6924"/>
    <w:rsid w:val="00AE065C"/>
    <w:rsid w:val="00AE2384"/>
    <w:rsid w:val="00AE4548"/>
    <w:rsid w:val="00AE7185"/>
    <w:rsid w:val="00AF1842"/>
    <w:rsid w:val="00AF2F00"/>
    <w:rsid w:val="00AF3178"/>
    <w:rsid w:val="00AF3B0E"/>
    <w:rsid w:val="00AF54F2"/>
    <w:rsid w:val="00B0117C"/>
    <w:rsid w:val="00B01AF7"/>
    <w:rsid w:val="00B05789"/>
    <w:rsid w:val="00B112EE"/>
    <w:rsid w:val="00B12FB8"/>
    <w:rsid w:val="00B13B10"/>
    <w:rsid w:val="00B15B0B"/>
    <w:rsid w:val="00B15B9D"/>
    <w:rsid w:val="00B16FA0"/>
    <w:rsid w:val="00B23556"/>
    <w:rsid w:val="00B24DD6"/>
    <w:rsid w:val="00B259D6"/>
    <w:rsid w:val="00B264FD"/>
    <w:rsid w:val="00B26C6E"/>
    <w:rsid w:val="00B32FB0"/>
    <w:rsid w:val="00B35CBE"/>
    <w:rsid w:val="00B366B0"/>
    <w:rsid w:val="00B42999"/>
    <w:rsid w:val="00B42D95"/>
    <w:rsid w:val="00B456C2"/>
    <w:rsid w:val="00B4695B"/>
    <w:rsid w:val="00B4782C"/>
    <w:rsid w:val="00B54701"/>
    <w:rsid w:val="00B5516C"/>
    <w:rsid w:val="00B639C9"/>
    <w:rsid w:val="00B63B07"/>
    <w:rsid w:val="00B6709D"/>
    <w:rsid w:val="00B67446"/>
    <w:rsid w:val="00B717A5"/>
    <w:rsid w:val="00B74A24"/>
    <w:rsid w:val="00B777D9"/>
    <w:rsid w:val="00B82D55"/>
    <w:rsid w:val="00B83BE7"/>
    <w:rsid w:val="00B84312"/>
    <w:rsid w:val="00B84A2C"/>
    <w:rsid w:val="00B85A95"/>
    <w:rsid w:val="00B905D7"/>
    <w:rsid w:val="00B94F52"/>
    <w:rsid w:val="00BA1BC4"/>
    <w:rsid w:val="00BB1BAF"/>
    <w:rsid w:val="00BB6476"/>
    <w:rsid w:val="00BC252F"/>
    <w:rsid w:val="00BC2A5C"/>
    <w:rsid w:val="00BC6DD8"/>
    <w:rsid w:val="00BC6E90"/>
    <w:rsid w:val="00BD0D89"/>
    <w:rsid w:val="00BD2D4B"/>
    <w:rsid w:val="00BD2E13"/>
    <w:rsid w:val="00BD4A65"/>
    <w:rsid w:val="00BD572F"/>
    <w:rsid w:val="00BD78CC"/>
    <w:rsid w:val="00BD7B96"/>
    <w:rsid w:val="00BD7F7B"/>
    <w:rsid w:val="00BE7A19"/>
    <w:rsid w:val="00BF1D6D"/>
    <w:rsid w:val="00BF3126"/>
    <w:rsid w:val="00BF3393"/>
    <w:rsid w:val="00BF3B17"/>
    <w:rsid w:val="00C0133D"/>
    <w:rsid w:val="00C03291"/>
    <w:rsid w:val="00C0668D"/>
    <w:rsid w:val="00C1454A"/>
    <w:rsid w:val="00C15864"/>
    <w:rsid w:val="00C15D98"/>
    <w:rsid w:val="00C16533"/>
    <w:rsid w:val="00C21AB1"/>
    <w:rsid w:val="00C22474"/>
    <w:rsid w:val="00C229C9"/>
    <w:rsid w:val="00C27B83"/>
    <w:rsid w:val="00C34A27"/>
    <w:rsid w:val="00C352A7"/>
    <w:rsid w:val="00C35611"/>
    <w:rsid w:val="00C35792"/>
    <w:rsid w:val="00C40365"/>
    <w:rsid w:val="00C41889"/>
    <w:rsid w:val="00C43256"/>
    <w:rsid w:val="00C43BA9"/>
    <w:rsid w:val="00C46293"/>
    <w:rsid w:val="00C47E18"/>
    <w:rsid w:val="00C507A4"/>
    <w:rsid w:val="00C517FD"/>
    <w:rsid w:val="00C51AA2"/>
    <w:rsid w:val="00C53319"/>
    <w:rsid w:val="00C53392"/>
    <w:rsid w:val="00C63E2B"/>
    <w:rsid w:val="00C64E36"/>
    <w:rsid w:val="00C6715A"/>
    <w:rsid w:val="00C67F60"/>
    <w:rsid w:val="00C76995"/>
    <w:rsid w:val="00C77A2E"/>
    <w:rsid w:val="00C81F0A"/>
    <w:rsid w:val="00C833EB"/>
    <w:rsid w:val="00C84EDD"/>
    <w:rsid w:val="00C8791B"/>
    <w:rsid w:val="00C93356"/>
    <w:rsid w:val="00C95613"/>
    <w:rsid w:val="00C95B64"/>
    <w:rsid w:val="00C9620E"/>
    <w:rsid w:val="00C96BEF"/>
    <w:rsid w:val="00CA029D"/>
    <w:rsid w:val="00CA06DF"/>
    <w:rsid w:val="00CA081E"/>
    <w:rsid w:val="00CA2A1B"/>
    <w:rsid w:val="00CA5369"/>
    <w:rsid w:val="00CA6592"/>
    <w:rsid w:val="00CB476D"/>
    <w:rsid w:val="00CB538C"/>
    <w:rsid w:val="00CB6974"/>
    <w:rsid w:val="00CC78F6"/>
    <w:rsid w:val="00CD0E41"/>
    <w:rsid w:val="00CD3352"/>
    <w:rsid w:val="00CD63A2"/>
    <w:rsid w:val="00CD76CD"/>
    <w:rsid w:val="00CE66CF"/>
    <w:rsid w:val="00CF1572"/>
    <w:rsid w:val="00CF2AC8"/>
    <w:rsid w:val="00CF3CD3"/>
    <w:rsid w:val="00CF6169"/>
    <w:rsid w:val="00CF6B22"/>
    <w:rsid w:val="00CF6E45"/>
    <w:rsid w:val="00CF72A5"/>
    <w:rsid w:val="00CF7C04"/>
    <w:rsid w:val="00D003CB"/>
    <w:rsid w:val="00D03C6E"/>
    <w:rsid w:val="00D04D60"/>
    <w:rsid w:val="00D170BE"/>
    <w:rsid w:val="00D217E9"/>
    <w:rsid w:val="00D26F88"/>
    <w:rsid w:val="00D2716B"/>
    <w:rsid w:val="00D364D5"/>
    <w:rsid w:val="00D460E5"/>
    <w:rsid w:val="00D515D6"/>
    <w:rsid w:val="00D526E6"/>
    <w:rsid w:val="00D527C5"/>
    <w:rsid w:val="00D54A49"/>
    <w:rsid w:val="00D56471"/>
    <w:rsid w:val="00D56EEC"/>
    <w:rsid w:val="00D5753A"/>
    <w:rsid w:val="00D60C49"/>
    <w:rsid w:val="00D700AD"/>
    <w:rsid w:val="00D7096C"/>
    <w:rsid w:val="00D70A3A"/>
    <w:rsid w:val="00D73BB1"/>
    <w:rsid w:val="00D7580D"/>
    <w:rsid w:val="00D81C34"/>
    <w:rsid w:val="00D90125"/>
    <w:rsid w:val="00D906B1"/>
    <w:rsid w:val="00D9258A"/>
    <w:rsid w:val="00D94534"/>
    <w:rsid w:val="00D9586F"/>
    <w:rsid w:val="00D9589E"/>
    <w:rsid w:val="00DA1D26"/>
    <w:rsid w:val="00DA4412"/>
    <w:rsid w:val="00DA750F"/>
    <w:rsid w:val="00DB7798"/>
    <w:rsid w:val="00DB797E"/>
    <w:rsid w:val="00DC1D95"/>
    <w:rsid w:val="00DC1EC7"/>
    <w:rsid w:val="00DC29E3"/>
    <w:rsid w:val="00DC4749"/>
    <w:rsid w:val="00DC7D27"/>
    <w:rsid w:val="00DD0298"/>
    <w:rsid w:val="00DD2697"/>
    <w:rsid w:val="00DD4489"/>
    <w:rsid w:val="00DE2D2B"/>
    <w:rsid w:val="00DE39C4"/>
    <w:rsid w:val="00DE3D7D"/>
    <w:rsid w:val="00DE5190"/>
    <w:rsid w:val="00DE5CF0"/>
    <w:rsid w:val="00DE758A"/>
    <w:rsid w:val="00DF23FE"/>
    <w:rsid w:val="00DF27C9"/>
    <w:rsid w:val="00DF5EB5"/>
    <w:rsid w:val="00DF7E59"/>
    <w:rsid w:val="00E06484"/>
    <w:rsid w:val="00E1128C"/>
    <w:rsid w:val="00E13223"/>
    <w:rsid w:val="00E209B6"/>
    <w:rsid w:val="00E22E66"/>
    <w:rsid w:val="00E2355E"/>
    <w:rsid w:val="00E23B44"/>
    <w:rsid w:val="00E26584"/>
    <w:rsid w:val="00E3098C"/>
    <w:rsid w:val="00E32348"/>
    <w:rsid w:val="00E3452F"/>
    <w:rsid w:val="00E34656"/>
    <w:rsid w:val="00E4248D"/>
    <w:rsid w:val="00E4251F"/>
    <w:rsid w:val="00E468BF"/>
    <w:rsid w:val="00E46BB4"/>
    <w:rsid w:val="00E575B8"/>
    <w:rsid w:val="00E67D19"/>
    <w:rsid w:val="00E71C47"/>
    <w:rsid w:val="00E80BB4"/>
    <w:rsid w:val="00E91ADA"/>
    <w:rsid w:val="00E9261B"/>
    <w:rsid w:val="00E9334F"/>
    <w:rsid w:val="00E93E95"/>
    <w:rsid w:val="00E944F4"/>
    <w:rsid w:val="00EA1414"/>
    <w:rsid w:val="00EA430D"/>
    <w:rsid w:val="00EA5478"/>
    <w:rsid w:val="00EB00FC"/>
    <w:rsid w:val="00EB0903"/>
    <w:rsid w:val="00EB1DF2"/>
    <w:rsid w:val="00EB1FD3"/>
    <w:rsid w:val="00EB2626"/>
    <w:rsid w:val="00EB4A28"/>
    <w:rsid w:val="00EC0FC5"/>
    <w:rsid w:val="00EC2222"/>
    <w:rsid w:val="00EC3DB8"/>
    <w:rsid w:val="00EC543B"/>
    <w:rsid w:val="00EC5CB9"/>
    <w:rsid w:val="00EC6364"/>
    <w:rsid w:val="00ED18FA"/>
    <w:rsid w:val="00ED1AE6"/>
    <w:rsid w:val="00ED3F10"/>
    <w:rsid w:val="00ED5286"/>
    <w:rsid w:val="00ED671C"/>
    <w:rsid w:val="00ED7956"/>
    <w:rsid w:val="00EE3B8A"/>
    <w:rsid w:val="00EE47D5"/>
    <w:rsid w:val="00EE5AB5"/>
    <w:rsid w:val="00EF1F3D"/>
    <w:rsid w:val="00EF7771"/>
    <w:rsid w:val="00EF7912"/>
    <w:rsid w:val="00F00710"/>
    <w:rsid w:val="00F03E0A"/>
    <w:rsid w:val="00F0657E"/>
    <w:rsid w:val="00F11990"/>
    <w:rsid w:val="00F11B61"/>
    <w:rsid w:val="00F17F66"/>
    <w:rsid w:val="00F20C6F"/>
    <w:rsid w:val="00F257E4"/>
    <w:rsid w:val="00F264AE"/>
    <w:rsid w:val="00F26721"/>
    <w:rsid w:val="00F3145B"/>
    <w:rsid w:val="00F34918"/>
    <w:rsid w:val="00F4656A"/>
    <w:rsid w:val="00F47185"/>
    <w:rsid w:val="00F7326D"/>
    <w:rsid w:val="00F76A62"/>
    <w:rsid w:val="00F80C74"/>
    <w:rsid w:val="00F81055"/>
    <w:rsid w:val="00F812E1"/>
    <w:rsid w:val="00F83BD5"/>
    <w:rsid w:val="00F85FFE"/>
    <w:rsid w:val="00F86893"/>
    <w:rsid w:val="00F926BF"/>
    <w:rsid w:val="00F95227"/>
    <w:rsid w:val="00FA1407"/>
    <w:rsid w:val="00FA46D6"/>
    <w:rsid w:val="00FB462B"/>
    <w:rsid w:val="00FB47EF"/>
    <w:rsid w:val="00FB60BE"/>
    <w:rsid w:val="00FC00C8"/>
    <w:rsid w:val="00FC3A8E"/>
    <w:rsid w:val="00FC4407"/>
    <w:rsid w:val="00FC5915"/>
    <w:rsid w:val="00FD2E8B"/>
    <w:rsid w:val="00FD2F5F"/>
    <w:rsid w:val="00FD6E16"/>
    <w:rsid w:val="00FE2CF3"/>
    <w:rsid w:val="00FE31D8"/>
    <w:rsid w:val="00FE4C2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34D62"/>
  <w15:docId w15:val="{8C631848-13CF-4581-857C-7CB59F1B7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C0C58"/>
  </w:style>
  <w:style w:type="paragraph" w:styleId="Titre1">
    <w:name w:val="heading 1"/>
    <w:basedOn w:val="Normal"/>
    <w:next w:val="Normal"/>
    <w:link w:val="Titre1Car"/>
    <w:uiPriority w:val="9"/>
    <w:qFormat/>
    <w:rsid w:val="00EB4A28"/>
    <w:pPr>
      <w:keepNext/>
      <w:keepLines/>
      <w:spacing w:before="240" w:after="240"/>
      <w:jc w:val="both"/>
      <w:outlineLvl w:val="0"/>
    </w:pPr>
    <w:rPr>
      <w:rFonts w:ascii="Calibri" w:eastAsia="Times New Roman" w:hAnsi="Calibri" w:cs="Times New Roman"/>
      <w:b/>
      <w:bCs/>
      <w:caps/>
      <w:color w:val="388135"/>
      <w:sz w:val="32"/>
      <w:szCs w:val="32"/>
    </w:rPr>
  </w:style>
  <w:style w:type="paragraph" w:styleId="Titre2">
    <w:name w:val="heading 2"/>
    <w:basedOn w:val="Normal"/>
    <w:next w:val="Normal"/>
    <w:link w:val="Titre2Car"/>
    <w:uiPriority w:val="9"/>
    <w:unhideWhenUsed/>
    <w:qFormat/>
    <w:rsid w:val="003C55D0"/>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itre3">
    <w:name w:val="heading 3"/>
    <w:basedOn w:val="Normal"/>
    <w:next w:val="Normal"/>
    <w:link w:val="Titre3Car"/>
    <w:uiPriority w:val="9"/>
    <w:unhideWhenUsed/>
    <w:qFormat/>
    <w:rsid w:val="004527CF"/>
    <w:pPr>
      <w:keepNext/>
      <w:keepLines/>
      <w:spacing w:before="40" w:after="0" w:line="240" w:lineRule="auto"/>
      <w:outlineLvl w:val="2"/>
    </w:pPr>
    <w:rPr>
      <w:rFonts w:asciiTheme="majorHAnsi" w:eastAsiaTheme="majorEastAsia" w:hAnsiTheme="majorHAnsi" w:cstheme="majorBidi"/>
      <w:color w:val="243F60" w:themeColor="accent1" w:themeShade="7F"/>
      <w:sz w:val="24"/>
      <w:szCs w:val="24"/>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D0D8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Standard">
    <w:name w:val="Standard"/>
    <w:uiPriority w:val="99"/>
    <w:rsid w:val="00EA5478"/>
    <w:pPr>
      <w:widowControl w:val="0"/>
      <w:suppressAutoHyphens/>
    </w:pPr>
    <w:rPr>
      <w:rFonts w:ascii="Times New Roman" w:eastAsia="SimSun" w:hAnsi="Times New Roman" w:cs="Mangal"/>
      <w:color w:val="00000A"/>
      <w:sz w:val="24"/>
      <w:szCs w:val="24"/>
      <w:lang w:eastAsia="zh-CN" w:bidi="hi-IN"/>
    </w:rPr>
  </w:style>
  <w:style w:type="paragraph" w:styleId="Paragraphedeliste">
    <w:name w:val="List Paragraph"/>
    <w:aliases w:val="texte,Paragraphe 2,Puce,AB List 1,Bullet Points,U 5,Glossaire,liste de tableaux,Titre1,Farbige Liste - Akzent 11,Bioforce zListePuce,L_4,Bullets,References,Numbered List Paragraph,ReferencesCxSpLast,Paragraphe de liste11,List bullet"/>
    <w:basedOn w:val="Normal"/>
    <w:link w:val="ParagraphedelisteCar"/>
    <w:uiPriority w:val="34"/>
    <w:qFormat/>
    <w:rsid w:val="00E67D19"/>
    <w:pPr>
      <w:ind w:left="720"/>
      <w:contextualSpacing/>
    </w:pPr>
  </w:style>
  <w:style w:type="paragraph" w:customStyle="1" w:styleId="Default">
    <w:name w:val="Default"/>
    <w:rsid w:val="00592C25"/>
    <w:pPr>
      <w:autoSpaceDE w:val="0"/>
      <w:autoSpaceDN w:val="0"/>
      <w:adjustRightInd w:val="0"/>
      <w:spacing w:after="0" w:line="240" w:lineRule="auto"/>
    </w:pPr>
    <w:rPr>
      <w:rFonts w:ascii="Arial" w:hAnsi="Arial" w:cs="Arial"/>
      <w:color w:val="000000"/>
      <w:sz w:val="24"/>
      <w:szCs w:val="24"/>
    </w:rPr>
  </w:style>
  <w:style w:type="paragraph" w:styleId="Notedebasdepage">
    <w:name w:val="footnote text"/>
    <w:aliases w:val=" Car Car,single space,Car Car Car, Car,Car,footnote text,fn,FOOTNOTES,Footnote TextCSR,ALTS FOOTNOTE,Fodnotetekst Tegn,footnote text Char,Fodnotetekst Tegn Char,single space Char,footnote text Char Char Char,Fodnotetekst Tegn Char1,f"/>
    <w:basedOn w:val="Normal"/>
    <w:link w:val="NotedebasdepageCar"/>
    <w:unhideWhenUsed/>
    <w:qFormat/>
    <w:rsid w:val="00120BD6"/>
    <w:pPr>
      <w:spacing w:after="0" w:line="240" w:lineRule="auto"/>
    </w:pPr>
    <w:rPr>
      <w:sz w:val="20"/>
      <w:szCs w:val="20"/>
    </w:rPr>
  </w:style>
  <w:style w:type="character" w:customStyle="1" w:styleId="NotedebasdepageCar">
    <w:name w:val="Note de bas de page Car"/>
    <w:aliases w:val=" Car Car Car,single space Car,Car Car Car Car, Car Car1,Car Car,footnote text Car,fn Car,FOOTNOTES Car,Footnote TextCSR Car,ALTS FOOTNOTE Car,Fodnotetekst Tegn Car,footnote text Char Car,Fodnotetekst Tegn Char Car,f Car"/>
    <w:basedOn w:val="Policepardfaut"/>
    <w:link w:val="Notedebasdepage"/>
    <w:rsid w:val="00120BD6"/>
    <w:rPr>
      <w:sz w:val="20"/>
      <w:szCs w:val="20"/>
    </w:rPr>
  </w:style>
  <w:style w:type="character" w:styleId="Appelnotedebasdep">
    <w:name w:val="footnote reference"/>
    <w:aliases w:val="ftref,16 Point,Superscript 6 Point, Car Car Char Car Char Car Car Char Car Char Char, Car Car Car Car Car Car Car Car Char Car Car Char Car Car Car Char Car Char Char Char,Car Car Char Car Char Car Car Char Car Char Char,SUPERS"/>
    <w:basedOn w:val="Policepardfaut"/>
    <w:link w:val="ftrefCar1CarCar"/>
    <w:uiPriority w:val="99"/>
    <w:unhideWhenUsed/>
    <w:qFormat/>
    <w:rsid w:val="00120BD6"/>
    <w:rPr>
      <w:vertAlign w:val="superscript"/>
    </w:rPr>
  </w:style>
  <w:style w:type="paragraph" w:styleId="Textedebulles">
    <w:name w:val="Balloon Text"/>
    <w:basedOn w:val="Normal"/>
    <w:link w:val="TextedebullesCar"/>
    <w:uiPriority w:val="99"/>
    <w:semiHidden/>
    <w:unhideWhenUsed/>
    <w:rsid w:val="00C0668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0668D"/>
    <w:rPr>
      <w:rFonts w:ascii="Tahoma" w:hAnsi="Tahoma" w:cs="Tahoma"/>
      <w:sz w:val="16"/>
      <w:szCs w:val="16"/>
    </w:rPr>
  </w:style>
  <w:style w:type="character" w:customStyle="1" w:styleId="Titre1Car">
    <w:name w:val="Titre 1 Car"/>
    <w:basedOn w:val="Policepardfaut"/>
    <w:link w:val="Titre1"/>
    <w:rsid w:val="00EB4A28"/>
    <w:rPr>
      <w:rFonts w:ascii="Calibri" w:eastAsia="Times New Roman" w:hAnsi="Calibri" w:cs="Times New Roman"/>
      <w:b/>
      <w:bCs/>
      <w:caps/>
      <w:color w:val="388135"/>
      <w:sz w:val="32"/>
      <w:szCs w:val="32"/>
    </w:rPr>
  </w:style>
  <w:style w:type="paragraph" w:customStyle="1" w:styleId="ftrefCar1CarCar">
    <w:name w:val="ftref Car1 Car Car"/>
    <w:aliases w:val="16 Point Car1 Car Car,Superscript 6 Point Car1 Car Car,Car Car Char Car Char Car Car Char Car Char Char Car1 Car Car,BVI fnr,R, BVI fnr Car Car"/>
    <w:basedOn w:val="Normal"/>
    <w:next w:val="Normal"/>
    <w:link w:val="Appelnotedebasdep"/>
    <w:uiPriority w:val="99"/>
    <w:rsid w:val="00EB4A28"/>
    <w:pPr>
      <w:spacing w:after="0" w:line="240" w:lineRule="auto"/>
      <w:jc w:val="both"/>
    </w:pPr>
    <w:rPr>
      <w:vertAlign w:val="superscript"/>
    </w:rPr>
  </w:style>
  <w:style w:type="character" w:styleId="Lienhypertexte">
    <w:name w:val="Hyperlink"/>
    <w:basedOn w:val="Policepardfaut"/>
    <w:uiPriority w:val="99"/>
    <w:unhideWhenUsed/>
    <w:rsid w:val="00EB4A28"/>
    <w:rPr>
      <w:color w:val="0000FF" w:themeColor="hyperlink"/>
      <w:u w:val="single"/>
    </w:rPr>
  </w:style>
  <w:style w:type="character" w:customStyle="1" w:styleId="st1">
    <w:name w:val="st1"/>
    <w:basedOn w:val="Policepardfaut"/>
    <w:rsid w:val="00EB4A28"/>
  </w:style>
  <w:style w:type="paragraph" w:customStyle="1" w:styleId="T2">
    <w:name w:val="T2"/>
    <w:basedOn w:val="Normal"/>
    <w:link w:val="T2Car"/>
    <w:qFormat/>
    <w:rsid w:val="00DD2697"/>
    <w:pPr>
      <w:ind w:firstLine="567"/>
    </w:pPr>
    <w:rPr>
      <w:rFonts w:ascii="Arial" w:hAnsi="Arial" w:cs="Arial"/>
      <w:b/>
      <w:i/>
    </w:rPr>
  </w:style>
  <w:style w:type="character" w:customStyle="1" w:styleId="T2Car">
    <w:name w:val="T2 Car"/>
    <w:basedOn w:val="Policepardfaut"/>
    <w:link w:val="T2"/>
    <w:rsid w:val="00DD2697"/>
    <w:rPr>
      <w:rFonts w:ascii="Arial" w:hAnsi="Arial" w:cs="Arial"/>
      <w:b/>
      <w:i/>
    </w:rPr>
  </w:style>
  <w:style w:type="character" w:customStyle="1" w:styleId="Titre2Car">
    <w:name w:val="Titre 2 Car"/>
    <w:basedOn w:val="Policepardfaut"/>
    <w:link w:val="Titre2"/>
    <w:uiPriority w:val="9"/>
    <w:rsid w:val="003C55D0"/>
    <w:rPr>
      <w:rFonts w:asciiTheme="majorHAnsi" w:eastAsiaTheme="majorEastAsia" w:hAnsiTheme="majorHAnsi" w:cstheme="majorBidi"/>
      <w:color w:val="365F91" w:themeColor="accent1" w:themeShade="BF"/>
      <w:sz w:val="26"/>
      <w:szCs w:val="26"/>
    </w:rPr>
  </w:style>
  <w:style w:type="character" w:styleId="Marquedecommentaire">
    <w:name w:val="annotation reference"/>
    <w:basedOn w:val="Policepardfaut"/>
    <w:uiPriority w:val="99"/>
    <w:semiHidden/>
    <w:unhideWhenUsed/>
    <w:rsid w:val="002F2DCF"/>
    <w:rPr>
      <w:sz w:val="16"/>
      <w:szCs w:val="16"/>
    </w:rPr>
  </w:style>
  <w:style w:type="paragraph" w:styleId="Commentaire">
    <w:name w:val="annotation text"/>
    <w:basedOn w:val="Normal"/>
    <w:link w:val="CommentaireCar"/>
    <w:uiPriority w:val="99"/>
    <w:semiHidden/>
    <w:unhideWhenUsed/>
    <w:rsid w:val="002F2DCF"/>
    <w:pPr>
      <w:spacing w:line="240" w:lineRule="auto"/>
    </w:pPr>
    <w:rPr>
      <w:sz w:val="20"/>
      <w:szCs w:val="20"/>
    </w:rPr>
  </w:style>
  <w:style w:type="character" w:customStyle="1" w:styleId="CommentaireCar">
    <w:name w:val="Commentaire Car"/>
    <w:basedOn w:val="Policepardfaut"/>
    <w:link w:val="Commentaire"/>
    <w:uiPriority w:val="99"/>
    <w:semiHidden/>
    <w:rsid w:val="002F2DCF"/>
    <w:rPr>
      <w:sz w:val="20"/>
      <w:szCs w:val="20"/>
    </w:rPr>
  </w:style>
  <w:style w:type="paragraph" w:styleId="Objetducommentaire">
    <w:name w:val="annotation subject"/>
    <w:basedOn w:val="Commentaire"/>
    <w:next w:val="Commentaire"/>
    <w:link w:val="ObjetducommentaireCar"/>
    <w:uiPriority w:val="99"/>
    <w:semiHidden/>
    <w:unhideWhenUsed/>
    <w:rsid w:val="002F2DCF"/>
    <w:rPr>
      <w:b/>
      <w:bCs/>
    </w:rPr>
  </w:style>
  <w:style w:type="character" w:customStyle="1" w:styleId="ObjetducommentaireCar">
    <w:name w:val="Objet du commentaire Car"/>
    <w:basedOn w:val="CommentaireCar"/>
    <w:link w:val="Objetducommentaire"/>
    <w:uiPriority w:val="99"/>
    <w:semiHidden/>
    <w:rsid w:val="002F2DCF"/>
    <w:rPr>
      <w:b/>
      <w:bCs/>
      <w:sz w:val="20"/>
      <w:szCs w:val="20"/>
    </w:rPr>
  </w:style>
  <w:style w:type="paragraph" w:styleId="Lgende">
    <w:name w:val="caption"/>
    <w:basedOn w:val="Normal"/>
    <w:next w:val="Normal"/>
    <w:qFormat/>
    <w:rsid w:val="00481263"/>
    <w:pPr>
      <w:autoSpaceDE w:val="0"/>
      <w:autoSpaceDN w:val="0"/>
      <w:adjustRightInd w:val="0"/>
      <w:spacing w:before="120" w:after="0" w:line="240" w:lineRule="auto"/>
      <w:jc w:val="both"/>
    </w:pPr>
    <w:rPr>
      <w:rFonts w:ascii="Verdana" w:eastAsia="Calibri" w:hAnsi="Verdana" w:cs="Verdana"/>
      <w:sz w:val="24"/>
      <w:szCs w:val="24"/>
      <w:lang w:val="en-US"/>
    </w:rPr>
  </w:style>
  <w:style w:type="character" w:customStyle="1" w:styleId="ParagraphedelisteCar">
    <w:name w:val="Paragraphe de liste Car"/>
    <w:aliases w:val="texte Car,Paragraphe 2 Car,Puce Car,AB List 1 Car,Bullet Points Car,U 5 Car,Glossaire Car,liste de tableaux Car,Titre1 Car,Farbige Liste - Akzent 11 Car,Bioforce zListePuce Car,L_4 Car,Bullets Car,References Car,List bullet Car"/>
    <w:link w:val="Paragraphedeliste"/>
    <w:uiPriority w:val="34"/>
    <w:qFormat/>
    <w:rsid w:val="00346A11"/>
  </w:style>
  <w:style w:type="character" w:customStyle="1" w:styleId="Titre3Car">
    <w:name w:val="Titre 3 Car"/>
    <w:basedOn w:val="Policepardfaut"/>
    <w:link w:val="Titre3"/>
    <w:uiPriority w:val="9"/>
    <w:rsid w:val="004527CF"/>
    <w:rPr>
      <w:rFonts w:asciiTheme="majorHAnsi" w:eastAsiaTheme="majorEastAsia" w:hAnsiTheme="majorHAnsi" w:cstheme="majorBidi"/>
      <w:color w:val="243F60" w:themeColor="accent1" w:themeShade="7F"/>
      <w:sz w:val="24"/>
      <w:szCs w:val="24"/>
      <w:lang w:eastAsia="fr-FR"/>
    </w:rPr>
  </w:style>
  <w:style w:type="paragraph" w:styleId="NormalWeb">
    <w:name w:val="Normal (Web)"/>
    <w:basedOn w:val="Normal"/>
    <w:uiPriority w:val="99"/>
    <w:semiHidden/>
    <w:unhideWhenUsed/>
    <w:rsid w:val="004527CF"/>
    <w:pPr>
      <w:spacing w:after="0" w:line="240" w:lineRule="auto"/>
    </w:pPr>
    <w:rPr>
      <w:rFonts w:ascii="Times New Roman" w:hAnsi="Times New Roman" w:cs="Times New Roman"/>
      <w:sz w:val="24"/>
      <w:szCs w:val="24"/>
      <w:lang w:eastAsia="fr-FR"/>
    </w:rPr>
  </w:style>
  <w:style w:type="character" w:customStyle="1" w:styleId="5yl5">
    <w:name w:val="_5yl5"/>
    <w:basedOn w:val="Policepardfaut"/>
    <w:rsid w:val="004527CF"/>
  </w:style>
  <w:style w:type="paragraph" w:styleId="Pieddepage">
    <w:name w:val="footer"/>
    <w:basedOn w:val="Normal"/>
    <w:link w:val="PieddepageCar"/>
    <w:uiPriority w:val="99"/>
    <w:unhideWhenUsed/>
    <w:rsid w:val="004527C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527CF"/>
  </w:style>
  <w:style w:type="paragraph" w:styleId="Sous-titre">
    <w:name w:val="Subtitle"/>
    <w:basedOn w:val="Normal"/>
    <w:next w:val="Normal"/>
    <w:link w:val="Sous-titreCar"/>
    <w:uiPriority w:val="11"/>
    <w:qFormat/>
    <w:rsid w:val="004527CF"/>
    <w:pPr>
      <w:keepNext/>
      <w:numPr>
        <w:ilvl w:val="1"/>
      </w:numPr>
      <w:spacing w:after="160"/>
      <w:jc w:val="both"/>
    </w:pPr>
    <w:rPr>
      <w:rFonts w:ascii="Calibri" w:eastAsia="Times New Roman" w:hAnsi="Calibri" w:cs="Times New Roman"/>
      <w:b/>
      <w:bCs/>
      <w:color w:val="5A5A5A"/>
    </w:rPr>
  </w:style>
  <w:style w:type="character" w:customStyle="1" w:styleId="Sous-titreCar">
    <w:name w:val="Sous-titre Car"/>
    <w:basedOn w:val="Policepardfaut"/>
    <w:link w:val="Sous-titre"/>
    <w:uiPriority w:val="11"/>
    <w:rsid w:val="004527CF"/>
    <w:rPr>
      <w:rFonts w:ascii="Calibri" w:eastAsia="Times New Roman" w:hAnsi="Calibri" w:cs="Times New Roman"/>
      <w:b/>
      <w:bCs/>
      <w:color w:val="5A5A5A"/>
    </w:rPr>
  </w:style>
  <w:style w:type="paragraph" w:customStyle="1" w:styleId="Figuresource">
    <w:name w:val="Figure source"/>
    <w:basedOn w:val="Normal"/>
    <w:qFormat/>
    <w:rsid w:val="004527CF"/>
    <w:pPr>
      <w:spacing w:after="0"/>
      <w:jc w:val="both"/>
    </w:pPr>
    <w:rPr>
      <w:rFonts w:ascii="Calibri" w:eastAsia="Calibri" w:hAnsi="Calibri" w:cs="Times New Roman"/>
      <w:color w:val="595959"/>
      <w:szCs w:val="24"/>
    </w:rPr>
  </w:style>
  <w:style w:type="paragraph" w:customStyle="1" w:styleId="BVIfnrCarCar1Car">
    <w:name w:val="BVI fnr Car Car1 Car"/>
    <w:aliases w:val="BVI fnr Car Car Car1, BVI fnr Car Car Car Car Car, BVI fnr Car Car Car Car Char Car Car Car Car, BVI fnr Car Car Car Car Char Char Car Car Car,BVI fnr Car Car Car Car Car,BVI fnr Car Car Car Car Char Car Car Car Car"/>
    <w:basedOn w:val="Normal"/>
    <w:uiPriority w:val="99"/>
    <w:rsid w:val="004527CF"/>
    <w:pPr>
      <w:spacing w:after="160" w:line="240" w:lineRule="exact"/>
      <w:jc w:val="both"/>
    </w:pPr>
    <w:rPr>
      <w:sz w:val="24"/>
      <w:szCs w:val="24"/>
      <w:vertAlign w:val="superscript"/>
    </w:rPr>
  </w:style>
  <w:style w:type="paragraph" w:styleId="En-tte">
    <w:name w:val="header"/>
    <w:basedOn w:val="Normal"/>
    <w:link w:val="En-tteCar"/>
    <w:unhideWhenUsed/>
    <w:rsid w:val="004527CF"/>
    <w:pPr>
      <w:tabs>
        <w:tab w:val="center" w:pos="4536"/>
        <w:tab w:val="right" w:pos="9072"/>
      </w:tabs>
      <w:spacing w:after="0" w:line="240" w:lineRule="auto"/>
    </w:pPr>
    <w:rPr>
      <w:rFonts w:ascii="Calibri" w:hAnsi="Calibri" w:cs="Times New Roman"/>
      <w:lang w:eastAsia="fr-FR"/>
    </w:rPr>
  </w:style>
  <w:style w:type="character" w:customStyle="1" w:styleId="En-tteCar">
    <w:name w:val="En-tête Car"/>
    <w:basedOn w:val="Policepardfaut"/>
    <w:link w:val="En-tte"/>
    <w:rsid w:val="004527CF"/>
    <w:rPr>
      <w:rFonts w:ascii="Calibri" w:hAnsi="Calibri" w:cs="Times New Roman"/>
      <w:lang w:eastAsia="fr-FR"/>
    </w:rPr>
  </w:style>
  <w:style w:type="paragraph" w:styleId="En-ttedetabledesmatires">
    <w:name w:val="TOC Heading"/>
    <w:basedOn w:val="Titre1"/>
    <w:next w:val="Normal"/>
    <w:uiPriority w:val="39"/>
    <w:unhideWhenUsed/>
    <w:qFormat/>
    <w:rsid w:val="004527CF"/>
    <w:pPr>
      <w:spacing w:after="0" w:line="259" w:lineRule="auto"/>
      <w:jc w:val="left"/>
      <w:outlineLvl w:val="9"/>
    </w:pPr>
    <w:rPr>
      <w:rFonts w:asciiTheme="majorHAnsi" w:eastAsiaTheme="majorEastAsia" w:hAnsiTheme="majorHAnsi" w:cstheme="majorBidi"/>
      <w:b w:val="0"/>
      <w:bCs w:val="0"/>
      <w:caps w:val="0"/>
      <w:color w:val="365F91" w:themeColor="accent1" w:themeShade="BF"/>
      <w:lang w:eastAsia="fr-FR"/>
    </w:rPr>
  </w:style>
  <w:style w:type="paragraph" w:styleId="TM2">
    <w:name w:val="toc 2"/>
    <w:basedOn w:val="Normal"/>
    <w:next w:val="Normal"/>
    <w:autoRedefine/>
    <w:uiPriority w:val="39"/>
    <w:unhideWhenUsed/>
    <w:rsid w:val="004527CF"/>
    <w:pPr>
      <w:spacing w:after="100" w:line="240" w:lineRule="auto"/>
      <w:ind w:left="220"/>
    </w:pPr>
    <w:rPr>
      <w:rFonts w:ascii="Calibri" w:hAnsi="Calibri" w:cs="Times New Roman"/>
      <w:lang w:eastAsia="fr-FR"/>
    </w:rPr>
  </w:style>
  <w:style w:type="paragraph" w:styleId="TM1">
    <w:name w:val="toc 1"/>
    <w:basedOn w:val="Normal"/>
    <w:next w:val="Normal"/>
    <w:autoRedefine/>
    <w:uiPriority w:val="39"/>
    <w:unhideWhenUsed/>
    <w:rsid w:val="004527CF"/>
    <w:pPr>
      <w:spacing w:after="100" w:line="240" w:lineRule="auto"/>
    </w:pPr>
    <w:rPr>
      <w:rFonts w:ascii="Calibri" w:hAnsi="Calibri" w:cs="Times New Roman"/>
      <w:lang w:eastAsia="fr-FR"/>
    </w:rPr>
  </w:style>
  <w:style w:type="paragraph" w:styleId="TM3">
    <w:name w:val="toc 3"/>
    <w:basedOn w:val="Normal"/>
    <w:next w:val="Normal"/>
    <w:autoRedefine/>
    <w:uiPriority w:val="39"/>
    <w:unhideWhenUsed/>
    <w:rsid w:val="004527CF"/>
    <w:pPr>
      <w:tabs>
        <w:tab w:val="left" w:pos="880"/>
        <w:tab w:val="right" w:leader="dot" w:pos="9062"/>
      </w:tabs>
      <w:spacing w:after="100" w:line="240" w:lineRule="auto"/>
      <w:ind w:left="440"/>
    </w:pPr>
    <w:rPr>
      <w:rFonts w:ascii="Calibri" w:hAnsi="Calibri" w:cs="Times New Roman"/>
      <w:lang w:eastAsia="fr-FR"/>
    </w:rPr>
  </w:style>
  <w:style w:type="paragraph" w:customStyle="1" w:styleId="Paragraphe1">
    <w:name w:val="Paragraphe1"/>
    <w:basedOn w:val="Normal"/>
    <w:qFormat/>
    <w:rsid w:val="00B23556"/>
    <w:pPr>
      <w:autoSpaceDE w:val="0"/>
      <w:autoSpaceDN w:val="0"/>
      <w:adjustRightInd w:val="0"/>
      <w:spacing w:before="100" w:beforeAutospacing="1" w:after="100" w:afterAutospacing="1" w:line="312" w:lineRule="auto"/>
      <w:jc w:val="both"/>
    </w:pPr>
    <w:rPr>
      <w:rFonts w:ascii="Arial" w:eastAsia="Times New Roman" w:hAnsi="Arial" w:cs="Arial"/>
      <w:szCs w:val="24"/>
      <w:lang w:eastAsia="fr-FR"/>
    </w:rPr>
  </w:style>
  <w:style w:type="paragraph" w:styleId="Titre">
    <w:name w:val="Title"/>
    <w:basedOn w:val="Normal"/>
    <w:next w:val="Normal"/>
    <w:link w:val="TitreCar"/>
    <w:uiPriority w:val="10"/>
    <w:qFormat/>
    <w:rsid w:val="00175211"/>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reCar">
    <w:name w:val="Titre Car"/>
    <w:basedOn w:val="Policepardfaut"/>
    <w:link w:val="Titre"/>
    <w:uiPriority w:val="10"/>
    <w:rsid w:val="00175211"/>
    <w:rPr>
      <w:rFonts w:asciiTheme="majorHAnsi" w:eastAsiaTheme="majorEastAsia" w:hAnsiTheme="majorHAnsi" w:cstheme="majorBidi"/>
      <w:color w:val="000000" w:themeColor="text1"/>
      <w:sz w:val="56"/>
      <w:szCs w:val="56"/>
    </w:rPr>
  </w:style>
  <w:style w:type="paragraph" w:customStyle="1" w:styleId="ListParagraph1">
    <w:name w:val="List Paragraph1"/>
    <w:basedOn w:val="Normal"/>
    <w:link w:val="ListParagraphChar"/>
    <w:qFormat/>
    <w:rsid w:val="00803F33"/>
    <w:pPr>
      <w:spacing w:after="0" w:line="240" w:lineRule="auto"/>
      <w:ind w:left="720"/>
      <w:contextualSpacing/>
    </w:pPr>
    <w:rPr>
      <w:rFonts w:ascii="Calibri" w:eastAsia="Times New Roman" w:hAnsi="Calibri" w:cs="Times New Roman"/>
      <w:sz w:val="20"/>
      <w:szCs w:val="20"/>
      <w:lang w:val="en-GB" w:eastAsia="fr-FR"/>
    </w:rPr>
  </w:style>
  <w:style w:type="character" w:customStyle="1" w:styleId="ListParagraphChar">
    <w:name w:val="List Paragraph Char"/>
    <w:link w:val="ListParagraph1"/>
    <w:locked/>
    <w:rsid w:val="00803F33"/>
    <w:rPr>
      <w:rFonts w:ascii="Calibri" w:eastAsia="Times New Roman" w:hAnsi="Calibri" w:cs="Times New Roman"/>
      <w:sz w:val="20"/>
      <w:szCs w:val="20"/>
      <w:lang w:val="en-GB" w:eastAsia="fr-FR"/>
    </w:rPr>
  </w:style>
  <w:style w:type="paragraph" w:styleId="Corpsdetexte">
    <w:name w:val="Body Text"/>
    <w:basedOn w:val="Normal"/>
    <w:link w:val="CorpsdetexteCar"/>
    <w:rsid w:val="008A6647"/>
    <w:pPr>
      <w:spacing w:after="0" w:line="240" w:lineRule="auto"/>
    </w:pPr>
    <w:rPr>
      <w:rFonts w:ascii="Arial Black" w:eastAsia="Times New Roman" w:hAnsi="Arial Black" w:cs="Times New Roman"/>
      <w:sz w:val="20"/>
      <w:szCs w:val="20"/>
    </w:rPr>
  </w:style>
  <w:style w:type="character" w:customStyle="1" w:styleId="CorpsdetexteCar">
    <w:name w:val="Corps de texte Car"/>
    <w:basedOn w:val="Policepardfaut"/>
    <w:link w:val="Corpsdetexte"/>
    <w:rsid w:val="008A6647"/>
    <w:rPr>
      <w:rFonts w:ascii="Arial Black" w:eastAsia="Times New Roman" w:hAnsi="Arial Black"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3195150">
      <w:bodyDiv w:val="1"/>
      <w:marLeft w:val="0"/>
      <w:marRight w:val="0"/>
      <w:marTop w:val="0"/>
      <w:marBottom w:val="0"/>
      <w:divBdr>
        <w:top w:val="none" w:sz="0" w:space="0" w:color="auto"/>
        <w:left w:val="none" w:sz="0" w:space="0" w:color="auto"/>
        <w:bottom w:val="none" w:sz="0" w:space="0" w:color="auto"/>
        <w:right w:val="none" w:sz="0" w:space="0" w:color="auto"/>
      </w:divBdr>
    </w:div>
    <w:div w:id="483006992">
      <w:bodyDiv w:val="1"/>
      <w:marLeft w:val="0"/>
      <w:marRight w:val="0"/>
      <w:marTop w:val="0"/>
      <w:marBottom w:val="0"/>
      <w:divBdr>
        <w:top w:val="none" w:sz="0" w:space="0" w:color="auto"/>
        <w:left w:val="none" w:sz="0" w:space="0" w:color="auto"/>
        <w:bottom w:val="none" w:sz="0" w:space="0" w:color="auto"/>
        <w:right w:val="none" w:sz="0" w:space="0" w:color="auto"/>
      </w:divBdr>
      <w:divsChild>
        <w:div w:id="276301759">
          <w:marLeft w:val="432"/>
          <w:marRight w:val="0"/>
          <w:marTop w:val="125"/>
          <w:marBottom w:val="0"/>
          <w:divBdr>
            <w:top w:val="none" w:sz="0" w:space="0" w:color="auto"/>
            <w:left w:val="none" w:sz="0" w:space="0" w:color="auto"/>
            <w:bottom w:val="none" w:sz="0" w:space="0" w:color="auto"/>
            <w:right w:val="none" w:sz="0" w:space="0" w:color="auto"/>
          </w:divBdr>
        </w:div>
        <w:div w:id="1205486021">
          <w:marLeft w:val="432"/>
          <w:marRight w:val="0"/>
          <w:marTop w:val="125"/>
          <w:marBottom w:val="0"/>
          <w:divBdr>
            <w:top w:val="none" w:sz="0" w:space="0" w:color="auto"/>
            <w:left w:val="none" w:sz="0" w:space="0" w:color="auto"/>
            <w:bottom w:val="none" w:sz="0" w:space="0" w:color="auto"/>
            <w:right w:val="none" w:sz="0" w:space="0" w:color="auto"/>
          </w:divBdr>
        </w:div>
        <w:div w:id="713652619">
          <w:marLeft w:val="432"/>
          <w:marRight w:val="0"/>
          <w:marTop w:val="125"/>
          <w:marBottom w:val="0"/>
          <w:divBdr>
            <w:top w:val="none" w:sz="0" w:space="0" w:color="auto"/>
            <w:left w:val="none" w:sz="0" w:space="0" w:color="auto"/>
            <w:bottom w:val="none" w:sz="0" w:space="0" w:color="auto"/>
            <w:right w:val="none" w:sz="0" w:space="0" w:color="auto"/>
          </w:divBdr>
        </w:div>
        <w:div w:id="1202091569">
          <w:marLeft w:val="432"/>
          <w:marRight w:val="0"/>
          <w:marTop w:val="125"/>
          <w:marBottom w:val="0"/>
          <w:divBdr>
            <w:top w:val="none" w:sz="0" w:space="0" w:color="auto"/>
            <w:left w:val="none" w:sz="0" w:space="0" w:color="auto"/>
            <w:bottom w:val="none" w:sz="0" w:space="0" w:color="auto"/>
            <w:right w:val="none" w:sz="0" w:space="0" w:color="auto"/>
          </w:divBdr>
        </w:div>
        <w:div w:id="31419740">
          <w:marLeft w:val="432"/>
          <w:marRight w:val="0"/>
          <w:marTop w:val="125"/>
          <w:marBottom w:val="0"/>
          <w:divBdr>
            <w:top w:val="none" w:sz="0" w:space="0" w:color="auto"/>
            <w:left w:val="none" w:sz="0" w:space="0" w:color="auto"/>
            <w:bottom w:val="none" w:sz="0" w:space="0" w:color="auto"/>
            <w:right w:val="none" w:sz="0" w:space="0" w:color="auto"/>
          </w:divBdr>
        </w:div>
      </w:divsChild>
    </w:div>
    <w:div w:id="587735460">
      <w:bodyDiv w:val="1"/>
      <w:marLeft w:val="0"/>
      <w:marRight w:val="0"/>
      <w:marTop w:val="0"/>
      <w:marBottom w:val="0"/>
      <w:divBdr>
        <w:top w:val="none" w:sz="0" w:space="0" w:color="auto"/>
        <w:left w:val="none" w:sz="0" w:space="0" w:color="auto"/>
        <w:bottom w:val="none" w:sz="0" w:space="0" w:color="auto"/>
        <w:right w:val="none" w:sz="0" w:space="0" w:color="auto"/>
      </w:divBdr>
    </w:div>
    <w:div w:id="669791658">
      <w:bodyDiv w:val="1"/>
      <w:marLeft w:val="0"/>
      <w:marRight w:val="0"/>
      <w:marTop w:val="0"/>
      <w:marBottom w:val="0"/>
      <w:divBdr>
        <w:top w:val="none" w:sz="0" w:space="0" w:color="auto"/>
        <w:left w:val="none" w:sz="0" w:space="0" w:color="auto"/>
        <w:bottom w:val="none" w:sz="0" w:space="0" w:color="auto"/>
        <w:right w:val="none" w:sz="0" w:space="0" w:color="auto"/>
      </w:divBdr>
    </w:div>
    <w:div w:id="742990099">
      <w:bodyDiv w:val="1"/>
      <w:marLeft w:val="0"/>
      <w:marRight w:val="0"/>
      <w:marTop w:val="0"/>
      <w:marBottom w:val="0"/>
      <w:divBdr>
        <w:top w:val="none" w:sz="0" w:space="0" w:color="auto"/>
        <w:left w:val="none" w:sz="0" w:space="0" w:color="auto"/>
        <w:bottom w:val="none" w:sz="0" w:space="0" w:color="auto"/>
        <w:right w:val="none" w:sz="0" w:space="0" w:color="auto"/>
      </w:divBdr>
    </w:div>
    <w:div w:id="808714791">
      <w:bodyDiv w:val="1"/>
      <w:marLeft w:val="0"/>
      <w:marRight w:val="0"/>
      <w:marTop w:val="0"/>
      <w:marBottom w:val="0"/>
      <w:divBdr>
        <w:top w:val="none" w:sz="0" w:space="0" w:color="auto"/>
        <w:left w:val="none" w:sz="0" w:space="0" w:color="auto"/>
        <w:bottom w:val="none" w:sz="0" w:space="0" w:color="auto"/>
        <w:right w:val="none" w:sz="0" w:space="0" w:color="auto"/>
      </w:divBdr>
      <w:divsChild>
        <w:div w:id="1982342509">
          <w:marLeft w:val="1008"/>
          <w:marRight w:val="0"/>
          <w:marTop w:val="86"/>
          <w:marBottom w:val="0"/>
          <w:divBdr>
            <w:top w:val="none" w:sz="0" w:space="0" w:color="auto"/>
            <w:left w:val="none" w:sz="0" w:space="0" w:color="auto"/>
            <w:bottom w:val="none" w:sz="0" w:space="0" w:color="auto"/>
            <w:right w:val="none" w:sz="0" w:space="0" w:color="auto"/>
          </w:divBdr>
        </w:div>
        <w:div w:id="1978798512">
          <w:marLeft w:val="1008"/>
          <w:marRight w:val="0"/>
          <w:marTop w:val="86"/>
          <w:marBottom w:val="0"/>
          <w:divBdr>
            <w:top w:val="none" w:sz="0" w:space="0" w:color="auto"/>
            <w:left w:val="none" w:sz="0" w:space="0" w:color="auto"/>
            <w:bottom w:val="none" w:sz="0" w:space="0" w:color="auto"/>
            <w:right w:val="none" w:sz="0" w:space="0" w:color="auto"/>
          </w:divBdr>
        </w:div>
        <w:div w:id="1816483166">
          <w:marLeft w:val="1008"/>
          <w:marRight w:val="0"/>
          <w:marTop w:val="86"/>
          <w:marBottom w:val="0"/>
          <w:divBdr>
            <w:top w:val="none" w:sz="0" w:space="0" w:color="auto"/>
            <w:left w:val="none" w:sz="0" w:space="0" w:color="auto"/>
            <w:bottom w:val="none" w:sz="0" w:space="0" w:color="auto"/>
            <w:right w:val="none" w:sz="0" w:space="0" w:color="auto"/>
          </w:divBdr>
        </w:div>
        <w:div w:id="1592157165">
          <w:marLeft w:val="1008"/>
          <w:marRight w:val="0"/>
          <w:marTop w:val="86"/>
          <w:marBottom w:val="0"/>
          <w:divBdr>
            <w:top w:val="none" w:sz="0" w:space="0" w:color="auto"/>
            <w:left w:val="none" w:sz="0" w:space="0" w:color="auto"/>
            <w:bottom w:val="none" w:sz="0" w:space="0" w:color="auto"/>
            <w:right w:val="none" w:sz="0" w:space="0" w:color="auto"/>
          </w:divBdr>
        </w:div>
      </w:divsChild>
    </w:div>
    <w:div w:id="1022558478">
      <w:bodyDiv w:val="1"/>
      <w:marLeft w:val="0"/>
      <w:marRight w:val="0"/>
      <w:marTop w:val="0"/>
      <w:marBottom w:val="0"/>
      <w:divBdr>
        <w:top w:val="none" w:sz="0" w:space="0" w:color="auto"/>
        <w:left w:val="none" w:sz="0" w:space="0" w:color="auto"/>
        <w:bottom w:val="none" w:sz="0" w:space="0" w:color="auto"/>
        <w:right w:val="none" w:sz="0" w:space="0" w:color="auto"/>
      </w:divBdr>
    </w:div>
    <w:div w:id="1054113710">
      <w:bodyDiv w:val="1"/>
      <w:marLeft w:val="0"/>
      <w:marRight w:val="0"/>
      <w:marTop w:val="0"/>
      <w:marBottom w:val="0"/>
      <w:divBdr>
        <w:top w:val="none" w:sz="0" w:space="0" w:color="auto"/>
        <w:left w:val="none" w:sz="0" w:space="0" w:color="auto"/>
        <w:bottom w:val="none" w:sz="0" w:space="0" w:color="auto"/>
        <w:right w:val="none" w:sz="0" w:space="0" w:color="auto"/>
      </w:divBdr>
      <w:divsChild>
        <w:div w:id="1504390586">
          <w:marLeft w:val="1008"/>
          <w:marRight w:val="0"/>
          <w:marTop w:val="86"/>
          <w:marBottom w:val="0"/>
          <w:divBdr>
            <w:top w:val="none" w:sz="0" w:space="0" w:color="auto"/>
            <w:left w:val="none" w:sz="0" w:space="0" w:color="auto"/>
            <w:bottom w:val="none" w:sz="0" w:space="0" w:color="auto"/>
            <w:right w:val="none" w:sz="0" w:space="0" w:color="auto"/>
          </w:divBdr>
        </w:div>
      </w:divsChild>
    </w:div>
    <w:div w:id="1100759216">
      <w:bodyDiv w:val="1"/>
      <w:marLeft w:val="0"/>
      <w:marRight w:val="0"/>
      <w:marTop w:val="0"/>
      <w:marBottom w:val="0"/>
      <w:divBdr>
        <w:top w:val="none" w:sz="0" w:space="0" w:color="auto"/>
        <w:left w:val="none" w:sz="0" w:space="0" w:color="auto"/>
        <w:bottom w:val="none" w:sz="0" w:space="0" w:color="auto"/>
        <w:right w:val="none" w:sz="0" w:space="0" w:color="auto"/>
      </w:divBdr>
      <w:divsChild>
        <w:div w:id="122895421">
          <w:marLeft w:val="0"/>
          <w:marRight w:val="0"/>
          <w:marTop w:val="0"/>
          <w:marBottom w:val="0"/>
          <w:divBdr>
            <w:top w:val="none" w:sz="0" w:space="0" w:color="auto"/>
            <w:left w:val="none" w:sz="0" w:space="0" w:color="auto"/>
            <w:bottom w:val="none" w:sz="0" w:space="0" w:color="auto"/>
            <w:right w:val="none" w:sz="0" w:space="0" w:color="auto"/>
          </w:divBdr>
        </w:div>
        <w:div w:id="141894381">
          <w:marLeft w:val="0"/>
          <w:marRight w:val="0"/>
          <w:marTop w:val="0"/>
          <w:marBottom w:val="0"/>
          <w:divBdr>
            <w:top w:val="none" w:sz="0" w:space="0" w:color="auto"/>
            <w:left w:val="none" w:sz="0" w:space="0" w:color="auto"/>
            <w:bottom w:val="none" w:sz="0" w:space="0" w:color="auto"/>
            <w:right w:val="none" w:sz="0" w:space="0" w:color="auto"/>
          </w:divBdr>
        </w:div>
        <w:div w:id="166672555">
          <w:marLeft w:val="0"/>
          <w:marRight w:val="0"/>
          <w:marTop w:val="0"/>
          <w:marBottom w:val="0"/>
          <w:divBdr>
            <w:top w:val="none" w:sz="0" w:space="0" w:color="auto"/>
            <w:left w:val="none" w:sz="0" w:space="0" w:color="auto"/>
            <w:bottom w:val="none" w:sz="0" w:space="0" w:color="auto"/>
            <w:right w:val="none" w:sz="0" w:space="0" w:color="auto"/>
          </w:divBdr>
        </w:div>
        <w:div w:id="211044280">
          <w:marLeft w:val="0"/>
          <w:marRight w:val="0"/>
          <w:marTop w:val="0"/>
          <w:marBottom w:val="0"/>
          <w:divBdr>
            <w:top w:val="none" w:sz="0" w:space="0" w:color="auto"/>
            <w:left w:val="none" w:sz="0" w:space="0" w:color="auto"/>
            <w:bottom w:val="none" w:sz="0" w:space="0" w:color="auto"/>
            <w:right w:val="none" w:sz="0" w:space="0" w:color="auto"/>
          </w:divBdr>
        </w:div>
        <w:div w:id="2010910175">
          <w:marLeft w:val="0"/>
          <w:marRight w:val="0"/>
          <w:marTop w:val="0"/>
          <w:marBottom w:val="0"/>
          <w:divBdr>
            <w:top w:val="none" w:sz="0" w:space="0" w:color="auto"/>
            <w:left w:val="none" w:sz="0" w:space="0" w:color="auto"/>
            <w:bottom w:val="none" w:sz="0" w:space="0" w:color="auto"/>
            <w:right w:val="none" w:sz="0" w:space="0" w:color="auto"/>
          </w:divBdr>
        </w:div>
      </w:divsChild>
    </w:div>
    <w:div w:id="1187675002">
      <w:bodyDiv w:val="1"/>
      <w:marLeft w:val="0"/>
      <w:marRight w:val="0"/>
      <w:marTop w:val="0"/>
      <w:marBottom w:val="0"/>
      <w:divBdr>
        <w:top w:val="none" w:sz="0" w:space="0" w:color="auto"/>
        <w:left w:val="none" w:sz="0" w:space="0" w:color="auto"/>
        <w:bottom w:val="none" w:sz="0" w:space="0" w:color="auto"/>
        <w:right w:val="none" w:sz="0" w:space="0" w:color="auto"/>
      </w:divBdr>
      <w:divsChild>
        <w:div w:id="248270412">
          <w:marLeft w:val="1008"/>
          <w:marRight w:val="0"/>
          <w:marTop w:val="86"/>
          <w:marBottom w:val="0"/>
          <w:divBdr>
            <w:top w:val="none" w:sz="0" w:space="0" w:color="auto"/>
            <w:left w:val="none" w:sz="0" w:space="0" w:color="auto"/>
            <w:bottom w:val="none" w:sz="0" w:space="0" w:color="auto"/>
            <w:right w:val="none" w:sz="0" w:space="0" w:color="auto"/>
          </w:divBdr>
        </w:div>
      </w:divsChild>
    </w:div>
    <w:div w:id="1638294436">
      <w:bodyDiv w:val="1"/>
      <w:marLeft w:val="0"/>
      <w:marRight w:val="0"/>
      <w:marTop w:val="0"/>
      <w:marBottom w:val="0"/>
      <w:divBdr>
        <w:top w:val="none" w:sz="0" w:space="0" w:color="auto"/>
        <w:left w:val="none" w:sz="0" w:space="0" w:color="auto"/>
        <w:bottom w:val="none" w:sz="0" w:space="0" w:color="auto"/>
        <w:right w:val="none" w:sz="0" w:space="0" w:color="auto"/>
      </w:divBdr>
    </w:div>
    <w:div w:id="1652639525">
      <w:bodyDiv w:val="1"/>
      <w:marLeft w:val="0"/>
      <w:marRight w:val="0"/>
      <w:marTop w:val="0"/>
      <w:marBottom w:val="0"/>
      <w:divBdr>
        <w:top w:val="none" w:sz="0" w:space="0" w:color="auto"/>
        <w:left w:val="none" w:sz="0" w:space="0" w:color="auto"/>
        <w:bottom w:val="none" w:sz="0" w:space="0" w:color="auto"/>
        <w:right w:val="none" w:sz="0" w:space="0" w:color="auto"/>
      </w:divBdr>
    </w:div>
    <w:div w:id="1942490659">
      <w:bodyDiv w:val="1"/>
      <w:marLeft w:val="0"/>
      <w:marRight w:val="0"/>
      <w:marTop w:val="0"/>
      <w:marBottom w:val="0"/>
      <w:divBdr>
        <w:top w:val="none" w:sz="0" w:space="0" w:color="auto"/>
        <w:left w:val="none" w:sz="0" w:space="0" w:color="auto"/>
        <w:bottom w:val="none" w:sz="0" w:space="0" w:color="auto"/>
        <w:right w:val="none" w:sz="0" w:space="0" w:color="auto"/>
      </w:divBdr>
    </w:div>
    <w:div w:id="1973510606">
      <w:bodyDiv w:val="1"/>
      <w:marLeft w:val="0"/>
      <w:marRight w:val="0"/>
      <w:marTop w:val="0"/>
      <w:marBottom w:val="0"/>
      <w:divBdr>
        <w:top w:val="none" w:sz="0" w:space="0" w:color="auto"/>
        <w:left w:val="none" w:sz="0" w:space="0" w:color="auto"/>
        <w:bottom w:val="none" w:sz="0" w:space="0" w:color="auto"/>
        <w:right w:val="none" w:sz="0" w:space="0" w:color="auto"/>
      </w:divBdr>
    </w:div>
    <w:div w:id="1980570544">
      <w:bodyDiv w:val="1"/>
      <w:marLeft w:val="0"/>
      <w:marRight w:val="0"/>
      <w:marTop w:val="0"/>
      <w:marBottom w:val="0"/>
      <w:divBdr>
        <w:top w:val="none" w:sz="0" w:space="0" w:color="auto"/>
        <w:left w:val="none" w:sz="0" w:space="0" w:color="auto"/>
        <w:bottom w:val="none" w:sz="0" w:space="0" w:color="auto"/>
        <w:right w:val="none" w:sz="0" w:space="0" w:color="auto"/>
      </w:divBdr>
    </w:div>
    <w:div w:id="2094279930">
      <w:bodyDiv w:val="1"/>
      <w:marLeft w:val="0"/>
      <w:marRight w:val="0"/>
      <w:marTop w:val="0"/>
      <w:marBottom w:val="0"/>
      <w:divBdr>
        <w:top w:val="none" w:sz="0" w:space="0" w:color="auto"/>
        <w:left w:val="none" w:sz="0" w:space="0" w:color="auto"/>
        <w:bottom w:val="none" w:sz="0" w:space="0" w:color="auto"/>
        <w:right w:val="none" w:sz="0" w:space="0" w:color="auto"/>
      </w:divBdr>
    </w:div>
    <w:div w:id="2112772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3.xml"/><Relationship Id="rId18" Type="http://schemas.openxmlformats.org/officeDocument/2006/relationships/image" Target="media/image5.png"/><Relationship Id="rId26" Type="http://schemas.openxmlformats.org/officeDocument/2006/relationships/image" Target="media/image9.emf"/><Relationship Id="rId39" Type="http://schemas.openxmlformats.org/officeDocument/2006/relationships/image" Target="media/image18.png"/><Relationship Id="rId21" Type="http://schemas.openxmlformats.org/officeDocument/2006/relationships/image" Target="media/image7.emf"/><Relationship Id="rId34" Type="http://schemas.openxmlformats.org/officeDocument/2006/relationships/image" Target="media/image13.emf"/><Relationship Id="rId42" Type="http://schemas.openxmlformats.org/officeDocument/2006/relationships/chart" Target="charts/chart15.xml"/><Relationship Id="rId47" Type="http://schemas.openxmlformats.org/officeDocument/2006/relationships/image" Target="media/image21.emf"/><Relationship Id="rId50"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4.png"/><Relationship Id="rId29" Type="http://schemas.openxmlformats.org/officeDocument/2006/relationships/image" Target="media/image11.emf"/><Relationship Id="rId11" Type="http://schemas.openxmlformats.org/officeDocument/2006/relationships/chart" Target="charts/chart2.xml"/><Relationship Id="rId24" Type="http://schemas.openxmlformats.org/officeDocument/2006/relationships/image" Target="media/image8.emf"/><Relationship Id="rId32" Type="http://schemas.openxmlformats.org/officeDocument/2006/relationships/chart" Target="charts/chart14.xml"/><Relationship Id="rId37" Type="http://schemas.openxmlformats.org/officeDocument/2006/relationships/image" Target="media/image16.png"/><Relationship Id="rId40" Type="http://schemas.openxmlformats.org/officeDocument/2006/relationships/image" Target="media/image19.png"/><Relationship Id="rId45"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chart" Target="charts/chart9.xml"/><Relationship Id="rId28" Type="http://schemas.openxmlformats.org/officeDocument/2006/relationships/image" Target="media/image10.png"/><Relationship Id="rId36" Type="http://schemas.openxmlformats.org/officeDocument/2006/relationships/image" Target="media/image15.emf"/><Relationship Id="rId49" Type="http://schemas.openxmlformats.org/officeDocument/2006/relationships/footer" Target="footer3.xml"/><Relationship Id="rId10" Type="http://schemas.openxmlformats.org/officeDocument/2006/relationships/chart" Target="charts/chart1.xml"/><Relationship Id="rId19" Type="http://schemas.openxmlformats.org/officeDocument/2006/relationships/image" Target="media/image6.png"/><Relationship Id="rId31" Type="http://schemas.openxmlformats.org/officeDocument/2006/relationships/chart" Target="charts/chart13.xml"/><Relationship Id="rId44" Type="http://schemas.openxmlformats.org/officeDocument/2006/relationships/chart" Target="charts/chart17.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4.xml"/><Relationship Id="rId22" Type="http://schemas.openxmlformats.org/officeDocument/2006/relationships/chart" Target="charts/chart8.xml"/><Relationship Id="rId27" Type="http://schemas.openxmlformats.org/officeDocument/2006/relationships/chart" Target="charts/chart11.xml"/><Relationship Id="rId30" Type="http://schemas.openxmlformats.org/officeDocument/2006/relationships/chart" Target="charts/chart12.xml"/><Relationship Id="rId35" Type="http://schemas.openxmlformats.org/officeDocument/2006/relationships/image" Target="media/image14.emf"/><Relationship Id="rId43" Type="http://schemas.openxmlformats.org/officeDocument/2006/relationships/chart" Target="charts/chart16.xml"/><Relationship Id="rId48" Type="http://schemas.openxmlformats.org/officeDocument/2006/relationships/package" Target="embeddings/Feuille_de_calcul_Microsoft_Excel12.xlsx"/><Relationship Id="rId8" Type="http://schemas.openxmlformats.org/officeDocument/2006/relationships/image" Target="media/image1.png"/><Relationship Id="rId51"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chart" Target="charts/chart6.xml"/><Relationship Id="rId25" Type="http://schemas.openxmlformats.org/officeDocument/2006/relationships/chart" Target="charts/chart10.xml"/><Relationship Id="rId33" Type="http://schemas.openxmlformats.org/officeDocument/2006/relationships/image" Target="media/image12.png"/><Relationship Id="rId38" Type="http://schemas.openxmlformats.org/officeDocument/2006/relationships/image" Target="media/image17.png"/><Relationship Id="rId46" Type="http://schemas.openxmlformats.org/officeDocument/2006/relationships/image" Target="media/image20.wmf"/><Relationship Id="rId20" Type="http://schemas.openxmlformats.org/officeDocument/2006/relationships/chart" Target="charts/chart7.xm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1" Type="http://schemas.openxmlformats.org/officeDocument/2006/relationships/hyperlink" Target="http://www.bayiri.com/societe/sciences-sante%20/grossesses-non-desirees-et-paternites-precoces-le-rajs-bf-lance-sa-campagne-talents-de-jeunes-2013.html"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Feuille_de_calcul_Microsoft_Excel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Feuille_de_calcul_Microsoft_Excel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Feuille_de_calcul_Microsoft_Excel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Feuille_de_calcul_Microsoft_Excel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Feuille_de_calcul_Microsoft_Excel5.xlsx"/></Relationships>
</file>

<file path=word/charts/_rels/chart6.xml.rels><?xml version="1.0" encoding="UTF-8" standalone="yes"?>
<Relationships xmlns="http://schemas.openxmlformats.org/package/2006/relationships"><Relationship Id="rId3" Type="http://schemas.openxmlformats.org/officeDocument/2006/relationships/package" Target="../embeddings/Feuille_de_calcul_Microsoft_Excel6.xlsx"/><Relationship Id="rId2" Type="http://schemas.microsoft.com/office/2011/relationships/chartColorStyle" Target="colors1.xml"/><Relationship Id="rId1" Type="http://schemas.microsoft.com/office/2011/relationships/chartStyle" Target="style1.xml"/></Relationships>
</file>

<file path=word/charts/_rels/chart7.xml.rels><?xml version="1.0" encoding="UTF-8" standalone="yes"?>
<Relationships xmlns="http://schemas.openxmlformats.org/package/2006/relationships"><Relationship Id="rId3" Type="http://schemas.openxmlformats.org/officeDocument/2006/relationships/package" Target="../embeddings/Feuille_de_calcul_Microsoft_Excel7.xlsx"/><Relationship Id="rId2" Type="http://schemas.microsoft.com/office/2011/relationships/chartColorStyle" Target="colors2.xml"/><Relationship Id="rId1" Type="http://schemas.microsoft.com/office/2011/relationships/chartStyle" Target="style2.xml"/></Relationships>
</file>

<file path=word/charts/_rels/chart8.xml.rels><?xml version="1.0" encoding="UTF-8" standalone="yes"?>
<Relationships xmlns="http://schemas.openxmlformats.org/package/2006/relationships"><Relationship Id="rId3" Type="http://schemas.openxmlformats.org/officeDocument/2006/relationships/package" Target="../embeddings/Feuille_de_calcul_Microsoft_Excel8.xlsx"/><Relationship Id="rId2" Type="http://schemas.microsoft.com/office/2011/relationships/chartColorStyle" Target="colors3.xml"/><Relationship Id="rId1" Type="http://schemas.microsoft.com/office/2011/relationships/chartStyle" Target="style3.xml"/></Relationships>
</file>

<file path=word/charts/_rels/chart9.xml.rels><?xml version="1.0" encoding="UTF-8" standalone="yes"?>
<Relationships xmlns="http://schemas.openxmlformats.org/package/2006/relationships"><Relationship Id="rId2" Type="http://schemas.openxmlformats.org/officeDocument/2006/relationships/oleObject" Target="file:///C:\Users\prof\Desktop\Priorisation%20SRMNEAN\Extrai.xlsx" TargetMode="External"/><Relationship Id="rId1" Type="http://schemas.openxmlformats.org/officeDocument/2006/relationships/themeOverride" Target="../theme/themeOverride1.xml"/></Relationships>
</file>

<file path=word/charts/_rels/chart10.xml.rels><?xml version="1.0" encoding="UTF-8" standalone="yes"?>
<Relationships xmlns="http://schemas.openxmlformats.org/package/2006/relationships"><Relationship Id="rId3" Type="http://schemas.openxmlformats.org/officeDocument/2006/relationships/package" Target="../embeddings/Feuille_de_calcul_Microsoft_Excel9.xlsx"/><Relationship Id="rId2" Type="http://schemas.microsoft.com/office/2011/relationships/chartColorStyle" Target="colors4.xml"/><Relationship Id="rId1" Type="http://schemas.microsoft.com/office/2011/relationships/chartStyle" Target="style4.xml"/></Relationships>
</file>

<file path=word/charts/_rels/chart11.xml.rels><?xml version="1.0" encoding="UTF-8" standalone="yes"?>
<Relationships xmlns="http://schemas.openxmlformats.org/package/2006/relationships"><Relationship Id="rId2" Type="http://schemas.openxmlformats.org/officeDocument/2006/relationships/oleObject" Target="Classeur1" TargetMode="External"/><Relationship Id="rId1" Type="http://schemas.openxmlformats.org/officeDocument/2006/relationships/themeOverride" Target="../theme/themeOverride2.xml"/></Relationships>
</file>

<file path=word/charts/_rels/chart12.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embeddings/oleObject1.bin"/><Relationship Id="rId1" Type="http://schemas.openxmlformats.org/officeDocument/2006/relationships/themeOverride" Target="../theme/themeOverride3.xml"/></Relationships>
</file>

<file path=word/charts/_rels/chart13.xml.rels><?xml version="1.0" encoding="UTF-8" standalone="yes"?>
<Relationships xmlns="http://schemas.openxmlformats.org/package/2006/relationships"><Relationship Id="rId3" Type="http://schemas.openxmlformats.org/officeDocument/2006/relationships/package" Target="../embeddings/Feuille_de_calcul_Microsoft_Excel10.xlsx"/><Relationship Id="rId2" Type="http://schemas.microsoft.com/office/2011/relationships/chartColorStyle" Target="colors5.xml"/><Relationship Id="rId1" Type="http://schemas.microsoft.com/office/2011/relationships/chartStyle" Target="style5.xml"/></Relationships>
</file>

<file path=word/charts/_rels/chart14.xml.rels><?xml version="1.0" encoding="UTF-8" standalone="yes"?>
<Relationships xmlns="http://schemas.openxmlformats.org/package/2006/relationships"><Relationship Id="rId3" Type="http://schemas.openxmlformats.org/officeDocument/2006/relationships/package" Target="../embeddings/Feuille_de_calcul_Microsoft_Excel11.xlsx"/><Relationship Id="rId2" Type="http://schemas.microsoft.com/office/2011/relationships/chartColorStyle" Target="colors6.xml"/><Relationship Id="rId1" Type="http://schemas.microsoft.com/office/2011/relationships/chartStyle" Target="style6.xml"/></Relationships>
</file>

<file path=word/charts/_rels/chart15.xml.rels><?xml version="1.0" encoding="UTF-8" standalone="yes"?>
<Relationships xmlns="http://schemas.openxmlformats.org/package/2006/relationships"><Relationship Id="rId1" Type="http://schemas.openxmlformats.org/officeDocument/2006/relationships/oleObject" Target="file:///C:\TAHIROU%20(30-09-17)\MBB-One%20Health%20Tool\Costing%20SRMNEAN\GRAPHYQUES%20Nestor.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C:\TAHIROU%20(30-09-17)\MBB-One%20Health%20Tool\Costing%20SRMNEAN\Financement.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C:\TAHIROU%20(30-09-17)\MBB-One%20Health%20Tool\Costing%20SRMNEAN\Financement.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7268042224648927"/>
          <c:y val="6.5213037797588094E-2"/>
          <c:w val="0.48471866199206898"/>
          <c:h val="0.55164359961612763"/>
        </c:manualLayout>
      </c:layout>
      <c:barChart>
        <c:barDir val="col"/>
        <c:grouping val="clustered"/>
        <c:varyColors val="0"/>
        <c:ser>
          <c:idx val="0"/>
          <c:order val="0"/>
          <c:tx>
            <c:strRef>
              <c:f>Feuil1!$B$1</c:f>
              <c:strCache>
                <c:ptCount val="1"/>
                <c:pt idx="0">
                  <c:v>Taux de mortalite maternelle (/100 000)</c:v>
                </c:pt>
              </c:strCache>
            </c:strRef>
          </c:tx>
          <c:invertIfNegative val="0"/>
          <c:dLbls>
            <c:spPr>
              <a:noFill/>
              <a:ln>
                <a:noFill/>
              </a:ln>
              <a:effectLst/>
            </c:spPr>
            <c:txPr>
              <a:bodyPr/>
              <a:lstStyle/>
              <a:p>
                <a:pPr>
                  <a:defRPr sz="800" b="1"/>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Feuil1!$B$2:$B$5</c:f>
              <c:numCache>
                <c:formatCode>General</c:formatCode>
                <c:ptCount val="4"/>
                <c:pt idx="0">
                  <c:v>484</c:v>
                </c:pt>
                <c:pt idx="2">
                  <c:v>341</c:v>
                </c:pt>
                <c:pt idx="3">
                  <c:v>330</c:v>
                </c:pt>
              </c:numCache>
            </c:numRef>
          </c:val>
          <c:extLst xmlns:c16r2="http://schemas.microsoft.com/office/drawing/2015/06/chart">
            <c:ext xmlns:c16="http://schemas.microsoft.com/office/drawing/2014/chart" uri="{C3380CC4-5D6E-409C-BE32-E72D297353CC}">
              <c16:uniqueId val="{00000000-E40E-485E-AF06-CCF517EED565}"/>
            </c:ext>
          </c:extLst>
        </c:ser>
        <c:ser>
          <c:idx val="1"/>
          <c:order val="1"/>
          <c:tx>
            <c:strRef>
              <c:f>Feuil1!$C$1</c:f>
              <c:strCache>
                <c:ptCount val="1"/>
                <c:pt idx="0">
                  <c:v>Cible PNDS 2011-20</c:v>
                </c:pt>
              </c:strCache>
            </c:strRef>
          </c:tx>
          <c:invertIfNegative val="0"/>
          <c:dLbls>
            <c:spPr>
              <a:noFill/>
              <a:ln>
                <a:noFill/>
              </a:ln>
              <a:effectLst/>
            </c:spPr>
            <c:txPr>
              <a:bodyPr/>
              <a:lstStyle/>
              <a:p>
                <a:pPr>
                  <a:defRPr sz="800" b="1"/>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Feuil1!$C$2:$C$5</c:f>
              <c:numCache>
                <c:formatCode>General</c:formatCode>
                <c:ptCount val="4"/>
                <c:pt idx="3">
                  <c:v>177</c:v>
                </c:pt>
              </c:numCache>
            </c:numRef>
          </c:val>
          <c:extLst xmlns:c16r2="http://schemas.microsoft.com/office/drawing/2015/06/chart">
            <c:ext xmlns:c16="http://schemas.microsoft.com/office/drawing/2014/chart" uri="{C3380CC4-5D6E-409C-BE32-E72D297353CC}">
              <c16:uniqueId val="{00000001-E40E-485E-AF06-CCF517EED565}"/>
            </c:ext>
          </c:extLst>
        </c:ser>
        <c:ser>
          <c:idx val="2"/>
          <c:order val="2"/>
          <c:tx>
            <c:strRef>
              <c:f>Feuil1!$D$1</c:f>
              <c:strCache>
                <c:ptCount val="1"/>
                <c:pt idx="0">
                  <c:v>Cible OMD</c:v>
                </c:pt>
              </c:strCache>
            </c:strRef>
          </c:tx>
          <c:invertIfNegative val="0"/>
          <c:dLbls>
            <c:dLbl>
              <c:idx val="3"/>
              <c:layout>
                <c:manualLayout>
                  <c:x val="0"/>
                  <c:y val="5.49313358302123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E40E-485E-AF06-CCF517EED565}"/>
                </c:ext>
                <c:ext xmlns:c15="http://schemas.microsoft.com/office/drawing/2012/chart" uri="{CE6537A1-D6FC-4f65-9D91-7224C49458BB}"/>
              </c:extLst>
            </c:dLbl>
            <c:spPr>
              <a:noFill/>
              <a:ln>
                <a:noFill/>
              </a:ln>
              <a:effectLst/>
            </c:spPr>
            <c:txPr>
              <a:bodyPr/>
              <a:lstStyle/>
              <a:p>
                <a:pPr>
                  <a:defRPr sz="800" b="1"/>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Feuil1!$D$2:$D$5</c:f>
              <c:numCache>
                <c:formatCode>General</c:formatCode>
                <c:ptCount val="4"/>
                <c:pt idx="3">
                  <c:v>142</c:v>
                </c:pt>
              </c:numCache>
            </c:numRef>
          </c:val>
          <c:extLst xmlns:c16r2="http://schemas.microsoft.com/office/drawing/2015/06/chart">
            <c:ext xmlns:c16="http://schemas.microsoft.com/office/drawing/2014/chart" uri="{C3380CC4-5D6E-409C-BE32-E72D297353CC}">
              <c16:uniqueId val="{00000003-E40E-485E-AF06-CCF517EED565}"/>
            </c:ext>
          </c:extLst>
        </c:ser>
        <c:ser>
          <c:idx val="3"/>
          <c:order val="3"/>
          <c:tx>
            <c:strRef>
              <c:f>Feuil1!$E$1</c:f>
              <c:strCache>
                <c:ptCount val="1"/>
                <c:pt idx="0">
                  <c:v>Cible SCADD</c:v>
                </c:pt>
              </c:strCache>
            </c:strRef>
          </c:tx>
          <c:invertIfNegative val="0"/>
          <c:dLbls>
            <c:dLbl>
              <c:idx val="3"/>
              <c:layout>
                <c:manualLayout>
                  <c:x val="4.7722666053604673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E40E-485E-AF06-CCF517EED565}"/>
                </c:ext>
                <c:ext xmlns:c15="http://schemas.microsoft.com/office/drawing/2012/chart" uri="{CE6537A1-D6FC-4f65-9D91-7224C49458BB}"/>
              </c:extLst>
            </c:dLbl>
            <c:spPr>
              <a:noFill/>
              <a:ln>
                <a:noFill/>
              </a:ln>
              <a:effectLst/>
            </c:spPr>
            <c:txPr>
              <a:bodyPr/>
              <a:lstStyle/>
              <a:p>
                <a:pPr>
                  <a:defRPr sz="800" b="1"/>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Feuil1!$E$2:$E$5</c:f>
              <c:numCache>
                <c:formatCode>General</c:formatCode>
                <c:ptCount val="4"/>
                <c:pt idx="3">
                  <c:v>177</c:v>
                </c:pt>
              </c:numCache>
            </c:numRef>
          </c:val>
          <c:extLst xmlns:c16r2="http://schemas.microsoft.com/office/drawing/2015/06/chart">
            <c:ext xmlns:c16="http://schemas.microsoft.com/office/drawing/2014/chart" uri="{C3380CC4-5D6E-409C-BE32-E72D297353CC}">
              <c16:uniqueId val="{00000005-E40E-485E-AF06-CCF517EED565}"/>
            </c:ext>
          </c:extLst>
        </c:ser>
        <c:dLbls>
          <c:showLegendKey val="0"/>
          <c:showVal val="0"/>
          <c:showCatName val="0"/>
          <c:showSerName val="0"/>
          <c:showPercent val="0"/>
          <c:showBubbleSize val="0"/>
        </c:dLbls>
        <c:gapWidth val="150"/>
        <c:axId val="-377749888"/>
        <c:axId val="-377748800"/>
      </c:barChart>
      <c:catAx>
        <c:axId val="-377749888"/>
        <c:scaling>
          <c:orientation val="minMax"/>
        </c:scaling>
        <c:delete val="0"/>
        <c:axPos val="b"/>
        <c:numFmt formatCode="General" sourceLinked="0"/>
        <c:majorTickMark val="out"/>
        <c:minorTickMark val="none"/>
        <c:tickLblPos val="nextTo"/>
        <c:crossAx val="-377748800"/>
        <c:crosses val="autoZero"/>
        <c:auto val="1"/>
        <c:lblAlgn val="ctr"/>
        <c:lblOffset val="100"/>
        <c:noMultiLvlLbl val="0"/>
      </c:catAx>
      <c:valAx>
        <c:axId val="-377748800"/>
        <c:scaling>
          <c:orientation val="minMax"/>
        </c:scaling>
        <c:delete val="0"/>
        <c:axPos val="l"/>
        <c:majorGridlines/>
        <c:numFmt formatCode="General" sourceLinked="1"/>
        <c:majorTickMark val="out"/>
        <c:minorTickMark val="none"/>
        <c:tickLblPos val="nextTo"/>
        <c:crossAx val="-377749888"/>
        <c:crosses val="autoZero"/>
        <c:crossBetween val="between"/>
      </c:valAx>
    </c:plotArea>
    <c:legend>
      <c:legendPos val="r"/>
      <c:layout>
        <c:manualLayout>
          <c:xMode val="edge"/>
          <c:yMode val="edge"/>
          <c:x val="0.70614058279211445"/>
          <c:y val="7.8039851760103016E-2"/>
          <c:w val="0.27380960591604897"/>
          <c:h val="0.84391990327051891"/>
        </c:manualLayout>
      </c:layout>
      <c:overlay val="0"/>
      <c:txPr>
        <a:bodyPr/>
        <a:lstStyle/>
        <a:p>
          <a:pPr>
            <a:defRPr sz="800"/>
          </a:pPr>
          <a:endParaRPr lang="fr-FR"/>
        </a:p>
      </c:txPr>
    </c:legend>
    <c:plotVisOnly val="1"/>
    <c:dispBlanksAs val="gap"/>
    <c:showDLblsOverMax val="0"/>
  </c:chart>
  <c:spPr>
    <a:solidFill>
      <a:schemeClr val="accent1">
        <a:lumMod val="20000"/>
        <a:lumOff val="80000"/>
      </a:schemeClr>
    </a:solidFill>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Feuil1!$B$1</c:f>
              <c:strCache>
                <c:ptCount val="1"/>
                <c:pt idx="0">
                  <c:v>Taux de mortalité néonatale ( /1000) </c:v>
                </c:pt>
              </c:strCache>
            </c:strRef>
          </c:tx>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Feuil1!$B$2:$B$5</c:f>
              <c:numCache>
                <c:formatCode>General</c:formatCode>
                <c:ptCount val="4"/>
                <c:pt idx="0">
                  <c:v>41</c:v>
                </c:pt>
                <c:pt idx="1">
                  <c:v>31</c:v>
                </c:pt>
                <c:pt idx="2">
                  <c:v>28</c:v>
                </c:pt>
                <c:pt idx="3">
                  <c:v>23</c:v>
                </c:pt>
              </c:numCache>
            </c:numRef>
          </c:val>
          <c:extLst xmlns:c16r2="http://schemas.microsoft.com/office/drawing/2015/06/chart">
            <c:ext xmlns:c16="http://schemas.microsoft.com/office/drawing/2014/chart" uri="{C3380CC4-5D6E-409C-BE32-E72D297353CC}">
              <c16:uniqueId val="{00000000-C6C2-40AD-B2E0-A9DC445F6CF2}"/>
            </c:ext>
          </c:extLst>
        </c:ser>
        <c:ser>
          <c:idx val="1"/>
          <c:order val="1"/>
          <c:tx>
            <c:strRef>
              <c:f>Feuil1!$C$1</c:f>
              <c:strCache>
                <c:ptCount val="1"/>
                <c:pt idx="0">
                  <c:v>Cible PNDS 2011-20</c:v>
                </c:pt>
              </c:strCache>
            </c:strRef>
          </c:tx>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Feuil1!$C$2:$C$5</c:f>
              <c:numCache>
                <c:formatCode>General</c:formatCode>
                <c:ptCount val="4"/>
                <c:pt idx="3">
                  <c:v>14</c:v>
                </c:pt>
              </c:numCache>
            </c:numRef>
          </c:val>
          <c:extLst xmlns:c16r2="http://schemas.microsoft.com/office/drawing/2015/06/chart">
            <c:ext xmlns:c16="http://schemas.microsoft.com/office/drawing/2014/chart" uri="{C3380CC4-5D6E-409C-BE32-E72D297353CC}">
              <c16:uniqueId val="{00000001-C6C2-40AD-B2E0-A9DC445F6CF2}"/>
            </c:ext>
          </c:extLst>
        </c:ser>
        <c:dLbls>
          <c:showLegendKey val="0"/>
          <c:showVal val="0"/>
          <c:showCatName val="0"/>
          <c:showSerName val="0"/>
          <c:showPercent val="0"/>
          <c:showBubbleSize val="0"/>
        </c:dLbls>
        <c:gapWidth val="150"/>
        <c:axId val="-377764032"/>
        <c:axId val="-377746080"/>
      </c:barChart>
      <c:catAx>
        <c:axId val="-377764032"/>
        <c:scaling>
          <c:orientation val="minMax"/>
        </c:scaling>
        <c:delete val="0"/>
        <c:axPos val="b"/>
        <c:numFmt formatCode="General" sourceLinked="0"/>
        <c:majorTickMark val="out"/>
        <c:minorTickMark val="none"/>
        <c:tickLblPos val="nextTo"/>
        <c:crossAx val="-377746080"/>
        <c:crosses val="autoZero"/>
        <c:auto val="1"/>
        <c:lblAlgn val="ctr"/>
        <c:lblOffset val="100"/>
        <c:noMultiLvlLbl val="0"/>
      </c:catAx>
      <c:valAx>
        <c:axId val="-377746080"/>
        <c:scaling>
          <c:orientation val="minMax"/>
        </c:scaling>
        <c:delete val="0"/>
        <c:axPos val="l"/>
        <c:majorGridlines/>
        <c:numFmt formatCode="General" sourceLinked="1"/>
        <c:majorTickMark val="out"/>
        <c:minorTickMark val="none"/>
        <c:tickLblPos val="nextTo"/>
        <c:crossAx val="-377764032"/>
        <c:crosses val="autoZero"/>
        <c:crossBetween val="between"/>
      </c:valAx>
    </c:plotArea>
    <c:legend>
      <c:legendPos val="r"/>
      <c:overlay val="0"/>
    </c:legend>
    <c:plotVisOnly val="1"/>
    <c:dispBlanksAs val="gap"/>
    <c:showDLblsOverMax val="0"/>
  </c:chart>
  <c:spPr>
    <a:solidFill>
      <a:schemeClr val="accent1">
        <a:lumMod val="20000"/>
        <a:lumOff val="80000"/>
      </a:schemeClr>
    </a:solidFill>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948089822105568"/>
          <c:y val="3.9691184943345489E-2"/>
          <c:w val="0.58796521646915489"/>
          <c:h val="0.70218961654183698"/>
        </c:manualLayout>
      </c:layout>
      <c:barChart>
        <c:barDir val="col"/>
        <c:grouping val="clustered"/>
        <c:varyColors val="0"/>
        <c:ser>
          <c:idx val="0"/>
          <c:order val="0"/>
          <c:tx>
            <c:strRef>
              <c:f>Feuil1!$B$1</c:f>
              <c:strCache>
                <c:ptCount val="1"/>
                <c:pt idx="0">
                  <c:v>Taux de mortalité infantile</c:v>
                </c:pt>
              </c:strCache>
            </c:strRef>
          </c:tx>
          <c:invertIfNegative val="0"/>
          <c:dLbls>
            <c:dLbl>
              <c:idx val="0"/>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B4E6-454F-AFBB-850E361ACC1D}"/>
                </c:ext>
                <c:ext xmlns:c15="http://schemas.microsoft.com/office/drawing/2012/chart" uri="{CE6537A1-D6FC-4f65-9D91-7224C49458BB}"/>
              </c:extLst>
            </c:dLbl>
            <c:dLbl>
              <c:idx val="1"/>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B4E6-454F-AFBB-850E361ACC1D}"/>
                </c:ext>
                <c:ext xmlns:c15="http://schemas.microsoft.com/office/drawing/2012/chart" uri="{CE6537A1-D6FC-4f65-9D91-7224C49458BB}"/>
              </c:extLst>
            </c:dLbl>
            <c:dLbl>
              <c:idx val="2"/>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B4E6-454F-AFBB-850E361ACC1D}"/>
                </c:ext>
                <c:ext xmlns:c15="http://schemas.microsoft.com/office/drawing/2012/chart" uri="{CE6537A1-D6FC-4f65-9D91-7224C49458BB}"/>
              </c:extLst>
            </c:dLbl>
            <c:dLbl>
              <c:idx val="3"/>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B4E6-454F-AFBB-850E361ACC1D}"/>
                </c:ext>
                <c:ext xmlns:c15="http://schemas.microsoft.com/office/drawing/2012/chart" uri="{CE6537A1-D6FC-4f65-9D91-7224C49458BB}"/>
              </c:extLst>
            </c:dLbl>
            <c:spPr>
              <a:noFill/>
              <a:ln>
                <a:noFill/>
              </a:ln>
              <a:effectLst/>
            </c:spPr>
            <c:showLegendKey val="0"/>
            <c:showVal val="0"/>
            <c:showCatName val="0"/>
            <c:showSerName val="0"/>
            <c:showPercent val="0"/>
            <c:showBubbleSize val="0"/>
            <c:extLst xmlns:c16r2="http://schemas.microsoft.com/office/drawing/2015/06/char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Feuil1!$B$2:$B$5</c:f>
              <c:numCache>
                <c:formatCode>General</c:formatCode>
                <c:ptCount val="4"/>
                <c:pt idx="0">
                  <c:v>105</c:v>
                </c:pt>
                <c:pt idx="1">
                  <c:v>81</c:v>
                </c:pt>
                <c:pt idx="2">
                  <c:v>65</c:v>
                </c:pt>
                <c:pt idx="3">
                  <c:v>43</c:v>
                </c:pt>
              </c:numCache>
            </c:numRef>
          </c:val>
          <c:extLst xmlns:c16r2="http://schemas.microsoft.com/office/drawing/2015/06/chart">
            <c:ext xmlns:c16="http://schemas.microsoft.com/office/drawing/2014/chart" uri="{C3380CC4-5D6E-409C-BE32-E72D297353CC}">
              <c16:uniqueId val="{00000004-B4E6-454F-AFBB-850E361ACC1D}"/>
            </c:ext>
          </c:extLst>
        </c:ser>
        <c:ser>
          <c:idx val="1"/>
          <c:order val="1"/>
          <c:tx>
            <c:strRef>
              <c:f>Feuil1!$C$1</c:f>
              <c:strCache>
                <c:ptCount val="1"/>
                <c:pt idx="0">
                  <c:v>Cible PNDS 2011-20</c:v>
                </c:pt>
              </c:strCache>
            </c:strRef>
          </c:tx>
          <c:invertIfNegative val="0"/>
          <c:dLbls>
            <c:dLbl>
              <c:idx val="3"/>
              <c:layout>
                <c:manualLayout>
                  <c:x val="1.0100744982634739E-2"/>
                  <c:y val="4.552845528455275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B4E6-454F-AFBB-850E361ACC1D}"/>
                </c:ext>
                <c:ext xmlns:c15="http://schemas.microsoft.com/office/drawing/2012/chart" uri="{CE6537A1-D6FC-4f65-9D91-7224C49458BB}"/>
              </c:extLst>
            </c:dLbl>
            <c:spPr>
              <a:noFill/>
              <a:ln>
                <a:noFill/>
              </a:ln>
              <a:effectLst/>
            </c:spPr>
            <c:txPr>
              <a:bodyPr/>
              <a:lstStyle/>
              <a:p>
                <a:pPr>
                  <a:defRPr sz="800" b="1"/>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Feuil1!$C$2:$C$5</c:f>
              <c:numCache>
                <c:formatCode>General</c:formatCode>
                <c:ptCount val="4"/>
                <c:pt idx="3">
                  <c:v>34</c:v>
                </c:pt>
              </c:numCache>
            </c:numRef>
          </c:val>
          <c:extLst xmlns:c16r2="http://schemas.microsoft.com/office/drawing/2015/06/chart">
            <c:ext xmlns:c16="http://schemas.microsoft.com/office/drawing/2014/chart" uri="{C3380CC4-5D6E-409C-BE32-E72D297353CC}">
              <c16:uniqueId val="{00000006-B4E6-454F-AFBB-850E361ACC1D}"/>
            </c:ext>
          </c:extLst>
        </c:ser>
        <c:ser>
          <c:idx val="2"/>
          <c:order val="2"/>
          <c:tx>
            <c:strRef>
              <c:f>Feuil1!$D$1</c:f>
              <c:strCache>
                <c:ptCount val="1"/>
                <c:pt idx="0">
                  <c:v>Cible OMD</c:v>
                </c:pt>
              </c:strCache>
            </c:strRef>
          </c:tx>
          <c:invertIfNegative val="0"/>
          <c:dLbls>
            <c:dLbl>
              <c:idx val="3"/>
              <c:layout>
                <c:manualLayout>
                  <c:x val="1.0101010101010105E-2"/>
                  <c:y val="-1.3008130081300823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B4E6-454F-AFBB-850E361ACC1D}"/>
                </c:ext>
                <c:ext xmlns:c15="http://schemas.microsoft.com/office/drawing/2012/chart" uri="{CE6537A1-D6FC-4f65-9D91-7224C49458BB}"/>
              </c:extLst>
            </c:dLbl>
            <c:spPr>
              <a:noFill/>
              <a:ln>
                <a:noFill/>
              </a:ln>
              <a:effectLst/>
            </c:spPr>
            <c:txPr>
              <a:bodyPr/>
              <a:lstStyle/>
              <a:p>
                <a:pPr>
                  <a:defRPr sz="800" b="1"/>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Feuil1!$D$2:$D$5</c:f>
              <c:numCache>
                <c:formatCode>General</c:formatCode>
                <c:ptCount val="4"/>
                <c:pt idx="3">
                  <c:v>36</c:v>
                </c:pt>
              </c:numCache>
            </c:numRef>
          </c:val>
          <c:extLst xmlns:c16r2="http://schemas.microsoft.com/office/drawing/2015/06/chart">
            <c:ext xmlns:c16="http://schemas.microsoft.com/office/drawing/2014/chart" uri="{C3380CC4-5D6E-409C-BE32-E72D297353CC}">
              <c16:uniqueId val="{00000008-B4E6-454F-AFBB-850E361ACC1D}"/>
            </c:ext>
          </c:extLst>
        </c:ser>
        <c:ser>
          <c:idx val="3"/>
          <c:order val="3"/>
          <c:tx>
            <c:strRef>
              <c:f>Feuil1!$E$1</c:f>
              <c:strCache>
                <c:ptCount val="1"/>
                <c:pt idx="0">
                  <c:v>Cible SCADD</c:v>
                </c:pt>
              </c:strCache>
            </c:strRef>
          </c:tx>
          <c:invertIfNegative val="0"/>
          <c:dLbls>
            <c:dLbl>
              <c:idx val="3"/>
              <c:layout>
                <c:manualLayout>
                  <c:x val="1.6835016835016835E-2"/>
                  <c:y val="4.5528455284552745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B4E6-454F-AFBB-850E361ACC1D}"/>
                </c:ext>
                <c:ext xmlns:c15="http://schemas.microsoft.com/office/drawing/2012/chart" uri="{CE6537A1-D6FC-4f65-9D91-7224C49458BB}"/>
              </c:extLst>
            </c:dLbl>
            <c:spPr>
              <a:noFill/>
              <a:ln>
                <a:noFill/>
              </a:ln>
              <a:effectLst/>
            </c:spPr>
            <c:txPr>
              <a:bodyPr/>
              <a:lstStyle/>
              <a:p>
                <a:pPr>
                  <a:defRPr sz="800" b="1"/>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Feuil1!$E$2:$E$5</c:f>
              <c:numCache>
                <c:formatCode>General</c:formatCode>
                <c:ptCount val="4"/>
                <c:pt idx="3">
                  <c:v>34</c:v>
                </c:pt>
              </c:numCache>
            </c:numRef>
          </c:val>
          <c:extLst xmlns:c16r2="http://schemas.microsoft.com/office/drawing/2015/06/chart">
            <c:ext xmlns:c16="http://schemas.microsoft.com/office/drawing/2014/chart" uri="{C3380CC4-5D6E-409C-BE32-E72D297353CC}">
              <c16:uniqueId val="{0000000A-B4E6-454F-AFBB-850E361ACC1D}"/>
            </c:ext>
          </c:extLst>
        </c:ser>
        <c:dLbls>
          <c:showLegendKey val="0"/>
          <c:showVal val="0"/>
          <c:showCatName val="0"/>
          <c:showSerName val="0"/>
          <c:showPercent val="0"/>
          <c:showBubbleSize val="0"/>
        </c:dLbls>
        <c:gapWidth val="150"/>
        <c:axId val="-377796128"/>
        <c:axId val="-377809184"/>
      </c:barChart>
      <c:catAx>
        <c:axId val="-377796128"/>
        <c:scaling>
          <c:orientation val="minMax"/>
        </c:scaling>
        <c:delete val="0"/>
        <c:axPos val="b"/>
        <c:numFmt formatCode="General" sourceLinked="0"/>
        <c:majorTickMark val="out"/>
        <c:minorTickMark val="none"/>
        <c:tickLblPos val="nextTo"/>
        <c:txPr>
          <a:bodyPr/>
          <a:lstStyle/>
          <a:p>
            <a:pPr>
              <a:defRPr sz="800" b="1"/>
            </a:pPr>
            <a:endParaRPr lang="fr-FR"/>
          </a:p>
        </c:txPr>
        <c:crossAx val="-377809184"/>
        <c:crosses val="autoZero"/>
        <c:auto val="1"/>
        <c:lblAlgn val="ctr"/>
        <c:lblOffset val="100"/>
        <c:noMultiLvlLbl val="0"/>
      </c:catAx>
      <c:valAx>
        <c:axId val="-377809184"/>
        <c:scaling>
          <c:orientation val="minMax"/>
        </c:scaling>
        <c:delete val="0"/>
        <c:axPos val="l"/>
        <c:majorGridlines/>
        <c:numFmt formatCode="General" sourceLinked="1"/>
        <c:majorTickMark val="out"/>
        <c:minorTickMark val="none"/>
        <c:tickLblPos val="nextTo"/>
        <c:crossAx val="-377796128"/>
        <c:crosses val="autoZero"/>
        <c:crossBetween val="between"/>
      </c:valAx>
    </c:plotArea>
    <c:legend>
      <c:legendPos val="r"/>
      <c:layout>
        <c:manualLayout>
          <c:xMode val="edge"/>
          <c:yMode val="edge"/>
          <c:x val="0.78826066096576608"/>
          <c:y val="3.5337046283848809E-3"/>
          <c:w val="0.1949045616609752"/>
          <c:h val="0.92839168180900467"/>
        </c:manualLayout>
      </c:layout>
      <c:overlay val="0"/>
      <c:txPr>
        <a:bodyPr/>
        <a:lstStyle/>
        <a:p>
          <a:pPr>
            <a:defRPr sz="800"/>
          </a:pPr>
          <a:endParaRPr lang="fr-FR"/>
        </a:p>
      </c:txPr>
    </c:legend>
    <c:plotVisOnly val="1"/>
    <c:dispBlanksAs val="gap"/>
    <c:showDLblsOverMax val="0"/>
  </c:chart>
  <c:spPr>
    <a:solidFill>
      <a:schemeClr val="accent1">
        <a:lumMod val="20000"/>
        <a:lumOff val="80000"/>
      </a:schemeClr>
    </a:solidFill>
  </c:sp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Feuil1!$B$1</c:f>
              <c:strCache>
                <c:ptCount val="1"/>
                <c:pt idx="0">
                  <c:v>Taux de mortalité juvénile (/1000)</c:v>
                </c:pt>
              </c:strCache>
            </c:strRef>
          </c:tx>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Feuil1!$B$2:$B$5</c:f>
              <c:numCache>
                <c:formatCode>General</c:formatCode>
                <c:ptCount val="4"/>
                <c:pt idx="0">
                  <c:v>127</c:v>
                </c:pt>
                <c:pt idx="1">
                  <c:v>111</c:v>
                </c:pt>
                <c:pt idx="2">
                  <c:v>68</c:v>
                </c:pt>
                <c:pt idx="3">
                  <c:v>41</c:v>
                </c:pt>
              </c:numCache>
            </c:numRef>
          </c:val>
          <c:extLst xmlns:c16r2="http://schemas.microsoft.com/office/drawing/2015/06/chart">
            <c:ext xmlns:c16="http://schemas.microsoft.com/office/drawing/2014/chart" uri="{C3380CC4-5D6E-409C-BE32-E72D297353CC}">
              <c16:uniqueId val="{00000000-63B4-406C-B5D5-29D764273944}"/>
            </c:ext>
          </c:extLst>
        </c:ser>
        <c:ser>
          <c:idx val="1"/>
          <c:order val="1"/>
          <c:tx>
            <c:strRef>
              <c:f>Feuil1!$C$1</c:f>
              <c:strCache>
                <c:ptCount val="1"/>
                <c:pt idx="0">
                  <c:v>Cible PNDS 2011-20</c:v>
                </c:pt>
              </c:strCache>
            </c:strRef>
          </c:tx>
          <c:invertIfNegative val="0"/>
          <c:dLbls>
            <c:dLbl>
              <c:idx val="3"/>
              <c:layout>
                <c:manualLayout>
                  <c:x val="1.0230179028133035E-2"/>
                  <c:y val="1.0624169986719801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63B4-406C-B5D5-29D764273944}"/>
                </c:ext>
                <c:ext xmlns:c15="http://schemas.microsoft.com/office/drawing/2012/chart" uri="{CE6537A1-D6FC-4f65-9D91-7224C49458BB}"/>
              </c:extLst>
            </c:dLbl>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Feuil1!$A$2:$A$5</c:f>
              <c:strCache>
                <c:ptCount val="4"/>
                <c:pt idx="0">
                  <c:v>EDS 1998-99</c:v>
                </c:pt>
                <c:pt idx="1">
                  <c:v>EDS 2003</c:v>
                </c:pt>
                <c:pt idx="2">
                  <c:v>EDS 2010</c:v>
                </c:pt>
                <c:pt idx="3">
                  <c:v>EMDS 2015</c:v>
                </c:pt>
              </c:strCache>
            </c:strRef>
          </c:cat>
          <c:val>
            <c:numRef>
              <c:f>Feuil1!$C$2:$C$5</c:f>
              <c:numCache>
                <c:formatCode>General</c:formatCode>
                <c:ptCount val="4"/>
                <c:pt idx="3">
                  <c:v>34</c:v>
                </c:pt>
              </c:numCache>
            </c:numRef>
          </c:val>
          <c:extLst xmlns:c16r2="http://schemas.microsoft.com/office/drawing/2015/06/chart">
            <c:ext xmlns:c16="http://schemas.microsoft.com/office/drawing/2014/chart" uri="{C3380CC4-5D6E-409C-BE32-E72D297353CC}">
              <c16:uniqueId val="{00000002-63B4-406C-B5D5-29D764273944}"/>
            </c:ext>
          </c:extLst>
        </c:ser>
        <c:dLbls>
          <c:showLegendKey val="0"/>
          <c:showVal val="0"/>
          <c:showCatName val="0"/>
          <c:showSerName val="0"/>
          <c:showPercent val="0"/>
          <c:showBubbleSize val="0"/>
        </c:dLbls>
        <c:gapWidth val="150"/>
        <c:axId val="-377807008"/>
        <c:axId val="-377805376"/>
      </c:barChart>
      <c:catAx>
        <c:axId val="-377807008"/>
        <c:scaling>
          <c:orientation val="minMax"/>
        </c:scaling>
        <c:delete val="0"/>
        <c:axPos val="b"/>
        <c:numFmt formatCode="General" sourceLinked="0"/>
        <c:majorTickMark val="out"/>
        <c:minorTickMark val="none"/>
        <c:tickLblPos val="nextTo"/>
        <c:crossAx val="-377805376"/>
        <c:crosses val="autoZero"/>
        <c:auto val="1"/>
        <c:lblAlgn val="ctr"/>
        <c:lblOffset val="100"/>
        <c:noMultiLvlLbl val="0"/>
      </c:catAx>
      <c:valAx>
        <c:axId val="-377805376"/>
        <c:scaling>
          <c:orientation val="minMax"/>
        </c:scaling>
        <c:delete val="0"/>
        <c:axPos val="l"/>
        <c:majorGridlines/>
        <c:numFmt formatCode="General" sourceLinked="1"/>
        <c:majorTickMark val="out"/>
        <c:minorTickMark val="none"/>
        <c:tickLblPos val="nextTo"/>
        <c:crossAx val="-377807008"/>
        <c:crosses val="autoZero"/>
        <c:crossBetween val="between"/>
      </c:valAx>
    </c:plotArea>
    <c:legend>
      <c:legendPos val="r"/>
      <c:overlay val="0"/>
    </c:legend>
    <c:plotVisOnly val="1"/>
    <c:dispBlanksAs val="gap"/>
    <c:showDLblsOverMax val="0"/>
  </c:chart>
  <c:spPr>
    <a:solidFill>
      <a:schemeClr val="accent1">
        <a:lumMod val="20000"/>
        <a:lumOff val="80000"/>
      </a:schemeClr>
    </a:solidFill>
  </c:sp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0136600755329526"/>
          <c:y val="3.4044740223371762E-2"/>
          <c:w val="0.58563486297380052"/>
          <c:h val="0.77589474955798043"/>
        </c:manualLayout>
      </c:layout>
      <c:barChart>
        <c:barDir val="col"/>
        <c:grouping val="clustered"/>
        <c:varyColors val="0"/>
        <c:ser>
          <c:idx val="0"/>
          <c:order val="0"/>
          <c:tx>
            <c:strRef>
              <c:f>Feuil1!$B$1</c:f>
              <c:strCache>
                <c:ptCount val="1"/>
                <c:pt idx="0">
                  <c:v>Mortalité &lt; 5 ans</c:v>
                </c:pt>
              </c:strCache>
            </c:strRef>
          </c:tx>
          <c:invertIfNegative val="0"/>
          <c:dLbls>
            <c:spPr>
              <a:noFill/>
              <a:ln>
                <a:noFill/>
              </a:ln>
              <a:effectLst/>
            </c:spPr>
            <c:txPr>
              <a:bodyPr/>
              <a:lstStyle/>
              <a:p>
                <a:pPr>
                  <a:defRPr sz="800" b="1"/>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Feuil1!$A$2:$A$5</c:f>
              <c:strCache>
                <c:ptCount val="4"/>
                <c:pt idx="0">
                  <c:v>EDS 1998-1999</c:v>
                </c:pt>
                <c:pt idx="1">
                  <c:v>EDS 2003</c:v>
                </c:pt>
                <c:pt idx="2">
                  <c:v>EDS 2010</c:v>
                </c:pt>
                <c:pt idx="3">
                  <c:v>EMDS 2015</c:v>
                </c:pt>
              </c:strCache>
            </c:strRef>
          </c:cat>
          <c:val>
            <c:numRef>
              <c:f>Feuil1!$B$2:$B$5</c:f>
              <c:numCache>
                <c:formatCode>General</c:formatCode>
                <c:ptCount val="4"/>
                <c:pt idx="0">
                  <c:v>219</c:v>
                </c:pt>
                <c:pt idx="1">
                  <c:v>184</c:v>
                </c:pt>
                <c:pt idx="2">
                  <c:v>129</c:v>
                </c:pt>
                <c:pt idx="3">
                  <c:v>82</c:v>
                </c:pt>
              </c:numCache>
            </c:numRef>
          </c:val>
          <c:extLst xmlns:c16r2="http://schemas.microsoft.com/office/drawing/2015/06/chart">
            <c:ext xmlns:c16="http://schemas.microsoft.com/office/drawing/2014/chart" uri="{C3380CC4-5D6E-409C-BE32-E72D297353CC}">
              <c16:uniqueId val="{00000000-71E1-424A-A928-50752F318A3F}"/>
            </c:ext>
          </c:extLst>
        </c:ser>
        <c:ser>
          <c:idx val="1"/>
          <c:order val="1"/>
          <c:tx>
            <c:strRef>
              <c:f>Feuil1!$C$1</c:f>
              <c:strCache>
                <c:ptCount val="1"/>
                <c:pt idx="0">
                  <c:v>Cible PNDS 2011-20</c:v>
                </c:pt>
              </c:strCache>
            </c:strRef>
          </c:tx>
          <c:invertIfNegative val="0"/>
          <c:dLbls>
            <c:spPr>
              <a:noFill/>
              <a:ln>
                <a:noFill/>
              </a:ln>
              <a:effectLst/>
            </c:spPr>
            <c:txPr>
              <a:bodyPr/>
              <a:lstStyle/>
              <a:p>
                <a:pPr>
                  <a:defRPr sz="800" b="1"/>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Feuil1!$A$2:$A$5</c:f>
              <c:strCache>
                <c:ptCount val="4"/>
                <c:pt idx="0">
                  <c:v>EDS 1998-1999</c:v>
                </c:pt>
                <c:pt idx="1">
                  <c:v>EDS 2003</c:v>
                </c:pt>
                <c:pt idx="2">
                  <c:v>EDS 2010</c:v>
                </c:pt>
                <c:pt idx="3">
                  <c:v>EMDS 2015</c:v>
                </c:pt>
              </c:strCache>
            </c:strRef>
          </c:cat>
          <c:val>
            <c:numRef>
              <c:f>Feuil1!$C$2:$C$5</c:f>
              <c:numCache>
                <c:formatCode>General</c:formatCode>
                <c:ptCount val="4"/>
                <c:pt idx="3">
                  <c:v>65</c:v>
                </c:pt>
              </c:numCache>
            </c:numRef>
          </c:val>
          <c:extLst xmlns:c16r2="http://schemas.microsoft.com/office/drawing/2015/06/chart">
            <c:ext xmlns:c16="http://schemas.microsoft.com/office/drawing/2014/chart" uri="{C3380CC4-5D6E-409C-BE32-E72D297353CC}">
              <c16:uniqueId val="{00000001-71E1-424A-A928-50752F318A3F}"/>
            </c:ext>
          </c:extLst>
        </c:ser>
        <c:ser>
          <c:idx val="2"/>
          <c:order val="2"/>
          <c:tx>
            <c:strRef>
              <c:f>Feuil1!$D$1</c:f>
              <c:strCache>
                <c:ptCount val="1"/>
                <c:pt idx="0">
                  <c:v>Cible OMD</c:v>
                </c:pt>
              </c:strCache>
            </c:strRef>
          </c:tx>
          <c:invertIfNegative val="0"/>
          <c:dLbls>
            <c:dLbl>
              <c:idx val="3"/>
              <c:layout>
                <c:manualLayout>
                  <c:x val="6.6500415627597734E-3"/>
                  <c:y val="3.347280334728033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71E1-424A-A928-50752F318A3F}"/>
                </c:ext>
                <c:ext xmlns:c15="http://schemas.microsoft.com/office/drawing/2012/chart" uri="{CE6537A1-D6FC-4f65-9D91-7224C49458BB}"/>
              </c:extLst>
            </c:dLbl>
            <c:spPr>
              <a:noFill/>
              <a:ln>
                <a:noFill/>
              </a:ln>
              <a:effectLst/>
            </c:spPr>
            <c:txPr>
              <a:bodyPr/>
              <a:lstStyle/>
              <a:p>
                <a:pPr>
                  <a:defRPr sz="800" b="1"/>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Feuil1!$A$2:$A$5</c:f>
              <c:strCache>
                <c:ptCount val="4"/>
                <c:pt idx="0">
                  <c:v>EDS 1998-1999</c:v>
                </c:pt>
                <c:pt idx="1">
                  <c:v>EDS 2003</c:v>
                </c:pt>
                <c:pt idx="2">
                  <c:v>EDS 2010</c:v>
                </c:pt>
                <c:pt idx="3">
                  <c:v>EMDS 2015</c:v>
                </c:pt>
              </c:strCache>
            </c:strRef>
          </c:cat>
          <c:val>
            <c:numRef>
              <c:f>Feuil1!$D$2:$D$5</c:f>
              <c:numCache>
                <c:formatCode>General</c:formatCode>
                <c:ptCount val="4"/>
                <c:pt idx="3">
                  <c:v>62</c:v>
                </c:pt>
              </c:numCache>
            </c:numRef>
          </c:val>
          <c:extLst xmlns:c16r2="http://schemas.microsoft.com/office/drawing/2015/06/chart">
            <c:ext xmlns:c16="http://schemas.microsoft.com/office/drawing/2014/chart" uri="{C3380CC4-5D6E-409C-BE32-E72D297353CC}">
              <c16:uniqueId val="{00000003-71E1-424A-A928-50752F318A3F}"/>
            </c:ext>
          </c:extLst>
        </c:ser>
        <c:ser>
          <c:idx val="3"/>
          <c:order val="3"/>
          <c:tx>
            <c:strRef>
              <c:f>Feuil1!$E$1</c:f>
              <c:strCache>
                <c:ptCount val="1"/>
                <c:pt idx="0">
                  <c:v>Cible SCADD</c:v>
                </c:pt>
              </c:strCache>
            </c:strRef>
          </c:tx>
          <c:invertIfNegative val="0"/>
          <c:dLbls>
            <c:dLbl>
              <c:idx val="3"/>
              <c:layout>
                <c:manualLayout>
                  <c:x val="1.3300083125519559E-2"/>
                  <c:y val="3.347280334728033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71E1-424A-A928-50752F318A3F}"/>
                </c:ext>
                <c:ext xmlns:c15="http://schemas.microsoft.com/office/drawing/2012/chart" uri="{CE6537A1-D6FC-4f65-9D91-7224C49458BB}"/>
              </c:extLst>
            </c:dLbl>
            <c:spPr>
              <a:noFill/>
              <a:ln>
                <a:noFill/>
              </a:ln>
              <a:effectLst/>
            </c:spPr>
            <c:txPr>
              <a:bodyPr/>
              <a:lstStyle/>
              <a:p>
                <a:pPr>
                  <a:defRPr sz="800" b="1"/>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Feuil1!$A$2:$A$5</c:f>
              <c:strCache>
                <c:ptCount val="4"/>
                <c:pt idx="0">
                  <c:v>EDS 1998-1999</c:v>
                </c:pt>
                <c:pt idx="1">
                  <c:v>EDS 2003</c:v>
                </c:pt>
                <c:pt idx="2">
                  <c:v>EDS 2010</c:v>
                </c:pt>
                <c:pt idx="3">
                  <c:v>EMDS 2015</c:v>
                </c:pt>
              </c:strCache>
            </c:strRef>
          </c:cat>
          <c:val>
            <c:numRef>
              <c:f>Feuil1!$E$2:$E$5</c:f>
              <c:numCache>
                <c:formatCode>General</c:formatCode>
                <c:ptCount val="4"/>
                <c:pt idx="3">
                  <c:v>53</c:v>
                </c:pt>
              </c:numCache>
            </c:numRef>
          </c:val>
          <c:extLst xmlns:c16r2="http://schemas.microsoft.com/office/drawing/2015/06/chart">
            <c:ext xmlns:c16="http://schemas.microsoft.com/office/drawing/2014/chart" uri="{C3380CC4-5D6E-409C-BE32-E72D297353CC}">
              <c16:uniqueId val="{00000005-71E1-424A-A928-50752F318A3F}"/>
            </c:ext>
          </c:extLst>
        </c:ser>
        <c:dLbls>
          <c:showLegendKey val="0"/>
          <c:showVal val="0"/>
          <c:showCatName val="0"/>
          <c:showSerName val="0"/>
          <c:showPercent val="0"/>
          <c:showBubbleSize val="0"/>
        </c:dLbls>
        <c:gapWidth val="150"/>
        <c:axId val="-377809728"/>
        <c:axId val="-377806464"/>
      </c:barChart>
      <c:catAx>
        <c:axId val="-377809728"/>
        <c:scaling>
          <c:orientation val="minMax"/>
        </c:scaling>
        <c:delete val="0"/>
        <c:axPos val="b"/>
        <c:numFmt formatCode="General" sourceLinked="0"/>
        <c:majorTickMark val="out"/>
        <c:minorTickMark val="none"/>
        <c:tickLblPos val="nextTo"/>
        <c:txPr>
          <a:bodyPr/>
          <a:lstStyle/>
          <a:p>
            <a:pPr>
              <a:defRPr sz="800" b="1"/>
            </a:pPr>
            <a:endParaRPr lang="fr-FR"/>
          </a:p>
        </c:txPr>
        <c:crossAx val="-377806464"/>
        <c:crosses val="autoZero"/>
        <c:auto val="1"/>
        <c:lblAlgn val="ctr"/>
        <c:lblOffset val="100"/>
        <c:noMultiLvlLbl val="0"/>
      </c:catAx>
      <c:valAx>
        <c:axId val="-377806464"/>
        <c:scaling>
          <c:orientation val="minMax"/>
        </c:scaling>
        <c:delete val="0"/>
        <c:axPos val="l"/>
        <c:majorGridlines/>
        <c:numFmt formatCode="General" sourceLinked="1"/>
        <c:majorTickMark val="out"/>
        <c:minorTickMark val="none"/>
        <c:tickLblPos val="nextTo"/>
        <c:txPr>
          <a:bodyPr/>
          <a:lstStyle/>
          <a:p>
            <a:pPr>
              <a:defRPr b="1"/>
            </a:pPr>
            <a:endParaRPr lang="fr-FR"/>
          </a:p>
        </c:txPr>
        <c:crossAx val="-377809728"/>
        <c:crosses val="autoZero"/>
        <c:crossBetween val="between"/>
      </c:valAx>
    </c:plotArea>
    <c:legend>
      <c:legendPos val="r"/>
      <c:layout>
        <c:manualLayout>
          <c:xMode val="edge"/>
          <c:yMode val="edge"/>
          <c:x val="0.72424862497283382"/>
          <c:y val="8.0212207516613579E-2"/>
          <c:w val="0.24949295350820017"/>
          <c:h val="0.44227173730943242"/>
        </c:manualLayout>
      </c:layout>
      <c:overlay val="0"/>
      <c:txPr>
        <a:bodyPr/>
        <a:lstStyle/>
        <a:p>
          <a:pPr>
            <a:defRPr b="1"/>
          </a:pPr>
          <a:endParaRPr lang="fr-FR"/>
        </a:p>
      </c:txPr>
    </c:legend>
    <c:plotVisOnly val="1"/>
    <c:dispBlanksAs val="gap"/>
    <c:showDLblsOverMax val="0"/>
  </c:chart>
  <c:spPr>
    <a:solidFill>
      <a:schemeClr val="accent1">
        <a:lumMod val="20000"/>
        <a:lumOff val="80000"/>
      </a:schemeClr>
    </a:solidFill>
    <a:ln w="9525"/>
  </c:sp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fr-FR" b="1"/>
              <a:t>Evolution de la malnutrition au</a:t>
            </a:r>
            <a:r>
              <a:rPr lang="fr-FR" b="1" baseline="0"/>
              <a:t> Burkina de 1999 à 2017</a:t>
            </a:r>
            <a:endParaRPr lang="fr-FR" b="1"/>
          </a:p>
        </c:rich>
      </c:tx>
      <c:overlay val="0"/>
      <c:spPr>
        <a:noFill/>
        <a:ln>
          <a:noFill/>
        </a:ln>
        <a:effectLst/>
      </c:spPr>
      <c:txPr>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lineChart>
        <c:grouping val="standard"/>
        <c:varyColors val="0"/>
        <c:ser>
          <c:idx val="0"/>
          <c:order val="0"/>
          <c:tx>
            <c:strRef>
              <c:f>Feuil1!$B$1</c:f>
              <c:strCache>
                <c:ptCount val="1"/>
                <c:pt idx="0">
                  <c:v>Malnutrition aigüe globale</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Feuil1!$A$2:$A$6</c:f>
              <c:strCache>
                <c:ptCount val="5"/>
                <c:pt idx="0">
                  <c:v>1998-99</c:v>
                </c:pt>
                <c:pt idx="1">
                  <c:v>2003</c:v>
                </c:pt>
                <c:pt idx="2">
                  <c:v>2010</c:v>
                </c:pt>
                <c:pt idx="3">
                  <c:v>2015</c:v>
                </c:pt>
                <c:pt idx="4">
                  <c:v>2017</c:v>
                </c:pt>
              </c:strCache>
            </c:strRef>
          </c:cat>
          <c:val>
            <c:numRef>
              <c:f>Feuil1!$B$2:$B$6</c:f>
              <c:numCache>
                <c:formatCode>General</c:formatCode>
                <c:ptCount val="5"/>
                <c:pt idx="0">
                  <c:v>13</c:v>
                </c:pt>
                <c:pt idx="1">
                  <c:v>19</c:v>
                </c:pt>
                <c:pt idx="2">
                  <c:v>14</c:v>
                </c:pt>
                <c:pt idx="3">
                  <c:v>10</c:v>
                </c:pt>
                <c:pt idx="4">
                  <c:v>9</c:v>
                </c:pt>
              </c:numCache>
            </c:numRef>
          </c:val>
          <c:smooth val="0"/>
          <c:extLst xmlns:c16r2="http://schemas.microsoft.com/office/drawing/2015/06/chart">
            <c:ext xmlns:c16="http://schemas.microsoft.com/office/drawing/2014/chart" uri="{C3380CC4-5D6E-409C-BE32-E72D297353CC}">
              <c16:uniqueId val="{00000000-2781-4CF6-9581-AA6DE247749C}"/>
            </c:ext>
          </c:extLst>
        </c:ser>
        <c:ser>
          <c:idx val="1"/>
          <c:order val="1"/>
          <c:tx>
            <c:strRef>
              <c:f>Feuil1!$C$1</c:f>
              <c:strCache>
                <c:ptCount val="1"/>
                <c:pt idx="0">
                  <c:v>Malnutrition chronique</c:v>
                </c:pt>
              </c:strCache>
            </c:strRef>
          </c:tx>
          <c:spPr>
            <a:ln w="28575" cap="rnd">
              <a:solidFill>
                <a:schemeClr val="accent2"/>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Feuil1!$A$2:$A$6</c:f>
              <c:strCache>
                <c:ptCount val="5"/>
                <c:pt idx="0">
                  <c:v>1998-99</c:v>
                </c:pt>
                <c:pt idx="1">
                  <c:v>2003</c:v>
                </c:pt>
                <c:pt idx="2">
                  <c:v>2010</c:v>
                </c:pt>
                <c:pt idx="3">
                  <c:v>2015</c:v>
                </c:pt>
                <c:pt idx="4">
                  <c:v>2017</c:v>
                </c:pt>
              </c:strCache>
            </c:strRef>
          </c:cat>
          <c:val>
            <c:numRef>
              <c:f>Feuil1!$C$2:$C$6</c:f>
              <c:numCache>
                <c:formatCode>General</c:formatCode>
                <c:ptCount val="5"/>
                <c:pt idx="0">
                  <c:v>37</c:v>
                </c:pt>
                <c:pt idx="1">
                  <c:v>39</c:v>
                </c:pt>
                <c:pt idx="2">
                  <c:v>35</c:v>
                </c:pt>
                <c:pt idx="3">
                  <c:v>29</c:v>
                </c:pt>
                <c:pt idx="4">
                  <c:v>21</c:v>
                </c:pt>
              </c:numCache>
            </c:numRef>
          </c:val>
          <c:smooth val="0"/>
          <c:extLst xmlns:c16r2="http://schemas.microsoft.com/office/drawing/2015/06/chart">
            <c:ext xmlns:c16="http://schemas.microsoft.com/office/drawing/2014/chart" uri="{C3380CC4-5D6E-409C-BE32-E72D297353CC}">
              <c16:uniqueId val="{00000001-2781-4CF6-9581-AA6DE247749C}"/>
            </c:ext>
          </c:extLst>
        </c:ser>
        <c:ser>
          <c:idx val="2"/>
          <c:order val="2"/>
          <c:tx>
            <c:strRef>
              <c:f>Feuil1!$D$1</c:f>
              <c:strCache>
                <c:ptCount val="1"/>
                <c:pt idx="0">
                  <c:v>Insufisance Pondérale</c:v>
                </c:pt>
              </c:strCache>
            </c:strRef>
          </c:tx>
          <c:spPr>
            <a:ln w="28575" cap="rnd">
              <a:solidFill>
                <a:schemeClr val="accent3"/>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Feuil1!$A$2:$A$6</c:f>
              <c:strCache>
                <c:ptCount val="5"/>
                <c:pt idx="0">
                  <c:v>1998-99</c:v>
                </c:pt>
                <c:pt idx="1">
                  <c:v>2003</c:v>
                </c:pt>
                <c:pt idx="2">
                  <c:v>2010</c:v>
                </c:pt>
                <c:pt idx="3">
                  <c:v>2015</c:v>
                </c:pt>
                <c:pt idx="4">
                  <c:v>2017</c:v>
                </c:pt>
              </c:strCache>
            </c:strRef>
          </c:cat>
          <c:val>
            <c:numRef>
              <c:f>Feuil1!$D$2:$D$6</c:f>
              <c:numCache>
                <c:formatCode>General</c:formatCode>
                <c:ptCount val="5"/>
                <c:pt idx="0">
                  <c:v>34</c:v>
                </c:pt>
                <c:pt idx="1">
                  <c:v>38</c:v>
                </c:pt>
                <c:pt idx="2">
                  <c:v>30</c:v>
                </c:pt>
                <c:pt idx="3">
                  <c:v>20</c:v>
                </c:pt>
                <c:pt idx="4">
                  <c:v>16</c:v>
                </c:pt>
              </c:numCache>
            </c:numRef>
          </c:val>
          <c:smooth val="0"/>
          <c:extLst xmlns:c16r2="http://schemas.microsoft.com/office/drawing/2015/06/chart">
            <c:ext xmlns:c16="http://schemas.microsoft.com/office/drawing/2014/chart" uri="{C3380CC4-5D6E-409C-BE32-E72D297353CC}">
              <c16:uniqueId val="{00000002-2781-4CF6-9581-AA6DE247749C}"/>
            </c:ext>
          </c:extLst>
        </c:ser>
        <c:dLbls>
          <c:showLegendKey val="0"/>
          <c:showVal val="0"/>
          <c:showCatName val="0"/>
          <c:showSerName val="0"/>
          <c:showPercent val="0"/>
          <c:showBubbleSize val="0"/>
        </c:dLbls>
        <c:smooth val="0"/>
        <c:axId val="-377801024"/>
        <c:axId val="-377799936"/>
      </c:lineChart>
      <c:catAx>
        <c:axId val="-3778010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77799936"/>
        <c:crosses val="autoZero"/>
        <c:auto val="1"/>
        <c:lblAlgn val="ctr"/>
        <c:lblOffset val="100"/>
        <c:noMultiLvlLbl val="0"/>
      </c:catAx>
      <c:valAx>
        <c:axId val="-3777999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7780102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12700" cap="flat" cmpd="sng" algn="ctr">
      <a:solidFill>
        <a:schemeClr val="tx1"/>
      </a:solidFill>
      <a:round/>
    </a:ln>
    <a:effectLst/>
  </c:spPr>
  <c:txPr>
    <a:bodyPr/>
    <a:lstStyle/>
    <a:p>
      <a:pPr>
        <a:defRPr/>
      </a:pPr>
      <a:endParaRPr lang="fr-FR"/>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spc="0" baseline="0">
                <a:solidFill>
                  <a:schemeClr val="tx1">
                    <a:lumMod val="65000"/>
                    <a:lumOff val="35000"/>
                  </a:schemeClr>
                </a:solidFill>
                <a:latin typeface="+mn-lt"/>
                <a:ea typeface="+mn-ea"/>
                <a:cs typeface="+mn-cs"/>
              </a:defRPr>
            </a:pPr>
            <a:r>
              <a:rPr lang="fr-FR" sz="1200" b="1"/>
              <a:t>Répartition régionale des taux de CPN4 et Offre de soins prénatals</a:t>
            </a:r>
          </a:p>
        </c:rich>
      </c:tx>
      <c:overlay val="0"/>
      <c:spPr>
        <a:noFill/>
        <a:ln>
          <a:noFill/>
        </a:ln>
        <a:effectLst/>
      </c:spPr>
      <c:txPr>
        <a:bodyPr rot="0" spcFirstLastPara="1" vertOverflow="ellipsis" vert="horz" wrap="square" anchor="ctr" anchorCtr="1"/>
        <a:lstStyle/>
        <a:p>
          <a:pPr>
            <a:defRPr sz="1200" b="1"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0.10518782672827054"/>
          <c:y val="0.13750000000000001"/>
          <c:w val="0.87056974902930517"/>
          <c:h val="0.59441288588926389"/>
        </c:manualLayout>
      </c:layout>
      <c:barChart>
        <c:barDir val="col"/>
        <c:grouping val="clustered"/>
        <c:varyColors val="0"/>
        <c:ser>
          <c:idx val="0"/>
          <c:order val="0"/>
          <c:tx>
            <c:strRef>
              <c:f>Feuil1!$B$1</c:f>
              <c:strCache>
                <c:ptCount val="1"/>
                <c:pt idx="0">
                  <c:v>Taux CPN4</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Feuil1!$A$2:$A$15</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National</c:v>
                </c:pt>
              </c:strCache>
            </c:strRef>
          </c:cat>
          <c:val>
            <c:numRef>
              <c:f>Feuil1!$B$2:$B$15</c:f>
              <c:numCache>
                <c:formatCode>General</c:formatCode>
                <c:ptCount val="14"/>
                <c:pt idx="0">
                  <c:v>15</c:v>
                </c:pt>
                <c:pt idx="1">
                  <c:v>32</c:v>
                </c:pt>
                <c:pt idx="2">
                  <c:v>36</c:v>
                </c:pt>
                <c:pt idx="3">
                  <c:v>37</c:v>
                </c:pt>
                <c:pt idx="4">
                  <c:v>38</c:v>
                </c:pt>
                <c:pt idx="5">
                  <c:v>38</c:v>
                </c:pt>
                <c:pt idx="6">
                  <c:v>38</c:v>
                </c:pt>
                <c:pt idx="7">
                  <c:v>40</c:v>
                </c:pt>
                <c:pt idx="8">
                  <c:v>41</c:v>
                </c:pt>
                <c:pt idx="9">
                  <c:v>41</c:v>
                </c:pt>
                <c:pt idx="10">
                  <c:v>43</c:v>
                </c:pt>
                <c:pt idx="11">
                  <c:v>46</c:v>
                </c:pt>
                <c:pt idx="12">
                  <c:v>47</c:v>
                </c:pt>
                <c:pt idx="13">
                  <c:v>38</c:v>
                </c:pt>
              </c:numCache>
            </c:numRef>
          </c:val>
          <c:extLst xmlns:c16r2="http://schemas.microsoft.com/office/drawing/2015/06/chart">
            <c:ext xmlns:c16="http://schemas.microsoft.com/office/drawing/2014/chart" uri="{C3380CC4-5D6E-409C-BE32-E72D297353CC}">
              <c16:uniqueId val="{00000000-9AFB-489A-9756-621A8CA2B586}"/>
            </c:ext>
          </c:extLst>
        </c:ser>
        <c:ser>
          <c:idx val="1"/>
          <c:order val="1"/>
          <c:tx>
            <c:strRef>
              <c:f>Feuil1!$C$1</c:f>
              <c:strCache>
                <c:ptCount val="1"/>
                <c:pt idx="0">
                  <c:v>Offre soins prénatals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Feuil1!$A$2:$A$15</c:f>
              <c:strCache>
                <c:ptCount val="14"/>
                <c:pt idx="0">
                  <c:v>Boucle du Mouhoun</c:v>
                </c:pt>
                <c:pt idx="1">
                  <c:v>Cascades</c:v>
                </c:pt>
                <c:pt idx="2">
                  <c:v>Centre</c:v>
                </c:pt>
                <c:pt idx="3">
                  <c:v>Centre-Est</c:v>
                </c:pt>
                <c:pt idx="4">
                  <c:v>Centre-Nord</c:v>
                </c:pt>
                <c:pt idx="5">
                  <c:v>Centre-Ouest</c:v>
                </c:pt>
                <c:pt idx="6">
                  <c:v>Centre-Sud</c:v>
                </c:pt>
                <c:pt idx="7">
                  <c:v>Est</c:v>
                </c:pt>
                <c:pt idx="8">
                  <c:v>Hauts-Bassins</c:v>
                </c:pt>
                <c:pt idx="9">
                  <c:v>Nord</c:v>
                </c:pt>
                <c:pt idx="10">
                  <c:v>Plateau Central</c:v>
                </c:pt>
                <c:pt idx="11">
                  <c:v>Sahel</c:v>
                </c:pt>
                <c:pt idx="12">
                  <c:v>Sud-Ouest</c:v>
                </c:pt>
                <c:pt idx="13">
                  <c:v>National</c:v>
                </c:pt>
              </c:strCache>
            </c:strRef>
          </c:cat>
          <c:val>
            <c:numRef>
              <c:f>Feuil1!$C$2:$C$15</c:f>
              <c:numCache>
                <c:formatCode>General</c:formatCode>
                <c:ptCount val="14"/>
                <c:pt idx="0">
                  <c:v>97</c:v>
                </c:pt>
                <c:pt idx="1">
                  <c:v>97</c:v>
                </c:pt>
                <c:pt idx="2">
                  <c:v>59</c:v>
                </c:pt>
                <c:pt idx="3">
                  <c:v>97</c:v>
                </c:pt>
                <c:pt idx="4">
                  <c:v>100</c:v>
                </c:pt>
                <c:pt idx="5">
                  <c:v>91</c:v>
                </c:pt>
                <c:pt idx="6">
                  <c:v>99</c:v>
                </c:pt>
                <c:pt idx="7">
                  <c:v>99</c:v>
                </c:pt>
                <c:pt idx="8">
                  <c:v>83</c:v>
                </c:pt>
                <c:pt idx="9">
                  <c:v>93</c:v>
                </c:pt>
                <c:pt idx="10">
                  <c:v>96</c:v>
                </c:pt>
                <c:pt idx="11">
                  <c:v>98</c:v>
                </c:pt>
                <c:pt idx="12">
                  <c:v>96</c:v>
                </c:pt>
                <c:pt idx="13">
                  <c:v>89</c:v>
                </c:pt>
              </c:numCache>
            </c:numRef>
          </c:val>
          <c:extLst xmlns:c16r2="http://schemas.microsoft.com/office/drawing/2015/06/chart">
            <c:ext xmlns:c16="http://schemas.microsoft.com/office/drawing/2014/chart" uri="{C3380CC4-5D6E-409C-BE32-E72D297353CC}">
              <c16:uniqueId val="{00000001-9AFB-489A-9756-621A8CA2B586}"/>
            </c:ext>
          </c:extLst>
        </c:ser>
        <c:dLbls>
          <c:showLegendKey val="0"/>
          <c:showVal val="0"/>
          <c:showCatName val="0"/>
          <c:showSerName val="0"/>
          <c:showPercent val="0"/>
          <c:showBubbleSize val="0"/>
        </c:dLbls>
        <c:gapWidth val="219"/>
        <c:overlap val="-27"/>
        <c:axId val="-377793408"/>
        <c:axId val="-377793952"/>
      </c:barChart>
      <c:catAx>
        <c:axId val="-3777934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77793952"/>
        <c:crosses val="autoZero"/>
        <c:auto val="1"/>
        <c:lblAlgn val="ctr"/>
        <c:lblOffset val="100"/>
        <c:noMultiLvlLbl val="0"/>
      </c:catAx>
      <c:valAx>
        <c:axId val="-3777939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77793408"/>
        <c:crosses val="autoZero"/>
        <c:crossBetween val="between"/>
      </c:valAx>
      <c:spPr>
        <a:noFill/>
        <a:ln>
          <a:noFill/>
        </a:ln>
        <a:effectLst/>
      </c:spPr>
    </c:plotArea>
    <c:legend>
      <c:legendPos val="b"/>
      <c:layout>
        <c:manualLayout>
          <c:xMode val="edge"/>
          <c:yMode val="edge"/>
          <c:x val="4.1673716405284094E-3"/>
          <c:y val="0.91526321836033109"/>
          <c:w val="0.3569545129172903"/>
          <c:h val="7.5758105994326461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3175" cap="flat" cmpd="sng" algn="ctr">
      <a:solidFill>
        <a:schemeClr val="tx1"/>
      </a:solidFill>
      <a:round/>
    </a:ln>
    <a:effectLst/>
  </c:spPr>
  <c:txPr>
    <a:bodyPr/>
    <a:lstStyle/>
    <a:p>
      <a:pPr>
        <a:defRPr/>
      </a:pPr>
      <a:endParaRPr lang="fr-FR"/>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000" b="1" i="0" u="none" strike="noStrike" kern="1200" spc="0" baseline="0">
                <a:solidFill>
                  <a:schemeClr val="tx1">
                    <a:lumMod val="65000"/>
                    <a:lumOff val="35000"/>
                  </a:schemeClr>
                </a:solidFill>
                <a:latin typeface="+mn-lt"/>
                <a:ea typeface="+mn-ea"/>
                <a:cs typeface="+mn-cs"/>
              </a:defRPr>
            </a:pPr>
            <a:r>
              <a:rPr lang="fr-FR" sz="1000" b="1"/>
              <a:t>Disponibilité</a:t>
            </a:r>
            <a:r>
              <a:rPr lang="fr-FR" sz="1000" b="1" baseline="0"/>
              <a:t> de SONUC</a:t>
            </a:r>
            <a:r>
              <a:rPr lang="fr-FR" sz="1000" b="1" baseline="30000"/>
              <a:t>32</a:t>
            </a:r>
            <a:r>
              <a:rPr lang="fr-FR" sz="1000" b="1" baseline="0"/>
              <a:t>     </a:t>
            </a:r>
            <a:endParaRPr lang="fr-FR" sz="1000" b="1"/>
          </a:p>
        </c:rich>
      </c:tx>
      <c:layout>
        <c:manualLayout>
          <c:xMode val="edge"/>
          <c:yMode val="edge"/>
          <c:x val="0.33917231700204137"/>
          <c:y val="2.8282828282828285E-2"/>
        </c:manualLayout>
      </c:layout>
      <c:overlay val="0"/>
      <c:spPr>
        <a:noFill/>
        <a:ln>
          <a:noFill/>
        </a:ln>
        <a:effectLst/>
      </c:spPr>
      <c:txPr>
        <a:bodyPr rot="0" spcFirstLastPara="1" vertOverflow="ellipsis" vert="horz" wrap="square" anchor="ctr" anchorCtr="1"/>
        <a:lstStyle/>
        <a:p>
          <a:pPr>
            <a:defRPr sz="1000" b="1"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Feuil1!$B$1</c:f>
              <c:strCache>
                <c:ptCount val="1"/>
                <c:pt idx="0">
                  <c:v>Césariennes</c:v>
                </c:pt>
              </c:strCache>
            </c:strRef>
          </c:tx>
          <c:spPr>
            <a:solidFill>
              <a:schemeClr val="accent1"/>
            </a:solidFill>
            <a:ln>
              <a:noFill/>
            </a:ln>
            <a:effectLst/>
          </c:spPr>
          <c:invertIfNegative val="0"/>
          <c:dLbls>
            <c:dLbl>
              <c:idx val="3"/>
              <c:layout>
                <c:manualLayout>
                  <c:x val="-1.2924071082390992E-2"/>
                  <c:y val="4.4296788482834993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D-B33C-43E5-B2B2-FC9D563729BC}"/>
                </c:ext>
                <c:ext xmlns:c15="http://schemas.microsoft.com/office/drawing/2012/chart" uri="{CE6537A1-D6FC-4f65-9D91-7224C49458BB}"/>
              </c:extLst>
            </c:dLbl>
            <c:dLbl>
              <c:idx val="4"/>
              <c:layout>
                <c:manualLayout>
                  <c:x val="-1.0770059235325794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B33C-43E5-B2B2-FC9D563729BC}"/>
                </c:ext>
                <c:ext xmlns:c15="http://schemas.microsoft.com/office/drawing/2012/chart" uri="{CE6537A1-D6FC-4f65-9D91-7224C49458BB}"/>
              </c:extLst>
            </c:dLbl>
            <c:dLbl>
              <c:idx val="7"/>
              <c:layout>
                <c:manualLayout>
                  <c:x val="-8.6160473882606354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B33C-43E5-B2B2-FC9D563729BC}"/>
                </c:ext>
                <c:ext xmlns:c15="http://schemas.microsoft.com/office/drawing/2012/chart" uri="{CE6537A1-D6FC-4f65-9D91-7224C49458BB}"/>
              </c:extLst>
            </c:dLbl>
            <c:dLbl>
              <c:idx val="12"/>
              <c:layout>
                <c:manualLayout>
                  <c:x val="-8.6160473882606354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B33C-43E5-B2B2-FC9D563729BC}"/>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Feuil1!$A$2:$A$14</c:f>
              <c:strCache>
                <c:ptCount val="13"/>
                <c:pt idx="0">
                  <c:v>Boucle du Mohoun</c:v>
                </c:pt>
                <c:pt idx="1">
                  <c:v>Cascades</c:v>
                </c:pt>
                <c:pt idx="2">
                  <c:v>Centre</c:v>
                </c:pt>
                <c:pt idx="3">
                  <c:v>Centre-E</c:v>
                </c:pt>
                <c:pt idx="4">
                  <c:v>Centre-N</c:v>
                </c:pt>
                <c:pt idx="5">
                  <c:v>Centre-O</c:v>
                </c:pt>
                <c:pt idx="6">
                  <c:v>Centre-S</c:v>
                </c:pt>
                <c:pt idx="7">
                  <c:v>Est</c:v>
                </c:pt>
                <c:pt idx="8">
                  <c:v>Hauts-bassins</c:v>
                </c:pt>
                <c:pt idx="9">
                  <c:v>Nord</c:v>
                </c:pt>
                <c:pt idx="10">
                  <c:v>Plateau Central</c:v>
                </c:pt>
                <c:pt idx="11">
                  <c:v>Sahel</c:v>
                </c:pt>
                <c:pt idx="12">
                  <c:v>Sud-Ouest</c:v>
                </c:pt>
              </c:strCache>
            </c:strRef>
          </c:cat>
          <c:val>
            <c:numRef>
              <c:f>Feuil1!$B$2:$B$14</c:f>
              <c:numCache>
                <c:formatCode>General</c:formatCode>
                <c:ptCount val="13"/>
                <c:pt idx="0">
                  <c:v>100</c:v>
                </c:pt>
                <c:pt idx="1">
                  <c:v>67</c:v>
                </c:pt>
                <c:pt idx="2">
                  <c:v>55</c:v>
                </c:pt>
                <c:pt idx="3">
                  <c:v>70</c:v>
                </c:pt>
                <c:pt idx="4">
                  <c:v>100</c:v>
                </c:pt>
                <c:pt idx="5">
                  <c:v>71</c:v>
                </c:pt>
                <c:pt idx="6">
                  <c:v>100</c:v>
                </c:pt>
                <c:pt idx="7">
                  <c:v>100</c:v>
                </c:pt>
                <c:pt idx="8">
                  <c:v>50</c:v>
                </c:pt>
                <c:pt idx="9">
                  <c:v>71</c:v>
                </c:pt>
                <c:pt idx="10">
                  <c:v>75</c:v>
                </c:pt>
                <c:pt idx="11">
                  <c:v>80</c:v>
                </c:pt>
                <c:pt idx="12">
                  <c:v>100</c:v>
                </c:pt>
              </c:numCache>
            </c:numRef>
          </c:val>
          <c:extLst xmlns:c16r2="http://schemas.microsoft.com/office/drawing/2015/06/chart">
            <c:ext xmlns:c16="http://schemas.microsoft.com/office/drawing/2014/chart" uri="{C3380CC4-5D6E-409C-BE32-E72D297353CC}">
              <c16:uniqueId val="{00000000-0A4D-4F53-AECA-E61FBFA576C0}"/>
            </c:ext>
          </c:extLst>
        </c:ser>
        <c:ser>
          <c:idx val="1"/>
          <c:order val="1"/>
          <c:tx>
            <c:strRef>
              <c:f>Feuil1!$C$1</c:f>
              <c:strCache>
                <c:ptCount val="1"/>
                <c:pt idx="0">
                  <c:v>Transfusion</c:v>
                </c:pt>
              </c:strCache>
            </c:strRef>
          </c:tx>
          <c:spPr>
            <a:solidFill>
              <a:schemeClr val="accent2"/>
            </a:solidFill>
            <a:ln>
              <a:noFill/>
            </a:ln>
            <a:effectLst/>
          </c:spPr>
          <c:invertIfNegative val="0"/>
          <c:dLbls>
            <c:dLbl>
              <c:idx val="0"/>
              <c:layout>
                <c:manualLayout>
                  <c:x val="4.3080236941303177E-3"/>
                  <c:y val="-4.519774011299435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B33C-43E5-B2B2-FC9D563729BC}"/>
                </c:ext>
                <c:ext xmlns:c15="http://schemas.microsoft.com/office/drawing/2012/chart" uri="{CE6537A1-D6FC-4f65-9D91-7224C49458BB}"/>
              </c:extLst>
            </c:dLbl>
            <c:dLbl>
              <c:idx val="4"/>
              <c:layout>
                <c:manualLayout>
                  <c:x val="1.2924071082390954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B33C-43E5-B2B2-FC9D563729BC}"/>
                </c:ext>
                <c:ext xmlns:c15="http://schemas.microsoft.com/office/drawing/2012/chart" uri="{CE6537A1-D6FC-4f65-9D91-7224C49458BB}"/>
              </c:extLst>
            </c:dLbl>
            <c:dLbl>
              <c:idx val="7"/>
              <c:layout>
                <c:manualLayout>
                  <c:x val="1.0770059235325794E-2"/>
                  <c:y val="-4.5197740112994352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B33C-43E5-B2B2-FC9D563729BC}"/>
                </c:ext>
                <c:ext xmlns:c15="http://schemas.microsoft.com/office/drawing/2012/chart" uri="{CE6537A1-D6FC-4f65-9D91-7224C49458BB}"/>
              </c:extLst>
            </c:dLbl>
            <c:dLbl>
              <c:idx val="10"/>
              <c:layout>
                <c:manualLayout>
                  <c:x val="0"/>
                  <c:y val="-5.875706214689263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B33C-43E5-B2B2-FC9D563729BC}"/>
                </c:ext>
                <c:ext xmlns:c15="http://schemas.microsoft.com/office/drawing/2012/chart" uri="{CE6537A1-D6FC-4f65-9D91-7224C49458BB}"/>
              </c:extLst>
            </c:dLbl>
            <c:dLbl>
              <c:idx val="11"/>
              <c:layout>
                <c:manualLayout>
                  <c:x val="-2.1540118470651588E-3"/>
                  <c:y val="-5.4237288135593219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B33C-43E5-B2B2-FC9D563729BC}"/>
                </c:ext>
                <c:ext xmlns:c15="http://schemas.microsoft.com/office/drawing/2012/chart" uri="{CE6537A1-D6FC-4f65-9D91-7224C49458BB}"/>
              </c:extLst>
            </c:dLbl>
            <c:dLbl>
              <c:idx val="12"/>
              <c:layout>
                <c:manualLayout>
                  <c:x val="1.2924071082390954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A-B33C-43E5-B2B2-FC9D563729BC}"/>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Feuil1!$A$2:$A$14</c:f>
              <c:strCache>
                <c:ptCount val="13"/>
                <c:pt idx="0">
                  <c:v>Boucle du Mohoun</c:v>
                </c:pt>
                <c:pt idx="1">
                  <c:v>Cascades</c:v>
                </c:pt>
                <c:pt idx="2">
                  <c:v>Centre</c:v>
                </c:pt>
                <c:pt idx="3">
                  <c:v>Centre-E</c:v>
                </c:pt>
                <c:pt idx="4">
                  <c:v>Centre-N</c:v>
                </c:pt>
                <c:pt idx="5">
                  <c:v>Centre-O</c:v>
                </c:pt>
                <c:pt idx="6">
                  <c:v>Centre-S</c:v>
                </c:pt>
                <c:pt idx="7">
                  <c:v>Est</c:v>
                </c:pt>
                <c:pt idx="8">
                  <c:v>Hauts-bassins</c:v>
                </c:pt>
                <c:pt idx="9">
                  <c:v>Nord</c:v>
                </c:pt>
                <c:pt idx="10">
                  <c:v>Plateau Central</c:v>
                </c:pt>
                <c:pt idx="11">
                  <c:v>Sahel</c:v>
                </c:pt>
                <c:pt idx="12">
                  <c:v>Sud-Ouest</c:v>
                </c:pt>
              </c:strCache>
            </c:strRef>
          </c:cat>
          <c:val>
            <c:numRef>
              <c:f>Feuil1!$C$2:$C$14</c:f>
              <c:numCache>
                <c:formatCode>General</c:formatCode>
                <c:ptCount val="13"/>
                <c:pt idx="0">
                  <c:v>100</c:v>
                </c:pt>
                <c:pt idx="1">
                  <c:v>33</c:v>
                </c:pt>
                <c:pt idx="2">
                  <c:v>67</c:v>
                </c:pt>
                <c:pt idx="3">
                  <c:v>70</c:v>
                </c:pt>
                <c:pt idx="4">
                  <c:v>100</c:v>
                </c:pt>
                <c:pt idx="5">
                  <c:v>86</c:v>
                </c:pt>
                <c:pt idx="6">
                  <c:v>75</c:v>
                </c:pt>
                <c:pt idx="7">
                  <c:v>100</c:v>
                </c:pt>
                <c:pt idx="8">
                  <c:v>72</c:v>
                </c:pt>
                <c:pt idx="9">
                  <c:v>86</c:v>
                </c:pt>
                <c:pt idx="10">
                  <c:v>75</c:v>
                </c:pt>
                <c:pt idx="11">
                  <c:v>80</c:v>
                </c:pt>
                <c:pt idx="12">
                  <c:v>100</c:v>
                </c:pt>
              </c:numCache>
            </c:numRef>
          </c:val>
          <c:extLst xmlns:c16r2="http://schemas.microsoft.com/office/drawing/2015/06/chart">
            <c:ext xmlns:c16="http://schemas.microsoft.com/office/drawing/2014/chart" uri="{C3380CC4-5D6E-409C-BE32-E72D297353CC}">
              <c16:uniqueId val="{00000001-0A4D-4F53-AECA-E61FBFA576C0}"/>
            </c:ext>
          </c:extLst>
        </c:ser>
        <c:ser>
          <c:idx val="2"/>
          <c:order val="2"/>
          <c:tx>
            <c:strRef>
              <c:f>Feuil1!$D$1</c:f>
              <c:strCache>
                <c:ptCount val="1"/>
                <c:pt idx="0">
                  <c:v>SONUC</c:v>
                </c:pt>
              </c:strCache>
            </c:strRef>
          </c:tx>
          <c:spPr>
            <a:solidFill>
              <a:schemeClr val="accent3"/>
            </a:solidFill>
            <a:ln>
              <a:noFill/>
            </a:ln>
            <a:effectLst/>
          </c:spPr>
          <c:invertIfNegative val="0"/>
          <c:dLbls>
            <c:dLbl>
              <c:idx val="0"/>
              <c:layout>
                <c:manualLayout>
                  <c:x val="1.2924071082390954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B33C-43E5-B2B2-FC9D563729BC}"/>
                </c:ext>
                <c:ext xmlns:c15="http://schemas.microsoft.com/office/drawing/2012/chart" uri="{CE6537A1-D6FC-4f65-9D91-7224C49458BB}"/>
              </c:extLst>
            </c:dLbl>
            <c:dLbl>
              <c:idx val="1"/>
              <c:layout>
                <c:manualLayout>
                  <c:x val="1.0770059235325794E-2"/>
                  <c:y val="-8.2861566316604703E-17"/>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C-B33C-43E5-B2B2-FC9D563729BC}"/>
                </c:ext>
                <c:ext xmlns:c15="http://schemas.microsoft.com/office/drawing/2012/chart" uri="{CE6537A1-D6FC-4f65-9D91-7224C49458BB}"/>
              </c:extLst>
            </c:dLbl>
            <c:dLbl>
              <c:idx val="10"/>
              <c:layout>
                <c:manualLayout>
                  <c:x val="6.4620355411953182E-3"/>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B33C-43E5-B2B2-FC9D563729BC}"/>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Feuil1!$A$2:$A$14</c:f>
              <c:strCache>
                <c:ptCount val="13"/>
                <c:pt idx="0">
                  <c:v>Boucle du Mohoun</c:v>
                </c:pt>
                <c:pt idx="1">
                  <c:v>Cascades</c:v>
                </c:pt>
                <c:pt idx="2">
                  <c:v>Centre</c:v>
                </c:pt>
                <c:pt idx="3">
                  <c:v>Centre-E</c:v>
                </c:pt>
                <c:pt idx="4">
                  <c:v>Centre-N</c:v>
                </c:pt>
                <c:pt idx="5">
                  <c:v>Centre-O</c:v>
                </c:pt>
                <c:pt idx="6">
                  <c:v>Centre-S</c:v>
                </c:pt>
                <c:pt idx="7">
                  <c:v>Est</c:v>
                </c:pt>
                <c:pt idx="8">
                  <c:v>Hauts-bassins</c:v>
                </c:pt>
                <c:pt idx="9">
                  <c:v>Nord</c:v>
                </c:pt>
                <c:pt idx="10">
                  <c:v>Plateau Central</c:v>
                </c:pt>
                <c:pt idx="11">
                  <c:v>Sahel</c:v>
                </c:pt>
                <c:pt idx="12">
                  <c:v>Sud-Ouest</c:v>
                </c:pt>
              </c:strCache>
            </c:strRef>
          </c:cat>
          <c:val>
            <c:numRef>
              <c:f>Feuil1!$D$2:$D$14</c:f>
              <c:numCache>
                <c:formatCode>General</c:formatCode>
                <c:ptCount val="13"/>
                <c:pt idx="0">
                  <c:v>100</c:v>
                </c:pt>
                <c:pt idx="1">
                  <c:v>33</c:v>
                </c:pt>
                <c:pt idx="2">
                  <c:v>35</c:v>
                </c:pt>
                <c:pt idx="3">
                  <c:v>60</c:v>
                </c:pt>
                <c:pt idx="4">
                  <c:v>15</c:v>
                </c:pt>
                <c:pt idx="5">
                  <c:v>43</c:v>
                </c:pt>
                <c:pt idx="6">
                  <c:v>50</c:v>
                </c:pt>
                <c:pt idx="7">
                  <c:v>60</c:v>
                </c:pt>
                <c:pt idx="8">
                  <c:v>44</c:v>
                </c:pt>
                <c:pt idx="9">
                  <c:v>57</c:v>
                </c:pt>
                <c:pt idx="10">
                  <c:v>75</c:v>
                </c:pt>
                <c:pt idx="11">
                  <c:v>80</c:v>
                </c:pt>
              </c:numCache>
            </c:numRef>
          </c:val>
          <c:extLst xmlns:c16r2="http://schemas.microsoft.com/office/drawing/2015/06/chart">
            <c:ext xmlns:c16="http://schemas.microsoft.com/office/drawing/2014/chart" uri="{C3380CC4-5D6E-409C-BE32-E72D297353CC}">
              <c16:uniqueId val="{00000002-0A4D-4F53-AECA-E61FBFA576C0}"/>
            </c:ext>
          </c:extLst>
        </c:ser>
        <c:dLbls>
          <c:showLegendKey val="0"/>
          <c:showVal val="0"/>
          <c:showCatName val="0"/>
          <c:showSerName val="0"/>
          <c:showPercent val="0"/>
          <c:showBubbleSize val="0"/>
        </c:dLbls>
        <c:gapWidth val="219"/>
        <c:overlap val="-27"/>
        <c:axId val="-377796672"/>
        <c:axId val="-378282944"/>
      </c:barChart>
      <c:catAx>
        <c:axId val="-3777966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78282944"/>
        <c:crosses val="autoZero"/>
        <c:auto val="1"/>
        <c:lblAlgn val="ctr"/>
        <c:lblOffset val="100"/>
        <c:noMultiLvlLbl val="0"/>
      </c:catAx>
      <c:valAx>
        <c:axId val="-3782829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77796672"/>
        <c:crosses val="autoZero"/>
        <c:crossBetween val="between"/>
      </c:valAx>
      <c:spPr>
        <a:noFill/>
        <a:ln>
          <a:noFill/>
        </a:ln>
        <a:effectLst/>
      </c:spPr>
    </c:plotArea>
    <c:legend>
      <c:legendPos val="b"/>
      <c:layout>
        <c:manualLayout>
          <c:xMode val="edge"/>
          <c:yMode val="edge"/>
          <c:x val="0.29905347769028878"/>
          <c:y val="0.84970191226096736"/>
          <c:w val="0.36966676419082511"/>
          <c:h val="7.6271720272254109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24779024496937893"/>
          <c:y val="1.2994313210848644E-2"/>
          <c:w val="0.67556386701662297"/>
          <c:h val="0.90275444736074661"/>
        </c:manualLayout>
      </c:layout>
      <c:barChart>
        <c:barDir val="bar"/>
        <c:grouping val="clustered"/>
        <c:varyColors val="0"/>
        <c:ser>
          <c:idx val="0"/>
          <c:order val="0"/>
          <c:spPr>
            <a:solidFill>
              <a:schemeClr val="accent1"/>
            </a:solidFill>
            <a:ln>
              <a:noFill/>
            </a:ln>
            <a:effectLst/>
          </c:spPr>
          <c:invertIfNegative val="0"/>
          <c:dPt>
            <c:idx val="13"/>
            <c:invertIfNegative val="0"/>
            <c:bubble3D val="0"/>
            <c:spPr>
              <a:solidFill>
                <a:schemeClr val="accent2"/>
              </a:solidFill>
              <a:ln>
                <a:noFill/>
              </a:ln>
              <a:effectLst/>
            </c:spPr>
            <c:extLst xmlns:c16r2="http://schemas.microsoft.com/office/drawing/2015/06/chart">
              <c:ext xmlns:c16="http://schemas.microsoft.com/office/drawing/2014/chart" uri="{C3380CC4-5D6E-409C-BE32-E72D297353CC}">
                <c16:uniqueId val="{00000001-CE7F-4342-A6C3-18BA0636F004}"/>
              </c:ext>
            </c:extLst>
          </c:dPt>
          <c:dLbls>
            <c:spPr>
              <a:noFill/>
              <a:ln>
                <a:noFill/>
              </a:ln>
              <a:effectLst/>
            </c:spPr>
            <c:txPr>
              <a:bodyPr rot="0" spcFirstLastPara="1" vertOverflow="ellipsis" vert="horz" wrap="square" lIns="38100" tIns="19050" rIns="38100" bIns="19050" anchor="ctr" anchorCtr="1">
                <a:spAutoFit/>
              </a:bodyPr>
              <a:lstStyle/>
              <a:p>
                <a:pPr>
                  <a:defRPr sz="7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Feuil5!$A$4:$A$17</c:f>
              <c:strCache>
                <c:ptCount val="14"/>
                <c:pt idx="0">
                  <c:v>Boucle du Mouhoun</c:v>
                </c:pt>
                <c:pt idx="1">
                  <c:v>Cascades</c:v>
                </c:pt>
                <c:pt idx="2">
                  <c:v>Centre</c:v>
                </c:pt>
                <c:pt idx="3">
                  <c:v>Centre Est</c:v>
                </c:pt>
                <c:pt idx="4">
                  <c:v>Centre Nord</c:v>
                </c:pt>
                <c:pt idx="5">
                  <c:v>Centre Ouest</c:v>
                </c:pt>
                <c:pt idx="6">
                  <c:v>Centre Sud</c:v>
                </c:pt>
                <c:pt idx="7">
                  <c:v>Est</c:v>
                </c:pt>
                <c:pt idx="8">
                  <c:v>Hauts Bassins</c:v>
                </c:pt>
                <c:pt idx="9">
                  <c:v>Nord</c:v>
                </c:pt>
                <c:pt idx="10">
                  <c:v>Plateau Central</c:v>
                </c:pt>
                <c:pt idx="11">
                  <c:v>Sahel</c:v>
                </c:pt>
                <c:pt idx="12">
                  <c:v>Sud Ouest</c:v>
                </c:pt>
                <c:pt idx="13">
                  <c:v>Burkina Faso</c:v>
                </c:pt>
              </c:strCache>
            </c:strRef>
          </c:cat>
          <c:val>
            <c:numRef>
              <c:f>Feuil5!$B$4:$B$17</c:f>
              <c:numCache>
                <c:formatCode>_(* #,##0.00_);_(* \(#,##0.00\);_(* "-"??_);_(@_)</c:formatCode>
                <c:ptCount val="14"/>
                <c:pt idx="0">
                  <c:v>69.915744833826139</c:v>
                </c:pt>
                <c:pt idx="1">
                  <c:v>74.456147497802945</c:v>
                </c:pt>
                <c:pt idx="2">
                  <c:v>76.772008914524051</c:v>
                </c:pt>
                <c:pt idx="3">
                  <c:v>78.28601103444197</c:v>
                </c:pt>
                <c:pt idx="4">
                  <c:v>79.627157915787251</c:v>
                </c:pt>
                <c:pt idx="5">
                  <c:v>80.956273784778091</c:v>
                </c:pt>
                <c:pt idx="6">
                  <c:v>82.504688527204593</c:v>
                </c:pt>
                <c:pt idx="7">
                  <c:v>83.544886368121851</c:v>
                </c:pt>
                <c:pt idx="8">
                  <c:v>85.941461378423</c:v>
                </c:pt>
                <c:pt idx="9">
                  <c:v>88.861947170851238</c:v>
                </c:pt>
                <c:pt idx="10">
                  <c:v>90.66721946007118</c:v>
                </c:pt>
                <c:pt idx="11">
                  <c:v>97.749617101570095</c:v>
                </c:pt>
                <c:pt idx="12">
                  <c:v>98.751382941079953</c:v>
                </c:pt>
                <c:pt idx="13">
                  <c:v>83.946240156421155</c:v>
                </c:pt>
              </c:numCache>
            </c:numRef>
          </c:val>
          <c:extLst xmlns:c16r2="http://schemas.microsoft.com/office/drawing/2015/06/chart">
            <c:ext xmlns:c16="http://schemas.microsoft.com/office/drawing/2014/chart" uri="{C3380CC4-5D6E-409C-BE32-E72D297353CC}">
              <c16:uniqueId val="{00000002-CE7F-4342-A6C3-18BA0636F004}"/>
            </c:ext>
          </c:extLst>
        </c:ser>
        <c:dLbls>
          <c:showLegendKey val="0"/>
          <c:showVal val="0"/>
          <c:showCatName val="0"/>
          <c:showSerName val="0"/>
          <c:showPercent val="0"/>
          <c:showBubbleSize val="0"/>
        </c:dLbls>
        <c:gapWidth val="182"/>
        <c:axId val="-378278592"/>
        <c:axId val="-378282400"/>
      </c:barChart>
      <c:catAx>
        <c:axId val="-37827859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78282400"/>
        <c:crosses val="autoZero"/>
        <c:auto val="1"/>
        <c:lblAlgn val="ctr"/>
        <c:lblOffset val="100"/>
        <c:noMultiLvlLbl val="0"/>
      </c:catAx>
      <c:valAx>
        <c:axId val="-378282400"/>
        <c:scaling>
          <c:orientation val="minMax"/>
        </c:scaling>
        <c:delete val="1"/>
        <c:axPos val="b"/>
        <c:numFmt formatCode="_(* #,##0.00_);_(* \(#,##0.00\);_(* &quot;-&quot;??_);_(@_)" sourceLinked="1"/>
        <c:majorTickMark val="none"/>
        <c:minorTickMark val="none"/>
        <c:tickLblPos val="nextTo"/>
        <c:crossAx val="-3782785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Taux utilisation de méthodes contraceptives 2013-17</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lineChart>
        <c:grouping val="standard"/>
        <c:varyColors val="0"/>
        <c:ser>
          <c:idx val="0"/>
          <c:order val="0"/>
          <c:tx>
            <c:strRef>
              <c:f>Feuil1!$B$1</c:f>
              <c:strCache>
                <c:ptCount val="1"/>
                <c:pt idx="0">
                  <c:v>Taux utilisation de méthodes contraceptives</c:v>
                </c:pt>
              </c:strCache>
            </c:strRef>
          </c:tx>
          <c:spPr>
            <a:ln w="28575" cap="rnd">
              <a:solidFill>
                <a:schemeClr val="accent1"/>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Feuil1!$A$2:$A$6</c:f>
              <c:numCache>
                <c:formatCode>General</c:formatCode>
                <c:ptCount val="5"/>
                <c:pt idx="0">
                  <c:v>2013</c:v>
                </c:pt>
                <c:pt idx="1">
                  <c:v>2014</c:v>
                </c:pt>
                <c:pt idx="2">
                  <c:v>2015</c:v>
                </c:pt>
                <c:pt idx="3">
                  <c:v>2016</c:v>
                </c:pt>
                <c:pt idx="4">
                  <c:v>2017</c:v>
                </c:pt>
              </c:numCache>
            </c:numRef>
          </c:cat>
          <c:val>
            <c:numRef>
              <c:f>Feuil1!$B$2:$B$6</c:f>
              <c:numCache>
                <c:formatCode>General</c:formatCode>
                <c:ptCount val="5"/>
                <c:pt idx="0">
                  <c:v>32.4</c:v>
                </c:pt>
                <c:pt idx="1">
                  <c:v>34.299999999999997</c:v>
                </c:pt>
                <c:pt idx="2">
                  <c:v>31.1</c:v>
                </c:pt>
                <c:pt idx="3">
                  <c:v>31.7</c:v>
                </c:pt>
                <c:pt idx="4">
                  <c:v>27.5</c:v>
                </c:pt>
              </c:numCache>
            </c:numRef>
          </c:val>
          <c:smooth val="0"/>
          <c:extLst xmlns:c16r2="http://schemas.microsoft.com/office/drawing/2015/06/chart">
            <c:ext xmlns:c16="http://schemas.microsoft.com/office/drawing/2014/chart" uri="{C3380CC4-5D6E-409C-BE32-E72D297353CC}">
              <c16:uniqueId val="{00000000-5192-46B9-A891-528BC3D07D20}"/>
            </c:ext>
          </c:extLst>
        </c:ser>
        <c:dLbls>
          <c:showLegendKey val="0"/>
          <c:showVal val="0"/>
          <c:showCatName val="0"/>
          <c:showSerName val="0"/>
          <c:showPercent val="0"/>
          <c:showBubbleSize val="0"/>
        </c:dLbls>
        <c:smooth val="0"/>
        <c:axId val="-378276416"/>
        <c:axId val="-378275328"/>
      </c:lineChart>
      <c:catAx>
        <c:axId val="-37827641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78275328"/>
        <c:crosses val="autoZero"/>
        <c:auto val="1"/>
        <c:lblAlgn val="ctr"/>
        <c:lblOffset val="100"/>
        <c:noMultiLvlLbl val="0"/>
      </c:catAx>
      <c:valAx>
        <c:axId val="-3782753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7827641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12700" cap="flat" cmpd="sng" algn="ctr">
      <a:solidFill>
        <a:schemeClr val="tx1"/>
      </a:solidFill>
      <a:round/>
    </a:ln>
    <a:effectLst/>
  </c:spPr>
  <c:txPr>
    <a:bodyPr/>
    <a:lstStyle/>
    <a:p>
      <a:pPr>
        <a:defRPr/>
      </a:pPr>
      <a:endParaRPr lang="fr-FR"/>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Feuil3!$A$7</c:f>
              <c:strCache>
                <c:ptCount val="1"/>
                <c:pt idx="0">
                  <c:v>CPN1</c:v>
                </c:pt>
              </c:strCache>
            </c:strRef>
          </c:tx>
          <c:spPr>
            <a:solidFill>
              <a:srgbClr val="92D050"/>
            </a:solidFill>
          </c:spPr>
          <c:invertIfNegative val="0"/>
          <c:cat>
            <c:strRef>
              <c:f>Feuil3!$B$4:$L$6</c:f>
              <c:strCache>
                <c:ptCount val="11"/>
                <c:pt idx="0">
                  <c:v>BOUCLE DU MOUHOUN</c:v>
                </c:pt>
                <c:pt idx="1">
                  <c:v>CENTRE</c:v>
                </c:pt>
                <c:pt idx="2">
                  <c:v>CENTRE EST</c:v>
                </c:pt>
                <c:pt idx="3">
                  <c:v>CENTRE NORD</c:v>
                </c:pt>
                <c:pt idx="4">
                  <c:v>CENTRE OUEST</c:v>
                </c:pt>
                <c:pt idx="5">
                  <c:v>CENTRE SUD</c:v>
                </c:pt>
                <c:pt idx="6">
                  <c:v>DRS EST</c:v>
                </c:pt>
                <c:pt idx="7">
                  <c:v>HAUT BASSIN</c:v>
                </c:pt>
                <c:pt idx="8">
                  <c:v>DRS NORD</c:v>
                </c:pt>
                <c:pt idx="9">
                  <c:v>PLATEAU CENTRAL</c:v>
                </c:pt>
                <c:pt idx="10">
                  <c:v>SAHEL</c:v>
                </c:pt>
              </c:strCache>
            </c:strRef>
          </c:cat>
          <c:val>
            <c:numRef>
              <c:f>Feuil3!$B$7:$L$7</c:f>
              <c:numCache>
                <c:formatCode>General</c:formatCode>
                <c:ptCount val="11"/>
                <c:pt idx="0" formatCode="0%">
                  <c:v>0.23</c:v>
                </c:pt>
                <c:pt idx="2" formatCode="0%">
                  <c:v>0.22</c:v>
                </c:pt>
                <c:pt idx="4" formatCode="0%">
                  <c:v>0.27</c:v>
                </c:pt>
                <c:pt idx="5" formatCode="0%">
                  <c:v>0.39000000000000201</c:v>
                </c:pt>
                <c:pt idx="9" formatCode="0%">
                  <c:v>0.28000000000000008</c:v>
                </c:pt>
              </c:numCache>
            </c:numRef>
          </c:val>
          <c:extLst xmlns:c16r2="http://schemas.microsoft.com/office/drawing/2015/06/chart">
            <c:ext xmlns:c16="http://schemas.microsoft.com/office/drawing/2014/chart" uri="{C3380CC4-5D6E-409C-BE32-E72D297353CC}">
              <c16:uniqueId val="{00000000-F53A-43E8-8280-641B665586A5}"/>
            </c:ext>
          </c:extLst>
        </c:ser>
        <c:ser>
          <c:idx val="1"/>
          <c:order val="1"/>
          <c:tx>
            <c:strRef>
              <c:f>Feuil3!$A$8</c:f>
              <c:strCache>
                <c:ptCount val="1"/>
                <c:pt idx="0">
                  <c:v>DEPISTAGE FE</c:v>
                </c:pt>
              </c:strCache>
            </c:strRef>
          </c:tx>
          <c:spPr>
            <a:solidFill>
              <a:srgbClr val="FFFF00"/>
            </a:solidFill>
          </c:spPr>
          <c:invertIfNegative val="0"/>
          <c:cat>
            <c:strRef>
              <c:f>Feuil3!$B$4:$L$6</c:f>
              <c:strCache>
                <c:ptCount val="11"/>
                <c:pt idx="0">
                  <c:v>BOUCLE DU MOUHOUN</c:v>
                </c:pt>
                <c:pt idx="1">
                  <c:v>CENTRE</c:v>
                </c:pt>
                <c:pt idx="2">
                  <c:v>CENTRE EST</c:v>
                </c:pt>
                <c:pt idx="3">
                  <c:v>CENTRE NORD</c:v>
                </c:pt>
                <c:pt idx="4">
                  <c:v>CENTRE OUEST</c:v>
                </c:pt>
                <c:pt idx="5">
                  <c:v>CENTRE SUD</c:v>
                </c:pt>
                <c:pt idx="6">
                  <c:v>DRS EST</c:v>
                </c:pt>
                <c:pt idx="7">
                  <c:v>HAUT BASSIN</c:v>
                </c:pt>
                <c:pt idx="8">
                  <c:v>DRS NORD</c:v>
                </c:pt>
                <c:pt idx="9">
                  <c:v>PLATEAU CENTRAL</c:v>
                </c:pt>
                <c:pt idx="10">
                  <c:v>SAHEL</c:v>
                </c:pt>
              </c:strCache>
            </c:strRef>
          </c:cat>
          <c:val>
            <c:numRef>
              <c:f>Feuil3!$B$8:$L$8</c:f>
              <c:numCache>
                <c:formatCode>0%</c:formatCode>
                <c:ptCount val="11"/>
                <c:pt idx="0">
                  <c:v>0.2</c:v>
                </c:pt>
                <c:pt idx="1">
                  <c:v>0.25</c:v>
                </c:pt>
                <c:pt idx="2">
                  <c:v>0.21000000000000021</c:v>
                </c:pt>
                <c:pt idx="4">
                  <c:v>0.28000000000000008</c:v>
                </c:pt>
                <c:pt idx="5">
                  <c:v>0.35000000000000031</c:v>
                </c:pt>
                <c:pt idx="9">
                  <c:v>0.28000000000000008</c:v>
                </c:pt>
              </c:numCache>
            </c:numRef>
          </c:val>
          <c:extLst xmlns:c16r2="http://schemas.microsoft.com/office/drawing/2015/06/chart">
            <c:ext xmlns:c16="http://schemas.microsoft.com/office/drawing/2014/chart" uri="{C3380CC4-5D6E-409C-BE32-E72D297353CC}">
              <c16:uniqueId val="{00000001-F53A-43E8-8280-641B665586A5}"/>
            </c:ext>
          </c:extLst>
        </c:ser>
        <c:ser>
          <c:idx val="2"/>
          <c:order val="2"/>
          <c:tx>
            <c:strRef>
              <c:f>Feuil3!$A$9</c:f>
              <c:strCache>
                <c:ptCount val="1"/>
                <c:pt idx="0">
                  <c:v>ARV PTME</c:v>
                </c:pt>
              </c:strCache>
            </c:strRef>
          </c:tx>
          <c:spPr>
            <a:solidFill>
              <a:srgbClr val="FF0000"/>
            </a:solidFill>
          </c:spPr>
          <c:invertIfNegative val="0"/>
          <c:cat>
            <c:strRef>
              <c:f>Feuil3!$B$4:$L$6</c:f>
              <c:strCache>
                <c:ptCount val="11"/>
                <c:pt idx="0">
                  <c:v>BOUCLE DU MOUHOUN</c:v>
                </c:pt>
                <c:pt idx="1">
                  <c:v>CENTRE</c:v>
                </c:pt>
                <c:pt idx="2">
                  <c:v>CENTRE EST</c:v>
                </c:pt>
                <c:pt idx="3">
                  <c:v>CENTRE NORD</c:v>
                </c:pt>
                <c:pt idx="4">
                  <c:v>CENTRE OUEST</c:v>
                </c:pt>
                <c:pt idx="5">
                  <c:v>CENTRE SUD</c:v>
                </c:pt>
                <c:pt idx="6">
                  <c:v>DRS EST</c:v>
                </c:pt>
                <c:pt idx="7">
                  <c:v>HAUT BASSIN</c:v>
                </c:pt>
                <c:pt idx="8">
                  <c:v>DRS NORD</c:v>
                </c:pt>
                <c:pt idx="9">
                  <c:v>PLATEAU CENTRAL</c:v>
                </c:pt>
                <c:pt idx="10">
                  <c:v>SAHEL</c:v>
                </c:pt>
              </c:strCache>
            </c:strRef>
          </c:cat>
          <c:val>
            <c:numRef>
              <c:f>Feuil3!$B$9:$L$9</c:f>
              <c:numCache>
                <c:formatCode>0%</c:formatCode>
                <c:ptCount val="11"/>
                <c:pt idx="1">
                  <c:v>0.45</c:v>
                </c:pt>
                <c:pt idx="2">
                  <c:v>0.4</c:v>
                </c:pt>
                <c:pt idx="3">
                  <c:v>0.45</c:v>
                </c:pt>
                <c:pt idx="4">
                  <c:v>0.58000000000000007</c:v>
                </c:pt>
                <c:pt idx="5">
                  <c:v>0.4</c:v>
                </c:pt>
                <c:pt idx="6">
                  <c:v>0.45</c:v>
                </c:pt>
                <c:pt idx="7">
                  <c:v>0.22</c:v>
                </c:pt>
                <c:pt idx="8">
                  <c:v>0.41000000000000031</c:v>
                </c:pt>
                <c:pt idx="10">
                  <c:v>0.21000000000000021</c:v>
                </c:pt>
              </c:numCache>
            </c:numRef>
          </c:val>
          <c:extLst xmlns:c16r2="http://schemas.microsoft.com/office/drawing/2015/06/chart">
            <c:ext xmlns:c16="http://schemas.microsoft.com/office/drawing/2014/chart" uri="{C3380CC4-5D6E-409C-BE32-E72D297353CC}">
              <c16:uniqueId val="{00000002-F53A-43E8-8280-641B665586A5}"/>
            </c:ext>
          </c:extLst>
        </c:ser>
        <c:dLbls>
          <c:showLegendKey val="0"/>
          <c:showVal val="0"/>
          <c:showCatName val="0"/>
          <c:showSerName val="0"/>
          <c:showPercent val="0"/>
          <c:showBubbleSize val="0"/>
        </c:dLbls>
        <c:gapWidth val="150"/>
        <c:axId val="-378281856"/>
        <c:axId val="-378269344"/>
      </c:barChart>
      <c:catAx>
        <c:axId val="-378281856"/>
        <c:scaling>
          <c:orientation val="minMax"/>
        </c:scaling>
        <c:delete val="0"/>
        <c:axPos val="b"/>
        <c:numFmt formatCode="General" sourceLinked="0"/>
        <c:majorTickMark val="out"/>
        <c:minorTickMark val="none"/>
        <c:tickLblPos val="nextTo"/>
        <c:txPr>
          <a:bodyPr/>
          <a:lstStyle/>
          <a:p>
            <a:pPr>
              <a:defRPr sz="800"/>
            </a:pPr>
            <a:endParaRPr lang="fr-FR"/>
          </a:p>
        </c:txPr>
        <c:crossAx val="-378269344"/>
        <c:crosses val="autoZero"/>
        <c:auto val="1"/>
        <c:lblAlgn val="ctr"/>
        <c:lblOffset val="100"/>
        <c:noMultiLvlLbl val="0"/>
      </c:catAx>
      <c:valAx>
        <c:axId val="-378269344"/>
        <c:scaling>
          <c:orientation val="minMax"/>
        </c:scaling>
        <c:delete val="0"/>
        <c:axPos val="l"/>
        <c:majorGridlines/>
        <c:numFmt formatCode="0%" sourceLinked="1"/>
        <c:majorTickMark val="out"/>
        <c:minorTickMark val="none"/>
        <c:tickLblPos val="nextTo"/>
        <c:txPr>
          <a:bodyPr/>
          <a:lstStyle/>
          <a:p>
            <a:pPr>
              <a:defRPr sz="900"/>
            </a:pPr>
            <a:endParaRPr lang="fr-FR"/>
          </a:p>
        </c:txPr>
        <c:crossAx val="-378281856"/>
        <c:crosses val="autoZero"/>
        <c:crossBetween val="between"/>
      </c:valAx>
      <c:spPr>
        <a:scene3d>
          <a:camera prst="orthographicFront"/>
          <a:lightRig rig="threePt" dir="t"/>
        </a:scene3d>
        <a:sp3d>
          <a:bevelT/>
        </a:sp3d>
      </c:spPr>
    </c:plotArea>
    <c:legend>
      <c:legendPos val="r"/>
      <c:overlay val="0"/>
      <c:txPr>
        <a:bodyPr/>
        <a:lstStyle/>
        <a:p>
          <a:pPr>
            <a:defRPr sz="800"/>
          </a:pPr>
          <a:endParaRPr lang="fr-FR"/>
        </a:p>
      </c:txPr>
    </c:legend>
    <c:plotVisOnly val="1"/>
    <c:dispBlanksAs val="gap"/>
    <c:showDLblsOverMax val="0"/>
  </c:chart>
  <c:spPr>
    <a:solidFill>
      <a:schemeClr val="lt1"/>
    </a:solidFill>
    <a:ln w="25400" cap="flat" cmpd="sng" algn="ctr">
      <a:solidFill>
        <a:schemeClr val="dk1"/>
      </a:solidFill>
      <a:prstDash val="solid"/>
    </a:ln>
    <a:effectLst/>
  </c:spPr>
  <c:txPr>
    <a:bodyPr/>
    <a:lstStyle/>
    <a:p>
      <a:pPr>
        <a:defRPr>
          <a:solidFill>
            <a:schemeClr val="dk1"/>
          </a:solidFill>
          <a:latin typeface="+mn-lt"/>
          <a:ea typeface="+mn-ea"/>
          <a:cs typeface="+mn-cs"/>
        </a:defRPr>
      </a:pPr>
      <a:endParaRPr lang="fr-FR"/>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21"/>
    </mc:Choice>
    <mc:Fallback>
      <c:style val="21"/>
    </mc:Fallback>
  </mc:AlternateContent>
  <c:clrMapOvr bg1="lt1" tx1="dk1" bg2="lt2" tx2="dk2" accent1="accent1" accent2="accent2" accent3="accent3" accent4="accent4" accent5="accent5" accent6="accent6" hlink="hlink" folHlink="folHlink"/>
  <c:chart>
    <c:title>
      <c:layout>
        <c:manualLayout>
          <c:xMode val="edge"/>
          <c:yMode val="edge"/>
          <c:x val="0.35791030064070972"/>
          <c:y val="0"/>
        </c:manualLayout>
      </c:layout>
      <c:overlay val="0"/>
      <c:txPr>
        <a:bodyPr/>
        <a:lstStyle/>
        <a:p>
          <a:pPr>
            <a:defRPr sz="1000"/>
          </a:pPr>
          <a:endParaRPr lang="fr-FR"/>
        </a:p>
      </c:txPr>
    </c:title>
    <c:autoTitleDeleted val="0"/>
    <c:plotArea>
      <c:layout/>
      <c:barChart>
        <c:barDir val="bar"/>
        <c:grouping val="clustered"/>
        <c:varyColors val="0"/>
        <c:ser>
          <c:idx val="0"/>
          <c:order val="0"/>
          <c:tx>
            <c:strRef>
              <c:f>Feuil7!$E$7</c:f>
              <c:strCache>
                <c:ptCount val="1"/>
                <c:pt idx="0">
                  <c:v>Nutrition</c:v>
                </c:pt>
              </c:strCache>
            </c:strRef>
          </c:tx>
          <c:invertIfNegative val="0"/>
          <c:dLbls>
            <c:spPr>
              <a:noFill/>
              <a:ln>
                <a:noFill/>
              </a:ln>
              <a:effectLst/>
            </c:sp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strRef>
              <c:f>Feuil7!$B$8:$B$10</c:f>
              <c:strCache>
                <c:ptCount val="3"/>
                <c:pt idx="0">
                  <c:v>Extrants</c:v>
                </c:pt>
                <c:pt idx="1">
                  <c:v>Prestations</c:v>
                </c:pt>
                <c:pt idx="2">
                  <c:v>Intrants</c:v>
                </c:pt>
              </c:strCache>
            </c:strRef>
          </c:cat>
          <c:val>
            <c:numRef>
              <c:f>Feuil7!$E$8:$E$10</c:f>
              <c:numCache>
                <c:formatCode>General</c:formatCode>
                <c:ptCount val="3"/>
                <c:pt idx="0">
                  <c:v>62.4</c:v>
                </c:pt>
                <c:pt idx="1">
                  <c:v>65.5</c:v>
                </c:pt>
                <c:pt idx="2">
                  <c:v>46.6</c:v>
                </c:pt>
              </c:numCache>
            </c:numRef>
          </c:val>
          <c:extLst xmlns:c16r2="http://schemas.microsoft.com/office/drawing/2015/06/chart">
            <c:ext xmlns:c16="http://schemas.microsoft.com/office/drawing/2014/chart" uri="{C3380CC4-5D6E-409C-BE32-E72D297353CC}">
              <c16:uniqueId val="{00000000-360B-4CBA-AF4F-05C089E0D430}"/>
            </c:ext>
          </c:extLst>
        </c:ser>
        <c:dLbls>
          <c:showLegendKey val="0"/>
          <c:showVal val="0"/>
          <c:showCatName val="0"/>
          <c:showSerName val="0"/>
          <c:showPercent val="0"/>
          <c:showBubbleSize val="0"/>
        </c:dLbls>
        <c:gapWidth val="150"/>
        <c:axId val="-378281312"/>
        <c:axId val="-378276960"/>
      </c:barChart>
      <c:catAx>
        <c:axId val="-378281312"/>
        <c:scaling>
          <c:orientation val="minMax"/>
        </c:scaling>
        <c:delete val="0"/>
        <c:axPos val="l"/>
        <c:numFmt formatCode="General" sourceLinked="0"/>
        <c:majorTickMark val="out"/>
        <c:minorTickMark val="none"/>
        <c:tickLblPos val="nextTo"/>
        <c:crossAx val="-378276960"/>
        <c:crosses val="autoZero"/>
        <c:auto val="1"/>
        <c:lblAlgn val="ctr"/>
        <c:lblOffset val="100"/>
        <c:noMultiLvlLbl val="0"/>
      </c:catAx>
      <c:valAx>
        <c:axId val="-378276960"/>
        <c:scaling>
          <c:orientation val="minMax"/>
        </c:scaling>
        <c:delete val="0"/>
        <c:axPos val="b"/>
        <c:majorGridlines/>
        <c:numFmt formatCode="General" sourceLinked="1"/>
        <c:majorTickMark val="out"/>
        <c:minorTickMark val="none"/>
        <c:tickLblPos val="nextTo"/>
        <c:crossAx val="-378281312"/>
        <c:crosses val="autoZero"/>
        <c:crossBetween val="between"/>
        <c:majorUnit val="50"/>
        <c:minorUnit val="50"/>
      </c:valAx>
    </c:plotArea>
    <c:plotVisOnly val="1"/>
    <c:dispBlanksAs val="gap"/>
    <c:showDLblsOverMax val="0"/>
  </c:chart>
  <c:txPr>
    <a:bodyPr/>
    <a:lstStyle/>
    <a:p>
      <a:pPr>
        <a:defRPr>
          <a:latin typeface="Arial" pitchFamily="34" charset="0"/>
          <a:cs typeface="Arial" pitchFamily="34" charset="0"/>
        </a:defRPr>
      </a:pPr>
      <a:endParaRPr lang="fr-FR"/>
    </a:p>
  </c:txPr>
  <c:externalData r:id="rId2">
    <c:autoUpdate val="0"/>
  </c:externalData>
  <c:userShapes r:id="rId3"/>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800" b="1"/>
              <a:t>Indice de capacité opérationnelle des services généraux et scores moyens des éléments de calcul</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Feuil1!$B$1</c:f>
              <c:strCache>
                <c:ptCount val="1"/>
                <c:pt idx="0">
                  <c:v>Série 1</c:v>
                </c:pt>
              </c:strCache>
            </c:strRef>
          </c:tx>
          <c:spPr>
            <a:solidFill>
              <a:schemeClr val="accent1"/>
            </a:solidFill>
            <a:ln>
              <a:noFill/>
            </a:ln>
            <a:effectLst/>
          </c:spPr>
          <c:invertIfNegative val="0"/>
          <c:dPt>
            <c:idx val="0"/>
            <c:invertIfNegative val="0"/>
            <c:bubble3D val="0"/>
            <c:spPr>
              <a:solidFill>
                <a:srgbClr val="FF0000"/>
              </a:solidFill>
              <a:ln>
                <a:noFill/>
              </a:ln>
              <a:effectLst/>
            </c:spPr>
            <c:extLst xmlns:c16r2="http://schemas.microsoft.com/office/drawing/2015/06/chart">
              <c:ext xmlns:c16="http://schemas.microsoft.com/office/drawing/2014/chart" uri="{C3380CC4-5D6E-409C-BE32-E72D297353CC}">
                <c16:uniqueId val="{00000001-57B2-46C0-9EBD-A9ACD1224521}"/>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Feuil1!$A$2:$A$7</c:f>
              <c:strCache>
                <c:ptCount val="6"/>
                <c:pt idx="0">
                  <c:v>Capacité opérationnelle des services généraux</c:v>
                </c:pt>
                <c:pt idx="1">
                  <c:v>Précautions standards</c:v>
                </c:pt>
                <c:pt idx="2">
                  <c:v>Amenagements de confort indispensables </c:v>
                </c:pt>
                <c:pt idx="3">
                  <c:v>Equipements essentiels</c:v>
                </c:pt>
                <c:pt idx="4">
                  <c:v>Capacité de diagnostic</c:v>
                </c:pt>
                <c:pt idx="5">
                  <c:v>Médicaments essentiels</c:v>
                </c:pt>
              </c:strCache>
            </c:strRef>
          </c:cat>
          <c:val>
            <c:numRef>
              <c:f>Feuil1!$B$2:$B$7</c:f>
              <c:numCache>
                <c:formatCode>0%</c:formatCode>
                <c:ptCount val="6"/>
                <c:pt idx="0">
                  <c:v>0.64</c:v>
                </c:pt>
                <c:pt idx="1">
                  <c:v>0.69</c:v>
                </c:pt>
                <c:pt idx="2">
                  <c:v>0.74</c:v>
                </c:pt>
                <c:pt idx="3">
                  <c:v>0.87</c:v>
                </c:pt>
                <c:pt idx="4">
                  <c:v>0.54</c:v>
                </c:pt>
                <c:pt idx="5">
                  <c:v>0.33</c:v>
                </c:pt>
              </c:numCache>
            </c:numRef>
          </c:val>
          <c:extLst xmlns:c16r2="http://schemas.microsoft.com/office/drawing/2015/06/chart">
            <c:ext xmlns:c16="http://schemas.microsoft.com/office/drawing/2014/chart" uri="{C3380CC4-5D6E-409C-BE32-E72D297353CC}">
              <c16:uniqueId val="{00000002-57B2-46C0-9EBD-A9ACD1224521}"/>
            </c:ext>
          </c:extLst>
        </c:ser>
        <c:dLbls>
          <c:showLegendKey val="0"/>
          <c:showVal val="0"/>
          <c:showCatName val="0"/>
          <c:showSerName val="0"/>
          <c:showPercent val="0"/>
          <c:showBubbleSize val="0"/>
        </c:dLbls>
        <c:gapWidth val="219"/>
        <c:overlap val="-27"/>
        <c:axId val="-378280768"/>
        <c:axId val="-378271520"/>
      </c:barChart>
      <c:catAx>
        <c:axId val="-3782807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78271520"/>
        <c:crosses val="autoZero"/>
        <c:auto val="1"/>
        <c:lblAlgn val="ctr"/>
        <c:lblOffset val="100"/>
        <c:noMultiLvlLbl val="0"/>
      </c:catAx>
      <c:valAx>
        <c:axId val="-37827152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78280768"/>
        <c:crosses val="autoZero"/>
        <c:crossBetween val="between"/>
      </c:valAx>
      <c:spPr>
        <a:noFill/>
        <a:ln>
          <a:noFill/>
        </a:ln>
        <a:effectLst/>
      </c:spPr>
    </c:plotArea>
    <c:plotVisOnly val="1"/>
    <c:dispBlanksAs val="gap"/>
    <c:showDLblsOverMax val="0"/>
  </c:chart>
  <c:spPr>
    <a:solidFill>
      <a:schemeClr val="bg1"/>
    </a:solidFill>
    <a:ln w="19050" cap="flat" cmpd="sng" algn="ctr">
      <a:solidFill>
        <a:schemeClr val="tx1"/>
      </a:solidFill>
      <a:round/>
    </a:ln>
    <a:effectLst/>
  </c:spPr>
  <c:txPr>
    <a:bodyPr/>
    <a:lstStyle/>
    <a:p>
      <a:pPr>
        <a:defRPr/>
      </a:pPr>
      <a:endParaRPr lang="fr-FR"/>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Feuil1!$B$1</c:f>
              <c:strCache>
                <c:ptCount val="1"/>
                <c:pt idx="0">
                  <c:v>Dépenses totales de santé</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Feuil1!$A$2:$A$11</c:f>
              <c:numCache>
                <c:formatCode>General</c:formatCode>
                <c:ptCount val="10"/>
                <c:pt idx="0">
                  <c:v>2007</c:v>
                </c:pt>
                <c:pt idx="1">
                  <c:v>2008</c:v>
                </c:pt>
                <c:pt idx="2">
                  <c:v>2009</c:v>
                </c:pt>
                <c:pt idx="3">
                  <c:v>2010</c:v>
                </c:pt>
                <c:pt idx="4">
                  <c:v>2011</c:v>
                </c:pt>
                <c:pt idx="5">
                  <c:v>2012</c:v>
                </c:pt>
                <c:pt idx="6">
                  <c:v>2013</c:v>
                </c:pt>
                <c:pt idx="7">
                  <c:v>2014</c:v>
                </c:pt>
                <c:pt idx="8">
                  <c:v>2015</c:v>
                </c:pt>
                <c:pt idx="9">
                  <c:v>2016</c:v>
                </c:pt>
              </c:numCache>
            </c:numRef>
          </c:cat>
          <c:val>
            <c:numRef>
              <c:f>Feuil1!$B$2:$B$11</c:f>
              <c:numCache>
                <c:formatCode>General</c:formatCode>
                <c:ptCount val="10"/>
                <c:pt idx="0">
                  <c:v>219996</c:v>
                </c:pt>
                <c:pt idx="1">
                  <c:v>254240</c:v>
                </c:pt>
                <c:pt idx="2">
                  <c:v>296677</c:v>
                </c:pt>
                <c:pt idx="3">
                  <c:v>318894</c:v>
                </c:pt>
                <c:pt idx="4">
                  <c:v>264641</c:v>
                </c:pt>
                <c:pt idx="5">
                  <c:v>281746</c:v>
                </c:pt>
                <c:pt idx="6">
                  <c:v>366095</c:v>
                </c:pt>
                <c:pt idx="7">
                  <c:v>344066</c:v>
                </c:pt>
                <c:pt idx="8">
                  <c:v>358994</c:v>
                </c:pt>
                <c:pt idx="9">
                  <c:v>447578</c:v>
                </c:pt>
              </c:numCache>
            </c:numRef>
          </c:val>
          <c:extLst xmlns:c16r2="http://schemas.microsoft.com/office/drawing/2015/06/chart">
            <c:ext xmlns:c16="http://schemas.microsoft.com/office/drawing/2014/chart" uri="{C3380CC4-5D6E-409C-BE32-E72D297353CC}">
              <c16:uniqueId val="{00000000-9F1A-41B2-8577-5C116153767D}"/>
            </c:ext>
          </c:extLst>
        </c:ser>
        <c:ser>
          <c:idx val="1"/>
          <c:order val="1"/>
          <c:tx>
            <c:strRef>
              <c:f>Feuil1!$C$1</c:f>
              <c:strCache>
                <c:ptCount val="1"/>
                <c:pt idx="0">
                  <c:v>Dépenses SRMNEA</c:v>
                </c:pt>
              </c:strCache>
            </c:strRef>
          </c:tx>
          <c:spPr>
            <a:solidFill>
              <a:schemeClr val="accent2"/>
            </a:solidFill>
            <a:ln>
              <a:noFill/>
            </a:ln>
            <a:effectLst/>
          </c:spPr>
          <c:invertIfNegative val="0"/>
          <c:dLbls>
            <c:dLbl>
              <c:idx val="5"/>
              <c:layout>
                <c:manualLayout>
                  <c:x val="-4.6296296296296294E-3"/>
                  <c:y val="-1.587301587301587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9F1A-41B2-8577-5C116153767D}"/>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Feuil1!$A$2:$A$11</c:f>
              <c:numCache>
                <c:formatCode>General</c:formatCode>
                <c:ptCount val="10"/>
                <c:pt idx="0">
                  <c:v>2007</c:v>
                </c:pt>
                <c:pt idx="1">
                  <c:v>2008</c:v>
                </c:pt>
                <c:pt idx="2">
                  <c:v>2009</c:v>
                </c:pt>
                <c:pt idx="3">
                  <c:v>2010</c:v>
                </c:pt>
                <c:pt idx="4">
                  <c:v>2011</c:v>
                </c:pt>
                <c:pt idx="5">
                  <c:v>2012</c:v>
                </c:pt>
                <c:pt idx="6">
                  <c:v>2013</c:v>
                </c:pt>
                <c:pt idx="7">
                  <c:v>2014</c:v>
                </c:pt>
                <c:pt idx="8">
                  <c:v>2015</c:v>
                </c:pt>
                <c:pt idx="9">
                  <c:v>2016</c:v>
                </c:pt>
              </c:numCache>
            </c:numRef>
          </c:cat>
          <c:val>
            <c:numRef>
              <c:f>Feuil1!$C$2:$C$11</c:f>
              <c:numCache>
                <c:formatCode>General</c:formatCode>
                <c:ptCount val="10"/>
                <c:pt idx="0">
                  <c:v>14855</c:v>
                </c:pt>
                <c:pt idx="1">
                  <c:v>19833</c:v>
                </c:pt>
                <c:pt idx="2">
                  <c:v>23572</c:v>
                </c:pt>
                <c:pt idx="3">
                  <c:v>16229</c:v>
                </c:pt>
                <c:pt idx="4">
                  <c:v>13495</c:v>
                </c:pt>
                <c:pt idx="5">
                  <c:v>21629</c:v>
                </c:pt>
                <c:pt idx="6">
                  <c:v>33196</c:v>
                </c:pt>
                <c:pt idx="7">
                  <c:v>36406</c:v>
                </c:pt>
                <c:pt idx="8">
                  <c:v>35329</c:v>
                </c:pt>
                <c:pt idx="9">
                  <c:v>46181</c:v>
                </c:pt>
              </c:numCache>
            </c:numRef>
          </c:val>
          <c:extLst xmlns:c16r2="http://schemas.microsoft.com/office/drawing/2015/06/chart">
            <c:ext xmlns:c16="http://schemas.microsoft.com/office/drawing/2014/chart" uri="{C3380CC4-5D6E-409C-BE32-E72D297353CC}">
              <c16:uniqueId val="{00000002-9F1A-41B2-8577-5C116153767D}"/>
            </c:ext>
          </c:extLst>
        </c:ser>
        <c:ser>
          <c:idx val="2"/>
          <c:order val="2"/>
          <c:tx>
            <c:strRef>
              <c:f>Feuil1!$D$1</c:f>
              <c:strCache>
                <c:ptCount val="1"/>
                <c:pt idx="0">
                  <c:v>Dépenses Nutrition</c:v>
                </c:pt>
              </c:strCache>
            </c:strRef>
          </c:tx>
          <c:spPr>
            <a:solidFill>
              <a:schemeClr val="accent3"/>
            </a:solidFill>
            <a:ln>
              <a:noFill/>
            </a:ln>
            <a:effectLst/>
          </c:spPr>
          <c:invertIfNegative val="0"/>
          <c:dLbls>
            <c:dLbl>
              <c:idx val="0"/>
              <c:layout>
                <c:manualLayout>
                  <c:x val="1.1574074074074096E-2"/>
                  <c:y val="7.9365079365077904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9F1A-41B2-8577-5C116153767D}"/>
                </c:ext>
                <c:ext xmlns:c15="http://schemas.microsoft.com/office/drawing/2012/chart" uri="{CE6537A1-D6FC-4f65-9D91-7224C49458BB}"/>
              </c:extLst>
            </c:dLbl>
            <c:dLbl>
              <c:idx val="1"/>
              <c:layout>
                <c:manualLayout>
                  <c:x val="1.1574074074074073E-2"/>
                  <c:y val="3.1746031746031744E-2"/>
                </c:manualLayout>
              </c:layout>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9F1A-41B2-8577-5C116153767D}"/>
                </c:ext>
                <c:ext xmlns:c15="http://schemas.microsoft.com/office/drawing/2012/chart" uri="{CE6537A1-D6FC-4f65-9D91-7224C49458BB}">
                  <c15:layout>
                    <c:manualLayout>
                      <c:w val="5.6111111111111112E-2"/>
                      <c:h val="6.3432695913010873E-2"/>
                    </c:manualLayout>
                  </c15:layout>
                </c:ext>
              </c:extLst>
            </c:dLbl>
            <c:dLbl>
              <c:idx val="2"/>
              <c:layout>
                <c:manualLayout>
                  <c:x val="1.3888888888888888E-2"/>
                  <c:y val="1.587301587301587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9F1A-41B2-8577-5C116153767D}"/>
                </c:ext>
                <c:ext xmlns:c15="http://schemas.microsoft.com/office/drawing/2012/chart" uri="{CE6537A1-D6FC-4f65-9D91-7224C49458BB}"/>
              </c:extLst>
            </c:dLbl>
            <c:dLbl>
              <c:idx val="3"/>
              <c:layout>
                <c:manualLayout>
                  <c:x val="1.1574074074074073E-2"/>
                  <c:y val="1.98412698412698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9F1A-41B2-8577-5C116153767D}"/>
                </c:ext>
                <c:ext xmlns:c15="http://schemas.microsoft.com/office/drawing/2012/chart" uri="{CE6537A1-D6FC-4f65-9D91-7224C49458BB}"/>
              </c:extLst>
            </c:dLbl>
            <c:dLbl>
              <c:idx val="4"/>
              <c:layout>
                <c:manualLayout>
                  <c:x val="6.9444444444444441E-3"/>
                  <c:y val="1.587301587301587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9F1A-41B2-8577-5C116153767D}"/>
                </c:ext>
                <c:ext xmlns:c15="http://schemas.microsoft.com/office/drawing/2012/chart" uri="{CE6537A1-D6FC-4f65-9D91-7224C49458BB}"/>
              </c:extLst>
            </c:dLbl>
            <c:dLbl>
              <c:idx val="5"/>
              <c:layout>
                <c:manualLayout>
                  <c:x val="1.620370370370362E-2"/>
                  <c:y val="2.3809523809523808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8-9F1A-41B2-8577-5C116153767D}"/>
                </c:ext>
                <c:ext xmlns:c15="http://schemas.microsoft.com/office/drawing/2012/chart" uri="{CE6537A1-D6FC-4f65-9D91-7224C49458BB}"/>
              </c:extLst>
            </c:dLbl>
            <c:dLbl>
              <c:idx val="6"/>
              <c:layout>
                <c:manualLayout>
                  <c:x val="1.3888888888888973E-2"/>
                  <c:y val="1.19047619047617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9-9F1A-41B2-8577-5C116153767D}"/>
                </c:ext>
                <c:ext xmlns:c15="http://schemas.microsoft.com/office/drawing/2012/chart" uri="{CE6537A1-D6FC-4f65-9D91-7224C49458BB}"/>
              </c:extLst>
            </c:dLbl>
            <c:dLbl>
              <c:idx val="7"/>
              <c:layout>
                <c:manualLayout>
                  <c:x val="1.6203703703703703E-2"/>
                  <c:y val="1.190476190476190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A-9F1A-41B2-8577-5C116153767D}"/>
                </c:ext>
                <c:ext xmlns:c15="http://schemas.microsoft.com/office/drawing/2012/chart" uri="{CE6537A1-D6FC-4f65-9D91-7224C49458BB}"/>
              </c:extLst>
            </c:dLbl>
            <c:dLbl>
              <c:idx val="8"/>
              <c:layout>
                <c:manualLayout>
                  <c:x val="1.8518518518518517E-2"/>
                  <c:y val="2.3809523809523808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B-9F1A-41B2-8577-5C116153767D}"/>
                </c:ext>
                <c:ext xmlns:c15="http://schemas.microsoft.com/office/drawing/2012/chart" uri="{CE6537A1-D6FC-4f65-9D91-7224C49458BB}"/>
              </c:extLst>
            </c:dLbl>
            <c:dLbl>
              <c:idx val="9"/>
              <c:layout>
                <c:manualLayout>
                  <c:x val="1.6203703703703703E-2"/>
                  <c:y val="1.587301587301587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C-9F1A-41B2-8577-5C116153767D}"/>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Feuil1!$A$2:$A$11</c:f>
              <c:numCache>
                <c:formatCode>General</c:formatCode>
                <c:ptCount val="10"/>
                <c:pt idx="0">
                  <c:v>2007</c:v>
                </c:pt>
                <c:pt idx="1">
                  <c:v>2008</c:v>
                </c:pt>
                <c:pt idx="2">
                  <c:v>2009</c:v>
                </c:pt>
                <c:pt idx="3">
                  <c:v>2010</c:v>
                </c:pt>
                <c:pt idx="4">
                  <c:v>2011</c:v>
                </c:pt>
                <c:pt idx="5">
                  <c:v>2012</c:v>
                </c:pt>
                <c:pt idx="6">
                  <c:v>2013</c:v>
                </c:pt>
                <c:pt idx="7">
                  <c:v>2014</c:v>
                </c:pt>
                <c:pt idx="8">
                  <c:v>2015</c:v>
                </c:pt>
                <c:pt idx="9">
                  <c:v>2016</c:v>
                </c:pt>
              </c:numCache>
            </c:numRef>
          </c:cat>
          <c:val>
            <c:numRef>
              <c:f>Feuil1!$D$2:$D$11</c:f>
              <c:numCache>
                <c:formatCode>General</c:formatCode>
                <c:ptCount val="10"/>
                <c:pt idx="0">
                  <c:v>800</c:v>
                </c:pt>
                <c:pt idx="1">
                  <c:v>8523</c:v>
                </c:pt>
                <c:pt idx="2">
                  <c:v>6502</c:v>
                </c:pt>
                <c:pt idx="3">
                  <c:v>8581</c:v>
                </c:pt>
                <c:pt idx="4">
                  <c:v>4020</c:v>
                </c:pt>
                <c:pt idx="5">
                  <c:v>20370</c:v>
                </c:pt>
                <c:pt idx="6">
                  <c:v>11739</c:v>
                </c:pt>
                <c:pt idx="7">
                  <c:v>7439</c:v>
                </c:pt>
                <c:pt idx="8">
                  <c:v>18487</c:v>
                </c:pt>
                <c:pt idx="9">
                  <c:v>16459</c:v>
                </c:pt>
              </c:numCache>
            </c:numRef>
          </c:val>
          <c:extLst xmlns:c16r2="http://schemas.microsoft.com/office/drawing/2015/06/chart">
            <c:ext xmlns:c16="http://schemas.microsoft.com/office/drawing/2014/chart" uri="{C3380CC4-5D6E-409C-BE32-E72D297353CC}">
              <c16:uniqueId val="{0000000D-9F1A-41B2-8577-5C116153767D}"/>
            </c:ext>
          </c:extLst>
        </c:ser>
        <c:dLbls>
          <c:showLegendKey val="0"/>
          <c:showVal val="0"/>
          <c:showCatName val="0"/>
          <c:showSerName val="0"/>
          <c:showPercent val="0"/>
          <c:showBubbleSize val="0"/>
        </c:dLbls>
        <c:gapWidth val="219"/>
        <c:overlap val="-27"/>
        <c:axId val="-378267712"/>
        <c:axId val="-378284032"/>
      </c:barChart>
      <c:catAx>
        <c:axId val="-3782677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78284032"/>
        <c:crosses val="autoZero"/>
        <c:auto val="1"/>
        <c:lblAlgn val="ctr"/>
        <c:lblOffset val="100"/>
        <c:noMultiLvlLbl val="0"/>
      </c:catAx>
      <c:valAx>
        <c:axId val="-3782840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782677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12700"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fr-FR"/>
              <a:t>REPARTITION DU BUDGET PAR PROGRAMME</a:t>
            </a:r>
          </a:p>
        </c:rich>
      </c:tx>
      <c:overlay val="0"/>
      <c:spPr>
        <a:noFill/>
        <a:ln>
          <a:noFill/>
        </a:ln>
        <a:effectLst/>
      </c:spPr>
    </c:title>
    <c:autoTitleDeleted val="0"/>
    <c:plotArea>
      <c:layout/>
      <c:pieChart>
        <c:varyColors val="1"/>
        <c:ser>
          <c:idx val="0"/>
          <c:order val="0"/>
          <c:dPt>
            <c:idx val="0"/>
            <c:bubble3D val="0"/>
            <c:spPr>
              <a:solidFill>
                <a:schemeClr val="accent1"/>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1-CE2C-4F85-B214-49998A221BB0}"/>
              </c:ext>
            </c:extLst>
          </c:dPt>
          <c:dPt>
            <c:idx val="1"/>
            <c:bubble3D val="0"/>
            <c:spPr>
              <a:solidFill>
                <a:schemeClr val="accent2"/>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3-CE2C-4F85-B214-49998A221BB0}"/>
              </c:ext>
            </c:extLst>
          </c:dPt>
          <c:dPt>
            <c:idx val="2"/>
            <c:bubble3D val="0"/>
            <c:spPr>
              <a:solidFill>
                <a:schemeClr val="accent3"/>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5-CE2C-4F85-B214-49998A221BB0}"/>
              </c:ext>
            </c:extLst>
          </c:dPt>
          <c:dPt>
            <c:idx val="3"/>
            <c:bubble3D val="0"/>
            <c:spPr>
              <a:solidFill>
                <a:schemeClr val="accent4"/>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7-CE2C-4F85-B214-49998A221BB0}"/>
              </c:ext>
            </c:extLst>
          </c:dPt>
          <c:dPt>
            <c:idx val="4"/>
            <c:bubble3D val="0"/>
            <c:spPr>
              <a:solidFill>
                <a:schemeClr val="accent5"/>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9-CE2C-4F85-B214-49998A221BB0}"/>
              </c:ext>
            </c:extLst>
          </c:dPt>
          <c:dPt>
            <c:idx val="5"/>
            <c:bubble3D val="0"/>
            <c:spPr>
              <a:solidFill>
                <a:schemeClr val="accent6"/>
              </a:solidFill>
              <a:ln>
                <a:noFill/>
              </a:ln>
              <a:effectLst>
                <a:outerShdw blurRad="254000" sx="102000" sy="102000" algn="ctr" rotWithShape="0">
                  <a:prstClr val="black">
                    <a:alpha val="20000"/>
                  </a:prstClr>
                </a:outerShdw>
              </a:effectLst>
            </c:spPr>
            <c:extLst xmlns:c16r2="http://schemas.microsoft.com/office/drawing/2015/06/chart">
              <c:ext xmlns:c16="http://schemas.microsoft.com/office/drawing/2014/chart" uri="{C3380CC4-5D6E-409C-BE32-E72D297353CC}">
                <c16:uniqueId val="{0000000B-CE2C-4F85-B214-49998A221BB0}"/>
              </c:ext>
            </c:extLst>
          </c:dPt>
          <c:dLbls>
            <c:dLbl>
              <c:idx val="0"/>
              <c:layout>
                <c:manualLayout>
                  <c:x val="-6.0436132983377078E-2"/>
                  <c:y val="0.12301472732575094"/>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1-CE2C-4F85-B214-49998A221BB0}"/>
                </c:ext>
                <c:ext xmlns:c15="http://schemas.microsoft.com/office/drawing/2012/chart" uri="{CE6537A1-D6FC-4f65-9D91-7224C49458BB}"/>
              </c:extLst>
            </c:dLbl>
            <c:dLbl>
              <c:idx val="1"/>
              <c:layout>
                <c:manualLayout>
                  <c:x val="-0.11194663167104117"/>
                  <c:y val="-3.6852945465150187E-2"/>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3-CE2C-4F85-B214-49998A221BB0}"/>
                </c:ext>
                <c:ext xmlns:c15="http://schemas.microsoft.com/office/drawing/2012/chart" uri="{CE6537A1-D6FC-4f65-9D91-7224C49458BB}"/>
              </c:extLst>
            </c:dLbl>
            <c:dLbl>
              <c:idx val="2"/>
              <c:layout>
                <c:manualLayout>
                  <c:x val="1.7947506561679791E-2"/>
                  <c:y val="6.8205016039661712E-4"/>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5-CE2C-4F85-B214-49998A221BB0}"/>
                </c:ext>
                <c:ext xmlns:c15="http://schemas.microsoft.com/office/drawing/2012/chart" uri="{CE6537A1-D6FC-4f65-9D91-7224C49458BB}"/>
              </c:extLst>
            </c:dLbl>
            <c:dLbl>
              <c:idx val="3"/>
              <c:layout>
                <c:manualLayout>
                  <c:x val="-7.2081019634450461E-2"/>
                  <c:y val="-6.8512269299670997E-2"/>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7-CE2C-4F85-B214-49998A221BB0}"/>
                </c:ext>
                <c:ext xmlns:c15="http://schemas.microsoft.com/office/drawing/2012/chart" uri="{CE6537A1-D6FC-4f65-9D91-7224C49458BB}"/>
              </c:extLst>
            </c:dLbl>
            <c:dLbl>
              <c:idx val="5"/>
              <c:layout>
                <c:manualLayout>
                  <c:x val="5.7836832895887501E-3"/>
                  <c:y val="1.2043234179060929E-2"/>
                </c:manualLayout>
              </c:layout>
              <c:dLblPos val="bestFi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B-CE2C-4F85-B214-49998A221BB0}"/>
                </c:ext>
                <c:ext xmlns:c15="http://schemas.microsoft.com/office/drawing/2012/chart" uri="{CE6537A1-D6FC-4f65-9D91-7224C49458BB}"/>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fr-FR"/>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xmlns:c16r2="http://schemas.microsoft.com/office/drawing/2015/06/chart">
              <c:ext xmlns:c15="http://schemas.microsoft.com/office/drawing/2012/chart" uri="{CE6537A1-D6FC-4f65-9D91-7224C49458BB}"/>
            </c:extLst>
          </c:dLbls>
          <c:cat>
            <c:strRef>
              <c:f>'Budget par programme'!$A$2:$A$7</c:f>
              <c:strCache>
                <c:ptCount val="6"/>
                <c:pt idx="0">
                  <c:v>Santé de la mère et du nouveau-né</c:v>
                </c:pt>
                <c:pt idx="1">
                  <c:v>Santé enfanto-juvenile</c:v>
                </c:pt>
                <c:pt idx="2">
                  <c:v>Sante des adolescents(es) et jeunes</c:v>
                </c:pt>
                <c:pt idx="3">
                  <c:v>Nutrition</c:v>
                </c:pt>
                <c:pt idx="4">
                  <c:v>Interventions transversales</c:v>
                </c:pt>
                <c:pt idx="5">
                  <c:v>Etat civile</c:v>
                </c:pt>
              </c:strCache>
            </c:strRef>
          </c:cat>
          <c:val>
            <c:numRef>
              <c:f>'Budget par programme'!$H$2:$H$7</c:f>
              <c:numCache>
                <c:formatCode>0.0%</c:formatCode>
                <c:ptCount val="6"/>
                <c:pt idx="0">
                  <c:v>0.13758414069125696</c:v>
                </c:pt>
                <c:pt idx="1">
                  <c:v>0.17514316995342913</c:v>
                </c:pt>
                <c:pt idx="2">
                  <c:v>5.0715975024338382E-3</c:v>
                </c:pt>
                <c:pt idx="3">
                  <c:v>8.3588769604131835E-2</c:v>
                </c:pt>
                <c:pt idx="4">
                  <c:v>0.58953039453943201</c:v>
                </c:pt>
                <c:pt idx="5">
                  <c:v>9.081927709316295E-3</c:v>
                </c:pt>
              </c:numCache>
            </c:numRef>
          </c:val>
          <c:extLst xmlns:c16r2="http://schemas.microsoft.com/office/drawing/2015/06/chart">
            <c:ext xmlns:c16="http://schemas.microsoft.com/office/drawing/2014/chart" uri="{C3380CC4-5D6E-409C-BE32-E72D297353CC}">
              <c16:uniqueId val="{0000000C-CE2C-4F85-B214-49998A221BB0}"/>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ayout>
        <c:manualLayout>
          <c:xMode val="edge"/>
          <c:yMode val="edge"/>
          <c:x val="0.70028405269365168"/>
          <c:y val="0.11906501216143793"/>
          <c:w val="0.28978348802943138"/>
          <c:h val="0.82810020475189294"/>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fr-FR"/>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fr-FR"/>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1"/>
        <c:ser>
          <c:idx val="0"/>
          <c:order val="0"/>
          <c:explosion val="25"/>
          <c:dLbls>
            <c:dLbl>
              <c:idx val="0"/>
              <c:layout>
                <c:manualLayout>
                  <c:x val="-9.7078579463281377E-3"/>
                  <c:y val="-0.13119237395939004"/>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FD59-484C-A672-9DD5E0BAB164}"/>
                </c:ext>
                <c:ext xmlns:c15="http://schemas.microsoft.com/office/drawing/2012/chart" uri="{CE6537A1-D6FC-4f65-9D91-7224C49458BB}"/>
              </c:extLst>
            </c:dLbl>
            <c:dLbl>
              <c:idx val="1"/>
              <c:layout>
                <c:manualLayout>
                  <c:x val="1.9729390968986019E-2"/>
                  <c:y val="9.1029418868653691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FD59-484C-A672-9DD5E0BAB164}"/>
                </c:ext>
                <c:ext xmlns:c15="http://schemas.microsoft.com/office/drawing/2012/chart" uri="{CE6537A1-D6FC-4f65-9D91-7224C49458BB}"/>
              </c:extLst>
            </c:dLbl>
            <c:spPr>
              <a:noFill/>
              <a:ln>
                <a:noFill/>
              </a:ln>
              <a:effectLst/>
            </c:spPr>
            <c:txPr>
              <a:bodyPr/>
              <a:lstStyle/>
              <a:p>
                <a:pPr>
                  <a:defRPr sz="1100" b="1"/>
                </a:pPr>
                <a:endParaRPr lang="fr-FR"/>
              </a:p>
            </c:txPr>
            <c:showLegendKey val="0"/>
            <c:showVal val="1"/>
            <c:showCatName val="0"/>
            <c:showSerName val="0"/>
            <c:showPercent val="0"/>
            <c:showBubbleSize val="0"/>
            <c:showLeaderLines val="1"/>
            <c:extLst xmlns:c16r2="http://schemas.microsoft.com/office/drawing/2015/06/chart">
              <c:ext xmlns:c15="http://schemas.microsoft.com/office/drawing/2012/chart" uri="{CE6537A1-D6FC-4f65-9D91-7224C49458BB}"/>
            </c:extLst>
          </c:dLbls>
          <c:cat>
            <c:strRef>
              <c:f>Gap!$B$4:$B$5</c:f>
              <c:strCache>
                <c:ptCount val="2"/>
                <c:pt idx="0">
                  <c:v>DISPONIBILITES FINANCIERES</c:v>
                </c:pt>
                <c:pt idx="1">
                  <c:v>GAP DE FINANCEMENT</c:v>
                </c:pt>
              </c:strCache>
            </c:strRef>
          </c:cat>
          <c:val>
            <c:numRef>
              <c:f>Gap!$I$4:$I$5</c:f>
              <c:numCache>
                <c:formatCode>0%</c:formatCode>
                <c:ptCount val="2"/>
                <c:pt idx="0">
                  <c:v>0.33597633363878504</c:v>
                </c:pt>
                <c:pt idx="1">
                  <c:v>-0.66402366636121501</c:v>
                </c:pt>
              </c:numCache>
            </c:numRef>
          </c:val>
          <c:extLst xmlns:c16r2="http://schemas.microsoft.com/office/drawing/2015/06/chart">
            <c:ext xmlns:c16="http://schemas.microsoft.com/office/drawing/2014/chart" uri="{C3380CC4-5D6E-409C-BE32-E72D297353CC}">
              <c16:uniqueId val="{00000002-FD59-484C-A672-9DD5E0BAB164}"/>
            </c:ext>
          </c:extLst>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fr-FR" sz="1400" b="1"/>
              <a:t>Parts contributives par source</a:t>
            </a:r>
            <a:r>
              <a:rPr lang="fr-FR" sz="1400" b="1" baseline="0"/>
              <a:t> de financement</a:t>
            </a:r>
            <a:endParaRPr lang="fr-FR" sz="1400" b="1"/>
          </a:p>
        </c:rich>
      </c:tx>
      <c:overlay val="0"/>
    </c:title>
    <c:autoTitleDeleted val="0"/>
    <c:view3D>
      <c:rotX val="30"/>
      <c:rotY val="0"/>
      <c:rAngAx val="0"/>
    </c:view3D>
    <c:floor>
      <c:thickness val="0"/>
    </c:floor>
    <c:sideWall>
      <c:thickness val="0"/>
    </c:sideWall>
    <c:backWall>
      <c:thickness val="0"/>
    </c:backWall>
    <c:plotArea>
      <c:layout/>
      <c:pie3DChart>
        <c:varyColors val="1"/>
        <c:ser>
          <c:idx val="0"/>
          <c:order val="0"/>
          <c:dLbls>
            <c:dLbl>
              <c:idx val="0"/>
              <c:layout>
                <c:manualLayout>
                  <c:x val="1.7051846780022063E-2"/>
                  <c:y val="-0.1839871853862129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0-9522-4752-B965-AA625BF36438}"/>
                </c:ext>
                <c:ext xmlns:c15="http://schemas.microsoft.com/office/drawing/2012/chart" uri="{CE6537A1-D6FC-4f65-9D91-7224C49458BB}"/>
              </c:extLst>
            </c:dLbl>
            <c:dLbl>
              <c:idx val="1"/>
              <c:layout>
                <c:manualLayout>
                  <c:x val="-3.9186503860930429E-2"/>
                  <c:y val="-0.1187535214838014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1-9522-4752-B965-AA625BF36438}"/>
                </c:ext>
                <c:ext xmlns:c15="http://schemas.microsoft.com/office/drawing/2012/chart" uri="{CE6537A1-D6FC-4f65-9D91-7224C49458BB}"/>
              </c:extLst>
            </c:dLbl>
            <c:dLbl>
              <c:idx val="2"/>
              <c:layout>
                <c:manualLayout>
                  <c:x val="-5.5812773403324585E-2"/>
                  <c:y val="-2.1706928366921154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2-9522-4752-B965-AA625BF36438}"/>
                </c:ext>
                <c:ext xmlns:c15="http://schemas.microsoft.com/office/drawing/2012/chart" uri="{CE6537A1-D6FC-4f65-9D91-7224C49458BB}"/>
              </c:extLst>
            </c:dLbl>
            <c:dLbl>
              <c:idx val="3"/>
              <c:layout>
                <c:manualLayout>
                  <c:x val="4.0590056677697897E-2"/>
                  <c:y val="-2.7627086703355466E-2"/>
                </c:manualLayout>
              </c:layout>
              <c:showLegendKey val="0"/>
              <c:showVal val="0"/>
              <c:showCatName val="0"/>
              <c:showSerName val="0"/>
              <c:showPercent val="1"/>
              <c:showBubbleSize val="0"/>
              <c:extLst xmlns:c16r2="http://schemas.microsoft.com/office/drawing/2015/06/chart">
                <c:ext xmlns:c16="http://schemas.microsoft.com/office/drawing/2014/chart" uri="{C3380CC4-5D6E-409C-BE32-E72D297353CC}">
                  <c16:uniqueId val="{00000003-9522-4752-B965-AA625BF36438}"/>
                </c:ext>
                <c:ext xmlns:c15="http://schemas.microsoft.com/office/drawing/2012/chart" uri="{CE6537A1-D6FC-4f65-9D91-7224C49458BB}"/>
              </c:extLst>
            </c:dLbl>
            <c:spPr>
              <a:noFill/>
              <a:ln>
                <a:noFill/>
              </a:ln>
              <a:effectLst/>
            </c:spPr>
            <c:txPr>
              <a:bodyPr/>
              <a:lstStyle/>
              <a:p>
                <a:pPr>
                  <a:defRPr sz="1400" b="1"/>
                </a:pPr>
                <a:endParaRPr lang="fr-FR"/>
              </a:p>
            </c:txPr>
            <c:showLegendKey val="0"/>
            <c:showVal val="0"/>
            <c:showCatName val="0"/>
            <c:showSerName val="0"/>
            <c:showPercent val="1"/>
            <c:showBubbleSize val="0"/>
            <c:showLeaderLines val="1"/>
            <c:extLst xmlns:c16r2="http://schemas.microsoft.com/office/drawing/2015/06/chart">
              <c:ext xmlns:c15="http://schemas.microsoft.com/office/drawing/2012/chart" uri="{CE6537A1-D6FC-4f65-9D91-7224C49458BB}"/>
            </c:extLst>
          </c:dLbls>
          <c:cat>
            <c:strRef>
              <c:f>'Financement SRMNEAN'!$A$33:$A$36</c:f>
              <c:strCache>
                <c:ptCount val="4"/>
                <c:pt idx="0">
                  <c:v>Budget de l'Etat</c:v>
                </c:pt>
                <c:pt idx="1">
                  <c:v>PTF</c:v>
                </c:pt>
                <c:pt idx="2">
                  <c:v>Menage</c:v>
                </c:pt>
                <c:pt idx="3">
                  <c:v>Privé</c:v>
                </c:pt>
              </c:strCache>
            </c:strRef>
          </c:cat>
          <c:val>
            <c:numRef>
              <c:f>'Financement SRMNEAN'!$H$33:$H$36</c:f>
              <c:numCache>
                <c:formatCode>0%</c:formatCode>
                <c:ptCount val="4"/>
                <c:pt idx="0">
                  <c:v>0.50634511568278839</c:v>
                </c:pt>
                <c:pt idx="1">
                  <c:v>0.38523288495035574</c:v>
                </c:pt>
                <c:pt idx="2">
                  <c:v>9.4120986806970938E-2</c:v>
                </c:pt>
                <c:pt idx="3">
                  <c:v>1.4301012559885029E-2</c:v>
                </c:pt>
              </c:numCache>
            </c:numRef>
          </c:val>
          <c:extLst xmlns:c16r2="http://schemas.microsoft.com/office/drawing/2015/06/chart">
            <c:ext xmlns:c16="http://schemas.microsoft.com/office/drawing/2014/chart" uri="{C3380CC4-5D6E-409C-BE32-E72D297353CC}">
              <c16:uniqueId val="{00000004-9522-4752-B965-AA625BF36438}"/>
            </c:ext>
          </c:extLst>
        </c:ser>
        <c:dLbls>
          <c:showLegendKey val="0"/>
          <c:showVal val="0"/>
          <c:showCatName val="0"/>
          <c:showSerName val="0"/>
          <c:showPercent val="1"/>
          <c:showBubbleSize val="0"/>
          <c:showLeaderLines val="1"/>
        </c:dLbls>
      </c:pie3DChart>
    </c:plotArea>
    <c:legend>
      <c:legendPos val="t"/>
      <c:layout>
        <c:manualLayout>
          <c:xMode val="edge"/>
          <c:yMode val="edge"/>
          <c:x val="0.16042481444786288"/>
          <c:y val="9.6289145281917385E-2"/>
          <c:w val="0.64559614816359878"/>
          <c:h val="6.1697206837022879E-2"/>
        </c:manualLayout>
      </c:layout>
      <c:overlay val="0"/>
      <c:txPr>
        <a:bodyPr/>
        <a:lstStyle/>
        <a:p>
          <a:pPr>
            <a:defRPr sz="1050" b="1"/>
          </a:pPr>
          <a:endParaRPr lang="fr-FR"/>
        </a:p>
      </c:txPr>
    </c:legend>
    <c:plotVisOnly val="1"/>
    <c:dispBlanksAs val="gap"/>
    <c:showDLblsOverMax val="0"/>
  </c:chart>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0.64399</cdr:x>
      <cdr:y>0.22747</cdr:y>
    </cdr:from>
    <cdr:to>
      <cdr:x>0.87528</cdr:x>
      <cdr:y>0.31674</cdr:y>
    </cdr:to>
    <cdr:sp macro="" textlink="">
      <cdr:nvSpPr>
        <cdr:cNvPr id="3" name="Flèche gauche 2"/>
        <cdr:cNvSpPr/>
      </cdr:nvSpPr>
      <cdr:spPr>
        <a:xfrm xmlns:a="http://schemas.openxmlformats.org/drawingml/2006/main">
          <a:off x="2705100" y="504825"/>
          <a:ext cx="971550" cy="198119"/>
        </a:xfrm>
        <a:prstGeom xmlns:a="http://schemas.openxmlformats.org/drawingml/2006/main" prst="leftArrow">
          <a:avLst/>
        </a:prstGeom>
      </cdr:spPr>
      <cdr:style>
        <a:lnRef xmlns:a="http://schemas.openxmlformats.org/drawingml/2006/main" idx="2">
          <a:schemeClr val="accent1">
            <a:shade val="50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a:bodyPr xmlns:a="http://schemas.openxmlformats.org/drawingml/2006/main" vertOverflow="clip"/>
        <a:lstStyle xmlns:a="http://schemas.openxmlformats.org/drawingml/2006/main"/>
        <a:p xmlns:a="http://schemas.openxmlformats.org/drawingml/2006/main">
          <a:endParaRPr lang="fr-FR"/>
        </a:p>
      </cdr:txBody>
    </cdr:sp>
  </cdr:relSizeAnchor>
</c:userShape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B58ABD-F7F9-4BFA-BDA0-C18CC330DF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95</Pages>
  <Words>27100</Words>
  <Characters>149054</Characters>
  <Application>Microsoft Office Word</Application>
  <DocSecurity>0</DocSecurity>
  <Lines>1242</Lines>
  <Paragraphs>351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175803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Léodegal Bazira</dc:creator>
  <cp:keywords/>
  <dc:description/>
  <cp:lastModifiedBy>L. Lamine TRAORE</cp:lastModifiedBy>
  <cp:revision>2</cp:revision>
  <cp:lastPrinted>2018-10-13T08:44:00Z</cp:lastPrinted>
  <dcterms:created xsi:type="dcterms:W3CDTF">2018-10-22T22:14:00Z</dcterms:created>
  <dcterms:modified xsi:type="dcterms:W3CDTF">2018-10-22T22:14:00Z</dcterms:modified>
</cp:coreProperties>
</file>