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4B92" w:rsidRDefault="00314B92">
      <w:pPr>
        <w:pStyle w:val="Normal1"/>
        <w:widowControl w:val="0"/>
        <w:pBdr>
          <w:top w:val="nil"/>
          <w:left w:val="nil"/>
          <w:bottom w:val="nil"/>
          <w:right w:val="nil"/>
          <w:between w:val="nil"/>
        </w:pBdr>
        <w:spacing w:after="0"/>
        <w:rPr>
          <w:rFonts w:ascii="Arial" w:eastAsia="Arial" w:hAnsi="Arial" w:cs="Arial"/>
          <w:color w:val="000000"/>
        </w:rPr>
      </w:pPr>
      <w:bookmarkStart w:id="0" w:name="_GoBack"/>
      <w:bookmarkEnd w:id="0"/>
    </w:p>
    <w:tbl>
      <w:tblPr>
        <w:tblStyle w:val="a"/>
        <w:tblW w:w="9606" w:type="dxa"/>
        <w:jc w:val="center"/>
        <w:tblLayout w:type="fixed"/>
        <w:tblLook w:val="0400" w:firstRow="0" w:lastRow="0" w:firstColumn="0" w:lastColumn="0" w:noHBand="0" w:noVBand="1"/>
      </w:tblPr>
      <w:tblGrid>
        <w:gridCol w:w="3202"/>
        <w:gridCol w:w="2452"/>
        <w:gridCol w:w="3952"/>
      </w:tblGrid>
      <w:tr w:rsidR="001E348E" w:rsidTr="001E348E">
        <w:trPr>
          <w:trHeight w:val="300"/>
          <w:jc w:val="center"/>
        </w:trPr>
        <w:tc>
          <w:tcPr>
            <w:tcW w:w="3202" w:type="dxa"/>
          </w:tcPr>
          <w:p w:rsidR="001E348E" w:rsidRDefault="001E348E" w:rsidP="001E348E">
            <w:pPr>
              <w:pStyle w:val="Normal1"/>
              <w:rPr>
                <w:b/>
                <w:i/>
                <w:sz w:val="44"/>
                <w:szCs w:val="44"/>
              </w:rPr>
            </w:pPr>
            <w:r w:rsidRPr="001E348E">
              <w:rPr>
                <w:b/>
                <w:i/>
                <w:sz w:val="44"/>
                <w:szCs w:val="44"/>
              </w:rPr>
              <w:t>BURKINA FASO</w:t>
            </w:r>
          </w:p>
          <w:p w:rsidR="001E348E" w:rsidRPr="001E348E" w:rsidRDefault="001E348E" w:rsidP="001E348E">
            <w:pPr>
              <w:pStyle w:val="Normal1"/>
              <w:rPr>
                <w:b/>
                <w:i/>
                <w:sz w:val="44"/>
                <w:szCs w:val="44"/>
              </w:rPr>
            </w:pPr>
            <w:r>
              <w:rPr>
                <w:rFonts w:ascii="Overlock" w:eastAsia="Overlock" w:hAnsi="Overlock" w:cs="Overlock"/>
                <w:b/>
                <w:i/>
                <w:smallCaps/>
                <w:sz w:val="24"/>
                <w:szCs w:val="24"/>
              </w:rPr>
              <w:t>U</w:t>
            </w:r>
            <w:r>
              <w:rPr>
                <w:rFonts w:ascii="Overlock" w:eastAsia="Overlock" w:hAnsi="Overlock" w:cs="Overlock"/>
                <w:b/>
                <w:i/>
                <w:sz w:val="24"/>
                <w:szCs w:val="24"/>
              </w:rPr>
              <w:t>nité - Progrès - Justice</w:t>
            </w:r>
          </w:p>
        </w:tc>
        <w:tc>
          <w:tcPr>
            <w:tcW w:w="2452" w:type="dxa"/>
          </w:tcPr>
          <w:p w:rsidR="001E348E" w:rsidRPr="001E348E" w:rsidRDefault="001E348E" w:rsidP="001E348E">
            <w:pPr>
              <w:pStyle w:val="Normal1"/>
              <w:rPr>
                <w:b/>
                <w:i/>
                <w:sz w:val="44"/>
                <w:szCs w:val="44"/>
              </w:rPr>
            </w:pPr>
          </w:p>
        </w:tc>
        <w:tc>
          <w:tcPr>
            <w:tcW w:w="3952" w:type="dxa"/>
          </w:tcPr>
          <w:p w:rsidR="001E348E" w:rsidRPr="001E348E" w:rsidRDefault="001E348E" w:rsidP="001E348E">
            <w:pPr>
              <w:pStyle w:val="Normal1"/>
              <w:rPr>
                <w:b/>
                <w:i/>
                <w:sz w:val="44"/>
                <w:szCs w:val="44"/>
              </w:rPr>
            </w:pPr>
            <w:r>
              <w:rPr>
                <w:b/>
                <w:sz w:val="36"/>
                <w:szCs w:val="36"/>
              </w:rPr>
              <w:t>MINISTERE DE LA SANTE</w:t>
            </w:r>
          </w:p>
        </w:tc>
      </w:tr>
      <w:tr w:rsidR="00314B92" w:rsidTr="001E348E">
        <w:trPr>
          <w:trHeight w:val="300"/>
          <w:jc w:val="center"/>
        </w:trPr>
        <w:tc>
          <w:tcPr>
            <w:tcW w:w="9606" w:type="dxa"/>
            <w:gridSpan w:val="3"/>
          </w:tcPr>
          <w:p w:rsidR="00314B92" w:rsidRDefault="001E348E">
            <w:pPr>
              <w:pStyle w:val="Normal1"/>
            </w:pPr>
            <w:r>
              <w:rPr>
                <w:noProof/>
              </w:rPr>
              <w:drawing>
                <wp:anchor distT="36576" distB="36576" distL="36576" distR="36576" simplePos="0" relativeHeight="251600384" behindDoc="0" locked="0" layoutInCell="1" allowOverlap="1">
                  <wp:simplePos x="0" y="0"/>
                  <wp:positionH relativeFrom="column">
                    <wp:posOffset>1991995</wp:posOffset>
                  </wp:positionH>
                  <wp:positionV relativeFrom="paragraph">
                    <wp:posOffset>15240</wp:posOffset>
                  </wp:positionV>
                  <wp:extent cx="1485900" cy="1371600"/>
                  <wp:effectExtent l="19050" t="0" r="0" b="0"/>
                  <wp:wrapNone/>
                  <wp:docPr id="38"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8" cstate="print"/>
                          <a:srcRect/>
                          <a:stretch>
                            <a:fillRect/>
                          </a:stretch>
                        </pic:blipFill>
                        <pic:spPr>
                          <a:xfrm>
                            <a:off x="0" y="0"/>
                            <a:ext cx="1485900" cy="1371600"/>
                          </a:xfrm>
                          <a:prstGeom prst="rect">
                            <a:avLst/>
                          </a:prstGeom>
                          <a:ln/>
                        </pic:spPr>
                      </pic:pic>
                    </a:graphicData>
                  </a:graphic>
                </wp:anchor>
              </w:drawing>
            </w:r>
          </w:p>
          <w:p w:rsidR="00314B92" w:rsidRDefault="00314B92">
            <w:pPr>
              <w:pStyle w:val="Normal1"/>
            </w:pPr>
          </w:p>
          <w:p w:rsidR="00314B92" w:rsidRDefault="00314B92">
            <w:pPr>
              <w:pStyle w:val="Normal1"/>
            </w:pPr>
          </w:p>
          <w:p w:rsidR="00314B92" w:rsidRDefault="00314B92">
            <w:pPr>
              <w:pStyle w:val="Normal1"/>
            </w:pPr>
          </w:p>
          <w:p w:rsidR="00314B92" w:rsidRDefault="00314B92">
            <w:pPr>
              <w:pStyle w:val="Normal1"/>
            </w:pPr>
          </w:p>
          <w:p w:rsidR="00314B92" w:rsidRDefault="00314B92">
            <w:pPr>
              <w:pStyle w:val="Normal1"/>
            </w:pPr>
          </w:p>
          <w:p w:rsidR="00314B92" w:rsidRDefault="00314B92">
            <w:pPr>
              <w:pStyle w:val="Normal1"/>
            </w:pPr>
          </w:p>
          <w:p w:rsidR="00314B92" w:rsidRDefault="00314B92">
            <w:pPr>
              <w:pStyle w:val="Normal1"/>
            </w:pPr>
          </w:p>
        </w:tc>
      </w:tr>
    </w:tbl>
    <w:p w:rsidR="00314B92" w:rsidRDefault="00314B92">
      <w:pPr>
        <w:pStyle w:val="Normal1"/>
      </w:pPr>
    </w:p>
    <w:p w:rsidR="00314B92" w:rsidRDefault="00314B92">
      <w:pPr>
        <w:pStyle w:val="Normal1"/>
      </w:pPr>
    </w:p>
    <w:p w:rsidR="005452F8" w:rsidRDefault="005452F8">
      <w:pPr>
        <w:pStyle w:val="Normal1"/>
      </w:pPr>
    </w:p>
    <w:p w:rsidR="005452F8" w:rsidRDefault="005452F8">
      <w:pPr>
        <w:pStyle w:val="Normal1"/>
      </w:pPr>
    </w:p>
    <w:tbl>
      <w:tblPr>
        <w:tblStyle w:val="Grilledutableau"/>
        <w:tblW w:w="10206" w:type="dxa"/>
        <w:tblInd w:w="-459" w:type="dxa"/>
        <w:shd w:val="clear" w:color="auto" w:fill="DAEEF3" w:themeFill="accent5" w:themeFillTint="33"/>
        <w:tblLook w:val="04A0" w:firstRow="1" w:lastRow="0" w:firstColumn="1" w:lastColumn="0" w:noHBand="0" w:noVBand="1"/>
      </w:tblPr>
      <w:tblGrid>
        <w:gridCol w:w="10206"/>
      </w:tblGrid>
      <w:tr w:rsidR="005452F8" w:rsidTr="00B025A6">
        <w:tc>
          <w:tcPr>
            <w:tcW w:w="10206" w:type="dxa"/>
            <w:shd w:val="clear" w:color="auto" w:fill="DAEEF3" w:themeFill="accent5" w:themeFillTint="33"/>
          </w:tcPr>
          <w:p w:rsidR="005452F8" w:rsidRPr="00B025A6" w:rsidRDefault="005452F8" w:rsidP="005452F8">
            <w:pPr>
              <w:pStyle w:val="Normal1"/>
              <w:tabs>
                <w:tab w:val="left" w:pos="5640"/>
              </w:tabs>
              <w:jc w:val="center"/>
              <w:rPr>
                <w:rFonts w:ascii="Algerian" w:hAnsi="Algerian"/>
                <w:sz w:val="40"/>
                <w:szCs w:val="40"/>
              </w:rPr>
            </w:pPr>
            <w:r w:rsidRPr="00B025A6">
              <w:rPr>
                <w:rFonts w:ascii="Algerian" w:hAnsi="Algerian"/>
                <w:sz w:val="40"/>
                <w:szCs w:val="40"/>
              </w:rPr>
              <w:t xml:space="preserve">AMELIORER LA SANTE DE LA REPRODUCTION, DE LA MERE, DU NOUVEAU-NE, DE L’ENFANT ET DE L’ADOLESCENT-JEUNE, DE LA NUTRITION </w:t>
            </w:r>
          </w:p>
          <w:p w:rsidR="005452F8" w:rsidRPr="00B025A6" w:rsidRDefault="005452F8" w:rsidP="005452F8">
            <w:pPr>
              <w:pStyle w:val="Normal1"/>
              <w:tabs>
                <w:tab w:val="left" w:pos="5640"/>
              </w:tabs>
              <w:jc w:val="center"/>
              <w:rPr>
                <w:rFonts w:ascii="Algerian" w:hAnsi="Algerian"/>
                <w:sz w:val="40"/>
                <w:szCs w:val="40"/>
              </w:rPr>
            </w:pPr>
            <w:r w:rsidRPr="00B025A6">
              <w:rPr>
                <w:rFonts w:ascii="Algerian" w:hAnsi="Algerian"/>
                <w:sz w:val="40"/>
                <w:szCs w:val="40"/>
              </w:rPr>
              <w:t>ET DE L’ETAT CIVIL</w:t>
            </w:r>
            <w:r w:rsidR="00B025A6" w:rsidRPr="00B025A6">
              <w:rPr>
                <w:rFonts w:ascii="Algerian" w:hAnsi="Algerian"/>
                <w:sz w:val="40"/>
                <w:szCs w:val="40"/>
              </w:rPr>
              <w:t xml:space="preserve"> ET STATISTIQUES VITALES</w:t>
            </w:r>
          </w:p>
          <w:p w:rsidR="005452F8" w:rsidRPr="00104E3D" w:rsidRDefault="005452F8" w:rsidP="005452F8">
            <w:pPr>
              <w:pStyle w:val="Normal1"/>
              <w:tabs>
                <w:tab w:val="left" w:pos="5640"/>
              </w:tabs>
              <w:jc w:val="center"/>
              <w:rPr>
                <w:rFonts w:ascii="Algerian" w:hAnsi="Algerian"/>
                <w:b/>
                <w:sz w:val="56"/>
                <w:szCs w:val="56"/>
              </w:rPr>
            </w:pPr>
            <w:r w:rsidRPr="00104E3D">
              <w:rPr>
                <w:rFonts w:ascii="Algerian" w:hAnsi="Algerian"/>
                <w:b/>
                <w:sz w:val="56"/>
                <w:szCs w:val="56"/>
              </w:rPr>
              <w:t>DOSSIER D’INVESTISSEMENT</w:t>
            </w:r>
          </w:p>
          <w:p w:rsidR="005452F8" w:rsidRDefault="005452F8">
            <w:pPr>
              <w:pStyle w:val="Normal1"/>
            </w:pPr>
          </w:p>
        </w:tc>
      </w:tr>
    </w:tbl>
    <w:p w:rsidR="005452F8" w:rsidRDefault="005452F8">
      <w:pPr>
        <w:pStyle w:val="Normal1"/>
      </w:pPr>
    </w:p>
    <w:tbl>
      <w:tblPr>
        <w:tblStyle w:val="Grilledutableau"/>
        <w:tblW w:w="10206"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5452F8" w:rsidTr="00B025A6">
        <w:tc>
          <w:tcPr>
            <w:tcW w:w="10206" w:type="dxa"/>
          </w:tcPr>
          <w:p w:rsidR="005452F8" w:rsidRDefault="005452F8">
            <w:pPr>
              <w:pStyle w:val="Normal1"/>
            </w:pPr>
            <w:r w:rsidRPr="005452F8">
              <w:rPr>
                <w:noProof/>
              </w:rPr>
              <w:drawing>
                <wp:inline distT="0" distB="0" distL="0" distR="0">
                  <wp:extent cx="6276292" cy="1638300"/>
                  <wp:effectExtent l="19050" t="0" r="0" b="0"/>
                  <wp:docPr id="8"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9" cstate="print"/>
                          <a:srcRect/>
                          <a:stretch>
                            <a:fillRect/>
                          </a:stretch>
                        </pic:blipFill>
                        <pic:spPr bwMode="auto">
                          <a:xfrm>
                            <a:off x="0" y="0"/>
                            <a:ext cx="6297736" cy="1643898"/>
                          </a:xfrm>
                          <a:prstGeom prst="rect">
                            <a:avLst/>
                          </a:prstGeom>
                          <a:noFill/>
                        </pic:spPr>
                      </pic:pic>
                    </a:graphicData>
                  </a:graphic>
                </wp:inline>
              </w:drawing>
            </w:r>
          </w:p>
          <w:p w:rsidR="005452F8" w:rsidRDefault="005452F8">
            <w:pPr>
              <w:pStyle w:val="Normal1"/>
            </w:pPr>
          </w:p>
        </w:tc>
      </w:tr>
    </w:tbl>
    <w:p w:rsidR="005452F8" w:rsidRDefault="005452F8">
      <w:pPr>
        <w:pStyle w:val="Normal1"/>
      </w:pPr>
    </w:p>
    <w:p w:rsidR="00314B92" w:rsidRDefault="00314B92">
      <w:pPr>
        <w:pStyle w:val="Normal1"/>
      </w:pPr>
    </w:p>
    <w:p w:rsidR="001E348E" w:rsidRPr="00B025A6" w:rsidRDefault="00470041" w:rsidP="00B025A6">
      <w:pPr>
        <w:jc w:val="center"/>
        <w:rPr>
          <w:b/>
          <w:sz w:val="44"/>
          <w:szCs w:val="44"/>
        </w:rPr>
      </w:pPr>
      <w:r>
        <w:rPr>
          <w:b/>
          <w:sz w:val="44"/>
          <w:szCs w:val="44"/>
        </w:rPr>
        <w:t>JU</w:t>
      </w:r>
      <w:r w:rsidR="00B025A6" w:rsidRPr="00B025A6">
        <w:rPr>
          <w:b/>
          <w:sz w:val="44"/>
          <w:szCs w:val="44"/>
        </w:rPr>
        <w:t>I</w:t>
      </w:r>
      <w:r>
        <w:rPr>
          <w:b/>
          <w:sz w:val="44"/>
          <w:szCs w:val="44"/>
        </w:rPr>
        <w:t>N</w:t>
      </w:r>
      <w:r w:rsidR="00B025A6" w:rsidRPr="00B025A6">
        <w:rPr>
          <w:b/>
          <w:sz w:val="44"/>
          <w:szCs w:val="44"/>
        </w:rPr>
        <w:t xml:space="preserve"> 2019</w:t>
      </w:r>
      <w:r w:rsidR="005452F8" w:rsidRPr="00B025A6">
        <w:rPr>
          <w:b/>
          <w:sz w:val="44"/>
          <w:szCs w:val="44"/>
        </w:rPr>
        <w:br w:type="page"/>
      </w:r>
    </w:p>
    <w:tbl>
      <w:tblPr>
        <w:tblW w:w="9322" w:type="dxa"/>
        <w:tblLayout w:type="fixed"/>
        <w:tblLook w:val="0400" w:firstRow="0" w:lastRow="0" w:firstColumn="0" w:lastColumn="0" w:noHBand="0" w:noVBand="1"/>
      </w:tblPr>
      <w:tblGrid>
        <w:gridCol w:w="987"/>
        <w:gridCol w:w="7504"/>
        <w:gridCol w:w="831"/>
      </w:tblGrid>
      <w:tr w:rsidR="00DF185B" w:rsidRPr="00CB6D12" w:rsidTr="00DF185B">
        <w:tc>
          <w:tcPr>
            <w:tcW w:w="9322" w:type="dxa"/>
            <w:gridSpan w:val="3"/>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lastRenderedPageBreak/>
              <w:t xml:space="preserve">TABLE DES MATIERES </w:t>
            </w:r>
          </w:p>
        </w:tc>
      </w:tr>
      <w:tr w:rsidR="00DF185B" w:rsidRPr="00CB6D12" w:rsidTr="00DF185B">
        <w:tc>
          <w:tcPr>
            <w:tcW w:w="987" w:type="dxa"/>
          </w:tcPr>
          <w:p w:rsidR="00DF185B" w:rsidRPr="00CB6D12" w:rsidRDefault="00DF185B" w:rsidP="00CD646D">
            <w:pPr>
              <w:pStyle w:val="Normal1"/>
              <w:spacing w:after="0"/>
              <w:rPr>
                <w:rFonts w:asciiTheme="minorHAnsi" w:hAnsiTheme="minorHAnsi" w:cstheme="minorHAnsi"/>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LISTE DES TABLEAUX ET FIGURES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w:t>
            </w:r>
          </w:p>
        </w:tc>
      </w:tr>
      <w:tr w:rsidR="00DF185B" w:rsidRPr="00CB6D12" w:rsidTr="00DF185B">
        <w:tc>
          <w:tcPr>
            <w:tcW w:w="987" w:type="dxa"/>
          </w:tcPr>
          <w:p w:rsidR="00DF185B" w:rsidRPr="00CB6D12" w:rsidRDefault="00DF185B" w:rsidP="00CD646D">
            <w:pPr>
              <w:pStyle w:val="Normal1"/>
              <w:spacing w:after="0"/>
              <w:rPr>
                <w:rFonts w:asciiTheme="minorHAnsi" w:hAnsiTheme="minorHAnsi" w:cstheme="minorHAnsi"/>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PREFACE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w:t>
            </w:r>
          </w:p>
        </w:tc>
      </w:tr>
      <w:tr w:rsidR="00DF185B" w:rsidRPr="00CB6D12" w:rsidTr="00DF185B">
        <w:tc>
          <w:tcPr>
            <w:tcW w:w="987" w:type="dxa"/>
          </w:tcPr>
          <w:p w:rsidR="00DF185B" w:rsidRPr="00CB6D12" w:rsidRDefault="00DF185B" w:rsidP="00CD646D">
            <w:pPr>
              <w:pStyle w:val="Normal1"/>
              <w:spacing w:after="0"/>
              <w:rPr>
                <w:rFonts w:asciiTheme="minorHAnsi" w:hAnsiTheme="minorHAnsi" w:cstheme="minorHAnsi"/>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REMERCIEMENTS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8</w:t>
            </w:r>
          </w:p>
        </w:tc>
      </w:tr>
      <w:tr w:rsidR="00DF185B" w:rsidRPr="00CB6D12" w:rsidTr="00DF185B">
        <w:tc>
          <w:tcPr>
            <w:tcW w:w="987" w:type="dxa"/>
          </w:tcPr>
          <w:p w:rsidR="00DF185B" w:rsidRPr="00CB6D12" w:rsidRDefault="00DF185B" w:rsidP="00CD646D">
            <w:pPr>
              <w:pStyle w:val="Normal1"/>
              <w:spacing w:after="0"/>
              <w:rPr>
                <w:rFonts w:asciiTheme="minorHAnsi" w:hAnsiTheme="minorHAnsi" w:cstheme="minorHAnsi"/>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SIGLES ET ABREVIATIONS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w:t>
            </w:r>
          </w:p>
        </w:tc>
      </w:tr>
      <w:tr w:rsidR="00DF185B" w:rsidRPr="00CB6D12" w:rsidTr="00DF185B">
        <w:tc>
          <w:tcPr>
            <w:tcW w:w="987" w:type="dxa"/>
          </w:tcPr>
          <w:p w:rsidR="00DF185B" w:rsidRPr="00CB6D12" w:rsidRDefault="00DF185B" w:rsidP="00CD646D">
            <w:pPr>
              <w:pStyle w:val="Normal1"/>
              <w:spacing w:after="0"/>
              <w:rPr>
                <w:rFonts w:asciiTheme="minorHAnsi" w:hAnsiTheme="minorHAnsi" w:cstheme="minorHAnsi"/>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RESUME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11</w:t>
            </w:r>
          </w:p>
        </w:tc>
      </w:tr>
      <w:tr w:rsidR="00DF185B" w:rsidRPr="00CB6D12" w:rsidTr="00DF185B">
        <w:tc>
          <w:tcPr>
            <w:tcW w:w="987" w:type="dxa"/>
          </w:tcPr>
          <w:p w:rsidR="00DF185B" w:rsidRPr="00CB6D12" w:rsidRDefault="00DF185B" w:rsidP="00CD646D">
            <w:pPr>
              <w:pStyle w:val="Normal1"/>
              <w:numPr>
                <w:ilvl w:val="0"/>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b/>
              </w:rPr>
            </w:pPr>
            <w:r w:rsidRPr="00CB6D12">
              <w:rPr>
                <w:rFonts w:asciiTheme="minorHAnsi" w:hAnsiTheme="minorHAnsi" w:cstheme="minorHAnsi"/>
                <w:b/>
              </w:rPr>
              <w:t>INTRODUCTION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16</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POURQUOI UN DOSSIER D’INVESTISSEMENT EN SRMNEAN ET ETAT CIVIL POUR LE BURKINA FASO</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16</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widowControl w:val="0"/>
              <w:pBdr>
                <w:top w:val="nil"/>
                <w:left w:val="nil"/>
                <w:bottom w:val="nil"/>
                <w:right w:val="nil"/>
                <w:between w:val="nil"/>
              </w:pBdr>
              <w:spacing w:before="60" w:after="0"/>
              <w:jc w:val="both"/>
              <w:rPr>
                <w:rFonts w:asciiTheme="minorHAnsi" w:hAnsiTheme="minorHAnsi" w:cstheme="minorHAnsi"/>
                <w:color w:val="000000"/>
              </w:rPr>
            </w:pPr>
            <w:r w:rsidRPr="00CB6D12">
              <w:rPr>
                <w:rFonts w:asciiTheme="minorHAnsi" w:hAnsiTheme="minorHAnsi" w:cstheme="minorHAnsi"/>
                <w:color w:val="000000"/>
              </w:rPr>
              <w:t>CONTEXTE DU PAYS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17</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widowControl w:val="0"/>
              <w:pBdr>
                <w:top w:val="nil"/>
                <w:left w:val="nil"/>
                <w:bottom w:val="nil"/>
                <w:right w:val="nil"/>
                <w:between w:val="nil"/>
              </w:pBdr>
              <w:spacing w:before="60" w:after="0"/>
              <w:jc w:val="both"/>
              <w:rPr>
                <w:rFonts w:asciiTheme="minorHAnsi" w:hAnsiTheme="minorHAnsi" w:cstheme="minorHAnsi"/>
                <w:color w:val="000000"/>
              </w:rPr>
            </w:pPr>
            <w:r w:rsidRPr="00CB6D12">
              <w:rPr>
                <w:rFonts w:asciiTheme="minorHAnsi" w:hAnsiTheme="minorHAnsi" w:cstheme="minorHAnsi"/>
                <w:color w:val="000000"/>
              </w:rPr>
              <w:t>Contexte géographique et démographique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17</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Contexte politique et administratif</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17</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widowControl w:val="0"/>
              <w:pBdr>
                <w:top w:val="nil"/>
                <w:left w:val="nil"/>
                <w:bottom w:val="nil"/>
                <w:right w:val="nil"/>
                <w:between w:val="nil"/>
              </w:pBdr>
              <w:spacing w:before="60" w:after="0"/>
              <w:jc w:val="both"/>
              <w:rPr>
                <w:rFonts w:asciiTheme="minorHAnsi" w:hAnsiTheme="minorHAnsi" w:cstheme="minorHAnsi"/>
                <w:color w:val="000000"/>
              </w:rPr>
            </w:pPr>
            <w:r w:rsidRPr="00CB6D12">
              <w:rPr>
                <w:rFonts w:asciiTheme="minorHAnsi" w:hAnsiTheme="minorHAnsi" w:cstheme="minorHAnsi"/>
                <w:color w:val="000000"/>
              </w:rPr>
              <w:t>Situation socio-économique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18</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widowControl w:val="0"/>
              <w:pBdr>
                <w:top w:val="nil"/>
                <w:left w:val="nil"/>
                <w:bottom w:val="nil"/>
                <w:right w:val="nil"/>
                <w:between w:val="nil"/>
              </w:pBdr>
              <w:spacing w:before="60" w:after="0"/>
              <w:jc w:val="both"/>
              <w:rPr>
                <w:rFonts w:asciiTheme="minorHAnsi" w:hAnsiTheme="minorHAnsi" w:cstheme="minorHAnsi"/>
                <w:color w:val="000000"/>
              </w:rPr>
            </w:pPr>
            <w:r w:rsidRPr="00CB6D12">
              <w:rPr>
                <w:rFonts w:asciiTheme="minorHAnsi" w:hAnsiTheme="minorHAnsi" w:cstheme="minorHAnsi"/>
                <w:color w:val="000000"/>
              </w:rPr>
              <w:t>Situation sanitaire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18</w:t>
            </w:r>
          </w:p>
        </w:tc>
      </w:tr>
      <w:tr w:rsidR="00DF185B" w:rsidRPr="00CB6D12" w:rsidTr="00DF185B">
        <w:tc>
          <w:tcPr>
            <w:tcW w:w="987" w:type="dxa"/>
          </w:tcPr>
          <w:p w:rsidR="00DF185B" w:rsidRPr="00CB6D12" w:rsidRDefault="00DF185B" w:rsidP="00CD646D">
            <w:pPr>
              <w:pStyle w:val="Normal1"/>
              <w:numPr>
                <w:ilvl w:val="0"/>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b/>
              </w:rPr>
              <w:t xml:space="preserve">ANALYSE DE LA SITUATION DE LA SRMNEAN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21</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widowControl w:val="0"/>
              <w:pBdr>
                <w:top w:val="nil"/>
                <w:left w:val="nil"/>
                <w:bottom w:val="nil"/>
                <w:right w:val="nil"/>
                <w:between w:val="nil"/>
              </w:pBdr>
              <w:spacing w:before="60" w:after="0"/>
              <w:jc w:val="both"/>
              <w:rPr>
                <w:rFonts w:asciiTheme="minorHAnsi" w:hAnsiTheme="minorHAnsi" w:cstheme="minorHAnsi"/>
                <w:b/>
                <w:color w:val="000000"/>
              </w:rPr>
            </w:pPr>
            <w:r w:rsidRPr="00CB6D12">
              <w:rPr>
                <w:rFonts w:asciiTheme="minorHAnsi" w:hAnsiTheme="minorHAnsi" w:cstheme="minorHAnsi"/>
                <w:color w:val="00000A"/>
              </w:rPr>
              <w:t>LES INDICATEURS DE LA SRMNEAN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21</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mortalité maternelle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21</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mortalité néo-natale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22</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widowControl w:val="0"/>
              <w:pBdr>
                <w:top w:val="nil"/>
                <w:left w:val="nil"/>
                <w:bottom w:val="nil"/>
                <w:right w:val="nil"/>
                <w:between w:val="nil"/>
              </w:pBdr>
              <w:spacing w:before="60" w:after="0"/>
              <w:jc w:val="both"/>
              <w:rPr>
                <w:rFonts w:asciiTheme="minorHAnsi" w:hAnsiTheme="minorHAnsi" w:cstheme="minorHAnsi"/>
                <w:color w:val="00000A"/>
              </w:rPr>
            </w:pPr>
            <w:r w:rsidRPr="00CB6D12">
              <w:rPr>
                <w:rFonts w:asciiTheme="minorHAnsi" w:hAnsiTheme="minorHAnsi" w:cstheme="minorHAnsi"/>
                <w:color w:val="00000A"/>
              </w:rPr>
              <w:t>La mortalité infanto-juvénile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24</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santé du jeune enfant</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25</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santé des adolescents/jeunes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26</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nutrition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28</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 xml:space="preserve">CONTINUUM DE SERVICES EN SRMNEAN : PERFORMANCE ET GAPS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31</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Les soins prénatals (SPN)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31</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smallCaps/>
              </w:rPr>
            </w:pPr>
            <w:r w:rsidRPr="00CB6D12">
              <w:rPr>
                <w:rFonts w:asciiTheme="minorHAnsi" w:hAnsiTheme="minorHAnsi" w:cstheme="minorHAnsi"/>
              </w:rPr>
              <w:t xml:space="preserve">Les soins obstétricaux et néonataux d’urgences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33</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smallCaps/>
              </w:rPr>
            </w:pPr>
            <w:r w:rsidRPr="00CB6D12">
              <w:rPr>
                <w:rFonts w:asciiTheme="minorHAnsi" w:hAnsiTheme="minorHAnsi" w:cstheme="minorHAnsi"/>
              </w:rPr>
              <w:t>Accouchements assistés par du personnel qualifié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37</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Soins après avortements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38</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Consultation postnatale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39</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Les cancers de la femme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40</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Planification familiale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40</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smallCaps/>
              </w:rPr>
            </w:pPr>
            <w:r w:rsidRPr="00CB6D12">
              <w:rPr>
                <w:rFonts w:asciiTheme="minorHAnsi" w:hAnsiTheme="minorHAnsi" w:cstheme="minorHAnsi"/>
                <w:smallCaps/>
              </w:rPr>
              <w:t>E</w:t>
            </w:r>
            <w:r w:rsidRPr="00CB6D12">
              <w:rPr>
                <w:rFonts w:asciiTheme="minorHAnsi" w:hAnsiTheme="minorHAnsi" w:cstheme="minorHAnsi"/>
              </w:rPr>
              <w:t xml:space="preserve">limination de la transmission mère-enfant du </w:t>
            </w:r>
            <w:r w:rsidRPr="00CB6D12">
              <w:rPr>
                <w:rFonts w:asciiTheme="minorHAnsi" w:hAnsiTheme="minorHAnsi" w:cstheme="minorHAnsi"/>
                <w:smallCaps/>
              </w:rPr>
              <w:t>VIH</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43</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smallCaps/>
              </w:rPr>
            </w:pPr>
            <w:r w:rsidRPr="00CB6D12">
              <w:rPr>
                <w:rFonts w:asciiTheme="minorHAnsi" w:hAnsiTheme="minorHAnsi" w:cstheme="minorHAnsi"/>
                <w:smallCaps/>
              </w:rPr>
              <w:t>C</w:t>
            </w:r>
            <w:r w:rsidRPr="00CB6D12">
              <w:rPr>
                <w:rFonts w:asciiTheme="minorHAnsi" w:hAnsiTheme="minorHAnsi" w:cstheme="minorHAnsi"/>
              </w:rPr>
              <w:t>onsultation du nourrisson sain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45</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smallCaps/>
              </w:rPr>
            </w:pPr>
            <w:r w:rsidRPr="00CB6D12">
              <w:rPr>
                <w:rFonts w:asciiTheme="minorHAnsi" w:hAnsiTheme="minorHAnsi" w:cstheme="minorHAnsi"/>
                <w:smallCaps/>
              </w:rPr>
              <w:t>V</w:t>
            </w:r>
            <w:r w:rsidRPr="00CB6D12">
              <w:rPr>
                <w:rFonts w:asciiTheme="minorHAnsi" w:hAnsiTheme="minorHAnsi" w:cstheme="minorHAnsi"/>
              </w:rPr>
              <w:t>accination des enfants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45</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Prise en charge intégrée des maladies de l’enfant (PCIME)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47</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smallCaps/>
              </w:rPr>
            </w:pPr>
            <w:r w:rsidRPr="00CB6D12">
              <w:rPr>
                <w:rFonts w:asciiTheme="minorHAnsi" w:hAnsiTheme="minorHAnsi" w:cstheme="minorHAnsi"/>
              </w:rPr>
              <w:t>Le tri évaluation et traitement des urgences (TETU)</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48</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Les interventions à haut impact de nutrition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49</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Interventions en faveur de la santé du jeune enfant, de l’adolescent et du jeune.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51</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ENVIRONNEMENT DE LA MISE EN ŒUVRE DU PAQUET SRMNEAN et ECSV</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53</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disponibilité et utilisation des services de santé</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53</w:t>
            </w:r>
          </w:p>
        </w:tc>
      </w:tr>
      <w:tr w:rsidR="00DF185B" w:rsidRPr="00CB6D12" w:rsidTr="00DF185B">
        <w:tc>
          <w:tcPr>
            <w:tcW w:w="987" w:type="dxa"/>
          </w:tcPr>
          <w:p w:rsidR="00DF185B" w:rsidRPr="00CB6D12" w:rsidRDefault="00DF185B" w:rsidP="00CD646D">
            <w:pPr>
              <w:pStyle w:val="Normal1"/>
              <w:numPr>
                <w:ilvl w:val="3"/>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Ressources humaines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53</w:t>
            </w:r>
          </w:p>
        </w:tc>
      </w:tr>
      <w:tr w:rsidR="00DF185B" w:rsidRPr="00CB6D12" w:rsidTr="00DF185B">
        <w:tc>
          <w:tcPr>
            <w:tcW w:w="987" w:type="dxa"/>
          </w:tcPr>
          <w:p w:rsidR="00DF185B" w:rsidRPr="00CB6D12" w:rsidRDefault="00DF185B" w:rsidP="00CD646D">
            <w:pPr>
              <w:pStyle w:val="Normal1"/>
              <w:numPr>
                <w:ilvl w:val="3"/>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Infrastructures et équipements sanitaires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54</w:t>
            </w:r>
          </w:p>
        </w:tc>
      </w:tr>
      <w:tr w:rsidR="00DF185B" w:rsidRPr="00CB6D12" w:rsidTr="00DF185B">
        <w:tc>
          <w:tcPr>
            <w:tcW w:w="987" w:type="dxa"/>
          </w:tcPr>
          <w:p w:rsidR="00DF185B" w:rsidRPr="00CB6D12" w:rsidRDefault="00DF185B" w:rsidP="00CD646D">
            <w:pPr>
              <w:pStyle w:val="Normal1"/>
              <w:numPr>
                <w:ilvl w:val="3"/>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Financement</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56</w:t>
            </w:r>
          </w:p>
        </w:tc>
      </w:tr>
      <w:tr w:rsidR="00DF185B" w:rsidRPr="00CB6D12" w:rsidTr="00DF185B">
        <w:tc>
          <w:tcPr>
            <w:tcW w:w="987" w:type="dxa"/>
          </w:tcPr>
          <w:p w:rsidR="00DF185B" w:rsidRPr="00CB6D12" w:rsidRDefault="00DF185B" w:rsidP="00CD646D">
            <w:pPr>
              <w:pStyle w:val="Normal1"/>
              <w:numPr>
                <w:ilvl w:val="3"/>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Information sanitaire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57</w:t>
            </w:r>
          </w:p>
        </w:tc>
      </w:tr>
      <w:tr w:rsidR="00DF185B" w:rsidRPr="00CB6D12" w:rsidTr="00DF185B">
        <w:trPr>
          <w:trHeight w:val="680"/>
        </w:trPr>
        <w:tc>
          <w:tcPr>
            <w:tcW w:w="987" w:type="dxa"/>
          </w:tcPr>
          <w:p w:rsidR="00DF185B" w:rsidRPr="00CB6D12" w:rsidRDefault="00DF185B" w:rsidP="00CD646D">
            <w:pPr>
              <w:pStyle w:val="Normal1"/>
              <w:numPr>
                <w:ilvl w:val="3"/>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démarche qualité : Approche des soins intégrés centrés sur les personnes et la sécurité des patients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58</w:t>
            </w:r>
          </w:p>
        </w:tc>
      </w:tr>
      <w:tr w:rsidR="00DF185B" w:rsidRPr="00CB6D12" w:rsidTr="00DF185B">
        <w:tc>
          <w:tcPr>
            <w:tcW w:w="987" w:type="dxa"/>
          </w:tcPr>
          <w:p w:rsidR="00DF185B" w:rsidRPr="00CB6D12" w:rsidRDefault="00DF185B" w:rsidP="00CD646D">
            <w:pPr>
              <w:pStyle w:val="Normal1"/>
              <w:numPr>
                <w:ilvl w:val="3"/>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santé communautaire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59</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Gouvernance et coordination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60</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Déterminants de la santé</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60</w:t>
            </w:r>
          </w:p>
        </w:tc>
      </w:tr>
      <w:tr w:rsidR="00DF185B" w:rsidRPr="00CB6D12" w:rsidTr="00DF185B">
        <w:tc>
          <w:tcPr>
            <w:tcW w:w="987" w:type="dxa"/>
          </w:tcPr>
          <w:p w:rsidR="00DF185B" w:rsidRPr="00CB6D12" w:rsidRDefault="00DF185B" w:rsidP="00CD646D">
            <w:pPr>
              <w:pStyle w:val="Normal1"/>
              <w:numPr>
                <w:ilvl w:val="0"/>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b/>
              </w:rPr>
            </w:pPr>
            <w:r w:rsidRPr="00CB6D12">
              <w:rPr>
                <w:rFonts w:asciiTheme="minorHAnsi" w:hAnsiTheme="minorHAnsi" w:cstheme="minorHAnsi"/>
                <w:b/>
              </w:rPr>
              <w:t>ETAT CIVIL ET STATISTIQUES VITALES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62</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 xml:space="preserve">SITUATION EN MATIERE D’ETAT CIVIL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62</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Enregistrement des naissances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62</w:t>
            </w:r>
          </w:p>
        </w:tc>
      </w:tr>
      <w:tr w:rsidR="00DF185B" w:rsidRPr="00CB6D12" w:rsidTr="00DF185B">
        <w:tc>
          <w:tcPr>
            <w:tcW w:w="987" w:type="dxa"/>
          </w:tcPr>
          <w:p w:rsidR="00DF185B" w:rsidRPr="00CB6D12" w:rsidRDefault="00DF185B" w:rsidP="00CD646D">
            <w:pPr>
              <w:pStyle w:val="Normal1"/>
              <w:numPr>
                <w:ilvl w:val="2"/>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smallCaps/>
              </w:rPr>
            </w:pPr>
            <w:r w:rsidRPr="00CB6D12">
              <w:rPr>
                <w:rFonts w:asciiTheme="minorHAnsi" w:hAnsiTheme="minorHAnsi" w:cstheme="minorHAnsi"/>
                <w:smallCaps/>
              </w:rPr>
              <w:t>D</w:t>
            </w:r>
            <w:r w:rsidRPr="00CB6D12">
              <w:rPr>
                <w:rFonts w:asciiTheme="minorHAnsi" w:hAnsiTheme="minorHAnsi" w:cstheme="minorHAnsi"/>
              </w:rPr>
              <w:t>éclaration des mariages et des décès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62</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SITUATION EN MATIERE DE STATISTIQUES VITALES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63</w:t>
            </w:r>
          </w:p>
        </w:tc>
      </w:tr>
      <w:tr w:rsidR="00DF185B" w:rsidRPr="00CB6D12" w:rsidTr="00DF185B">
        <w:tc>
          <w:tcPr>
            <w:tcW w:w="987" w:type="dxa"/>
          </w:tcPr>
          <w:p w:rsidR="00DF185B" w:rsidRPr="00CB6D12" w:rsidRDefault="00DF185B" w:rsidP="00CD646D">
            <w:pPr>
              <w:pStyle w:val="Normal1"/>
              <w:numPr>
                <w:ilvl w:val="0"/>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 xml:space="preserve">ANALYSE DES GOULOTS D’ETRANGLEMENT A LA MISE EN OEUVRE EFFECTIVE DES SERVICES DE LA SRMNEA ET DE L’ECSV </w:t>
            </w:r>
          </w:p>
        </w:tc>
        <w:tc>
          <w:tcPr>
            <w:tcW w:w="831" w:type="dxa"/>
          </w:tcPr>
          <w:p w:rsidR="00DF185B" w:rsidRPr="00470041" w:rsidRDefault="00DF185B" w:rsidP="00CD646D">
            <w:pPr>
              <w:pStyle w:val="Normal1"/>
              <w:spacing w:after="0"/>
              <w:rPr>
                <w:rFonts w:asciiTheme="majorHAnsi" w:hAnsiTheme="majorHAnsi" w:cstheme="majorHAnsi"/>
                <w:sz w:val="24"/>
                <w:szCs w:val="24"/>
              </w:rPr>
            </w:pPr>
            <w:r w:rsidRPr="00470041">
              <w:rPr>
                <w:rFonts w:asciiTheme="majorHAnsi" w:hAnsiTheme="majorHAnsi" w:cstheme="majorHAnsi"/>
                <w:sz w:val="24"/>
                <w:szCs w:val="24"/>
              </w:rPr>
              <w:t>64</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hd w:val="clear" w:color="auto" w:fill="FFFFFF"/>
              <w:spacing w:after="0"/>
              <w:rPr>
                <w:rFonts w:asciiTheme="minorHAnsi" w:hAnsiTheme="minorHAnsi" w:cstheme="minorHAnsi"/>
              </w:rPr>
            </w:pPr>
            <w:r w:rsidRPr="00CB6D12">
              <w:rPr>
                <w:rFonts w:asciiTheme="minorHAnsi" w:hAnsiTheme="minorHAnsi" w:cstheme="minorHAnsi"/>
              </w:rPr>
              <w:t>GOULOTS D’ETRANGLEMENT ET LEURS CAUSES POUR L’OFFRE DES PRATIQUES FAMILIALES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64</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GOULOTS D’ETRANGLEMENT ET LEURS CAUSES POUR LE PAQUET DE SERVICES PREVENTIFS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65</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GOULOTS D’ETRANGLEMENT ET LEURS CAUSES POUR LE PAQUET DE SERVICES CURATIFS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66</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LA LIMITE A L’EQUITE ET LIMITE OPERATIONNELLE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67</w:t>
            </w:r>
          </w:p>
        </w:tc>
      </w:tr>
      <w:tr w:rsidR="00DF185B" w:rsidRPr="00CB6D12" w:rsidTr="00DF185B">
        <w:tc>
          <w:tcPr>
            <w:tcW w:w="987" w:type="dxa"/>
          </w:tcPr>
          <w:p w:rsidR="00DF185B" w:rsidRPr="00CB6D12" w:rsidRDefault="00DF185B" w:rsidP="00CD646D">
            <w:pPr>
              <w:pStyle w:val="Normal1"/>
              <w:numPr>
                <w:ilvl w:val="1"/>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color w:val="000000"/>
              </w:rPr>
            </w:pPr>
            <w:r w:rsidRPr="00CB6D12">
              <w:rPr>
                <w:rFonts w:asciiTheme="minorHAnsi" w:hAnsiTheme="minorHAnsi" w:cstheme="minorHAnsi"/>
              </w:rPr>
              <w:t>LES PRINCIPALES STRATEGIES A HAUT IMPACT</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70</w:t>
            </w:r>
          </w:p>
        </w:tc>
      </w:tr>
      <w:tr w:rsidR="00DF185B" w:rsidRPr="00CB6D12" w:rsidTr="00DF185B">
        <w:tc>
          <w:tcPr>
            <w:tcW w:w="987" w:type="dxa"/>
          </w:tcPr>
          <w:p w:rsidR="00DF185B" w:rsidRPr="00CB6D12" w:rsidRDefault="00DF185B" w:rsidP="00CD646D">
            <w:pPr>
              <w:pStyle w:val="Normal1"/>
              <w:numPr>
                <w:ilvl w:val="0"/>
                <w:numId w:val="59"/>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STRATEGIE D’AMELIORATION DE LA SANTE DE LA MERE, DE L’ENFANT ET DE L’ADOLESCENT/JEUNE, NUTRITION ET ETAT CIVIL.</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72</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rPr>
              <w:t>VISION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72</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rPr>
            </w:pPr>
            <w:r w:rsidRPr="00CB6D12">
              <w:rPr>
                <w:rFonts w:asciiTheme="minorHAnsi" w:hAnsiTheme="minorHAnsi" w:cstheme="minorHAnsi"/>
              </w:rPr>
              <w:t>PRINCIPES DIRECTEURS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72</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rPr>
            </w:pPr>
            <w:r w:rsidRPr="00CB6D12">
              <w:rPr>
                <w:rFonts w:asciiTheme="minorHAnsi" w:hAnsiTheme="minorHAnsi" w:cstheme="minorHAnsi"/>
              </w:rPr>
              <w:t>LE RESULTAT ATTENDU</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72</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pBdr>
                <w:top w:val="nil"/>
                <w:left w:val="nil"/>
                <w:bottom w:val="nil"/>
                <w:right w:val="nil"/>
                <w:between w:val="nil"/>
              </w:pBdr>
              <w:spacing w:after="0"/>
              <w:rPr>
                <w:rFonts w:asciiTheme="minorHAnsi" w:hAnsiTheme="minorHAnsi" w:cstheme="minorHAnsi"/>
                <w:color w:val="000000"/>
              </w:rPr>
            </w:pPr>
            <w:r w:rsidRPr="00CB6D12">
              <w:rPr>
                <w:rFonts w:asciiTheme="minorHAnsi" w:hAnsiTheme="minorHAnsi" w:cstheme="minorHAnsi"/>
                <w:color w:val="000000"/>
              </w:rPr>
              <w:t xml:space="preserve">APPROCHE STRATEGIQUE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72</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rPr>
            </w:pPr>
            <w:r w:rsidRPr="00CB6D12">
              <w:rPr>
                <w:rFonts w:asciiTheme="minorHAnsi" w:hAnsiTheme="minorHAnsi" w:cstheme="minorHAnsi"/>
                <w:color w:val="000000"/>
              </w:rPr>
              <w:t xml:space="preserve">CHOIX DE LA </w:t>
            </w:r>
            <w:r w:rsidRPr="00CB6D12">
              <w:rPr>
                <w:rFonts w:asciiTheme="minorHAnsi" w:hAnsiTheme="minorHAnsi" w:cstheme="minorHAnsi"/>
              </w:rPr>
              <w:t>ZONE D’INTERVENTION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73</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rPr>
            </w:pPr>
            <w:r w:rsidRPr="00CB6D12">
              <w:rPr>
                <w:rFonts w:asciiTheme="minorHAnsi" w:hAnsiTheme="minorHAnsi" w:cstheme="minorHAnsi"/>
              </w:rPr>
              <w:t>LE PAQUET D’INTERVENTIONS A HAUT IMPACT</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74</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rPr>
            </w:pPr>
            <w:r w:rsidRPr="00CB6D12">
              <w:rPr>
                <w:rFonts w:asciiTheme="minorHAnsi" w:hAnsiTheme="minorHAnsi" w:cstheme="minorHAnsi"/>
              </w:rPr>
              <w:t>LES PRIORITES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74</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spacing w:after="0"/>
              <w:jc w:val="both"/>
              <w:rPr>
                <w:rFonts w:asciiTheme="minorHAnsi" w:hAnsiTheme="minorHAnsi" w:cstheme="minorHAnsi"/>
              </w:rPr>
            </w:pPr>
            <w:r w:rsidRPr="00CB6D12">
              <w:rPr>
                <w:rFonts w:asciiTheme="minorHAnsi" w:hAnsiTheme="minorHAnsi" w:cstheme="minorHAnsi"/>
              </w:rPr>
              <w:t>CHAINE DES RESULTATS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74</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spacing w:after="0"/>
              <w:rPr>
                <w:rFonts w:asciiTheme="minorHAnsi" w:hAnsiTheme="minorHAnsi" w:cstheme="minorHAnsi"/>
              </w:rPr>
            </w:pPr>
            <w:r w:rsidRPr="00CB6D12">
              <w:rPr>
                <w:rFonts w:asciiTheme="minorHAnsi" w:hAnsiTheme="minorHAnsi" w:cstheme="minorHAnsi"/>
              </w:rPr>
              <w:t xml:space="preserve">THEORIE DU CHANGEMENT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77</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spacing w:after="0"/>
              <w:ind w:right="-29"/>
              <w:jc w:val="both"/>
              <w:rPr>
                <w:rFonts w:asciiTheme="minorHAnsi" w:hAnsiTheme="minorHAnsi" w:cstheme="minorHAnsi"/>
                <w:color w:val="000000" w:themeColor="text1"/>
              </w:rPr>
            </w:pPr>
            <w:r w:rsidRPr="00CB6D12">
              <w:rPr>
                <w:rFonts w:asciiTheme="minorHAnsi" w:hAnsiTheme="minorHAnsi" w:cstheme="minorHAnsi"/>
                <w:color w:val="000000" w:themeColor="text1"/>
              </w:rPr>
              <w:t xml:space="preserve">CADRE PROGRAMMATIQUE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82</w:t>
            </w:r>
          </w:p>
        </w:tc>
      </w:tr>
      <w:tr w:rsidR="00DF185B" w:rsidRPr="00CB6D12" w:rsidTr="00DF185B">
        <w:tc>
          <w:tcPr>
            <w:tcW w:w="987" w:type="dxa"/>
          </w:tcPr>
          <w:p w:rsidR="00DF185B" w:rsidRPr="00CB6D12" w:rsidRDefault="00DF185B" w:rsidP="00CD646D">
            <w:pPr>
              <w:pStyle w:val="Normal1"/>
              <w:numPr>
                <w:ilvl w:val="0"/>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b/>
              </w:rPr>
              <w:t>CADRE DE MISE EN ŒUVRE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90</w:t>
            </w:r>
          </w:p>
        </w:tc>
      </w:tr>
      <w:tr w:rsidR="00DF185B" w:rsidRPr="00CB6D12" w:rsidTr="00DF185B">
        <w:tc>
          <w:tcPr>
            <w:tcW w:w="987" w:type="dxa"/>
          </w:tcPr>
          <w:p w:rsidR="00DF185B" w:rsidRPr="00CB6D12" w:rsidRDefault="00DF185B" w:rsidP="00CD646D">
            <w:pPr>
              <w:pStyle w:val="Normal1"/>
              <w:numPr>
                <w:ilvl w:val="1"/>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b/>
              </w:rPr>
            </w:pPr>
            <w:r w:rsidRPr="00CB6D12">
              <w:rPr>
                <w:rFonts w:asciiTheme="minorHAnsi" w:hAnsiTheme="minorHAnsi" w:cstheme="minorHAnsi"/>
              </w:rPr>
              <w:t>CADRE INSTITUTIONNEL</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90</w:t>
            </w:r>
          </w:p>
        </w:tc>
      </w:tr>
      <w:tr w:rsidR="00DF185B" w:rsidRPr="00CB6D12" w:rsidTr="00DF185B">
        <w:tc>
          <w:tcPr>
            <w:tcW w:w="987" w:type="dxa"/>
          </w:tcPr>
          <w:p w:rsidR="00DF185B" w:rsidRPr="00CB6D12" w:rsidRDefault="00DF185B" w:rsidP="00CD646D">
            <w:pPr>
              <w:pStyle w:val="Normal1"/>
              <w:numPr>
                <w:ilvl w:val="2"/>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rPr>
            </w:pPr>
            <w:r w:rsidRPr="00CB6D12">
              <w:rPr>
                <w:rFonts w:asciiTheme="minorHAnsi" w:hAnsiTheme="minorHAnsi" w:cstheme="minorHAnsi"/>
              </w:rPr>
              <w:t>Coordination et pilotage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90</w:t>
            </w:r>
          </w:p>
        </w:tc>
      </w:tr>
      <w:tr w:rsidR="00DF185B" w:rsidRPr="00CB6D12" w:rsidTr="00DF185B">
        <w:tc>
          <w:tcPr>
            <w:tcW w:w="987" w:type="dxa"/>
          </w:tcPr>
          <w:p w:rsidR="00DF185B" w:rsidRPr="00CB6D12" w:rsidRDefault="00DF185B" w:rsidP="00CD646D">
            <w:pPr>
              <w:pStyle w:val="Normal1"/>
              <w:numPr>
                <w:ilvl w:val="2"/>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 xml:space="preserve">Acteurs de mise en œuvre, niveaux, rôles et responsabilités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90</w:t>
            </w:r>
          </w:p>
        </w:tc>
      </w:tr>
      <w:tr w:rsidR="00DF185B" w:rsidRPr="00CB6D12" w:rsidTr="00DF185B">
        <w:tc>
          <w:tcPr>
            <w:tcW w:w="987" w:type="dxa"/>
          </w:tcPr>
          <w:p w:rsidR="00DF185B" w:rsidRPr="00CB6D12" w:rsidRDefault="00DF185B" w:rsidP="00CD646D">
            <w:pPr>
              <w:pStyle w:val="Normal1"/>
              <w:numPr>
                <w:ilvl w:val="2"/>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rPr>
            </w:pPr>
            <w:r w:rsidRPr="00CB6D12">
              <w:rPr>
                <w:rFonts w:asciiTheme="minorHAnsi" w:hAnsiTheme="minorHAnsi" w:cstheme="minorHAnsi"/>
              </w:rPr>
              <w:t>Etat civil et statistiques vitales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93</w:t>
            </w:r>
          </w:p>
        </w:tc>
      </w:tr>
      <w:tr w:rsidR="00DF185B" w:rsidRPr="00CB6D12" w:rsidTr="00DF185B">
        <w:tc>
          <w:tcPr>
            <w:tcW w:w="987" w:type="dxa"/>
          </w:tcPr>
          <w:p w:rsidR="00DF185B" w:rsidRPr="00CB6D12" w:rsidRDefault="00DF185B" w:rsidP="00CD646D">
            <w:pPr>
              <w:pStyle w:val="Normal1"/>
              <w:numPr>
                <w:ilvl w:val="2"/>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jc w:val="both"/>
              <w:rPr>
                <w:rFonts w:asciiTheme="minorHAnsi" w:hAnsiTheme="minorHAnsi" w:cstheme="minorHAnsi"/>
                <w:color w:val="000000"/>
              </w:rPr>
            </w:pPr>
            <w:r w:rsidRPr="00CB6D12">
              <w:rPr>
                <w:rFonts w:asciiTheme="minorHAnsi" w:hAnsiTheme="minorHAnsi" w:cstheme="minorHAnsi"/>
              </w:rPr>
              <w:t>L’exécution technique et financière</w:t>
            </w:r>
            <w:r w:rsidRPr="00CB6D12">
              <w:rPr>
                <w:rFonts w:asciiTheme="minorHAnsi" w:hAnsiTheme="minorHAnsi" w:cstheme="minorHAnsi"/>
                <w:color w:val="000000"/>
              </w:rPr>
              <w:t xml:space="preserve">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93</w:t>
            </w:r>
          </w:p>
        </w:tc>
      </w:tr>
      <w:tr w:rsidR="00DF185B" w:rsidRPr="00CB6D12" w:rsidTr="00DF185B">
        <w:tc>
          <w:tcPr>
            <w:tcW w:w="987" w:type="dxa"/>
          </w:tcPr>
          <w:p w:rsidR="00DF185B" w:rsidRPr="00CB6D12" w:rsidRDefault="00DF185B" w:rsidP="00CD646D">
            <w:pPr>
              <w:pStyle w:val="Normal1"/>
              <w:numPr>
                <w:ilvl w:val="2"/>
                <w:numId w:val="27"/>
              </w:numPr>
              <w:pBdr>
                <w:top w:val="nil"/>
                <w:left w:val="nil"/>
                <w:bottom w:val="nil"/>
                <w:right w:val="nil"/>
                <w:between w:val="nil"/>
              </w:pBdr>
              <w:spacing w:after="0"/>
              <w:rPr>
                <w:rFonts w:asciiTheme="minorHAnsi" w:hAnsiTheme="minorHAnsi" w:cstheme="minorHAnsi"/>
                <w:color w:val="000000"/>
              </w:rPr>
            </w:pPr>
          </w:p>
        </w:tc>
        <w:tc>
          <w:tcPr>
            <w:tcW w:w="7504" w:type="dxa"/>
          </w:tcPr>
          <w:p w:rsidR="00DF185B" w:rsidRPr="00CB6D12" w:rsidRDefault="00DF185B" w:rsidP="00CD646D">
            <w:pPr>
              <w:pStyle w:val="Normal1"/>
              <w:spacing w:after="0"/>
              <w:rPr>
                <w:rFonts w:asciiTheme="minorHAnsi" w:hAnsiTheme="minorHAnsi" w:cstheme="minorHAnsi"/>
                <w:color w:val="000000"/>
              </w:rPr>
            </w:pPr>
            <w:r w:rsidRPr="00CB6D12">
              <w:rPr>
                <w:rFonts w:asciiTheme="minorHAnsi" w:hAnsiTheme="minorHAnsi" w:cstheme="minorHAnsi"/>
                <w:color w:val="000000"/>
              </w:rPr>
              <w:t>Le suivi-évaluation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97</w:t>
            </w:r>
          </w:p>
        </w:tc>
      </w:tr>
      <w:tr w:rsidR="00DF185B" w:rsidRPr="00DF185B" w:rsidTr="00DF185B">
        <w:tc>
          <w:tcPr>
            <w:tcW w:w="987" w:type="dxa"/>
          </w:tcPr>
          <w:p w:rsidR="00DF185B" w:rsidRPr="00DF185B" w:rsidRDefault="00DF185B" w:rsidP="00CD646D">
            <w:pPr>
              <w:pStyle w:val="Normal1"/>
              <w:numPr>
                <w:ilvl w:val="0"/>
                <w:numId w:val="27"/>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rPr>
                <w:rFonts w:asciiTheme="majorHAnsi" w:hAnsiTheme="majorHAnsi" w:cstheme="majorHAnsi"/>
                <w:b/>
                <w:color w:val="000000"/>
                <w:sz w:val="24"/>
                <w:szCs w:val="24"/>
              </w:rPr>
            </w:pPr>
            <w:r w:rsidRPr="00DF185B">
              <w:rPr>
                <w:rFonts w:asciiTheme="majorHAnsi" w:hAnsiTheme="majorHAnsi" w:cstheme="majorHAnsi"/>
                <w:b/>
                <w:color w:val="000000"/>
                <w:sz w:val="24"/>
                <w:szCs w:val="24"/>
              </w:rPr>
              <w:t>BUDGETISATION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102</w:t>
            </w:r>
          </w:p>
        </w:tc>
      </w:tr>
      <w:tr w:rsidR="00DF185B" w:rsidRPr="00DF185B" w:rsidTr="00DF185B">
        <w:tc>
          <w:tcPr>
            <w:tcW w:w="987" w:type="dxa"/>
          </w:tcPr>
          <w:p w:rsidR="00DF185B" w:rsidRPr="00DF185B" w:rsidRDefault="00DF185B" w:rsidP="00CD646D">
            <w:pPr>
              <w:pStyle w:val="Normal1"/>
              <w:numPr>
                <w:ilvl w:val="1"/>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mallCaps/>
                <w:color w:val="000000"/>
                <w:sz w:val="24"/>
                <w:szCs w:val="24"/>
              </w:rPr>
            </w:pPr>
            <w:r w:rsidRPr="00DF185B">
              <w:rPr>
                <w:rFonts w:asciiTheme="majorHAnsi" w:hAnsiTheme="majorHAnsi" w:cstheme="majorHAnsi"/>
                <w:smallCaps/>
                <w:color w:val="000000"/>
                <w:sz w:val="24"/>
                <w:szCs w:val="24"/>
              </w:rPr>
              <w:t>METHODOLOGIE D’ESTIMATION DES COUTS DU PLAN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102</w:t>
            </w:r>
          </w:p>
        </w:tc>
      </w:tr>
      <w:tr w:rsidR="00DF185B" w:rsidRPr="00DF185B" w:rsidTr="00DF185B">
        <w:tc>
          <w:tcPr>
            <w:tcW w:w="987" w:type="dxa"/>
          </w:tcPr>
          <w:p w:rsidR="00DF185B" w:rsidRPr="00DF185B" w:rsidRDefault="00DF185B" w:rsidP="00CD646D">
            <w:pPr>
              <w:pStyle w:val="Normal1"/>
              <w:numPr>
                <w:ilvl w:val="2"/>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z w:val="24"/>
                <w:szCs w:val="24"/>
              </w:rPr>
            </w:pPr>
            <w:r w:rsidRPr="00DF185B">
              <w:rPr>
                <w:rFonts w:asciiTheme="majorHAnsi" w:hAnsiTheme="majorHAnsi" w:cstheme="majorHAnsi"/>
                <w:sz w:val="24"/>
                <w:szCs w:val="24"/>
              </w:rPr>
              <w:t xml:space="preserve">Costing des coûts des interventions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102</w:t>
            </w:r>
          </w:p>
        </w:tc>
      </w:tr>
      <w:tr w:rsidR="00DF185B" w:rsidRPr="00DF185B" w:rsidTr="00DF185B">
        <w:tc>
          <w:tcPr>
            <w:tcW w:w="987" w:type="dxa"/>
          </w:tcPr>
          <w:p w:rsidR="00DF185B" w:rsidRPr="00DF185B" w:rsidRDefault="00DF185B" w:rsidP="00CD646D">
            <w:pPr>
              <w:pStyle w:val="Normal1"/>
              <w:numPr>
                <w:ilvl w:val="2"/>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z w:val="24"/>
                <w:szCs w:val="24"/>
              </w:rPr>
            </w:pPr>
            <w:r w:rsidRPr="00DF185B">
              <w:rPr>
                <w:rFonts w:asciiTheme="majorHAnsi" w:hAnsiTheme="majorHAnsi" w:cstheme="majorHAnsi"/>
                <w:sz w:val="24"/>
                <w:szCs w:val="24"/>
              </w:rPr>
              <w:t>Limites des méthodes utilisées</w:t>
            </w:r>
          </w:p>
        </w:tc>
        <w:tc>
          <w:tcPr>
            <w:tcW w:w="831" w:type="dxa"/>
          </w:tcPr>
          <w:p w:rsidR="00DF185B" w:rsidRPr="00CD646D" w:rsidRDefault="00DF185B" w:rsidP="00CD646D">
            <w:pPr>
              <w:pStyle w:val="Normal1"/>
              <w:spacing w:after="0"/>
              <w:jc w:val="both"/>
              <w:rPr>
                <w:rFonts w:asciiTheme="majorHAnsi" w:hAnsiTheme="majorHAnsi" w:cstheme="majorHAnsi"/>
                <w:sz w:val="24"/>
                <w:szCs w:val="24"/>
              </w:rPr>
            </w:pPr>
            <w:r w:rsidRPr="00CD646D">
              <w:rPr>
                <w:rFonts w:asciiTheme="majorHAnsi" w:hAnsiTheme="majorHAnsi" w:cstheme="majorHAnsi"/>
                <w:sz w:val="24"/>
                <w:szCs w:val="24"/>
              </w:rPr>
              <w:t>102</w:t>
            </w:r>
          </w:p>
        </w:tc>
      </w:tr>
      <w:tr w:rsidR="00DF185B" w:rsidRPr="00DF185B" w:rsidTr="00DF185B">
        <w:tc>
          <w:tcPr>
            <w:tcW w:w="987" w:type="dxa"/>
          </w:tcPr>
          <w:p w:rsidR="00DF185B" w:rsidRPr="00DF185B" w:rsidRDefault="00DF185B" w:rsidP="00CD646D">
            <w:pPr>
              <w:pStyle w:val="Normal1"/>
              <w:numPr>
                <w:ilvl w:val="1"/>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mallCaps/>
                <w:color w:val="000000"/>
                <w:sz w:val="24"/>
                <w:szCs w:val="24"/>
              </w:rPr>
            </w:pPr>
            <w:r w:rsidRPr="00DF185B">
              <w:rPr>
                <w:rFonts w:asciiTheme="majorHAnsi" w:hAnsiTheme="majorHAnsi" w:cstheme="majorHAnsi"/>
                <w:smallCaps/>
                <w:color w:val="000000"/>
                <w:sz w:val="24"/>
                <w:szCs w:val="24"/>
              </w:rPr>
              <w:t>RESULTATS OBTENUS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102</w:t>
            </w:r>
          </w:p>
        </w:tc>
      </w:tr>
      <w:tr w:rsidR="00DF185B" w:rsidRPr="00DF185B" w:rsidTr="00DF185B">
        <w:tc>
          <w:tcPr>
            <w:tcW w:w="987" w:type="dxa"/>
          </w:tcPr>
          <w:p w:rsidR="00DF185B" w:rsidRPr="00DF185B" w:rsidRDefault="00DF185B" w:rsidP="00CD646D">
            <w:pPr>
              <w:pStyle w:val="Normal1"/>
              <w:numPr>
                <w:ilvl w:val="2"/>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mallCaps/>
                <w:color w:val="000000"/>
                <w:sz w:val="24"/>
                <w:szCs w:val="24"/>
              </w:rPr>
            </w:pPr>
            <w:r w:rsidRPr="00DF185B">
              <w:rPr>
                <w:rFonts w:asciiTheme="majorHAnsi" w:hAnsiTheme="majorHAnsi" w:cstheme="majorHAnsi"/>
                <w:color w:val="000000"/>
                <w:sz w:val="24"/>
                <w:szCs w:val="24"/>
              </w:rPr>
              <w:t xml:space="preserve">Estimation du budget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102</w:t>
            </w:r>
          </w:p>
        </w:tc>
      </w:tr>
      <w:tr w:rsidR="00DF185B" w:rsidRPr="00DF185B" w:rsidTr="00DF185B">
        <w:tc>
          <w:tcPr>
            <w:tcW w:w="987" w:type="dxa"/>
          </w:tcPr>
          <w:p w:rsidR="00DF185B" w:rsidRPr="00DF185B" w:rsidRDefault="00DF185B" w:rsidP="00CD646D">
            <w:pPr>
              <w:pStyle w:val="Normal1"/>
              <w:numPr>
                <w:ilvl w:val="2"/>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tabs>
                <w:tab w:val="left" w:pos="900"/>
              </w:tabs>
              <w:spacing w:after="0"/>
              <w:jc w:val="both"/>
              <w:rPr>
                <w:rFonts w:asciiTheme="majorHAnsi" w:hAnsiTheme="majorHAnsi" w:cstheme="majorHAnsi"/>
                <w:sz w:val="24"/>
                <w:szCs w:val="24"/>
              </w:rPr>
            </w:pPr>
            <w:r w:rsidRPr="00DF185B">
              <w:rPr>
                <w:rFonts w:asciiTheme="majorHAnsi" w:hAnsiTheme="majorHAnsi" w:cstheme="majorHAnsi"/>
                <w:sz w:val="24"/>
                <w:szCs w:val="24"/>
              </w:rPr>
              <w:t>Répartition du Budget estimatif selon les 3 programmes du budget programme.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103</w:t>
            </w:r>
          </w:p>
        </w:tc>
      </w:tr>
      <w:tr w:rsidR="00DF185B" w:rsidRPr="00DF185B" w:rsidTr="00DF185B">
        <w:tc>
          <w:tcPr>
            <w:tcW w:w="987" w:type="dxa"/>
          </w:tcPr>
          <w:p w:rsidR="00DF185B" w:rsidRPr="00DF185B" w:rsidRDefault="00DF185B" w:rsidP="00CD646D">
            <w:pPr>
              <w:pStyle w:val="Normal1"/>
              <w:numPr>
                <w:ilvl w:val="2"/>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tabs>
                <w:tab w:val="left" w:pos="900"/>
              </w:tabs>
              <w:spacing w:after="0"/>
              <w:jc w:val="both"/>
              <w:rPr>
                <w:rFonts w:asciiTheme="majorHAnsi" w:eastAsiaTheme="minorHAnsi" w:hAnsiTheme="majorHAnsi" w:cstheme="majorHAnsi"/>
                <w:sz w:val="24"/>
                <w:szCs w:val="24"/>
              </w:rPr>
            </w:pPr>
            <w:r w:rsidRPr="00DF185B">
              <w:rPr>
                <w:rFonts w:asciiTheme="majorHAnsi" w:hAnsiTheme="majorHAnsi" w:cstheme="majorHAnsi"/>
                <w:sz w:val="24"/>
                <w:szCs w:val="24"/>
              </w:rPr>
              <w:t>Répartition du Budget estimatif selon les principaux programmes.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103</w:t>
            </w:r>
          </w:p>
        </w:tc>
      </w:tr>
      <w:tr w:rsidR="00DF185B" w:rsidRPr="00DF185B" w:rsidTr="00DF185B">
        <w:tc>
          <w:tcPr>
            <w:tcW w:w="987" w:type="dxa"/>
          </w:tcPr>
          <w:p w:rsidR="00DF185B" w:rsidRPr="00DF185B" w:rsidRDefault="00DF185B" w:rsidP="00CD646D">
            <w:pPr>
              <w:pStyle w:val="Normal1"/>
              <w:numPr>
                <w:ilvl w:val="2"/>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tabs>
                <w:tab w:val="left" w:pos="900"/>
              </w:tabs>
              <w:spacing w:after="0"/>
              <w:jc w:val="both"/>
              <w:rPr>
                <w:rFonts w:asciiTheme="majorHAnsi" w:hAnsiTheme="majorHAnsi" w:cstheme="majorHAnsi"/>
                <w:sz w:val="24"/>
                <w:szCs w:val="24"/>
              </w:rPr>
            </w:pPr>
            <w:r w:rsidRPr="00DF185B">
              <w:rPr>
                <w:rFonts w:asciiTheme="majorHAnsi" w:hAnsiTheme="majorHAnsi" w:cstheme="majorHAnsi"/>
                <w:sz w:val="24"/>
                <w:szCs w:val="24"/>
              </w:rPr>
              <w:t>Répartition du budget estimatif  selon les niveaux de la pyramide sanitaire</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106</w:t>
            </w:r>
          </w:p>
        </w:tc>
      </w:tr>
      <w:tr w:rsidR="00DF185B" w:rsidRPr="00DF185B" w:rsidTr="00DF185B">
        <w:tc>
          <w:tcPr>
            <w:tcW w:w="987" w:type="dxa"/>
          </w:tcPr>
          <w:p w:rsidR="00DF185B" w:rsidRPr="00DF185B" w:rsidRDefault="00DF185B" w:rsidP="00CD646D">
            <w:pPr>
              <w:pStyle w:val="Normal1"/>
              <w:numPr>
                <w:ilvl w:val="1"/>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spacing w:after="0"/>
              <w:jc w:val="both"/>
              <w:rPr>
                <w:rFonts w:asciiTheme="majorHAnsi" w:eastAsia="MS Mincho" w:hAnsiTheme="majorHAnsi" w:cstheme="majorHAnsi"/>
                <w:b/>
                <w:bCs/>
                <w:caps/>
                <w:color w:val="000000" w:themeColor="text1"/>
                <w:sz w:val="24"/>
                <w:szCs w:val="24"/>
              </w:rPr>
            </w:pPr>
            <w:r w:rsidRPr="00CD646D">
              <w:rPr>
                <w:rStyle w:val="Titre1Car"/>
                <w:rFonts w:asciiTheme="majorHAnsi" w:eastAsia="MS Mincho" w:hAnsiTheme="majorHAnsi" w:cstheme="majorHAnsi"/>
                <w:b w:val="0"/>
                <w:color w:val="000000" w:themeColor="text1"/>
                <w:sz w:val="24"/>
                <w:szCs w:val="24"/>
              </w:rPr>
              <w:t>Le DEFICIT</w:t>
            </w:r>
            <w:r w:rsidRPr="00DF185B">
              <w:rPr>
                <w:rStyle w:val="Titre1Car"/>
                <w:rFonts w:asciiTheme="majorHAnsi" w:eastAsia="MS Mincho" w:hAnsiTheme="majorHAnsi" w:cstheme="majorHAnsi"/>
                <w:b w:val="0"/>
                <w:color w:val="000000" w:themeColor="text1"/>
                <w:sz w:val="24"/>
                <w:szCs w:val="24"/>
              </w:rPr>
              <w:t xml:space="preserve"> de financement selon le scénario retenu</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109</w:t>
            </w:r>
          </w:p>
        </w:tc>
      </w:tr>
      <w:tr w:rsidR="00DF185B" w:rsidRPr="00DF185B" w:rsidTr="00DF185B">
        <w:tc>
          <w:tcPr>
            <w:tcW w:w="987" w:type="dxa"/>
          </w:tcPr>
          <w:p w:rsidR="00DF185B" w:rsidRPr="00DF185B" w:rsidRDefault="00DF185B" w:rsidP="00CD646D">
            <w:pPr>
              <w:pStyle w:val="Normal1"/>
              <w:numPr>
                <w:ilvl w:val="1"/>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mallCaps/>
                <w:color w:val="000000"/>
                <w:sz w:val="24"/>
                <w:szCs w:val="24"/>
              </w:rPr>
            </w:pPr>
            <w:r w:rsidRPr="00DF185B">
              <w:rPr>
                <w:rFonts w:asciiTheme="majorHAnsi" w:hAnsiTheme="majorHAnsi" w:cstheme="majorHAnsi"/>
                <w:smallCaps/>
                <w:color w:val="000000"/>
                <w:sz w:val="24"/>
                <w:szCs w:val="24"/>
              </w:rPr>
              <w:t>Analyse des gaps de financement selon le scénario retenu</w:t>
            </w:r>
          </w:p>
        </w:tc>
        <w:tc>
          <w:tcPr>
            <w:tcW w:w="831" w:type="dxa"/>
          </w:tcPr>
          <w:p w:rsidR="00DF185B" w:rsidRPr="00CD646D" w:rsidRDefault="00CD646D" w:rsidP="00CD646D">
            <w:pPr>
              <w:pStyle w:val="Normal1"/>
              <w:spacing w:after="0"/>
              <w:rPr>
                <w:rFonts w:asciiTheme="majorHAnsi" w:hAnsiTheme="majorHAnsi" w:cstheme="majorHAnsi"/>
                <w:sz w:val="24"/>
                <w:szCs w:val="24"/>
              </w:rPr>
            </w:pPr>
            <w:r>
              <w:rPr>
                <w:rFonts w:asciiTheme="majorHAnsi" w:hAnsiTheme="majorHAnsi" w:cstheme="majorHAnsi"/>
                <w:sz w:val="24"/>
                <w:szCs w:val="24"/>
              </w:rPr>
              <w:t>109</w:t>
            </w:r>
          </w:p>
        </w:tc>
      </w:tr>
      <w:tr w:rsidR="00DF185B" w:rsidRPr="00DF185B" w:rsidTr="00DF185B">
        <w:tc>
          <w:tcPr>
            <w:tcW w:w="987" w:type="dxa"/>
          </w:tcPr>
          <w:p w:rsidR="00DF185B" w:rsidRPr="00DF185B" w:rsidRDefault="00DF185B" w:rsidP="00CD646D">
            <w:pPr>
              <w:pStyle w:val="Normal1"/>
              <w:numPr>
                <w:ilvl w:val="0"/>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b/>
                <w:sz w:val="24"/>
                <w:szCs w:val="24"/>
              </w:rPr>
            </w:pPr>
            <w:r w:rsidRPr="00DF185B">
              <w:rPr>
                <w:rFonts w:asciiTheme="majorHAnsi" w:hAnsiTheme="majorHAnsi" w:cstheme="majorHAnsi"/>
                <w:b/>
                <w:sz w:val="24"/>
                <w:szCs w:val="24"/>
              </w:rPr>
              <w:t>CONCLUSION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112</w:t>
            </w:r>
          </w:p>
        </w:tc>
      </w:tr>
      <w:tr w:rsidR="00DF185B" w:rsidRPr="00DF185B" w:rsidTr="00DF185B">
        <w:tc>
          <w:tcPr>
            <w:tcW w:w="987" w:type="dxa"/>
          </w:tcPr>
          <w:p w:rsidR="00DF185B" w:rsidRPr="00DF185B" w:rsidRDefault="00DF185B" w:rsidP="00CD646D">
            <w:pPr>
              <w:pStyle w:val="Normal1"/>
              <w:numPr>
                <w:ilvl w:val="0"/>
                <w:numId w:val="28"/>
              </w:numPr>
              <w:pBdr>
                <w:top w:val="nil"/>
                <w:left w:val="nil"/>
                <w:bottom w:val="nil"/>
                <w:right w:val="nil"/>
                <w:between w:val="nil"/>
              </w:pBdr>
              <w:spacing w:after="0"/>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b/>
                <w:sz w:val="24"/>
                <w:szCs w:val="24"/>
              </w:rPr>
            </w:pPr>
            <w:r w:rsidRPr="00DF185B">
              <w:rPr>
                <w:rFonts w:asciiTheme="majorHAnsi" w:hAnsiTheme="majorHAnsi" w:cstheme="majorHAnsi"/>
                <w:b/>
                <w:sz w:val="24"/>
                <w:szCs w:val="24"/>
              </w:rPr>
              <w:t>ANNEXES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113</w:t>
            </w:r>
          </w:p>
        </w:tc>
      </w:tr>
      <w:tr w:rsidR="00DF185B" w:rsidRPr="00DF185B" w:rsidTr="00DF185B">
        <w:tc>
          <w:tcPr>
            <w:tcW w:w="987" w:type="dxa"/>
          </w:tcPr>
          <w:p w:rsidR="00DF185B" w:rsidRPr="00DF185B" w:rsidRDefault="00DF185B" w:rsidP="00CD646D">
            <w:pPr>
              <w:pStyle w:val="Normal1"/>
              <w:pBdr>
                <w:top w:val="nil"/>
                <w:left w:val="nil"/>
                <w:bottom w:val="nil"/>
                <w:right w:val="nil"/>
                <w:between w:val="nil"/>
              </w:pBdr>
              <w:spacing w:after="0"/>
              <w:ind w:left="585"/>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z w:val="24"/>
                <w:szCs w:val="24"/>
              </w:rPr>
            </w:pPr>
            <w:r w:rsidRPr="00DF185B">
              <w:rPr>
                <w:rFonts w:asciiTheme="majorHAnsi" w:hAnsiTheme="majorHAnsi" w:cstheme="majorHAnsi"/>
                <w:sz w:val="24"/>
                <w:szCs w:val="24"/>
              </w:rPr>
              <w:t>Annexe 1 : Termes de références</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114</w:t>
            </w:r>
          </w:p>
        </w:tc>
      </w:tr>
      <w:tr w:rsidR="00DF185B" w:rsidRPr="00DF185B" w:rsidTr="00DF185B">
        <w:tc>
          <w:tcPr>
            <w:tcW w:w="987" w:type="dxa"/>
          </w:tcPr>
          <w:p w:rsidR="00DF185B" w:rsidRPr="00DF185B" w:rsidRDefault="00DF185B" w:rsidP="00CD646D">
            <w:pPr>
              <w:pStyle w:val="Normal1"/>
              <w:pBdr>
                <w:top w:val="nil"/>
                <w:left w:val="nil"/>
                <w:bottom w:val="nil"/>
                <w:right w:val="nil"/>
                <w:between w:val="nil"/>
              </w:pBdr>
              <w:spacing w:after="0"/>
              <w:ind w:left="585"/>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z w:val="24"/>
                <w:szCs w:val="24"/>
              </w:rPr>
            </w:pPr>
            <w:r w:rsidRPr="00DF185B">
              <w:rPr>
                <w:rFonts w:asciiTheme="majorHAnsi" w:hAnsiTheme="majorHAnsi" w:cstheme="majorHAnsi"/>
                <w:sz w:val="24"/>
                <w:szCs w:val="24"/>
              </w:rPr>
              <w:t>Annexe 2 : Choix de la zone d’intervention</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119</w:t>
            </w:r>
          </w:p>
        </w:tc>
      </w:tr>
      <w:tr w:rsidR="00DF185B" w:rsidRPr="00DF185B" w:rsidTr="00DF185B">
        <w:tc>
          <w:tcPr>
            <w:tcW w:w="987" w:type="dxa"/>
          </w:tcPr>
          <w:p w:rsidR="00DF185B" w:rsidRPr="00DF185B" w:rsidRDefault="00DF185B" w:rsidP="00CD646D">
            <w:pPr>
              <w:pStyle w:val="Normal1"/>
              <w:pBdr>
                <w:top w:val="nil"/>
                <w:left w:val="nil"/>
                <w:bottom w:val="nil"/>
                <w:right w:val="nil"/>
                <w:between w:val="nil"/>
              </w:pBdr>
              <w:spacing w:after="0"/>
              <w:ind w:left="585"/>
              <w:rPr>
                <w:rFonts w:asciiTheme="majorHAnsi" w:hAnsiTheme="majorHAnsi" w:cstheme="majorHAnsi"/>
                <w:color w:val="000000"/>
                <w:sz w:val="24"/>
                <w:szCs w:val="24"/>
              </w:rPr>
            </w:pPr>
          </w:p>
        </w:tc>
        <w:tc>
          <w:tcPr>
            <w:tcW w:w="7504" w:type="dxa"/>
          </w:tcPr>
          <w:p w:rsidR="00DF185B" w:rsidRPr="00DF185B" w:rsidRDefault="00DF185B" w:rsidP="00CD646D">
            <w:pPr>
              <w:pStyle w:val="Normal1"/>
              <w:spacing w:after="0"/>
              <w:jc w:val="both"/>
              <w:rPr>
                <w:rFonts w:asciiTheme="majorHAnsi" w:hAnsiTheme="majorHAnsi" w:cstheme="majorHAnsi"/>
                <w:sz w:val="24"/>
                <w:szCs w:val="24"/>
              </w:rPr>
            </w:pPr>
            <w:r w:rsidRPr="00DF185B">
              <w:rPr>
                <w:rFonts w:asciiTheme="majorHAnsi" w:hAnsiTheme="majorHAnsi" w:cstheme="majorHAnsi"/>
                <w:sz w:val="24"/>
                <w:szCs w:val="24"/>
              </w:rPr>
              <w:t xml:space="preserve">Annexe 3 : Le paquet d’interventions à haut impact par niveau de prestation et par cible </w:t>
            </w:r>
          </w:p>
        </w:tc>
        <w:tc>
          <w:tcPr>
            <w:tcW w:w="831" w:type="dxa"/>
          </w:tcPr>
          <w:p w:rsidR="00DF185B" w:rsidRPr="00CD646D" w:rsidRDefault="00DF185B" w:rsidP="00CD646D">
            <w:pPr>
              <w:pStyle w:val="Normal1"/>
              <w:spacing w:after="0"/>
              <w:rPr>
                <w:rFonts w:asciiTheme="majorHAnsi" w:hAnsiTheme="majorHAnsi" w:cstheme="majorHAnsi"/>
                <w:sz w:val="24"/>
                <w:szCs w:val="24"/>
              </w:rPr>
            </w:pPr>
            <w:r w:rsidRPr="00CD646D">
              <w:rPr>
                <w:rFonts w:asciiTheme="majorHAnsi" w:hAnsiTheme="majorHAnsi" w:cstheme="majorHAnsi"/>
                <w:sz w:val="24"/>
                <w:szCs w:val="24"/>
              </w:rPr>
              <w:t>121</w:t>
            </w:r>
          </w:p>
        </w:tc>
      </w:tr>
    </w:tbl>
    <w:p w:rsidR="00314B92" w:rsidRDefault="00AD5F81" w:rsidP="00CD646D">
      <w:pPr>
        <w:pStyle w:val="Normal1"/>
        <w:spacing w:after="0"/>
        <w:rPr>
          <w:b/>
          <w:sz w:val="28"/>
          <w:szCs w:val="28"/>
        </w:rPr>
      </w:pPr>
      <w:r>
        <w:br w:type="page"/>
      </w:r>
    </w:p>
    <w:tbl>
      <w:tblPr>
        <w:tblW w:w="9130" w:type="dxa"/>
        <w:tblLayout w:type="fixed"/>
        <w:tblLook w:val="0400" w:firstRow="0" w:lastRow="0" w:firstColumn="0" w:lastColumn="0" w:noHBand="0" w:noVBand="1"/>
      </w:tblPr>
      <w:tblGrid>
        <w:gridCol w:w="1376"/>
        <w:gridCol w:w="281"/>
        <w:gridCol w:w="6892"/>
        <w:gridCol w:w="581"/>
      </w:tblGrid>
      <w:tr w:rsidR="00E6453A" w:rsidTr="006E5653">
        <w:tc>
          <w:tcPr>
            <w:tcW w:w="9130" w:type="dxa"/>
            <w:gridSpan w:val="4"/>
            <w:shd w:val="clear" w:color="auto" w:fill="FFFFFF" w:themeFill="background1"/>
          </w:tcPr>
          <w:p w:rsidR="00E6453A" w:rsidRDefault="00E6453A" w:rsidP="006E5653">
            <w:pPr>
              <w:pStyle w:val="Normal1"/>
              <w:spacing w:after="0"/>
              <w:rPr>
                <w:b/>
                <w:sz w:val="32"/>
                <w:szCs w:val="32"/>
              </w:rPr>
            </w:pPr>
            <w:r>
              <w:rPr>
                <w:b/>
                <w:sz w:val="32"/>
                <w:szCs w:val="32"/>
              </w:rPr>
              <w:lastRenderedPageBreak/>
              <w:t>LISTE DES TABLEAUX, FIGURES ET ENCADRES</w:t>
            </w:r>
          </w:p>
        </w:tc>
      </w:tr>
      <w:tr w:rsidR="00E6453A" w:rsidTr="006E5653">
        <w:tc>
          <w:tcPr>
            <w:tcW w:w="9130" w:type="dxa"/>
            <w:gridSpan w:val="4"/>
            <w:shd w:val="clear" w:color="auto" w:fill="DBE5F1"/>
          </w:tcPr>
          <w:p w:rsidR="00E6453A" w:rsidRDefault="00E6453A" w:rsidP="006E5653">
            <w:pPr>
              <w:pStyle w:val="Normal1"/>
              <w:spacing w:after="0"/>
              <w:rPr>
                <w:sz w:val="24"/>
                <w:szCs w:val="24"/>
              </w:rPr>
            </w:pPr>
            <w:r>
              <w:rPr>
                <w:sz w:val="24"/>
                <w:szCs w:val="24"/>
              </w:rPr>
              <w:t>LISTE DES TABLEAUX</w:t>
            </w:r>
          </w:p>
        </w:tc>
      </w:tr>
      <w:tr w:rsidR="00E6453A" w:rsidTr="006E5653">
        <w:tc>
          <w:tcPr>
            <w:tcW w:w="1376" w:type="dxa"/>
          </w:tcPr>
          <w:p w:rsidR="00E6453A" w:rsidRDefault="00E6453A" w:rsidP="006E5653">
            <w:pPr>
              <w:pStyle w:val="Normal1"/>
              <w:spacing w:after="0"/>
              <w:rPr>
                <w:sz w:val="24"/>
                <w:szCs w:val="24"/>
              </w:rPr>
            </w:pPr>
            <w:r>
              <w:rPr>
                <w:sz w:val="24"/>
                <w:szCs w:val="24"/>
              </w:rPr>
              <w:t>Tableau 1 </w:t>
            </w:r>
          </w:p>
        </w:tc>
        <w:tc>
          <w:tcPr>
            <w:tcW w:w="281" w:type="dxa"/>
          </w:tcPr>
          <w:p w:rsidR="00E6453A" w:rsidRDefault="00E6453A" w:rsidP="006E5653">
            <w:pPr>
              <w:pStyle w:val="Normal1"/>
              <w:spacing w:after="0"/>
              <w:rPr>
                <w:sz w:val="24"/>
                <w:szCs w:val="24"/>
              </w:rPr>
            </w:pPr>
            <w:r>
              <w:rPr>
                <w:sz w:val="24"/>
                <w:szCs w:val="24"/>
              </w:rPr>
              <w:t>:</w:t>
            </w:r>
          </w:p>
        </w:tc>
        <w:tc>
          <w:tcPr>
            <w:tcW w:w="6892" w:type="dxa"/>
          </w:tcPr>
          <w:p w:rsidR="00E6453A" w:rsidRDefault="00E6453A" w:rsidP="006E5653">
            <w:pPr>
              <w:pStyle w:val="Normal1"/>
              <w:spacing w:after="0"/>
              <w:rPr>
                <w:sz w:val="24"/>
                <w:szCs w:val="24"/>
              </w:rPr>
            </w:pPr>
            <w:r>
              <w:rPr>
                <w:sz w:val="24"/>
                <w:szCs w:val="24"/>
              </w:rPr>
              <w:t>Etat de santé de la population</w:t>
            </w:r>
          </w:p>
        </w:tc>
        <w:tc>
          <w:tcPr>
            <w:tcW w:w="581" w:type="dxa"/>
          </w:tcPr>
          <w:p w:rsidR="00E6453A" w:rsidRDefault="00E6453A" w:rsidP="006E5653">
            <w:pPr>
              <w:pStyle w:val="Normal1"/>
              <w:spacing w:after="0"/>
              <w:rPr>
                <w:sz w:val="24"/>
                <w:szCs w:val="24"/>
              </w:rPr>
            </w:pPr>
            <w:r>
              <w:rPr>
                <w:sz w:val="24"/>
                <w:szCs w:val="24"/>
              </w:rPr>
              <w:t>19</w:t>
            </w:r>
          </w:p>
        </w:tc>
      </w:tr>
      <w:tr w:rsidR="00E6453A" w:rsidTr="006E5653">
        <w:tc>
          <w:tcPr>
            <w:tcW w:w="1376" w:type="dxa"/>
            <w:shd w:val="clear" w:color="auto" w:fill="DBE5F1"/>
          </w:tcPr>
          <w:p w:rsidR="00E6453A" w:rsidRDefault="00E6453A" w:rsidP="006E5653">
            <w:pPr>
              <w:pStyle w:val="Normal1"/>
              <w:spacing w:after="0"/>
              <w:rPr>
                <w:sz w:val="24"/>
                <w:szCs w:val="24"/>
              </w:rPr>
            </w:pPr>
            <w:r>
              <w:rPr>
                <w:sz w:val="24"/>
                <w:szCs w:val="24"/>
              </w:rPr>
              <w:t>Tableau 2 </w:t>
            </w:r>
          </w:p>
        </w:tc>
        <w:tc>
          <w:tcPr>
            <w:tcW w:w="281" w:type="dxa"/>
            <w:shd w:val="clear" w:color="auto" w:fill="DBE5F1"/>
          </w:tcPr>
          <w:p w:rsidR="00E6453A" w:rsidRDefault="00E6453A" w:rsidP="006E5653">
            <w:pPr>
              <w:pStyle w:val="Normal1"/>
              <w:spacing w:after="0"/>
              <w:rPr>
                <w:sz w:val="24"/>
                <w:szCs w:val="24"/>
              </w:rPr>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Principaux indicateurs de la santé sexuelle et reproductive des adolescents/jeunes</w:t>
            </w:r>
          </w:p>
        </w:tc>
        <w:tc>
          <w:tcPr>
            <w:tcW w:w="581" w:type="dxa"/>
            <w:shd w:val="clear" w:color="auto" w:fill="DBE5F1"/>
          </w:tcPr>
          <w:p w:rsidR="00E6453A" w:rsidRDefault="00E6453A" w:rsidP="006E5653">
            <w:pPr>
              <w:pStyle w:val="Normal1"/>
              <w:spacing w:after="0"/>
              <w:rPr>
                <w:sz w:val="24"/>
                <w:szCs w:val="24"/>
              </w:rPr>
            </w:pPr>
            <w:r>
              <w:rPr>
                <w:sz w:val="24"/>
                <w:szCs w:val="24"/>
              </w:rPr>
              <w:t>26</w:t>
            </w:r>
          </w:p>
        </w:tc>
      </w:tr>
      <w:tr w:rsidR="00E6453A" w:rsidTr="006E5653">
        <w:tc>
          <w:tcPr>
            <w:tcW w:w="1376" w:type="dxa"/>
          </w:tcPr>
          <w:p w:rsidR="00E6453A" w:rsidRDefault="00E6453A" w:rsidP="006E5653">
            <w:pPr>
              <w:pStyle w:val="Normal1"/>
              <w:spacing w:after="0"/>
              <w:rPr>
                <w:sz w:val="24"/>
                <w:szCs w:val="24"/>
              </w:rPr>
            </w:pPr>
            <w:r>
              <w:rPr>
                <w:sz w:val="24"/>
                <w:szCs w:val="24"/>
              </w:rPr>
              <w:t>Tableau 3 </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Evolution d’autres indicateurs de nutrition</w:t>
            </w:r>
          </w:p>
        </w:tc>
        <w:tc>
          <w:tcPr>
            <w:tcW w:w="581" w:type="dxa"/>
          </w:tcPr>
          <w:p w:rsidR="00E6453A" w:rsidRDefault="00E6453A" w:rsidP="006E5653">
            <w:pPr>
              <w:pStyle w:val="Normal1"/>
              <w:spacing w:after="0"/>
              <w:rPr>
                <w:sz w:val="24"/>
                <w:szCs w:val="24"/>
              </w:rPr>
            </w:pPr>
            <w:r>
              <w:rPr>
                <w:sz w:val="24"/>
                <w:szCs w:val="24"/>
              </w:rPr>
              <w:t>30</w:t>
            </w:r>
          </w:p>
        </w:tc>
      </w:tr>
      <w:tr w:rsidR="00E6453A" w:rsidTr="006E5653">
        <w:tc>
          <w:tcPr>
            <w:tcW w:w="1376" w:type="dxa"/>
            <w:shd w:val="clear" w:color="auto" w:fill="DBE5F1"/>
          </w:tcPr>
          <w:p w:rsidR="00E6453A" w:rsidRDefault="00E6453A" w:rsidP="006E5653">
            <w:pPr>
              <w:pStyle w:val="Normal1"/>
              <w:spacing w:after="0"/>
            </w:pPr>
            <w:r>
              <w:rPr>
                <w:sz w:val="24"/>
                <w:szCs w:val="24"/>
              </w:rPr>
              <w:t>Tableau 4</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jc w:val="both"/>
              <w:rPr>
                <w:sz w:val="24"/>
                <w:szCs w:val="24"/>
              </w:rPr>
            </w:pPr>
            <w:r>
              <w:rPr>
                <w:sz w:val="24"/>
                <w:szCs w:val="24"/>
              </w:rPr>
              <w:t xml:space="preserve">Evolution des indicateurs de la PTME de 2010 à 2016 au Burkina </w:t>
            </w:r>
          </w:p>
        </w:tc>
        <w:tc>
          <w:tcPr>
            <w:tcW w:w="581" w:type="dxa"/>
            <w:shd w:val="clear" w:color="auto" w:fill="DBE5F1"/>
          </w:tcPr>
          <w:p w:rsidR="00E6453A" w:rsidRDefault="00E6453A" w:rsidP="006E5653">
            <w:pPr>
              <w:pStyle w:val="Normal1"/>
              <w:spacing w:after="0"/>
              <w:rPr>
                <w:sz w:val="24"/>
                <w:szCs w:val="24"/>
              </w:rPr>
            </w:pPr>
            <w:r>
              <w:rPr>
                <w:sz w:val="24"/>
                <w:szCs w:val="24"/>
              </w:rPr>
              <w:t>43</w:t>
            </w:r>
          </w:p>
        </w:tc>
      </w:tr>
      <w:tr w:rsidR="00E6453A" w:rsidTr="006E5653">
        <w:tc>
          <w:tcPr>
            <w:tcW w:w="1376" w:type="dxa"/>
          </w:tcPr>
          <w:p w:rsidR="00E6453A" w:rsidRDefault="00E6453A" w:rsidP="006E5653">
            <w:pPr>
              <w:pStyle w:val="Normal1"/>
              <w:spacing w:after="0"/>
            </w:pPr>
            <w:r>
              <w:rPr>
                <w:sz w:val="24"/>
                <w:szCs w:val="24"/>
              </w:rPr>
              <w:t>Tableau 5 </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color w:val="000000"/>
                <w:sz w:val="24"/>
                <w:szCs w:val="24"/>
              </w:rPr>
              <w:t>Couvertures (%) vaccinales de 2013 à 2017</w:t>
            </w:r>
          </w:p>
        </w:tc>
        <w:tc>
          <w:tcPr>
            <w:tcW w:w="581" w:type="dxa"/>
          </w:tcPr>
          <w:p w:rsidR="00E6453A" w:rsidRDefault="00E6453A" w:rsidP="006E5653">
            <w:pPr>
              <w:pStyle w:val="Normal1"/>
              <w:spacing w:after="0"/>
              <w:rPr>
                <w:sz w:val="24"/>
                <w:szCs w:val="24"/>
              </w:rPr>
            </w:pPr>
            <w:r>
              <w:rPr>
                <w:sz w:val="24"/>
                <w:szCs w:val="24"/>
              </w:rPr>
              <w:t>46</w:t>
            </w:r>
          </w:p>
        </w:tc>
      </w:tr>
      <w:tr w:rsidR="00E6453A" w:rsidTr="006E5653">
        <w:tc>
          <w:tcPr>
            <w:tcW w:w="1376" w:type="dxa"/>
            <w:shd w:val="clear" w:color="auto" w:fill="DBE5F1"/>
          </w:tcPr>
          <w:p w:rsidR="00E6453A" w:rsidRDefault="00E6453A" w:rsidP="006E5653">
            <w:pPr>
              <w:pStyle w:val="Normal1"/>
              <w:spacing w:after="0"/>
            </w:pPr>
            <w:r>
              <w:rPr>
                <w:sz w:val="24"/>
                <w:szCs w:val="24"/>
              </w:rPr>
              <w:t>Tableau 6 </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Déclaration des mariages et décès (2000-2004)</w:t>
            </w:r>
          </w:p>
        </w:tc>
        <w:tc>
          <w:tcPr>
            <w:tcW w:w="581" w:type="dxa"/>
            <w:shd w:val="clear" w:color="auto" w:fill="DBE5F1"/>
          </w:tcPr>
          <w:p w:rsidR="00E6453A" w:rsidRDefault="00E6453A" w:rsidP="006E5653">
            <w:pPr>
              <w:pStyle w:val="Normal1"/>
              <w:spacing w:after="0"/>
              <w:rPr>
                <w:sz w:val="24"/>
                <w:szCs w:val="24"/>
              </w:rPr>
            </w:pPr>
            <w:r>
              <w:rPr>
                <w:sz w:val="24"/>
                <w:szCs w:val="24"/>
              </w:rPr>
              <w:t>62</w:t>
            </w:r>
          </w:p>
        </w:tc>
      </w:tr>
      <w:tr w:rsidR="00E6453A" w:rsidTr="006E5653">
        <w:tc>
          <w:tcPr>
            <w:tcW w:w="1376" w:type="dxa"/>
          </w:tcPr>
          <w:p w:rsidR="00E6453A" w:rsidRDefault="00E6453A" w:rsidP="006E5653">
            <w:pPr>
              <w:pStyle w:val="Normal1"/>
              <w:spacing w:after="0"/>
            </w:pPr>
            <w:r>
              <w:rPr>
                <w:sz w:val="24"/>
                <w:szCs w:val="24"/>
              </w:rPr>
              <w:t>Tableau 7 </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Les priorités et sous-priorités du DI-SRMNEAN-ECSV</w:t>
            </w:r>
          </w:p>
        </w:tc>
        <w:tc>
          <w:tcPr>
            <w:tcW w:w="581" w:type="dxa"/>
          </w:tcPr>
          <w:p w:rsidR="00E6453A" w:rsidRDefault="00E6453A" w:rsidP="006E5653">
            <w:pPr>
              <w:pStyle w:val="Normal1"/>
              <w:spacing w:after="0"/>
              <w:rPr>
                <w:sz w:val="24"/>
                <w:szCs w:val="24"/>
              </w:rPr>
            </w:pPr>
            <w:r>
              <w:rPr>
                <w:sz w:val="24"/>
                <w:szCs w:val="24"/>
              </w:rPr>
              <w:t>74</w:t>
            </w:r>
          </w:p>
        </w:tc>
      </w:tr>
      <w:tr w:rsidR="00E6453A" w:rsidTr="006E5653">
        <w:tc>
          <w:tcPr>
            <w:tcW w:w="1376" w:type="dxa"/>
            <w:shd w:val="clear" w:color="auto" w:fill="DBE5F1"/>
          </w:tcPr>
          <w:p w:rsidR="00E6453A" w:rsidRDefault="00E6453A" w:rsidP="006E5653">
            <w:pPr>
              <w:pStyle w:val="Normal1"/>
              <w:spacing w:after="0"/>
            </w:pPr>
            <w:r>
              <w:rPr>
                <w:sz w:val="24"/>
                <w:szCs w:val="24"/>
              </w:rPr>
              <w:t>Tableau 8 </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jc w:val="both"/>
              <w:rPr>
                <w:sz w:val="24"/>
                <w:szCs w:val="24"/>
              </w:rPr>
            </w:pPr>
            <w:r>
              <w:rPr>
                <w:sz w:val="24"/>
                <w:szCs w:val="24"/>
              </w:rPr>
              <w:t>Chaîne des résultats</w:t>
            </w:r>
          </w:p>
        </w:tc>
        <w:tc>
          <w:tcPr>
            <w:tcW w:w="581" w:type="dxa"/>
            <w:shd w:val="clear" w:color="auto" w:fill="DBE5F1"/>
          </w:tcPr>
          <w:p w:rsidR="00E6453A" w:rsidRDefault="00E6453A" w:rsidP="006E5653">
            <w:pPr>
              <w:pStyle w:val="Normal1"/>
              <w:spacing w:after="0"/>
              <w:rPr>
                <w:sz w:val="24"/>
                <w:szCs w:val="24"/>
              </w:rPr>
            </w:pPr>
            <w:r>
              <w:rPr>
                <w:sz w:val="24"/>
                <w:szCs w:val="24"/>
              </w:rPr>
              <w:t>76</w:t>
            </w:r>
          </w:p>
        </w:tc>
      </w:tr>
      <w:tr w:rsidR="00E6453A" w:rsidTr="006E5653">
        <w:tc>
          <w:tcPr>
            <w:tcW w:w="1376" w:type="dxa"/>
          </w:tcPr>
          <w:p w:rsidR="00E6453A" w:rsidRDefault="00E6453A" w:rsidP="006E5653">
            <w:pPr>
              <w:pStyle w:val="Normal1"/>
              <w:spacing w:after="0"/>
            </w:pPr>
            <w:r>
              <w:rPr>
                <w:sz w:val="24"/>
                <w:szCs w:val="24"/>
              </w:rPr>
              <w:t>Tableau 9 </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Cadre programmatique</w:t>
            </w:r>
          </w:p>
        </w:tc>
        <w:tc>
          <w:tcPr>
            <w:tcW w:w="581" w:type="dxa"/>
          </w:tcPr>
          <w:p w:rsidR="00E6453A" w:rsidRDefault="00E6453A" w:rsidP="006E5653">
            <w:pPr>
              <w:pStyle w:val="Normal1"/>
              <w:spacing w:after="0"/>
              <w:rPr>
                <w:sz w:val="24"/>
                <w:szCs w:val="24"/>
              </w:rPr>
            </w:pPr>
            <w:r>
              <w:rPr>
                <w:sz w:val="24"/>
                <w:szCs w:val="24"/>
              </w:rPr>
              <w:t>83</w:t>
            </w:r>
          </w:p>
        </w:tc>
      </w:tr>
      <w:tr w:rsidR="00E6453A" w:rsidTr="006E5653">
        <w:tc>
          <w:tcPr>
            <w:tcW w:w="1376" w:type="dxa"/>
            <w:shd w:val="clear" w:color="auto" w:fill="DBE5F1"/>
          </w:tcPr>
          <w:p w:rsidR="00E6453A" w:rsidRDefault="00E6453A" w:rsidP="006E5653">
            <w:pPr>
              <w:pStyle w:val="Normal1"/>
              <w:spacing w:after="0"/>
              <w:rPr>
                <w:sz w:val="24"/>
                <w:szCs w:val="24"/>
              </w:rPr>
            </w:pPr>
            <w:r>
              <w:rPr>
                <w:sz w:val="24"/>
                <w:szCs w:val="24"/>
              </w:rPr>
              <w:t>Tableau 10</w:t>
            </w:r>
          </w:p>
        </w:tc>
        <w:tc>
          <w:tcPr>
            <w:tcW w:w="281" w:type="dxa"/>
            <w:shd w:val="clear" w:color="auto" w:fill="DBE5F1"/>
          </w:tcPr>
          <w:p w:rsidR="00E6453A" w:rsidRDefault="00E6453A" w:rsidP="006E5653">
            <w:pPr>
              <w:pStyle w:val="Normal1"/>
              <w:spacing w:after="0"/>
              <w:rPr>
                <w:sz w:val="24"/>
                <w:szCs w:val="24"/>
              </w:rPr>
            </w:pPr>
            <w:r>
              <w:rPr>
                <w:sz w:val="24"/>
                <w:szCs w:val="24"/>
              </w:rPr>
              <w:t>:</w:t>
            </w:r>
          </w:p>
        </w:tc>
        <w:tc>
          <w:tcPr>
            <w:tcW w:w="6892" w:type="dxa"/>
            <w:shd w:val="clear" w:color="auto" w:fill="DBE5F1"/>
          </w:tcPr>
          <w:p w:rsidR="00E6453A" w:rsidRDefault="00E6453A" w:rsidP="006E5653">
            <w:pPr>
              <w:pStyle w:val="Normal1"/>
              <w:spacing w:after="0"/>
              <w:jc w:val="both"/>
              <w:rPr>
                <w:color w:val="000000"/>
                <w:sz w:val="24"/>
                <w:szCs w:val="24"/>
              </w:rPr>
            </w:pPr>
            <w:r>
              <w:rPr>
                <w:color w:val="000000"/>
                <w:sz w:val="24"/>
                <w:szCs w:val="24"/>
              </w:rPr>
              <w:t>Cadre de performance</w:t>
            </w:r>
          </w:p>
        </w:tc>
        <w:tc>
          <w:tcPr>
            <w:tcW w:w="581" w:type="dxa"/>
            <w:shd w:val="clear" w:color="auto" w:fill="DBE5F1"/>
          </w:tcPr>
          <w:p w:rsidR="00E6453A" w:rsidRDefault="00E6453A" w:rsidP="006E5653">
            <w:pPr>
              <w:pStyle w:val="Normal1"/>
              <w:spacing w:after="0"/>
              <w:rPr>
                <w:sz w:val="24"/>
                <w:szCs w:val="24"/>
              </w:rPr>
            </w:pPr>
            <w:r>
              <w:rPr>
                <w:sz w:val="24"/>
                <w:szCs w:val="24"/>
              </w:rPr>
              <w:t>99</w:t>
            </w:r>
          </w:p>
        </w:tc>
      </w:tr>
      <w:tr w:rsidR="00E6453A" w:rsidTr="006E5653">
        <w:tc>
          <w:tcPr>
            <w:tcW w:w="1376" w:type="dxa"/>
            <w:shd w:val="clear" w:color="auto" w:fill="FFFFFF" w:themeFill="background1"/>
          </w:tcPr>
          <w:p w:rsidR="00E6453A" w:rsidRDefault="00E6453A" w:rsidP="006E5653">
            <w:pPr>
              <w:pStyle w:val="Normal1"/>
              <w:spacing w:after="0"/>
            </w:pPr>
            <w:r>
              <w:rPr>
                <w:sz w:val="24"/>
                <w:szCs w:val="24"/>
              </w:rPr>
              <w:t>Tableau 11 </w:t>
            </w:r>
          </w:p>
        </w:tc>
        <w:tc>
          <w:tcPr>
            <w:tcW w:w="281" w:type="dxa"/>
            <w:shd w:val="clear" w:color="auto" w:fill="FFFFFF" w:themeFill="background1"/>
          </w:tcPr>
          <w:p w:rsidR="00E6453A" w:rsidRDefault="00E6453A" w:rsidP="006E5653">
            <w:pPr>
              <w:pStyle w:val="Normal1"/>
              <w:spacing w:after="0"/>
            </w:pPr>
            <w:r>
              <w:rPr>
                <w:sz w:val="24"/>
                <w:szCs w:val="24"/>
              </w:rPr>
              <w:t>:</w:t>
            </w:r>
          </w:p>
        </w:tc>
        <w:tc>
          <w:tcPr>
            <w:tcW w:w="6892" w:type="dxa"/>
            <w:shd w:val="clear" w:color="auto" w:fill="FFFFFF" w:themeFill="background1"/>
          </w:tcPr>
          <w:p w:rsidR="00E6453A" w:rsidRDefault="00E6453A" w:rsidP="006E5653">
            <w:pPr>
              <w:pStyle w:val="Normal1"/>
              <w:spacing w:after="0"/>
              <w:jc w:val="both"/>
              <w:rPr>
                <w:color w:val="000000"/>
                <w:sz w:val="24"/>
                <w:szCs w:val="24"/>
              </w:rPr>
            </w:pPr>
            <w:r>
              <w:rPr>
                <w:color w:val="000000"/>
                <w:sz w:val="24"/>
                <w:szCs w:val="24"/>
              </w:rPr>
              <w:t>Budget estimatif du DI-SRMNEAN-ECSV par Scénario</w:t>
            </w:r>
          </w:p>
        </w:tc>
        <w:tc>
          <w:tcPr>
            <w:tcW w:w="581" w:type="dxa"/>
            <w:shd w:val="clear" w:color="auto" w:fill="FFFFFF" w:themeFill="background1"/>
          </w:tcPr>
          <w:p w:rsidR="00E6453A" w:rsidRDefault="00E6453A" w:rsidP="006E5653">
            <w:pPr>
              <w:pStyle w:val="Normal1"/>
              <w:spacing w:after="0"/>
              <w:rPr>
                <w:sz w:val="24"/>
                <w:szCs w:val="24"/>
              </w:rPr>
            </w:pPr>
            <w:r>
              <w:rPr>
                <w:sz w:val="24"/>
                <w:szCs w:val="24"/>
              </w:rPr>
              <w:t>103</w:t>
            </w:r>
          </w:p>
        </w:tc>
      </w:tr>
      <w:tr w:rsidR="00E6453A" w:rsidTr="006E5653">
        <w:tc>
          <w:tcPr>
            <w:tcW w:w="1376" w:type="dxa"/>
            <w:shd w:val="clear" w:color="auto" w:fill="DAEEF3" w:themeFill="accent5" w:themeFillTint="33"/>
          </w:tcPr>
          <w:p w:rsidR="00E6453A" w:rsidRDefault="00E6453A" w:rsidP="006E5653">
            <w:pPr>
              <w:pStyle w:val="Normal1"/>
              <w:spacing w:after="0"/>
              <w:rPr>
                <w:sz w:val="24"/>
                <w:szCs w:val="24"/>
              </w:rPr>
            </w:pPr>
            <w:r>
              <w:rPr>
                <w:sz w:val="24"/>
                <w:szCs w:val="24"/>
              </w:rPr>
              <w:t>Tableau 12</w:t>
            </w:r>
          </w:p>
        </w:tc>
        <w:tc>
          <w:tcPr>
            <w:tcW w:w="281" w:type="dxa"/>
            <w:shd w:val="clear" w:color="auto" w:fill="DAEEF3" w:themeFill="accent5" w:themeFillTint="33"/>
          </w:tcPr>
          <w:p w:rsidR="00E6453A" w:rsidRDefault="00E6453A" w:rsidP="006E5653">
            <w:pPr>
              <w:pStyle w:val="Normal1"/>
              <w:spacing w:after="0"/>
              <w:rPr>
                <w:sz w:val="24"/>
                <w:szCs w:val="24"/>
              </w:rPr>
            </w:pPr>
          </w:p>
        </w:tc>
        <w:tc>
          <w:tcPr>
            <w:tcW w:w="6892" w:type="dxa"/>
            <w:shd w:val="clear" w:color="auto" w:fill="DAEEF3" w:themeFill="accent5" w:themeFillTint="33"/>
          </w:tcPr>
          <w:p w:rsidR="00E6453A" w:rsidRPr="00DE6B15" w:rsidRDefault="00E6453A" w:rsidP="006E5653">
            <w:pPr>
              <w:pStyle w:val="Normal1"/>
              <w:spacing w:after="0" w:line="240" w:lineRule="auto"/>
              <w:jc w:val="both"/>
              <w:rPr>
                <w:color w:val="000000"/>
              </w:rPr>
            </w:pPr>
            <w:r w:rsidRPr="00DE6B15">
              <w:rPr>
                <w:rFonts w:cs="Arial"/>
                <w:color w:val="000000"/>
              </w:rPr>
              <w:t>Répartition du Budget du DI  par Programme du Budget-Programme et par scénario</w:t>
            </w:r>
          </w:p>
        </w:tc>
        <w:tc>
          <w:tcPr>
            <w:tcW w:w="581" w:type="dxa"/>
            <w:shd w:val="clear" w:color="auto" w:fill="DAEEF3" w:themeFill="accent5" w:themeFillTint="33"/>
          </w:tcPr>
          <w:p w:rsidR="00E6453A" w:rsidRDefault="00E6453A" w:rsidP="006E5653">
            <w:pPr>
              <w:pStyle w:val="Normal1"/>
              <w:spacing w:after="0"/>
              <w:rPr>
                <w:sz w:val="24"/>
                <w:szCs w:val="24"/>
              </w:rPr>
            </w:pPr>
            <w:r>
              <w:rPr>
                <w:sz w:val="24"/>
                <w:szCs w:val="24"/>
              </w:rPr>
              <w:t>104</w:t>
            </w:r>
          </w:p>
        </w:tc>
      </w:tr>
      <w:tr w:rsidR="00E6453A" w:rsidTr="006E5653">
        <w:tc>
          <w:tcPr>
            <w:tcW w:w="1376" w:type="dxa"/>
            <w:shd w:val="clear" w:color="auto" w:fill="FFFFFF" w:themeFill="background1"/>
          </w:tcPr>
          <w:p w:rsidR="00E6453A" w:rsidRDefault="00E6453A" w:rsidP="006E5653">
            <w:pPr>
              <w:pStyle w:val="Normal1"/>
              <w:spacing w:after="0"/>
            </w:pPr>
            <w:r>
              <w:rPr>
                <w:sz w:val="24"/>
                <w:szCs w:val="24"/>
              </w:rPr>
              <w:t>Tableau 13 </w:t>
            </w:r>
          </w:p>
        </w:tc>
        <w:tc>
          <w:tcPr>
            <w:tcW w:w="281" w:type="dxa"/>
            <w:shd w:val="clear" w:color="auto" w:fill="FFFFFF" w:themeFill="background1"/>
          </w:tcPr>
          <w:p w:rsidR="00E6453A" w:rsidRDefault="00E6453A" w:rsidP="006E5653">
            <w:pPr>
              <w:pStyle w:val="Normal1"/>
              <w:spacing w:after="0"/>
            </w:pPr>
            <w:r>
              <w:rPr>
                <w:sz w:val="24"/>
                <w:szCs w:val="24"/>
              </w:rPr>
              <w:t>:</w:t>
            </w:r>
          </w:p>
        </w:tc>
        <w:tc>
          <w:tcPr>
            <w:tcW w:w="6892" w:type="dxa"/>
            <w:shd w:val="clear" w:color="auto" w:fill="FFFFFF" w:themeFill="background1"/>
          </w:tcPr>
          <w:p w:rsidR="00E6453A" w:rsidRPr="00DE6B15" w:rsidRDefault="00E6453A" w:rsidP="006E5653">
            <w:pPr>
              <w:pStyle w:val="Normal1"/>
              <w:spacing w:after="0"/>
              <w:jc w:val="both"/>
              <w:rPr>
                <w:color w:val="000000"/>
                <w:sz w:val="24"/>
                <w:szCs w:val="24"/>
              </w:rPr>
            </w:pPr>
            <w:r w:rsidRPr="00DE6B15">
              <w:rPr>
                <w:sz w:val="24"/>
                <w:szCs w:val="24"/>
              </w:rPr>
              <w:t>Répartition du Budget du DI par Programme et par scénario</w:t>
            </w:r>
          </w:p>
        </w:tc>
        <w:tc>
          <w:tcPr>
            <w:tcW w:w="581" w:type="dxa"/>
            <w:shd w:val="clear" w:color="auto" w:fill="FFFFFF" w:themeFill="background1"/>
          </w:tcPr>
          <w:p w:rsidR="00E6453A" w:rsidRDefault="00E6453A" w:rsidP="006E5653">
            <w:pPr>
              <w:pStyle w:val="Normal1"/>
              <w:spacing w:after="0"/>
              <w:rPr>
                <w:sz w:val="24"/>
                <w:szCs w:val="24"/>
              </w:rPr>
            </w:pPr>
            <w:r>
              <w:rPr>
                <w:sz w:val="24"/>
                <w:szCs w:val="24"/>
              </w:rPr>
              <w:t>105</w:t>
            </w:r>
          </w:p>
        </w:tc>
      </w:tr>
      <w:tr w:rsidR="00E6453A" w:rsidTr="006E5653">
        <w:tc>
          <w:tcPr>
            <w:tcW w:w="1376" w:type="dxa"/>
            <w:shd w:val="clear" w:color="auto" w:fill="DBE5F1"/>
          </w:tcPr>
          <w:p w:rsidR="00E6453A" w:rsidRDefault="00E6453A" w:rsidP="006E5653">
            <w:pPr>
              <w:pStyle w:val="Normal1"/>
              <w:spacing w:after="0"/>
            </w:pPr>
            <w:r>
              <w:rPr>
                <w:sz w:val="24"/>
                <w:szCs w:val="24"/>
              </w:rPr>
              <w:t>Tableau 14</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Pr="00B35CA1" w:rsidRDefault="00E6453A" w:rsidP="006E5653">
            <w:pPr>
              <w:pStyle w:val="Normal1"/>
              <w:spacing w:after="0"/>
              <w:jc w:val="both"/>
              <w:rPr>
                <w:b/>
                <w:color w:val="000000"/>
                <w:sz w:val="24"/>
                <w:szCs w:val="24"/>
              </w:rPr>
            </w:pPr>
            <w:r w:rsidRPr="00B35CA1">
              <w:rPr>
                <w:b/>
                <w:color w:val="000000"/>
                <w:sz w:val="24"/>
                <w:szCs w:val="24"/>
              </w:rPr>
              <w:t>Evolution des vies sauvées (scénario moyen)</w:t>
            </w:r>
          </w:p>
        </w:tc>
        <w:tc>
          <w:tcPr>
            <w:tcW w:w="581" w:type="dxa"/>
            <w:shd w:val="clear" w:color="auto" w:fill="DBE5F1"/>
          </w:tcPr>
          <w:p w:rsidR="00E6453A" w:rsidRDefault="00E6453A" w:rsidP="006E5653">
            <w:pPr>
              <w:pStyle w:val="Normal1"/>
              <w:spacing w:after="0"/>
              <w:rPr>
                <w:sz w:val="24"/>
                <w:szCs w:val="24"/>
              </w:rPr>
            </w:pPr>
            <w:r>
              <w:rPr>
                <w:sz w:val="24"/>
                <w:szCs w:val="24"/>
              </w:rPr>
              <w:t>107</w:t>
            </w:r>
          </w:p>
        </w:tc>
      </w:tr>
      <w:tr w:rsidR="00E6453A" w:rsidTr="006E5653">
        <w:tc>
          <w:tcPr>
            <w:tcW w:w="1376" w:type="dxa"/>
            <w:shd w:val="clear" w:color="auto" w:fill="FFFFFF" w:themeFill="background1"/>
          </w:tcPr>
          <w:p w:rsidR="00E6453A" w:rsidRDefault="00E6453A" w:rsidP="006E5653">
            <w:pPr>
              <w:pStyle w:val="Normal1"/>
              <w:spacing w:after="0"/>
              <w:rPr>
                <w:sz w:val="24"/>
                <w:szCs w:val="24"/>
              </w:rPr>
            </w:pPr>
            <w:r>
              <w:rPr>
                <w:sz w:val="24"/>
                <w:szCs w:val="24"/>
              </w:rPr>
              <w:t>Tableau 15</w:t>
            </w:r>
          </w:p>
        </w:tc>
        <w:tc>
          <w:tcPr>
            <w:tcW w:w="281" w:type="dxa"/>
            <w:shd w:val="clear" w:color="auto" w:fill="FFFFFF" w:themeFill="background1"/>
          </w:tcPr>
          <w:p w:rsidR="00E6453A" w:rsidRDefault="00E6453A" w:rsidP="006E5653">
            <w:pPr>
              <w:pStyle w:val="Normal1"/>
              <w:spacing w:after="0"/>
              <w:rPr>
                <w:sz w:val="24"/>
                <w:szCs w:val="24"/>
              </w:rPr>
            </w:pPr>
            <w:r>
              <w:rPr>
                <w:sz w:val="24"/>
                <w:szCs w:val="24"/>
              </w:rPr>
              <w:t>:</w:t>
            </w:r>
          </w:p>
        </w:tc>
        <w:tc>
          <w:tcPr>
            <w:tcW w:w="6892" w:type="dxa"/>
            <w:shd w:val="clear" w:color="auto" w:fill="FFFFFF" w:themeFill="background1"/>
          </w:tcPr>
          <w:p w:rsidR="00E6453A" w:rsidRPr="00B35CA1" w:rsidRDefault="00E6453A" w:rsidP="006E5653">
            <w:pPr>
              <w:pStyle w:val="Normal1"/>
              <w:spacing w:after="0"/>
              <w:jc w:val="both"/>
              <w:rPr>
                <w:rFonts w:ascii="Cambria" w:eastAsia="Cambria" w:hAnsi="Cambria" w:cs="Cambria"/>
                <w:b/>
              </w:rPr>
            </w:pPr>
            <w:r w:rsidRPr="00B35CA1">
              <w:rPr>
                <w:b/>
                <w:sz w:val="24"/>
                <w:szCs w:val="24"/>
              </w:rPr>
              <w:t>Les sources de financement et leur part respective en million FCFA</w:t>
            </w:r>
          </w:p>
        </w:tc>
        <w:tc>
          <w:tcPr>
            <w:tcW w:w="581" w:type="dxa"/>
            <w:shd w:val="clear" w:color="auto" w:fill="FFFFFF" w:themeFill="background1"/>
          </w:tcPr>
          <w:p w:rsidR="00E6453A" w:rsidRDefault="00E6453A" w:rsidP="006E5653">
            <w:pPr>
              <w:pStyle w:val="Normal1"/>
              <w:spacing w:after="0"/>
              <w:rPr>
                <w:sz w:val="24"/>
                <w:szCs w:val="24"/>
              </w:rPr>
            </w:pPr>
            <w:r>
              <w:rPr>
                <w:sz w:val="24"/>
                <w:szCs w:val="24"/>
              </w:rPr>
              <w:t>110</w:t>
            </w:r>
          </w:p>
        </w:tc>
      </w:tr>
      <w:tr w:rsidR="00E6453A" w:rsidTr="006E5653">
        <w:tc>
          <w:tcPr>
            <w:tcW w:w="1376" w:type="dxa"/>
            <w:shd w:val="clear" w:color="auto" w:fill="DAEEF3" w:themeFill="accent5" w:themeFillTint="33"/>
          </w:tcPr>
          <w:p w:rsidR="00E6453A" w:rsidRDefault="00E6453A" w:rsidP="006E5653">
            <w:pPr>
              <w:pStyle w:val="Normal1"/>
              <w:spacing w:after="0"/>
              <w:rPr>
                <w:sz w:val="24"/>
                <w:szCs w:val="24"/>
              </w:rPr>
            </w:pPr>
            <w:r>
              <w:rPr>
                <w:sz w:val="24"/>
                <w:szCs w:val="24"/>
              </w:rPr>
              <w:t>Tableau 17</w:t>
            </w:r>
          </w:p>
        </w:tc>
        <w:tc>
          <w:tcPr>
            <w:tcW w:w="281" w:type="dxa"/>
            <w:shd w:val="clear" w:color="auto" w:fill="DAEEF3" w:themeFill="accent5" w:themeFillTint="33"/>
          </w:tcPr>
          <w:p w:rsidR="00E6453A" w:rsidRDefault="00E6453A" w:rsidP="006E5653">
            <w:pPr>
              <w:pStyle w:val="Normal1"/>
              <w:spacing w:after="0"/>
              <w:rPr>
                <w:sz w:val="24"/>
                <w:szCs w:val="24"/>
              </w:rPr>
            </w:pPr>
            <w:r>
              <w:rPr>
                <w:sz w:val="24"/>
                <w:szCs w:val="24"/>
              </w:rPr>
              <w:t>:</w:t>
            </w:r>
          </w:p>
        </w:tc>
        <w:tc>
          <w:tcPr>
            <w:tcW w:w="6892" w:type="dxa"/>
            <w:shd w:val="clear" w:color="auto" w:fill="DAEEF3" w:themeFill="accent5" w:themeFillTint="33"/>
          </w:tcPr>
          <w:p w:rsidR="00E6453A" w:rsidRDefault="00E6453A" w:rsidP="006E5653">
            <w:pPr>
              <w:pStyle w:val="Normal1"/>
              <w:spacing w:after="0"/>
              <w:rPr>
                <w:sz w:val="24"/>
                <w:szCs w:val="24"/>
              </w:rPr>
            </w:pPr>
            <w:r>
              <w:rPr>
                <w:color w:val="000000"/>
                <w:sz w:val="24"/>
                <w:szCs w:val="24"/>
              </w:rPr>
              <w:t>Déficit de financement réparti sur les 5 ans couvert par le DI</w:t>
            </w:r>
          </w:p>
        </w:tc>
        <w:tc>
          <w:tcPr>
            <w:tcW w:w="581" w:type="dxa"/>
            <w:shd w:val="clear" w:color="auto" w:fill="DAEEF3" w:themeFill="accent5" w:themeFillTint="33"/>
          </w:tcPr>
          <w:p w:rsidR="00E6453A" w:rsidRDefault="00E6453A" w:rsidP="006E5653">
            <w:pPr>
              <w:pStyle w:val="Normal1"/>
              <w:spacing w:after="0"/>
              <w:rPr>
                <w:sz w:val="24"/>
                <w:szCs w:val="24"/>
              </w:rPr>
            </w:pPr>
            <w:r>
              <w:rPr>
                <w:sz w:val="24"/>
                <w:szCs w:val="24"/>
              </w:rPr>
              <w:t>111</w:t>
            </w:r>
          </w:p>
        </w:tc>
      </w:tr>
      <w:tr w:rsidR="00E6453A" w:rsidTr="006E5653">
        <w:tc>
          <w:tcPr>
            <w:tcW w:w="1376" w:type="dxa"/>
            <w:shd w:val="clear" w:color="auto" w:fill="FFFFFF"/>
          </w:tcPr>
          <w:p w:rsidR="00E6453A" w:rsidRDefault="00E6453A" w:rsidP="006E5653">
            <w:pPr>
              <w:pStyle w:val="Normal1"/>
              <w:spacing w:after="0"/>
              <w:rPr>
                <w:sz w:val="24"/>
                <w:szCs w:val="24"/>
              </w:rPr>
            </w:pPr>
          </w:p>
        </w:tc>
        <w:tc>
          <w:tcPr>
            <w:tcW w:w="281" w:type="dxa"/>
            <w:shd w:val="clear" w:color="auto" w:fill="FFFFFF"/>
          </w:tcPr>
          <w:p w:rsidR="00E6453A" w:rsidRDefault="00E6453A" w:rsidP="006E5653">
            <w:pPr>
              <w:pStyle w:val="Normal1"/>
              <w:spacing w:after="0"/>
              <w:rPr>
                <w:sz w:val="24"/>
                <w:szCs w:val="24"/>
              </w:rPr>
            </w:pPr>
          </w:p>
        </w:tc>
        <w:tc>
          <w:tcPr>
            <w:tcW w:w="6892" w:type="dxa"/>
            <w:shd w:val="clear" w:color="auto" w:fill="FFFFFF"/>
          </w:tcPr>
          <w:p w:rsidR="00E6453A" w:rsidRDefault="00E6453A" w:rsidP="006E5653">
            <w:pPr>
              <w:pStyle w:val="Normal1"/>
              <w:spacing w:after="0"/>
              <w:rPr>
                <w:color w:val="000000"/>
                <w:sz w:val="24"/>
                <w:szCs w:val="24"/>
              </w:rPr>
            </w:pPr>
            <w:r>
              <w:rPr>
                <w:sz w:val="24"/>
                <w:szCs w:val="24"/>
              </w:rPr>
              <w:t>ANNEXES</w:t>
            </w:r>
          </w:p>
        </w:tc>
        <w:tc>
          <w:tcPr>
            <w:tcW w:w="581" w:type="dxa"/>
            <w:shd w:val="clear" w:color="auto" w:fill="FFFFFF"/>
          </w:tcPr>
          <w:p w:rsidR="00E6453A" w:rsidRDefault="00E6453A" w:rsidP="006E5653">
            <w:pPr>
              <w:pStyle w:val="Normal1"/>
              <w:spacing w:after="0"/>
              <w:rPr>
                <w:sz w:val="24"/>
                <w:szCs w:val="24"/>
              </w:rPr>
            </w:pPr>
          </w:p>
        </w:tc>
      </w:tr>
      <w:tr w:rsidR="00E6453A" w:rsidTr="006E5653">
        <w:tc>
          <w:tcPr>
            <w:tcW w:w="1376" w:type="dxa"/>
            <w:shd w:val="clear" w:color="auto" w:fill="DAEEF3" w:themeFill="accent5" w:themeFillTint="33"/>
          </w:tcPr>
          <w:p w:rsidR="00E6453A" w:rsidRDefault="00E6453A" w:rsidP="006E5653">
            <w:pPr>
              <w:pStyle w:val="Normal1"/>
              <w:spacing w:after="0"/>
              <w:rPr>
                <w:sz w:val="24"/>
                <w:szCs w:val="24"/>
              </w:rPr>
            </w:pPr>
            <w:r>
              <w:rPr>
                <w:sz w:val="24"/>
                <w:szCs w:val="24"/>
              </w:rPr>
              <w:t>Tableau A</w:t>
            </w:r>
          </w:p>
        </w:tc>
        <w:tc>
          <w:tcPr>
            <w:tcW w:w="281" w:type="dxa"/>
            <w:shd w:val="clear" w:color="auto" w:fill="DAEEF3" w:themeFill="accent5" w:themeFillTint="33"/>
          </w:tcPr>
          <w:p w:rsidR="00E6453A" w:rsidRDefault="00E6453A" w:rsidP="006E5653">
            <w:pPr>
              <w:pStyle w:val="Normal1"/>
              <w:spacing w:after="0"/>
              <w:rPr>
                <w:sz w:val="24"/>
                <w:szCs w:val="24"/>
              </w:rPr>
            </w:pPr>
            <w:r>
              <w:rPr>
                <w:sz w:val="24"/>
                <w:szCs w:val="24"/>
              </w:rPr>
              <w:t>:</w:t>
            </w:r>
          </w:p>
        </w:tc>
        <w:tc>
          <w:tcPr>
            <w:tcW w:w="6892" w:type="dxa"/>
            <w:shd w:val="clear" w:color="auto" w:fill="DAEEF3" w:themeFill="accent5" w:themeFillTint="33"/>
          </w:tcPr>
          <w:p w:rsidR="00E6453A" w:rsidRDefault="00E6453A" w:rsidP="006E5653">
            <w:pPr>
              <w:pStyle w:val="Normal1"/>
              <w:spacing w:after="0"/>
              <w:rPr>
                <w:color w:val="000000"/>
                <w:sz w:val="24"/>
                <w:szCs w:val="24"/>
              </w:rPr>
            </w:pPr>
            <w:r>
              <w:t xml:space="preserve">CHRONOGRAMME ELABORATION DU DI-SRMNEAN-ECSV </w:t>
            </w:r>
          </w:p>
        </w:tc>
        <w:tc>
          <w:tcPr>
            <w:tcW w:w="581" w:type="dxa"/>
            <w:shd w:val="clear" w:color="auto" w:fill="DAEEF3" w:themeFill="accent5" w:themeFillTint="33"/>
          </w:tcPr>
          <w:p w:rsidR="00E6453A" w:rsidRDefault="00E6453A" w:rsidP="006E5653">
            <w:pPr>
              <w:pStyle w:val="Normal1"/>
              <w:spacing w:after="0"/>
              <w:rPr>
                <w:sz w:val="24"/>
                <w:szCs w:val="24"/>
              </w:rPr>
            </w:pPr>
            <w:r>
              <w:rPr>
                <w:sz w:val="24"/>
                <w:szCs w:val="24"/>
              </w:rPr>
              <w:t>118</w:t>
            </w:r>
          </w:p>
        </w:tc>
      </w:tr>
      <w:tr w:rsidR="00E6453A" w:rsidTr="006E5653">
        <w:tc>
          <w:tcPr>
            <w:tcW w:w="1376" w:type="dxa"/>
            <w:shd w:val="clear" w:color="auto" w:fill="FFFFFF"/>
          </w:tcPr>
          <w:p w:rsidR="00E6453A" w:rsidRDefault="00E6453A" w:rsidP="006E5653">
            <w:pPr>
              <w:pStyle w:val="Normal1"/>
              <w:spacing w:after="0"/>
              <w:rPr>
                <w:sz w:val="24"/>
                <w:szCs w:val="24"/>
              </w:rPr>
            </w:pPr>
            <w:r>
              <w:rPr>
                <w:sz w:val="24"/>
                <w:szCs w:val="24"/>
              </w:rPr>
              <w:t>Tableau B</w:t>
            </w:r>
          </w:p>
        </w:tc>
        <w:tc>
          <w:tcPr>
            <w:tcW w:w="281" w:type="dxa"/>
            <w:shd w:val="clear" w:color="auto" w:fill="FFFFFF"/>
          </w:tcPr>
          <w:p w:rsidR="00E6453A" w:rsidRDefault="00E6453A" w:rsidP="006E5653">
            <w:pPr>
              <w:pStyle w:val="Normal1"/>
              <w:spacing w:after="0"/>
              <w:rPr>
                <w:sz w:val="24"/>
                <w:szCs w:val="24"/>
              </w:rPr>
            </w:pPr>
            <w:r>
              <w:rPr>
                <w:sz w:val="24"/>
                <w:szCs w:val="24"/>
              </w:rPr>
              <w:t>:</w:t>
            </w:r>
          </w:p>
        </w:tc>
        <w:tc>
          <w:tcPr>
            <w:tcW w:w="6892" w:type="dxa"/>
            <w:shd w:val="clear" w:color="auto" w:fill="FFFFFF"/>
          </w:tcPr>
          <w:p w:rsidR="00E6453A" w:rsidRDefault="00E6453A" w:rsidP="00470041">
            <w:pPr>
              <w:pStyle w:val="Normal1"/>
              <w:spacing w:after="0"/>
              <w:rPr>
                <w:color w:val="000000"/>
                <w:sz w:val="24"/>
                <w:szCs w:val="24"/>
              </w:rPr>
            </w:pPr>
            <w:r>
              <w:t>CLA</w:t>
            </w:r>
            <w:r w:rsidR="00470041">
              <w:t>SSEMENT DES REGIONS SUR BASE DE LEUR PERFORMANCE (SCORE)</w:t>
            </w:r>
            <w:r>
              <w:t xml:space="preserve"> </w:t>
            </w:r>
          </w:p>
        </w:tc>
        <w:tc>
          <w:tcPr>
            <w:tcW w:w="581" w:type="dxa"/>
            <w:shd w:val="clear" w:color="auto" w:fill="FFFFFF"/>
          </w:tcPr>
          <w:p w:rsidR="00E6453A" w:rsidRDefault="00E6453A" w:rsidP="006E5653">
            <w:pPr>
              <w:pStyle w:val="Normal1"/>
              <w:spacing w:after="0"/>
              <w:rPr>
                <w:sz w:val="24"/>
                <w:szCs w:val="24"/>
              </w:rPr>
            </w:pPr>
            <w:r>
              <w:rPr>
                <w:sz w:val="24"/>
                <w:szCs w:val="24"/>
              </w:rPr>
              <w:t>120</w:t>
            </w:r>
          </w:p>
        </w:tc>
      </w:tr>
      <w:tr w:rsidR="00470041" w:rsidTr="006E5653">
        <w:tc>
          <w:tcPr>
            <w:tcW w:w="1376" w:type="dxa"/>
            <w:shd w:val="clear" w:color="auto" w:fill="DAEEF3" w:themeFill="accent5" w:themeFillTint="33"/>
          </w:tcPr>
          <w:p w:rsidR="00470041" w:rsidRDefault="00470041" w:rsidP="006E5653">
            <w:pPr>
              <w:pStyle w:val="Normal1"/>
              <w:spacing w:after="0"/>
              <w:rPr>
                <w:sz w:val="24"/>
                <w:szCs w:val="24"/>
              </w:rPr>
            </w:pPr>
            <w:r>
              <w:rPr>
                <w:sz w:val="24"/>
                <w:szCs w:val="24"/>
              </w:rPr>
              <w:t>Tableau C</w:t>
            </w:r>
          </w:p>
        </w:tc>
        <w:tc>
          <w:tcPr>
            <w:tcW w:w="281" w:type="dxa"/>
            <w:shd w:val="clear" w:color="auto" w:fill="DAEEF3" w:themeFill="accent5" w:themeFillTint="33"/>
          </w:tcPr>
          <w:p w:rsidR="00470041" w:rsidRDefault="00470041" w:rsidP="006E5653">
            <w:pPr>
              <w:pStyle w:val="Normal1"/>
              <w:spacing w:after="0"/>
              <w:rPr>
                <w:sz w:val="24"/>
                <w:szCs w:val="24"/>
              </w:rPr>
            </w:pPr>
            <w:r>
              <w:rPr>
                <w:sz w:val="24"/>
                <w:szCs w:val="24"/>
              </w:rPr>
              <w:t>:</w:t>
            </w:r>
          </w:p>
        </w:tc>
        <w:tc>
          <w:tcPr>
            <w:tcW w:w="6892" w:type="dxa"/>
            <w:shd w:val="clear" w:color="auto" w:fill="DAEEF3" w:themeFill="accent5" w:themeFillTint="33"/>
          </w:tcPr>
          <w:p w:rsidR="00470041" w:rsidRPr="008D0333" w:rsidRDefault="00470041" w:rsidP="006E5653">
            <w:pPr>
              <w:pStyle w:val="Normal1"/>
              <w:spacing w:after="0"/>
            </w:pPr>
            <w:r>
              <w:t>Indicateurs choisis pour l’évaluation des performances des régions</w:t>
            </w:r>
          </w:p>
        </w:tc>
        <w:tc>
          <w:tcPr>
            <w:tcW w:w="581" w:type="dxa"/>
            <w:shd w:val="clear" w:color="auto" w:fill="DAEEF3" w:themeFill="accent5" w:themeFillTint="33"/>
          </w:tcPr>
          <w:p w:rsidR="00470041" w:rsidRDefault="00470041" w:rsidP="006E5653">
            <w:pPr>
              <w:pStyle w:val="Normal1"/>
              <w:spacing w:after="0"/>
              <w:rPr>
                <w:sz w:val="24"/>
                <w:szCs w:val="24"/>
              </w:rPr>
            </w:pPr>
            <w:r>
              <w:rPr>
                <w:sz w:val="24"/>
                <w:szCs w:val="24"/>
              </w:rPr>
              <w:t>121</w:t>
            </w:r>
          </w:p>
        </w:tc>
      </w:tr>
      <w:tr w:rsidR="00E6453A" w:rsidTr="00470041">
        <w:tc>
          <w:tcPr>
            <w:tcW w:w="1376" w:type="dxa"/>
            <w:shd w:val="clear" w:color="auto" w:fill="FFFFFF" w:themeFill="background1"/>
          </w:tcPr>
          <w:p w:rsidR="00E6453A" w:rsidRDefault="00470041" w:rsidP="006E5653">
            <w:pPr>
              <w:pStyle w:val="Normal1"/>
              <w:spacing w:after="0"/>
              <w:rPr>
                <w:sz w:val="24"/>
                <w:szCs w:val="24"/>
              </w:rPr>
            </w:pPr>
            <w:r>
              <w:rPr>
                <w:sz w:val="24"/>
                <w:szCs w:val="24"/>
              </w:rPr>
              <w:t>Tableau D</w:t>
            </w:r>
          </w:p>
        </w:tc>
        <w:tc>
          <w:tcPr>
            <w:tcW w:w="281" w:type="dxa"/>
            <w:shd w:val="clear" w:color="auto" w:fill="FFFFFF" w:themeFill="background1"/>
          </w:tcPr>
          <w:p w:rsidR="00E6453A" w:rsidRDefault="00E6453A" w:rsidP="006E5653">
            <w:pPr>
              <w:pStyle w:val="Normal1"/>
              <w:spacing w:after="0"/>
              <w:rPr>
                <w:sz w:val="24"/>
                <w:szCs w:val="24"/>
              </w:rPr>
            </w:pPr>
            <w:r>
              <w:rPr>
                <w:sz w:val="24"/>
                <w:szCs w:val="24"/>
              </w:rPr>
              <w:t>:</w:t>
            </w:r>
          </w:p>
        </w:tc>
        <w:tc>
          <w:tcPr>
            <w:tcW w:w="6892" w:type="dxa"/>
            <w:shd w:val="clear" w:color="auto" w:fill="FFFFFF" w:themeFill="background1"/>
          </w:tcPr>
          <w:p w:rsidR="00E6453A" w:rsidRPr="008D0333" w:rsidRDefault="00E6453A" w:rsidP="006E5653">
            <w:pPr>
              <w:pStyle w:val="Normal1"/>
              <w:spacing w:after="0"/>
              <w:rPr>
                <w:color w:val="000000"/>
                <w:sz w:val="24"/>
                <w:szCs w:val="24"/>
              </w:rPr>
            </w:pPr>
            <w:r w:rsidRPr="008D0333">
              <w:t>DISTRIBUTION DU PAQUET D’INTERVENTIONS A HAUT IMPACT PAR NIVEAU DE PRESTATION ET PAR CIBLE</w:t>
            </w:r>
          </w:p>
        </w:tc>
        <w:tc>
          <w:tcPr>
            <w:tcW w:w="581" w:type="dxa"/>
            <w:shd w:val="clear" w:color="auto" w:fill="FFFFFF" w:themeFill="background1"/>
          </w:tcPr>
          <w:p w:rsidR="00E6453A" w:rsidRDefault="00470041" w:rsidP="006E5653">
            <w:pPr>
              <w:pStyle w:val="Normal1"/>
              <w:spacing w:after="0"/>
              <w:rPr>
                <w:sz w:val="24"/>
                <w:szCs w:val="24"/>
              </w:rPr>
            </w:pPr>
            <w:r>
              <w:rPr>
                <w:sz w:val="24"/>
                <w:szCs w:val="24"/>
              </w:rPr>
              <w:t>122</w:t>
            </w:r>
          </w:p>
        </w:tc>
      </w:tr>
      <w:tr w:rsidR="00E6453A" w:rsidTr="006E5653">
        <w:tc>
          <w:tcPr>
            <w:tcW w:w="1376" w:type="dxa"/>
          </w:tcPr>
          <w:p w:rsidR="00E6453A" w:rsidRDefault="00E6453A" w:rsidP="006E5653">
            <w:pPr>
              <w:pStyle w:val="Normal1"/>
              <w:spacing w:after="0"/>
              <w:rPr>
                <w:sz w:val="24"/>
                <w:szCs w:val="24"/>
              </w:rPr>
            </w:pPr>
          </w:p>
        </w:tc>
        <w:tc>
          <w:tcPr>
            <w:tcW w:w="281" w:type="dxa"/>
          </w:tcPr>
          <w:p w:rsidR="00E6453A" w:rsidRDefault="00E6453A" w:rsidP="006E5653">
            <w:pPr>
              <w:pStyle w:val="Normal1"/>
              <w:spacing w:after="0"/>
              <w:rPr>
                <w:sz w:val="24"/>
                <w:szCs w:val="24"/>
              </w:rPr>
            </w:pPr>
          </w:p>
        </w:tc>
        <w:tc>
          <w:tcPr>
            <w:tcW w:w="6892" w:type="dxa"/>
          </w:tcPr>
          <w:p w:rsidR="00E6453A" w:rsidRDefault="00E6453A" w:rsidP="006E5653">
            <w:pPr>
              <w:pStyle w:val="Normal1"/>
              <w:spacing w:after="0"/>
              <w:rPr>
                <w:sz w:val="24"/>
                <w:szCs w:val="24"/>
              </w:rPr>
            </w:pPr>
          </w:p>
        </w:tc>
        <w:tc>
          <w:tcPr>
            <w:tcW w:w="581" w:type="dxa"/>
          </w:tcPr>
          <w:p w:rsidR="00E6453A" w:rsidRDefault="00E6453A" w:rsidP="006E5653">
            <w:pPr>
              <w:pStyle w:val="Normal1"/>
              <w:spacing w:after="0"/>
              <w:rPr>
                <w:sz w:val="24"/>
                <w:szCs w:val="24"/>
              </w:rPr>
            </w:pPr>
          </w:p>
        </w:tc>
      </w:tr>
      <w:tr w:rsidR="00E6453A" w:rsidTr="006E5653">
        <w:tc>
          <w:tcPr>
            <w:tcW w:w="1376" w:type="dxa"/>
            <w:shd w:val="clear" w:color="auto" w:fill="DBE5F1"/>
          </w:tcPr>
          <w:p w:rsidR="00E6453A" w:rsidRDefault="00E6453A" w:rsidP="006E5653">
            <w:pPr>
              <w:pStyle w:val="Normal1"/>
              <w:spacing w:after="0"/>
              <w:rPr>
                <w:color w:val="231F20"/>
                <w:sz w:val="24"/>
                <w:szCs w:val="24"/>
              </w:rPr>
            </w:pPr>
          </w:p>
        </w:tc>
        <w:tc>
          <w:tcPr>
            <w:tcW w:w="281" w:type="dxa"/>
            <w:shd w:val="clear" w:color="auto" w:fill="DBE5F1"/>
          </w:tcPr>
          <w:p w:rsidR="00E6453A" w:rsidRDefault="00E6453A" w:rsidP="006E5653">
            <w:pPr>
              <w:pStyle w:val="Normal1"/>
              <w:spacing w:after="0"/>
              <w:rPr>
                <w:color w:val="231F20"/>
                <w:sz w:val="24"/>
                <w:szCs w:val="24"/>
              </w:rPr>
            </w:pPr>
          </w:p>
        </w:tc>
        <w:tc>
          <w:tcPr>
            <w:tcW w:w="6892" w:type="dxa"/>
            <w:shd w:val="clear" w:color="auto" w:fill="DBE5F1"/>
          </w:tcPr>
          <w:p w:rsidR="00E6453A" w:rsidRDefault="00E6453A" w:rsidP="006E5653">
            <w:pPr>
              <w:pStyle w:val="Normal1"/>
              <w:spacing w:after="0"/>
              <w:rPr>
                <w:sz w:val="24"/>
                <w:szCs w:val="24"/>
              </w:rPr>
            </w:pPr>
            <w:r>
              <w:rPr>
                <w:sz w:val="24"/>
                <w:szCs w:val="24"/>
              </w:rPr>
              <w:t>LISTE DES FIGURES</w:t>
            </w:r>
          </w:p>
        </w:tc>
        <w:tc>
          <w:tcPr>
            <w:tcW w:w="581" w:type="dxa"/>
            <w:shd w:val="clear" w:color="auto" w:fill="DBE5F1"/>
          </w:tcPr>
          <w:p w:rsidR="00E6453A" w:rsidRDefault="00E6453A" w:rsidP="006E5653">
            <w:pPr>
              <w:pStyle w:val="Normal1"/>
              <w:spacing w:after="0"/>
              <w:rPr>
                <w:sz w:val="24"/>
                <w:szCs w:val="24"/>
              </w:rPr>
            </w:pPr>
          </w:p>
        </w:tc>
      </w:tr>
      <w:tr w:rsidR="00E6453A" w:rsidTr="006E5653">
        <w:tc>
          <w:tcPr>
            <w:tcW w:w="1376" w:type="dxa"/>
          </w:tcPr>
          <w:p w:rsidR="00E6453A" w:rsidRDefault="00E6453A" w:rsidP="006E5653">
            <w:pPr>
              <w:pStyle w:val="Normal1"/>
              <w:spacing w:after="0"/>
              <w:rPr>
                <w:sz w:val="24"/>
                <w:szCs w:val="24"/>
              </w:rPr>
            </w:pPr>
            <w:r>
              <w:rPr>
                <w:color w:val="231F20"/>
                <w:sz w:val="24"/>
                <w:szCs w:val="24"/>
              </w:rPr>
              <w:t>Figure 1 </w:t>
            </w:r>
          </w:p>
        </w:tc>
        <w:tc>
          <w:tcPr>
            <w:tcW w:w="281" w:type="dxa"/>
          </w:tcPr>
          <w:p w:rsidR="00E6453A" w:rsidRDefault="00E6453A" w:rsidP="006E5653">
            <w:pPr>
              <w:pStyle w:val="Normal1"/>
              <w:spacing w:after="0"/>
              <w:rPr>
                <w:sz w:val="24"/>
                <w:szCs w:val="24"/>
              </w:rPr>
            </w:pPr>
            <w:r>
              <w:rPr>
                <w:color w:val="231F20"/>
                <w:sz w:val="24"/>
                <w:szCs w:val="24"/>
              </w:rPr>
              <w:t>:</w:t>
            </w:r>
          </w:p>
        </w:tc>
        <w:tc>
          <w:tcPr>
            <w:tcW w:w="6892" w:type="dxa"/>
          </w:tcPr>
          <w:p w:rsidR="00E6453A" w:rsidRDefault="00E6453A" w:rsidP="006E5653">
            <w:pPr>
              <w:pStyle w:val="Normal1"/>
              <w:spacing w:after="0"/>
              <w:rPr>
                <w:sz w:val="24"/>
                <w:szCs w:val="24"/>
              </w:rPr>
            </w:pPr>
            <w:r>
              <w:rPr>
                <w:color w:val="231F20"/>
                <w:sz w:val="24"/>
                <w:szCs w:val="24"/>
              </w:rPr>
              <w:t>Organisation administrative et organisation des soins</w:t>
            </w:r>
          </w:p>
        </w:tc>
        <w:tc>
          <w:tcPr>
            <w:tcW w:w="581" w:type="dxa"/>
          </w:tcPr>
          <w:p w:rsidR="00E6453A" w:rsidRDefault="00E6453A" w:rsidP="006E5653">
            <w:pPr>
              <w:pStyle w:val="Normal1"/>
              <w:spacing w:after="0"/>
              <w:rPr>
                <w:sz w:val="24"/>
                <w:szCs w:val="24"/>
              </w:rPr>
            </w:pPr>
            <w:r>
              <w:rPr>
                <w:sz w:val="24"/>
                <w:szCs w:val="24"/>
              </w:rPr>
              <w:t>18</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2 </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color w:val="231F20"/>
                <w:sz w:val="24"/>
                <w:szCs w:val="24"/>
              </w:rPr>
            </w:pPr>
            <w:r>
              <w:rPr>
                <w:sz w:val="24"/>
                <w:szCs w:val="24"/>
              </w:rPr>
              <w:t>Evolution des ratios de mortalité maternelle</w:t>
            </w:r>
          </w:p>
        </w:tc>
        <w:tc>
          <w:tcPr>
            <w:tcW w:w="581" w:type="dxa"/>
            <w:shd w:val="clear" w:color="auto" w:fill="DBE5F1"/>
          </w:tcPr>
          <w:p w:rsidR="00E6453A" w:rsidRDefault="00E6453A" w:rsidP="006E5653">
            <w:pPr>
              <w:pStyle w:val="Normal1"/>
              <w:spacing w:after="0"/>
              <w:rPr>
                <w:sz w:val="24"/>
                <w:szCs w:val="24"/>
              </w:rPr>
            </w:pPr>
            <w:r>
              <w:rPr>
                <w:sz w:val="24"/>
                <w:szCs w:val="24"/>
              </w:rPr>
              <w:t>21</w:t>
            </w:r>
          </w:p>
        </w:tc>
      </w:tr>
      <w:tr w:rsidR="00E6453A" w:rsidTr="006E5653">
        <w:tc>
          <w:tcPr>
            <w:tcW w:w="1376" w:type="dxa"/>
          </w:tcPr>
          <w:p w:rsidR="00E6453A" w:rsidRDefault="00E6453A" w:rsidP="006E5653">
            <w:pPr>
              <w:pStyle w:val="Normal1"/>
              <w:spacing w:after="0"/>
            </w:pPr>
            <w:r>
              <w:rPr>
                <w:color w:val="231F20"/>
                <w:sz w:val="24"/>
                <w:szCs w:val="24"/>
              </w:rPr>
              <w:t>Figure 3 </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Taux de mortalité néo-natale (/1000)</w:t>
            </w:r>
          </w:p>
        </w:tc>
        <w:tc>
          <w:tcPr>
            <w:tcW w:w="581" w:type="dxa"/>
          </w:tcPr>
          <w:p w:rsidR="00E6453A" w:rsidRDefault="00E6453A" w:rsidP="006E5653">
            <w:pPr>
              <w:pStyle w:val="Normal1"/>
              <w:spacing w:after="0"/>
              <w:rPr>
                <w:sz w:val="24"/>
                <w:szCs w:val="24"/>
              </w:rPr>
            </w:pPr>
            <w:r>
              <w:rPr>
                <w:sz w:val="24"/>
                <w:szCs w:val="24"/>
              </w:rPr>
              <w:t>23</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4 </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color w:val="231F20"/>
                <w:sz w:val="24"/>
                <w:szCs w:val="24"/>
              </w:rPr>
            </w:pPr>
            <w:r>
              <w:rPr>
                <w:sz w:val="24"/>
                <w:szCs w:val="24"/>
              </w:rPr>
              <w:t>Taux de mortalité Néonatale par région</w:t>
            </w:r>
          </w:p>
        </w:tc>
        <w:tc>
          <w:tcPr>
            <w:tcW w:w="581" w:type="dxa"/>
            <w:shd w:val="clear" w:color="auto" w:fill="DBE5F1"/>
          </w:tcPr>
          <w:p w:rsidR="00E6453A" w:rsidRDefault="00E6453A" w:rsidP="006E5653">
            <w:pPr>
              <w:pStyle w:val="Normal1"/>
              <w:spacing w:after="0"/>
              <w:rPr>
                <w:sz w:val="24"/>
                <w:szCs w:val="24"/>
              </w:rPr>
            </w:pPr>
            <w:r>
              <w:rPr>
                <w:sz w:val="24"/>
                <w:szCs w:val="24"/>
              </w:rPr>
              <w:t>23</w:t>
            </w:r>
          </w:p>
        </w:tc>
      </w:tr>
      <w:tr w:rsidR="00E6453A" w:rsidTr="006E5653">
        <w:tc>
          <w:tcPr>
            <w:tcW w:w="1376" w:type="dxa"/>
          </w:tcPr>
          <w:p w:rsidR="00E6453A" w:rsidRDefault="00E6453A" w:rsidP="006E5653">
            <w:pPr>
              <w:pStyle w:val="Normal1"/>
              <w:spacing w:after="0"/>
            </w:pPr>
            <w:r>
              <w:rPr>
                <w:color w:val="231F20"/>
                <w:sz w:val="24"/>
                <w:szCs w:val="24"/>
              </w:rPr>
              <w:t>Figure 5 </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jc w:val="both"/>
              <w:rPr>
                <w:sz w:val="24"/>
                <w:szCs w:val="24"/>
              </w:rPr>
            </w:pPr>
            <w:r>
              <w:rPr>
                <w:sz w:val="24"/>
                <w:szCs w:val="24"/>
              </w:rPr>
              <w:t>Evolution de la mortalité infanto-juvénile</w:t>
            </w:r>
          </w:p>
        </w:tc>
        <w:tc>
          <w:tcPr>
            <w:tcW w:w="581" w:type="dxa"/>
          </w:tcPr>
          <w:p w:rsidR="00E6453A" w:rsidRDefault="00E6453A" w:rsidP="006E5653">
            <w:pPr>
              <w:pStyle w:val="Normal1"/>
              <w:spacing w:after="0"/>
              <w:rPr>
                <w:sz w:val="24"/>
                <w:szCs w:val="24"/>
              </w:rPr>
            </w:pPr>
            <w:r>
              <w:rPr>
                <w:sz w:val="24"/>
                <w:szCs w:val="24"/>
              </w:rPr>
              <w:t>24</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6 </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color w:val="231F20"/>
                <w:sz w:val="24"/>
                <w:szCs w:val="24"/>
              </w:rPr>
            </w:pPr>
            <w:r>
              <w:rPr>
                <w:sz w:val="24"/>
                <w:szCs w:val="24"/>
              </w:rPr>
              <w:t>Evolution de la malnutrition au Burkina Faso (1999-2017)</w:t>
            </w:r>
          </w:p>
        </w:tc>
        <w:tc>
          <w:tcPr>
            <w:tcW w:w="581" w:type="dxa"/>
            <w:shd w:val="clear" w:color="auto" w:fill="DBE5F1"/>
          </w:tcPr>
          <w:p w:rsidR="00E6453A" w:rsidRDefault="00E6453A" w:rsidP="006E5653">
            <w:pPr>
              <w:pStyle w:val="Normal1"/>
              <w:spacing w:after="0"/>
              <w:rPr>
                <w:sz w:val="24"/>
                <w:szCs w:val="24"/>
              </w:rPr>
            </w:pPr>
            <w:r>
              <w:rPr>
                <w:sz w:val="24"/>
                <w:szCs w:val="24"/>
              </w:rPr>
              <w:t>29</w:t>
            </w:r>
          </w:p>
        </w:tc>
      </w:tr>
      <w:tr w:rsidR="00E6453A" w:rsidTr="006E5653">
        <w:tc>
          <w:tcPr>
            <w:tcW w:w="1376" w:type="dxa"/>
          </w:tcPr>
          <w:p w:rsidR="00E6453A" w:rsidRDefault="00E6453A" w:rsidP="006E5653">
            <w:pPr>
              <w:pStyle w:val="Normal1"/>
              <w:spacing w:after="0"/>
            </w:pPr>
            <w:r>
              <w:rPr>
                <w:color w:val="231F20"/>
                <w:sz w:val="24"/>
                <w:szCs w:val="24"/>
              </w:rPr>
              <w:t>Figure 7 a</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color w:val="231F20"/>
                <w:sz w:val="24"/>
                <w:szCs w:val="24"/>
              </w:rPr>
            </w:pPr>
            <w:r>
              <w:rPr>
                <w:sz w:val="24"/>
                <w:szCs w:val="24"/>
              </w:rPr>
              <w:t xml:space="preserve"> Retard de croissance par Région</w:t>
            </w:r>
          </w:p>
        </w:tc>
        <w:tc>
          <w:tcPr>
            <w:tcW w:w="581" w:type="dxa"/>
          </w:tcPr>
          <w:p w:rsidR="00E6453A" w:rsidRDefault="00E6453A" w:rsidP="006E5653">
            <w:pPr>
              <w:pStyle w:val="Normal1"/>
              <w:spacing w:after="0"/>
              <w:rPr>
                <w:sz w:val="24"/>
                <w:szCs w:val="24"/>
              </w:rPr>
            </w:pPr>
            <w:r>
              <w:rPr>
                <w:sz w:val="24"/>
                <w:szCs w:val="24"/>
              </w:rPr>
              <w:t>30</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7 b</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color w:val="231F20"/>
                <w:sz w:val="24"/>
                <w:szCs w:val="24"/>
              </w:rPr>
            </w:pPr>
            <w:r>
              <w:rPr>
                <w:sz w:val="24"/>
                <w:szCs w:val="24"/>
              </w:rPr>
              <w:t>Malnutrition aiguë sévère par Région</w:t>
            </w:r>
          </w:p>
        </w:tc>
        <w:tc>
          <w:tcPr>
            <w:tcW w:w="581" w:type="dxa"/>
            <w:shd w:val="clear" w:color="auto" w:fill="DBE5F1"/>
          </w:tcPr>
          <w:p w:rsidR="00E6453A" w:rsidRDefault="00E6453A" w:rsidP="006E5653">
            <w:pPr>
              <w:pStyle w:val="Normal1"/>
              <w:spacing w:after="0"/>
              <w:rPr>
                <w:sz w:val="24"/>
                <w:szCs w:val="24"/>
              </w:rPr>
            </w:pPr>
            <w:r>
              <w:rPr>
                <w:sz w:val="24"/>
                <w:szCs w:val="24"/>
              </w:rPr>
              <w:t>30</w:t>
            </w:r>
          </w:p>
        </w:tc>
      </w:tr>
      <w:tr w:rsidR="00E6453A" w:rsidTr="006E5653">
        <w:tc>
          <w:tcPr>
            <w:tcW w:w="1376" w:type="dxa"/>
          </w:tcPr>
          <w:p w:rsidR="00E6453A" w:rsidRDefault="00E6453A" w:rsidP="006E5653">
            <w:pPr>
              <w:pStyle w:val="Normal1"/>
              <w:spacing w:after="0"/>
            </w:pPr>
            <w:r>
              <w:rPr>
                <w:color w:val="231F20"/>
                <w:sz w:val="24"/>
                <w:szCs w:val="24"/>
              </w:rPr>
              <w:t>Figure 8 </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Taux de couverture en CPN4 par région en 2017</w:t>
            </w:r>
          </w:p>
        </w:tc>
        <w:tc>
          <w:tcPr>
            <w:tcW w:w="581" w:type="dxa"/>
          </w:tcPr>
          <w:p w:rsidR="00E6453A" w:rsidRDefault="00E6453A" w:rsidP="006E5653">
            <w:pPr>
              <w:pStyle w:val="Normal1"/>
              <w:spacing w:after="0"/>
              <w:rPr>
                <w:sz w:val="24"/>
                <w:szCs w:val="24"/>
              </w:rPr>
            </w:pPr>
            <w:r>
              <w:rPr>
                <w:sz w:val="24"/>
                <w:szCs w:val="24"/>
              </w:rPr>
              <w:t>32</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9 </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Proportion des FS offrant les services essentiels de SONU</w:t>
            </w:r>
          </w:p>
        </w:tc>
        <w:tc>
          <w:tcPr>
            <w:tcW w:w="581" w:type="dxa"/>
            <w:shd w:val="clear" w:color="auto" w:fill="DBE5F1"/>
          </w:tcPr>
          <w:p w:rsidR="00E6453A" w:rsidRDefault="00E6453A" w:rsidP="006E5653">
            <w:pPr>
              <w:pStyle w:val="Normal1"/>
              <w:spacing w:after="0"/>
              <w:rPr>
                <w:sz w:val="24"/>
                <w:szCs w:val="24"/>
              </w:rPr>
            </w:pPr>
            <w:r>
              <w:rPr>
                <w:sz w:val="24"/>
                <w:szCs w:val="24"/>
              </w:rPr>
              <w:t>35</w:t>
            </w:r>
          </w:p>
        </w:tc>
      </w:tr>
      <w:tr w:rsidR="00E6453A" w:rsidTr="006E5653">
        <w:tc>
          <w:tcPr>
            <w:tcW w:w="1376" w:type="dxa"/>
          </w:tcPr>
          <w:p w:rsidR="00E6453A" w:rsidRDefault="00E6453A" w:rsidP="006E5653">
            <w:pPr>
              <w:pStyle w:val="Normal1"/>
              <w:spacing w:after="0"/>
            </w:pPr>
            <w:r>
              <w:rPr>
                <w:color w:val="231F20"/>
                <w:sz w:val="24"/>
                <w:szCs w:val="24"/>
              </w:rPr>
              <w:t>Figure 10</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Disponibilité des SONUC par région</w:t>
            </w:r>
          </w:p>
        </w:tc>
        <w:tc>
          <w:tcPr>
            <w:tcW w:w="581" w:type="dxa"/>
          </w:tcPr>
          <w:p w:rsidR="00E6453A" w:rsidRDefault="00E6453A" w:rsidP="006E5653">
            <w:pPr>
              <w:pStyle w:val="Normal1"/>
              <w:spacing w:after="0"/>
              <w:rPr>
                <w:sz w:val="24"/>
                <w:szCs w:val="24"/>
              </w:rPr>
            </w:pPr>
            <w:r>
              <w:rPr>
                <w:sz w:val="24"/>
                <w:szCs w:val="24"/>
              </w:rPr>
              <w:t>36</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11</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Taux d’accouchements assistés par région en 2017</w:t>
            </w:r>
          </w:p>
        </w:tc>
        <w:tc>
          <w:tcPr>
            <w:tcW w:w="581" w:type="dxa"/>
            <w:shd w:val="clear" w:color="auto" w:fill="DBE5F1"/>
          </w:tcPr>
          <w:p w:rsidR="00E6453A" w:rsidRDefault="00E6453A" w:rsidP="006E5653">
            <w:pPr>
              <w:pStyle w:val="Normal1"/>
              <w:spacing w:after="0"/>
              <w:rPr>
                <w:sz w:val="24"/>
                <w:szCs w:val="24"/>
              </w:rPr>
            </w:pPr>
            <w:r>
              <w:rPr>
                <w:sz w:val="24"/>
                <w:szCs w:val="24"/>
              </w:rPr>
              <w:t>37</w:t>
            </w:r>
          </w:p>
        </w:tc>
      </w:tr>
      <w:tr w:rsidR="00E6453A" w:rsidTr="006E5653">
        <w:tc>
          <w:tcPr>
            <w:tcW w:w="1376" w:type="dxa"/>
          </w:tcPr>
          <w:p w:rsidR="00E6453A" w:rsidRDefault="00E6453A" w:rsidP="006E5653">
            <w:pPr>
              <w:pStyle w:val="Normal1"/>
              <w:spacing w:after="0"/>
            </w:pPr>
            <w:r>
              <w:rPr>
                <w:color w:val="231F20"/>
                <w:sz w:val="24"/>
                <w:szCs w:val="24"/>
              </w:rPr>
              <w:t>Figure 12</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Couverture CPoN1 et CPoN2 niveau national et régional</w:t>
            </w:r>
          </w:p>
        </w:tc>
        <w:tc>
          <w:tcPr>
            <w:tcW w:w="581" w:type="dxa"/>
          </w:tcPr>
          <w:p w:rsidR="00E6453A" w:rsidRDefault="00E6453A" w:rsidP="006E5653">
            <w:pPr>
              <w:pStyle w:val="Normal1"/>
              <w:spacing w:after="0"/>
              <w:rPr>
                <w:sz w:val="24"/>
                <w:szCs w:val="24"/>
              </w:rPr>
            </w:pPr>
            <w:r>
              <w:rPr>
                <w:sz w:val="24"/>
                <w:szCs w:val="24"/>
              </w:rPr>
              <w:t>39</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lastRenderedPageBreak/>
              <w:t>Figure 13</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pBdr>
                <w:top w:val="nil"/>
                <w:left w:val="nil"/>
                <w:bottom w:val="nil"/>
                <w:right w:val="nil"/>
                <w:between w:val="nil"/>
              </w:pBdr>
              <w:spacing w:after="0"/>
              <w:jc w:val="both"/>
              <w:rPr>
                <w:color w:val="000000"/>
                <w:sz w:val="24"/>
                <w:szCs w:val="24"/>
              </w:rPr>
            </w:pPr>
            <w:r>
              <w:rPr>
                <w:color w:val="000000"/>
                <w:sz w:val="24"/>
                <w:szCs w:val="24"/>
              </w:rPr>
              <w:t>Taux d’utilisation de méthodes contraceptives</w:t>
            </w:r>
          </w:p>
        </w:tc>
        <w:tc>
          <w:tcPr>
            <w:tcW w:w="581" w:type="dxa"/>
            <w:shd w:val="clear" w:color="auto" w:fill="DBE5F1"/>
          </w:tcPr>
          <w:p w:rsidR="00E6453A" w:rsidRDefault="00E6453A" w:rsidP="006E5653">
            <w:pPr>
              <w:pStyle w:val="Normal1"/>
              <w:spacing w:after="0"/>
              <w:rPr>
                <w:sz w:val="24"/>
                <w:szCs w:val="24"/>
              </w:rPr>
            </w:pPr>
            <w:r>
              <w:rPr>
                <w:sz w:val="24"/>
                <w:szCs w:val="24"/>
              </w:rPr>
              <w:t>41</w:t>
            </w:r>
          </w:p>
        </w:tc>
      </w:tr>
      <w:tr w:rsidR="00E6453A" w:rsidTr="006E5653">
        <w:tc>
          <w:tcPr>
            <w:tcW w:w="1376" w:type="dxa"/>
          </w:tcPr>
          <w:p w:rsidR="00E6453A" w:rsidRDefault="00E6453A" w:rsidP="006E5653">
            <w:pPr>
              <w:pStyle w:val="Normal1"/>
              <w:spacing w:after="0"/>
            </w:pPr>
            <w:r>
              <w:rPr>
                <w:color w:val="231F20"/>
                <w:sz w:val="24"/>
                <w:szCs w:val="24"/>
              </w:rPr>
              <w:t>Figure 14</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Taux d’utilisation de méthodes contraceptives /Régions</w:t>
            </w:r>
          </w:p>
        </w:tc>
        <w:tc>
          <w:tcPr>
            <w:tcW w:w="581" w:type="dxa"/>
          </w:tcPr>
          <w:p w:rsidR="00E6453A" w:rsidRDefault="00E6453A" w:rsidP="006E5653">
            <w:pPr>
              <w:pStyle w:val="Normal1"/>
              <w:spacing w:after="0"/>
              <w:rPr>
                <w:sz w:val="24"/>
                <w:szCs w:val="24"/>
              </w:rPr>
            </w:pPr>
            <w:r>
              <w:rPr>
                <w:sz w:val="24"/>
                <w:szCs w:val="24"/>
              </w:rPr>
              <w:t>42</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15</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jc w:val="both"/>
              <w:rPr>
                <w:sz w:val="24"/>
                <w:szCs w:val="24"/>
              </w:rPr>
            </w:pPr>
            <w:r>
              <w:rPr>
                <w:sz w:val="24"/>
                <w:szCs w:val="24"/>
              </w:rPr>
              <w:t>Besoins non couverts selon les régions et selon l’intervention</w:t>
            </w:r>
          </w:p>
        </w:tc>
        <w:tc>
          <w:tcPr>
            <w:tcW w:w="581" w:type="dxa"/>
            <w:shd w:val="clear" w:color="auto" w:fill="DBE5F1"/>
          </w:tcPr>
          <w:p w:rsidR="00E6453A" w:rsidRDefault="00E6453A" w:rsidP="006E5653">
            <w:pPr>
              <w:pStyle w:val="Normal1"/>
              <w:spacing w:after="0"/>
              <w:rPr>
                <w:sz w:val="24"/>
                <w:szCs w:val="24"/>
              </w:rPr>
            </w:pPr>
            <w:r>
              <w:rPr>
                <w:sz w:val="24"/>
                <w:szCs w:val="24"/>
              </w:rPr>
              <w:t>45</w:t>
            </w:r>
          </w:p>
        </w:tc>
      </w:tr>
      <w:tr w:rsidR="00E6453A" w:rsidTr="006E5653">
        <w:tc>
          <w:tcPr>
            <w:tcW w:w="1376" w:type="dxa"/>
          </w:tcPr>
          <w:p w:rsidR="00E6453A" w:rsidRDefault="00E6453A" w:rsidP="006E5653">
            <w:pPr>
              <w:pStyle w:val="Normal1"/>
              <w:spacing w:after="0"/>
            </w:pPr>
            <w:r>
              <w:rPr>
                <w:color w:val="231F20"/>
                <w:sz w:val="24"/>
                <w:szCs w:val="24"/>
              </w:rPr>
              <w:t>Figure 16</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Proportion d’enfants de 12-23 mois entièrement vaccinés (%)</w:t>
            </w:r>
          </w:p>
        </w:tc>
        <w:tc>
          <w:tcPr>
            <w:tcW w:w="581" w:type="dxa"/>
          </w:tcPr>
          <w:p w:rsidR="00E6453A" w:rsidRDefault="00E6453A" w:rsidP="006E5653">
            <w:pPr>
              <w:pStyle w:val="Normal1"/>
              <w:spacing w:after="0"/>
              <w:rPr>
                <w:sz w:val="24"/>
                <w:szCs w:val="24"/>
              </w:rPr>
            </w:pPr>
            <w:r>
              <w:rPr>
                <w:sz w:val="24"/>
                <w:szCs w:val="24"/>
              </w:rPr>
              <w:t>47</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17</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jc w:val="both"/>
              <w:rPr>
                <w:sz w:val="24"/>
                <w:szCs w:val="24"/>
              </w:rPr>
            </w:pPr>
            <w:r>
              <w:rPr>
                <w:sz w:val="24"/>
                <w:szCs w:val="24"/>
              </w:rPr>
              <w:t>Evolution des indicateurs ANJE de 2012 à 2016</w:t>
            </w:r>
          </w:p>
        </w:tc>
        <w:tc>
          <w:tcPr>
            <w:tcW w:w="581" w:type="dxa"/>
            <w:shd w:val="clear" w:color="auto" w:fill="DBE5F1"/>
          </w:tcPr>
          <w:p w:rsidR="00E6453A" w:rsidRDefault="00E6453A" w:rsidP="006E5653">
            <w:pPr>
              <w:pStyle w:val="Normal1"/>
              <w:spacing w:after="0"/>
              <w:rPr>
                <w:sz w:val="24"/>
                <w:szCs w:val="24"/>
              </w:rPr>
            </w:pPr>
            <w:r>
              <w:rPr>
                <w:sz w:val="24"/>
                <w:szCs w:val="24"/>
              </w:rPr>
              <w:t>49</w:t>
            </w:r>
          </w:p>
        </w:tc>
      </w:tr>
      <w:tr w:rsidR="00E6453A" w:rsidTr="006E5653">
        <w:tc>
          <w:tcPr>
            <w:tcW w:w="1376" w:type="dxa"/>
          </w:tcPr>
          <w:p w:rsidR="00E6453A" w:rsidRDefault="00E6453A" w:rsidP="006E5653">
            <w:pPr>
              <w:pStyle w:val="Normal1"/>
              <w:spacing w:after="0"/>
            </w:pPr>
            <w:r>
              <w:rPr>
                <w:color w:val="231F20"/>
                <w:sz w:val="24"/>
                <w:szCs w:val="24"/>
              </w:rPr>
              <w:t>Figure 18</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Analyse de la performance des services de nutrition à l’aide de l’outil PHCPI (Gaps)</w:t>
            </w:r>
          </w:p>
        </w:tc>
        <w:tc>
          <w:tcPr>
            <w:tcW w:w="581" w:type="dxa"/>
          </w:tcPr>
          <w:p w:rsidR="00E6453A" w:rsidRDefault="00E6453A" w:rsidP="006E5653">
            <w:pPr>
              <w:pStyle w:val="Normal1"/>
              <w:spacing w:after="0"/>
              <w:rPr>
                <w:sz w:val="24"/>
                <w:szCs w:val="24"/>
              </w:rPr>
            </w:pPr>
            <w:r>
              <w:rPr>
                <w:sz w:val="24"/>
                <w:szCs w:val="24"/>
              </w:rPr>
              <w:t>50</w:t>
            </w:r>
          </w:p>
        </w:tc>
      </w:tr>
      <w:tr w:rsidR="00E6453A" w:rsidTr="006E5653">
        <w:tc>
          <w:tcPr>
            <w:tcW w:w="1376" w:type="dxa"/>
            <w:shd w:val="clear" w:color="auto" w:fill="DBE5F1"/>
          </w:tcPr>
          <w:p w:rsidR="00E6453A" w:rsidRDefault="00E6453A" w:rsidP="006E5653">
            <w:pPr>
              <w:pStyle w:val="Normal1"/>
              <w:spacing w:after="0"/>
              <w:rPr>
                <w:color w:val="231F20"/>
                <w:sz w:val="24"/>
                <w:szCs w:val="24"/>
              </w:rPr>
            </w:pPr>
            <w:r>
              <w:rPr>
                <w:color w:val="231F20"/>
                <w:sz w:val="24"/>
                <w:szCs w:val="24"/>
              </w:rPr>
              <w:t>Figure 19</w:t>
            </w:r>
          </w:p>
        </w:tc>
        <w:tc>
          <w:tcPr>
            <w:tcW w:w="281" w:type="dxa"/>
            <w:shd w:val="clear" w:color="auto" w:fill="DBE5F1"/>
          </w:tcPr>
          <w:p w:rsidR="00E6453A" w:rsidRDefault="00E6453A" w:rsidP="006E5653">
            <w:pPr>
              <w:pStyle w:val="Normal1"/>
              <w:spacing w:after="0"/>
              <w:rPr>
                <w:sz w:val="24"/>
                <w:szCs w:val="24"/>
              </w:rPr>
            </w:pPr>
          </w:p>
        </w:tc>
        <w:tc>
          <w:tcPr>
            <w:tcW w:w="6892" w:type="dxa"/>
            <w:shd w:val="clear" w:color="auto" w:fill="DBE5F1"/>
          </w:tcPr>
          <w:p w:rsidR="00E6453A" w:rsidRDefault="00E6453A" w:rsidP="006E5653">
            <w:pPr>
              <w:pStyle w:val="Normal1"/>
              <w:spacing w:after="0"/>
              <w:rPr>
                <w:sz w:val="24"/>
                <w:szCs w:val="24"/>
              </w:rPr>
            </w:pPr>
            <w:r>
              <w:rPr>
                <w:sz w:val="24"/>
                <w:szCs w:val="24"/>
              </w:rPr>
              <w:t>Distribution des gaps en RHS (Normes OMS) par région</w:t>
            </w:r>
          </w:p>
        </w:tc>
        <w:tc>
          <w:tcPr>
            <w:tcW w:w="581" w:type="dxa"/>
            <w:shd w:val="clear" w:color="auto" w:fill="DBE5F1"/>
          </w:tcPr>
          <w:p w:rsidR="00E6453A" w:rsidRDefault="00E6453A" w:rsidP="006E5653">
            <w:pPr>
              <w:pStyle w:val="Normal1"/>
              <w:spacing w:after="0"/>
              <w:rPr>
                <w:sz w:val="24"/>
                <w:szCs w:val="24"/>
              </w:rPr>
            </w:pPr>
            <w:r>
              <w:rPr>
                <w:sz w:val="24"/>
                <w:szCs w:val="24"/>
              </w:rPr>
              <w:t>53</w:t>
            </w:r>
          </w:p>
        </w:tc>
      </w:tr>
      <w:tr w:rsidR="00E6453A" w:rsidTr="006E5653">
        <w:tc>
          <w:tcPr>
            <w:tcW w:w="1376" w:type="dxa"/>
            <w:shd w:val="clear" w:color="auto" w:fill="FFFFFF"/>
          </w:tcPr>
          <w:p w:rsidR="00E6453A" w:rsidRDefault="00E6453A" w:rsidP="006E5653">
            <w:pPr>
              <w:pStyle w:val="Normal1"/>
              <w:spacing w:after="0"/>
              <w:rPr>
                <w:color w:val="231F20"/>
                <w:sz w:val="24"/>
                <w:szCs w:val="24"/>
              </w:rPr>
            </w:pPr>
            <w:r>
              <w:rPr>
                <w:color w:val="231F20"/>
                <w:sz w:val="24"/>
                <w:szCs w:val="24"/>
              </w:rPr>
              <w:t>Figure 20</w:t>
            </w:r>
          </w:p>
        </w:tc>
        <w:tc>
          <w:tcPr>
            <w:tcW w:w="281" w:type="dxa"/>
            <w:shd w:val="clear" w:color="auto" w:fill="FFFFFF"/>
          </w:tcPr>
          <w:p w:rsidR="00E6453A" w:rsidRDefault="00E6453A" w:rsidP="006E5653">
            <w:pPr>
              <w:pStyle w:val="Normal1"/>
              <w:spacing w:after="0"/>
              <w:rPr>
                <w:sz w:val="24"/>
                <w:szCs w:val="24"/>
              </w:rPr>
            </w:pPr>
          </w:p>
        </w:tc>
        <w:tc>
          <w:tcPr>
            <w:tcW w:w="6892" w:type="dxa"/>
            <w:shd w:val="clear" w:color="auto" w:fill="FFFFFF"/>
          </w:tcPr>
          <w:p w:rsidR="00E6453A" w:rsidRDefault="00E6453A" w:rsidP="006E5653">
            <w:pPr>
              <w:pStyle w:val="Normal1"/>
              <w:spacing w:after="0"/>
              <w:rPr>
                <w:sz w:val="24"/>
                <w:szCs w:val="24"/>
              </w:rPr>
            </w:pPr>
            <w:r>
              <w:t>Distribution des gaps de lits de maternité (Normes OMS) par région</w:t>
            </w:r>
          </w:p>
        </w:tc>
        <w:tc>
          <w:tcPr>
            <w:tcW w:w="581" w:type="dxa"/>
            <w:shd w:val="clear" w:color="auto" w:fill="FFFFFF"/>
          </w:tcPr>
          <w:p w:rsidR="00E6453A" w:rsidRDefault="00E6453A" w:rsidP="006E5653">
            <w:pPr>
              <w:pStyle w:val="Normal1"/>
              <w:spacing w:after="0"/>
              <w:rPr>
                <w:sz w:val="24"/>
                <w:szCs w:val="24"/>
              </w:rPr>
            </w:pPr>
            <w:r>
              <w:rPr>
                <w:sz w:val="24"/>
                <w:szCs w:val="24"/>
              </w:rPr>
              <w:t>54</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21</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Indice de capacité opérationnelle générale des services</w:t>
            </w:r>
          </w:p>
        </w:tc>
        <w:tc>
          <w:tcPr>
            <w:tcW w:w="581" w:type="dxa"/>
            <w:shd w:val="clear" w:color="auto" w:fill="DBE5F1"/>
          </w:tcPr>
          <w:p w:rsidR="00E6453A" w:rsidRDefault="00E6453A" w:rsidP="006E5653">
            <w:pPr>
              <w:pStyle w:val="Normal1"/>
              <w:spacing w:after="0"/>
              <w:rPr>
                <w:sz w:val="24"/>
                <w:szCs w:val="24"/>
              </w:rPr>
            </w:pPr>
            <w:r>
              <w:rPr>
                <w:sz w:val="24"/>
                <w:szCs w:val="24"/>
              </w:rPr>
              <w:t>55</w:t>
            </w:r>
          </w:p>
        </w:tc>
      </w:tr>
      <w:tr w:rsidR="00E6453A" w:rsidTr="006E5653">
        <w:tc>
          <w:tcPr>
            <w:tcW w:w="1376" w:type="dxa"/>
          </w:tcPr>
          <w:p w:rsidR="00E6453A" w:rsidRDefault="00E6453A" w:rsidP="006E5653">
            <w:pPr>
              <w:pStyle w:val="Normal1"/>
              <w:spacing w:after="0"/>
            </w:pPr>
            <w:r>
              <w:rPr>
                <w:color w:val="231F20"/>
                <w:sz w:val="24"/>
                <w:szCs w:val="24"/>
              </w:rPr>
              <w:t>Figure 22</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jc w:val="both"/>
              <w:rPr>
                <w:sz w:val="24"/>
                <w:szCs w:val="24"/>
              </w:rPr>
            </w:pPr>
            <w:r>
              <w:rPr>
                <w:sz w:val="24"/>
                <w:szCs w:val="24"/>
              </w:rPr>
              <w:t>Dépenses totales de santé comparées aux dépenses pour la SRMNEAN 2007-2016</w:t>
            </w:r>
          </w:p>
        </w:tc>
        <w:tc>
          <w:tcPr>
            <w:tcW w:w="581" w:type="dxa"/>
          </w:tcPr>
          <w:p w:rsidR="00E6453A" w:rsidRDefault="00E6453A" w:rsidP="006E5653">
            <w:pPr>
              <w:pStyle w:val="Normal1"/>
              <w:spacing w:after="0"/>
              <w:rPr>
                <w:sz w:val="24"/>
                <w:szCs w:val="24"/>
              </w:rPr>
            </w:pPr>
            <w:r>
              <w:rPr>
                <w:sz w:val="24"/>
                <w:szCs w:val="24"/>
              </w:rPr>
              <w:t>56</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23</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Evacuation hygiénique des selles</w:t>
            </w:r>
          </w:p>
        </w:tc>
        <w:tc>
          <w:tcPr>
            <w:tcW w:w="581" w:type="dxa"/>
            <w:shd w:val="clear" w:color="auto" w:fill="DBE5F1"/>
          </w:tcPr>
          <w:p w:rsidR="00E6453A" w:rsidRDefault="00E6453A" w:rsidP="006E5653">
            <w:pPr>
              <w:pStyle w:val="Normal1"/>
              <w:spacing w:after="0"/>
              <w:rPr>
                <w:sz w:val="24"/>
                <w:szCs w:val="24"/>
              </w:rPr>
            </w:pPr>
            <w:r>
              <w:rPr>
                <w:sz w:val="24"/>
                <w:szCs w:val="24"/>
              </w:rPr>
              <w:t>61</w:t>
            </w:r>
          </w:p>
        </w:tc>
      </w:tr>
      <w:tr w:rsidR="00E6453A" w:rsidTr="006E5653">
        <w:tc>
          <w:tcPr>
            <w:tcW w:w="1376" w:type="dxa"/>
          </w:tcPr>
          <w:p w:rsidR="00E6453A" w:rsidRDefault="00E6453A" w:rsidP="006E5653">
            <w:pPr>
              <w:pStyle w:val="Normal1"/>
              <w:spacing w:after="0"/>
            </w:pPr>
            <w:r>
              <w:rPr>
                <w:color w:val="231F20"/>
                <w:sz w:val="24"/>
                <w:szCs w:val="24"/>
              </w:rPr>
              <w:t>Figure 24</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Répartition des goulots selon les indicateurs de couverture du paquet communautaire.</w:t>
            </w:r>
          </w:p>
        </w:tc>
        <w:tc>
          <w:tcPr>
            <w:tcW w:w="581" w:type="dxa"/>
          </w:tcPr>
          <w:p w:rsidR="00E6453A" w:rsidRDefault="00E6453A" w:rsidP="006E5653">
            <w:pPr>
              <w:pStyle w:val="Normal1"/>
              <w:spacing w:after="0"/>
              <w:rPr>
                <w:sz w:val="24"/>
                <w:szCs w:val="24"/>
              </w:rPr>
            </w:pPr>
            <w:r>
              <w:rPr>
                <w:sz w:val="24"/>
                <w:szCs w:val="24"/>
              </w:rPr>
              <w:t>65</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25</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Répartition des goulots selon les indicateurs de couverture du paquet soins préventifs</w:t>
            </w:r>
          </w:p>
        </w:tc>
        <w:tc>
          <w:tcPr>
            <w:tcW w:w="581" w:type="dxa"/>
            <w:shd w:val="clear" w:color="auto" w:fill="DBE5F1"/>
          </w:tcPr>
          <w:p w:rsidR="00E6453A" w:rsidRDefault="00E6453A" w:rsidP="006E5653">
            <w:pPr>
              <w:pStyle w:val="Normal1"/>
              <w:spacing w:after="0"/>
              <w:rPr>
                <w:sz w:val="24"/>
                <w:szCs w:val="24"/>
              </w:rPr>
            </w:pPr>
            <w:r>
              <w:rPr>
                <w:sz w:val="24"/>
                <w:szCs w:val="24"/>
              </w:rPr>
              <w:t>66</w:t>
            </w:r>
          </w:p>
        </w:tc>
      </w:tr>
      <w:tr w:rsidR="00E6453A" w:rsidTr="006E5653">
        <w:tc>
          <w:tcPr>
            <w:tcW w:w="1376" w:type="dxa"/>
          </w:tcPr>
          <w:p w:rsidR="00E6453A" w:rsidRDefault="00E6453A" w:rsidP="006E5653">
            <w:pPr>
              <w:pStyle w:val="Normal1"/>
              <w:spacing w:after="0"/>
            </w:pPr>
            <w:r>
              <w:rPr>
                <w:color w:val="231F20"/>
                <w:sz w:val="24"/>
                <w:szCs w:val="24"/>
              </w:rPr>
              <w:t>Figure 26</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sz w:val="24"/>
                <w:szCs w:val="24"/>
              </w:rPr>
              <w:t>Répartition des goulots selon les indicateurs de couverture du paquet de soins curatifs</w:t>
            </w:r>
          </w:p>
        </w:tc>
        <w:tc>
          <w:tcPr>
            <w:tcW w:w="581" w:type="dxa"/>
          </w:tcPr>
          <w:p w:rsidR="00E6453A" w:rsidRDefault="00E6453A" w:rsidP="006E5653">
            <w:pPr>
              <w:pStyle w:val="Normal1"/>
              <w:spacing w:after="0"/>
              <w:rPr>
                <w:sz w:val="24"/>
                <w:szCs w:val="24"/>
              </w:rPr>
            </w:pPr>
            <w:r>
              <w:rPr>
                <w:sz w:val="24"/>
                <w:szCs w:val="24"/>
              </w:rPr>
              <w:t>67</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27</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color w:val="000000"/>
                <w:sz w:val="24"/>
                <w:szCs w:val="24"/>
              </w:rPr>
              <w:t>Nombre de décès de nouveau-nés évités par cause</w:t>
            </w:r>
          </w:p>
        </w:tc>
        <w:tc>
          <w:tcPr>
            <w:tcW w:w="581" w:type="dxa"/>
            <w:shd w:val="clear" w:color="auto" w:fill="DBE5F1"/>
          </w:tcPr>
          <w:p w:rsidR="00E6453A" w:rsidRDefault="00E6453A" w:rsidP="006E5653">
            <w:pPr>
              <w:pStyle w:val="Normal1"/>
              <w:spacing w:after="0"/>
              <w:rPr>
                <w:sz w:val="24"/>
                <w:szCs w:val="24"/>
              </w:rPr>
            </w:pPr>
            <w:r>
              <w:rPr>
                <w:sz w:val="24"/>
                <w:szCs w:val="24"/>
              </w:rPr>
              <w:t>68</w:t>
            </w:r>
          </w:p>
        </w:tc>
      </w:tr>
      <w:tr w:rsidR="00E6453A" w:rsidTr="006E5653">
        <w:tc>
          <w:tcPr>
            <w:tcW w:w="1376" w:type="dxa"/>
          </w:tcPr>
          <w:p w:rsidR="00E6453A" w:rsidRDefault="00E6453A" w:rsidP="006E5653">
            <w:pPr>
              <w:pStyle w:val="Normal1"/>
              <w:spacing w:after="0"/>
            </w:pPr>
            <w:r>
              <w:rPr>
                <w:color w:val="231F20"/>
                <w:sz w:val="24"/>
                <w:szCs w:val="24"/>
              </w:rPr>
              <w:t>Figure 28</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spacing w:after="0"/>
              <w:rPr>
                <w:sz w:val="24"/>
                <w:szCs w:val="24"/>
              </w:rPr>
            </w:pPr>
            <w:r>
              <w:rPr>
                <w:color w:val="000000"/>
                <w:sz w:val="24"/>
                <w:szCs w:val="24"/>
              </w:rPr>
              <w:t>Nombre de décès des enfants de moins de cinq ans évités par cause</w:t>
            </w:r>
          </w:p>
        </w:tc>
        <w:tc>
          <w:tcPr>
            <w:tcW w:w="581" w:type="dxa"/>
          </w:tcPr>
          <w:p w:rsidR="00E6453A" w:rsidRDefault="00E6453A" w:rsidP="006E5653">
            <w:pPr>
              <w:pStyle w:val="Normal1"/>
              <w:spacing w:after="0"/>
              <w:rPr>
                <w:sz w:val="24"/>
                <w:szCs w:val="24"/>
              </w:rPr>
            </w:pPr>
            <w:r>
              <w:rPr>
                <w:sz w:val="24"/>
                <w:szCs w:val="24"/>
              </w:rPr>
              <w:t>69</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29</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color w:val="000000"/>
                <w:sz w:val="24"/>
                <w:szCs w:val="24"/>
              </w:rPr>
              <w:t>Nombre de décès des enfants de moins de cinq ans évités par paquet d’intervention</w:t>
            </w:r>
          </w:p>
        </w:tc>
        <w:tc>
          <w:tcPr>
            <w:tcW w:w="581" w:type="dxa"/>
            <w:shd w:val="clear" w:color="auto" w:fill="DBE5F1"/>
          </w:tcPr>
          <w:p w:rsidR="00E6453A" w:rsidRDefault="00E6453A" w:rsidP="006E5653">
            <w:pPr>
              <w:pStyle w:val="Normal1"/>
              <w:spacing w:after="0"/>
              <w:rPr>
                <w:sz w:val="24"/>
                <w:szCs w:val="24"/>
              </w:rPr>
            </w:pPr>
            <w:r>
              <w:rPr>
                <w:sz w:val="24"/>
                <w:szCs w:val="24"/>
              </w:rPr>
              <w:t>70</w:t>
            </w:r>
          </w:p>
        </w:tc>
      </w:tr>
      <w:tr w:rsidR="00E6453A" w:rsidTr="006E5653">
        <w:tc>
          <w:tcPr>
            <w:tcW w:w="1376" w:type="dxa"/>
          </w:tcPr>
          <w:p w:rsidR="00E6453A" w:rsidRDefault="00E6453A" w:rsidP="006E5653">
            <w:pPr>
              <w:pStyle w:val="Normal1"/>
              <w:spacing w:after="0"/>
            </w:pPr>
            <w:r>
              <w:rPr>
                <w:color w:val="231F20"/>
                <w:sz w:val="24"/>
                <w:szCs w:val="24"/>
              </w:rPr>
              <w:t>Figure 30</w:t>
            </w:r>
          </w:p>
        </w:tc>
        <w:tc>
          <w:tcPr>
            <w:tcW w:w="281" w:type="dxa"/>
          </w:tcPr>
          <w:p w:rsidR="00E6453A" w:rsidRDefault="00E6453A" w:rsidP="006E5653">
            <w:pPr>
              <w:pStyle w:val="Normal1"/>
              <w:spacing w:after="0"/>
            </w:pPr>
            <w:r>
              <w:rPr>
                <w:sz w:val="24"/>
                <w:szCs w:val="24"/>
              </w:rPr>
              <w:t>:</w:t>
            </w:r>
          </w:p>
        </w:tc>
        <w:tc>
          <w:tcPr>
            <w:tcW w:w="6892" w:type="dxa"/>
          </w:tcPr>
          <w:p w:rsidR="00E6453A" w:rsidRDefault="00E6453A" w:rsidP="006E5653">
            <w:pPr>
              <w:pStyle w:val="Normal1"/>
              <w:tabs>
                <w:tab w:val="left" w:pos="3812"/>
              </w:tabs>
              <w:spacing w:after="0"/>
              <w:rPr>
                <w:color w:val="000000"/>
                <w:sz w:val="24"/>
                <w:szCs w:val="24"/>
              </w:rPr>
            </w:pPr>
            <w:r>
              <w:rPr>
                <w:color w:val="000000"/>
                <w:sz w:val="24"/>
                <w:szCs w:val="24"/>
              </w:rPr>
              <w:t>Coût total par stratégie (USD)</w:t>
            </w:r>
          </w:p>
        </w:tc>
        <w:tc>
          <w:tcPr>
            <w:tcW w:w="581" w:type="dxa"/>
          </w:tcPr>
          <w:p w:rsidR="00E6453A" w:rsidRDefault="00E6453A" w:rsidP="006E5653">
            <w:pPr>
              <w:pStyle w:val="Normal1"/>
              <w:spacing w:after="0"/>
              <w:rPr>
                <w:sz w:val="24"/>
                <w:szCs w:val="24"/>
              </w:rPr>
            </w:pPr>
            <w:r>
              <w:rPr>
                <w:sz w:val="24"/>
                <w:szCs w:val="24"/>
              </w:rPr>
              <w:t>70</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31</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rPr>
                <w:sz w:val="24"/>
                <w:szCs w:val="24"/>
              </w:rPr>
            </w:pPr>
            <w:r>
              <w:rPr>
                <w:sz w:val="24"/>
                <w:szCs w:val="24"/>
              </w:rPr>
              <w:t>Nombre de vies sauvées et coût/personne</w:t>
            </w:r>
          </w:p>
        </w:tc>
        <w:tc>
          <w:tcPr>
            <w:tcW w:w="581" w:type="dxa"/>
            <w:shd w:val="clear" w:color="auto" w:fill="DBE5F1"/>
          </w:tcPr>
          <w:p w:rsidR="00E6453A" w:rsidRDefault="00E6453A" w:rsidP="006E5653">
            <w:pPr>
              <w:pStyle w:val="Normal1"/>
              <w:spacing w:after="0"/>
              <w:rPr>
                <w:sz w:val="24"/>
                <w:szCs w:val="24"/>
              </w:rPr>
            </w:pPr>
            <w:r>
              <w:rPr>
                <w:sz w:val="24"/>
                <w:szCs w:val="24"/>
              </w:rPr>
              <w:t>71</w:t>
            </w:r>
          </w:p>
        </w:tc>
      </w:tr>
      <w:tr w:rsidR="00E6453A" w:rsidTr="006E5653">
        <w:tc>
          <w:tcPr>
            <w:tcW w:w="1376" w:type="dxa"/>
          </w:tcPr>
          <w:p w:rsidR="00E6453A" w:rsidRDefault="00E6453A" w:rsidP="006E5653">
            <w:pPr>
              <w:pStyle w:val="Normal1"/>
              <w:spacing w:after="0"/>
              <w:rPr>
                <w:color w:val="231F20"/>
                <w:sz w:val="24"/>
                <w:szCs w:val="24"/>
              </w:rPr>
            </w:pPr>
            <w:r>
              <w:rPr>
                <w:color w:val="231F20"/>
                <w:sz w:val="24"/>
                <w:szCs w:val="24"/>
              </w:rPr>
              <w:t>Figure 32</w:t>
            </w:r>
          </w:p>
        </w:tc>
        <w:tc>
          <w:tcPr>
            <w:tcW w:w="281" w:type="dxa"/>
          </w:tcPr>
          <w:p w:rsidR="00E6453A" w:rsidRDefault="00E6453A" w:rsidP="006E5653">
            <w:pPr>
              <w:pStyle w:val="Normal1"/>
              <w:spacing w:after="0"/>
              <w:rPr>
                <w:sz w:val="24"/>
                <w:szCs w:val="24"/>
              </w:rPr>
            </w:pPr>
            <w:r>
              <w:rPr>
                <w:sz w:val="24"/>
                <w:szCs w:val="24"/>
              </w:rPr>
              <w:t>:</w:t>
            </w:r>
          </w:p>
        </w:tc>
        <w:tc>
          <w:tcPr>
            <w:tcW w:w="6892" w:type="dxa"/>
          </w:tcPr>
          <w:p w:rsidR="00E6453A" w:rsidRDefault="00E6453A" w:rsidP="006E5653">
            <w:pPr>
              <w:pStyle w:val="Normal1"/>
              <w:tabs>
                <w:tab w:val="left" w:pos="900"/>
              </w:tabs>
              <w:spacing w:after="0"/>
              <w:jc w:val="both"/>
              <w:rPr>
                <w:sz w:val="24"/>
                <w:szCs w:val="24"/>
              </w:rPr>
            </w:pPr>
            <w:r>
              <w:rPr>
                <w:sz w:val="24"/>
                <w:szCs w:val="24"/>
              </w:rPr>
              <w:t>Répartition des régions par niveau de priorité</w:t>
            </w:r>
          </w:p>
        </w:tc>
        <w:tc>
          <w:tcPr>
            <w:tcW w:w="581" w:type="dxa"/>
          </w:tcPr>
          <w:p w:rsidR="00E6453A" w:rsidRDefault="00E6453A" w:rsidP="006E5653">
            <w:pPr>
              <w:pStyle w:val="Normal1"/>
              <w:spacing w:after="0"/>
              <w:rPr>
                <w:sz w:val="24"/>
                <w:szCs w:val="24"/>
              </w:rPr>
            </w:pPr>
            <w:r>
              <w:rPr>
                <w:sz w:val="24"/>
                <w:szCs w:val="24"/>
              </w:rPr>
              <w:t>73</w:t>
            </w:r>
          </w:p>
        </w:tc>
      </w:tr>
      <w:tr w:rsidR="00E6453A" w:rsidTr="006E5653">
        <w:tc>
          <w:tcPr>
            <w:tcW w:w="1376" w:type="dxa"/>
            <w:shd w:val="clear" w:color="auto" w:fill="DAEEF3" w:themeFill="accent5" w:themeFillTint="33"/>
          </w:tcPr>
          <w:p w:rsidR="00E6453A" w:rsidRDefault="00E6453A" w:rsidP="006E5653">
            <w:pPr>
              <w:pStyle w:val="Normal1"/>
              <w:spacing w:after="0"/>
              <w:rPr>
                <w:color w:val="231F20"/>
                <w:sz w:val="24"/>
                <w:szCs w:val="24"/>
              </w:rPr>
            </w:pPr>
            <w:r>
              <w:rPr>
                <w:color w:val="231F20"/>
                <w:sz w:val="24"/>
                <w:szCs w:val="24"/>
              </w:rPr>
              <w:t>Figure 33</w:t>
            </w:r>
          </w:p>
        </w:tc>
        <w:tc>
          <w:tcPr>
            <w:tcW w:w="281" w:type="dxa"/>
            <w:shd w:val="clear" w:color="auto" w:fill="DAEEF3" w:themeFill="accent5" w:themeFillTint="33"/>
          </w:tcPr>
          <w:p w:rsidR="00E6453A" w:rsidRDefault="00E6453A" w:rsidP="006E5653">
            <w:pPr>
              <w:pStyle w:val="Normal1"/>
              <w:spacing w:after="0"/>
              <w:rPr>
                <w:sz w:val="24"/>
                <w:szCs w:val="24"/>
              </w:rPr>
            </w:pPr>
            <w:r>
              <w:rPr>
                <w:sz w:val="24"/>
                <w:szCs w:val="24"/>
              </w:rPr>
              <w:t>:</w:t>
            </w:r>
          </w:p>
        </w:tc>
        <w:tc>
          <w:tcPr>
            <w:tcW w:w="6892" w:type="dxa"/>
            <w:shd w:val="clear" w:color="auto" w:fill="DAEEF3" w:themeFill="accent5" w:themeFillTint="33"/>
          </w:tcPr>
          <w:p w:rsidR="00E6453A" w:rsidRDefault="00E6453A" w:rsidP="006E5653">
            <w:pPr>
              <w:pStyle w:val="Normal1"/>
              <w:tabs>
                <w:tab w:val="left" w:pos="900"/>
              </w:tabs>
              <w:spacing w:after="0"/>
              <w:jc w:val="both"/>
              <w:rPr>
                <w:sz w:val="24"/>
                <w:szCs w:val="24"/>
              </w:rPr>
            </w:pPr>
            <w:r>
              <w:rPr>
                <w:sz w:val="24"/>
                <w:szCs w:val="24"/>
              </w:rPr>
              <w:t>Théorie du changement (Schéma)</w:t>
            </w:r>
          </w:p>
        </w:tc>
        <w:tc>
          <w:tcPr>
            <w:tcW w:w="581" w:type="dxa"/>
            <w:shd w:val="clear" w:color="auto" w:fill="DAEEF3" w:themeFill="accent5" w:themeFillTint="33"/>
          </w:tcPr>
          <w:p w:rsidR="00E6453A" w:rsidRDefault="00E6453A" w:rsidP="006E5653">
            <w:pPr>
              <w:pStyle w:val="Normal1"/>
              <w:spacing w:after="0"/>
              <w:rPr>
                <w:sz w:val="24"/>
                <w:szCs w:val="24"/>
              </w:rPr>
            </w:pPr>
            <w:r>
              <w:rPr>
                <w:sz w:val="24"/>
                <w:szCs w:val="24"/>
              </w:rPr>
              <w:t>80</w:t>
            </w:r>
          </w:p>
        </w:tc>
      </w:tr>
      <w:tr w:rsidR="00E6453A" w:rsidTr="006E5653">
        <w:tc>
          <w:tcPr>
            <w:tcW w:w="1376" w:type="dxa"/>
          </w:tcPr>
          <w:p w:rsidR="00E6453A" w:rsidRDefault="00E6453A" w:rsidP="006E5653">
            <w:pPr>
              <w:pStyle w:val="Normal1"/>
              <w:spacing w:after="0"/>
              <w:rPr>
                <w:color w:val="231F20"/>
                <w:sz w:val="24"/>
                <w:szCs w:val="24"/>
              </w:rPr>
            </w:pPr>
            <w:r>
              <w:rPr>
                <w:color w:val="231F20"/>
                <w:sz w:val="24"/>
                <w:szCs w:val="24"/>
              </w:rPr>
              <w:t>Figure 34</w:t>
            </w:r>
          </w:p>
        </w:tc>
        <w:tc>
          <w:tcPr>
            <w:tcW w:w="281" w:type="dxa"/>
          </w:tcPr>
          <w:p w:rsidR="00E6453A" w:rsidRDefault="00E6453A" w:rsidP="006E5653">
            <w:pPr>
              <w:pStyle w:val="Normal1"/>
              <w:spacing w:after="0"/>
              <w:rPr>
                <w:sz w:val="24"/>
                <w:szCs w:val="24"/>
              </w:rPr>
            </w:pPr>
            <w:r>
              <w:rPr>
                <w:sz w:val="24"/>
                <w:szCs w:val="24"/>
              </w:rPr>
              <w:t xml:space="preserve">: </w:t>
            </w:r>
          </w:p>
        </w:tc>
        <w:tc>
          <w:tcPr>
            <w:tcW w:w="6892" w:type="dxa"/>
          </w:tcPr>
          <w:p w:rsidR="00E6453A" w:rsidRDefault="00E6453A" w:rsidP="006E5653">
            <w:pPr>
              <w:tabs>
                <w:tab w:val="left" w:pos="900"/>
              </w:tabs>
              <w:spacing w:after="0" w:line="240" w:lineRule="auto"/>
              <w:jc w:val="both"/>
              <w:rPr>
                <w:sz w:val="24"/>
                <w:szCs w:val="24"/>
              </w:rPr>
            </w:pPr>
            <w:r w:rsidRPr="00DE6B15">
              <w:rPr>
                <w:sz w:val="24"/>
                <w:szCs w:val="24"/>
              </w:rPr>
              <w:t>Répartition du budget estimatif du DI par programme (Scénario moyen)</w:t>
            </w:r>
          </w:p>
        </w:tc>
        <w:tc>
          <w:tcPr>
            <w:tcW w:w="581" w:type="dxa"/>
          </w:tcPr>
          <w:p w:rsidR="00E6453A" w:rsidRDefault="00E6453A" w:rsidP="006E5653">
            <w:pPr>
              <w:pStyle w:val="Normal1"/>
              <w:spacing w:after="0"/>
              <w:rPr>
                <w:sz w:val="24"/>
                <w:szCs w:val="24"/>
              </w:rPr>
            </w:pPr>
            <w:r>
              <w:rPr>
                <w:sz w:val="24"/>
                <w:szCs w:val="24"/>
              </w:rPr>
              <w:t>106</w:t>
            </w:r>
          </w:p>
        </w:tc>
      </w:tr>
      <w:tr w:rsidR="00E6453A" w:rsidTr="006E5653">
        <w:tc>
          <w:tcPr>
            <w:tcW w:w="1376" w:type="dxa"/>
            <w:shd w:val="clear" w:color="auto" w:fill="DBE5F1"/>
          </w:tcPr>
          <w:p w:rsidR="00E6453A" w:rsidRDefault="00E6453A" w:rsidP="006E5653">
            <w:pPr>
              <w:pStyle w:val="Normal1"/>
              <w:spacing w:after="0"/>
            </w:pPr>
            <w:r>
              <w:rPr>
                <w:color w:val="231F20"/>
                <w:sz w:val="24"/>
                <w:szCs w:val="24"/>
              </w:rPr>
              <w:t>Figure 35</w:t>
            </w:r>
          </w:p>
        </w:tc>
        <w:tc>
          <w:tcPr>
            <w:tcW w:w="281" w:type="dxa"/>
            <w:shd w:val="clear" w:color="auto" w:fill="DBE5F1"/>
          </w:tcPr>
          <w:p w:rsidR="00E6453A" w:rsidRDefault="00E6453A" w:rsidP="006E5653">
            <w:pPr>
              <w:pStyle w:val="Normal1"/>
              <w:spacing w:after="0"/>
            </w:pPr>
            <w:r>
              <w:rPr>
                <w:sz w:val="24"/>
                <w:szCs w:val="24"/>
              </w:rPr>
              <w:t>:</w:t>
            </w:r>
          </w:p>
        </w:tc>
        <w:tc>
          <w:tcPr>
            <w:tcW w:w="6892" w:type="dxa"/>
            <w:shd w:val="clear" w:color="auto" w:fill="DBE5F1"/>
          </w:tcPr>
          <w:p w:rsidR="00E6453A" w:rsidRDefault="00E6453A" w:rsidP="006E5653">
            <w:pPr>
              <w:pStyle w:val="Normal1"/>
              <w:spacing w:after="0"/>
              <w:jc w:val="both"/>
              <w:rPr>
                <w:sz w:val="24"/>
                <w:szCs w:val="24"/>
              </w:rPr>
            </w:pPr>
            <w:r>
              <w:rPr>
                <w:rFonts w:ascii="Cambria" w:eastAsia="Cambria" w:hAnsi="Cambria" w:cs="Cambria"/>
              </w:rPr>
              <w:t>Répartition du budget estimatif par niveau de la pyramide sanitaire</w:t>
            </w:r>
          </w:p>
        </w:tc>
        <w:tc>
          <w:tcPr>
            <w:tcW w:w="581" w:type="dxa"/>
            <w:shd w:val="clear" w:color="auto" w:fill="DBE5F1"/>
          </w:tcPr>
          <w:p w:rsidR="00E6453A" w:rsidRDefault="00E6453A" w:rsidP="006E5653">
            <w:pPr>
              <w:pStyle w:val="Normal1"/>
              <w:spacing w:after="0"/>
              <w:rPr>
                <w:sz w:val="24"/>
                <w:szCs w:val="24"/>
              </w:rPr>
            </w:pPr>
            <w:r>
              <w:rPr>
                <w:sz w:val="24"/>
                <w:szCs w:val="24"/>
              </w:rPr>
              <w:t>106</w:t>
            </w:r>
          </w:p>
        </w:tc>
      </w:tr>
      <w:tr w:rsidR="00E6453A" w:rsidTr="006E5653">
        <w:tc>
          <w:tcPr>
            <w:tcW w:w="1376" w:type="dxa"/>
          </w:tcPr>
          <w:p w:rsidR="00E6453A" w:rsidRDefault="00E6453A" w:rsidP="006E5653">
            <w:pPr>
              <w:pStyle w:val="Normal1"/>
              <w:spacing w:after="0"/>
              <w:rPr>
                <w:color w:val="231F20"/>
                <w:sz w:val="24"/>
                <w:szCs w:val="24"/>
              </w:rPr>
            </w:pPr>
            <w:r>
              <w:rPr>
                <w:color w:val="231F20"/>
                <w:sz w:val="24"/>
                <w:szCs w:val="24"/>
              </w:rPr>
              <w:t>Figure 36</w:t>
            </w:r>
          </w:p>
        </w:tc>
        <w:tc>
          <w:tcPr>
            <w:tcW w:w="281" w:type="dxa"/>
          </w:tcPr>
          <w:p w:rsidR="00E6453A" w:rsidRDefault="00E6453A" w:rsidP="006E5653">
            <w:pPr>
              <w:pStyle w:val="Normal1"/>
              <w:spacing w:after="0"/>
              <w:rPr>
                <w:sz w:val="24"/>
                <w:szCs w:val="24"/>
              </w:rPr>
            </w:pPr>
            <w:r>
              <w:rPr>
                <w:sz w:val="24"/>
                <w:szCs w:val="24"/>
              </w:rPr>
              <w:t>:</w:t>
            </w:r>
          </w:p>
        </w:tc>
        <w:tc>
          <w:tcPr>
            <w:tcW w:w="6892" w:type="dxa"/>
          </w:tcPr>
          <w:p w:rsidR="00E6453A" w:rsidRPr="00DE6B15" w:rsidRDefault="00E6453A" w:rsidP="006E5653">
            <w:pPr>
              <w:pStyle w:val="Normal1"/>
              <w:tabs>
                <w:tab w:val="left" w:pos="900"/>
              </w:tabs>
              <w:spacing w:after="0"/>
              <w:jc w:val="both"/>
              <w:rPr>
                <w:sz w:val="24"/>
                <w:szCs w:val="24"/>
              </w:rPr>
            </w:pPr>
            <w:r w:rsidRPr="00DE6B15">
              <w:rPr>
                <w:rFonts w:cs="Arial"/>
                <w:color w:val="000000"/>
                <w:sz w:val="24"/>
                <w:szCs w:val="24"/>
              </w:rPr>
              <w:t>Evolution de la mortalité néonatale par scénario</w:t>
            </w:r>
          </w:p>
        </w:tc>
        <w:tc>
          <w:tcPr>
            <w:tcW w:w="581" w:type="dxa"/>
          </w:tcPr>
          <w:p w:rsidR="00E6453A" w:rsidRDefault="00E6453A" w:rsidP="006E5653">
            <w:pPr>
              <w:pStyle w:val="Normal1"/>
              <w:spacing w:after="0"/>
              <w:rPr>
                <w:sz w:val="24"/>
                <w:szCs w:val="24"/>
              </w:rPr>
            </w:pPr>
            <w:r>
              <w:rPr>
                <w:sz w:val="24"/>
                <w:szCs w:val="24"/>
              </w:rPr>
              <w:t>107</w:t>
            </w:r>
          </w:p>
        </w:tc>
      </w:tr>
      <w:tr w:rsidR="00E6453A" w:rsidTr="006E5653">
        <w:tc>
          <w:tcPr>
            <w:tcW w:w="1376" w:type="dxa"/>
            <w:shd w:val="clear" w:color="auto" w:fill="DAEEF3" w:themeFill="accent5" w:themeFillTint="33"/>
          </w:tcPr>
          <w:p w:rsidR="00E6453A" w:rsidRDefault="00E6453A" w:rsidP="006E5653">
            <w:pPr>
              <w:pStyle w:val="Normal1"/>
              <w:spacing w:after="0"/>
              <w:rPr>
                <w:color w:val="231F20"/>
                <w:sz w:val="24"/>
                <w:szCs w:val="24"/>
              </w:rPr>
            </w:pPr>
            <w:r>
              <w:rPr>
                <w:color w:val="231F20"/>
                <w:sz w:val="24"/>
                <w:szCs w:val="24"/>
              </w:rPr>
              <w:t>Figure 37</w:t>
            </w:r>
          </w:p>
        </w:tc>
        <w:tc>
          <w:tcPr>
            <w:tcW w:w="281" w:type="dxa"/>
            <w:shd w:val="clear" w:color="auto" w:fill="DAEEF3" w:themeFill="accent5" w:themeFillTint="33"/>
          </w:tcPr>
          <w:p w:rsidR="00E6453A" w:rsidRDefault="00E6453A" w:rsidP="006E5653">
            <w:pPr>
              <w:pStyle w:val="Normal1"/>
              <w:spacing w:after="0"/>
              <w:rPr>
                <w:sz w:val="24"/>
                <w:szCs w:val="24"/>
              </w:rPr>
            </w:pPr>
            <w:r>
              <w:rPr>
                <w:sz w:val="24"/>
                <w:szCs w:val="24"/>
              </w:rPr>
              <w:t>:</w:t>
            </w:r>
          </w:p>
        </w:tc>
        <w:tc>
          <w:tcPr>
            <w:tcW w:w="6892" w:type="dxa"/>
            <w:shd w:val="clear" w:color="auto" w:fill="DAEEF3" w:themeFill="accent5" w:themeFillTint="33"/>
          </w:tcPr>
          <w:p w:rsidR="00E6453A" w:rsidRPr="00DE6B15" w:rsidRDefault="00E6453A" w:rsidP="006E5653">
            <w:pPr>
              <w:pStyle w:val="Normal1"/>
              <w:tabs>
                <w:tab w:val="left" w:pos="900"/>
              </w:tabs>
              <w:spacing w:after="0"/>
              <w:jc w:val="both"/>
              <w:rPr>
                <w:rFonts w:cs="Arial"/>
                <w:color w:val="000000"/>
                <w:sz w:val="24"/>
                <w:szCs w:val="24"/>
              </w:rPr>
            </w:pPr>
            <w:r w:rsidRPr="00DE6B15">
              <w:rPr>
                <w:rFonts w:cs="Arial"/>
                <w:color w:val="000000"/>
                <w:sz w:val="24"/>
                <w:szCs w:val="24"/>
              </w:rPr>
              <w:t>Evolution de la mortalité infanto - juvénile par scénario</w:t>
            </w:r>
          </w:p>
        </w:tc>
        <w:tc>
          <w:tcPr>
            <w:tcW w:w="581" w:type="dxa"/>
            <w:shd w:val="clear" w:color="auto" w:fill="DAEEF3" w:themeFill="accent5" w:themeFillTint="33"/>
          </w:tcPr>
          <w:p w:rsidR="00E6453A" w:rsidRDefault="00E6453A" w:rsidP="006E5653">
            <w:pPr>
              <w:pStyle w:val="Normal1"/>
              <w:spacing w:after="0"/>
              <w:rPr>
                <w:sz w:val="24"/>
                <w:szCs w:val="24"/>
              </w:rPr>
            </w:pPr>
            <w:r>
              <w:rPr>
                <w:sz w:val="24"/>
                <w:szCs w:val="24"/>
              </w:rPr>
              <w:t>107</w:t>
            </w:r>
          </w:p>
        </w:tc>
      </w:tr>
      <w:tr w:rsidR="00E6453A" w:rsidTr="006E5653">
        <w:tc>
          <w:tcPr>
            <w:tcW w:w="1376" w:type="dxa"/>
          </w:tcPr>
          <w:p w:rsidR="00E6453A" w:rsidRDefault="00E6453A" w:rsidP="006E5653">
            <w:pPr>
              <w:pStyle w:val="Normal1"/>
              <w:spacing w:after="0"/>
              <w:rPr>
                <w:color w:val="231F20"/>
                <w:sz w:val="24"/>
                <w:szCs w:val="24"/>
              </w:rPr>
            </w:pPr>
            <w:r>
              <w:rPr>
                <w:color w:val="231F20"/>
                <w:sz w:val="24"/>
                <w:szCs w:val="24"/>
              </w:rPr>
              <w:t>Figure 38</w:t>
            </w:r>
          </w:p>
        </w:tc>
        <w:tc>
          <w:tcPr>
            <w:tcW w:w="281" w:type="dxa"/>
          </w:tcPr>
          <w:p w:rsidR="00E6453A" w:rsidRDefault="00E6453A" w:rsidP="006E5653">
            <w:pPr>
              <w:pStyle w:val="Normal1"/>
              <w:spacing w:after="0"/>
              <w:rPr>
                <w:sz w:val="24"/>
                <w:szCs w:val="24"/>
              </w:rPr>
            </w:pPr>
            <w:r>
              <w:rPr>
                <w:sz w:val="24"/>
                <w:szCs w:val="24"/>
              </w:rPr>
              <w:t>:</w:t>
            </w:r>
          </w:p>
        </w:tc>
        <w:tc>
          <w:tcPr>
            <w:tcW w:w="6892" w:type="dxa"/>
          </w:tcPr>
          <w:p w:rsidR="00E6453A" w:rsidRPr="00DE6B15" w:rsidRDefault="00E6453A" w:rsidP="006E5653">
            <w:pPr>
              <w:pStyle w:val="Normal1"/>
              <w:tabs>
                <w:tab w:val="left" w:pos="900"/>
              </w:tabs>
              <w:spacing w:after="0"/>
              <w:jc w:val="both"/>
              <w:rPr>
                <w:rFonts w:cs="Arial"/>
                <w:color w:val="000000"/>
                <w:sz w:val="24"/>
                <w:szCs w:val="24"/>
              </w:rPr>
            </w:pPr>
            <w:r w:rsidRPr="00DE6B15">
              <w:rPr>
                <w:rFonts w:cs="Arial"/>
                <w:color w:val="000000"/>
                <w:sz w:val="24"/>
                <w:szCs w:val="24"/>
              </w:rPr>
              <w:t>Evolution de la mortalité maternelle par scénario</w:t>
            </w:r>
          </w:p>
        </w:tc>
        <w:tc>
          <w:tcPr>
            <w:tcW w:w="581" w:type="dxa"/>
          </w:tcPr>
          <w:p w:rsidR="00E6453A" w:rsidRDefault="00E6453A" w:rsidP="006E5653">
            <w:pPr>
              <w:pStyle w:val="Normal1"/>
              <w:spacing w:after="0"/>
              <w:rPr>
                <w:sz w:val="24"/>
                <w:szCs w:val="24"/>
              </w:rPr>
            </w:pPr>
            <w:r>
              <w:rPr>
                <w:sz w:val="24"/>
                <w:szCs w:val="24"/>
              </w:rPr>
              <w:t>108</w:t>
            </w:r>
          </w:p>
        </w:tc>
      </w:tr>
      <w:tr w:rsidR="00E6453A" w:rsidTr="006E5653">
        <w:tc>
          <w:tcPr>
            <w:tcW w:w="1376" w:type="dxa"/>
            <w:shd w:val="clear" w:color="auto" w:fill="DAEEF3" w:themeFill="accent5" w:themeFillTint="33"/>
          </w:tcPr>
          <w:p w:rsidR="00E6453A" w:rsidRDefault="00E6453A" w:rsidP="006E5653">
            <w:pPr>
              <w:pStyle w:val="Normal1"/>
              <w:spacing w:after="0"/>
            </w:pPr>
            <w:r>
              <w:rPr>
                <w:color w:val="231F20"/>
                <w:sz w:val="24"/>
                <w:szCs w:val="24"/>
              </w:rPr>
              <w:t>Figure 39</w:t>
            </w:r>
          </w:p>
        </w:tc>
        <w:tc>
          <w:tcPr>
            <w:tcW w:w="281" w:type="dxa"/>
            <w:shd w:val="clear" w:color="auto" w:fill="DAEEF3" w:themeFill="accent5" w:themeFillTint="33"/>
          </w:tcPr>
          <w:p w:rsidR="00E6453A" w:rsidRDefault="00E6453A" w:rsidP="006E5653">
            <w:pPr>
              <w:pStyle w:val="Normal1"/>
              <w:spacing w:after="0"/>
            </w:pPr>
            <w:r>
              <w:rPr>
                <w:sz w:val="24"/>
                <w:szCs w:val="24"/>
              </w:rPr>
              <w:t>:</w:t>
            </w:r>
          </w:p>
        </w:tc>
        <w:tc>
          <w:tcPr>
            <w:tcW w:w="6892" w:type="dxa"/>
            <w:shd w:val="clear" w:color="auto" w:fill="DAEEF3" w:themeFill="accent5" w:themeFillTint="33"/>
          </w:tcPr>
          <w:p w:rsidR="00E6453A" w:rsidRPr="00B35CA1" w:rsidRDefault="00E6453A" w:rsidP="006E5653">
            <w:pPr>
              <w:tabs>
                <w:tab w:val="left" w:pos="900"/>
              </w:tabs>
              <w:spacing w:after="0"/>
              <w:jc w:val="both"/>
              <w:rPr>
                <w:sz w:val="24"/>
                <w:szCs w:val="24"/>
              </w:rPr>
            </w:pPr>
            <w:r w:rsidRPr="00B35CA1">
              <w:rPr>
                <w:sz w:val="24"/>
                <w:szCs w:val="24"/>
              </w:rPr>
              <w:t>Les sources de financement et leur part respective en pourcentage</w:t>
            </w:r>
          </w:p>
        </w:tc>
        <w:tc>
          <w:tcPr>
            <w:tcW w:w="581" w:type="dxa"/>
            <w:shd w:val="clear" w:color="auto" w:fill="DAEEF3" w:themeFill="accent5" w:themeFillTint="33"/>
          </w:tcPr>
          <w:p w:rsidR="00E6453A" w:rsidRDefault="00E6453A" w:rsidP="006E5653">
            <w:pPr>
              <w:pStyle w:val="Normal1"/>
              <w:spacing w:after="0"/>
              <w:rPr>
                <w:sz w:val="24"/>
                <w:szCs w:val="24"/>
              </w:rPr>
            </w:pPr>
            <w:r>
              <w:rPr>
                <w:sz w:val="24"/>
                <w:szCs w:val="24"/>
              </w:rPr>
              <w:t>110</w:t>
            </w:r>
          </w:p>
        </w:tc>
      </w:tr>
      <w:tr w:rsidR="00E6453A" w:rsidTr="006E5653">
        <w:tc>
          <w:tcPr>
            <w:tcW w:w="1376" w:type="dxa"/>
          </w:tcPr>
          <w:p w:rsidR="00E6453A" w:rsidRDefault="00E6453A" w:rsidP="006E5653">
            <w:pPr>
              <w:pStyle w:val="Normal1"/>
              <w:spacing w:after="0"/>
              <w:rPr>
                <w:color w:val="231F20"/>
                <w:sz w:val="24"/>
                <w:szCs w:val="24"/>
              </w:rPr>
            </w:pPr>
          </w:p>
        </w:tc>
        <w:tc>
          <w:tcPr>
            <w:tcW w:w="281" w:type="dxa"/>
          </w:tcPr>
          <w:p w:rsidR="00E6453A" w:rsidRDefault="00E6453A" w:rsidP="006E5653">
            <w:pPr>
              <w:pStyle w:val="Normal1"/>
              <w:spacing w:after="0"/>
              <w:rPr>
                <w:sz w:val="24"/>
                <w:szCs w:val="24"/>
              </w:rPr>
            </w:pPr>
          </w:p>
        </w:tc>
        <w:tc>
          <w:tcPr>
            <w:tcW w:w="6892" w:type="dxa"/>
          </w:tcPr>
          <w:p w:rsidR="00E6453A" w:rsidRDefault="00E6453A" w:rsidP="006E5653">
            <w:pPr>
              <w:pStyle w:val="Normal1"/>
              <w:tabs>
                <w:tab w:val="left" w:pos="900"/>
              </w:tabs>
              <w:spacing w:after="0"/>
              <w:jc w:val="both"/>
              <w:rPr>
                <w:sz w:val="24"/>
                <w:szCs w:val="24"/>
              </w:rPr>
            </w:pPr>
          </w:p>
        </w:tc>
        <w:tc>
          <w:tcPr>
            <w:tcW w:w="581" w:type="dxa"/>
          </w:tcPr>
          <w:p w:rsidR="00E6453A" w:rsidRDefault="00E6453A" w:rsidP="006E5653">
            <w:pPr>
              <w:pStyle w:val="Normal1"/>
              <w:spacing w:after="0"/>
              <w:rPr>
                <w:sz w:val="24"/>
                <w:szCs w:val="24"/>
              </w:rPr>
            </w:pPr>
          </w:p>
        </w:tc>
      </w:tr>
      <w:tr w:rsidR="00E6453A" w:rsidTr="006E5653">
        <w:tc>
          <w:tcPr>
            <w:tcW w:w="1376" w:type="dxa"/>
            <w:shd w:val="clear" w:color="auto" w:fill="DBE5F1"/>
          </w:tcPr>
          <w:p w:rsidR="00E6453A" w:rsidRDefault="00E6453A" w:rsidP="006E5653">
            <w:pPr>
              <w:pStyle w:val="Normal1"/>
              <w:spacing w:after="0"/>
              <w:rPr>
                <w:color w:val="231F20"/>
                <w:sz w:val="24"/>
                <w:szCs w:val="24"/>
              </w:rPr>
            </w:pPr>
            <w:r>
              <w:rPr>
                <w:color w:val="000000"/>
                <w:sz w:val="24"/>
                <w:szCs w:val="24"/>
              </w:rPr>
              <w:t>Encadré 1 </w:t>
            </w:r>
          </w:p>
        </w:tc>
        <w:tc>
          <w:tcPr>
            <w:tcW w:w="281" w:type="dxa"/>
            <w:shd w:val="clear" w:color="auto" w:fill="DBE5F1"/>
          </w:tcPr>
          <w:p w:rsidR="00E6453A" w:rsidRDefault="00E6453A" w:rsidP="006E5653">
            <w:pPr>
              <w:pStyle w:val="Normal1"/>
              <w:spacing w:after="0"/>
              <w:rPr>
                <w:color w:val="231F20"/>
                <w:sz w:val="24"/>
                <w:szCs w:val="24"/>
              </w:rPr>
            </w:pPr>
            <w:r>
              <w:rPr>
                <w:color w:val="000000"/>
                <w:sz w:val="24"/>
                <w:szCs w:val="24"/>
              </w:rPr>
              <w:t>:</w:t>
            </w:r>
          </w:p>
        </w:tc>
        <w:tc>
          <w:tcPr>
            <w:tcW w:w="6892" w:type="dxa"/>
            <w:shd w:val="clear" w:color="auto" w:fill="DBE5F1"/>
          </w:tcPr>
          <w:p w:rsidR="00E6453A" w:rsidRDefault="00E6453A" w:rsidP="006E5653">
            <w:pPr>
              <w:pStyle w:val="Normal1"/>
              <w:spacing w:after="0"/>
              <w:rPr>
                <w:sz w:val="24"/>
                <w:szCs w:val="24"/>
              </w:rPr>
            </w:pPr>
            <w:r>
              <w:rPr>
                <w:color w:val="000000"/>
                <w:sz w:val="24"/>
                <w:szCs w:val="24"/>
              </w:rPr>
              <w:t>L’ACHAT STRATEGIQUE</w:t>
            </w:r>
          </w:p>
        </w:tc>
        <w:tc>
          <w:tcPr>
            <w:tcW w:w="581" w:type="dxa"/>
            <w:shd w:val="clear" w:color="auto" w:fill="DBE5F1"/>
          </w:tcPr>
          <w:p w:rsidR="00E6453A" w:rsidRDefault="00E6453A" w:rsidP="006E5653">
            <w:pPr>
              <w:pStyle w:val="Normal1"/>
              <w:spacing w:after="0"/>
              <w:rPr>
                <w:sz w:val="24"/>
                <w:szCs w:val="24"/>
              </w:rPr>
            </w:pPr>
            <w:r>
              <w:rPr>
                <w:sz w:val="24"/>
                <w:szCs w:val="24"/>
              </w:rPr>
              <w:t>97</w:t>
            </w:r>
          </w:p>
        </w:tc>
      </w:tr>
    </w:tbl>
    <w:p w:rsidR="00314B92" w:rsidRDefault="00AD5F81">
      <w:pPr>
        <w:pStyle w:val="Normal1"/>
        <w:rPr>
          <w:b/>
          <w:sz w:val="28"/>
          <w:szCs w:val="28"/>
        </w:rPr>
      </w:pPr>
      <w:r>
        <w:br w:type="page"/>
      </w:r>
    </w:p>
    <w:p w:rsidR="006D2860" w:rsidRDefault="009B5EB2" w:rsidP="0049797C">
      <w:pPr>
        <w:pStyle w:val="Titre1"/>
        <w:spacing w:before="0" w:after="0"/>
        <w:rPr>
          <w:b w:val="0"/>
        </w:rPr>
      </w:pPr>
      <w:r w:rsidRPr="009B5EB2">
        <w:rPr>
          <w:color w:val="000000"/>
        </w:rPr>
        <w:lastRenderedPageBreak/>
        <w:t>PREFACE</w:t>
      </w:r>
    </w:p>
    <w:p w:rsidR="00314B92" w:rsidRDefault="00AD5F81" w:rsidP="0049797C">
      <w:pPr>
        <w:pStyle w:val="Normal1"/>
        <w:spacing w:after="0"/>
        <w:jc w:val="both"/>
      </w:pPr>
      <w:r>
        <w:t>Le système de santé du Burkina Faso a une bonne réactivité qui lui a permis d’accomplir des progrès importants en matière de santé de la reproduction, de santé de la mère, du nouveau, de l’enfant, de l’adolescent/jeune et en matière de nutrition (SRMNEA-N). Cependant ces progrès n’ont pas été suffisants pour atteindre les cibles fixées aux niveaux national et international.</w:t>
      </w:r>
    </w:p>
    <w:p w:rsidR="00314B92" w:rsidRDefault="00AD5F81">
      <w:pPr>
        <w:pStyle w:val="Normal1"/>
        <w:spacing w:after="0"/>
        <w:jc w:val="both"/>
      </w:pPr>
      <w:r>
        <w:t xml:space="preserve">Aussi, le Gouvernement du Burkina Faso s’est résolument engagé dans une série de profondes et ambitieuses réformes du Système de Santé. </w:t>
      </w:r>
    </w:p>
    <w:p w:rsidR="00314B92" w:rsidRDefault="00AD5F81">
      <w:pPr>
        <w:pStyle w:val="Normal1"/>
        <w:spacing w:after="0"/>
        <w:jc w:val="both"/>
      </w:pPr>
      <w:r>
        <w:t xml:space="preserve">Dans ce contexte, l’adhésion du gouvernement du Burkina Faso au Global Financing Facilities (GFF) en Septembre 2017, apparaît comme une opportunité pour focaliser les efforts sur certaines cibles et disparités pour plus d’impact et d’équité en SRMNEA-N et dans le domaine de l’enregistrement des faits d’état civil et des statistiques vitales (ECSV). </w:t>
      </w:r>
    </w:p>
    <w:p w:rsidR="00314B92" w:rsidRDefault="00AD5F81">
      <w:pPr>
        <w:pStyle w:val="Normal1"/>
        <w:spacing w:after="0"/>
        <w:jc w:val="both"/>
      </w:pPr>
      <w:r>
        <w:t>A cet effet, le Pays a décidé de préparer, selon un processus participatif et inclusif, un dossier d’investissement en SRMNEA-N. Ce Dossier d’investissement en SRMNEAN et ECSV offre à notre Pays l’opportunité de focaliser les efforts de tous les acteurs sur quelques priorités et stratégies à haut impact pour booster les progrès.</w:t>
      </w:r>
    </w:p>
    <w:p w:rsidR="00314B92" w:rsidRDefault="00AD5F81">
      <w:pPr>
        <w:pStyle w:val="Normal1"/>
        <w:spacing w:after="0"/>
        <w:jc w:val="both"/>
      </w:pPr>
      <w:r>
        <w:t xml:space="preserve">En effet, pour relever le défi d’inverser la tendance, le Burkina Faso a entrepris d’associer la société civile, le secteur privé, les partenaires techniques et financiers ainsi que d’autres acteurs non moins importants aux travaux d’élaboration du « Dossier d’Investissement » pour la santé maternelle, néonatale, infantile, de l’adolescent, la nutrition et l’état civil. Auparavant, une analyse approfondie de la situation avait confirmé des iniquités </w:t>
      </w:r>
      <w:r w:rsidR="00671B58">
        <w:t>interrégionales</w:t>
      </w:r>
      <w:r>
        <w:t xml:space="preserve"> où les indicateurs demeurent les plus préoccupants comparativement au reste du pays, et des gaps de financement ainsi que des causes multiples qui empêchent d’atteindre les résultats escomptés.</w:t>
      </w:r>
    </w:p>
    <w:p w:rsidR="00314B92" w:rsidRDefault="00AD5F81">
      <w:pPr>
        <w:pStyle w:val="Normal1"/>
        <w:spacing w:after="0"/>
        <w:jc w:val="both"/>
      </w:pPr>
      <w:r>
        <w:t>C’est pourquoi, le gouvernement a décidé de focaliser prioritairement les efforts visant l’amélioration de la santé mère-enfant dans les dites régions afin d’atteindre des résultats rapides et tangibles permettant de changer la situation au niveau national.</w:t>
      </w:r>
    </w:p>
    <w:p w:rsidR="00314B92" w:rsidRDefault="00AD5F81">
      <w:pPr>
        <w:pStyle w:val="Normal1"/>
        <w:spacing w:after="0"/>
        <w:jc w:val="both"/>
      </w:pPr>
      <w:r>
        <w:t xml:space="preserve">Pour atteindre des résultats tangibles et rapides, des stratégies probantes, innovantes et à haut impact sur la santé seront déployées pour la mise en œuvre des interventions multiformes en faveur des groupes cibles visés. Pour ce faire, il faudrait plus d’efficience dans l’utilisation des ressources disponibles ainsi que la mobilisation plus accrue de ressources nationales additionnelles et une coordination rigoureuse de la contribution des partenaires techniques et financiers. L’élaboration d'une stratégie nationale de financement de la santé s’inscrit fort opportunément dans le cadre de la planification d’un financement durable dans l’optique de la Couverture Sanitaire Universelle. Le secteur de la santé entrevoit dans le mécanisme GFF, une occasion importante pour le Burkina Faso, d'améliorer la santé et le bien-être de nos populations les plus vulnérables, d'utiliser nos ressources plus efficacement et d'améliorer la coordination de tous les acteurs engagés dans notre système de santé. </w:t>
      </w:r>
    </w:p>
    <w:p w:rsidR="00314B92" w:rsidRPr="0049797C" w:rsidRDefault="00AD5F81">
      <w:pPr>
        <w:pStyle w:val="Normal1"/>
        <w:spacing w:after="0"/>
        <w:jc w:val="both"/>
      </w:pPr>
      <w:r>
        <w:t xml:space="preserve">Le Gouvernement burkinabé et les populations saluent à juste titre ce mécanisme de financement et exhorte toutes les parties prenantes à apporter leur contribution à la mise en œuvre du « Dossier d’Investissement » en SRMNEA-N afin de contribuer efficacement à la mise en œuvre réussie du plan national de développement économique et social (PNDES) ,traduction opérationnelle de ma vision du développement économique et social pour mon pays qui est de « bâtir un Burkina démocratique et prospère ». </w:t>
      </w:r>
    </w:p>
    <w:p w:rsidR="00314B92" w:rsidRDefault="00AD5F81">
      <w:pPr>
        <w:pStyle w:val="Normal1"/>
        <w:spacing w:after="0" w:line="360" w:lineRule="auto"/>
        <w:jc w:val="center"/>
      </w:pPr>
      <w:r>
        <w:rPr>
          <w:b/>
        </w:rPr>
        <w:t>Son Excellence Rock Marc Christian KABORE</w:t>
      </w:r>
    </w:p>
    <w:p w:rsidR="00314B92" w:rsidRPr="00B025A6" w:rsidRDefault="00AD5F81" w:rsidP="00B025A6">
      <w:pPr>
        <w:pStyle w:val="Normal1"/>
        <w:spacing w:after="0" w:line="360" w:lineRule="auto"/>
        <w:ind w:firstLine="708"/>
        <w:jc w:val="center"/>
        <w:rPr>
          <w:b/>
        </w:rPr>
      </w:pPr>
      <w:r>
        <w:rPr>
          <w:b/>
        </w:rPr>
        <w:t>PRESIDENT DU BURKINA FASO</w:t>
      </w:r>
    </w:p>
    <w:p w:rsidR="006D2860" w:rsidRDefault="009B5EB2">
      <w:pPr>
        <w:pStyle w:val="Titre1"/>
        <w:rPr>
          <w:b w:val="0"/>
        </w:rPr>
      </w:pPr>
      <w:r w:rsidRPr="009B5EB2">
        <w:rPr>
          <w:color w:val="000000"/>
        </w:rPr>
        <w:lastRenderedPageBreak/>
        <w:t>REMERCIEMENTS</w:t>
      </w:r>
    </w:p>
    <w:p w:rsidR="00314B92" w:rsidRDefault="00AD5F81">
      <w:pPr>
        <w:pStyle w:val="Normal1"/>
        <w:spacing w:after="0"/>
        <w:jc w:val="both"/>
        <w:rPr>
          <w:sz w:val="24"/>
          <w:szCs w:val="24"/>
        </w:rPr>
      </w:pPr>
      <w:r>
        <w:rPr>
          <w:sz w:val="24"/>
          <w:szCs w:val="24"/>
        </w:rPr>
        <w:t>Le gouvernement du Burkina Faso et ses partenaires sont fermement engagés dans la lutte contre la mortalité maternelle, néonatale et infanto-juvénile dont les indicateurs demeurent assez préoccupants. A ce titre, le « Dossier d’Investissement » qui vient d’être élaboré, a pour but d’accélérer les efforts visant à améliorer de manière pérenne la santé de ces populations les plus vulnérables, afin de bénéficier du dividende démographique.</w:t>
      </w:r>
    </w:p>
    <w:p w:rsidR="00314B92" w:rsidRDefault="00AD5F81">
      <w:pPr>
        <w:pStyle w:val="Normal1"/>
        <w:spacing w:after="0"/>
        <w:jc w:val="both"/>
        <w:rPr>
          <w:sz w:val="24"/>
          <w:szCs w:val="24"/>
        </w:rPr>
      </w:pPr>
      <w:r>
        <w:rPr>
          <w:sz w:val="24"/>
          <w:szCs w:val="24"/>
        </w:rPr>
        <w:t>Je voudrais, à la fin de ce processus, sincèrement remercier l’Union européenne à travers le Programme d’Appui à la Politique Sectorielle Santé et la Banque mondiale qui ont bien voulu appuyer le pays avec la mobilisation d’experts internationaux et nationaux. Mes remerciements s’adressent à tous nos partenaires techniques et financiers qui ont tous participé au processus ayant conduit à l’élaboration de ce document.</w:t>
      </w:r>
    </w:p>
    <w:p w:rsidR="00314B92" w:rsidRDefault="00AD5F81">
      <w:pPr>
        <w:pStyle w:val="Normal1"/>
        <w:spacing w:after="0"/>
        <w:jc w:val="both"/>
        <w:rPr>
          <w:sz w:val="24"/>
          <w:szCs w:val="24"/>
        </w:rPr>
      </w:pPr>
      <w:r>
        <w:rPr>
          <w:sz w:val="24"/>
          <w:szCs w:val="24"/>
        </w:rPr>
        <w:t>Aux représentants des organisations de la société civile et du Patronat, j’adresse ma sincère gratitude pour tous les efforts qu’ils ont consentis au cours de tout le processus d’élaboration et de leur promesse à s’engager aux côtés du secteur de la santé en vue de la réussite de l’œuvre immense que le secteur s’apprête à entreprendre pour le grand bénéfice des burkinabés. J’exprime ma gratitude aux experts et aux membres de l’équipe Fonctionnelle 7 , dont le suivi étroit a permis le bon déroulement du processus d’élaboration du dossier d’investissement. J’exhorte cette équipe à veiller à un suivi rigoureux de la mise en œuvre de ce dossier d’investissement.</w:t>
      </w:r>
    </w:p>
    <w:p w:rsidR="00314B92" w:rsidRDefault="00AD5F81">
      <w:pPr>
        <w:pStyle w:val="Normal1"/>
        <w:spacing w:after="0"/>
        <w:jc w:val="both"/>
        <w:rPr>
          <w:sz w:val="24"/>
          <w:szCs w:val="24"/>
        </w:rPr>
      </w:pPr>
      <w:r>
        <w:rPr>
          <w:sz w:val="24"/>
          <w:szCs w:val="24"/>
        </w:rPr>
        <w:t>A toutes les personnes du secteur de la santé (proches collaborateurs et autres) très engagés et contribuant ainsi de près ou de loin à l’accomplissement de ce travail, je leur adresse l’expression de la reconnaissance du peuple burkinabé.</w:t>
      </w:r>
    </w:p>
    <w:p w:rsidR="00314B92" w:rsidRDefault="00AD5F81">
      <w:pPr>
        <w:pStyle w:val="Normal1"/>
        <w:spacing w:after="0"/>
        <w:jc w:val="both"/>
        <w:rPr>
          <w:sz w:val="24"/>
          <w:szCs w:val="24"/>
        </w:rPr>
      </w:pPr>
      <w:r>
        <w:rPr>
          <w:sz w:val="24"/>
          <w:szCs w:val="24"/>
        </w:rPr>
        <w:t xml:space="preserve"> </w:t>
      </w:r>
    </w:p>
    <w:p w:rsidR="00314B92" w:rsidRDefault="00AD5F81">
      <w:pPr>
        <w:pStyle w:val="Normal1"/>
        <w:spacing w:after="0"/>
        <w:jc w:val="center"/>
        <w:rPr>
          <w:b/>
          <w:sz w:val="24"/>
          <w:szCs w:val="24"/>
        </w:rPr>
      </w:pPr>
      <w:r>
        <w:rPr>
          <w:b/>
          <w:sz w:val="24"/>
          <w:szCs w:val="24"/>
        </w:rPr>
        <w:t>LE MINISTRE DE LA SANTE</w:t>
      </w:r>
    </w:p>
    <w:p w:rsidR="00314B92" w:rsidRDefault="00314B92">
      <w:pPr>
        <w:pStyle w:val="Normal1"/>
        <w:spacing w:after="0"/>
        <w:jc w:val="center"/>
        <w:rPr>
          <w:b/>
          <w:sz w:val="24"/>
          <w:szCs w:val="24"/>
        </w:rPr>
      </w:pPr>
    </w:p>
    <w:p w:rsidR="00314B92" w:rsidRDefault="00AD5F81">
      <w:pPr>
        <w:pStyle w:val="Normal1"/>
        <w:spacing w:after="0"/>
        <w:jc w:val="center"/>
        <w:rPr>
          <w:sz w:val="24"/>
          <w:szCs w:val="24"/>
        </w:rPr>
      </w:pPr>
      <w:r>
        <w:rPr>
          <w:b/>
          <w:sz w:val="24"/>
          <w:szCs w:val="24"/>
        </w:rPr>
        <w:t xml:space="preserve">Professeur </w:t>
      </w:r>
      <w:r w:rsidR="00B025A6">
        <w:rPr>
          <w:b/>
          <w:sz w:val="24"/>
          <w:szCs w:val="24"/>
        </w:rPr>
        <w:t>Léonie Claudine SORGHO-LONGUE</w:t>
      </w:r>
    </w:p>
    <w:p w:rsidR="00314B92" w:rsidRDefault="00314B92">
      <w:pPr>
        <w:pStyle w:val="Normal1"/>
        <w:jc w:val="both"/>
        <w:rPr>
          <w:rFonts w:ascii="Times New Roman" w:eastAsia="Times New Roman" w:hAnsi="Times New Roman" w:cs="Times New Roman"/>
        </w:rPr>
      </w:pPr>
    </w:p>
    <w:p w:rsidR="00314B92" w:rsidRDefault="00AD5F81">
      <w:pPr>
        <w:pStyle w:val="Normal1"/>
        <w:rPr>
          <w:b/>
        </w:rPr>
      </w:pPr>
      <w:r>
        <w:br w:type="page"/>
      </w:r>
    </w:p>
    <w:p w:rsidR="006D2860" w:rsidRDefault="009B5EB2">
      <w:pPr>
        <w:pStyle w:val="Titre1"/>
        <w:rPr>
          <w:b w:val="0"/>
        </w:rPr>
      </w:pPr>
      <w:r w:rsidRPr="009B5EB2">
        <w:rPr>
          <w:color w:val="000000"/>
        </w:rPr>
        <w:lastRenderedPageBreak/>
        <w:t>SIGLES ET ABREVIATIONS</w:t>
      </w:r>
    </w:p>
    <w:tbl>
      <w:tblPr>
        <w:tblStyle w:val="a3"/>
        <w:tblW w:w="9074" w:type="dxa"/>
        <w:tblLayout w:type="fixed"/>
        <w:tblLook w:val="0400" w:firstRow="0" w:lastRow="0" w:firstColumn="0" w:lastColumn="0" w:noHBand="0" w:noVBand="1"/>
      </w:tblPr>
      <w:tblGrid>
        <w:gridCol w:w="1130"/>
        <w:gridCol w:w="287"/>
        <w:gridCol w:w="7657"/>
      </w:tblGrid>
      <w:tr w:rsidR="00314B92">
        <w:trPr>
          <w:trHeight w:val="300"/>
        </w:trPr>
        <w:tc>
          <w:tcPr>
            <w:tcW w:w="1130" w:type="dxa"/>
            <w:vAlign w:val="center"/>
          </w:tcPr>
          <w:p w:rsidR="00314B92" w:rsidRDefault="00AD5F81">
            <w:pPr>
              <w:pStyle w:val="Normal1"/>
              <w:spacing w:after="0"/>
              <w:rPr>
                <w:color w:val="000000"/>
              </w:rPr>
            </w:pPr>
            <w:r>
              <w:rPr>
                <w:color w:val="000000"/>
              </w:rPr>
              <w:t>ACT</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Combinaison thérapeutique à base d’Artémisinine</w:t>
            </w:r>
          </w:p>
        </w:tc>
      </w:tr>
      <w:tr w:rsidR="00314B92">
        <w:trPr>
          <w:trHeight w:val="300"/>
        </w:trPr>
        <w:tc>
          <w:tcPr>
            <w:tcW w:w="1130" w:type="dxa"/>
            <w:vAlign w:val="center"/>
          </w:tcPr>
          <w:p w:rsidR="00314B92" w:rsidRDefault="00AD5F81">
            <w:pPr>
              <w:pStyle w:val="Normal1"/>
              <w:spacing w:after="0"/>
              <w:rPr>
                <w:color w:val="000000"/>
              </w:rPr>
            </w:pPr>
            <w:r>
              <w:rPr>
                <w:color w:val="000000"/>
              </w:rPr>
              <w:t xml:space="preserve">ANJE </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Alimentation du nourrisson et du jeune enfant </w:t>
            </w:r>
          </w:p>
        </w:tc>
      </w:tr>
      <w:tr w:rsidR="00314B92">
        <w:trPr>
          <w:trHeight w:val="300"/>
        </w:trPr>
        <w:tc>
          <w:tcPr>
            <w:tcW w:w="1130" w:type="dxa"/>
            <w:vAlign w:val="center"/>
          </w:tcPr>
          <w:p w:rsidR="00314B92" w:rsidRDefault="00AD5F81">
            <w:pPr>
              <w:pStyle w:val="Normal1"/>
              <w:spacing w:after="0"/>
              <w:rPr>
                <w:color w:val="000000"/>
              </w:rPr>
            </w:pPr>
            <w:r>
              <w:rPr>
                <w:color w:val="000000"/>
              </w:rPr>
              <w:t>ASBC</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Agent de santé à base communautaire </w:t>
            </w:r>
          </w:p>
        </w:tc>
      </w:tr>
      <w:tr w:rsidR="00314B92">
        <w:trPr>
          <w:trHeight w:val="300"/>
        </w:trPr>
        <w:tc>
          <w:tcPr>
            <w:tcW w:w="1130" w:type="dxa"/>
            <w:vAlign w:val="center"/>
          </w:tcPr>
          <w:p w:rsidR="00314B92" w:rsidRDefault="00AD5F81">
            <w:pPr>
              <w:pStyle w:val="Normal1"/>
              <w:spacing w:after="0"/>
              <w:rPr>
                <w:color w:val="000000"/>
              </w:rPr>
            </w:pPr>
            <w:r>
              <w:rPr>
                <w:color w:val="000000"/>
              </w:rPr>
              <w:t>ANRP</w:t>
            </w:r>
          </w:p>
        </w:tc>
        <w:tc>
          <w:tcPr>
            <w:tcW w:w="287" w:type="dxa"/>
            <w:vAlign w:val="center"/>
          </w:tcPr>
          <w:p w:rsidR="00314B92" w:rsidRDefault="00314B92">
            <w:pPr>
              <w:pStyle w:val="Normal1"/>
              <w:spacing w:after="0"/>
              <w:rPr>
                <w:color w:val="000000"/>
              </w:rPr>
            </w:pPr>
          </w:p>
        </w:tc>
        <w:tc>
          <w:tcPr>
            <w:tcW w:w="7657" w:type="dxa"/>
            <w:vAlign w:val="center"/>
          </w:tcPr>
          <w:p w:rsidR="00314B92" w:rsidRDefault="00AD5F81">
            <w:pPr>
              <w:pStyle w:val="Normal1"/>
              <w:spacing w:after="0"/>
              <w:rPr>
                <w:color w:val="000000"/>
              </w:rPr>
            </w:pPr>
            <w:r>
              <w:rPr>
                <w:color w:val="000000"/>
              </w:rPr>
              <w:t>Agence nationale de régulation pharmaceutique</w:t>
            </w:r>
          </w:p>
        </w:tc>
      </w:tr>
      <w:tr w:rsidR="00314B92">
        <w:trPr>
          <w:trHeight w:val="300"/>
        </w:trPr>
        <w:tc>
          <w:tcPr>
            <w:tcW w:w="1130" w:type="dxa"/>
            <w:vAlign w:val="center"/>
          </w:tcPr>
          <w:p w:rsidR="00314B92" w:rsidRDefault="00AD5F81">
            <w:pPr>
              <w:pStyle w:val="Normal1"/>
              <w:spacing w:after="0"/>
              <w:rPr>
                <w:color w:val="000000"/>
              </w:rPr>
            </w:pPr>
            <w:r>
              <w:rPr>
                <w:color w:val="000000"/>
              </w:rPr>
              <w:t>ASC</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Agent de santé communautaire</w:t>
            </w:r>
          </w:p>
        </w:tc>
      </w:tr>
      <w:tr w:rsidR="00314B92">
        <w:trPr>
          <w:trHeight w:val="300"/>
        </w:trPr>
        <w:tc>
          <w:tcPr>
            <w:tcW w:w="1130" w:type="dxa"/>
            <w:vAlign w:val="center"/>
          </w:tcPr>
          <w:p w:rsidR="00314B92" w:rsidRDefault="00AD5F81">
            <w:pPr>
              <w:pStyle w:val="Normal1"/>
              <w:spacing w:after="0"/>
              <w:rPr>
                <w:color w:val="000000"/>
              </w:rPr>
            </w:pPr>
            <w:r>
              <w:rPr>
                <w:color w:val="000000"/>
              </w:rPr>
              <w:t>AT</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Assistant Technique</w:t>
            </w:r>
          </w:p>
        </w:tc>
      </w:tr>
      <w:tr w:rsidR="00314B92">
        <w:trPr>
          <w:trHeight w:val="300"/>
        </w:trPr>
        <w:tc>
          <w:tcPr>
            <w:tcW w:w="1130" w:type="dxa"/>
            <w:vAlign w:val="center"/>
          </w:tcPr>
          <w:p w:rsidR="00314B92" w:rsidRDefault="00AD5F81">
            <w:pPr>
              <w:pStyle w:val="Normal1"/>
              <w:spacing w:after="0"/>
              <w:rPr>
                <w:color w:val="000000"/>
              </w:rPr>
            </w:pPr>
            <w:r>
              <w:rPr>
                <w:color w:val="000000"/>
              </w:rPr>
              <w:t>CAMEG</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sz w:val="20"/>
                <w:szCs w:val="20"/>
              </w:rPr>
            </w:pPr>
            <w:r>
              <w:rPr>
                <w:color w:val="000000"/>
                <w:sz w:val="20"/>
                <w:szCs w:val="20"/>
              </w:rPr>
              <w:t>Centrale d’achat des médicaments essentiels génériques et des consommables médicaux</w:t>
            </w:r>
          </w:p>
        </w:tc>
      </w:tr>
      <w:tr w:rsidR="00314B92">
        <w:trPr>
          <w:trHeight w:val="300"/>
        </w:trPr>
        <w:tc>
          <w:tcPr>
            <w:tcW w:w="1130" w:type="dxa"/>
            <w:vAlign w:val="center"/>
          </w:tcPr>
          <w:p w:rsidR="00314B92" w:rsidRDefault="00AD5F81">
            <w:pPr>
              <w:pStyle w:val="Normal1"/>
              <w:spacing w:after="0"/>
              <w:rPr>
                <w:color w:val="000000"/>
              </w:rPr>
            </w:pPr>
            <w:r>
              <w:rPr>
                <w:color w:val="000000"/>
              </w:rPr>
              <w:t>CASEM</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Conseil d’administration du secteur ministériel</w:t>
            </w:r>
          </w:p>
        </w:tc>
      </w:tr>
      <w:tr w:rsidR="00314B92">
        <w:trPr>
          <w:trHeight w:val="300"/>
        </w:trPr>
        <w:tc>
          <w:tcPr>
            <w:tcW w:w="1130" w:type="dxa"/>
            <w:vAlign w:val="center"/>
          </w:tcPr>
          <w:p w:rsidR="00314B92" w:rsidRDefault="00AD5F81">
            <w:pPr>
              <w:pStyle w:val="Normal1"/>
              <w:spacing w:after="0"/>
              <w:rPr>
                <w:color w:val="000000"/>
              </w:rPr>
            </w:pPr>
            <w:r>
              <w:rPr>
                <w:color w:val="000000"/>
              </w:rPr>
              <w:t>CCSC</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Communication pour le changement social de comportement</w:t>
            </w:r>
          </w:p>
        </w:tc>
      </w:tr>
      <w:tr w:rsidR="00314B92">
        <w:trPr>
          <w:trHeight w:val="300"/>
        </w:trPr>
        <w:tc>
          <w:tcPr>
            <w:tcW w:w="1130" w:type="dxa"/>
            <w:vAlign w:val="center"/>
          </w:tcPr>
          <w:p w:rsidR="00314B92" w:rsidRDefault="00AD5F81">
            <w:pPr>
              <w:pStyle w:val="Normal1"/>
              <w:spacing w:after="0"/>
              <w:rPr>
                <w:color w:val="000000"/>
              </w:rPr>
            </w:pPr>
            <w:r>
              <w:rPr>
                <w:color w:val="000000"/>
              </w:rPr>
              <w:t>CDMT</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Cadre de dépense à moyen terme</w:t>
            </w:r>
          </w:p>
        </w:tc>
      </w:tr>
      <w:tr w:rsidR="00314B92">
        <w:trPr>
          <w:trHeight w:val="300"/>
        </w:trPr>
        <w:tc>
          <w:tcPr>
            <w:tcW w:w="1130" w:type="dxa"/>
            <w:vAlign w:val="center"/>
          </w:tcPr>
          <w:p w:rsidR="00314B92" w:rsidRDefault="00AD5F81">
            <w:pPr>
              <w:pStyle w:val="Normal1"/>
              <w:spacing w:after="0"/>
              <w:rPr>
                <w:color w:val="000000"/>
              </w:rPr>
            </w:pPr>
            <w:r>
              <w:rPr>
                <w:color w:val="000000"/>
              </w:rPr>
              <w:t>CHR</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Centre hospitalier régional</w:t>
            </w:r>
          </w:p>
        </w:tc>
      </w:tr>
      <w:tr w:rsidR="00314B92">
        <w:trPr>
          <w:trHeight w:val="300"/>
        </w:trPr>
        <w:tc>
          <w:tcPr>
            <w:tcW w:w="1130" w:type="dxa"/>
            <w:vAlign w:val="center"/>
          </w:tcPr>
          <w:p w:rsidR="00314B92" w:rsidRDefault="00AD5F81">
            <w:pPr>
              <w:pStyle w:val="Normal1"/>
              <w:spacing w:after="0"/>
              <w:rPr>
                <w:color w:val="000000"/>
              </w:rPr>
            </w:pPr>
            <w:r>
              <w:rPr>
                <w:color w:val="000000"/>
              </w:rPr>
              <w:t>CHU</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Centre hospitalier universitaire</w:t>
            </w:r>
          </w:p>
        </w:tc>
      </w:tr>
      <w:tr w:rsidR="00314B92">
        <w:trPr>
          <w:trHeight w:val="300"/>
        </w:trPr>
        <w:tc>
          <w:tcPr>
            <w:tcW w:w="1130" w:type="dxa"/>
            <w:vAlign w:val="center"/>
          </w:tcPr>
          <w:p w:rsidR="00314B92" w:rsidRDefault="00AD5F81">
            <w:pPr>
              <w:pStyle w:val="Normal1"/>
              <w:spacing w:after="0"/>
              <w:rPr>
                <w:color w:val="000000"/>
              </w:rPr>
            </w:pPr>
            <w:r>
              <w:rPr>
                <w:color w:val="000000"/>
              </w:rPr>
              <w:t>CM</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Centre médical</w:t>
            </w:r>
          </w:p>
        </w:tc>
      </w:tr>
      <w:tr w:rsidR="00314B92">
        <w:trPr>
          <w:trHeight w:val="300"/>
        </w:trPr>
        <w:tc>
          <w:tcPr>
            <w:tcW w:w="1130" w:type="dxa"/>
            <w:vAlign w:val="center"/>
          </w:tcPr>
          <w:p w:rsidR="00314B92" w:rsidRDefault="00AD5F81">
            <w:pPr>
              <w:pStyle w:val="Normal1"/>
              <w:spacing w:after="0"/>
              <w:rPr>
                <w:color w:val="000000"/>
              </w:rPr>
            </w:pPr>
            <w:r>
              <w:rPr>
                <w:color w:val="000000"/>
              </w:rPr>
              <w:t>CMA</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Centre médical avec antenne chirurgicale</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CNLAT</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Centre national de lutte antituberculeuse</w:t>
            </w:r>
          </w:p>
        </w:tc>
      </w:tr>
      <w:tr w:rsidR="00314B92">
        <w:trPr>
          <w:trHeight w:val="300"/>
        </w:trPr>
        <w:tc>
          <w:tcPr>
            <w:tcW w:w="1130" w:type="dxa"/>
            <w:vAlign w:val="center"/>
          </w:tcPr>
          <w:p w:rsidR="00314B92" w:rsidRDefault="00AD5F81">
            <w:pPr>
              <w:pStyle w:val="Normal1"/>
              <w:spacing w:after="0"/>
              <w:rPr>
                <w:color w:val="000000"/>
              </w:rPr>
            </w:pPr>
            <w:r>
              <w:rPr>
                <w:color w:val="000000"/>
              </w:rPr>
              <w:t>CPN</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Consultation prénatale</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CRLAT</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Centre régional de lutte contre la tuberculose</w:t>
            </w:r>
          </w:p>
        </w:tc>
      </w:tr>
      <w:tr w:rsidR="00314B92">
        <w:trPr>
          <w:trHeight w:val="300"/>
        </w:trPr>
        <w:tc>
          <w:tcPr>
            <w:tcW w:w="1130" w:type="dxa"/>
            <w:vAlign w:val="center"/>
          </w:tcPr>
          <w:p w:rsidR="00314B92" w:rsidRDefault="00AD5F81">
            <w:pPr>
              <w:pStyle w:val="Normal1"/>
              <w:spacing w:after="0"/>
              <w:rPr>
                <w:color w:val="000000"/>
              </w:rPr>
            </w:pPr>
            <w:r>
              <w:rPr>
                <w:color w:val="000000"/>
              </w:rPr>
              <w:t>CSD</w:t>
            </w:r>
          </w:p>
          <w:p w:rsidR="00314B92" w:rsidRDefault="00AD5F81">
            <w:pPr>
              <w:pStyle w:val="Normal1"/>
              <w:spacing w:after="0"/>
              <w:rPr>
                <w:color w:val="000000"/>
              </w:rPr>
            </w:pPr>
            <w:r>
              <w:rPr>
                <w:color w:val="000000"/>
              </w:rPr>
              <w:t>CSD</w:t>
            </w:r>
          </w:p>
        </w:tc>
        <w:tc>
          <w:tcPr>
            <w:tcW w:w="287" w:type="dxa"/>
            <w:vAlign w:val="center"/>
          </w:tcPr>
          <w:p w:rsidR="00314B92" w:rsidRDefault="00AD5F81">
            <w:pPr>
              <w:pStyle w:val="Normal1"/>
              <w:spacing w:after="0"/>
              <w:rPr>
                <w:color w:val="000000"/>
              </w:rPr>
            </w:pPr>
            <w:r>
              <w:rPr>
                <w:color w:val="000000"/>
              </w:rPr>
              <w:t>:</w:t>
            </w:r>
            <w:r>
              <w:rPr>
                <w:color w:val="000000"/>
              </w:rPr>
              <w:br/>
              <w:t>:</w:t>
            </w:r>
          </w:p>
        </w:tc>
        <w:tc>
          <w:tcPr>
            <w:tcW w:w="7657" w:type="dxa"/>
            <w:vAlign w:val="center"/>
          </w:tcPr>
          <w:p w:rsidR="00314B92" w:rsidRDefault="00AD5F81">
            <w:pPr>
              <w:pStyle w:val="Normal1"/>
              <w:spacing w:after="0"/>
              <w:rPr>
                <w:color w:val="000000"/>
              </w:rPr>
            </w:pPr>
            <w:r>
              <w:rPr>
                <w:color w:val="000000"/>
              </w:rPr>
              <w:t>Cadre sectoriel de dialogue</w:t>
            </w:r>
          </w:p>
          <w:p w:rsidR="00314B92" w:rsidRDefault="00AD5F81">
            <w:pPr>
              <w:pStyle w:val="Normal1"/>
              <w:spacing w:after="0"/>
              <w:rPr>
                <w:color w:val="000000"/>
              </w:rPr>
            </w:pPr>
            <w:r>
              <w:rPr>
                <w:color w:val="000000"/>
              </w:rPr>
              <w:t>Conseil de santé de district</w:t>
            </w:r>
          </w:p>
        </w:tc>
      </w:tr>
      <w:tr w:rsidR="00314B92">
        <w:trPr>
          <w:trHeight w:val="300"/>
        </w:trPr>
        <w:tc>
          <w:tcPr>
            <w:tcW w:w="1130" w:type="dxa"/>
            <w:vAlign w:val="center"/>
          </w:tcPr>
          <w:p w:rsidR="00314B92" w:rsidRDefault="00AD5F81">
            <w:pPr>
              <w:pStyle w:val="Normal1"/>
              <w:spacing w:after="0"/>
              <w:rPr>
                <w:color w:val="000000"/>
              </w:rPr>
            </w:pPr>
            <w:r>
              <w:rPr>
                <w:color w:val="000000"/>
              </w:rPr>
              <w:t>CSPS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Centre de santé et de promotion sociale</w:t>
            </w:r>
          </w:p>
        </w:tc>
      </w:tr>
      <w:tr w:rsidR="00314B92">
        <w:trPr>
          <w:trHeight w:val="100"/>
        </w:trPr>
        <w:tc>
          <w:tcPr>
            <w:tcW w:w="1130" w:type="dxa"/>
            <w:shd w:val="clear" w:color="auto" w:fill="auto"/>
            <w:vAlign w:val="center"/>
          </w:tcPr>
          <w:p w:rsidR="00314B92" w:rsidRDefault="00AD5F81">
            <w:pPr>
              <w:pStyle w:val="Normal1"/>
              <w:spacing w:after="0"/>
              <w:rPr>
                <w:color w:val="000000"/>
              </w:rPr>
            </w:pPr>
            <w:r>
              <w:t>CSS</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pPr>
            <w:r>
              <w:t xml:space="preserve">Conseil Supérieur de la santé </w:t>
            </w:r>
          </w:p>
        </w:tc>
      </w:tr>
      <w:tr w:rsidR="00314B92">
        <w:trPr>
          <w:trHeight w:val="300"/>
        </w:trPr>
        <w:tc>
          <w:tcPr>
            <w:tcW w:w="1130" w:type="dxa"/>
            <w:vAlign w:val="center"/>
          </w:tcPr>
          <w:p w:rsidR="00314B92" w:rsidRDefault="00AD5F81">
            <w:pPr>
              <w:pStyle w:val="Normal1"/>
              <w:spacing w:after="0"/>
              <w:rPr>
                <w:color w:val="000000"/>
              </w:rPr>
            </w:pPr>
            <w:r>
              <w:rPr>
                <w:color w:val="000000"/>
              </w:rPr>
              <w:t>CT</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Commission thématique</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DAF</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 l’administration et des finances</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DES</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des établissements de santé</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DGOS</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rFonts w:ascii="Arial Narrow" w:eastAsia="Arial Narrow" w:hAnsi="Arial Narrow" w:cs="Arial Narrow"/>
              </w:rPr>
              <w:t>Direction générale de l’offre de soins</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DGPML</w:t>
            </w:r>
            <w:r>
              <w:rPr>
                <w:color w:val="000000"/>
              </w:rPr>
              <w:tab/>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générale de la pharmacie, du médicament et des laboratoires</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DGS</w:t>
            </w:r>
            <w:r>
              <w:rPr>
                <w:color w:val="000000"/>
              </w:rPr>
              <w:tab/>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 xml:space="preserve">Direction générale de la santé </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DLM</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 la lutte contre la maladie</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DN</w:t>
            </w:r>
            <w:r>
              <w:rPr>
                <w:color w:val="000000"/>
              </w:rPr>
              <w:tab/>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 la nutrition</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DPS</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 la promotion de la santé</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DPV</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 la prévention par les vaccinations</w:t>
            </w:r>
          </w:p>
        </w:tc>
      </w:tr>
      <w:tr w:rsidR="00314B92">
        <w:trPr>
          <w:trHeight w:val="300"/>
        </w:trPr>
        <w:tc>
          <w:tcPr>
            <w:tcW w:w="1130" w:type="dxa"/>
            <w:vAlign w:val="center"/>
          </w:tcPr>
          <w:p w:rsidR="00314B92" w:rsidRDefault="00AD5F81">
            <w:pPr>
              <w:pStyle w:val="Normal1"/>
              <w:spacing w:after="0"/>
              <w:rPr>
                <w:color w:val="000000"/>
              </w:rPr>
            </w:pPr>
            <w:r>
              <w:rPr>
                <w:color w:val="000000"/>
              </w:rPr>
              <w:t>DQSS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rFonts w:ascii="Arial Narrow" w:eastAsia="Arial Narrow" w:hAnsi="Arial Narrow" w:cs="Arial Narrow"/>
              </w:rPr>
              <w:t>Direction de la qualité des soins et de la sécurité des patients</w:t>
            </w:r>
          </w:p>
        </w:tc>
      </w:tr>
      <w:tr w:rsidR="00314B92">
        <w:trPr>
          <w:trHeight w:val="300"/>
        </w:trPr>
        <w:tc>
          <w:tcPr>
            <w:tcW w:w="1130" w:type="dxa"/>
            <w:vAlign w:val="center"/>
          </w:tcPr>
          <w:p w:rsidR="00314B92" w:rsidRDefault="00AD5F81">
            <w:pPr>
              <w:pStyle w:val="Normal1"/>
              <w:spacing w:after="0"/>
              <w:rPr>
                <w:color w:val="000000"/>
              </w:rPr>
            </w:pPr>
            <w:r>
              <w:rPr>
                <w:color w:val="000000"/>
              </w:rPr>
              <w:t>DRS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Direction régionale de santé</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DSF</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 la santé de la famille</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DSITS</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Direction des services informatiques et de la télésanté</w:t>
            </w:r>
          </w:p>
        </w:tc>
      </w:tr>
      <w:tr w:rsidR="00314B92">
        <w:trPr>
          <w:trHeight w:val="300"/>
        </w:trPr>
        <w:tc>
          <w:tcPr>
            <w:tcW w:w="1130" w:type="dxa"/>
            <w:shd w:val="clear" w:color="auto" w:fill="auto"/>
            <w:vAlign w:val="center"/>
          </w:tcPr>
          <w:p w:rsidR="00314B92" w:rsidRDefault="00AD5F81">
            <w:pPr>
              <w:pStyle w:val="Normal1"/>
              <w:spacing w:after="0"/>
              <w:rPr>
                <w:color w:val="000000"/>
              </w:rPr>
            </w:pPr>
            <w:r>
              <w:t>ECD</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Equipe cadre de district</w:t>
            </w:r>
          </w:p>
        </w:tc>
      </w:tr>
      <w:tr w:rsidR="00314B92">
        <w:trPr>
          <w:trHeight w:val="300"/>
        </w:trPr>
        <w:tc>
          <w:tcPr>
            <w:tcW w:w="1130" w:type="dxa"/>
            <w:vAlign w:val="center"/>
          </w:tcPr>
          <w:p w:rsidR="00314B92" w:rsidRDefault="00AD5F81">
            <w:pPr>
              <w:pStyle w:val="Normal1"/>
              <w:spacing w:after="0"/>
              <w:rPr>
                <w:color w:val="000000"/>
              </w:rPr>
            </w:pPr>
            <w:r>
              <w:rPr>
                <w:color w:val="000000"/>
              </w:rPr>
              <w:t>EDS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Enquête démographique et de santé</w:t>
            </w:r>
          </w:p>
        </w:tc>
      </w:tr>
      <w:tr w:rsidR="00314B92">
        <w:trPr>
          <w:trHeight w:val="60"/>
        </w:trPr>
        <w:tc>
          <w:tcPr>
            <w:tcW w:w="1130" w:type="dxa"/>
            <w:vAlign w:val="center"/>
          </w:tcPr>
          <w:p w:rsidR="00314B92" w:rsidRDefault="00AD5F81">
            <w:pPr>
              <w:pStyle w:val="Normal1"/>
              <w:spacing w:after="0"/>
              <w:rPr>
                <w:color w:val="000000"/>
              </w:rPr>
            </w:pPr>
            <w:r>
              <w:rPr>
                <w:color w:val="000000"/>
              </w:rPr>
              <w:t>EF</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Equipe fonctionnelle</w:t>
            </w:r>
          </w:p>
        </w:tc>
      </w:tr>
      <w:tr w:rsidR="00314B92">
        <w:trPr>
          <w:trHeight w:val="60"/>
        </w:trPr>
        <w:tc>
          <w:tcPr>
            <w:tcW w:w="1130" w:type="dxa"/>
            <w:vAlign w:val="center"/>
          </w:tcPr>
          <w:p w:rsidR="00314B92" w:rsidRDefault="00AD5F81">
            <w:pPr>
              <w:pStyle w:val="Normal1"/>
              <w:spacing w:after="0"/>
              <w:rPr>
                <w:color w:val="000000"/>
              </w:rPr>
            </w:pPr>
            <w:r>
              <w:rPr>
                <w:color w:val="000000"/>
              </w:rPr>
              <w:t>ENDOS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Entrepôt national des données sanitaires</w:t>
            </w:r>
          </w:p>
        </w:tc>
      </w:tr>
      <w:tr w:rsidR="00314B92">
        <w:trPr>
          <w:trHeight w:val="60"/>
        </w:trPr>
        <w:tc>
          <w:tcPr>
            <w:tcW w:w="1130" w:type="dxa"/>
            <w:vAlign w:val="center"/>
          </w:tcPr>
          <w:p w:rsidR="00314B92" w:rsidRDefault="00AD5F81">
            <w:pPr>
              <w:pStyle w:val="Normal1"/>
              <w:spacing w:after="0"/>
              <w:rPr>
                <w:color w:val="000000"/>
              </w:rPr>
            </w:pPr>
            <w:r>
              <w:rPr>
                <w:color w:val="000000"/>
              </w:rPr>
              <w:t>ENP</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Etude nationale prospective</w:t>
            </w:r>
          </w:p>
        </w:tc>
      </w:tr>
      <w:tr w:rsidR="00314B92">
        <w:trPr>
          <w:trHeight w:val="300"/>
        </w:trPr>
        <w:tc>
          <w:tcPr>
            <w:tcW w:w="1130" w:type="dxa"/>
            <w:vAlign w:val="center"/>
          </w:tcPr>
          <w:p w:rsidR="00314B92" w:rsidRDefault="00AD5F81">
            <w:pPr>
              <w:pStyle w:val="Normal1"/>
              <w:spacing w:after="0"/>
              <w:rPr>
                <w:color w:val="000000"/>
              </w:rPr>
            </w:pPr>
            <w:r>
              <w:rPr>
                <w:color w:val="000000"/>
              </w:rPr>
              <w:t>ESPS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Etablissement sanitaire privé de soins </w:t>
            </w:r>
          </w:p>
        </w:tc>
      </w:tr>
      <w:tr w:rsidR="00314B92">
        <w:trPr>
          <w:trHeight w:val="300"/>
        </w:trPr>
        <w:tc>
          <w:tcPr>
            <w:tcW w:w="1130" w:type="dxa"/>
            <w:vAlign w:val="center"/>
          </w:tcPr>
          <w:p w:rsidR="00314B92" w:rsidRDefault="00AD5F81">
            <w:pPr>
              <w:pStyle w:val="Normal1"/>
              <w:spacing w:after="0"/>
              <w:rPr>
                <w:color w:val="000000"/>
              </w:rPr>
            </w:pPr>
            <w:r>
              <w:rPr>
                <w:color w:val="000000"/>
              </w:rPr>
              <w:t>ETME</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rFonts w:ascii="Arial" w:eastAsia="Arial" w:hAnsi="Arial" w:cs="Arial"/>
                <w:sz w:val="20"/>
                <w:szCs w:val="20"/>
              </w:rPr>
            </w:pPr>
            <w:r>
              <w:rPr>
                <w:rFonts w:ascii="Arial" w:eastAsia="Arial" w:hAnsi="Arial" w:cs="Arial"/>
                <w:sz w:val="20"/>
                <w:szCs w:val="20"/>
              </w:rPr>
              <w:t>Elimination de la transmission mère-enfant (du VIH)</w:t>
            </w:r>
          </w:p>
        </w:tc>
      </w:tr>
      <w:tr w:rsidR="00314B92">
        <w:trPr>
          <w:trHeight w:val="300"/>
        </w:trPr>
        <w:tc>
          <w:tcPr>
            <w:tcW w:w="1130" w:type="dxa"/>
            <w:vAlign w:val="center"/>
          </w:tcPr>
          <w:p w:rsidR="00314B92" w:rsidRDefault="00AD5F81">
            <w:pPr>
              <w:pStyle w:val="Normal1"/>
              <w:spacing w:after="0"/>
              <w:rPr>
                <w:color w:val="000000"/>
              </w:rPr>
            </w:pPr>
            <w:r>
              <w:rPr>
                <w:color w:val="000000"/>
              </w:rPr>
              <w:t>GASPA</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sz w:val="20"/>
                <w:szCs w:val="20"/>
              </w:rPr>
            </w:pPr>
            <w:r>
              <w:rPr>
                <w:rFonts w:ascii="Arial" w:eastAsia="Arial" w:hAnsi="Arial" w:cs="Arial"/>
                <w:sz w:val="20"/>
                <w:szCs w:val="20"/>
              </w:rPr>
              <w:t>Groupes d’Apprentissage de soutien aux pratiques d’ANJE</w:t>
            </w:r>
          </w:p>
        </w:tc>
      </w:tr>
      <w:tr w:rsidR="00314B92">
        <w:trPr>
          <w:trHeight w:val="300"/>
        </w:trPr>
        <w:tc>
          <w:tcPr>
            <w:tcW w:w="1130" w:type="dxa"/>
            <w:vAlign w:val="center"/>
          </w:tcPr>
          <w:p w:rsidR="00314B92" w:rsidRDefault="00AD5F81">
            <w:pPr>
              <w:pStyle w:val="Normal1"/>
              <w:spacing w:after="0"/>
              <w:rPr>
                <w:color w:val="000000"/>
              </w:rPr>
            </w:pPr>
            <w:r>
              <w:rPr>
                <w:color w:val="000000"/>
              </w:rPr>
              <w:lastRenderedPageBreak/>
              <w:t>GFF</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Global Financing Facility</w:t>
            </w:r>
          </w:p>
        </w:tc>
      </w:tr>
      <w:tr w:rsidR="00314B92">
        <w:trPr>
          <w:trHeight w:val="300"/>
        </w:trPr>
        <w:tc>
          <w:tcPr>
            <w:tcW w:w="1130" w:type="dxa"/>
            <w:vAlign w:val="center"/>
          </w:tcPr>
          <w:p w:rsidR="00314B92" w:rsidRDefault="00AD5F81">
            <w:pPr>
              <w:pStyle w:val="Normal1"/>
              <w:spacing w:after="0"/>
              <w:rPr>
                <w:color w:val="000000"/>
              </w:rPr>
            </w:pPr>
            <w:r>
              <w:rPr>
                <w:color w:val="000000"/>
              </w:rPr>
              <w:t>IDH</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Indice de développement humain</w:t>
            </w:r>
          </w:p>
        </w:tc>
      </w:tr>
      <w:tr w:rsidR="00314B92">
        <w:tc>
          <w:tcPr>
            <w:tcW w:w="1130" w:type="dxa"/>
            <w:tcMar>
              <w:left w:w="108" w:type="dxa"/>
              <w:right w:w="108" w:type="dxa"/>
            </w:tcMar>
          </w:tcPr>
          <w:p w:rsidR="00314B92" w:rsidRDefault="00AD5F81">
            <w:pPr>
              <w:pStyle w:val="Normal1"/>
              <w:spacing w:after="0" w:line="360" w:lineRule="auto"/>
              <w:jc w:val="both"/>
              <w:rPr>
                <w:sz w:val="20"/>
                <w:szCs w:val="20"/>
              </w:rPr>
            </w:pPr>
            <w:r>
              <w:rPr>
                <w:sz w:val="20"/>
                <w:szCs w:val="20"/>
              </w:rPr>
              <w:t>INSD</w:t>
            </w:r>
          </w:p>
        </w:tc>
        <w:tc>
          <w:tcPr>
            <w:tcW w:w="287" w:type="dxa"/>
            <w:tcMar>
              <w:left w:w="108" w:type="dxa"/>
              <w:right w:w="108" w:type="dxa"/>
            </w:tcMar>
          </w:tcPr>
          <w:p w:rsidR="00314B92" w:rsidRDefault="00AD5F81">
            <w:pPr>
              <w:pStyle w:val="Normal1"/>
              <w:spacing w:after="0" w:line="360" w:lineRule="auto"/>
              <w:jc w:val="both"/>
              <w:rPr>
                <w:sz w:val="20"/>
                <w:szCs w:val="20"/>
              </w:rPr>
            </w:pPr>
            <w:r>
              <w:rPr>
                <w:sz w:val="20"/>
                <w:szCs w:val="20"/>
              </w:rPr>
              <w:t>:</w:t>
            </w:r>
          </w:p>
        </w:tc>
        <w:tc>
          <w:tcPr>
            <w:tcW w:w="7657" w:type="dxa"/>
            <w:tcMar>
              <w:left w:w="108" w:type="dxa"/>
              <w:right w:w="108" w:type="dxa"/>
            </w:tcMar>
          </w:tcPr>
          <w:p w:rsidR="00314B92" w:rsidRDefault="00AD5F81">
            <w:pPr>
              <w:pStyle w:val="Normal1"/>
              <w:spacing w:after="0" w:line="360" w:lineRule="auto"/>
              <w:jc w:val="both"/>
              <w:rPr>
                <w:sz w:val="20"/>
                <w:szCs w:val="20"/>
              </w:rPr>
            </w:pPr>
            <w:r>
              <w:rPr>
                <w:sz w:val="20"/>
                <w:szCs w:val="20"/>
              </w:rPr>
              <w:t xml:space="preserve">Institut national de la statistique et de la démographie </w:t>
            </w:r>
          </w:p>
        </w:tc>
      </w:tr>
      <w:tr w:rsidR="00314B92">
        <w:trPr>
          <w:trHeight w:val="300"/>
        </w:trPr>
        <w:tc>
          <w:tcPr>
            <w:tcW w:w="1130" w:type="dxa"/>
            <w:vAlign w:val="center"/>
          </w:tcPr>
          <w:p w:rsidR="00314B92" w:rsidRDefault="00AD5F81">
            <w:pPr>
              <w:pStyle w:val="Normal1"/>
              <w:spacing w:after="0"/>
              <w:rPr>
                <w:color w:val="000000"/>
              </w:rPr>
            </w:pPr>
            <w:r>
              <w:rPr>
                <w:color w:val="000000"/>
              </w:rPr>
              <w:t>IST</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Infection sexuellement transmissible</w:t>
            </w:r>
          </w:p>
        </w:tc>
      </w:tr>
      <w:tr w:rsidR="00314B92">
        <w:trPr>
          <w:trHeight w:val="300"/>
        </w:trPr>
        <w:tc>
          <w:tcPr>
            <w:tcW w:w="1130" w:type="dxa"/>
            <w:vAlign w:val="center"/>
          </w:tcPr>
          <w:p w:rsidR="00314B92" w:rsidRDefault="00AD5F81">
            <w:pPr>
              <w:pStyle w:val="Normal1"/>
              <w:spacing w:after="0"/>
              <w:rPr>
                <w:color w:val="000000"/>
              </w:rPr>
            </w:pPr>
            <w:r>
              <w:rPr>
                <w:color w:val="000000"/>
              </w:rPr>
              <w:t>MAS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Malnutrition aigüe sévère</w:t>
            </w:r>
          </w:p>
        </w:tc>
      </w:tr>
      <w:tr w:rsidR="00314B92">
        <w:trPr>
          <w:trHeight w:val="300"/>
        </w:trPr>
        <w:tc>
          <w:tcPr>
            <w:tcW w:w="1130" w:type="dxa"/>
            <w:vAlign w:val="center"/>
          </w:tcPr>
          <w:p w:rsidR="00314B92" w:rsidRDefault="00AD5F81">
            <w:pPr>
              <w:pStyle w:val="Normal1"/>
              <w:spacing w:after="0"/>
              <w:rPr>
                <w:color w:val="000000"/>
              </w:rPr>
            </w:pPr>
            <w:r>
              <w:rPr>
                <w:color w:val="000000"/>
              </w:rPr>
              <w:t>MMR</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Maternité à moindre risque</w:t>
            </w:r>
          </w:p>
        </w:tc>
      </w:tr>
      <w:tr w:rsidR="00314B92">
        <w:trPr>
          <w:trHeight w:val="300"/>
        </w:trPr>
        <w:tc>
          <w:tcPr>
            <w:tcW w:w="1130" w:type="dxa"/>
            <w:vAlign w:val="center"/>
          </w:tcPr>
          <w:p w:rsidR="00314B92" w:rsidRDefault="00AD5F81">
            <w:pPr>
              <w:pStyle w:val="Normal1"/>
              <w:spacing w:after="0"/>
              <w:rPr>
                <w:color w:val="000000"/>
              </w:rPr>
            </w:pPr>
            <w:r>
              <w:rPr>
                <w:color w:val="000000"/>
              </w:rPr>
              <w:t>MS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Ministère de la Santé </w:t>
            </w:r>
          </w:p>
        </w:tc>
      </w:tr>
      <w:tr w:rsidR="00314B92">
        <w:trPr>
          <w:trHeight w:val="300"/>
        </w:trPr>
        <w:tc>
          <w:tcPr>
            <w:tcW w:w="1130" w:type="dxa"/>
            <w:vAlign w:val="center"/>
          </w:tcPr>
          <w:p w:rsidR="00314B92" w:rsidRDefault="00AD5F81">
            <w:pPr>
              <w:pStyle w:val="Normal1"/>
              <w:spacing w:after="0"/>
              <w:rPr>
                <w:color w:val="000000"/>
              </w:rPr>
            </w:pPr>
            <w:r>
              <w:rPr>
                <w:color w:val="000000"/>
              </w:rPr>
              <w:t>OBC</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Organisation à base communautaire</w:t>
            </w:r>
          </w:p>
        </w:tc>
      </w:tr>
      <w:tr w:rsidR="00314B92">
        <w:trPr>
          <w:trHeight w:val="300"/>
        </w:trPr>
        <w:tc>
          <w:tcPr>
            <w:tcW w:w="1130" w:type="dxa"/>
            <w:vAlign w:val="center"/>
          </w:tcPr>
          <w:p w:rsidR="00314B92" w:rsidRDefault="00AD5F81">
            <w:pPr>
              <w:pStyle w:val="Normal1"/>
              <w:spacing w:after="0"/>
              <w:rPr>
                <w:color w:val="000000"/>
              </w:rPr>
            </w:pPr>
            <w:r>
              <w:rPr>
                <w:color w:val="000000"/>
              </w:rPr>
              <w:t>ODD</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Objectif de développement durable</w:t>
            </w:r>
          </w:p>
        </w:tc>
      </w:tr>
      <w:tr w:rsidR="00314B92">
        <w:trPr>
          <w:trHeight w:val="300"/>
        </w:trPr>
        <w:tc>
          <w:tcPr>
            <w:tcW w:w="1130" w:type="dxa"/>
            <w:vAlign w:val="center"/>
          </w:tcPr>
          <w:p w:rsidR="00314B92" w:rsidRDefault="00AD5F81">
            <w:pPr>
              <w:pStyle w:val="Normal1"/>
              <w:spacing w:after="0"/>
              <w:rPr>
                <w:color w:val="000000"/>
              </w:rPr>
            </w:pPr>
            <w:r>
              <w:rPr>
                <w:color w:val="000000"/>
              </w:rPr>
              <w:t>OMD</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Objectif du millénaire pour le développement</w:t>
            </w:r>
          </w:p>
        </w:tc>
      </w:tr>
      <w:tr w:rsidR="00314B92">
        <w:trPr>
          <w:trHeight w:val="300"/>
        </w:trPr>
        <w:tc>
          <w:tcPr>
            <w:tcW w:w="1130" w:type="dxa"/>
            <w:vAlign w:val="center"/>
          </w:tcPr>
          <w:p w:rsidR="00314B92" w:rsidRDefault="00AD5F81">
            <w:pPr>
              <w:pStyle w:val="Normal1"/>
              <w:spacing w:after="0"/>
              <w:rPr>
                <w:color w:val="000000"/>
              </w:rPr>
            </w:pPr>
            <w:r>
              <w:rPr>
                <w:color w:val="000000"/>
              </w:rPr>
              <w:t>OMS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Organisation mondiale de la santé</w:t>
            </w:r>
          </w:p>
        </w:tc>
      </w:tr>
      <w:tr w:rsidR="00314B92">
        <w:trPr>
          <w:trHeight w:val="300"/>
        </w:trPr>
        <w:tc>
          <w:tcPr>
            <w:tcW w:w="1130" w:type="dxa"/>
            <w:vAlign w:val="center"/>
          </w:tcPr>
          <w:p w:rsidR="00314B92" w:rsidRDefault="00AD5F81">
            <w:pPr>
              <w:pStyle w:val="Normal1"/>
              <w:spacing w:after="0"/>
              <w:rPr>
                <w:color w:val="000000"/>
              </w:rPr>
            </w:pPr>
            <w:r>
              <w:rPr>
                <w:color w:val="000000"/>
              </w:rPr>
              <w:t>ONG</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Organisation non gouvernementale</w:t>
            </w:r>
          </w:p>
        </w:tc>
      </w:tr>
      <w:tr w:rsidR="00314B92">
        <w:trPr>
          <w:trHeight w:val="300"/>
        </w:trPr>
        <w:tc>
          <w:tcPr>
            <w:tcW w:w="1130" w:type="dxa"/>
            <w:vAlign w:val="center"/>
          </w:tcPr>
          <w:p w:rsidR="00314B92" w:rsidRDefault="00AD5F81">
            <w:pPr>
              <w:pStyle w:val="Normal1"/>
              <w:spacing w:after="0"/>
              <w:rPr>
                <w:color w:val="000000"/>
              </w:rPr>
            </w:pPr>
            <w:r>
              <w:rPr>
                <w:color w:val="000000"/>
              </w:rPr>
              <w:t>PCA</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Paquet complémentaire d’activités </w:t>
            </w:r>
          </w:p>
        </w:tc>
      </w:tr>
      <w:tr w:rsidR="00314B92">
        <w:trPr>
          <w:trHeight w:val="300"/>
        </w:trPr>
        <w:tc>
          <w:tcPr>
            <w:tcW w:w="1130" w:type="dxa"/>
            <w:vAlign w:val="center"/>
          </w:tcPr>
          <w:p w:rsidR="00314B92" w:rsidRDefault="00AD5F81">
            <w:pPr>
              <w:pStyle w:val="Normal1"/>
              <w:spacing w:after="0"/>
              <w:rPr>
                <w:color w:val="000000"/>
              </w:rPr>
            </w:pPr>
            <w:r>
              <w:rPr>
                <w:color w:val="000000"/>
              </w:rPr>
              <w:t>PCIME</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Prise en charge intégrée des maladies de l’enfant</w:t>
            </w:r>
          </w:p>
        </w:tc>
      </w:tr>
      <w:tr w:rsidR="00314B92">
        <w:trPr>
          <w:trHeight w:val="300"/>
        </w:trPr>
        <w:tc>
          <w:tcPr>
            <w:tcW w:w="1130" w:type="dxa"/>
            <w:shd w:val="clear" w:color="auto" w:fill="auto"/>
            <w:vAlign w:val="center"/>
          </w:tcPr>
          <w:p w:rsidR="00314B92" w:rsidRDefault="00AD5F81">
            <w:pPr>
              <w:pStyle w:val="Normal1"/>
              <w:spacing w:after="0"/>
              <w:rPr>
                <w:color w:val="000000"/>
              </w:rPr>
            </w:pPr>
            <w:r>
              <w:t>PCMAS</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t>Prise en charge communautaire de la malnutrition aigüe sévère</w:t>
            </w:r>
          </w:p>
        </w:tc>
      </w:tr>
      <w:tr w:rsidR="00314B92">
        <w:trPr>
          <w:trHeight w:val="300"/>
        </w:trPr>
        <w:tc>
          <w:tcPr>
            <w:tcW w:w="1130" w:type="dxa"/>
            <w:vAlign w:val="center"/>
          </w:tcPr>
          <w:p w:rsidR="00314B92" w:rsidRDefault="00AD5F81">
            <w:pPr>
              <w:pStyle w:val="Normal1"/>
              <w:spacing w:after="0"/>
              <w:rPr>
                <w:color w:val="000000"/>
              </w:rPr>
            </w:pPr>
            <w:r>
              <w:rPr>
                <w:color w:val="000000"/>
              </w:rPr>
              <w:t>PECADO</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Prise en charge du paludisme à domicile</w:t>
            </w:r>
          </w:p>
        </w:tc>
      </w:tr>
      <w:tr w:rsidR="00314B92">
        <w:trPr>
          <w:trHeight w:val="300"/>
        </w:trPr>
        <w:tc>
          <w:tcPr>
            <w:tcW w:w="1130" w:type="dxa"/>
            <w:vAlign w:val="center"/>
          </w:tcPr>
          <w:p w:rsidR="00314B92" w:rsidRDefault="00AD5F81">
            <w:pPr>
              <w:pStyle w:val="Normal1"/>
              <w:spacing w:after="0"/>
              <w:rPr>
                <w:color w:val="000000"/>
              </w:rPr>
            </w:pPr>
            <w:r>
              <w:rPr>
                <w:color w:val="000000"/>
              </w:rPr>
              <w:t>PMA</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Paquet minimum d’activités</w:t>
            </w:r>
          </w:p>
        </w:tc>
      </w:tr>
      <w:tr w:rsidR="00314B92">
        <w:trPr>
          <w:trHeight w:val="300"/>
        </w:trPr>
        <w:tc>
          <w:tcPr>
            <w:tcW w:w="1130" w:type="dxa"/>
            <w:vAlign w:val="center"/>
          </w:tcPr>
          <w:p w:rsidR="00314B92" w:rsidRDefault="00AD5F81">
            <w:pPr>
              <w:pStyle w:val="Normal1"/>
              <w:spacing w:after="0"/>
              <w:rPr>
                <w:color w:val="000000"/>
              </w:rPr>
            </w:pPr>
            <w:r>
              <w:rPr>
                <w:color w:val="000000"/>
              </w:rPr>
              <w:t>PNDES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Plan national de développement économique et social</w:t>
            </w:r>
          </w:p>
        </w:tc>
      </w:tr>
      <w:tr w:rsidR="00314B92">
        <w:trPr>
          <w:trHeight w:val="300"/>
        </w:trPr>
        <w:tc>
          <w:tcPr>
            <w:tcW w:w="1130" w:type="dxa"/>
            <w:vAlign w:val="center"/>
          </w:tcPr>
          <w:p w:rsidR="00314B92" w:rsidRDefault="00AD5F81">
            <w:pPr>
              <w:pStyle w:val="Normal1"/>
              <w:spacing w:after="0"/>
              <w:rPr>
                <w:color w:val="000000"/>
              </w:rPr>
            </w:pPr>
            <w:r>
              <w:rPr>
                <w:color w:val="000000"/>
              </w:rPr>
              <w:t>PNDS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Plan national de développement sanitaire</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PNLP</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 xml:space="preserve">Programme national de lutte contre le paludisme </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PNMNT</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Programme national de lutte contre les maladies non transmissibles</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PNMTN</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Programme national de lutte contre les maladies tropicales négligées</w:t>
            </w:r>
          </w:p>
        </w:tc>
      </w:tr>
      <w:tr w:rsidR="00314B92">
        <w:trPr>
          <w:trHeight w:val="60"/>
        </w:trPr>
        <w:tc>
          <w:tcPr>
            <w:tcW w:w="1130" w:type="dxa"/>
            <w:vAlign w:val="center"/>
          </w:tcPr>
          <w:p w:rsidR="00314B92" w:rsidRDefault="00AD5F81">
            <w:pPr>
              <w:pStyle w:val="Normal1"/>
              <w:spacing w:after="0"/>
              <w:rPr>
                <w:color w:val="000000"/>
              </w:rPr>
            </w:pPr>
            <w:r>
              <w:rPr>
                <w:color w:val="000000"/>
              </w:rPr>
              <w:t>PNS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pPr>
            <w:r>
              <w:t xml:space="preserve">Politique nationale de santé </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PNT</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Programme national de lutte contre la tuberculose</w:t>
            </w:r>
          </w:p>
        </w:tc>
      </w:tr>
      <w:tr w:rsidR="00314B92">
        <w:trPr>
          <w:trHeight w:val="300"/>
        </w:trPr>
        <w:tc>
          <w:tcPr>
            <w:tcW w:w="1130" w:type="dxa"/>
            <w:shd w:val="clear" w:color="auto" w:fill="auto"/>
            <w:vAlign w:val="center"/>
          </w:tcPr>
          <w:p w:rsidR="00314B92" w:rsidRDefault="00AD5F81">
            <w:pPr>
              <w:pStyle w:val="Normal1"/>
              <w:spacing w:after="0"/>
              <w:rPr>
                <w:color w:val="000000"/>
              </w:rPr>
            </w:pPr>
            <w:r>
              <w:rPr>
                <w:color w:val="000000"/>
              </w:rPr>
              <w:t>PSSLS</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rPr>
                <w:color w:val="000000"/>
              </w:rPr>
            </w:pPr>
            <w:r>
              <w:rPr>
                <w:color w:val="000000"/>
              </w:rPr>
              <w:t xml:space="preserve">Programme sectoriel santé de lutte contre le VIH/SIDA/IST </w:t>
            </w:r>
          </w:p>
        </w:tc>
      </w:tr>
      <w:tr w:rsidR="00314B92">
        <w:trPr>
          <w:trHeight w:val="100"/>
        </w:trPr>
        <w:tc>
          <w:tcPr>
            <w:tcW w:w="1130" w:type="dxa"/>
            <w:shd w:val="clear" w:color="auto" w:fill="auto"/>
            <w:vAlign w:val="center"/>
          </w:tcPr>
          <w:p w:rsidR="00314B92" w:rsidRDefault="00AD5F81">
            <w:pPr>
              <w:pStyle w:val="Normal1"/>
              <w:spacing w:after="0"/>
            </w:pPr>
            <w:r>
              <w:t>PTF</w:t>
            </w:r>
          </w:p>
        </w:tc>
        <w:tc>
          <w:tcPr>
            <w:tcW w:w="287" w:type="dxa"/>
            <w:vAlign w:val="center"/>
          </w:tcPr>
          <w:p w:rsidR="00314B92" w:rsidRDefault="00AD5F81">
            <w:pPr>
              <w:pStyle w:val="Normal1"/>
              <w:spacing w:after="0"/>
              <w:rPr>
                <w:color w:val="000000"/>
              </w:rPr>
            </w:pPr>
            <w:r>
              <w:rPr>
                <w:color w:val="000000"/>
              </w:rPr>
              <w:t>:</w:t>
            </w:r>
          </w:p>
        </w:tc>
        <w:tc>
          <w:tcPr>
            <w:tcW w:w="7657" w:type="dxa"/>
            <w:shd w:val="clear" w:color="auto" w:fill="auto"/>
            <w:vAlign w:val="center"/>
          </w:tcPr>
          <w:p w:rsidR="00314B92" w:rsidRDefault="00AD5F81">
            <w:pPr>
              <w:pStyle w:val="Normal1"/>
              <w:spacing w:after="0"/>
            </w:pPr>
            <w:r>
              <w:t>Partenaire technique et financier</w:t>
            </w:r>
          </w:p>
        </w:tc>
      </w:tr>
      <w:tr w:rsidR="00314B92">
        <w:trPr>
          <w:trHeight w:val="300"/>
        </w:trPr>
        <w:tc>
          <w:tcPr>
            <w:tcW w:w="1130" w:type="dxa"/>
            <w:vAlign w:val="center"/>
          </w:tcPr>
          <w:p w:rsidR="00314B92" w:rsidRDefault="00AD5F81">
            <w:pPr>
              <w:pStyle w:val="Normal1"/>
              <w:spacing w:after="0"/>
              <w:rPr>
                <w:color w:val="000000"/>
              </w:rPr>
            </w:pPr>
            <w:r>
              <w:rPr>
                <w:color w:val="000000"/>
              </w:rPr>
              <w:t>PTME</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Prévention de la transmission mère-enfant</w:t>
            </w:r>
          </w:p>
        </w:tc>
      </w:tr>
      <w:tr w:rsidR="00314B92">
        <w:trPr>
          <w:trHeight w:val="300"/>
        </w:trPr>
        <w:tc>
          <w:tcPr>
            <w:tcW w:w="1130" w:type="dxa"/>
            <w:vAlign w:val="center"/>
          </w:tcPr>
          <w:p w:rsidR="00314B92" w:rsidRDefault="00AD5F81">
            <w:pPr>
              <w:pStyle w:val="Normal1"/>
              <w:spacing w:after="0"/>
              <w:rPr>
                <w:color w:val="000000"/>
              </w:rPr>
            </w:pPr>
            <w:r>
              <w:rPr>
                <w:color w:val="000000"/>
              </w:rPr>
              <w:t>PVVIH</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Personne vivant avec le VIH</w:t>
            </w:r>
          </w:p>
        </w:tc>
      </w:tr>
      <w:tr w:rsidR="00314B92">
        <w:trPr>
          <w:trHeight w:val="300"/>
        </w:trPr>
        <w:tc>
          <w:tcPr>
            <w:tcW w:w="1130" w:type="dxa"/>
            <w:vAlign w:val="center"/>
          </w:tcPr>
          <w:p w:rsidR="00314B92" w:rsidRDefault="00AD5F81">
            <w:pPr>
              <w:pStyle w:val="Normal1"/>
              <w:spacing w:after="0"/>
              <w:rPr>
                <w:color w:val="000000"/>
              </w:rPr>
            </w:pPr>
            <w:r>
              <w:rPr>
                <w:color w:val="000000"/>
              </w:rPr>
              <w:t>RGPH</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Recensement général de la population et de l’habitat</w:t>
            </w:r>
          </w:p>
        </w:tc>
      </w:tr>
      <w:tr w:rsidR="00314B92">
        <w:trPr>
          <w:trHeight w:val="300"/>
        </w:trPr>
        <w:tc>
          <w:tcPr>
            <w:tcW w:w="1130" w:type="dxa"/>
            <w:vAlign w:val="center"/>
          </w:tcPr>
          <w:p w:rsidR="00314B92" w:rsidRDefault="00AD5F81">
            <w:pPr>
              <w:pStyle w:val="Normal1"/>
              <w:spacing w:after="0"/>
              <w:rPr>
                <w:color w:val="000000"/>
              </w:rPr>
            </w:pPr>
            <w:r>
              <w:rPr>
                <w:color w:val="000000"/>
              </w:rPr>
              <w:t>RHS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Ressources humaines en santé</w:t>
            </w:r>
          </w:p>
        </w:tc>
      </w:tr>
      <w:tr w:rsidR="00314B92">
        <w:trPr>
          <w:trHeight w:val="300"/>
        </w:trPr>
        <w:tc>
          <w:tcPr>
            <w:tcW w:w="1130" w:type="dxa"/>
            <w:vAlign w:val="center"/>
          </w:tcPr>
          <w:p w:rsidR="00314B92" w:rsidRDefault="00AD5F81">
            <w:pPr>
              <w:pStyle w:val="Normal1"/>
              <w:spacing w:after="0"/>
              <w:rPr>
                <w:color w:val="000000"/>
              </w:rPr>
            </w:pPr>
            <w:r>
              <w:rPr>
                <w:color w:val="000000"/>
              </w:rPr>
              <w:t>RSI </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Règlement sanitaire international </w:t>
            </w:r>
          </w:p>
        </w:tc>
      </w:tr>
      <w:tr w:rsidR="00314B92">
        <w:trPr>
          <w:trHeight w:val="300"/>
        </w:trPr>
        <w:tc>
          <w:tcPr>
            <w:tcW w:w="1130" w:type="dxa"/>
            <w:vAlign w:val="center"/>
          </w:tcPr>
          <w:p w:rsidR="00314B92" w:rsidRDefault="00AD5F81">
            <w:pPr>
              <w:pStyle w:val="Normal1"/>
              <w:spacing w:after="0"/>
              <w:rPr>
                <w:color w:val="000000"/>
              </w:rPr>
            </w:pPr>
            <w:r>
              <w:rPr>
                <w:color w:val="000000"/>
              </w:rPr>
              <w:t>SCADD</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Stratégie de croissance accélérée pour le développement durable</w:t>
            </w:r>
          </w:p>
        </w:tc>
      </w:tr>
      <w:tr w:rsidR="00314B92">
        <w:trPr>
          <w:trHeight w:val="300"/>
        </w:trPr>
        <w:tc>
          <w:tcPr>
            <w:tcW w:w="1130" w:type="dxa"/>
            <w:vAlign w:val="center"/>
          </w:tcPr>
          <w:p w:rsidR="00314B92" w:rsidRDefault="00AD5F81">
            <w:pPr>
              <w:pStyle w:val="Normal1"/>
              <w:spacing w:after="0"/>
              <w:rPr>
                <w:color w:val="000000"/>
              </w:rPr>
            </w:pPr>
            <w:r>
              <w:rPr>
                <w:color w:val="000000"/>
              </w:rPr>
              <w:t>SNIS</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Système national d’information sanitaire</w:t>
            </w:r>
          </w:p>
        </w:tc>
      </w:tr>
      <w:tr w:rsidR="00314B92">
        <w:trPr>
          <w:trHeight w:val="300"/>
        </w:trPr>
        <w:tc>
          <w:tcPr>
            <w:tcW w:w="1130" w:type="dxa"/>
            <w:vAlign w:val="center"/>
          </w:tcPr>
          <w:p w:rsidR="00314B92" w:rsidRDefault="00AD5F81">
            <w:pPr>
              <w:pStyle w:val="Normal1"/>
              <w:spacing w:after="0"/>
              <w:rPr>
                <w:color w:val="000000"/>
              </w:rPr>
            </w:pPr>
            <w:r>
              <w:rPr>
                <w:color w:val="000000"/>
              </w:rPr>
              <w:t>SOGEMAB</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Société générale d’équipements et de maintenance biomédicale</w:t>
            </w:r>
          </w:p>
        </w:tc>
      </w:tr>
      <w:tr w:rsidR="00314B92">
        <w:trPr>
          <w:trHeight w:val="300"/>
        </w:trPr>
        <w:tc>
          <w:tcPr>
            <w:tcW w:w="1130" w:type="dxa"/>
            <w:vAlign w:val="center"/>
          </w:tcPr>
          <w:p w:rsidR="00314B92" w:rsidRDefault="00AD5F81">
            <w:pPr>
              <w:pStyle w:val="Normal1"/>
              <w:spacing w:after="0"/>
              <w:rPr>
                <w:color w:val="000000"/>
              </w:rPr>
            </w:pPr>
            <w:r>
              <w:rPr>
                <w:color w:val="000000"/>
              </w:rPr>
              <w:t>SONU</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Soins obstétricaux et néonatals d’urgence</w:t>
            </w:r>
          </w:p>
        </w:tc>
      </w:tr>
      <w:tr w:rsidR="00314B92">
        <w:trPr>
          <w:trHeight w:val="300"/>
        </w:trPr>
        <w:tc>
          <w:tcPr>
            <w:tcW w:w="1130" w:type="dxa"/>
            <w:vAlign w:val="center"/>
          </w:tcPr>
          <w:p w:rsidR="00314B92" w:rsidRDefault="00AD5F81">
            <w:pPr>
              <w:pStyle w:val="Normal1"/>
              <w:spacing w:after="0"/>
              <w:rPr>
                <w:color w:val="000000"/>
              </w:rPr>
            </w:pPr>
            <w:r>
              <w:rPr>
                <w:color w:val="000000"/>
              </w:rPr>
              <w:t>SONUB</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Soins obstétricaux et néonatals d’urgence de base</w:t>
            </w:r>
          </w:p>
        </w:tc>
      </w:tr>
      <w:tr w:rsidR="00314B92">
        <w:trPr>
          <w:trHeight w:val="300"/>
        </w:trPr>
        <w:tc>
          <w:tcPr>
            <w:tcW w:w="1130" w:type="dxa"/>
            <w:vAlign w:val="center"/>
          </w:tcPr>
          <w:p w:rsidR="00314B92" w:rsidRDefault="00AD5F81">
            <w:pPr>
              <w:pStyle w:val="Normal1"/>
              <w:spacing w:after="0"/>
              <w:rPr>
                <w:color w:val="000000"/>
              </w:rPr>
            </w:pPr>
            <w:r>
              <w:rPr>
                <w:color w:val="000000"/>
              </w:rPr>
              <w:t>SONUC</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Soins obstétricaux et néonatals d’urgence complet</w:t>
            </w:r>
          </w:p>
        </w:tc>
      </w:tr>
      <w:tr w:rsidR="00314B92">
        <w:trPr>
          <w:trHeight w:val="300"/>
        </w:trPr>
        <w:tc>
          <w:tcPr>
            <w:tcW w:w="1130" w:type="dxa"/>
            <w:vAlign w:val="center"/>
          </w:tcPr>
          <w:p w:rsidR="00314B92" w:rsidRDefault="00AD5F81">
            <w:pPr>
              <w:pStyle w:val="Normal1"/>
              <w:spacing w:after="0"/>
              <w:rPr>
                <w:color w:val="000000"/>
              </w:rPr>
            </w:pPr>
            <w:r>
              <w:rPr>
                <w:color w:val="000000"/>
              </w:rPr>
              <w:t>SRAJ</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Santé de la reproduction, de l’adolescent/jeune</w:t>
            </w:r>
          </w:p>
        </w:tc>
      </w:tr>
      <w:tr w:rsidR="00314B92">
        <w:trPr>
          <w:trHeight w:val="300"/>
        </w:trPr>
        <w:tc>
          <w:tcPr>
            <w:tcW w:w="1130" w:type="dxa"/>
            <w:vAlign w:val="center"/>
          </w:tcPr>
          <w:p w:rsidR="00314B92" w:rsidRDefault="00AD5F81">
            <w:pPr>
              <w:pStyle w:val="Normal1"/>
              <w:spacing w:after="0"/>
              <w:rPr>
                <w:color w:val="000000"/>
              </w:rPr>
            </w:pPr>
            <w:r>
              <w:rPr>
                <w:color w:val="000000"/>
              </w:rPr>
              <w:t>SSP</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Soins de santé primaire</w:t>
            </w:r>
          </w:p>
        </w:tc>
      </w:tr>
      <w:tr w:rsidR="00314B92">
        <w:trPr>
          <w:trHeight w:val="300"/>
        </w:trPr>
        <w:tc>
          <w:tcPr>
            <w:tcW w:w="1130" w:type="dxa"/>
            <w:vAlign w:val="center"/>
          </w:tcPr>
          <w:p w:rsidR="00314B92" w:rsidRDefault="00AD5F81">
            <w:pPr>
              <w:pStyle w:val="Normal1"/>
              <w:spacing w:after="0"/>
              <w:rPr>
                <w:color w:val="000000"/>
              </w:rPr>
            </w:pPr>
            <w:r>
              <w:rPr>
                <w:color w:val="000000"/>
              </w:rPr>
              <w:t>TDR</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Test de diagnostic rapide </w:t>
            </w:r>
          </w:p>
        </w:tc>
      </w:tr>
      <w:tr w:rsidR="00314B92">
        <w:trPr>
          <w:trHeight w:val="300"/>
        </w:trPr>
        <w:tc>
          <w:tcPr>
            <w:tcW w:w="1130" w:type="dxa"/>
            <w:vAlign w:val="center"/>
          </w:tcPr>
          <w:p w:rsidR="00314B92" w:rsidRDefault="00AD5F81">
            <w:pPr>
              <w:pStyle w:val="Normal1"/>
              <w:spacing w:after="0"/>
              <w:rPr>
                <w:color w:val="000000"/>
              </w:rPr>
            </w:pPr>
            <w:r>
              <w:rPr>
                <w:color w:val="000000"/>
              </w:rPr>
              <w:t>TETU</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Tri Evaluation traitement en Urgence</w:t>
            </w:r>
          </w:p>
        </w:tc>
      </w:tr>
      <w:tr w:rsidR="00314B92">
        <w:trPr>
          <w:trHeight w:val="300"/>
        </w:trPr>
        <w:tc>
          <w:tcPr>
            <w:tcW w:w="1130" w:type="dxa"/>
            <w:vAlign w:val="center"/>
          </w:tcPr>
          <w:p w:rsidR="00314B92" w:rsidRDefault="00AD5F81">
            <w:pPr>
              <w:pStyle w:val="Normal1"/>
              <w:spacing w:after="0"/>
              <w:rPr>
                <w:color w:val="000000"/>
              </w:rPr>
            </w:pPr>
            <w:r>
              <w:rPr>
                <w:color w:val="000000"/>
              </w:rPr>
              <w:t>UE</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 xml:space="preserve">Union Européenne </w:t>
            </w:r>
          </w:p>
        </w:tc>
      </w:tr>
      <w:tr w:rsidR="00314B92">
        <w:trPr>
          <w:trHeight w:val="300"/>
        </w:trPr>
        <w:tc>
          <w:tcPr>
            <w:tcW w:w="1130" w:type="dxa"/>
            <w:vAlign w:val="center"/>
          </w:tcPr>
          <w:p w:rsidR="00314B92" w:rsidRDefault="00AD5F81">
            <w:pPr>
              <w:pStyle w:val="Normal1"/>
              <w:spacing w:after="0"/>
              <w:rPr>
                <w:color w:val="000000"/>
              </w:rPr>
            </w:pPr>
            <w:r>
              <w:rPr>
                <w:color w:val="000000"/>
              </w:rPr>
              <w:t>VIH/SIDA</w:t>
            </w:r>
          </w:p>
        </w:tc>
        <w:tc>
          <w:tcPr>
            <w:tcW w:w="287" w:type="dxa"/>
            <w:vAlign w:val="center"/>
          </w:tcPr>
          <w:p w:rsidR="00314B92" w:rsidRDefault="00AD5F81">
            <w:pPr>
              <w:pStyle w:val="Normal1"/>
              <w:spacing w:after="0"/>
              <w:rPr>
                <w:color w:val="000000"/>
              </w:rPr>
            </w:pPr>
            <w:r>
              <w:rPr>
                <w:color w:val="000000"/>
              </w:rPr>
              <w:t>:</w:t>
            </w:r>
          </w:p>
        </w:tc>
        <w:tc>
          <w:tcPr>
            <w:tcW w:w="7657" w:type="dxa"/>
            <w:vAlign w:val="center"/>
          </w:tcPr>
          <w:p w:rsidR="00314B92" w:rsidRDefault="00AD5F81">
            <w:pPr>
              <w:pStyle w:val="Normal1"/>
              <w:spacing w:after="0"/>
              <w:rPr>
                <w:color w:val="000000"/>
              </w:rPr>
            </w:pPr>
            <w:r>
              <w:rPr>
                <w:color w:val="000000"/>
              </w:rPr>
              <w:t>Virus de l’immunodéficience humain/Syndrome de l’immunodéficience acquise</w:t>
            </w:r>
          </w:p>
        </w:tc>
      </w:tr>
      <w:tr w:rsidR="00AF32CF" w:rsidRPr="00AF32CF">
        <w:trPr>
          <w:trHeight w:val="300"/>
        </w:trPr>
        <w:tc>
          <w:tcPr>
            <w:tcW w:w="1130" w:type="dxa"/>
            <w:vAlign w:val="center"/>
          </w:tcPr>
          <w:p w:rsidR="00AF32CF" w:rsidRDefault="00AF32CF">
            <w:pPr>
              <w:pStyle w:val="Normal1"/>
              <w:spacing w:after="0"/>
              <w:rPr>
                <w:color w:val="000000"/>
              </w:rPr>
            </w:pPr>
            <w:r w:rsidRPr="00AF32CF">
              <w:rPr>
                <w:sz w:val="24"/>
                <w:szCs w:val="24"/>
                <w:lang w:val="en-US"/>
              </w:rPr>
              <w:t>WISN</w:t>
            </w:r>
          </w:p>
        </w:tc>
        <w:tc>
          <w:tcPr>
            <w:tcW w:w="287" w:type="dxa"/>
            <w:vAlign w:val="center"/>
          </w:tcPr>
          <w:p w:rsidR="00AF32CF" w:rsidRDefault="00AF32CF">
            <w:pPr>
              <w:pStyle w:val="Normal1"/>
              <w:spacing w:after="0"/>
              <w:rPr>
                <w:color w:val="000000"/>
              </w:rPr>
            </w:pPr>
            <w:r>
              <w:rPr>
                <w:color w:val="000000"/>
              </w:rPr>
              <w:t>:</w:t>
            </w:r>
          </w:p>
        </w:tc>
        <w:tc>
          <w:tcPr>
            <w:tcW w:w="7657" w:type="dxa"/>
            <w:vAlign w:val="center"/>
          </w:tcPr>
          <w:p w:rsidR="00AF32CF" w:rsidRPr="00AF32CF" w:rsidRDefault="00AF32CF">
            <w:pPr>
              <w:pStyle w:val="Normal1"/>
              <w:spacing w:after="0"/>
              <w:rPr>
                <w:color w:val="000000"/>
                <w:lang w:val="en-US"/>
              </w:rPr>
            </w:pPr>
            <w:r w:rsidRPr="00AF32CF">
              <w:rPr>
                <w:sz w:val="24"/>
                <w:szCs w:val="24"/>
                <w:lang w:val="en-US"/>
              </w:rPr>
              <w:t>Workload Indicators Staffing Needed</w:t>
            </w:r>
          </w:p>
        </w:tc>
      </w:tr>
    </w:tbl>
    <w:p w:rsidR="006D2860" w:rsidRPr="00D87541" w:rsidRDefault="009B5EB2">
      <w:pPr>
        <w:pStyle w:val="Titre1"/>
        <w:rPr>
          <w:b w:val="0"/>
        </w:rPr>
      </w:pPr>
      <w:r w:rsidRPr="00D87541">
        <w:rPr>
          <w:color w:val="000000"/>
        </w:rPr>
        <w:lastRenderedPageBreak/>
        <w:t>RESUME</w:t>
      </w:r>
    </w:p>
    <w:p w:rsidR="00314B92" w:rsidRDefault="00AD5F81">
      <w:pPr>
        <w:pStyle w:val="Normal1"/>
        <w:jc w:val="both"/>
        <w:rPr>
          <w:sz w:val="24"/>
          <w:szCs w:val="24"/>
        </w:rPr>
      </w:pPr>
      <w:r>
        <w:rPr>
          <w:sz w:val="24"/>
          <w:szCs w:val="24"/>
        </w:rPr>
        <w:t xml:space="preserve">Au </w:t>
      </w:r>
      <w:r w:rsidR="00541F91">
        <w:rPr>
          <w:sz w:val="24"/>
          <w:szCs w:val="24"/>
        </w:rPr>
        <w:t>cours des 15 dernières années, le Burkina Faso</w:t>
      </w:r>
      <w:r>
        <w:rPr>
          <w:sz w:val="24"/>
          <w:szCs w:val="24"/>
        </w:rPr>
        <w:t xml:space="preserve"> comme </w:t>
      </w:r>
      <w:r w:rsidR="00541F91">
        <w:rPr>
          <w:sz w:val="24"/>
          <w:szCs w:val="24"/>
        </w:rPr>
        <w:t xml:space="preserve">la plupart </w:t>
      </w:r>
      <w:r>
        <w:rPr>
          <w:sz w:val="24"/>
          <w:szCs w:val="24"/>
        </w:rPr>
        <w:t>de</w:t>
      </w:r>
      <w:r w:rsidR="00541F91">
        <w:rPr>
          <w:sz w:val="24"/>
          <w:szCs w:val="24"/>
        </w:rPr>
        <w:t>s</w:t>
      </w:r>
      <w:r>
        <w:rPr>
          <w:sz w:val="24"/>
          <w:szCs w:val="24"/>
        </w:rPr>
        <w:t xml:space="preserve"> pays d’A</w:t>
      </w:r>
      <w:r w:rsidR="00541F91">
        <w:rPr>
          <w:sz w:val="24"/>
          <w:szCs w:val="24"/>
        </w:rPr>
        <w:t>frique sub-saharienne a réalisé</w:t>
      </w:r>
      <w:r>
        <w:rPr>
          <w:sz w:val="24"/>
          <w:szCs w:val="24"/>
        </w:rPr>
        <w:t xml:space="preserve"> des progrès remarquables ont été réalisés </w:t>
      </w:r>
      <w:r w:rsidR="00541F91">
        <w:rPr>
          <w:sz w:val="24"/>
          <w:szCs w:val="24"/>
        </w:rPr>
        <w:t xml:space="preserve">en termes de réduction de </w:t>
      </w:r>
      <w:r>
        <w:rPr>
          <w:sz w:val="24"/>
          <w:szCs w:val="24"/>
        </w:rPr>
        <w:t>la m</w:t>
      </w:r>
      <w:r w:rsidR="00541F91">
        <w:rPr>
          <w:sz w:val="24"/>
          <w:szCs w:val="24"/>
        </w:rPr>
        <w:t xml:space="preserve">ortalité maternelle, néo-natale, </w:t>
      </w:r>
      <w:r>
        <w:rPr>
          <w:sz w:val="24"/>
          <w:szCs w:val="24"/>
        </w:rPr>
        <w:t>infanto-juvénile et de</w:t>
      </w:r>
      <w:r w:rsidR="00541F91">
        <w:rPr>
          <w:sz w:val="24"/>
          <w:szCs w:val="24"/>
        </w:rPr>
        <w:t xml:space="preserve"> la </w:t>
      </w:r>
      <w:r>
        <w:rPr>
          <w:sz w:val="24"/>
          <w:szCs w:val="24"/>
        </w:rPr>
        <w:t xml:space="preserve"> </w:t>
      </w:r>
      <w:r w:rsidR="00541F91">
        <w:rPr>
          <w:sz w:val="24"/>
          <w:szCs w:val="24"/>
        </w:rPr>
        <w:t>mal</w:t>
      </w:r>
      <w:r>
        <w:rPr>
          <w:sz w:val="24"/>
          <w:szCs w:val="24"/>
        </w:rPr>
        <w:t>nutrition. Mais ces progrès sont restés insuffisants pour atteindre les cibles fixées au niveau national et au niveau mondial.</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 xml:space="preserve">Dans ce contexte, l’adhésion du Burkina Faso au Global Financing Facilities (GFF) en septembre 2017 </w:t>
      </w:r>
      <w:r w:rsidR="00541F91">
        <w:rPr>
          <w:color w:val="000000"/>
          <w:sz w:val="24"/>
          <w:szCs w:val="24"/>
        </w:rPr>
        <w:t xml:space="preserve">est </w:t>
      </w:r>
      <w:r>
        <w:rPr>
          <w:color w:val="000000"/>
          <w:sz w:val="24"/>
          <w:szCs w:val="24"/>
        </w:rPr>
        <w:t xml:space="preserve">une opportunité pour focaliser les efforts et </w:t>
      </w:r>
      <w:r w:rsidR="00541F91">
        <w:rPr>
          <w:color w:val="000000"/>
          <w:sz w:val="24"/>
          <w:szCs w:val="24"/>
        </w:rPr>
        <w:t xml:space="preserve">réduire les </w:t>
      </w:r>
      <w:r>
        <w:rPr>
          <w:color w:val="000000"/>
          <w:sz w:val="24"/>
          <w:szCs w:val="24"/>
        </w:rPr>
        <w:t xml:space="preserve">disparités en </w:t>
      </w:r>
      <w:r w:rsidR="00541F91">
        <w:rPr>
          <w:color w:val="000000"/>
          <w:sz w:val="24"/>
          <w:szCs w:val="24"/>
        </w:rPr>
        <w:t xml:space="preserve">SRMNEAN, </w:t>
      </w:r>
      <w:r>
        <w:rPr>
          <w:color w:val="000000"/>
          <w:sz w:val="24"/>
          <w:szCs w:val="24"/>
        </w:rPr>
        <w:t xml:space="preserve">enregistrement des faits d’état civil et </w:t>
      </w:r>
      <w:r w:rsidR="00541F91">
        <w:rPr>
          <w:color w:val="000000"/>
          <w:sz w:val="24"/>
          <w:szCs w:val="24"/>
        </w:rPr>
        <w:t xml:space="preserve">production </w:t>
      </w:r>
      <w:r>
        <w:rPr>
          <w:color w:val="000000"/>
          <w:sz w:val="24"/>
          <w:szCs w:val="24"/>
        </w:rPr>
        <w:t>des statistiques vitales. A cet effet, le Pays a décidé de préparer, de manière inclusive</w:t>
      </w:r>
      <w:r w:rsidR="00541F91">
        <w:rPr>
          <w:color w:val="000000"/>
          <w:sz w:val="24"/>
          <w:szCs w:val="24"/>
        </w:rPr>
        <w:t xml:space="preserve"> et participative</w:t>
      </w:r>
      <w:r>
        <w:rPr>
          <w:color w:val="000000"/>
          <w:sz w:val="24"/>
          <w:szCs w:val="24"/>
        </w:rPr>
        <w:t>, un dossier d’investissement en SRMNEAN. L’Equipe fonctionnelle 7, à travers quatre sous-groupes, a</w:t>
      </w:r>
      <w:r w:rsidR="00541F91">
        <w:rPr>
          <w:color w:val="000000"/>
          <w:sz w:val="24"/>
          <w:szCs w:val="24"/>
        </w:rPr>
        <w:t xml:space="preserve"> produit </w:t>
      </w:r>
      <w:r>
        <w:rPr>
          <w:color w:val="000000"/>
          <w:sz w:val="24"/>
          <w:szCs w:val="24"/>
        </w:rPr>
        <w:t>un travail préparatoire (Rapports des sous-groupes, Cartographi</w:t>
      </w:r>
      <w:r w:rsidR="00541F91">
        <w:rPr>
          <w:color w:val="000000"/>
          <w:sz w:val="24"/>
          <w:szCs w:val="24"/>
        </w:rPr>
        <w:t>e des interventions) qui a servi de support à</w:t>
      </w:r>
      <w:r>
        <w:rPr>
          <w:color w:val="000000"/>
          <w:sz w:val="24"/>
          <w:szCs w:val="24"/>
        </w:rPr>
        <w:t xml:space="preserve"> la rédaction de ce dossier d’investissement par une équipe de quatre consultants nationaux (2) et internationaux (2).</w:t>
      </w:r>
      <w:r w:rsidR="00541F91">
        <w:rPr>
          <w:color w:val="000000"/>
          <w:sz w:val="24"/>
          <w:szCs w:val="24"/>
        </w:rPr>
        <w:t xml:space="preserve"> </w:t>
      </w:r>
      <w:r>
        <w:rPr>
          <w:color w:val="000000"/>
          <w:sz w:val="24"/>
          <w:szCs w:val="24"/>
        </w:rPr>
        <w:t>La métho</w:t>
      </w:r>
      <w:r w:rsidR="00541F91">
        <w:rPr>
          <w:color w:val="000000"/>
          <w:sz w:val="24"/>
          <w:szCs w:val="24"/>
        </w:rPr>
        <w:t>dologie était basée sur</w:t>
      </w:r>
      <w:r>
        <w:rPr>
          <w:color w:val="000000"/>
          <w:sz w:val="24"/>
          <w:szCs w:val="24"/>
        </w:rPr>
        <w:t xml:space="preserve"> une revue documentaire exhaustive et </w:t>
      </w:r>
      <w:r w:rsidR="00541F91">
        <w:rPr>
          <w:color w:val="000000"/>
          <w:sz w:val="24"/>
          <w:szCs w:val="24"/>
        </w:rPr>
        <w:t>l’</w:t>
      </w:r>
      <w:r>
        <w:rPr>
          <w:color w:val="000000"/>
          <w:sz w:val="24"/>
          <w:szCs w:val="24"/>
        </w:rPr>
        <w:t xml:space="preserve">utilisation de l’outil EQUIST pour l’analyse des </w:t>
      </w:r>
      <w:r w:rsidR="00541F91">
        <w:rPr>
          <w:color w:val="000000"/>
          <w:sz w:val="24"/>
          <w:szCs w:val="24"/>
        </w:rPr>
        <w:t xml:space="preserve">causes des </w:t>
      </w:r>
      <w:r>
        <w:rPr>
          <w:color w:val="000000"/>
          <w:sz w:val="24"/>
          <w:szCs w:val="24"/>
        </w:rPr>
        <w:t>goulots, ainsi que l’identification de stratégies efficientes. L</w:t>
      </w:r>
      <w:r w:rsidR="00541F91">
        <w:rPr>
          <w:color w:val="000000"/>
          <w:sz w:val="24"/>
          <w:szCs w:val="24"/>
        </w:rPr>
        <w:t>e calcul du montant de l’investissement</w:t>
      </w:r>
      <w:r>
        <w:rPr>
          <w:color w:val="000000"/>
          <w:sz w:val="24"/>
          <w:szCs w:val="24"/>
        </w:rPr>
        <w:t xml:space="preserve"> a été fait avec l’outil OneHealth. </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Le dossier d’investissement, ainsi rédigé dans le respect des principes et orientations de GFF, apporte une réponse cohérente à cinq questions principales:</w:t>
      </w:r>
    </w:p>
    <w:p w:rsidR="00314B92" w:rsidRDefault="00AD5F81" w:rsidP="00F20185">
      <w:pPr>
        <w:pStyle w:val="Normal1"/>
        <w:widowControl w:val="0"/>
        <w:numPr>
          <w:ilvl w:val="0"/>
          <w:numId w:val="29"/>
        </w:numPr>
        <w:pBdr>
          <w:top w:val="nil"/>
          <w:left w:val="nil"/>
          <w:bottom w:val="nil"/>
          <w:right w:val="nil"/>
          <w:between w:val="nil"/>
        </w:pBdr>
        <w:spacing w:before="60" w:after="60"/>
        <w:jc w:val="both"/>
        <w:rPr>
          <w:color w:val="000000"/>
          <w:sz w:val="24"/>
          <w:szCs w:val="24"/>
        </w:rPr>
      </w:pPr>
      <w:r>
        <w:rPr>
          <w:color w:val="000000"/>
          <w:sz w:val="24"/>
          <w:szCs w:val="24"/>
        </w:rPr>
        <w:t>Où en sommes-nous en SRM</w:t>
      </w:r>
      <w:r w:rsidR="00357F3B">
        <w:rPr>
          <w:color w:val="000000"/>
          <w:sz w:val="24"/>
          <w:szCs w:val="24"/>
        </w:rPr>
        <w:t>NEAN, e</w:t>
      </w:r>
      <w:r>
        <w:rPr>
          <w:color w:val="000000"/>
          <w:sz w:val="24"/>
          <w:szCs w:val="24"/>
        </w:rPr>
        <w:t xml:space="preserve">nregistrement des faits d’état civil et </w:t>
      </w:r>
      <w:r w:rsidR="00357F3B">
        <w:rPr>
          <w:color w:val="000000"/>
          <w:sz w:val="24"/>
          <w:szCs w:val="24"/>
        </w:rPr>
        <w:t xml:space="preserve">production des </w:t>
      </w:r>
      <w:r>
        <w:rPr>
          <w:color w:val="000000"/>
          <w:sz w:val="24"/>
          <w:szCs w:val="24"/>
        </w:rPr>
        <w:t>statistiques vitales?</w:t>
      </w:r>
    </w:p>
    <w:p w:rsidR="00314B92" w:rsidRDefault="00AD5F81" w:rsidP="00F20185">
      <w:pPr>
        <w:pStyle w:val="Normal1"/>
        <w:widowControl w:val="0"/>
        <w:numPr>
          <w:ilvl w:val="0"/>
          <w:numId w:val="29"/>
        </w:numPr>
        <w:pBdr>
          <w:top w:val="nil"/>
          <w:left w:val="nil"/>
          <w:bottom w:val="nil"/>
          <w:right w:val="nil"/>
          <w:between w:val="nil"/>
        </w:pBdr>
        <w:spacing w:before="60" w:after="60"/>
        <w:jc w:val="both"/>
        <w:rPr>
          <w:color w:val="000000"/>
          <w:sz w:val="24"/>
          <w:szCs w:val="24"/>
        </w:rPr>
      </w:pPr>
      <w:r>
        <w:rPr>
          <w:color w:val="000000"/>
          <w:sz w:val="24"/>
          <w:szCs w:val="24"/>
        </w:rPr>
        <w:t>Quels sont les principaux goulots d’étranglement et leurs causes?</w:t>
      </w:r>
    </w:p>
    <w:p w:rsidR="00314B92" w:rsidRDefault="00AD5F81" w:rsidP="00F20185">
      <w:pPr>
        <w:pStyle w:val="Normal1"/>
        <w:widowControl w:val="0"/>
        <w:numPr>
          <w:ilvl w:val="0"/>
          <w:numId w:val="29"/>
        </w:numPr>
        <w:pBdr>
          <w:top w:val="nil"/>
          <w:left w:val="nil"/>
          <w:bottom w:val="nil"/>
          <w:right w:val="nil"/>
          <w:between w:val="nil"/>
        </w:pBdr>
        <w:spacing w:before="60" w:after="60"/>
        <w:jc w:val="both"/>
        <w:rPr>
          <w:color w:val="000000"/>
          <w:sz w:val="24"/>
          <w:szCs w:val="24"/>
        </w:rPr>
      </w:pPr>
      <w:r>
        <w:rPr>
          <w:color w:val="000000"/>
          <w:sz w:val="24"/>
          <w:szCs w:val="24"/>
        </w:rPr>
        <w:t>Quelle est la réponse pour lever ces goulots d’étranglement?</w:t>
      </w:r>
    </w:p>
    <w:p w:rsidR="00314B92" w:rsidRDefault="00AD5F81" w:rsidP="00F20185">
      <w:pPr>
        <w:pStyle w:val="Normal1"/>
        <w:widowControl w:val="0"/>
        <w:numPr>
          <w:ilvl w:val="0"/>
          <w:numId w:val="29"/>
        </w:numPr>
        <w:pBdr>
          <w:top w:val="nil"/>
          <w:left w:val="nil"/>
          <w:bottom w:val="nil"/>
          <w:right w:val="nil"/>
          <w:between w:val="nil"/>
        </w:pBdr>
        <w:spacing w:before="60" w:after="60"/>
        <w:jc w:val="both"/>
        <w:rPr>
          <w:color w:val="000000"/>
          <w:sz w:val="24"/>
          <w:szCs w:val="24"/>
        </w:rPr>
      </w:pPr>
      <w:r>
        <w:rPr>
          <w:color w:val="000000"/>
          <w:sz w:val="24"/>
          <w:szCs w:val="24"/>
        </w:rPr>
        <w:t xml:space="preserve">Quel est le coût de la réponse? </w:t>
      </w:r>
    </w:p>
    <w:p w:rsidR="00314B92" w:rsidRDefault="00AD5F81" w:rsidP="00F20185">
      <w:pPr>
        <w:pStyle w:val="Normal1"/>
        <w:widowControl w:val="0"/>
        <w:numPr>
          <w:ilvl w:val="0"/>
          <w:numId w:val="29"/>
        </w:numPr>
        <w:pBdr>
          <w:top w:val="nil"/>
          <w:left w:val="nil"/>
          <w:bottom w:val="nil"/>
          <w:right w:val="nil"/>
          <w:between w:val="nil"/>
        </w:pBdr>
        <w:spacing w:before="60" w:after="60"/>
        <w:jc w:val="both"/>
        <w:rPr>
          <w:color w:val="000000"/>
          <w:sz w:val="24"/>
          <w:szCs w:val="24"/>
        </w:rPr>
      </w:pPr>
      <w:r>
        <w:rPr>
          <w:color w:val="000000"/>
          <w:sz w:val="24"/>
          <w:szCs w:val="24"/>
        </w:rPr>
        <w:t>Quel est l’impact ?</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 xml:space="preserve">OU EN SOMMES-NOUS EN </w:t>
      </w:r>
      <w:r w:rsidR="00357F3B">
        <w:rPr>
          <w:color w:val="000000"/>
          <w:sz w:val="24"/>
          <w:szCs w:val="24"/>
        </w:rPr>
        <w:t xml:space="preserve">MATIERE DE </w:t>
      </w:r>
      <w:r>
        <w:rPr>
          <w:color w:val="000000"/>
          <w:sz w:val="24"/>
          <w:szCs w:val="24"/>
        </w:rPr>
        <w:t>SRMNEAN-ECSV?</w:t>
      </w:r>
    </w:p>
    <w:p w:rsidR="00314B92" w:rsidRDefault="00AD5F81">
      <w:pPr>
        <w:pStyle w:val="Normal1"/>
        <w:widowControl w:val="0"/>
        <w:pBdr>
          <w:top w:val="nil"/>
          <w:left w:val="nil"/>
          <w:bottom w:val="nil"/>
          <w:right w:val="nil"/>
          <w:between w:val="nil"/>
        </w:pBdr>
        <w:spacing w:before="60" w:after="60"/>
        <w:jc w:val="both"/>
        <w:rPr>
          <w:rFonts w:ascii="Times New Roman" w:eastAsia="Times New Roman" w:hAnsi="Times New Roman" w:cs="Times New Roman"/>
          <w:color w:val="00000A"/>
          <w:sz w:val="24"/>
          <w:szCs w:val="24"/>
        </w:rPr>
      </w:pPr>
      <w:r>
        <w:rPr>
          <w:color w:val="000000"/>
          <w:sz w:val="24"/>
          <w:szCs w:val="24"/>
        </w:rPr>
        <w:t>Sur les 15 dernières années (1999-2017),</w:t>
      </w:r>
      <w:r>
        <w:rPr>
          <w:b/>
          <w:color w:val="000000"/>
          <w:sz w:val="24"/>
          <w:szCs w:val="24"/>
        </w:rPr>
        <w:t xml:space="preserve"> </w:t>
      </w:r>
      <w:r>
        <w:rPr>
          <w:color w:val="000000"/>
          <w:sz w:val="24"/>
          <w:szCs w:val="24"/>
        </w:rPr>
        <w:t>des progrès importants méritent d’être relevés. Le taux de mortalité maternelle est passée de 484</w:t>
      </w:r>
      <w:r>
        <w:rPr>
          <w:rFonts w:ascii="Times New Roman" w:eastAsia="Times New Roman" w:hAnsi="Times New Roman" w:cs="Times New Roman"/>
          <w:color w:val="00000A"/>
          <w:sz w:val="24"/>
          <w:szCs w:val="24"/>
        </w:rPr>
        <w:t xml:space="preserve"> à 330 pour 100 000 naissances vivantes, le taux de mortalité néonatale de 41 à 23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A"/>
          <w:sz w:val="24"/>
          <w:szCs w:val="24"/>
        </w:rPr>
        <w:t>, celui des moins de 5 ans de 219 à 82</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A"/>
          <w:sz w:val="24"/>
          <w:szCs w:val="24"/>
        </w:rPr>
        <w:t>, la prévalence de la malnutrition aigüe de 13 à 9%, celle de la malnutrition chronique de 37 à 21</w:t>
      </w:r>
      <w:r>
        <w:rPr>
          <w:color w:val="000000"/>
          <w:sz w:val="24"/>
          <w:szCs w:val="24"/>
        </w:rPr>
        <w:t xml:space="preserve">et </w:t>
      </w:r>
      <w:r>
        <w:rPr>
          <w:rFonts w:ascii="Times New Roman" w:eastAsia="Times New Roman" w:hAnsi="Times New Roman" w:cs="Times New Roman"/>
          <w:color w:val="00000A"/>
          <w:sz w:val="24"/>
          <w:szCs w:val="24"/>
        </w:rPr>
        <w:t xml:space="preserve">celle de </w:t>
      </w:r>
      <w:r>
        <w:rPr>
          <w:color w:val="000000"/>
          <w:sz w:val="24"/>
          <w:szCs w:val="24"/>
        </w:rPr>
        <w:t>l’</w:t>
      </w:r>
      <w:r>
        <w:rPr>
          <w:rFonts w:ascii="Times New Roman" w:eastAsia="Times New Roman" w:hAnsi="Times New Roman" w:cs="Times New Roman"/>
          <w:color w:val="00000A"/>
          <w:sz w:val="24"/>
          <w:szCs w:val="24"/>
        </w:rPr>
        <w:t>insuffisance pondérale de 34 à 16%.</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Sur un horizon de temps plus court tous les indicateurs d’effet sont en progression sur une échelle variable.</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De 2013 à 2017, le taux de CPN4 est passé de 28,5 à 38%, le taux des accouchements assistés par du personnel qualifié de 80,5 à 83,9%, le taux d’allaitement maternel exclusif de 47,2 à 47,8% ; la couverture de Pentavalent3 de 101 à 106,1%, la proportion des enfants couverts par la PCIME  de 23,6 à 58,5% et pour les enfants de 6 à 23 mois ayant consommé au moins 4 groupes d’aliments de 8,7 à 17,9%.</w:t>
      </w:r>
      <w:r w:rsidR="00357F3B">
        <w:rPr>
          <w:color w:val="000000"/>
          <w:sz w:val="24"/>
          <w:szCs w:val="24"/>
        </w:rPr>
        <w:t xml:space="preserve"> </w:t>
      </w:r>
      <w:r>
        <w:rPr>
          <w:color w:val="000000"/>
          <w:sz w:val="24"/>
          <w:szCs w:val="24"/>
        </w:rPr>
        <w:t>Le taux de césarienne est passé de 1,6 à 2,2% de 2010 à 2017.</w:t>
      </w:r>
      <w:r w:rsidR="00357F3B">
        <w:rPr>
          <w:color w:val="000000"/>
          <w:sz w:val="24"/>
          <w:szCs w:val="24"/>
        </w:rPr>
        <w:t xml:space="preserve"> </w:t>
      </w:r>
      <w:r>
        <w:rPr>
          <w:color w:val="000000"/>
          <w:sz w:val="24"/>
          <w:szCs w:val="24"/>
        </w:rPr>
        <w:t xml:space="preserve">Le taux d’utilisation de méthodes contraceptives est passé de 32,4 à 27,5% </w:t>
      </w:r>
      <w:r>
        <w:rPr>
          <w:color w:val="000000"/>
          <w:sz w:val="24"/>
          <w:szCs w:val="24"/>
        </w:rPr>
        <w:lastRenderedPageBreak/>
        <w:t>probablement suite à l’introduction d’une nouvelle méthode de calcul.</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 xml:space="preserve">Exception faite de la couverture des enfants par le Pentavalent3 qui a dépassé la cible fixée par le PNDS 2010-2020, aucun autre indicateur n’a atteint sa cible. </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 xml:space="preserve">D’autre part, la répartition de la performance sur le territoire national souffre des effets d’une répartition inégale entre régions et </w:t>
      </w:r>
      <w:r w:rsidR="00357F3B">
        <w:rPr>
          <w:color w:val="000000"/>
          <w:sz w:val="24"/>
          <w:szCs w:val="24"/>
        </w:rPr>
        <w:t xml:space="preserve">entre milieu rural </w:t>
      </w:r>
      <w:r>
        <w:rPr>
          <w:color w:val="000000"/>
          <w:sz w:val="24"/>
          <w:szCs w:val="24"/>
        </w:rPr>
        <w:t xml:space="preserve">et </w:t>
      </w:r>
      <w:r w:rsidR="00357F3B">
        <w:rPr>
          <w:color w:val="000000"/>
          <w:sz w:val="24"/>
          <w:szCs w:val="24"/>
        </w:rPr>
        <w:t xml:space="preserve">milieu </w:t>
      </w:r>
      <w:r>
        <w:rPr>
          <w:color w:val="000000"/>
          <w:sz w:val="24"/>
          <w:szCs w:val="24"/>
        </w:rPr>
        <w:t>u</w:t>
      </w:r>
      <w:r w:rsidR="00357F3B">
        <w:rPr>
          <w:color w:val="000000"/>
          <w:sz w:val="24"/>
          <w:szCs w:val="24"/>
        </w:rPr>
        <w:t xml:space="preserve">rbain. Cette répartition inégale concerne également les </w:t>
      </w:r>
      <w:r>
        <w:rPr>
          <w:color w:val="000000"/>
          <w:sz w:val="24"/>
          <w:szCs w:val="24"/>
        </w:rPr>
        <w:t>effet</w:t>
      </w:r>
      <w:r w:rsidR="00357F3B">
        <w:rPr>
          <w:color w:val="000000"/>
          <w:sz w:val="24"/>
          <w:szCs w:val="24"/>
        </w:rPr>
        <w:t xml:space="preserve">s </w:t>
      </w:r>
      <w:r>
        <w:rPr>
          <w:color w:val="000000"/>
          <w:sz w:val="24"/>
          <w:szCs w:val="24"/>
        </w:rPr>
        <w:t>d’un certain nombre de déterminants de la santé comme les coutumes et pratiques culturelles, la pauvreté, l’accès à l’eau potable, le niveau d’hygiène et assainissement.</w:t>
      </w:r>
    </w:p>
    <w:p w:rsidR="00314B92" w:rsidRDefault="00AD5F81">
      <w:pPr>
        <w:pStyle w:val="Normal1"/>
        <w:widowControl w:val="0"/>
        <w:pBdr>
          <w:top w:val="nil"/>
          <w:left w:val="nil"/>
          <w:bottom w:val="nil"/>
          <w:right w:val="nil"/>
          <w:between w:val="nil"/>
        </w:pBdr>
        <w:spacing w:before="60" w:after="0"/>
        <w:jc w:val="both"/>
        <w:rPr>
          <w:color w:val="000000"/>
          <w:sz w:val="24"/>
          <w:szCs w:val="24"/>
        </w:rPr>
      </w:pPr>
      <w:r>
        <w:rPr>
          <w:color w:val="000000"/>
          <w:sz w:val="24"/>
          <w:szCs w:val="24"/>
        </w:rPr>
        <w:t xml:space="preserve">Les régions ont été classées en fonction des résultats en relation avec un paquet de 18 indicateurs de performances et de deux indicateurs d’impact (Taux de mortalité néo-natale et taux de mortalité infanto-juvénile)  </w:t>
      </w:r>
    </w:p>
    <w:p w:rsidR="00314B92" w:rsidRDefault="00357F3B">
      <w:pPr>
        <w:pStyle w:val="Normal1"/>
        <w:widowControl w:val="0"/>
        <w:tabs>
          <w:tab w:val="left" w:pos="9498"/>
        </w:tabs>
        <w:spacing w:before="32" w:after="0"/>
        <w:jc w:val="both"/>
        <w:rPr>
          <w:sz w:val="24"/>
          <w:szCs w:val="24"/>
        </w:rPr>
      </w:pPr>
      <w:r>
        <w:rPr>
          <w:sz w:val="24"/>
          <w:szCs w:val="24"/>
        </w:rPr>
        <w:t xml:space="preserve">Le premier groupe, dit de </w:t>
      </w:r>
      <w:r w:rsidRPr="00357F3B">
        <w:rPr>
          <w:b/>
          <w:sz w:val="24"/>
          <w:szCs w:val="24"/>
        </w:rPr>
        <w:t>« P</w:t>
      </w:r>
      <w:r w:rsidR="00AD5F81" w:rsidRPr="00357F3B">
        <w:rPr>
          <w:b/>
          <w:sz w:val="24"/>
          <w:szCs w:val="24"/>
        </w:rPr>
        <w:t>riorité 1 ou haute</w:t>
      </w:r>
      <w:r w:rsidRPr="00357F3B">
        <w:rPr>
          <w:b/>
          <w:sz w:val="24"/>
          <w:szCs w:val="24"/>
        </w:rPr>
        <w:t> »</w:t>
      </w:r>
      <w:r w:rsidR="00AD5F81">
        <w:rPr>
          <w:sz w:val="24"/>
          <w:szCs w:val="24"/>
        </w:rPr>
        <w:t xml:space="preserve"> comprend les régions de la Boucle du Mouhoun, du Centre-Est,</w:t>
      </w:r>
      <w:r>
        <w:rPr>
          <w:sz w:val="24"/>
          <w:szCs w:val="24"/>
        </w:rPr>
        <w:t xml:space="preserve"> du Centre-Sud, de l’Est et du S</w:t>
      </w:r>
      <w:r w:rsidR="00AD5F81">
        <w:rPr>
          <w:sz w:val="24"/>
          <w:szCs w:val="24"/>
        </w:rPr>
        <w:t xml:space="preserve">ahel. </w:t>
      </w:r>
    </w:p>
    <w:p w:rsidR="00314B92" w:rsidRDefault="00AD5F81">
      <w:pPr>
        <w:pStyle w:val="Normal1"/>
        <w:widowControl w:val="0"/>
        <w:tabs>
          <w:tab w:val="left" w:pos="9498"/>
        </w:tabs>
        <w:spacing w:before="32" w:after="0"/>
        <w:jc w:val="both"/>
        <w:rPr>
          <w:sz w:val="24"/>
          <w:szCs w:val="24"/>
        </w:rPr>
      </w:pPr>
      <w:r>
        <w:rPr>
          <w:sz w:val="24"/>
          <w:szCs w:val="24"/>
        </w:rPr>
        <w:t xml:space="preserve">Le deuxième groupe dit de </w:t>
      </w:r>
      <w:r w:rsidR="00357F3B" w:rsidRPr="00357F3B">
        <w:rPr>
          <w:b/>
          <w:sz w:val="24"/>
          <w:szCs w:val="24"/>
        </w:rPr>
        <w:t>« Priorité 2 ou moyenne »</w:t>
      </w:r>
      <w:r>
        <w:rPr>
          <w:sz w:val="24"/>
          <w:szCs w:val="24"/>
        </w:rPr>
        <w:t xml:space="preserve"> comprend les régions des Cascades, du Centre-Ouest, des Hauts Bassins et du </w:t>
      </w:r>
      <w:r w:rsidR="00357F3B">
        <w:rPr>
          <w:sz w:val="24"/>
          <w:szCs w:val="24"/>
        </w:rPr>
        <w:t>Sud-ouest</w:t>
      </w:r>
      <w:r>
        <w:rPr>
          <w:sz w:val="24"/>
          <w:szCs w:val="24"/>
        </w:rPr>
        <w:t xml:space="preserve">. </w:t>
      </w:r>
    </w:p>
    <w:p w:rsidR="00314B92" w:rsidRDefault="00357F3B">
      <w:pPr>
        <w:pStyle w:val="Normal1"/>
        <w:widowControl w:val="0"/>
        <w:tabs>
          <w:tab w:val="left" w:pos="9498"/>
        </w:tabs>
        <w:spacing w:before="32" w:after="0"/>
        <w:jc w:val="both"/>
        <w:rPr>
          <w:sz w:val="24"/>
          <w:szCs w:val="24"/>
        </w:rPr>
      </w:pPr>
      <w:r>
        <w:rPr>
          <w:sz w:val="24"/>
          <w:szCs w:val="24"/>
        </w:rPr>
        <w:t xml:space="preserve">Et le troisième groupe dit de </w:t>
      </w:r>
      <w:r w:rsidRPr="00357F3B">
        <w:rPr>
          <w:b/>
          <w:sz w:val="24"/>
          <w:szCs w:val="24"/>
        </w:rPr>
        <w:t>« P</w:t>
      </w:r>
      <w:r w:rsidR="00AD5F81" w:rsidRPr="00357F3B">
        <w:rPr>
          <w:b/>
          <w:sz w:val="24"/>
          <w:szCs w:val="24"/>
        </w:rPr>
        <w:t>riorité 3 ou basse</w:t>
      </w:r>
      <w:r w:rsidRPr="00357F3B">
        <w:rPr>
          <w:b/>
          <w:sz w:val="24"/>
          <w:szCs w:val="24"/>
        </w:rPr>
        <w:t> »</w:t>
      </w:r>
      <w:r w:rsidR="00AD5F81">
        <w:rPr>
          <w:sz w:val="24"/>
          <w:szCs w:val="24"/>
        </w:rPr>
        <w:t xml:space="preserve"> comprend les régions du Centre, du Centre-Nord, du Nord et du Plateau Central</w:t>
      </w:r>
    </w:p>
    <w:p w:rsidR="00314B92" w:rsidRDefault="00AD5F81">
      <w:pPr>
        <w:pStyle w:val="Normal1"/>
        <w:widowControl w:val="0"/>
        <w:tabs>
          <w:tab w:val="left" w:pos="9498"/>
        </w:tabs>
        <w:spacing w:before="32"/>
        <w:jc w:val="both"/>
        <w:rPr>
          <w:sz w:val="24"/>
          <w:szCs w:val="24"/>
        </w:rPr>
      </w:pPr>
      <w:r>
        <w:rPr>
          <w:sz w:val="24"/>
          <w:szCs w:val="24"/>
        </w:rPr>
        <w:t>Deux autres facteurs d’inégalité identifiés étaient l’habitat en milieu rural ou urbain ainsi que la pauvreté.</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QUELS SONT LES PRINCIPAUX GOULOTS D’ETRANGLEMENT ET LEURS CAUSES ?</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Les goulots d’étranglement ont été identifiés au niveau des trois niveaux d’exécution du paquet d’interventions de SRMNEAN</w:t>
      </w:r>
      <w:r w:rsidR="00357F3B">
        <w:rPr>
          <w:color w:val="000000"/>
          <w:sz w:val="24"/>
          <w:szCs w:val="24"/>
        </w:rPr>
        <w:t> : pratique familiale, pratique préventive et pratique curative</w:t>
      </w:r>
      <w:r>
        <w:rPr>
          <w:color w:val="000000"/>
          <w:sz w:val="24"/>
          <w:szCs w:val="24"/>
        </w:rPr>
        <w:t>.</w:t>
      </w:r>
    </w:p>
    <w:p w:rsidR="00314B92" w:rsidRDefault="00AD5F81">
      <w:pPr>
        <w:pStyle w:val="Normal1"/>
        <w:spacing w:after="0"/>
        <w:jc w:val="both"/>
        <w:rPr>
          <w:sz w:val="24"/>
          <w:szCs w:val="24"/>
        </w:rPr>
      </w:pPr>
      <w:r>
        <w:rPr>
          <w:b/>
          <w:sz w:val="24"/>
          <w:szCs w:val="24"/>
        </w:rPr>
        <w:t>En pratique familiale essentielle,</w:t>
      </w:r>
      <w:r>
        <w:rPr>
          <w:sz w:val="24"/>
          <w:szCs w:val="24"/>
        </w:rPr>
        <w:t xml:space="preserve"> les principaux goulots se situ</w:t>
      </w:r>
      <w:r w:rsidR="00DD55E0">
        <w:rPr>
          <w:sz w:val="24"/>
          <w:szCs w:val="24"/>
        </w:rPr>
        <w:t>ai</w:t>
      </w:r>
      <w:r>
        <w:rPr>
          <w:sz w:val="24"/>
          <w:szCs w:val="24"/>
        </w:rPr>
        <w:t>ent au niveau de l’accessibilité géographique, de la continuité, de la qualité, de la faible accessibilité aux ressources humaines</w:t>
      </w:r>
      <w:r w:rsidR="00357F3B">
        <w:rPr>
          <w:sz w:val="24"/>
          <w:szCs w:val="24"/>
        </w:rPr>
        <w:t xml:space="preserve"> qualifiées</w:t>
      </w:r>
      <w:r>
        <w:rPr>
          <w:sz w:val="24"/>
          <w:szCs w:val="24"/>
        </w:rPr>
        <w:t xml:space="preserve"> et de l’acceptabilité sociale. </w:t>
      </w:r>
    </w:p>
    <w:p w:rsidR="00314B92" w:rsidRDefault="00AD5F81">
      <w:pPr>
        <w:pStyle w:val="Normal1"/>
        <w:jc w:val="both"/>
        <w:rPr>
          <w:sz w:val="24"/>
          <w:szCs w:val="24"/>
        </w:rPr>
      </w:pPr>
      <w:r>
        <w:rPr>
          <w:sz w:val="24"/>
          <w:szCs w:val="24"/>
        </w:rPr>
        <w:t>Les pri</w:t>
      </w:r>
      <w:r w:rsidR="00DD55E0">
        <w:rPr>
          <w:sz w:val="24"/>
          <w:szCs w:val="24"/>
        </w:rPr>
        <w:t>ncipales causes identifiées étaient</w:t>
      </w:r>
      <w:r>
        <w:rPr>
          <w:sz w:val="24"/>
          <w:szCs w:val="24"/>
        </w:rPr>
        <w:t xml:space="preserve"> (i) la faible disponibilité des intrants, (ii) la répartition inégale des interventions au niveau national et les difficultés contextuelles telles que l’insécurité ou les contraintes de terrains dans certaines régions, (iii) l’insuffisance de la sensibilisation de la communauté, (iv) la diffusion d’idées fausses concernant les interventions et les pratiques essentielles, (v) le mauvais accueil, (vi) le manque de communication interpersonnelle des prestataires, </w:t>
      </w:r>
      <w:r w:rsidR="00DD55E0">
        <w:rPr>
          <w:sz w:val="24"/>
          <w:szCs w:val="24"/>
        </w:rPr>
        <w:t xml:space="preserve">(vii) </w:t>
      </w:r>
      <w:r>
        <w:rPr>
          <w:sz w:val="24"/>
          <w:szCs w:val="24"/>
        </w:rPr>
        <w:t xml:space="preserve">le faible soutien social pour les pratiques souhaitables, </w:t>
      </w:r>
      <w:r w:rsidR="00DD55E0">
        <w:rPr>
          <w:sz w:val="24"/>
          <w:szCs w:val="24"/>
        </w:rPr>
        <w:t xml:space="preserve">(viii) </w:t>
      </w:r>
      <w:r>
        <w:rPr>
          <w:sz w:val="24"/>
          <w:szCs w:val="24"/>
        </w:rPr>
        <w:t>l’insuffisance des compétences, des infrastructures et de l’équipement nécessaires pour la qualité des services</w:t>
      </w:r>
      <w:r w:rsidR="00DD55E0">
        <w:rPr>
          <w:sz w:val="24"/>
          <w:szCs w:val="24"/>
        </w:rPr>
        <w:t>.</w:t>
      </w:r>
      <w:r>
        <w:rPr>
          <w:sz w:val="24"/>
          <w:szCs w:val="24"/>
        </w:rPr>
        <w:t xml:space="preserve"> </w:t>
      </w:r>
    </w:p>
    <w:p w:rsidR="00314B92" w:rsidRDefault="00AD5F81">
      <w:pPr>
        <w:pStyle w:val="Normal1"/>
        <w:spacing w:after="0"/>
        <w:jc w:val="both"/>
        <w:rPr>
          <w:b/>
          <w:sz w:val="24"/>
          <w:szCs w:val="24"/>
        </w:rPr>
      </w:pPr>
      <w:r>
        <w:rPr>
          <w:b/>
          <w:sz w:val="24"/>
          <w:szCs w:val="24"/>
        </w:rPr>
        <w:t>En pratique préventive</w:t>
      </w:r>
      <w:r w:rsidR="009B5EB2" w:rsidRPr="009B5EB2">
        <w:rPr>
          <w:sz w:val="24"/>
          <w:szCs w:val="24"/>
        </w:rPr>
        <w:t>,</w:t>
      </w:r>
      <w:r>
        <w:rPr>
          <w:sz w:val="24"/>
          <w:szCs w:val="24"/>
        </w:rPr>
        <w:t xml:space="preserve"> les principaux goulots d’étranglement se situ</w:t>
      </w:r>
      <w:r w:rsidR="00DD55E0">
        <w:rPr>
          <w:sz w:val="24"/>
          <w:szCs w:val="24"/>
        </w:rPr>
        <w:t>ai</w:t>
      </w:r>
      <w:r>
        <w:rPr>
          <w:sz w:val="24"/>
          <w:szCs w:val="24"/>
        </w:rPr>
        <w:t xml:space="preserve">ent au niveau de </w:t>
      </w:r>
      <w:r>
        <w:rPr>
          <w:b/>
          <w:sz w:val="24"/>
          <w:szCs w:val="24"/>
        </w:rPr>
        <w:t>l</w:t>
      </w:r>
      <w:r>
        <w:rPr>
          <w:sz w:val="24"/>
          <w:szCs w:val="24"/>
        </w:rPr>
        <w:t xml:space="preserve">’accessibilité géographique, l’accessibilité financière, l’accessibilité aux ressources humaines, la faible disponibilité des médicaments et du personnel formé, la qualité des soins et l’acceptabilité </w:t>
      </w:r>
      <w:r w:rsidR="00DD55E0">
        <w:rPr>
          <w:sz w:val="24"/>
          <w:szCs w:val="24"/>
        </w:rPr>
        <w:t>socioculturelle</w:t>
      </w:r>
      <w:r>
        <w:rPr>
          <w:sz w:val="24"/>
          <w:szCs w:val="24"/>
        </w:rPr>
        <w:t>.</w:t>
      </w:r>
    </w:p>
    <w:p w:rsidR="00314B92" w:rsidRDefault="00AD5F81">
      <w:pPr>
        <w:pStyle w:val="Normal1"/>
        <w:jc w:val="both"/>
        <w:rPr>
          <w:sz w:val="24"/>
          <w:szCs w:val="24"/>
        </w:rPr>
      </w:pPr>
      <w:r>
        <w:rPr>
          <w:sz w:val="24"/>
          <w:szCs w:val="24"/>
        </w:rPr>
        <w:lastRenderedPageBreak/>
        <w:t>Les cau</w:t>
      </w:r>
      <w:r w:rsidR="00DD55E0">
        <w:rPr>
          <w:sz w:val="24"/>
          <w:szCs w:val="24"/>
        </w:rPr>
        <w:t>ses des goulots prioritaires étaien</w:t>
      </w:r>
      <w:r>
        <w:rPr>
          <w:sz w:val="24"/>
          <w:szCs w:val="24"/>
        </w:rPr>
        <w:t>t (i) la faible disponibilité des intrants, (ii) le nombre insuffisant de personnels formés, (iii) l’inégale répartition de l’offre de services au niveau régional, urbain et rural, (iv) les barrières financières directes et indirectes dans le contexte de pauvreté des ménages, (v) l’insuffisance d’information et de soutien social ainsi que les attitudes discriminatives de certains prestataires, (vi) l’insuffisance de compétences et de motivation de certains prestataires pour assurer des soins de qualité.</w:t>
      </w:r>
    </w:p>
    <w:p w:rsidR="00314B92" w:rsidRDefault="00AD5F81">
      <w:pPr>
        <w:pStyle w:val="Normal1"/>
        <w:spacing w:after="0"/>
        <w:jc w:val="both"/>
        <w:rPr>
          <w:sz w:val="24"/>
          <w:szCs w:val="24"/>
        </w:rPr>
      </w:pPr>
      <w:r>
        <w:rPr>
          <w:b/>
          <w:sz w:val="24"/>
          <w:szCs w:val="24"/>
        </w:rPr>
        <w:t>En pratique curative,</w:t>
      </w:r>
      <w:r>
        <w:rPr>
          <w:sz w:val="24"/>
          <w:szCs w:val="24"/>
        </w:rPr>
        <w:t xml:space="preserve"> les principaux goulots d’étranglement se situaient au niveau de la disponibilité des produits essentiels, la faible acceptabilité </w:t>
      </w:r>
      <w:r w:rsidR="00DD55E0">
        <w:rPr>
          <w:sz w:val="24"/>
          <w:szCs w:val="24"/>
        </w:rPr>
        <w:t>socioculturelle</w:t>
      </w:r>
      <w:r>
        <w:rPr>
          <w:sz w:val="24"/>
          <w:szCs w:val="24"/>
        </w:rPr>
        <w:t>, la faible accessibilité géographique, la faible accessibilité financière, la continuité des soins, la qualité des soins et la faible accessibilité aux ressources humaines.</w:t>
      </w:r>
    </w:p>
    <w:p w:rsidR="00314B92" w:rsidRDefault="00DD55E0">
      <w:pPr>
        <w:pStyle w:val="Normal1"/>
        <w:jc w:val="both"/>
        <w:rPr>
          <w:sz w:val="24"/>
          <w:szCs w:val="24"/>
        </w:rPr>
      </w:pPr>
      <w:r>
        <w:rPr>
          <w:sz w:val="24"/>
          <w:szCs w:val="24"/>
        </w:rPr>
        <w:t>Le causes des goulots étaien</w:t>
      </w:r>
      <w:r w:rsidR="00AD5F81">
        <w:rPr>
          <w:sz w:val="24"/>
          <w:szCs w:val="24"/>
        </w:rPr>
        <w:t>t principalement (i) la faible disponibilité des intrants, (ii) le nombre insuffisant de prestataires formés en PCIME, SONU, (iii) l’inégale répartition des structures sanitaires et l’existence de zones d’accès difficile, (iv) les paiements directs et indirects, (v) l’insuffisance de sensibilisation, (vi) les faibles compétences des prestataires en matière de</w:t>
      </w:r>
      <w:r>
        <w:rPr>
          <w:sz w:val="24"/>
          <w:szCs w:val="24"/>
        </w:rPr>
        <w:t xml:space="preserve"> communication interpersonnelle</w:t>
      </w:r>
      <w:r w:rsidR="00AD5F81">
        <w:rPr>
          <w:sz w:val="24"/>
          <w:szCs w:val="24"/>
        </w:rPr>
        <w:t xml:space="preserve">, (vii) les pesanteurs des normes traditionnelles , (viii) les compétences insuffisantes et la faible motivation des prestataires. </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QUELLE EST LA REPONSE POUR LEVER CES GOULOTS D’ETRANGLEMENT?</w:t>
      </w:r>
    </w:p>
    <w:p w:rsidR="00314B92" w:rsidRPr="00DD55E0" w:rsidRDefault="00AD5F81" w:rsidP="00DD55E0">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 xml:space="preserve">La réponse </w:t>
      </w:r>
      <w:r w:rsidR="00DD55E0">
        <w:rPr>
          <w:color w:val="000000"/>
          <w:sz w:val="24"/>
          <w:szCs w:val="24"/>
        </w:rPr>
        <w:t xml:space="preserve">est </w:t>
      </w:r>
      <w:r>
        <w:rPr>
          <w:color w:val="000000"/>
          <w:sz w:val="24"/>
          <w:szCs w:val="24"/>
        </w:rPr>
        <w:t xml:space="preserve">une stratégie soutenue par la vision suivante : </w:t>
      </w:r>
      <w:r w:rsidRPr="00DD55E0">
        <w:rPr>
          <w:i/>
          <w:sz w:val="24"/>
          <w:szCs w:val="24"/>
        </w:rPr>
        <w:t>Le Burkina Faso atteint le meilleur état de santé possible pour l’ensemble de la population, avec une attention particulière pour la Mère, le Nouveau-né, l’enfant, l’adolescent/jeune, à travers un système de santé national performant.</w:t>
      </w:r>
    </w:p>
    <w:p w:rsidR="00314B92" w:rsidRDefault="00AD5F81" w:rsidP="00625BB8">
      <w:pPr>
        <w:pStyle w:val="Normal1"/>
        <w:spacing w:after="0"/>
        <w:jc w:val="both"/>
        <w:rPr>
          <w:sz w:val="24"/>
          <w:szCs w:val="24"/>
        </w:rPr>
      </w:pPr>
      <w:r>
        <w:rPr>
          <w:sz w:val="24"/>
          <w:szCs w:val="24"/>
        </w:rPr>
        <w:t>Le résultat attendu d’ici 2023 est une réduction de</w:t>
      </w:r>
      <w:r w:rsidR="00625BB8">
        <w:rPr>
          <w:sz w:val="24"/>
          <w:szCs w:val="24"/>
        </w:rPr>
        <w:t xml:space="preserve"> la mortalité maternelle de 295,6 à 231,2 décès maternels/100 000 naissances vivantes, la mortalité néo-natale de 19,7 à 12,9 pour 1000 naissances vivantes et la mortalité infanto-juvénile de 58,8 à 41,6 pour 1000 naissances vivantes.</w:t>
      </w:r>
    </w:p>
    <w:p w:rsidR="00314B92" w:rsidRDefault="00AD5F81" w:rsidP="00625BB8">
      <w:pPr>
        <w:pStyle w:val="Normal1"/>
        <w:spacing w:after="0"/>
        <w:jc w:val="both"/>
        <w:rPr>
          <w:sz w:val="24"/>
          <w:szCs w:val="24"/>
        </w:rPr>
      </w:pPr>
      <w:r>
        <w:rPr>
          <w:sz w:val="24"/>
          <w:szCs w:val="24"/>
        </w:rPr>
        <w:t>La stratégie</w:t>
      </w:r>
      <w:r w:rsidR="00DC22A4">
        <w:rPr>
          <w:sz w:val="24"/>
          <w:szCs w:val="24"/>
        </w:rPr>
        <w:t xml:space="preserve"> est fondée sur trois priorités, en ligne avec les trois programmes du Ministère de la santé, et </w:t>
      </w:r>
      <w:r>
        <w:rPr>
          <w:sz w:val="24"/>
          <w:szCs w:val="24"/>
        </w:rPr>
        <w:t xml:space="preserve">choisies en fonctions de leur capacité à agir sur les principaux goulots d’étranglement et intègrent six approches à haut impact dont (i) la disponibilité des intrants, (ii) l’intégration des services, (iii) le renforcement de la pratique communautaire, (iv) la communication pour le changement social de comportement, (v) l’amélioration de la qualité des services, (vi) le coaching et le renforcement de la supervision ainsi que (vii) la redevabilité du système. </w:t>
      </w:r>
    </w:p>
    <w:p w:rsidR="00314B92" w:rsidRDefault="00AD5F81">
      <w:pPr>
        <w:pStyle w:val="Normal1"/>
        <w:spacing w:after="0"/>
        <w:jc w:val="both"/>
        <w:rPr>
          <w:b/>
          <w:sz w:val="24"/>
          <w:szCs w:val="24"/>
        </w:rPr>
      </w:pPr>
      <w:r>
        <w:rPr>
          <w:b/>
          <w:sz w:val="24"/>
          <w:szCs w:val="24"/>
        </w:rPr>
        <w:t>Les priorités :</w:t>
      </w:r>
    </w:p>
    <w:p w:rsidR="00504E7E" w:rsidRPr="00D87541" w:rsidRDefault="00504E7E" w:rsidP="00504E7E">
      <w:pPr>
        <w:pStyle w:val="Paragraphedeliste"/>
        <w:numPr>
          <w:ilvl w:val="0"/>
          <w:numId w:val="8"/>
        </w:numPr>
        <w:rPr>
          <w:i/>
          <w:sz w:val="24"/>
          <w:szCs w:val="24"/>
        </w:rPr>
      </w:pPr>
      <w:r w:rsidRPr="00D87541">
        <w:rPr>
          <w:i/>
          <w:sz w:val="24"/>
          <w:szCs w:val="24"/>
        </w:rPr>
        <w:t>A</w:t>
      </w:r>
      <w:r w:rsidR="00D87541" w:rsidRPr="00D87541">
        <w:rPr>
          <w:i/>
          <w:sz w:val="24"/>
          <w:szCs w:val="24"/>
        </w:rPr>
        <w:t>ugmenter l’utilisation du paquet intégré d’interventions de SRMNEAN à haut impact</w:t>
      </w:r>
      <w:r w:rsidRPr="00D87541">
        <w:rPr>
          <w:i/>
          <w:sz w:val="24"/>
          <w:szCs w:val="24"/>
        </w:rPr>
        <w:t>.</w:t>
      </w:r>
    </w:p>
    <w:p w:rsidR="00504E7E" w:rsidRPr="00504E7E" w:rsidRDefault="00504E7E" w:rsidP="00D87541">
      <w:pPr>
        <w:pStyle w:val="Normal1"/>
        <w:numPr>
          <w:ilvl w:val="1"/>
          <w:numId w:val="8"/>
        </w:numPr>
        <w:pBdr>
          <w:top w:val="nil"/>
          <w:left w:val="nil"/>
          <w:bottom w:val="nil"/>
          <w:right w:val="nil"/>
          <w:between w:val="nil"/>
        </w:pBdr>
        <w:spacing w:after="0"/>
        <w:jc w:val="both"/>
        <w:rPr>
          <w:color w:val="000000"/>
          <w:sz w:val="24"/>
          <w:szCs w:val="24"/>
        </w:rPr>
      </w:pPr>
      <w:r w:rsidRPr="00504E7E">
        <w:rPr>
          <w:color w:val="000000"/>
          <w:sz w:val="24"/>
          <w:szCs w:val="24"/>
        </w:rPr>
        <w:t>Améliorer l’offre du paquet intégré et de</w:t>
      </w:r>
      <w:r>
        <w:rPr>
          <w:color w:val="000000"/>
          <w:sz w:val="24"/>
          <w:szCs w:val="24"/>
        </w:rPr>
        <w:t xml:space="preserve"> </w:t>
      </w:r>
      <w:r w:rsidRPr="00504E7E">
        <w:rPr>
          <w:color w:val="000000"/>
          <w:sz w:val="24"/>
          <w:szCs w:val="24"/>
        </w:rPr>
        <w:t>qualité de services SRMNEAN à haut impact</w:t>
      </w:r>
    </w:p>
    <w:p w:rsidR="00504E7E" w:rsidRDefault="00504E7E" w:rsidP="00D87541">
      <w:pPr>
        <w:pStyle w:val="Normal1"/>
        <w:numPr>
          <w:ilvl w:val="1"/>
          <w:numId w:val="8"/>
        </w:numPr>
        <w:pBdr>
          <w:top w:val="nil"/>
          <w:left w:val="nil"/>
          <w:bottom w:val="nil"/>
          <w:right w:val="nil"/>
          <w:between w:val="nil"/>
        </w:pBdr>
        <w:spacing w:after="0"/>
        <w:jc w:val="both"/>
        <w:rPr>
          <w:color w:val="000000"/>
          <w:sz w:val="24"/>
          <w:szCs w:val="24"/>
        </w:rPr>
      </w:pPr>
      <w:r w:rsidRPr="00504E7E">
        <w:rPr>
          <w:color w:val="000000"/>
          <w:sz w:val="24"/>
          <w:szCs w:val="24"/>
        </w:rPr>
        <w:t xml:space="preserve">Augmenter, de manière équitable la demande de services de SRMNEAN </w:t>
      </w:r>
    </w:p>
    <w:p w:rsidR="00504E7E" w:rsidRPr="00D87541" w:rsidRDefault="00504E7E" w:rsidP="005D02C3">
      <w:pPr>
        <w:pStyle w:val="Normal1"/>
        <w:numPr>
          <w:ilvl w:val="0"/>
          <w:numId w:val="83"/>
        </w:numPr>
        <w:pBdr>
          <w:top w:val="nil"/>
          <w:left w:val="nil"/>
          <w:bottom w:val="nil"/>
          <w:right w:val="nil"/>
          <w:between w:val="nil"/>
        </w:pBdr>
        <w:spacing w:after="0"/>
        <w:jc w:val="both"/>
        <w:rPr>
          <w:i/>
          <w:color w:val="000000"/>
          <w:sz w:val="24"/>
          <w:szCs w:val="24"/>
        </w:rPr>
      </w:pPr>
      <w:r w:rsidRPr="00504E7E">
        <w:rPr>
          <w:sz w:val="24"/>
          <w:szCs w:val="24"/>
        </w:rPr>
        <w:t>R</w:t>
      </w:r>
      <w:r w:rsidR="00D87541" w:rsidRPr="00D87541">
        <w:rPr>
          <w:i/>
          <w:sz w:val="24"/>
          <w:szCs w:val="24"/>
        </w:rPr>
        <w:t>enforcer les piliers  système</w:t>
      </w:r>
      <w:r w:rsidR="00D87541">
        <w:rPr>
          <w:i/>
          <w:sz w:val="24"/>
          <w:szCs w:val="24"/>
        </w:rPr>
        <w:t xml:space="preserve"> de santé</w:t>
      </w:r>
      <w:r w:rsidR="00D87541" w:rsidRPr="00D87541">
        <w:rPr>
          <w:i/>
          <w:sz w:val="24"/>
          <w:szCs w:val="24"/>
        </w:rPr>
        <w:t xml:space="preserve"> en appui a l’offre du paquet intégré d’interventions de SRMNEAN à haut impact.</w:t>
      </w:r>
    </w:p>
    <w:p w:rsidR="00504E7E" w:rsidRDefault="00504E7E" w:rsidP="005D02C3">
      <w:pPr>
        <w:pStyle w:val="Normal1"/>
        <w:numPr>
          <w:ilvl w:val="1"/>
          <w:numId w:val="83"/>
        </w:numPr>
        <w:spacing w:after="0"/>
        <w:jc w:val="both"/>
        <w:rPr>
          <w:color w:val="000000"/>
          <w:sz w:val="24"/>
          <w:szCs w:val="24"/>
        </w:rPr>
      </w:pPr>
      <w:r w:rsidRPr="00504E7E">
        <w:rPr>
          <w:color w:val="000000"/>
          <w:sz w:val="24"/>
          <w:szCs w:val="24"/>
        </w:rPr>
        <w:t xml:space="preserve">Assurer la disponibilité d’un personnel opérationnel, compétent, motivé et réparti </w:t>
      </w:r>
    </w:p>
    <w:p w:rsidR="00504E7E" w:rsidRPr="00504E7E" w:rsidRDefault="00504E7E" w:rsidP="00504E7E">
      <w:pPr>
        <w:pStyle w:val="Normal1"/>
        <w:spacing w:after="0"/>
        <w:ind w:left="360"/>
        <w:jc w:val="both"/>
        <w:rPr>
          <w:color w:val="000000"/>
          <w:sz w:val="24"/>
          <w:szCs w:val="24"/>
        </w:rPr>
      </w:pPr>
      <w:r>
        <w:rPr>
          <w:color w:val="000000"/>
          <w:sz w:val="24"/>
          <w:szCs w:val="24"/>
        </w:rPr>
        <w:t xml:space="preserve">      </w:t>
      </w:r>
      <w:r w:rsidRPr="00504E7E">
        <w:rPr>
          <w:color w:val="000000"/>
          <w:sz w:val="24"/>
          <w:szCs w:val="24"/>
        </w:rPr>
        <w:t>équitablement.</w:t>
      </w:r>
    </w:p>
    <w:p w:rsidR="00504E7E" w:rsidRDefault="00504E7E" w:rsidP="005D02C3">
      <w:pPr>
        <w:pStyle w:val="Normal1"/>
        <w:numPr>
          <w:ilvl w:val="1"/>
          <w:numId w:val="83"/>
        </w:numPr>
        <w:spacing w:after="0"/>
        <w:jc w:val="both"/>
        <w:rPr>
          <w:color w:val="000000"/>
          <w:sz w:val="24"/>
          <w:szCs w:val="24"/>
        </w:rPr>
      </w:pPr>
      <w:r w:rsidRPr="00504E7E">
        <w:rPr>
          <w:color w:val="000000"/>
          <w:sz w:val="24"/>
          <w:szCs w:val="24"/>
        </w:rPr>
        <w:lastRenderedPageBreak/>
        <w:t xml:space="preserve">Assurer la disponibilité des infrastructures, équipements, logistique et intrants  pour </w:t>
      </w:r>
    </w:p>
    <w:p w:rsidR="00504E7E" w:rsidRPr="00504E7E" w:rsidRDefault="00504E7E" w:rsidP="00504E7E">
      <w:pPr>
        <w:pStyle w:val="Normal1"/>
        <w:spacing w:after="0"/>
        <w:ind w:left="360"/>
        <w:jc w:val="both"/>
        <w:rPr>
          <w:color w:val="000000"/>
          <w:sz w:val="24"/>
          <w:szCs w:val="24"/>
        </w:rPr>
      </w:pPr>
      <w:r>
        <w:rPr>
          <w:color w:val="000000"/>
          <w:sz w:val="24"/>
          <w:szCs w:val="24"/>
        </w:rPr>
        <w:t xml:space="preserve">      </w:t>
      </w:r>
      <w:r w:rsidRPr="00504E7E">
        <w:rPr>
          <w:color w:val="000000"/>
          <w:sz w:val="24"/>
          <w:szCs w:val="24"/>
        </w:rPr>
        <w:t>l’offre des services SRMNEAN.</w:t>
      </w:r>
    </w:p>
    <w:p w:rsidR="00504E7E" w:rsidRPr="00504E7E" w:rsidRDefault="00504E7E" w:rsidP="005D02C3">
      <w:pPr>
        <w:pStyle w:val="Normal1"/>
        <w:numPr>
          <w:ilvl w:val="1"/>
          <w:numId w:val="83"/>
        </w:numPr>
        <w:spacing w:after="0"/>
        <w:jc w:val="both"/>
        <w:rPr>
          <w:color w:val="000000"/>
          <w:sz w:val="24"/>
          <w:szCs w:val="24"/>
        </w:rPr>
      </w:pPr>
      <w:r w:rsidRPr="00504E7E">
        <w:rPr>
          <w:color w:val="000000"/>
          <w:sz w:val="24"/>
          <w:szCs w:val="24"/>
        </w:rPr>
        <w:t>Assurer le financement efficace de la santé et en particulier du DI-SRMNEAN-ECSV.</w:t>
      </w:r>
    </w:p>
    <w:p w:rsidR="00504E7E" w:rsidRPr="00D87541" w:rsidRDefault="00504E7E" w:rsidP="00504E7E">
      <w:pPr>
        <w:pStyle w:val="Normal1"/>
        <w:numPr>
          <w:ilvl w:val="0"/>
          <w:numId w:val="10"/>
        </w:numPr>
        <w:spacing w:after="0"/>
        <w:jc w:val="both"/>
        <w:rPr>
          <w:b/>
          <w:i/>
          <w:sz w:val="24"/>
          <w:szCs w:val="24"/>
        </w:rPr>
      </w:pPr>
      <w:r w:rsidRPr="00504E7E">
        <w:rPr>
          <w:sz w:val="24"/>
          <w:szCs w:val="24"/>
        </w:rPr>
        <w:t>R</w:t>
      </w:r>
      <w:r w:rsidR="00D87541" w:rsidRPr="00D87541">
        <w:rPr>
          <w:i/>
          <w:sz w:val="24"/>
          <w:szCs w:val="24"/>
        </w:rPr>
        <w:t>enforcer le pilotage du système de sant</w:t>
      </w:r>
      <w:r w:rsidR="00D87541">
        <w:rPr>
          <w:i/>
          <w:sz w:val="24"/>
          <w:szCs w:val="24"/>
        </w:rPr>
        <w:t>é</w:t>
      </w:r>
    </w:p>
    <w:p w:rsidR="00504E7E" w:rsidRPr="00504E7E" w:rsidRDefault="00504E7E" w:rsidP="00504E7E">
      <w:pPr>
        <w:pStyle w:val="Normal1"/>
        <w:numPr>
          <w:ilvl w:val="1"/>
          <w:numId w:val="10"/>
        </w:numPr>
        <w:pBdr>
          <w:top w:val="nil"/>
          <w:left w:val="nil"/>
          <w:bottom w:val="nil"/>
          <w:right w:val="nil"/>
          <w:between w:val="nil"/>
        </w:pBdr>
        <w:spacing w:after="0"/>
        <w:jc w:val="both"/>
        <w:rPr>
          <w:color w:val="000000"/>
          <w:sz w:val="24"/>
          <w:szCs w:val="24"/>
        </w:rPr>
      </w:pPr>
      <w:r w:rsidRPr="00504E7E">
        <w:rPr>
          <w:color w:val="000000"/>
          <w:sz w:val="24"/>
          <w:szCs w:val="24"/>
        </w:rPr>
        <w:t>Renforcer la gouvernance et leadership du secteur.</w:t>
      </w:r>
    </w:p>
    <w:p w:rsidR="00504E7E" w:rsidRPr="00504E7E" w:rsidRDefault="00504E7E" w:rsidP="00504E7E">
      <w:pPr>
        <w:pStyle w:val="Normal1"/>
        <w:numPr>
          <w:ilvl w:val="1"/>
          <w:numId w:val="10"/>
        </w:numPr>
        <w:pBdr>
          <w:top w:val="nil"/>
          <w:left w:val="nil"/>
          <w:bottom w:val="nil"/>
          <w:right w:val="nil"/>
          <w:between w:val="nil"/>
        </w:pBdr>
        <w:jc w:val="both"/>
        <w:rPr>
          <w:color w:val="000000"/>
          <w:sz w:val="24"/>
          <w:szCs w:val="24"/>
        </w:rPr>
      </w:pPr>
      <w:r w:rsidRPr="00504E7E">
        <w:rPr>
          <w:color w:val="000000"/>
          <w:sz w:val="24"/>
          <w:szCs w:val="24"/>
        </w:rPr>
        <w:t xml:space="preserve">Renforcer la coordination intra sectorielle et la collaboration intersectorielle </w:t>
      </w:r>
    </w:p>
    <w:p w:rsidR="00D87541" w:rsidRDefault="00D87541">
      <w:pPr>
        <w:pStyle w:val="Normal1"/>
        <w:widowControl w:val="0"/>
        <w:pBdr>
          <w:top w:val="nil"/>
          <w:left w:val="nil"/>
          <w:bottom w:val="nil"/>
          <w:right w:val="nil"/>
          <w:between w:val="nil"/>
        </w:pBdr>
        <w:spacing w:before="60"/>
        <w:jc w:val="both"/>
        <w:rPr>
          <w:color w:val="000000"/>
          <w:sz w:val="24"/>
          <w:szCs w:val="24"/>
        </w:rPr>
      </w:pPr>
      <w:r>
        <w:rPr>
          <w:color w:val="000000"/>
          <w:sz w:val="24"/>
          <w:szCs w:val="24"/>
        </w:rPr>
        <w:t>Une chaîne de résultats, une théorie du changement souhaitée, un cadre programmatique et un cadre de performance ont été élaboré</w:t>
      </w:r>
    </w:p>
    <w:p w:rsidR="00314B92" w:rsidRDefault="00504E7E">
      <w:pPr>
        <w:pStyle w:val="Normal1"/>
        <w:widowControl w:val="0"/>
        <w:pBdr>
          <w:top w:val="nil"/>
          <w:left w:val="nil"/>
          <w:bottom w:val="nil"/>
          <w:right w:val="nil"/>
          <w:between w:val="nil"/>
        </w:pBdr>
        <w:spacing w:before="60"/>
        <w:jc w:val="both"/>
        <w:rPr>
          <w:color w:val="000000"/>
          <w:sz w:val="24"/>
          <w:szCs w:val="24"/>
        </w:rPr>
      </w:pPr>
      <w:r>
        <w:rPr>
          <w:color w:val="000000"/>
          <w:sz w:val="24"/>
          <w:szCs w:val="24"/>
        </w:rPr>
        <w:t>Pour la</w:t>
      </w:r>
      <w:r w:rsidR="00AD5F81">
        <w:rPr>
          <w:color w:val="000000"/>
          <w:sz w:val="24"/>
          <w:szCs w:val="24"/>
        </w:rPr>
        <w:t xml:space="preserve"> mise en œuvre du Dossier d’investissement</w:t>
      </w:r>
      <w:r>
        <w:rPr>
          <w:color w:val="000000"/>
          <w:sz w:val="24"/>
          <w:szCs w:val="24"/>
        </w:rPr>
        <w:t>,</w:t>
      </w:r>
      <w:r w:rsidR="00AD5F81">
        <w:rPr>
          <w:color w:val="000000"/>
          <w:sz w:val="24"/>
          <w:szCs w:val="24"/>
        </w:rPr>
        <w:t xml:space="preserve"> </w:t>
      </w:r>
      <w:r>
        <w:rPr>
          <w:color w:val="000000"/>
          <w:sz w:val="24"/>
          <w:szCs w:val="24"/>
        </w:rPr>
        <w:t>le pilotage stratégique</w:t>
      </w:r>
      <w:r w:rsidRPr="00504E7E">
        <w:rPr>
          <w:color w:val="000000"/>
          <w:sz w:val="24"/>
          <w:szCs w:val="24"/>
        </w:rPr>
        <w:t xml:space="preserve"> </w:t>
      </w:r>
      <w:r>
        <w:rPr>
          <w:color w:val="000000"/>
          <w:sz w:val="24"/>
          <w:szCs w:val="24"/>
        </w:rPr>
        <w:t>sera assuré</w:t>
      </w:r>
      <w:r w:rsidR="00AD5F81">
        <w:rPr>
          <w:color w:val="000000"/>
          <w:sz w:val="24"/>
          <w:szCs w:val="24"/>
        </w:rPr>
        <w:t xml:space="preserve"> </w:t>
      </w:r>
      <w:r>
        <w:rPr>
          <w:color w:val="000000"/>
          <w:sz w:val="24"/>
          <w:szCs w:val="24"/>
        </w:rPr>
        <w:t>par le Cadre Sectoriel de D</w:t>
      </w:r>
      <w:r w:rsidR="00AD5F81">
        <w:rPr>
          <w:color w:val="000000"/>
          <w:sz w:val="24"/>
          <w:szCs w:val="24"/>
        </w:rPr>
        <w:t xml:space="preserve">ialogue (CSD) et </w:t>
      </w:r>
      <w:r>
        <w:rPr>
          <w:color w:val="000000"/>
          <w:sz w:val="24"/>
          <w:szCs w:val="24"/>
        </w:rPr>
        <w:t>le pilotage techniq</w:t>
      </w:r>
      <w:r w:rsidR="00AD5F81">
        <w:rPr>
          <w:color w:val="000000"/>
          <w:sz w:val="24"/>
          <w:szCs w:val="24"/>
        </w:rPr>
        <w:t>ue</w:t>
      </w:r>
      <w:r>
        <w:rPr>
          <w:color w:val="000000"/>
          <w:sz w:val="24"/>
          <w:szCs w:val="24"/>
        </w:rPr>
        <w:t xml:space="preserve"> sera assuré par l’Equipe fonctionnelle 7</w:t>
      </w:r>
      <w:r w:rsidR="00AD5F81">
        <w:rPr>
          <w:color w:val="000000"/>
          <w:sz w:val="24"/>
          <w:szCs w:val="24"/>
        </w:rPr>
        <w:t>.</w:t>
      </w:r>
      <w:r>
        <w:rPr>
          <w:color w:val="000000"/>
          <w:sz w:val="24"/>
          <w:szCs w:val="24"/>
        </w:rPr>
        <w:t xml:space="preserve">  </w:t>
      </w:r>
      <w:r w:rsidR="00AD5F81">
        <w:rPr>
          <w:color w:val="000000"/>
          <w:sz w:val="24"/>
          <w:szCs w:val="24"/>
        </w:rPr>
        <w:t>Au niveau régio</w:t>
      </w:r>
      <w:r>
        <w:rPr>
          <w:color w:val="000000"/>
          <w:sz w:val="24"/>
          <w:szCs w:val="24"/>
        </w:rPr>
        <w:t>nal ce rôle sera assuré par le C</w:t>
      </w:r>
      <w:r w:rsidR="00AD5F81">
        <w:rPr>
          <w:color w:val="000000"/>
          <w:sz w:val="24"/>
          <w:szCs w:val="24"/>
        </w:rPr>
        <w:t xml:space="preserve">omité </w:t>
      </w:r>
      <w:r w:rsidR="00BD609C">
        <w:rPr>
          <w:color w:val="000000"/>
          <w:sz w:val="24"/>
          <w:szCs w:val="24"/>
        </w:rPr>
        <w:t xml:space="preserve">Technique Régional de Santé (CTRS) </w:t>
      </w:r>
      <w:r w:rsidR="00AD5F81">
        <w:rPr>
          <w:color w:val="000000"/>
          <w:sz w:val="24"/>
          <w:szCs w:val="24"/>
        </w:rPr>
        <w:t xml:space="preserve">appuyé par </w:t>
      </w:r>
      <w:r w:rsidR="00BD609C">
        <w:rPr>
          <w:color w:val="000000"/>
          <w:sz w:val="24"/>
          <w:szCs w:val="24"/>
        </w:rPr>
        <w:t xml:space="preserve"> le Cadre Régional de Dialogue (CRD) et la DRS. Au niveau opérationnel, le pilotage sera assuré </w:t>
      </w:r>
      <w:r w:rsidR="00D87541">
        <w:rPr>
          <w:color w:val="000000"/>
          <w:sz w:val="24"/>
          <w:szCs w:val="24"/>
        </w:rPr>
        <w:t>par le C</w:t>
      </w:r>
      <w:r w:rsidR="00BD609C">
        <w:rPr>
          <w:color w:val="000000"/>
          <w:sz w:val="24"/>
          <w:szCs w:val="24"/>
        </w:rPr>
        <w:t>omité de gestion du district</w:t>
      </w:r>
      <w:r w:rsidR="00AD5F81">
        <w:rPr>
          <w:color w:val="000000"/>
          <w:sz w:val="24"/>
          <w:szCs w:val="24"/>
        </w:rPr>
        <w:t>.</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 xml:space="preserve">QUEL EST LE COUT DE LA REPONSE ? </w:t>
      </w:r>
    </w:p>
    <w:p w:rsidR="006D2860" w:rsidRDefault="009B5EB2">
      <w:pPr>
        <w:pStyle w:val="Normal1"/>
        <w:tabs>
          <w:tab w:val="left" w:pos="900"/>
        </w:tabs>
        <w:jc w:val="both"/>
        <w:rPr>
          <w:sz w:val="24"/>
          <w:szCs w:val="24"/>
        </w:rPr>
      </w:pPr>
      <w:r w:rsidRPr="009B5EB2">
        <w:rPr>
          <w:sz w:val="24"/>
          <w:szCs w:val="24"/>
        </w:rPr>
        <w:t>Trois scénarios ont été mis en balance : (i) le scénario minimum repose sur le maintien des acquis en matière de couvertures des interventions avec une légère augmentation de l’ordre de 5% sur les couvertures, (ii) le scénario moyen repose sur les couvertures attendues du plan SRMNEAN et le scénario maximum repose sur les objectifs fixés du PNDS 2011-2020.</w:t>
      </w:r>
    </w:p>
    <w:p w:rsidR="006D2860" w:rsidRDefault="009B5EB2">
      <w:pPr>
        <w:pStyle w:val="Normal1"/>
        <w:spacing w:after="0"/>
        <w:jc w:val="both"/>
        <w:rPr>
          <w:sz w:val="24"/>
          <w:szCs w:val="24"/>
        </w:rPr>
      </w:pPr>
      <w:r w:rsidRPr="009B5EB2">
        <w:rPr>
          <w:color w:val="000000"/>
          <w:sz w:val="24"/>
          <w:szCs w:val="24"/>
        </w:rPr>
        <w:t xml:space="preserve">Ainsi, Le coût global du plan par scénario est estimé comme suit : </w:t>
      </w:r>
    </w:p>
    <w:p w:rsidR="006D2860" w:rsidRDefault="009B5EB2" w:rsidP="005D02C3">
      <w:pPr>
        <w:pStyle w:val="Normal1"/>
        <w:numPr>
          <w:ilvl w:val="0"/>
          <w:numId w:val="68"/>
        </w:numPr>
        <w:pBdr>
          <w:top w:val="nil"/>
          <w:left w:val="nil"/>
          <w:bottom w:val="nil"/>
          <w:right w:val="nil"/>
          <w:between w:val="nil"/>
        </w:pBdr>
        <w:spacing w:before="120" w:after="0"/>
        <w:ind w:left="1077"/>
        <w:jc w:val="both"/>
        <w:rPr>
          <w:color w:val="000000"/>
          <w:sz w:val="24"/>
          <w:szCs w:val="24"/>
        </w:rPr>
      </w:pPr>
      <w:r w:rsidRPr="009B5EB2">
        <w:rPr>
          <w:color w:val="000000"/>
          <w:sz w:val="24"/>
          <w:szCs w:val="24"/>
        </w:rPr>
        <w:t xml:space="preserve">scénario minimum </w:t>
      </w:r>
      <w:r w:rsidR="004E2339">
        <w:rPr>
          <w:b/>
          <w:color w:val="000000"/>
          <w:sz w:val="24"/>
          <w:szCs w:val="24"/>
        </w:rPr>
        <w:t>856 973 125 129</w:t>
      </w:r>
      <w:r w:rsidRPr="009B5EB2">
        <w:rPr>
          <w:b/>
          <w:color w:val="000000"/>
          <w:sz w:val="24"/>
          <w:szCs w:val="24"/>
        </w:rPr>
        <w:t xml:space="preserve"> FCFA</w:t>
      </w:r>
      <w:r w:rsidRPr="009B5EB2">
        <w:rPr>
          <w:color w:val="000000"/>
          <w:sz w:val="24"/>
          <w:szCs w:val="24"/>
        </w:rPr>
        <w:t xml:space="preserve">, soit environ </w:t>
      </w:r>
      <w:r w:rsidR="004E2339">
        <w:rPr>
          <w:b/>
          <w:color w:val="000000"/>
          <w:sz w:val="24"/>
          <w:szCs w:val="24"/>
        </w:rPr>
        <w:t>1 503 461 623</w:t>
      </w:r>
      <w:r w:rsidRPr="009B5EB2">
        <w:rPr>
          <w:b/>
          <w:color w:val="000000"/>
          <w:sz w:val="24"/>
          <w:szCs w:val="24"/>
        </w:rPr>
        <w:t xml:space="preserve"> USD</w:t>
      </w:r>
      <w:r w:rsidRPr="009B5EB2">
        <w:rPr>
          <w:color w:val="000000"/>
          <w:sz w:val="24"/>
          <w:szCs w:val="24"/>
        </w:rPr>
        <w:t xml:space="preserve">, </w:t>
      </w:r>
    </w:p>
    <w:p w:rsidR="006D2860" w:rsidRDefault="009B5EB2" w:rsidP="005D02C3">
      <w:pPr>
        <w:pStyle w:val="Normal1"/>
        <w:numPr>
          <w:ilvl w:val="0"/>
          <w:numId w:val="68"/>
        </w:numPr>
        <w:pBdr>
          <w:top w:val="nil"/>
          <w:left w:val="nil"/>
          <w:bottom w:val="nil"/>
          <w:right w:val="nil"/>
          <w:between w:val="nil"/>
        </w:pBdr>
        <w:spacing w:before="120" w:after="0"/>
        <w:ind w:left="1077"/>
        <w:jc w:val="both"/>
        <w:rPr>
          <w:color w:val="000000"/>
          <w:sz w:val="24"/>
          <w:szCs w:val="24"/>
        </w:rPr>
      </w:pPr>
      <w:r w:rsidRPr="009B5EB2">
        <w:rPr>
          <w:color w:val="000000"/>
          <w:sz w:val="24"/>
          <w:szCs w:val="24"/>
        </w:rPr>
        <w:t xml:space="preserve">scénario moyen </w:t>
      </w:r>
      <w:r w:rsidR="004E2339">
        <w:rPr>
          <w:b/>
          <w:color w:val="000000"/>
          <w:sz w:val="24"/>
          <w:szCs w:val="24"/>
        </w:rPr>
        <w:t>1 036 451 660 029</w:t>
      </w:r>
      <w:r w:rsidRPr="009B5EB2">
        <w:rPr>
          <w:b/>
          <w:color w:val="000000"/>
          <w:sz w:val="24"/>
          <w:szCs w:val="24"/>
        </w:rPr>
        <w:t xml:space="preserve"> FCFA</w:t>
      </w:r>
      <w:r w:rsidRPr="009B5EB2">
        <w:rPr>
          <w:color w:val="000000"/>
          <w:sz w:val="24"/>
          <w:szCs w:val="24"/>
        </w:rPr>
        <w:t xml:space="preserve">, soit environ  </w:t>
      </w:r>
      <w:r w:rsidRPr="009B5EB2">
        <w:rPr>
          <w:b/>
          <w:color w:val="000000"/>
          <w:sz w:val="24"/>
          <w:szCs w:val="24"/>
        </w:rPr>
        <w:t>1</w:t>
      </w:r>
      <w:r w:rsidR="004E2339">
        <w:rPr>
          <w:b/>
          <w:color w:val="000000"/>
          <w:sz w:val="24"/>
          <w:szCs w:val="24"/>
        </w:rPr>
        <w:t> 818 336 246</w:t>
      </w:r>
      <w:r w:rsidRPr="009B5EB2">
        <w:rPr>
          <w:color w:val="000000"/>
          <w:sz w:val="24"/>
          <w:szCs w:val="24"/>
        </w:rPr>
        <w:t xml:space="preserve"> </w:t>
      </w:r>
      <w:r w:rsidRPr="009B5EB2">
        <w:rPr>
          <w:b/>
          <w:color w:val="000000"/>
          <w:sz w:val="24"/>
          <w:szCs w:val="24"/>
        </w:rPr>
        <w:t>USD</w:t>
      </w:r>
      <w:r w:rsidRPr="009B5EB2">
        <w:rPr>
          <w:color w:val="000000"/>
          <w:sz w:val="24"/>
          <w:szCs w:val="24"/>
        </w:rPr>
        <w:t xml:space="preserve"> et </w:t>
      </w:r>
    </w:p>
    <w:p w:rsidR="006D2860" w:rsidRDefault="009B5EB2" w:rsidP="005D02C3">
      <w:pPr>
        <w:pStyle w:val="Normal1"/>
        <w:numPr>
          <w:ilvl w:val="0"/>
          <w:numId w:val="68"/>
        </w:numPr>
        <w:pBdr>
          <w:top w:val="nil"/>
          <w:left w:val="nil"/>
          <w:bottom w:val="nil"/>
          <w:right w:val="nil"/>
          <w:between w:val="nil"/>
        </w:pBdr>
        <w:spacing w:before="120" w:after="0"/>
        <w:ind w:left="1077"/>
        <w:jc w:val="both"/>
        <w:rPr>
          <w:color w:val="000000"/>
          <w:sz w:val="24"/>
          <w:szCs w:val="24"/>
        </w:rPr>
      </w:pPr>
      <w:r w:rsidRPr="009B5EB2">
        <w:rPr>
          <w:color w:val="000000"/>
          <w:sz w:val="24"/>
          <w:szCs w:val="24"/>
        </w:rPr>
        <w:t xml:space="preserve">scénario maximum </w:t>
      </w:r>
      <w:r w:rsidR="004E2339">
        <w:rPr>
          <w:b/>
          <w:color w:val="000000"/>
          <w:sz w:val="24"/>
          <w:szCs w:val="24"/>
        </w:rPr>
        <w:t>1 262 838 208 909</w:t>
      </w:r>
      <w:r w:rsidRPr="009B5EB2">
        <w:rPr>
          <w:b/>
          <w:color w:val="000000"/>
          <w:sz w:val="24"/>
          <w:szCs w:val="24"/>
        </w:rPr>
        <w:t xml:space="preserve"> FCFA</w:t>
      </w:r>
      <w:r w:rsidRPr="009B5EB2">
        <w:rPr>
          <w:color w:val="000000"/>
          <w:sz w:val="24"/>
          <w:szCs w:val="24"/>
        </w:rPr>
        <w:t xml:space="preserve">, soit environ </w:t>
      </w:r>
      <w:r w:rsidR="004E2339">
        <w:rPr>
          <w:b/>
          <w:color w:val="000000"/>
          <w:sz w:val="24"/>
          <w:szCs w:val="24"/>
        </w:rPr>
        <w:t>2 215 505 630</w:t>
      </w:r>
      <w:r w:rsidRPr="009B5EB2">
        <w:rPr>
          <w:b/>
          <w:color w:val="000000"/>
          <w:sz w:val="24"/>
          <w:szCs w:val="24"/>
        </w:rPr>
        <w:t xml:space="preserve"> USD</w:t>
      </w:r>
      <w:r w:rsidRPr="009B5EB2">
        <w:rPr>
          <w:color w:val="000000"/>
          <w:sz w:val="24"/>
          <w:szCs w:val="24"/>
        </w:rPr>
        <w:t xml:space="preserve">. </w:t>
      </w:r>
    </w:p>
    <w:p w:rsidR="006D2860" w:rsidRDefault="006D2860">
      <w:pPr>
        <w:pStyle w:val="Normal1"/>
        <w:tabs>
          <w:tab w:val="left" w:pos="900"/>
        </w:tabs>
        <w:spacing w:after="0"/>
        <w:jc w:val="both"/>
      </w:pPr>
    </w:p>
    <w:p w:rsidR="006D2860" w:rsidRDefault="009B5EB2">
      <w:pPr>
        <w:pStyle w:val="Normal1"/>
        <w:tabs>
          <w:tab w:val="left" w:pos="900"/>
        </w:tabs>
        <w:jc w:val="both"/>
        <w:rPr>
          <w:sz w:val="24"/>
          <w:szCs w:val="24"/>
        </w:rPr>
      </w:pPr>
      <w:r w:rsidRPr="009B5EB2">
        <w:rPr>
          <w:sz w:val="24"/>
          <w:szCs w:val="24"/>
        </w:rPr>
        <w:t xml:space="preserve">Le scénario moyen ou tendanciel est celui qui a été choisi parce qu’il offre des possibilités </w:t>
      </w:r>
      <w:r w:rsidR="004E2339" w:rsidRPr="009B5EB2">
        <w:rPr>
          <w:sz w:val="24"/>
          <w:szCs w:val="24"/>
        </w:rPr>
        <w:t xml:space="preserve">plus réalistes </w:t>
      </w:r>
      <w:r w:rsidRPr="009B5EB2">
        <w:rPr>
          <w:sz w:val="24"/>
          <w:szCs w:val="24"/>
        </w:rPr>
        <w:t>de mobilisations de ressources.</w:t>
      </w:r>
    </w:p>
    <w:p w:rsidR="006D2860" w:rsidRDefault="009B5EB2">
      <w:pPr>
        <w:pStyle w:val="Normal1"/>
        <w:tabs>
          <w:tab w:val="left" w:pos="900"/>
        </w:tabs>
        <w:jc w:val="both"/>
        <w:rPr>
          <w:sz w:val="24"/>
          <w:szCs w:val="24"/>
        </w:rPr>
      </w:pPr>
      <w:r w:rsidRPr="009B5EB2">
        <w:rPr>
          <w:sz w:val="24"/>
          <w:szCs w:val="24"/>
        </w:rPr>
        <w:t xml:space="preserve">La ventilation des coûts par programme se présente comme suit : 24% pour les "Interventions transversales" de soutien aux services de SRMNEA du financement total, 29% pour la santé des enfants de moins de 5 ans, 31% pour la Santé de la mère et du nouveau-né, 14% pour la nutrition, 1% pour la santé des adolescents/jeunes et 2% pour l’état civil et statistiques vitales. </w:t>
      </w:r>
    </w:p>
    <w:p w:rsidR="006D2860" w:rsidRDefault="009B5EB2">
      <w:pPr>
        <w:pStyle w:val="Normal1"/>
        <w:tabs>
          <w:tab w:val="left" w:pos="900"/>
        </w:tabs>
        <w:jc w:val="both"/>
        <w:rPr>
          <w:sz w:val="24"/>
          <w:szCs w:val="24"/>
        </w:rPr>
      </w:pPr>
      <w:r w:rsidRPr="009B5EB2">
        <w:rPr>
          <w:sz w:val="24"/>
          <w:szCs w:val="24"/>
        </w:rPr>
        <w:t>La ventilation du budget par niveau de la pyramide sanitaire montre que 53% des financements sont orientés vers le niveau opérationnel (District sanitaire), 20% vers le niveau intermédiaire et 27% du financement vers le niveau central.</w:t>
      </w:r>
    </w:p>
    <w:p w:rsidR="00314B92" w:rsidRPr="00DC22A4" w:rsidRDefault="009B5EB2" w:rsidP="00DC22A4">
      <w:pPr>
        <w:pStyle w:val="Normal1"/>
        <w:jc w:val="both"/>
        <w:rPr>
          <w:sz w:val="24"/>
          <w:szCs w:val="24"/>
        </w:rPr>
      </w:pPr>
      <w:r w:rsidRPr="009B5EB2">
        <w:rPr>
          <w:sz w:val="24"/>
          <w:szCs w:val="24"/>
        </w:rPr>
        <w:t>En attendant les annonces de tous les partenaires techniques et financiers du Burkina, la différence entre les ressources disponibles et les besoins de financ</w:t>
      </w:r>
      <w:r w:rsidR="00DC22A4">
        <w:rPr>
          <w:sz w:val="24"/>
          <w:szCs w:val="24"/>
        </w:rPr>
        <w:t>ement a permis de dégager un déficit  de financement</w:t>
      </w:r>
      <w:r w:rsidRPr="009B5EB2">
        <w:rPr>
          <w:sz w:val="24"/>
          <w:szCs w:val="24"/>
        </w:rPr>
        <w:t xml:space="preserve"> qui s’élève à</w:t>
      </w:r>
      <w:r w:rsidR="004E2339">
        <w:rPr>
          <w:b/>
          <w:sz w:val="24"/>
          <w:szCs w:val="24"/>
        </w:rPr>
        <w:t xml:space="preserve"> 418 117 336 166</w:t>
      </w:r>
      <w:r w:rsidRPr="009B5EB2">
        <w:rPr>
          <w:b/>
          <w:sz w:val="24"/>
          <w:szCs w:val="24"/>
        </w:rPr>
        <w:t xml:space="preserve"> F CFA</w:t>
      </w:r>
      <w:r w:rsidR="004E2339">
        <w:rPr>
          <w:b/>
          <w:sz w:val="24"/>
          <w:szCs w:val="24"/>
        </w:rPr>
        <w:t xml:space="preserve"> </w:t>
      </w:r>
      <w:r w:rsidR="004E2339" w:rsidRPr="004E2339">
        <w:rPr>
          <w:sz w:val="24"/>
          <w:szCs w:val="24"/>
        </w:rPr>
        <w:t>ou</w:t>
      </w:r>
      <w:r w:rsidR="004E2339">
        <w:rPr>
          <w:b/>
          <w:sz w:val="24"/>
          <w:szCs w:val="24"/>
        </w:rPr>
        <w:t xml:space="preserve"> 733 539 186 USD</w:t>
      </w:r>
      <w:r w:rsidR="00DC22A4" w:rsidRPr="00DC22A4">
        <w:rPr>
          <w:sz w:val="24"/>
          <w:szCs w:val="24"/>
        </w:rPr>
        <w:t>, soit</w:t>
      </w:r>
      <w:r w:rsidR="004E2339">
        <w:rPr>
          <w:sz w:val="24"/>
          <w:szCs w:val="24"/>
        </w:rPr>
        <w:t xml:space="preserve"> 40 </w:t>
      </w:r>
      <w:r w:rsidRPr="009B5EB2">
        <w:rPr>
          <w:sz w:val="24"/>
          <w:szCs w:val="24"/>
        </w:rPr>
        <w:t xml:space="preserve">% des besoins de financement. </w:t>
      </w:r>
    </w:p>
    <w:p w:rsidR="00314B92" w:rsidRDefault="00AD5F81">
      <w:pPr>
        <w:pStyle w:val="Normal1"/>
        <w:widowControl w:val="0"/>
        <w:pBdr>
          <w:top w:val="nil"/>
          <w:left w:val="nil"/>
          <w:bottom w:val="nil"/>
          <w:right w:val="nil"/>
          <w:between w:val="nil"/>
        </w:pBdr>
        <w:spacing w:before="60" w:after="0"/>
        <w:jc w:val="both"/>
        <w:rPr>
          <w:color w:val="000000"/>
          <w:sz w:val="24"/>
          <w:szCs w:val="24"/>
        </w:rPr>
      </w:pPr>
      <w:r>
        <w:rPr>
          <w:color w:val="000000"/>
          <w:sz w:val="24"/>
          <w:szCs w:val="24"/>
        </w:rPr>
        <w:lastRenderedPageBreak/>
        <w:t>QUEL EST L’IMPACT ATTENDU ?</w:t>
      </w:r>
    </w:p>
    <w:p w:rsidR="00314B92" w:rsidRDefault="00AD5F81">
      <w:pPr>
        <w:pStyle w:val="Normal1"/>
        <w:tabs>
          <w:tab w:val="left" w:pos="900"/>
        </w:tabs>
        <w:spacing w:after="0"/>
        <w:jc w:val="both"/>
        <w:rPr>
          <w:sz w:val="24"/>
          <w:szCs w:val="24"/>
        </w:rPr>
      </w:pPr>
      <w:r>
        <w:rPr>
          <w:sz w:val="24"/>
          <w:szCs w:val="24"/>
        </w:rPr>
        <w:t xml:space="preserve">L’impact de la mise en œuvre des interventions proposées dans le plan financé selon le scénario moyen sera la réduction du taux de mortalité néonatale, du taux de mortalité des enfants de moins de 5 ans et du ratio de mortalité maternelle. </w:t>
      </w:r>
    </w:p>
    <w:p w:rsidR="00314B92" w:rsidRDefault="00AD5F81">
      <w:pPr>
        <w:pStyle w:val="Normal1"/>
        <w:tabs>
          <w:tab w:val="left" w:pos="900"/>
        </w:tabs>
        <w:spacing w:after="0"/>
        <w:jc w:val="both"/>
        <w:rPr>
          <w:sz w:val="24"/>
          <w:szCs w:val="24"/>
        </w:rPr>
      </w:pPr>
      <w:r>
        <w:rPr>
          <w:sz w:val="24"/>
          <w:szCs w:val="24"/>
        </w:rPr>
        <w:t xml:space="preserve">Au regard des projections de couvertures attendues et des interventions à mettre en œuvre, les décès additionnels </w:t>
      </w:r>
      <w:r w:rsidR="004E2339">
        <w:rPr>
          <w:sz w:val="24"/>
          <w:szCs w:val="24"/>
        </w:rPr>
        <w:t xml:space="preserve">évités </w:t>
      </w:r>
      <w:r>
        <w:rPr>
          <w:sz w:val="24"/>
          <w:szCs w:val="24"/>
        </w:rPr>
        <w:t xml:space="preserve">par rapport à l'année d'impact </w:t>
      </w:r>
      <w:r w:rsidR="004E2339">
        <w:rPr>
          <w:sz w:val="24"/>
          <w:szCs w:val="24"/>
        </w:rPr>
        <w:t>sont estimés à 30 552</w:t>
      </w:r>
      <w:r>
        <w:rPr>
          <w:sz w:val="24"/>
          <w:szCs w:val="24"/>
        </w:rPr>
        <w:t xml:space="preserve"> nouveau-nés</w:t>
      </w:r>
      <w:r w:rsidR="009E2B68">
        <w:rPr>
          <w:sz w:val="24"/>
          <w:szCs w:val="24"/>
        </w:rPr>
        <w:t xml:space="preserve">, </w:t>
      </w:r>
      <w:r w:rsidR="004E2339">
        <w:rPr>
          <w:sz w:val="24"/>
          <w:szCs w:val="24"/>
        </w:rPr>
        <w:t>130 817 enfants de moins de 5 ans</w:t>
      </w:r>
      <w:r w:rsidR="009E2B68">
        <w:rPr>
          <w:sz w:val="24"/>
          <w:szCs w:val="24"/>
        </w:rPr>
        <w:t xml:space="preserve"> et 2 821 décès maternels.</w:t>
      </w:r>
    </w:p>
    <w:p w:rsidR="00314B92" w:rsidRDefault="00314B92">
      <w:pPr>
        <w:pStyle w:val="Normal1"/>
        <w:tabs>
          <w:tab w:val="left" w:pos="900"/>
        </w:tabs>
        <w:spacing w:after="0"/>
        <w:jc w:val="both"/>
        <w:rPr>
          <w:sz w:val="24"/>
          <w:szCs w:val="24"/>
        </w:rPr>
      </w:pPr>
    </w:p>
    <w:p w:rsidR="0054628B" w:rsidRPr="0054628B" w:rsidRDefault="0054628B">
      <w:pPr>
        <w:pStyle w:val="Normal1"/>
        <w:tabs>
          <w:tab w:val="left" w:pos="900"/>
        </w:tabs>
        <w:spacing w:after="0"/>
        <w:jc w:val="both"/>
        <w:rPr>
          <w:sz w:val="24"/>
          <w:szCs w:val="24"/>
        </w:rPr>
      </w:pPr>
      <w:r w:rsidRPr="0054628B">
        <w:rPr>
          <w:sz w:val="24"/>
          <w:szCs w:val="24"/>
        </w:rPr>
        <w:t>CONDITIONS DE REUSSITE</w:t>
      </w:r>
    </w:p>
    <w:p w:rsidR="0054628B" w:rsidRDefault="0054628B" w:rsidP="0054628B">
      <w:pPr>
        <w:pStyle w:val="Normal1"/>
        <w:tabs>
          <w:tab w:val="left" w:pos="900"/>
        </w:tabs>
        <w:spacing w:after="0"/>
        <w:jc w:val="both"/>
        <w:rPr>
          <w:sz w:val="24"/>
          <w:szCs w:val="24"/>
        </w:rPr>
      </w:pPr>
      <w:r>
        <w:rPr>
          <w:sz w:val="24"/>
          <w:szCs w:val="24"/>
        </w:rPr>
        <w:t xml:space="preserve">Le système de santé </w:t>
      </w:r>
      <w:r w:rsidR="00A5342F">
        <w:rPr>
          <w:sz w:val="24"/>
          <w:szCs w:val="24"/>
        </w:rPr>
        <w:t>du Burkina Faso</w:t>
      </w:r>
      <w:r>
        <w:rPr>
          <w:sz w:val="24"/>
          <w:szCs w:val="24"/>
        </w:rPr>
        <w:t xml:space="preserve"> a une bonne réactivité qui lui a permis d’accomplir des progrès importants en matière de santé de la reproduction de santé de la mère, du nouveau, de l’enfant, de l’adolescent/jeune et en matière de nutrition. </w:t>
      </w:r>
    </w:p>
    <w:p w:rsidR="0054628B" w:rsidRDefault="0054628B" w:rsidP="0054628B">
      <w:pPr>
        <w:pStyle w:val="Normal1"/>
        <w:tabs>
          <w:tab w:val="left" w:pos="900"/>
        </w:tabs>
        <w:spacing w:after="0"/>
        <w:jc w:val="both"/>
        <w:rPr>
          <w:sz w:val="24"/>
          <w:szCs w:val="24"/>
        </w:rPr>
      </w:pPr>
      <w:r>
        <w:rPr>
          <w:sz w:val="24"/>
          <w:szCs w:val="24"/>
        </w:rPr>
        <w:t>Cependant ces progrès n’ont pas été suffisants pour atteindre les cibles fixées au niveau national et au niveau international.</w:t>
      </w:r>
    </w:p>
    <w:p w:rsidR="0054628B" w:rsidRPr="0054628B" w:rsidRDefault="0054628B">
      <w:pPr>
        <w:pStyle w:val="Normal1"/>
        <w:tabs>
          <w:tab w:val="left" w:pos="900"/>
        </w:tabs>
        <w:spacing w:after="0"/>
        <w:jc w:val="both"/>
        <w:rPr>
          <w:sz w:val="24"/>
          <w:szCs w:val="24"/>
        </w:rPr>
      </w:pPr>
      <w:r>
        <w:rPr>
          <w:sz w:val="24"/>
          <w:szCs w:val="24"/>
        </w:rPr>
        <w:t>Le Dossier d’investissement en SRMNEAN et ECSV offre au Pays l’opportunité de focaliser les efforts de tous les acteurs sur quelques priorités et stratégies à haut impact pour accélérer les progrès.</w:t>
      </w:r>
    </w:p>
    <w:p w:rsidR="0054628B" w:rsidRDefault="0054628B" w:rsidP="0054628B">
      <w:pPr>
        <w:pStyle w:val="Normal1"/>
        <w:pBdr>
          <w:top w:val="nil"/>
          <w:left w:val="nil"/>
          <w:bottom w:val="nil"/>
          <w:right w:val="nil"/>
          <w:between w:val="nil"/>
        </w:pBdr>
        <w:spacing w:after="0"/>
        <w:jc w:val="both"/>
        <w:rPr>
          <w:color w:val="000000"/>
          <w:sz w:val="24"/>
          <w:szCs w:val="24"/>
        </w:rPr>
      </w:pPr>
      <w:r>
        <w:rPr>
          <w:color w:val="000000"/>
          <w:sz w:val="24"/>
          <w:szCs w:val="24"/>
        </w:rPr>
        <w:t>L’accroissement de l’utilisation des services de qualité à haut impact de santé sexuelle et reproductive, de santé de la mère, du nouveau-né, de l’enfant, de l’adolescent/jeune et de Nutrition à travers l’amélioration de l’offre et de la demande ainsi que de l’environnemen</w:t>
      </w:r>
      <w:r w:rsidR="00A5342F">
        <w:rPr>
          <w:color w:val="000000"/>
          <w:sz w:val="24"/>
          <w:szCs w:val="24"/>
        </w:rPr>
        <w:t>t systémique et intersectoriel</w:t>
      </w:r>
      <w:r>
        <w:rPr>
          <w:color w:val="000000"/>
          <w:sz w:val="24"/>
          <w:szCs w:val="24"/>
        </w:rPr>
        <w:t xml:space="preserve">. </w:t>
      </w:r>
    </w:p>
    <w:p w:rsidR="00A5342F" w:rsidRDefault="00A5342F" w:rsidP="0054628B">
      <w:pPr>
        <w:pStyle w:val="Normal1"/>
        <w:pBdr>
          <w:top w:val="nil"/>
          <w:left w:val="nil"/>
          <w:bottom w:val="nil"/>
          <w:right w:val="nil"/>
          <w:between w:val="nil"/>
        </w:pBdr>
        <w:spacing w:after="0"/>
        <w:jc w:val="both"/>
        <w:rPr>
          <w:color w:val="000000"/>
          <w:sz w:val="24"/>
          <w:szCs w:val="24"/>
        </w:rPr>
      </w:pPr>
      <w:r>
        <w:rPr>
          <w:color w:val="000000"/>
          <w:sz w:val="24"/>
          <w:szCs w:val="24"/>
        </w:rPr>
        <w:t>Le financement du DI-SRMNEAN-ECSV nécessitera une plus grande mobilisation de ressources internes, y compris à partir du secteur privé et une plus grande efficience dans la gestion des ressources mobilisées.</w:t>
      </w:r>
    </w:p>
    <w:p w:rsidR="0054628B" w:rsidRDefault="0054628B" w:rsidP="0054628B">
      <w:pPr>
        <w:pStyle w:val="Normal1"/>
        <w:pBdr>
          <w:top w:val="nil"/>
          <w:left w:val="nil"/>
          <w:bottom w:val="nil"/>
          <w:right w:val="nil"/>
          <w:between w:val="nil"/>
        </w:pBdr>
        <w:spacing w:after="0"/>
        <w:jc w:val="both"/>
        <w:rPr>
          <w:color w:val="000000"/>
          <w:sz w:val="24"/>
          <w:szCs w:val="24"/>
        </w:rPr>
      </w:pPr>
      <w:r>
        <w:rPr>
          <w:color w:val="000000"/>
          <w:sz w:val="24"/>
          <w:szCs w:val="24"/>
        </w:rPr>
        <w:t xml:space="preserve">Un effort différentiel en termes d’investissement devra être fait  pour corriger les inégalités observées. Cet effort spécial permettra aux régions de priorité 1 et les régions de priorité 2 de rattraper leur retard en termes de performances et de résultats.  Le maintien des performances atteintes dans les régions de priorité 3 ne doit pas être négligé. </w:t>
      </w:r>
    </w:p>
    <w:p w:rsidR="0054628B" w:rsidRDefault="0054628B" w:rsidP="0054628B">
      <w:pPr>
        <w:pStyle w:val="Normal1"/>
        <w:pBdr>
          <w:top w:val="nil"/>
          <w:left w:val="nil"/>
          <w:bottom w:val="nil"/>
          <w:right w:val="nil"/>
          <w:between w:val="nil"/>
        </w:pBdr>
        <w:spacing w:after="0"/>
        <w:jc w:val="both"/>
        <w:rPr>
          <w:color w:val="000000"/>
          <w:sz w:val="24"/>
          <w:szCs w:val="24"/>
        </w:rPr>
      </w:pPr>
      <w:r>
        <w:rPr>
          <w:color w:val="000000"/>
          <w:sz w:val="24"/>
          <w:szCs w:val="24"/>
        </w:rPr>
        <w:t>Le renforcement de la santé communautaire, conçue comme socle des soins de santé primaires pour aller vers la couverture sanitaire universelle. L’approche communautaire est également une approche qui permettra de couvrir un maximum de population et en particulier d’apporter les services du paquet d’interventions à haut impact relevant de la pratique communautaire aux populations des zones éloignées et des zones d’insécurité.</w:t>
      </w:r>
    </w:p>
    <w:p w:rsidR="0054628B" w:rsidRDefault="0054628B" w:rsidP="0054628B">
      <w:pPr>
        <w:pStyle w:val="Normal1"/>
        <w:pBdr>
          <w:top w:val="nil"/>
          <w:left w:val="nil"/>
          <w:bottom w:val="nil"/>
          <w:right w:val="nil"/>
          <w:between w:val="nil"/>
        </w:pBdr>
        <w:spacing w:after="0"/>
        <w:jc w:val="both"/>
        <w:rPr>
          <w:color w:val="000000"/>
          <w:sz w:val="24"/>
          <w:szCs w:val="24"/>
        </w:rPr>
      </w:pPr>
      <w:r>
        <w:rPr>
          <w:color w:val="000000"/>
          <w:sz w:val="24"/>
          <w:szCs w:val="24"/>
        </w:rPr>
        <w:t>Le renforcement des services de vaccination pour couvrir la population en fonction des besoins spécifiques de chaque tranche d’âge de la vie. Des stratégies particulières seront mises en œuvre pour atteindre les populations marginalisées ou celles habitant les zones d’insécurité.</w:t>
      </w:r>
    </w:p>
    <w:p w:rsidR="00314B92" w:rsidRDefault="00AD5F81">
      <w:pPr>
        <w:pStyle w:val="Normal1"/>
        <w:tabs>
          <w:tab w:val="left" w:pos="900"/>
        </w:tabs>
        <w:spacing w:after="0"/>
        <w:jc w:val="both"/>
        <w:rPr>
          <w:sz w:val="24"/>
          <w:szCs w:val="24"/>
        </w:rPr>
      </w:pPr>
      <w:r>
        <w:br w:type="page"/>
      </w:r>
    </w:p>
    <w:p w:rsidR="006D2860" w:rsidRDefault="009B5EB2" w:rsidP="005D02C3">
      <w:pPr>
        <w:pStyle w:val="Titre1"/>
        <w:numPr>
          <w:ilvl w:val="3"/>
          <w:numId w:val="68"/>
        </w:numPr>
        <w:pBdr>
          <w:top w:val="nil"/>
          <w:left w:val="nil"/>
          <w:bottom w:val="nil"/>
          <w:right w:val="nil"/>
          <w:between w:val="nil"/>
        </w:pBdr>
        <w:ind w:left="426" w:hanging="426"/>
        <w:rPr>
          <w:b w:val="0"/>
          <w:smallCaps w:val="0"/>
          <w:color w:val="000000"/>
          <w:sz w:val="28"/>
          <w:szCs w:val="28"/>
        </w:rPr>
      </w:pPr>
      <w:r w:rsidRPr="009B5EB2">
        <w:rPr>
          <w:b w:val="0"/>
          <w:smallCaps w:val="0"/>
          <w:color w:val="000000"/>
          <w:sz w:val="28"/>
          <w:szCs w:val="28"/>
        </w:rPr>
        <w:lastRenderedPageBreak/>
        <w:t>INTRODUCTION</w:t>
      </w:r>
    </w:p>
    <w:p w:rsidR="00E0411B" w:rsidRPr="00E0411B" w:rsidRDefault="00E0411B" w:rsidP="005D02C3">
      <w:pPr>
        <w:pStyle w:val="Normal1"/>
        <w:numPr>
          <w:ilvl w:val="1"/>
          <w:numId w:val="120"/>
        </w:numPr>
        <w:spacing w:after="0"/>
      </w:pPr>
      <w:r>
        <w:t xml:space="preserve"> POURQUOI LE DOSSIER D’INVESTISSEMENT </w:t>
      </w:r>
    </w:p>
    <w:p w:rsidR="00B91FD9" w:rsidRDefault="00AD5F81" w:rsidP="00D21688">
      <w:pPr>
        <w:pStyle w:val="Normal1"/>
        <w:spacing w:after="0"/>
        <w:jc w:val="both"/>
        <w:rPr>
          <w:sz w:val="24"/>
          <w:szCs w:val="24"/>
        </w:rPr>
      </w:pPr>
      <w:r>
        <w:rPr>
          <w:sz w:val="24"/>
          <w:szCs w:val="24"/>
        </w:rPr>
        <w:t>La morbidité et la mortalité maternelle, néonatale et infanto-juvénile demeurent un problème majeur de santé publique dans plusieurs pays en voie de développement dont le Burkina Faso. Ces dernières années, des stratégies et initiatives internationales et nationales spécifiques ont été lancées en vue d’intensifier et de mieux coordonner les efforts pour atteindre les Objectifs du Millénaire pour le Développement (OMD) liés à la santé. Parmi les stratégies les plus importantes, il faut citer</w:t>
      </w:r>
      <w:r w:rsidR="00B91FD9">
        <w:rPr>
          <w:sz w:val="24"/>
          <w:szCs w:val="24"/>
        </w:rPr>
        <w:t> :</w:t>
      </w:r>
    </w:p>
    <w:p w:rsidR="00B91FD9" w:rsidRDefault="00AD5F81" w:rsidP="005D02C3">
      <w:pPr>
        <w:pStyle w:val="Normal1"/>
        <w:numPr>
          <w:ilvl w:val="0"/>
          <w:numId w:val="123"/>
        </w:numPr>
        <w:spacing w:after="0"/>
        <w:jc w:val="both"/>
        <w:rPr>
          <w:sz w:val="24"/>
          <w:szCs w:val="24"/>
        </w:rPr>
      </w:pPr>
      <w:r>
        <w:rPr>
          <w:sz w:val="24"/>
          <w:szCs w:val="24"/>
        </w:rPr>
        <w:t xml:space="preserve">la Stratégie Mondiale pour la Santé des Femmes et des Enfants, </w:t>
      </w:r>
    </w:p>
    <w:p w:rsidR="00B91FD9" w:rsidRDefault="00AD5F81" w:rsidP="005D02C3">
      <w:pPr>
        <w:pStyle w:val="Normal1"/>
        <w:numPr>
          <w:ilvl w:val="0"/>
          <w:numId w:val="123"/>
        </w:numPr>
        <w:spacing w:after="0"/>
        <w:jc w:val="both"/>
        <w:rPr>
          <w:sz w:val="24"/>
          <w:szCs w:val="24"/>
        </w:rPr>
      </w:pPr>
      <w:r>
        <w:rPr>
          <w:sz w:val="24"/>
          <w:szCs w:val="24"/>
        </w:rPr>
        <w:t>la Campagne Africaine de Réduction de la Mortalité Mat</w:t>
      </w:r>
      <w:r w:rsidR="00742863">
        <w:rPr>
          <w:sz w:val="24"/>
          <w:szCs w:val="24"/>
        </w:rPr>
        <w:t>ernelle en Afrique (CARMMA), l’E</w:t>
      </w:r>
      <w:r>
        <w:rPr>
          <w:sz w:val="24"/>
          <w:szCs w:val="24"/>
        </w:rPr>
        <w:t>limination virtuelle de la transmission du</w:t>
      </w:r>
      <w:r w:rsidR="00742863">
        <w:rPr>
          <w:sz w:val="24"/>
          <w:szCs w:val="24"/>
        </w:rPr>
        <w:t xml:space="preserve"> VIH</w:t>
      </w:r>
      <w:r>
        <w:rPr>
          <w:sz w:val="24"/>
          <w:szCs w:val="24"/>
        </w:rPr>
        <w:t xml:space="preserve"> de la mère à l’enfant, </w:t>
      </w:r>
    </w:p>
    <w:p w:rsidR="00B91FD9" w:rsidRDefault="00AD5F81" w:rsidP="005D02C3">
      <w:pPr>
        <w:pStyle w:val="Normal1"/>
        <w:numPr>
          <w:ilvl w:val="0"/>
          <w:numId w:val="123"/>
        </w:numPr>
        <w:spacing w:after="0"/>
        <w:jc w:val="both"/>
        <w:rPr>
          <w:sz w:val="24"/>
          <w:szCs w:val="24"/>
        </w:rPr>
      </w:pPr>
      <w:r>
        <w:rPr>
          <w:sz w:val="24"/>
          <w:szCs w:val="24"/>
        </w:rPr>
        <w:t>la Stratégie Accélérée pour la Survie et le Développement du Jeune</w:t>
      </w:r>
      <w:r w:rsidR="000159CA">
        <w:rPr>
          <w:sz w:val="24"/>
          <w:szCs w:val="24"/>
        </w:rPr>
        <w:t xml:space="preserve"> Enfant 2009-2015 </w:t>
      </w:r>
      <w:r w:rsidR="00742863">
        <w:rPr>
          <w:sz w:val="24"/>
          <w:szCs w:val="24"/>
        </w:rPr>
        <w:t xml:space="preserve"> et </w:t>
      </w:r>
    </w:p>
    <w:p w:rsidR="00314B92" w:rsidRDefault="00742863" w:rsidP="005D02C3">
      <w:pPr>
        <w:pStyle w:val="Normal1"/>
        <w:numPr>
          <w:ilvl w:val="0"/>
          <w:numId w:val="123"/>
        </w:numPr>
        <w:spacing w:after="0"/>
        <w:jc w:val="both"/>
        <w:rPr>
          <w:sz w:val="24"/>
          <w:szCs w:val="24"/>
        </w:rPr>
      </w:pPr>
      <w:r>
        <w:rPr>
          <w:sz w:val="24"/>
          <w:szCs w:val="24"/>
        </w:rPr>
        <w:t>l’E</w:t>
      </w:r>
      <w:r w:rsidR="00AD5F81">
        <w:rPr>
          <w:sz w:val="24"/>
          <w:szCs w:val="24"/>
        </w:rPr>
        <w:t>ngagement de MUSKOKA.</w:t>
      </w:r>
    </w:p>
    <w:p w:rsidR="00742863" w:rsidRDefault="00AD5F81">
      <w:pPr>
        <w:pStyle w:val="Normal1"/>
        <w:spacing w:after="0"/>
        <w:jc w:val="both"/>
        <w:rPr>
          <w:sz w:val="24"/>
          <w:szCs w:val="24"/>
        </w:rPr>
      </w:pPr>
      <w:r>
        <w:rPr>
          <w:sz w:val="24"/>
          <w:szCs w:val="24"/>
        </w:rPr>
        <w:t>Dans le cad</w:t>
      </w:r>
      <w:r w:rsidR="00742863">
        <w:rPr>
          <w:sz w:val="24"/>
          <w:szCs w:val="24"/>
        </w:rPr>
        <w:t>re de l’agenda post 2015, d</w:t>
      </w:r>
      <w:r>
        <w:rPr>
          <w:sz w:val="24"/>
          <w:szCs w:val="24"/>
        </w:rPr>
        <w:t>es initiatives nationales ont été lancées pour atteindre les Objectifs de Développem</w:t>
      </w:r>
      <w:r w:rsidR="00742863">
        <w:rPr>
          <w:sz w:val="24"/>
          <w:szCs w:val="24"/>
        </w:rPr>
        <w:t>ent Durable (ODD) dont :</w:t>
      </w:r>
    </w:p>
    <w:p w:rsidR="00742863" w:rsidRPr="00B91FD9" w:rsidRDefault="00742863" w:rsidP="005D02C3">
      <w:pPr>
        <w:pStyle w:val="Normal1"/>
        <w:numPr>
          <w:ilvl w:val="0"/>
          <w:numId w:val="122"/>
        </w:numPr>
        <w:spacing w:after="0"/>
        <w:jc w:val="both"/>
        <w:rPr>
          <w:rFonts w:asciiTheme="majorHAnsi" w:hAnsiTheme="majorHAnsi" w:cstheme="majorHAnsi"/>
          <w:sz w:val="24"/>
          <w:szCs w:val="24"/>
        </w:rPr>
      </w:pPr>
      <w:r w:rsidRPr="00B91FD9">
        <w:rPr>
          <w:rFonts w:asciiTheme="majorHAnsi" w:hAnsiTheme="majorHAnsi" w:cstheme="majorHAnsi"/>
          <w:sz w:val="24"/>
          <w:szCs w:val="24"/>
        </w:rPr>
        <w:t>le Plan National de Développement Economique et S</w:t>
      </w:r>
      <w:r w:rsidR="00AD5F81" w:rsidRPr="00B91FD9">
        <w:rPr>
          <w:rFonts w:asciiTheme="majorHAnsi" w:hAnsiTheme="majorHAnsi" w:cstheme="majorHAnsi"/>
          <w:sz w:val="24"/>
          <w:szCs w:val="24"/>
        </w:rPr>
        <w:t>oc</w:t>
      </w:r>
      <w:r w:rsidRPr="00B91FD9">
        <w:rPr>
          <w:rFonts w:asciiTheme="majorHAnsi" w:hAnsiTheme="majorHAnsi" w:cstheme="majorHAnsi"/>
          <w:sz w:val="24"/>
          <w:szCs w:val="24"/>
        </w:rPr>
        <w:t xml:space="preserve">ial (PNDES) 2016-2020, </w:t>
      </w:r>
    </w:p>
    <w:p w:rsidR="00742863" w:rsidRPr="00B91FD9" w:rsidRDefault="00742863" w:rsidP="005D02C3">
      <w:pPr>
        <w:pStyle w:val="Normal1"/>
        <w:numPr>
          <w:ilvl w:val="0"/>
          <w:numId w:val="122"/>
        </w:numPr>
        <w:spacing w:after="0"/>
        <w:jc w:val="both"/>
        <w:rPr>
          <w:rFonts w:asciiTheme="majorHAnsi" w:hAnsiTheme="majorHAnsi" w:cstheme="majorHAnsi"/>
          <w:sz w:val="24"/>
          <w:szCs w:val="24"/>
        </w:rPr>
      </w:pPr>
      <w:r w:rsidRPr="00B91FD9">
        <w:rPr>
          <w:rFonts w:asciiTheme="majorHAnsi" w:hAnsiTheme="majorHAnsi" w:cstheme="majorHAnsi"/>
          <w:sz w:val="24"/>
          <w:szCs w:val="24"/>
        </w:rPr>
        <w:t>le Plan National de Développement S</w:t>
      </w:r>
      <w:r w:rsidR="00AD5F81" w:rsidRPr="00B91FD9">
        <w:rPr>
          <w:rFonts w:asciiTheme="majorHAnsi" w:hAnsiTheme="majorHAnsi" w:cstheme="majorHAnsi"/>
          <w:sz w:val="24"/>
          <w:szCs w:val="24"/>
        </w:rPr>
        <w:t>anit</w:t>
      </w:r>
      <w:r w:rsidRPr="00B91FD9">
        <w:rPr>
          <w:rFonts w:asciiTheme="majorHAnsi" w:hAnsiTheme="majorHAnsi" w:cstheme="majorHAnsi"/>
          <w:sz w:val="24"/>
          <w:szCs w:val="24"/>
        </w:rPr>
        <w:t xml:space="preserve">aire (PNDS) 2011-2020, </w:t>
      </w:r>
    </w:p>
    <w:p w:rsidR="00742863" w:rsidRPr="00B91FD9" w:rsidRDefault="00742863" w:rsidP="005D02C3">
      <w:pPr>
        <w:pStyle w:val="Normal1"/>
        <w:numPr>
          <w:ilvl w:val="0"/>
          <w:numId w:val="122"/>
        </w:numPr>
        <w:spacing w:after="0"/>
        <w:jc w:val="both"/>
        <w:rPr>
          <w:rFonts w:asciiTheme="majorHAnsi" w:hAnsiTheme="majorHAnsi" w:cstheme="majorHAnsi"/>
          <w:sz w:val="24"/>
          <w:szCs w:val="24"/>
        </w:rPr>
      </w:pPr>
      <w:r w:rsidRPr="00B91FD9">
        <w:rPr>
          <w:rFonts w:asciiTheme="majorHAnsi" w:hAnsiTheme="majorHAnsi" w:cstheme="majorHAnsi"/>
          <w:sz w:val="24"/>
          <w:szCs w:val="24"/>
        </w:rPr>
        <w:t>le Plan S</w:t>
      </w:r>
      <w:r w:rsidR="00AD5F81" w:rsidRPr="00B91FD9">
        <w:rPr>
          <w:rFonts w:asciiTheme="majorHAnsi" w:hAnsiTheme="majorHAnsi" w:cstheme="majorHAnsi"/>
          <w:sz w:val="24"/>
          <w:szCs w:val="24"/>
        </w:rPr>
        <w:t>tratégique 2015-2020 pour la survie de l’enfant de moins de cinq ans,</w:t>
      </w:r>
      <w:r w:rsidRPr="00B91FD9">
        <w:rPr>
          <w:rFonts w:asciiTheme="majorHAnsi" w:hAnsiTheme="majorHAnsi" w:cstheme="majorHAnsi"/>
          <w:sz w:val="24"/>
          <w:szCs w:val="24"/>
        </w:rPr>
        <w:t xml:space="preserve"> </w:t>
      </w:r>
    </w:p>
    <w:p w:rsidR="00B91FD9" w:rsidRPr="00B91FD9" w:rsidRDefault="00742863" w:rsidP="005D02C3">
      <w:pPr>
        <w:pStyle w:val="Normal1"/>
        <w:numPr>
          <w:ilvl w:val="0"/>
          <w:numId w:val="122"/>
        </w:numPr>
        <w:spacing w:after="0"/>
        <w:jc w:val="both"/>
        <w:rPr>
          <w:rFonts w:asciiTheme="majorHAnsi" w:hAnsiTheme="majorHAnsi" w:cstheme="majorHAnsi"/>
          <w:sz w:val="24"/>
          <w:szCs w:val="24"/>
        </w:rPr>
      </w:pPr>
      <w:r w:rsidRPr="00B91FD9">
        <w:rPr>
          <w:rFonts w:asciiTheme="majorHAnsi" w:hAnsiTheme="majorHAnsi" w:cstheme="majorHAnsi"/>
          <w:sz w:val="24"/>
          <w:szCs w:val="24"/>
        </w:rPr>
        <w:t>le Plan S</w:t>
      </w:r>
      <w:r w:rsidR="00AD5F81" w:rsidRPr="00B91FD9">
        <w:rPr>
          <w:rFonts w:asciiTheme="majorHAnsi" w:hAnsiTheme="majorHAnsi" w:cstheme="majorHAnsi"/>
          <w:sz w:val="24"/>
          <w:szCs w:val="24"/>
        </w:rPr>
        <w:t xml:space="preserve">tratégique </w:t>
      </w:r>
      <w:r w:rsidRPr="00B91FD9">
        <w:rPr>
          <w:rFonts w:asciiTheme="majorHAnsi" w:hAnsiTheme="majorHAnsi" w:cstheme="majorHAnsi"/>
          <w:sz w:val="24"/>
          <w:szCs w:val="24"/>
        </w:rPr>
        <w:t xml:space="preserve">de la </w:t>
      </w:r>
      <w:r w:rsidR="00AD5F81" w:rsidRPr="00B91FD9">
        <w:rPr>
          <w:rFonts w:asciiTheme="majorHAnsi" w:hAnsiTheme="majorHAnsi" w:cstheme="majorHAnsi"/>
          <w:sz w:val="24"/>
          <w:szCs w:val="24"/>
        </w:rPr>
        <w:t>santé des adolescents et des j</w:t>
      </w:r>
      <w:r w:rsidRPr="00B91FD9">
        <w:rPr>
          <w:rFonts w:asciiTheme="majorHAnsi" w:hAnsiTheme="majorHAnsi" w:cstheme="majorHAnsi"/>
          <w:sz w:val="24"/>
          <w:szCs w:val="24"/>
        </w:rPr>
        <w:t xml:space="preserve">eunes 2016-2020, </w:t>
      </w:r>
    </w:p>
    <w:p w:rsidR="00B91FD9" w:rsidRPr="00B91FD9" w:rsidRDefault="00AD5F81" w:rsidP="005D02C3">
      <w:pPr>
        <w:pStyle w:val="Normal1"/>
        <w:numPr>
          <w:ilvl w:val="0"/>
          <w:numId w:val="122"/>
        </w:numPr>
        <w:spacing w:after="0"/>
        <w:jc w:val="both"/>
        <w:rPr>
          <w:rFonts w:asciiTheme="majorHAnsi" w:hAnsiTheme="majorHAnsi" w:cstheme="majorHAnsi"/>
          <w:sz w:val="24"/>
          <w:szCs w:val="24"/>
        </w:rPr>
      </w:pPr>
      <w:r w:rsidRPr="00B91FD9">
        <w:rPr>
          <w:rFonts w:asciiTheme="majorHAnsi" w:hAnsiTheme="majorHAnsi" w:cstheme="majorHAnsi"/>
          <w:sz w:val="24"/>
          <w:szCs w:val="24"/>
        </w:rPr>
        <w:t xml:space="preserve">le Plan stratégique intégré SRMNEA-PA 2017-2020 développant une vision plus holistique de la </w:t>
      </w:r>
      <w:r w:rsidR="000159CA">
        <w:rPr>
          <w:rFonts w:asciiTheme="majorHAnsi" w:hAnsiTheme="majorHAnsi" w:cstheme="majorHAnsi"/>
          <w:sz w:val="24"/>
          <w:szCs w:val="24"/>
        </w:rPr>
        <w:t>SRMNEAN</w:t>
      </w:r>
      <w:r w:rsidR="00742863" w:rsidRPr="00B91FD9">
        <w:rPr>
          <w:rFonts w:asciiTheme="majorHAnsi" w:hAnsiTheme="majorHAnsi" w:cstheme="majorHAnsi"/>
          <w:sz w:val="24"/>
          <w:szCs w:val="24"/>
        </w:rPr>
        <w:t xml:space="preserve">, </w:t>
      </w:r>
    </w:p>
    <w:p w:rsidR="00B91FD9" w:rsidRPr="00B91FD9" w:rsidRDefault="00742863" w:rsidP="005D02C3">
      <w:pPr>
        <w:pStyle w:val="Normal1"/>
        <w:numPr>
          <w:ilvl w:val="0"/>
          <w:numId w:val="122"/>
        </w:numPr>
        <w:spacing w:after="0"/>
        <w:jc w:val="both"/>
        <w:rPr>
          <w:rFonts w:asciiTheme="majorHAnsi" w:hAnsiTheme="majorHAnsi" w:cstheme="majorHAnsi"/>
          <w:sz w:val="24"/>
          <w:szCs w:val="24"/>
        </w:rPr>
      </w:pPr>
      <w:r w:rsidRPr="00B91FD9">
        <w:rPr>
          <w:rFonts w:asciiTheme="majorHAnsi" w:hAnsiTheme="majorHAnsi" w:cstheme="majorHAnsi"/>
          <w:sz w:val="24"/>
          <w:szCs w:val="24"/>
        </w:rPr>
        <w:t xml:space="preserve">la Stratégie Nationale de Financement de la Santé (SNFS) pour la couverture santé universelle qui couvre la période de 2018 à 2030 et </w:t>
      </w:r>
    </w:p>
    <w:p w:rsidR="00314B92" w:rsidRPr="00B91FD9" w:rsidRDefault="00742863" w:rsidP="005D02C3">
      <w:pPr>
        <w:pStyle w:val="Normal1"/>
        <w:numPr>
          <w:ilvl w:val="0"/>
          <w:numId w:val="122"/>
        </w:numPr>
        <w:spacing w:after="0"/>
        <w:jc w:val="both"/>
        <w:rPr>
          <w:rFonts w:asciiTheme="majorHAnsi" w:hAnsiTheme="majorHAnsi" w:cstheme="majorHAnsi"/>
          <w:sz w:val="24"/>
          <w:szCs w:val="24"/>
        </w:rPr>
      </w:pPr>
      <w:r w:rsidRPr="00B91FD9">
        <w:rPr>
          <w:rFonts w:asciiTheme="majorHAnsi" w:hAnsiTheme="majorHAnsi" w:cstheme="majorHAnsi"/>
          <w:sz w:val="24"/>
          <w:szCs w:val="24"/>
        </w:rPr>
        <w:t>la Stratégie nationale de santé communautaire</w:t>
      </w:r>
      <w:r w:rsidR="00AD5F81" w:rsidRPr="00B91FD9">
        <w:rPr>
          <w:rFonts w:asciiTheme="majorHAnsi" w:hAnsiTheme="majorHAnsi" w:cstheme="majorHAnsi"/>
          <w:sz w:val="24"/>
          <w:szCs w:val="24"/>
        </w:rPr>
        <w:t>.</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Des pro</w:t>
      </w:r>
      <w:r w:rsidR="00B91FD9">
        <w:rPr>
          <w:color w:val="000000"/>
          <w:sz w:val="24"/>
          <w:szCs w:val="24"/>
        </w:rPr>
        <w:t>grès ont été réalisés en SRMNEA</w:t>
      </w:r>
      <w:r>
        <w:rPr>
          <w:color w:val="000000"/>
          <w:sz w:val="24"/>
          <w:szCs w:val="24"/>
        </w:rPr>
        <w:t>N avec des taux de mortalité maternelle et infanto-juvénile qui sont passés respectivement de 341 à 330 pour 100 000 naissances vivantes et de 129 à 81 pour 1000 entre 2010 et 2015. La prévalence du retard de croissance chez les enfants de moins de 5 ans est passée de 33% en 2013 à 21% en 2017. La prévalence contraceptive est passée de 15 % en 2010 à 22,5 %</w:t>
      </w:r>
      <w:r w:rsidR="00B91FD9">
        <w:rPr>
          <w:color w:val="000000"/>
          <w:sz w:val="24"/>
          <w:szCs w:val="24"/>
        </w:rPr>
        <w:t xml:space="preserve"> en 2015. Mais ces progrès so</w:t>
      </w:r>
      <w:r>
        <w:rPr>
          <w:color w:val="000000"/>
          <w:sz w:val="24"/>
          <w:szCs w:val="24"/>
        </w:rPr>
        <w:t>nt insuffisants et les niveaux de mortalité maternelle</w:t>
      </w:r>
      <w:r w:rsidR="00B91FD9">
        <w:rPr>
          <w:color w:val="000000"/>
          <w:sz w:val="24"/>
          <w:szCs w:val="24"/>
        </w:rPr>
        <w:t>, néonatale</w:t>
      </w:r>
      <w:r>
        <w:rPr>
          <w:color w:val="000000"/>
          <w:sz w:val="24"/>
          <w:szCs w:val="24"/>
        </w:rPr>
        <w:t xml:space="preserve"> et infanto-juvénile restent inacceptables. </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 xml:space="preserve">Dans ce contexte, l’adhésion du Burkina Faso au Global Financing Facility (GFF) en septembre 2017 </w:t>
      </w:r>
      <w:r w:rsidR="00B91FD9">
        <w:rPr>
          <w:color w:val="000000"/>
          <w:sz w:val="24"/>
          <w:szCs w:val="24"/>
        </w:rPr>
        <w:t xml:space="preserve">est </w:t>
      </w:r>
      <w:r>
        <w:rPr>
          <w:color w:val="000000"/>
          <w:sz w:val="24"/>
          <w:szCs w:val="24"/>
        </w:rPr>
        <w:t>une opportunité à saisir pour s’attaquer aux retards particuliers dans l'atteinte de certaines cibles et aux disparités pour plus</w:t>
      </w:r>
      <w:r w:rsidR="00B91FD9">
        <w:rPr>
          <w:color w:val="000000"/>
          <w:sz w:val="24"/>
          <w:szCs w:val="24"/>
        </w:rPr>
        <w:t xml:space="preserve"> d’impact et d’équité en SRMNEA</w:t>
      </w:r>
      <w:r>
        <w:rPr>
          <w:color w:val="000000"/>
          <w:sz w:val="24"/>
          <w:szCs w:val="24"/>
        </w:rPr>
        <w:t xml:space="preserve">N et enregistrement des faits d’état civil et statistiques vitales. </w:t>
      </w:r>
    </w:p>
    <w:p w:rsidR="00314B92" w:rsidRDefault="00AD5F81">
      <w:pPr>
        <w:pStyle w:val="Normal1"/>
        <w:widowControl w:val="0"/>
        <w:pBdr>
          <w:top w:val="nil"/>
          <w:left w:val="nil"/>
          <w:bottom w:val="nil"/>
          <w:right w:val="nil"/>
          <w:between w:val="nil"/>
        </w:pBdr>
        <w:spacing w:before="60" w:after="60"/>
        <w:jc w:val="both"/>
        <w:rPr>
          <w:color w:val="00000A"/>
          <w:sz w:val="24"/>
          <w:szCs w:val="24"/>
        </w:rPr>
      </w:pPr>
      <w:r>
        <w:rPr>
          <w:color w:val="00000A"/>
          <w:sz w:val="24"/>
          <w:szCs w:val="24"/>
        </w:rPr>
        <w:t>Le GFF, officiellement lancé par le Secrétaire Général des Nations Unies en juillet 2015, a été conçu pour guider le programme de financement du développement, notamment en mobilisant les ressources nationales en attirant des ressources extérieures supplémentaires, en améliorant l'efficacité de leur utilisation et en employant des stratégies novatrices de mobilisation des ressources ainsi que de prestation de services.</w:t>
      </w:r>
    </w:p>
    <w:p w:rsidR="00314B92" w:rsidRDefault="00AD5F81">
      <w:pPr>
        <w:pStyle w:val="Normal1"/>
        <w:widowControl w:val="0"/>
        <w:pBdr>
          <w:top w:val="nil"/>
          <w:left w:val="nil"/>
          <w:bottom w:val="nil"/>
          <w:right w:val="nil"/>
          <w:between w:val="nil"/>
        </w:pBdr>
        <w:spacing w:before="60" w:after="60"/>
        <w:jc w:val="both"/>
        <w:rPr>
          <w:color w:val="00000A"/>
          <w:sz w:val="24"/>
          <w:szCs w:val="24"/>
        </w:rPr>
      </w:pPr>
      <w:r>
        <w:rPr>
          <w:color w:val="00000A"/>
          <w:sz w:val="24"/>
          <w:szCs w:val="24"/>
        </w:rPr>
        <w:t xml:space="preserve">L’approche du GFF est basée sur les principes suivants : </w:t>
      </w:r>
      <w:r w:rsidR="00B91FD9">
        <w:rPr>
          <w:color w:val="00000A"/>
          <w:sz w:val="24"/>
          <w:szCs w:val="24"/>
        </w:rPr>
        <w:t xml:space="preserve">(i) </w:t>
      </w:r>
      <w:r>
        <w:rPr>
          <w:color w:val="00000A"/>
          <w:sz w:val="24"/>
          <w:szCs w:val="24"/>
        </w:rPr>
        <w:t xml:space="preserve">Priorisation des interventions, </w:t>
      </w:r>
      <w:r w:rsidR="00B91FD9">
        <w:rPr>
          <w:color w:val="00000A"/>
          <w:sz w:val="24"/>
          <w:szCs w:val="24"/>
        </w:rPr>
        <w:t xml:space="preserve">(ii) </w:t>
      </w:r>
      <w:r>
        <w:rPr>
          <w:color w:val="00000A"/>
          <w:sz w:val="24"/>
          <w:szCs w:val="24"/>
        </w:rPr>
        <w:lastRenderedPageBreak/>
        <w:t xml:space="preserve">Rendement de l’investissement, </w:t>
      </w:r>
      <w:r w:rsidR="00B91FD9">
        <w:rPr>
          <w:color w:val="00000A"/>
          <w:sz w:val="24"/>
          <w:szCs w:val="24"/>
        </w:rPr>
        <w:t xml:space="preserve">(iii) </w:t>
      </w:r>
      <w:r>
        <w:rPr>
          <w:color w:val="00000A"/>
          <w:sz w:val="24"/>
          <w:szCs w:val="24"/>
        </w:rPr>
        <w:t xml:space="preserve">Réduction de la fragmentation, </w:t>
      </w:r>
      <w:r w:rsidR="00B91FD9">
        <w:rPr>
          <w:color w:val="00000A"/>
          <w:sz w:val="24"/>
          <w:szCs w:val="24"/>
        </w:rPr>
        <w:t>(iv) Orientation sur</w:t>
      </w:r>
      <w:r>
        <w:rPr>
          <w:color w:val="00000A"/>
          <w:sz w:val="24"/>
          <w:szCs w:val="24"/>
        </w:rPr>
        <w:t xml:space="preserve"> la mise en œuvre et </w:t>
      </w:r>
      <w:r w:rsidR="00B91FD9">
        <w:rPr>
          <w:color w:val="00000A"/>
          <w:sz w:val="24"/>
          <w:szCs w:val="24"/>
        </w:rPr>
        <w:t xml:space="preserve">le </w:t>
      </w:r>
      <w:r>
        <w:rPr>
          <w:color w:val="00000A"/>
          <w:sz w:val="24"/>
          <w:szCs w:val="24"/>
        </w:rPr>
        <w:t>long terme.</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Da</w:t>
      </w:r>
      <w:r w:rsidR="00B91FD9">
        <w:rPr>
          <w:color w:val="000000"/>
          <w:sz w:val="24"/>
          <w:szCs w:val="24"/>
        </w:rPr>
        <w:t>ns sa relation avec le GFF, le Cadre Sectoriel de D</w:t>
      </w:r>
      <w:r>
        <w:rPr>
          <w:color w:val="000000"/>
          <w:sz w:val="24"/>
          <w:szCs w:val="24"/>
        </w:rPr>
        <w:t xml:space="preserve">ialogue a été retenu comme plateforme globale pour le GFF et l’équipe fonctionnelle 7 (EF7) </w:t>
      </w:r>
      <w:r w:rsidR="00B91FD9">
        <w:rPr>
          <w:color w:val="000000"/>
          <w:sz w:val="24"/>
          <w:szCs w:val="24"/>
        </w:rPr>
        <w:t xml:space="preserve">comme </w:t>
      </w:r>
      <w:r>
        <w:rPr>
          <w:color w:val="000000"/>
          <w:sz w:val="24"/>
          <w:szCs w:val="24"/>
        </w:rPr>
        <w:t xml:space="preserve">la plateforme technique en charge de conduire le processus d’élaboration du dossier d’investissement suivant une feuille de route consensuelle. </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0"/>
          <w:sz w:val="24"/>
          <w:szCs w:val="24"/>
        </w:rPr>
        <w:t>En préparation de l’élaboration du dossier d’investissement, quelques activités ont été réalisées notamment (i) la cartographie des interventions, intervenants et des financements en matière de SRMNEAN et des actions transversales qui soutiennent les objectifs de SRMNEAN, (ii) l’analyse des gaps de performance en matière de SRMNEAN, iii) la priorisation des interventions coût-efficaces en SRMNEAN, iv) la sécurisation des ressources financières du budget de l’Etat pour contribuer à financer le dossier d’investissement.</w:t>
      </w:r>
    </w:p>
    <w:p w:rsidR="00314B92" w:rsidRDefault="00B91FD9">
      <w:pPr>
        <w:pStyle w:val="Normal1"/>
        <w:widowControl w:val="0"/>
        <w:pBdr>
          <w:top w:val="nil"/>
          <w:left w:val="nil"/>
          <w:bottom w:val="nil"/>
          <w:right w:val="nil"/>
          <w:between w:val="nil"/>
        </w:pBdr>
        <w:spacing w:before="60" w:after="0"/>
        <w:jc w:val="both"/>
        <w:rPr>
          <w:color w:val="000000"/>
          <w:sz w:val="24"/>
          <w:szCs w:val="24"/>
        </w:rPr>
      </w:pPr>
      <w:r>
        <w:rPr>
          <w:color w:val="000000"/>
          <w:sz w:val="24"/>
          <w:szCs w:val="24"/>
        </w:rPr>
        <w:t>U</w:t>
      </w:r>
      <w:r w:rsidR="00AD5F81">
        <w:rPr>
          <w:color w:val="000000"/>
          <w:sz w:val="24"/>
          <w:szCs w:val="24"/>
        </w:rPr>
        <w:t xml:space="preserve">ne équipe de </w:t>
      </w:r>
      <w:r>
        <w:rPr>
          <w:color w:val="000000"/>
          <w:sz w:val="24"/>
          <w:szCs w:val="24"/>
        </w:rPr>
        <w:t xml:space="preserve">quatre </w:t>
      </w:r>
      <w:r w:rsidR="00AD5F81">
        <w:rPr>
          <w:color w:val="000000"/>
          <w:sz w:val="24"/>
          <w:szCs w:val="24"/>
        </w:rPr>
        <w:t>Consultants a été recruté</w:t>
      </w:r>
      <w:r>
        <w:rPr>
          <w:color w:val="000000"/>
          <w:sz w:val="24"/>
          <w:szCs w:val="24"/>
        </w:rPr>
        <w:t>e</w:t>
      </w:r>
      <w:r w:rsidR="00AD5F81">
        <w:rPr>
          <w:color w:val="000000"/>
          <w:sz w:val="24"/>
          <w:szCs w:val="24"/>
        </w:rPr>
        <w:t xml:space="preserve"> </w:t>
      </w:r>
      <w:r>
        <w:rPr>
          <w:color w:val="000000"/>
          <w:sz w:val="24"/>
          <w:szCs w:val="24"/>
        </w:rPr>
        <w:t>pour appuyer l’EF7</w:t>
      </w:r>
      <w:r w:rsidR="00AD5F81">
        <w:rPr>
          <w:color w:val="000000"/>
          <w:sz w:val="24"/>
          <w:szCs w:val="24"/>
        </w:rPr>
        <w:t>. Cette équipe comprenait un consultant senior en santé publique, un consultant senior économiste de la santé appuyé par un consultant junior pour le volet costing à l’aide du logiciel One Health</w:t>
      </w:r>
      <w:r>
        <w:rPr>
          <w:color w:val="000000"/>
          <w:sz w:val="24"/>
          <w:szCs w:val="24"/>
        </w:rPr>
        <w:t xml:space="preserve"> et un consultant expert en analyse des gaps par l’outil EQUIST</w:t>
      </w:r>
      <w:r w:rsidR="00AD5F81">
        <w:rPr>
          <w:color w:val="000000"/>
          <w:sz w:val="24"/>
          <w:szCs w:val="24"/>
        </w:rPr>
        <w:t>.</w:t>
      </w:r>
    </w:p>
    <w:p w:rsidR="00314B92" w:rsidRDefault="00AD5F81">
      <w:pPr>
        <w:pStyle w:val="Normal1"/>
        <w:widowControl w:val="0"/>
        <w:pBdr>
          <w:top w:val="nil"/>
          <w:left w:val="nil"/>
          <w:bottom w:val="nil"/>
          <w:right w:val="nil"/>
          <w:between w:val="nil"/>
        </w:pBdr>
        <w:spacing w:before="60" w:after="0"/>
        <w:jc w:val="both"/>
        <w:rPr>
          <w:color w:val="000000"/>
          <w:sz w:val="24"/>
          <w:szCs w:val="24"/>
        </w:rPr>
      </w:pPr>
      <w:r>
        <w:rPr>
          <w:color w:val="000000"/>
          <w:sz w:val="24"/>
          <w:szCs w:val="24"/>
        </w:rPr>
        <w:t>Le résultat a</w:t>
      </w:r>
      <w:r w:rsidR="00B91FD9">
        <w:rPr>
          <w:color w:val="000000"/>
          <w:sz w:val="24"/>
          <w:szCs w:val="24"/>
        </w:rPr>
        <w:t xml:space="preserve">ttendu de cette consultation était </w:t>
      </w:r>
      <w:r>
        <w:rPr>
          <w:color w:val="000000"/>
          <w:sz w:val="24"/>
          <w:szCs w:val="24"/>
        </w:rPr>
        <w:t xml:space="preserve"> la production du Dos</w:t>
      </w:r>
      <w:r w:rsidR="00B91FD9">
        <w:rPr>
          <w:color w:val="000000"/>
          <w:sz w:val="24"/>
          <w:szCs w:val="24"/>
        </w:rPr>
        <w:t xml:space="preserve">sier d’investissement en SRMNEAN, </w:t>
      </w:r>
      <w:r>
        <w:rPr>
          <w:color w:val="000000"/>
          <w:sz w:val="24"/>
          <w:szCs w:val="24"/>
        </w:rPr>
        <w:t>Etat Civil</w:t>
      </w:r>
      <w:r w:rsidR="00B91FD9">
        <w:rPr>
          <w:color w:val="000000"/>
          <w:sz w:val="24"/>
          <w:szCs w:val="24"/>
        </w:rPr>
        <w:t xml:space="preserve"> et statistiques vitales</w:t>
      </w:r>
      <w:r>
        <w:rPr>
          <w:color w:val="000000"/>
          <w:sz w:val="24"/>
          <w:szCs w:val="24"/>
        </w:rPr>
        <w:t>.</w:t>
      </w:r>
    </w:p>
    <w:p w:rsidR="00314B92" w:rsidRDefault="00314B92">
      <w:pPr>
        <w:pStyle w:val="Normal1"/>
        <w:widowControl w:val="0"/>
        <w:pBdr>
          <w:top w:val="nil"/>
          <w:left w:val="nil"/>
          <w:bottom w:val="nil"/>
          <w:right w:val="nil"/>
          <w:between w:val="nil"/>
        </w:pBdr>
        <w:spacing w:before="60" w:after="0"/>
        <w:jc w:val="both"/>
        <w:rPr>
          <w:color w:val="000000"/>
          <w:sz w:val="24"/>
          <w:szCs w:val="24"/>
        </w:rPr>
      </w:pPr>
    </w:p>
    <w:p w:rsidR="006D2860" w:rsidRPr="00B91FD9" w:rsidRDefault="009B5EB2" w:rsidP="005D02C3">
      <w:pPr>
        <w:pStyle w:val="Normal1"/>
        <w:numPr>
          <w:ilvl w:val="1"/>
          <w:numId w:val="120"/>
        </w:numPr>
        <w:rPr>
          <w:color w:val="000000"/>
        </w:rPr>
      </w:pPr>
      <w:r w:rsidRPr="00B91FD9">
        <w:rPr>
          <w:rFonts w:ascii="Times New Roman" w:eastAsia="Times New Roman" w:hAnsi="Times New Roman" w:cs="Times New Roman"/>
          <w:smallCaps/>
          <w:color w:val="000000"/>
          <w:sz w:val="24"/>
          <w:szCs w:val="24"/>
        </w:rPr>
        <w:t>CONTEXTE DU PAYS</w:t>
      </w:r>
    </w:p>
    <w:p w:rsidR="00314B92" w:rsidRPr="00314B92" w:rsidRDefault="00AD5F81" w:rsidP="005D02C3">
      <w:pPr>
        <w:pStyle w:val="Normal1"/>
        <w:widowControl w:val="0"/>
        <w:numPr>
          <w:ilvl w:val="2"/>
          <w:numId w:val="120"/>
        </w:numPr>
        <w:pBdr>
          <w:top w:val="nil"/>
          <w:left w:val="nil"/>
          <w:bottom w:val="nil"/>
          <w:right w:val="nil"/>
          <w:between w:val="nil"/>
        </w:pBdr>
        <w:spacing w:before="60" w:after="0"/>
        <w:jc w:val="both"/>
        <w:rPr>
          <w:rFonts w:ascii="Times New Roman" w:eastAsia="Times New Roman" w:hAnsi="Times New Roman" w:cs="Times New Roman"/>
          <w:color w:val="00000A"/>
          <w:sz w:val="24"/>
          <w:szCs w:val="24"/>
        </w:rPr>
      </w:pPr>
      <w:r>
        <w:rPr>
          <w:b/>
          <w:color w:val="000000"/>
          <w:sz w:val="24"/>
          <w:szCs w:val="24"/>
        </w:rPr>
        <w:t>Contexte géographique et démographique</w:t>
      </w:r>
    </w:p>
    <w:p w:rsidR="00314B92" w:rsidRPr="000159CA" w:rsidRDefault="00AD5F81" w:rsidP="000159CA">
      <w:pPr>
        <w:pStyle w:val="Normal1"/>
        <w:pBdr>
          <w:top w:val="nil"/>
          <w:left w:val="nil"/>
          <w:bottom w:val="nil"/>
          <w:right w:val="nil"/>
          <w:between w:val="nil"/>
        </w:pBdr>
        <w:spacing w:after="0"/>
        <w:jc w:val="both"/>
        <w:rPr>
          <w:color w:val="000000"/>
          <w:sz w:val="24"/>
          <w:szCs w:val="24"/>
        </w:rPr>
      </w:pPr>
      <w:r>
        <w:rPr>
          <w:color w:val="000000"/>
          <w:sz w:val="24"/>
          <w:szCs w:val="24"/>
        </w:rPr>
        <w:t>Le Bu</w:t>
      </w:r>
      <w:r w:rsidR="00B91FD9">
        <w:rPr>
          <w:color w:val="000000"/>
          <w:sz w:val="24"/>
          <w:szCs w:val="24"/>
        </w:rPr>
        <w:t xml:space="preserve">rkina Faso est un pays sahélien, </w:t>
      </w:r>
      <w:r>
        <w:rPr>
          <w:color w:val="000000"/>
          <w:sz w:val="24"/>
          <w:szCs w:val="24"/>
        </w:rPr>
        <w:t>enclavé</w:t>
      </w:r>
      <w:r w:rsidR="00B91FD9">
        <w:rPr>
          <w:color w:val="000000"/>
          <w:sz w:val="24"/>
          <w:szCs w:val="24"/>
        </w:rPr>
        <w:t>,</w:t>
      </w:r>
      <w:r>
        <w:rPr>
          <w:color w:val="000000"/>
          <w:sz w:val="24"/>
          <w:szCs w:val="24"/>
        </w:rPr>
        <w:t xml:space="preserve"> d’une superf</w:t>
      </w:r>
      <w:r w:rsidR="000159CA">
        <w:rPr>
          <w:color w:val="000000"/>
          <w:sz w:val="24"/>
          <w:szCs w:val="24"/>
        </w:rPr>
        <w:t>icie d’environ 274 200 Km2 et</w:t>
      </w:r>
      <w:r>
        <w:rPr>
          <w:color w:val="000000"/>
          <w:sz w:val="24"/>
          <w:szCs w:val="24"/>
        </w:rPr>
        <w:t xml:space="preserve"> limité par le Mali</w:t>
      </w:r>
      <w:r w:rsidR="000159CA">
        <w:rPr>
          <w:color w:val="000000"/>
          <w:sz w:val="24"/>
          <w:szCs w:val="24"/>
        </w:rPr>
        <w:t xml:space="preserve"> (Nord-Ouest)</w:t>
      </w:r>
      <w:r>
        <w:rPr>
          <w:color w:val="000000"/>
          <w:sz w:val="24"/>
          <w:szCs w:val="24"/>
        </w:rPr>
        <w:t>, le Niger</w:t>
      </w:r>
      <w:r w:rsidR="000159CA">
        <w:rPr>
          <w:color w:val="000000"/>
          <w:sz w:val="24"/>
          <w:szCs w:val="24"/>
        </w:rPr>
        <w:t xml:space="preserve"> (Nord-Est)</w:t>
      </w:r>
      <w:r>
        <w:rPr>
          <w:color w:val="000000"/>
          <w:sz w:val="24"/>
          <w:szCs w:val="24"/>
        </w:rPr>
        <w:t>, le Bénin</w:t>
      </w:r>
      <w:r w:rsidR="000159CA">
        <w:rPr>
          <w:color w:val="000000"/>
          <w:sz w:val="24"/>
          <w:szCs w:val="24"/>
        </w:rPr>
        <w:t xml:space="preserve"> (Sud-Est)</w:t>
      </w:r>
      <w:r>
        <w:rPr>
          <w:color w:val="000000"/>
          <w:sz w:val="24"/>
          <w:szCs w:val="24"/>
        </w:rPr>
        <w:t xml:space="preserve"> et la Côte d’Ivoire, le Ghana et le Togo</w:t>
      </w:r>
      <w:r w:rsidR="000159CA">
        <w:rPr>
          <w:color w:val="000000"/>
          <w:sz w:val="24"/>
          <w:szCs w:val="24"/>
        </w:rPr>
        <w:t xml:space="preserve"> (Sud)</w:t>
      </w:r>
      <w:r>
        <w:rPr>
          <w:color w:val="000000"/>
          <w:sz w:val="24"/>
          <w:szCs w:val="24"/>
        </w:rPr>
        <w:t xml:space="preserve">. </w:t>
      </w:r>
      <w:r>
        <w:rPr>
          <w:color w:val="00000A"/>
          <w:sz w:val="24"/>
          <w:szCs w:val="24"/>
        </w:rPr>
        <w:t xml:space="preserve">Le Burkina a un climat tropical de type soudanien avec une pluviométrie moyenne annuelle variant de 300 mm au nord à plus de 1200 mm au sud-ouest. </w:t>
      </w:r>
      <w:r>
        <w:rPr>
          <w:sz w:val="24"/>
          <w:szCs w:val="24"/>
        </w:rPr>
        <w:t xml:space="preserve">La population du Burkina Faso est estimée à </w:t>
      </w:r>
      <w:r>
        <w:t>20 244 080</w:t>
      </w:r>
      <w:r>
        <w:rPr>
          <w:sz w:val="24"/>
          <w:szCs w:val="24"/>
        </w:rPr>
        <w:t xml:space="preserve"> habitants en 2018</w:t>
      </w:r>
      <w:r w:rsidR="000159CA">
        <w:rPr>
          <w:rStyle w:val="Appelnotedebasdep"/>
          <w:sz w:val="24"/>
          <w:szCs w:val="24"/>
        </w:rPr>
        <w:footnoteReference w:id="1"/>
      </w:r>
      <w:r>
        <w:rPr>
          <w:sz w:val="24"/>
          <w:szCs w:val="24"/>
        </w:rPr>
        <w:t>, soit une densité d’environ 73,4 habitants/km</w:t>
      </w:r>
      <w:r>
        <w:rPr>
          <w:sz w:val="24"/>
          <w:szCs w:val="24"/>
          <w:vertAlign w:val="superscript"/>
        </w:rPr>
        <w:t>2</w:t>
      </w:r>
      <w:r>
        <w:rPr>
          <w:sz w:val="24"/>
          <w:szCs w:val="24"/>
        </w:rPr>
        <w:t>. Avec une forte croissance démographique autour de 3,16%</w:t>
      </w:r>
      <w:r>
        <w:rPr>
          <w:sz w:val="24"/>
          <w:szCs w:val="24"/>
          <w:vertAlign w:val="superscript"/>
        </w:rPr>
        <w:footnoteReference w:id="2"/>
      </w:r>
      <w:r>
        <w:rPr>
          <w:sz w:val="24"/>
          <w:szCs w:val="24"/>
        </w:rPr>
        <w:t>, la population pourrait atteindre 21 510 181 d'habitants en 2020. Le taux brut de natalité est estimé à 46,0‰, celui de la mortalité générale est de 11,8‰ et l’espérance de vie à la naissance de 56,7 ans. L’indice synthétique de fécondité est de 6,2. La population du Burkina Faso est caractérisée par son extrême jeunesse avec 47% de la population âgée de moins de 15 ans, 67% de moins de 25 ans et 33,2% des jeunes ont un âge compris entre 15 et 35 ans. L’espérance de vie à la naissance est de 55,5 ans.</w:t>
      </w:r>
    </w:p>
    <w:p w:rsidR="00314B92" w:rsidRDefault="009B5EB2" w:rsidP="005D02C3">
      <w:pPr>
        <w:pStyle w:val="Normal1"/>
        <w:widowControl w:val="0"/>
        <w:numPr>
          <w:ilvl w:val="2"/>
          <w:numId w:val="120"/>
        </w:numPr>
        <w:pBdr>
          <w:top w:val="nil"/>
          <w:left w:val="nil"/>
          <w:bottom w:val="nil"/>
          <w:right w:val="nil"/>
          <w:between w:val="nil"/>
        </w:pBdr>
        <w:spacing w:before="60" w:after="0"/>
        <w:ind w:left="709" w:hanging="709"/>
        <w:jc w:val="both"/>
        <w:rPr>
          <w:rFonts w:ascii="Times New Roman" w:eastAsia="Times New Roman" w:hAnsi="Times New Roman" w:cs="Times New Roman"/>
          <w:b/>
          <w:color w:val="00000A"/>
          <w:sz w:val="24"/>
          <w:szCs w:val="24"/>
        </w:rPr>
      </w:pPr>
      <w:r w:rsidRPr="009B5EB2">
        <w:rPr>
          <w:b/>
          <w:color w:val="00000A"/>
          <w:sz w:val="24"/>
          <w:szCs w:val="24"/>
        </w:rPr>
        <w:t>Contexte politique et administratif</w:t>
      </w:r>
    </w:p>
    <w:p w:rsidR="00314B92" w:rsidRDefault="00AD5F81" w:rsidP="000159CA">
      <w:pPr>
        <w:pStyle w:val="Normal1"/>
        <w:spacing w:after="0"/>
        <w:jc w:val="both"/>
        <w:rPr>
          <w:sz w:val="24"/>
          <w:szCs w:val="24"/>
        </w:rPr>
      </w:pPr>
      <w:r>
        <w:rPr>
          <w:sz w:val="24"/>
          <w:szCs w:val="24"/>
        </w:rPr>
        <w:t xml:space="preserve">Sur le plan administratif, le Burkina Faso est subdivisé en 13 régions dirigées chacune par un Gouverneur de région, 45 provinces subdivisées en départements qui sont constituées par un ensemble de villages.  On dénombre 18 centres urbains dans le pays dont Ouagadougou est </w:t>
      </w:r>
      <w:r>
        <w:rPr>
          <w:sz w:val="24"/>
          <w:szCs w:val="24"/>
        </w:rPr>
        <w:lastRenderedPageBreak/>
        <w:t>la capitale politique et Bobo-Dioulasso la capitale économique.</w:t>
      </w:r>
      <w:r w:rsidR="000159CA">
        <w:rPr>
          <w:sz w:val="24"/>
          <w:szCs w:val="24"/>
        </w:rPr>
        <w:t xml:space="preserve"> </w:t>
      </w:r>
      <w:r>
        <w:rPr>
          <w:sz w:val="24"/>
          <w:szCs w:val="24"/>
        </w:rPr>
        <w:t>Depuis 2012, le Burkina Faso s’est engagé dans une politique de décentralisation accompagnée d’une déconcentration des services de l’Etat dans le but de renforcer les capacités d’action des collectivités territoriales et a créé des collectivités locales que sont les régions (13) et les communes (351).</w:t>
      </w:r>
      <w:r w:rsidR="000159CA">
        <w:rPr>
          <w:sz w:val="24"/>
          <w:szCs w:val="24"/>
        </w:rPr>
        <w:t xml:space="preserve"> </w:t>
      </w:r>
      <w:r>
        <w:rPr>
          <w:sz w:val="24"/>
          <w:szCs w:val="24"/>
        </w:rPr>
        <w:t>En 2011, le pays a connu une crise politico-sociale  suivie de plusieurs rebondissements qui ont conduit à la chute de l’ancien régime.  Le gouvernement de transition, mis en place, a été lui-même secouée par une tentative de coup d’état et finalement des institutions démocratiquement élues ont été mises en place en 2015.</w:t>
      </w:r>
    </w:p>
    <w:p w:rsidR="00F14E58" w:rsidRDefault="00F14E58" w:rsidP="000159CA">
      <w:pPr>
        <w:pStyle w:val="Normal1"/>
        <w:spacing w:after="0"/>
        <w:jc w:val="both"/>
        <w:rPr>
          <w:sz w:val="24"/>
          <w:szCs w:val="24"/>
        </w:rPr>
      </w:pPr>
      <w:r>
        <w:rPr>
          <w:sz w:val="24"/>
          <w:szCs w:val="24"/>
        </w:rPr>
        <w:t>L’insécurité, liée au terrorisme dans les pays sahéliens, n’a pas épargné le Burkina Faso.</w:t>
      </w:r>
    </w:p>
    <w:p w:rsidR="00314B92" w:rsidRDefault="00AD5F81" w:rsidP="005D02C3">
      <w:pPr>
        <w:pStyle w:val="Normal1"/>
        <w:widowControl w:val="0"/>
        <w:numPr>
          <w:ilvl w:val="2"/>
          <w:numId w:val="120"/>
        </w:numPr>
        <w:pBdr>
          <w:top w:val="nil"/>
          <w:left w:val="nil"/>
          <w:bottom w:val="nil"/>
          <w:right w:val="nil"/>
          <w:between w:val="nil"/>
        </w:pBdr>
        <w:spacing w:before="60" w:after="0"/>
        <w:jc w:val="both"/>
        <w:rPr>
          <w:b/>
          <w:color w:val="000000"/>
          <w:sz w:val="24"/>
          <w:szCs w:val="24"/>
        </w:rPr>
      </w:pPr>
      <w:r>
        <w:rPr>
          <w:b/>
          <w:color w:val="000000"/>
          <w:sz w:val="24"/>
          <w:szCs w:val="24"/>
        </w:rPr>
        <w:t>Situation socio-économique</w:t>
      </w:r>
    </w:p>
    <w:p w:rsidR="00314B92" w:rsidRDefault="00AD5F81">
      <w:pPr>
        <w:pStyle w:val="Normal1"/>
        <w:spacing w:after="0"/>
        <w:jc w:val="both"/>
        <w:rPr>
          <w:sz w:val="24"/>
          <w:szCs w:val="24"/>
        </w:rPr>
      </w:pPr>
      <w:r>
        <w:rPr>
          <w:sz w:val="24"/>
          <w:szCs w:val="24"/>
        </w:rPr>
        <w:t>Le Burkina Faso connaît une croissance économique fluctuante, qui s'est renforcée ces dernières années avec un taux de croissance annuel moyen du Produit intérieur brut (PIB) de 5,5% entre 2011 et 2015. Mais le taux de la croissance moyenne du PIB par habitant n'a été que de 2,3% à cause de la forte croissance démographique (3,1%). L'incid</w:t>
      </w:r>
      <w:r w:rsidR="000159CA">
        <w:rPr>
          <w:sz w:val="24"/>
          <w:szCs w:val="24"/>
        </w:rPr>
        <w:t xml:space="preserve">ence de la pauvreté monétaire a connu </w:t>
      </w:r>
      <w:r>
        <w:rPr>
          <w:sz w:val="24"/>
          <w:szCs w:val="24"/>
        </w:rPr>
        <w:t>une légère baisse passant de 46,7% en 2009, pour un seuil de 108 454 FCFA à 40,1% en 2014 pour un seuil de pauvreté, estimé à 153 530 FCFA. La pauvreté est fondamentalement rurale, avec une incidence de 47,5% contre 13,6% en milieu urbain. Les problèmes de sécurité alimentaire sont récurrents et la malnutrition reste très</w:t>
      </w:r>
      <w:r w:rsidR="000159CA">
        <w:rPr>
          <w:sz w:val="24"/>
          <w:szCs w:val="24"/>
        </w:rPr>
        <w:t xml:space="preserve"> </w:t>
      </w:r>
      <w:r>
        <w:rPr>
          <w:sz w:val="24"/>
          <w:szCs w:val="24"/>
        </w:rPr>
        <w:t>importante: environ 30 % de la population est confrontée à une insécurité alimentaire chronique. Le niveau de l'Indice de Développement Humain (IDH) du Burkina Faso était de 0,420 en 2014, le classant dans la catégorie des pays à faible niveau de développement.</w:t>
      </w:r>
    </w:p>
    <w:p w:rsidR="00314B92" w:rsidRDefault="00AD5F81" w:rsidP="005D02C3">
      <w:pPr>
        <w:pStyle w:val="Normal1"/>
        <w:widowControl w:val="0"/>
        <w:numPr>
          <w:ilvl w:val="2"/>
          <w:numId w:val="120"/>
        </w:numPr>
        <w:pBdr>
          <w:top w:val="nil"/>
          <w:left w:val="nil"/>
          <w:bottom w:val="nil"/>
          <w:right w:val="nil"/>
          <w:between w:val="nil"/>
        </w:pBdr>
        <w:spacing w:before="60" w:after="0" w:line="360" w:lineRule="auto"/>
        <w:jc w:val="both"/>
        <w:rPr>
          <w:b/>
          <w:color w:val="000000"/>
          <w:sz w:val="24"/>
          <w:szCs w:val="24"/>
        </w:rPr>
      </w:pPr>
      <w:r>
        <w:rPr>
          <w:b/>
          <w:color w:val="000000"/>
          <w:sz w:val="24"/>
          <w:szCs w:val="24"/>
        </w:rPr>
        <w:t>Situation sanitaire</w:t>
      </w:r>
    </w:p>
    <w:p w:rsidR="00314B92" w:rsidRDefault="00AD5F81" w:rsidP="005D02C3">
      <w:pPr>
        <w:pStyle w:val="Normal1"/>
        <w:widowControl w:val="0"/>
        <w:numPr>
          <w:ilvl w:val="3"/>
          <w:numId w:val="120"/>
        </w:numPr>
        <w:pBdr>
          <w:top w:val="nil"/>
          <w:left w:val="nil"/>
          <w:bottom w:val="nil"/>
          <w:right w:val="nil"/>
          <w:between w:val="nil"/>
        </w:pBdr>
        <w:spacing w:after="0" w:line="360" w:lineRule="auto"/>
        <w:jc w:val="both"/>
        <w:rPr>
          <w:color w:val="000000"/>
          <w:sz w:val="24"/>
          <w:szCs w:val="24"/>
        </w:rPr>
      </w:pPr>
      <w:r>
        <w:rPr>
          <w:b/>
          <w:color w:val="000000"/>
          <w:sz w:val="24"/>
          <w:szCs w:val="24"/>
        </w:rPr>
        <w:t>Organisation administrative et organisation des soins</w:t>
      </w:r>
    </w:p>
    <w:p w:rsidR="00314B92" w:rsidRDefault="00AD5F81">
      <w:pPr>
        <w:pStyle w:val="Normal1"/>
        <w:spacing w:after="0" w:line="360" w:lineRule="auto"/>
        <w:jc w:val="both"/>
        <w:rPr>
          <w:color w:val="231F20"/>
          <w:sz w:val="24"/>
          <w:szCs w:val="24"/>
        </w:rPr>
      </w:pPr>
      <w:r>
        <w:rPr>
          <w:color w:val="231F20"/>
          <w:sz w:val="24"/>
          <w:szCs w:val="24"/>
        </w:rPr>
        <w:t>Sur le plan administratif, le système de santé comprend trois niveaux :</w:t>
      </w:r>
    </w:p>
    <w:tbl>
      <w:tblPr>
        <w:tblStyle w:val="Grilledutableau"/>
        <w:tblW w:w="0" w:type="auto"/>
        <w:shd w:val="clear" w:color="auto" w:fill="DAEEF3" w:themeFill="accent5" w:themeFillTint="33"/>
        <w:tblLook w:val="04A0" w:firstRow="1" w:lastRow="0" w:firstColumn="1" w:lastColumn="0" w:noHBand="0" w:noVBand="1"/>
      </w:tblPr>
      <w:tblGrid>
        <w:gridCol w:w="9062"/>
      </w:tblGrid>
      <w:tr w:rsidR="001C4259" w:rsidRPr="001C4259" w:rsidTr="00590C99">
        <w:tc>
          <w:tcPr>
            <w:tcW w:w="9212" w:type="dxa"/>
            <w:shd w:val="clear" w:color="auto" w:fill="FFFFFF" w:themeFill="background1"/>
          </w:tcPr>
          <w:p w:rsidR="001C4259" w:rsidRPr="001C4259" w:rsidRDefault="004B0495" w:rsidP="00590C99">
            <w:pPr>
              <w:spacing w:line="360" w:lineRule="auto"/>
              <w:rPr>
                <w:b/>
                <w:sz w:val="20"/>
                <w:szCs w:val="20"/>
              </w:rPr>
            </w:pPr>
            <w:r>
              <w:rPr>
                <w:noProof/>
              </w:rPr>
              <mc:AlternateContent>
                <mc:Choice Requires="wps">
                  <w:drawing>
                    <wp:anchor distT="0" distB="0" distL="114300" distR="114300" simplePos="0" relativeHeight="251702784" behindDoc="0" locked="0" layoutInCell="1" allowOverlap="1">
                      <wp:simplePos x="0" y="0"/>
                      <wp:positionH relativeFrom="column">
                        <wp:posOffset>1995805</wp:posOffset>
                      </wp:positionH>
                      <wp:positionV relativeFrom="paragraph">
                        <wp:posOffset>238760</wp:posOffset>
                      </wp:positionV>
                      <wp:extent cx="1685925" cy="2403475"/>
                      <wp:effectExtent l="14605" t="19685" r="13970" b="5715"/>
                      <wp:wrapNone/>
                      <wp:docPr id="219" name="Auto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240347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ACB62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01" o:spid="_x0000_s1026" type="#_x0000_t5" style="position:absolute;margin-left:157.15pt;margin-top:18.8pt;width:132.75pt;height:189.2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"/>
                  </w:pict>
                </mc:Fallback>
              </mc:AlternateContent>
            </w:r>
            <w:r w:rsidR="001C4259" w:rsidRPr="001C4259">
              <w:rPr>
                <w:b/>
                <w:sz w:val="20"/>
                <w:szCs w:val="20"/>
              </w:rPr>
              <w:t>ORGANISATION ADMINISTRATIVE                     NIVEAUX                          ORGANISATION DES SOINS</w:t>
            </w:r>
          </w:p>
        </w:tc>
      </w:tr>
      <w:tr w:rsidR="001C4259" w:rsidTr="00F14E58">
        <w:trPr>
          <w:trHeight w:val="3868"/>
        </w:trPr>
        <w:tc>
          <w:tcPr>
            <w:tcW w:w="9212" w:type="dxa"/>
            <w:shd w:val="clear" w:color="auto" w:fill="DAEEF3" w:themeFill="accent5" w:themeFillTint="33"/>
          </w:tcPr>
          <w:p w:rsidR="001C4259" w:rsidRDefault="004B0495" w:rsidP="00590C99">
            <w:r>
              <w:rPr>
                <w:noProof/>
              </w:rPr>
              <mc:AlternateContent>
                <mc:Choice Requires="wps">
                  <w:drawing>
                    <wp:anchor distT="0" distB="0" distL="114300" distR="114300" simplePos="0" relativeHeight="251708928" behindDoc="0" locked="0" layoutInCell="1" allowOverlap="1">
                      <wp:simplePos x="0" y="0"/>
                      <wp:positionH relativeFrom="column">
                        <wp:posOffset>3681730</wp:posOffset>
                      </wp:positionH>
                      <wp:positionV relativeFrom="paragraph">
                        <wp:posOffset>66675</wp:posOffset>
                      </wp:positionV>
                      <wp:extent cx="2038350" cy="621665"/>
                      <wp:effectExtent l="5080" t="9525" r="13970" b="6985"/>
                      <wp:wrapNone/>
                      <wp:docPr id="218" name="Auto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62166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F96E69" w:rsidRDefault="00611E16" w:rsidP="000159CA">
                                  <w:pPr>
                                    <w:jc w:val="center"/>
                                    <w:rPr>
                                      <w:b/>
                                    </w:rPr>
                                  </w:pPr>
                                  <w:r w:rsidRPr="00F96E69">
                                    <w:rPr>
                                      <w:b/>
                                    </w:rPr>
                                    <w:t>TERTIAIRE </w:t>
                                  </w:r>
                                </w:p>
                                <w:p w:rsidR="00611E16" w:rsidRPr="00F96E69" w:rsidRDefault="00611E16" w:rsidP="000159CA">
                                  <w:pPr>
                                    <w:jc w:val="center"/>
                                    <w:rPr>
                                      <w:b/>
                                    </w:rPr>
                                  </w:pPr>
                                  <w:r w:rsidRPr="00F96E69">
                                    <w:rPr>
                                      <w:b/>
                                    </w:rPr>
                                    <w:t>6 CHU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7" o:spid="_x0000_s1026" style="position:absolute;margin-left:289.9pt;margin-top:5.25pt;width:160.5pt;height:48.9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" fillcolor="#eaf1dd [662]">
                      <v:textbox>
                        <w:txbxContent>
                          <w:p w:rsidR="00611E16" w:rsidRPr="00F96E69" w:rsidRDefault="00611E16" w:rsidP="000159CA">
                            <w:pPr>
                              <w:jc w:val="center"/>
                              <w:rPr>
                                <w:b/>
                              </w:rPr>
                            </w:pPr>
                            <w:r w:rsidRPr="00F96E69">
                              <w:rPr>
                                <w:b/>
                              </w:rPr>
                              <w:t>TERTIAIRE </w:t>
                            </w:r>
                          </w:p>
                          <w:p w:rsidR="00611E16" w:rsidRPr="00F96E69" w:rsidRDefault="00611E16" w:rsidP="000159CA">
                            <w:pPr>
                              <w:jc w:val="center"/>
                              <w:rPr>
                                <w:b/>
                              </w:rPr>
                            </w:pPr>
                            <w:r w:rsidRPr="00F96E69">
                              <w:rPr>
                                <w:b/>
                              </w:rPr>
                              <w:t>6 CHU</w:t>
                            </w:r>
                          </w:p>
                        </w:txbxContent>
                      </v:textbox>
                    </v:roundrect>
                  </w:pict>
                </mc:Fallback>
              </mc:AlternateContent>
            </w:r>
            <w:r>
              <w:rPr>
                <w:noProof/>
              </w:rPr>
              <mc:AlternateContent>
                <mc:Choice Requires="wps">
                  <w:drawing>
                    <wp:anchor distT="0" distB="0" distL="114300" distR="114300" simplePos="0" relativeHeight="251709952" behindDoc="0" locked="0" layoutInCell="1" allowOverlap="1">
                      <wp:simplePos x="0" y="0"/>
                      <wp:positionH relativeFrom="column">
                        <wp:posOffset>2129155</wp:posOffset>
                      </wp:positionH>
                      <wp:positionV relativeFrom="paragraph">
                        <wp:posOffset>135890</wp:posOffset>
                      </wp:positionV>
                      <wp:extent cx="1352550" cy="333375"/>
                      <wp:effectExtent l="5080" t="12065" r="13970" b="6985"/>
                      <wp:wrapNone/>
                      <wp:docPr id="217" name="AutoShap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33337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F96E69" w:rsidRDefault="00611E16" w:rsidP="001C4259">
                                  <w:pPr>
                                    <w:jc w:val="center"/>
                                    <w:rPr>
                                      <w:b/>
                                      <w:sz w:val="24"/>
                                      <w:szCs w:val="24"/>
                                    </w:rPr>
                                  </w:pPr>
                                  <w:r w:rsidRPr="00F96E69">
                                    <w:rPr>
                                      <w:b/>
                                      <w:sz w:val="24"/>
                                      <w:szCs w:val="24"/>
                                    </w:rPr>
                                    <w:t>CENTRAL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8" o:spid="_x0000_s1027" style="position:absolute;margin-left:167.65pt;margin-top:10.7pt;width:106.5pt;height:26.2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" fillcolor="#eaf1dd [662]">
                      <v:textbox>
                        <w:txbxContent>
                          <w:p w:rsidR="00611E16" w:rsidRPr="00F96E69" w:rsidRDefault="00611E16" w:rsidP="001C4259">
                            <w:pPr>
                              <w:jc w:val="center"/>
                              <w:rPr>
                                <w:b/>
                                <w:sz w:val="24"/>
                                <w:szCs w:val="24"/>
                              </w:rPr>
                            </w:pPr>
                            <w:r w:rsidRPr="00F96E69">
                              <w:rPr>
                                <w:b/>
                                <w:sz w:val="24"/>
                                <w:szCs w:val="24"/>
                              </w:rPr>
                              <w:t>CENTRAL</w:t>
                            </w:r>
                          </w:p>
                        </w:txbxContent>
                      </v:textbox>
                    </v:roundrect>
                  </w:pict>
                </mc:Fallback>
              </mc:AlternateContent>
            </w:r>
            <w:r>
              <w:rPr>
                <w:noProof/>
              </w:rPr>
              <mc:AlternateContent>
                <mc:Choice Requires="wps">
                  <w:drawing>
                    <wp:anchor distT="0" distB="0" distL="114300" distR="114300" simplePos="0" relativeHeight="251703808" behindDoc="0" locked="0" layoutInCell="1" allowOverlap="1">
                      <wp:simplePos x="0" y="0"/>
                      <wp:positionH relativeFrom="column">
                        <wp:posOffset>-42545</wp:posOffset>
                      </wp:positionH>
                      <wp:positionV relativeFrom="paragraph">
                        <wp:posOffset>66675</wp:posOffset>
                      </wp:positionV>
                      <wp:extent cx="1990725" cy="678815"/>
                      <wp:effectExtent l="5080" t="9525" r="13970" b="6985"/>
                      <wp:wrapNone/>
                      <wp:docPr id="216" name="AutoShap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0725" cy="67881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F96E69" w:rsidRDefault="00611E16" w:rsidP="000159CA">
                                  <w:pPr>
                                    <w:jc w:val="center"/>
                                    <w:rPr>
                                      <w:b/>
                                    </w:rPr>
                                  </w:pPr>
                                  <w:r w:rsidRPr="00F96E69">
                                    <w:rPr>
                                      <w:b/>
                                    </w:rPr>
                                    <w:t>Cabinet du Ministre</w:t>
                                  </w:r>
                                </w:p>
                                <w:p w:rsidR="00611E16" w:rsidRPr="00F96E69" w:rsidRDefault="00611E16" w:rsidP="000159CA">
                                  <w:pPr>
                                    <w:jc w:val="center"/>
                                    <w:rPr>
                                      <w:b/>
                                    </w:rPr>
                                  </w:pPr>
                                  <w:r w:rsidRPr="00F96E69">
                                    <w:rPr>
                                      <w:b/>
                                    </w:rPr>
                                    <w:t>Secrétariat Général</w:t>
                                  </w:r>
                                </w:p>
                                <w:p w:rsidR="00611E16" w:rsidRPr="00F96E69" w:rsidRDefault="00611E16" w:rsidP="000159CA">
                                  <w:pPr>
                                    <w:jc w:val="center"/>
                                    <w:rPr>
                                      <w:b/>
                                    </w:rPr>
                                  </w:pPr>
                                  <w:r w:rsidRPr="00F96E69">
                                    <w:rPr>
                                      <w:b/>
                                    </w:rPr>
                                    <w:t>Structures centrales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2" o:spid="_x0000_s1028" style="position:absolute;margin-left:-3.35pt;margin-top:5.25pt;width:156.75pt;height:53.4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" fillcolor="#eaf1dd [662]">
                      <v:textbox>
                        <w:txbxContent>
                          <w:p w:rsidR="00611E16" w:rsidRPr="00F96E69" w:rsidRDefault="00611E16" w:rsidP="000159CA">
                            <w:pPr>
                              <w:jc w:val="center"/>
                              <w:rPr>
                                <w:b/>
                              </w:rPr>
                            </w:pPr>
                            <w:r w:rsidRPr="00F96E69">
                              <w:rPr>
                                <w:b/>
                              </w:rPr>
                              <w:t>Cabinet du Ministre</w:t>
                            </w:r>
                          </w:p>
                          <w:p w:rsidR="00611E16" w:rsidRPr="00F96E69" w:rsidRDefault="00611E16" w:rsidP="000159CA">
                            <w:pPr>
                              <w:jc w:val="center"/>
                              <w:rPr>
                                <w:b/>
                              </w:rPr>
                            </w:pPr>
                            <w:r w:rsidRPr="00F96E69">
                              <w:rPr>
                                <w:b/>
                              </w:rPr>
                              <w:t>Secrétariat Général</w:t>
                            </w:r>
                          </w:p>
                          <w:p w:rsidR="00611E16" w:rsidRPr="00F96E69" w:rsidRDefault="00611E16" w:rsidP="000159CA">
                            <w:pPr>
                              <w:jc w:val="center"/>
                              <w:rPr>
                                <w:b/>
                              </w:rPr>
                            </w:pPr>
                            <w:r w:rsidRPr="00F96E69">
                              <w:rPr>
                                <w:b/>
                              </w:rPr>
                              <w:t>Structures centrales</w:t>
                            </w:r>
                          </w:p>
                        </w:txbxContent>
                      </v:textbox>
                    </v:roundrect>
                  </w:pict>
                </mc:Fallback>
              </mc:AlternateContent>
            </w:r>
          </w:p>
          <w:p w:rsidR="001C4259" w:rsidRDefault="001C4259" w:rsidP="00590C99"/>
          <w:p w:rsidR="001C4259" w:rsidRDefault="001C4259" w:rsidP="00590C99"/>
          <w:p w:rsidR="001C4259" w:rsidRDefault="001C4259" w:rsidP="00590C99"/>
          <w:p w:rsidR="001C4259" w:rsidRDefault="004B0495" w:rsidP="00590C99">
            <w:r>
              <w:rPr>
                <w:noProof/>
              </w:rPr>
              <mc:AlternateContent>
                <mc:Choice Requires="wps">
                  <w:drawing>
                    <wp:anchor distT="0" distB="0" distL="114300" distR="114300" simplePos="0" relativeHeight="251706880" behindDoc="0" locked="0" layoutInCell="1" allowOverlap="1">
                      <wp:simplePos x="0" y="0"/>
                      <wp:positionH relativeFrom="column">
                        <wp:posOffset>3681730</wp:posOffset>
                      </wp:positionH>
                      <wp:positionV relativeFrom="paragraph">
                        <wp:posOffset>132080</wp:posOffset>
                      </wp:positionV>
                      <wp:extent cx="2038350" cy="476885"/>
                      <wp:effectExtent l="5080" t="8255" r="13970" b="10160"/>
                      <wp:wrapNone/>
                      <wp:docPr id="215" name="AutoShap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476885"/>
                              </a:xfrm>
                              <a:prstGeom prst="roundRect">
                                <a:avLst>
                                  <a:gd name="adj" fmla="val 16667"/>
                                </a:avLst>
                              </a:prstGeom>
                              <a:solidFill>
                                <a:schemeClr val="accent3">
                                  <a:lumMod val="40000"/>
                                  <a:lumOff val="60000"/>
                                </a:schemeClr>
                              </a:solidFill>
                              <a:ln w="9525">
                                <a:solidFill>
                                  <a:srgbClr val="000000"/>
                                </a:solidFill>
                                <a:round/>
                                <a:headEnd/>
                                <a:tailEnd/>
                              </a:ln>
                            </wps:spPr>
                            <wps:txbx>
                              <w:txbxContent>
                                <w:p w:rsidR="00611E16" w:rsidRPr="00F96E69" w:rsidRDefault="00611E16" w:rsidP="001C4259">
                                  <w:pPr>
                                    <w:jc w:val="center"/>
                                    <w:rPr>
                                      <w:b/>
                                    </w:rPr>
                                  </w:pPr>
                                  <w:r w:rsidRPr="00F96E69">
                                    <w:rPr>
                                      <w:b/>
                                    </w:rPr>
                                    <w:t>SECONDAIRE </w:t>
                                  </w:r>
                                </w:p>
                                <w:p w:rsidR="00611E16" w:rsidRPr="00F96E69" w:rsidRDefault="00611E16" w:rsidP="001C4259">
                                  <w:pPr>
                                    <w:jc w:val="center"/>
                                    <w:rPr>
                                      <w:b/>
                                    </w:rPr>
                                  </w:pPr>
                                  <w:r w:rsidRPr="00F96E69">
                                    <w:rPr>
                                      <w:b/>
                                    </w:rPr>
                                    <w:t>8 CHR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5" o:spid="_x0000_s1029" style="position:absolute;margin-left:289.9pt;margin-top:10.4pt;width:160.5pt;height:37.5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" fillcolor="#d6e3bc [1302]">
                      <v:textbox>
                        <w:txbxContent>
                          <w:p w:rsidR="00611E16" w:rsidRPr="00F96E69" w:rsidRDefault="00611E16" w:rsidP="001C4259">
                            <w:pPr>
                              <w:jc w:val="center"/>
                              <w:rPr>
                                <w:b/>
                              </w:rPr>
                            </w:pPr>
                            <w:r w:rsidRPr="00F96E69">
                              <w:rPr>
                                <w:b/>
                              </w:rPr>
                              <w:t>SECONDAIRE </w:t>
                            </w:r>
                          </w:p>
                          <w:p w:rsidR="00611E16" w:rsidRPr="00F96E69" w:rsidRDefault="00611E16" w:rsidP="001C4259">
                            <w:pPr>
                              <w:jc w:val="center"/>
                              <w:rPr>
                                <w:b/>
                              </w:rPr>
                            </w:pPr>
                            <w:r w:rsidRPr="00F96E69">
                              <w:rPr>
                                <w:b/>
                              </w:rPr>
                              <w:t>8 CHR</w:t>
                            </w:r>
                          </w:p>
                        </w:txbxContent>
                      </v:textbox>
                    </v:roundrect>
                  </w:pict>
                </mc:Fallback>
              </mc:AlternateContent>
            </w:r>
          </w:p>
          <w:p w:rsidR="001C4259" w:rsidRDefault="004B0495" w:rsidP="00590C99">
            <w:r>
              <w:rPr>
                <w:noProof/>
              </w:rPr>
              <mc:AlternateContent>
                <mc:Choice Requires="wps">
                  <w:drawing>
                    <wp:anchor distT="0" distB="0" distL="114300" distR="114300" simplePos="0" relativeHeight="251710976" behindDoc="0" locked="0" layoutInCell="1" allowOverlap="1">
                      <wp:simplePos x="0" y="0"/>
                      <wp:positionH relativeFrom="column">
                        <wp:posOffset>2176780</wp:posOffset>
                      </wp:positionH>
                      <wp:positionV relativeFrom="paragraph">
                        <wp:posOffset>49530</wp:posOffset>
                      </wp:positionV>
                      <wp:extent cx="1352550" cy="334645"/>
                      <wp:effectExtent l="5080" t="11430" r="13970" b="6350"/>
                      <wp:wrapNone/>
                      <wp:docPr id="214" name="AutoShape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334645"/>
                              </a:xfrm>
                              <a:prstGeom prst="roundRect">
                                <a:avLst>
                                  <a:gd name="adj" fmla="val 16667"/>
                                </a:avLst>
                              </a:prstGeom>
                              <a:solidFill>
                                <a:schemeClr val="accent3">
                                  <a:lumMod val="40000"/>
                                  <a:lumOff val="60000"/>
                                </a:schemeClr>
                              </a:solidFill>
                              <a:ln w="9525">
                                <a:solidFill>
                                  <a:srgbClr val="000000"/>
                                </a:solidFill>
                                <a:round/>
                                <a:headEnd/>
                                <a:tailEnd/>
                              </a:ln>
                            </wps:spPr>
                            <wps:txbx>
                              <w:txbxContent>
                                <w:p w:rsidR="00611E16" w:rsidRPr="00F96E69" w:rsidRDefault="00611E16" w:rsidP="001C4259">
                                  <w:pPr>
                                    <w:jc w:val="center"/>
                                    <w:rPr>
                                      <w:b/>
                                      <w:sz w:val="24"/>
                                      <w:szCs w:val="24"/>
                                    </w:rPr>
                                  </w:pPr>
                                  <w:r w:rsidRPr="00F96E69">
                                    <w:rPr>
                                      <w:b/>
                                      <w:sz w:val="24"/>
                                      <w:szCs w:val="24"/>
                                    </w:rPr>
                                    <w:t>INTERMEDIAIRE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9" o:spid="_x0000_s1030" style="position:absolute;margin-left:171.4pt;margin-top:3.9pt;width:106.5pt;height:26.3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" fillcolor="#d6e3bc [1302]">
                      <v:textbox>
                        <w:txbxContent>
                          <w:p w:rsidR="00611E16" w:rsidRPr="00F96E69" w:rsidRDefault="00611E16" w:rsidP="001C4259">
                            <w:pPr>
                              <w:jc w:val="center"/>
                              <w:rPr>
                                <w:b/>
                                <w:sz w:val="24"/>
                                <w:szCs w:val="24"/>
                              </w:rPr>
                            </w:pPr>
                            <w:r w:rsidRPr="00F96E69">
                              <w:rPr>
                                <w:b/>
                                <w:sz w:val="24"/>
                                <w:szCs w:val="24"/>
                              </w:rPr>
                              <w:t>INTERMEDIAIRE</w:t>
                            </w:r>
                          </w:p>
                        </w:txbxContent>
                      </v:textbox>
                    </v:roundrect>
                  </w:pict>
                </mc:Fallback>
              </mc:AlternateContent>
            </w:r>
            <w:r>
              <w:rPr>
                <w:noProof/>
              </w:rPr>
              <mc:AlternateContent>
                <mc:Choice Requires="wps">
                  <w:drawing>
                    <wp:anchor distT="0" distB="0" distL="114300" distR="114300" simplePos="0" relativeHeight="251704832" behindDoc="0" locked="0" layoutInCell="1" allowOverlap="1">
                      <wp:simplePos x="0" y="0"/>
                      <wp:positionH relativeFrom="column">
                        <wp:posOffset>-42545</wp:posOffset>
                      </wp:positionH>
                      <wp:positionV relativeFrom="paragraph">
                        <wp:posOffset>-2540</wp:posOffset>
                      </wp:positionV>
                      <wp:extent cx="2038350" cy="476885"/>
                      <wp:effectExtent l="5080" t="6985" r="13970" b="11430"/>
                      <wp:wrapNone/>
                      <wp:docPr id="213" name="AutoShap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476885"/>
                              </a:xfrm>
                              <a:prstGeom prst="roundRect">
                                <a:avLst>
                                  <a:gd name="adj" fmla="val 16667"/>
                                </a:avLst>
                              </a:prstGeom>
                              <a:solidFill>
                                <a:schemeClr val="accent3">
                                  <a:lumMod val="40000"/>
                                  <a:lumOff val="60000"/>
                                </a:schemeClr>
                              </a:solidFill>
                              <a:ln w="9525">
                                <a:solidFill>
                                  <a:srgbClr val="000000"/>
                                </a:solidFill>
                                <a:round/>
                                <a:headEnd/>
                                <a:tailEnd/>
                              </a:ln>
                            </wps:spPr>
                            <wps:txbx>
                              <w:txbxContent>
                                <w:p w:rsidR="00611E16" w:rsidRPr="00F96E69" w:rsidRDefault="00611E16" w:rsidP="001C4259">
                                  <w:pPr>
                                    <w:jc w:val="center"/>
                                    <w:rPr>
                                      <w:b/>
                                    </w:rPr>
                                  </w:pPr>
                                  <w:r w:rsidRPr="00F96E69">
                                    <w:rPr>
                                      <w:b/>
                                    </w:rPr>
                                    <w:t>13 Directions Régionales de santé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3" o:spid="_x0000_s1031" style="position:absolute;margin-left:-3.35pt;margin-top:-.2pt;width:160.5pt;height:37.5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" fillcolor="#d6e3bc [1302]">
                      <v:textbox>
                        <w:txbxContent>
                          <w:p w:rsidR="00611E16" w:rsidRPr="00F96E69" w:rsidRDefault="00611E16" w:rsidP="001C4259">
                            <w:pPr>
                              <w:jc w:val="center"/>
                              <w:rPr>
                                <w:b/>
                              </w:rPr>
                            </w:pPr>
                            <w:r w:rsidRPr="00F96E69">
                              <w:rPr>
                                <w:b/>
                              </w:rPr>
                              <w:t>13 Directions Régionales de santé</w:t>
                            </w:r>
                          </w:p>
                        </w:txbxContent>
                      </v:textbox>
                    </v:roundrect>
                  </w:pict>
                </mc:Fallback>
              </mc:AlternateContent>
            </w:r>
          </w:p>
          <w:p w:rsidR="001C4259" w:rsidRDefault="001C4259" w:rsidP="00590C99"/>
          <w:p w:rsidR="001C4259" w:rsidRDefault="001C4259" w:rsidP="00590C99"/>
          <w:p w:rsidR="001C4259" w:rsidRDefault="004B0495" w:rsidP="00590C99">
            <w:r>
              <w:rPr>
                <w:noProof/>
              </w:rPr>
              <mc:AlternateContent>
                <mc:Choice Requires="wps">
                  <w:drawing>
                    <wp:anchor distT="0" distB="0" distL="114300" distR="114300" simplePos="0" relativeHeight="251705856" behindDoc="0" locked="0" layoutInCell="1" allowOverlap="1">
                      <wp:simplePos x="0" y="0"/>
                      <wp:positionH relativeFrom="column">
                        <wp:posOffset>-42545</wp:posOffset>
                      </wp:positionH>
                      <wp:positionV relativeFrom="paragraph">
                        <wp:posOffset>93980</wp:posOffset>
                      </wp:positionV>
                      <wp:extent cx="2038350" cy="1008380"/>
                      <wp:effectExtent l="5080" t="8255" r="13970" b="12065"/>
                      <wp:wrapNone/>
                      <wp:docPr id="212" name="Auto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008380"/>
                              </a:xfrm>
                              <a:prstGeom prst="roundRect">
                                <a:avLst>
                                  <a:gd name="adj" fmla="val 16667"/>
                                </a:avLst>
                              </a:prstGeom>
                              <a:solidFill>
                                <a:schemeClr val="accent3">
                                  <a:lumMod val="60000"/>
                                  <a:lumOff val="40000"/>
                                </a:schemeClr>
                              </a:solidFill>
                              <a:ln w="9525">
                                <a:solidFill>
                                  <a:srgbClr val="000000"/>
                                </a:solidFill>
                                <a:round/>
                                <a:headEnd/>
                                <a:tailEnd/>
                              </a:ln>
                            </wps:spPr>
                            <wps:txbx>
                              <w:txbxContent>
                                <w:p w:rsidR="00611E16" w:rsidRPr="00F96E69" w:rsidRDefault="00611E16" w:rsidP="000159CA">
                                  <w:pPr>
                                    <w:jc w:val="center"/>
                                    <w:rPr>
                                      <w:b/>
                                    </w:rPr>
                                  </w:pPr>
                                  <w:r w:rsidRPr="00F96E69">
                                    <w:rPr>
                                      <w:b/>
                                    </w:rPr>
                                    <w:t>70 Districts sanitaires</w:t>
                                  </w:r>
                                </w:p>
                                <w:p w:rsidR="00611E16" w:rsidRPr="00F96E69" w:rsidRDefault="00611E16" w:rsidP="000159CA">
                                  <w:pPr>
                                    <w:jc w:val="center"/>
                                    <w:rPr>
                                      <w:b/>
                                    </w:rPr>
                                  </w:pPr>
                                  <w:r w:rsidRPr="00F96E69">
                                    <w:rPr>
                                      <w:b/>
                                    </w:rPr>
                                    <w:t>Equipes cadres de districts sanitaires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4" o:spid="_x0000_s1032" style="position:absolute;margin-left:-3.35pt;margin-top:7.4pt;width:160.5pt;height:79.4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" fillcolor="#c2d69b [1942]">
                      <v:textbox>
                        <w:txbxContent>
                          <w:p w:rsidR="00611E16" w:rsidRPr="00F96E69" w:rsidRDefault="00611E16" w:rsidP="000159CA">
                            <w:pPr>
                              <w:jc w:val="center"/>
                              <w:rPr>
                                <w:b/>
                              </w:rPr>
                            </w:pPr>
                            <w:r w:rsidRPr="00F96E69">
                              <w:rPr>
                                <w:b/>
                              </w:rPr>
                              <w:t>70 Districts sanitaires</w:t>
                            </w:r>
                          </w:p>
                          <w:p w:rsidR="00611E16" w:rsidRPr="00F96E69" w:rsidRDefault="00611E16" w:rsidP="000159CA">
                            <w:pPr>
                              <w:jc w:val="center"/>
                              <w:rPr>
                                <w:b/>
                              </w:rPr>
                            </w:pPr>
                            <w:r w:rsidRPr="00F96E69">
                              <w:rPr>
                                <w:b/>
                              </w:rPr>
                              <w:t>Equipes cadres de districts sanitaires</w:t>
                            </w:r>
                          </w:p>
                        </w:txbxContent>
                      </v:textbox>
                    </v:roundrect>
                  </w:pict>
                </mc:Fallback>
              </mc:AlternateContent>
            </w:r>
            <w:r>
              <w:rPr>
                <w:noProof/>
              </w:rPr>
              <mc:AlternateContent>
                <mc:Choice Requires="wps">
                  <w:drawing>
                    <wp:anchor distT="0" distB="0" distL="114300" distR="114300" simplePos="0" relativeHeight="251707904" behindDoc="0" locked="0" layoutInCell="1" allowOverlap="1">
                      <wp:simplePos x="0" y="0"/>
                      <wp:positionH relativeFrom="column">
                        <wp:posOffset>3681730</wp:posOffset>
                      </wp:positionH>
                      <wp:positionV relativeFrom="paragraph">
                        <wp:posOffset>36830</wp:posOffset>
                      </wp:positionV>
                      <wp:extent cx="2038350" cy="1116330"/>
                      <wp:effectExtent l="5080" t="8255" r="13970" b="8890"/>
                      <wp:wrapNone/>
                      <wp:docPr id="211" name="AutoShap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116330"/>
                              </a:xfrm>
                              <a:prstGeom prst="roundRect">
                                <a:avLst>
                                  <a:gd name="adj" fmla="val 16667"/>
                                </a:avLst>
                              </a:prstGeom>
                              <a:solidFill>
                                <a:schemeClr val="accent3">
                                  <a:lumMod val="60000"/>
                                  <a:lumOff val="40000"/>
                                </a:schemeClr>
                              </a:solidFill>
                              <a:ln w="9525">
                                <a:solidFill>
                                  <a:srgbClr val="000000"/>
                                </a:solidFill>
                                <a:round/>
                                <a:headEnd/>
                                <a:tailEnd/>
                              </a:ln>
                            </wps:spPr>
                            <wps:txbx>
                              <w:txbxContent>
                                <w:p w:rsidR="00611E16" w:rsidRPr="00F14E58" w:rsidRDefault="00611E16" w:rsidP="000159CA">
                                  <w:pPr>
                                    <w:jc w:val="center"/>
                                    <w:rPr>
                                      <w:b/>
                                      <w:sz w:val="18"/>
                                      <w:szCs w:val="18"/>
                                    </w:rPr>
                                  </w:pPr>
                                  <w:r w:rsidRPr="00F14E58">
                                    <w:rPr>
                                      <w:b/>
                                      <w:sz w:val="18"/>
                                      <w:szCs w:val="18"/>
                                    </w:rPr>
                                    <w:t>PRIMAIRE </w:t>
                                  </w:r>
                                </w:p>
                                <w:p w:rsidR="00611E16" w:rsidRPr="00F14E58" w:rsidRDefault="00611E16" w:rsidP="000159CA">
                                  <w:pPr>
                                    <w:jc w:val="center"/>
                                    <w:rPr>
                                      <w:b/>
                                      <w:sz w:val="18"/>
                                      <w:szCs w:val="18"/>
                                    </w:rPr>
                                  </w:pPr>
                                  <w:r w:rsidRPr="00F14E58">
                                    <w:rPr>
                                      <w:b/>
                                      <w:sz w:val="18"/>
                                      <w:szCs w:val="18"/>
                                    </w:rPr>
                                    <w:t>Echelon 2 : 45 CMA</w:t>
                                  </w:r>
                                </w:p>
                                <w:p w:rsidR="00611E16" w:rsidRPr="00F14E58" w:rsidRDefault="00611E16" w:rsidP="000159CA">
                                  <w:pPr>
                                    <w:jc w:val="center"/>
                                    <w:rPr>
                                      <w:b/>
                                      <w:sz w:val="18"/>
                                      <w:szCs w:val="18"/>
                                    </w:rPr>
                                  </w:pPr>
                                  <w:r w:rsidRPr="00F14E58">
                                    <w:rPr>
                                      <w:b/>
                                      <w:sz w:val="18"/>
                                      <w:szCs w:val="18"/>
                                    </w:rPr>
                                    <w:t>Echelon 1 : 1839 CSPS, 57 CM, 8 maternités, 136 Dispensaires isolés, 99 infirmeries/SST, 19 infirmeries des armées.</w:t>
                                  </w:r>
                                </w:p>
                                <w:p w:rsidR="00611E16" w:rsidRPr="00F14E58" w:rsidRDefault="00611E16" w:rsidP="000159CA">
                                  <w:pPr>
                                    <w:jc w:val="center"/>
                                    <w:rPr>
                                      <w:sz w:val="18"/>
                                      <w:szCs w:val="18"/>
                                    </w:rPr>
                                  </w:pPr>
                                </w:p>
                                <w:p w:rsidR="00611E16" w:rsidRPr="00F14E58" w:rsidRDefault="00611E16" w:rsidP="000159CA">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6" o:spid="_x0000_s1033" style="position:absolute;margin-left:289.9pt;margin-top:2.9pt;width:160.5pt;height:87.9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" fillcolor="#c2d69b [1942]">
                      <v:textbox>
                        <w:txbxContent>
                          <w:p w:rsidR="00611E16" w:rsidRPr="00F14E58" w:rsidRDefault="00611E16" w:rsidP="000159CA">
                            <w:pPr>
                              <w:jc w:val="center"/>
                              <w:rPr>
                                <w:b/>
                                <w:sz w:val="18"/>
                                <w:szCs w:val="18"/>
                              </w:rPr>
                            </w:pPr>
                            <w:r w:rsidRPr="00F14E58">
                              <w:rPr>
                                <w:b/>
                                <w:sz w:val="18"/>
                                <w:szCs w:val="18"/>
                              </w:rPr>
                              <w:t>PRIMAIRE </w:t>
                            </w:r>
                          </w:p>
                          <w:p w:rsidR="00611E16" w:rsidRPr="00F14E58" w:rsidRDefault="00611E16" w:rsidP="000159CA">
                            <w:pPr>
                              <w:jc w:val="center"/>
                              <w:rPr>
                                <w:b/>
                                <w:sz w:val="18"/>
                                <w:szCs w:val="18"/>
                              </w:rPr>
                            </w:pPr>
                            <w:r w:rsidRPr="00F14E58">
                              <w:rPr>
                                <w:b/>
                                <w:sz w:val="18"/>
                                <w:szCs w:val="18"/>
                              </w:rPr>
                              <w:t>Echelon 2 : 45 CMA</w:t>
                            </w:r>
                          </w:p>
                          <w:p w:rsidR="00611E16" w:rsidRPr="00F14E58" w:rsidRDefault="00611E16" w:rsidP="000159CA">
                            <w:pPr>
                              <w:jc w:val="center"/>
                              <w:rPr>
                                <w:b/>
                                <w:sz w:val="18"/>
                                <w:szCs w:val="18"/>
                              </w:rPr>
                            </w:pPr>
                            <w:r w:rsidRPr="00F14E58">
                              <w:rPr>
                                <w:b/>
                                <w:sz w:val="18"/>
                                <w:szCs w:val="18"/>
                              </w:rPr>
                              <w:t>Echelon 1 : 1839 CSPS, 57 CM, 8 maternités, 136 Dispensaires isolés, 99 infirmeries/SST, 19 infirmeries des armées.</w:t>
                            </w:r>
                          </w:p>
                          <w:p w:rsidR="00611E16" w:rsidRPr="00F14E58" w:rsidRDefault="00611E16" w:rsidP="000159CA">
                            <w:pPr>
                              <w:jc w:val="center"/>
                              <w:rPr>
                                <w:sz w:val="18"/>
                                <w:szCs w:val="18"/>
                              </w:rPr>
                            </w:pPr>
                          </w:p>
                          <w:p w:rsidR="00611E16" w:rsidRPr="00F14E58" w:rsidRDefault="00611E16" w:rsidP="000159CA">
                            <w:pPr>
                              <w:jc w:val="center"/>
                              <w:rPr>
                                <w:sz w:val="18"/>
                                <w:szCs w:val="18"/>
                              </w:rPr>
                            </w:pPr>
                          </w:p>
                        </w:txbxContent>
                      </v:textbox>
                    </v:roundrect>
                  </w:pict>
                </mc:Fallback>
              </mc:AlternateContent>
            </w:r>
          </w:p>
          <w:p w:rsidR="001C4259" w:rsidRDefault="004B0495" w:rsidP="00590C99">
            <w:r>
              <w:rPr>
                <w:noProof/>
              </w:rPr>
              <mc:AlternateContent>
                <mc:Choice Requires="wps">
                  <w:drawing>
                    <wp:anchor distT="0" distB="0" distL="114300" distR="114300" simplePos="0" relativeHeight="251712000" behindDoc="0" locked="0" layoutInCell="1" allowOverlap="1">
                      <wp:simplePos x="0" y="0"/>
                      <wp:positionH relativeFrom="column">
                        <wp:posOffset>2129155</wp:posOffset>
                      </wp:positionH>
                      <wp:positionV relativeFrom="paragraph">
                        <wp:posOffset>109220</wp:posOffset>
                      </wp:positionV>
                      <wp:extent cx="1476375" cy="399415"/>
                      <wp:effectExtent l="5080" t="13970" r="13970" b="5715"/>
                      <wp:wrapNone/>
                      <wp:docPr id="210" name="AutoShap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375" cy="399415"/>
                              </a:xfrm>
                              <a:prstGeom prst="roundRect">
                                <a:avLst>
                                  <a:gd name="adj" fmla="val 16667"/>
                                </a:avLst>
                              </a:prstGeom>
                              <a:solidFill>
                                <a:schemeClr val="accent3">
                                  <a:lumMod val="60000"/>
                                  <a:lumOff val="40000"/>
                                </a:schemeClr>
                              </a:solidFill>
                              <a:ln w="9525">
                                <a:solidFill>
                                  <a:srgbClr val="000000"/>
                                </a:solidFill>
                                <a:round/>
                                <a:headEnd/>
                                <a:tailEnd/>
                              </a:ln>
                            </wps:spPr>
                            <wps:txbx>
                              <w:txbxContent>
                                <w:p w:rsidR="00611E16" w:rsidRPr="00F96E69" w:rsidRDefault="00611E16" w:rsidP="001C4259">
                                  <w:pPr>
                                    <w:jc w:val="center"/>
                                    <w:rPr>
                                      <w:b/>
                                      <w:sz w:val="24"/>
                                      <w:szCs w:val="24"/>
                                    </w:rPr>
                                  </w:pPr>
                                  <w:r w:rsidRPr="00F96E69">
                                    <w:rPr>
                                      <w:b/>
                                      <w:sz w:val="24"/>
                                      <w:szCs w:val="24"/>
                                    </w:rPr>
                                    <w:t>PERIPHERIQUE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10" o:spid="_x0000_s1034" style="position:absolute;margin-left:167.65pt;margin-top:8.6pt;width:116.25pt;height:31.4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" fillcolor="#c2d69b [1942]">
                      <v:textbox>
                        <w:txbxContent>
                          <w:p w:rsidR="00611E16" w:rsidRPr="00F96E69" w:rsidRDefault="00611E16" w:rsidP="001C4259">
                            <w:pPr>
                              <w:jc w:val="center"/>
                              <w:rPr>
                                <w:b/>
                                <w:sz w:val="24"/>
                                <w:szCs w:val="24"/>
                              </w:rPr>
                            </w:pPr>
                            <w:r w:rsidRPr="00F96E69">
                              <w:rPr>
                                <w:b/>
                                <w:sz w:val="24"/>
                                <w:szCs w:val="24"/>
                              </w:rPr>
                              <w:t>PERIPHERIQUE</w:t>
                            </w:r>
                          </w:p>
                        </w:txbxContent>
                      </v:textbox>
                    </v:roundrect>
                  </w:pict>
                </mc:Fallback>
              </mc:AlternateContent>
            </w:r>
          </w:p>
          <w:p w:rsidR="001C4259" w:rsidRDefault="001C4259" w:rsidP="00590C99"/>
          <w:p w:rsidR="001C4259" w:rsidRDefault="001C4259" w:rsidP="00590C99"/>
          <w:p w:rsidR="001C4259" w:rsidRDefault="001C4259" w:rsidP="00590C99"/>
          <w:p w:rsidR="001C4259" w:rsidRDefault="001C4259" w:rsidP="00590C99"/>
          <w:p w:rsidR="001C4259" w:rsidRDefault="001C4259" w:rsidP="00590C99"/>
        </w:tc>
      </w:tr>
      <w:tr w:rsidR="001C4259" w:rsidTr="00590C99">
        <w:tc>
          <w:tcPr>
            <w:tcW w:w="9212" w:type="dxa"/>
            <w:shd w:val="clear" w:color="auto" w:fill="FFFFFF" w:themeFill="background1"/>
          </w:tcPr>
          <w:p w:rsidR="001C4259" w:rsidRPr="00F96E69" w:rsidRDefault="001C4259" w:rsidP="00590C99">
            <w:pPr>
              <w:spacing w:before="240"/>
            </w:pPr>
            <w:r w:rsidRPr="00F96E69">
              <w:rPr>
                <w:b/>
                <w:color w:val="231F20"/>
              </w:rPr>
              <w:t>Figure 1 : Organisation administrative et organisation des soins</w:t>
            </w:r>
          </w:p>
        </w:tc>
      </w:tr>
    </w:tbl>
    <w:p w:rsidR="00314B92" w:rsidRDefault="00314B92">
      <w:pPr>
        <w:pStyle w:val="Normal1"/>
        <w:pBdr>
          <w:top w:val="nil"/>
          <w:left w:val="nil"/>
          <w:bottom w:val="nil"/>
          <w:right w:val="nil"/>
          <w:between w:val="nil"/>
        </w:pBdr>
        <w:spacing w:after="0"/>
        <w:ind w:left="360" w:hanging="720"/>
        <w:jc w:val="both"/>
        <w:rPr>
          <w:color w:val="231F20"/>
          <w:sz w:val="24"/>
          <w:szCs w:val="24"/>
        </w:rPr>
      </w:pPr>
    </w:p>
    <w:p w:rsidR="00314B92" w:rsidRDefault="00AD5F81" w:rsidP="005D02C3">
      <w:pPr>
        <w:pStyle w:val="Normal1"/>
        <w:numPr>
          <w:ilvl w:val="0"/>
          <w:numId w:val="46"/>
        </w:numPr>
        <w:pBdr>
          <w:top w:val="nil"/>
          <w:left w:val="nil"/>
          <w:bottom w:val="nil"/>
          <w:right w:val="nil"/>
          <w:between w:val="nil"/>
        </w:pBdr>
        <w:spacing w:after="0"/>
        <w:jc w:val="both"/>
        <w:rPr>
          <w:color w:val="231F20"/>
          <w:sz w:val="24"/>
          <w:szCs w:val="24"/>
        </w:rPr>
      </w:pPr>
      <w:r>
        <w:rPr>
          <w:color w:val="231F20"/>
          <w:sz w:val="24"/>
          <w:szCs w:val="24"/>
        </w:rPr>
        <w:lastRenderedPageBreak/>
        <w:t>Le niveau central est responsable de l’élaboration des politiques, de la mobilisation des ressources, du contrôle de gestion et de l’évaluation des performances ;</w:t>
      </w:r>
    </w:p>
    <w:p w:rsidR="00314B92" w:rsidRDefault="00AD5F81" w:rsidP="005D02C3">
      <w:pPr>
        <w:pStyle w:val="Normal1"/>
        <w:numPr>
          <w:ilvl w:val="0"/>
          <w:numId w:val="46"/>
        </w:numPr>
        <w:pBdr>
          <w:top w:val="nil"/>
          <w:left w:val="nil"/>
          <w:bottom w:val="nil"/>
          <w:right w:val="nil"/>
          <w:between w:val="nil"/>
        </w:pBdr>
        <w:spacing w:after="0"/>
        <w:jc w:val="both"/>
        <w:rPr>
          <w:color w:val="231F20"/>
          <w:sz w:val="24"/>
          <w:szCs w:val="24"/>
        </w:rPr>
      </w:pPr>
      <w:r>
        <w:rPr>
          <w:color w:val="231F20"/>
          <w:sz w:val="24"/>
          <w:szCs w:val="24"/>
        </w:rPr>
        <w:t>Le niveau intermédiaire est chargé de la coordination et de l’appui aux districts ;</w:t>
      </w:r>
    </w:p>
    <w:p w:rsidR="00314B92" w:rsidRDefault="00AD5F81" w:rsidP="005D02C3">
      <w:pPr>
        <w:pStyle w:val="Normal1"/>
        <w:numPr>
          <w:ilvl w:val="0"/>
          <w:numId w:val="46"/>
        </w:numPr>
        <w:pBdr>
          <w:top w:val="nil"/>
          <w:left w:val="nil"/>
          <w:bottom w:val="nil"/>
          <w:right w:val="nil"/>
          <w:between w:val="nil"/>
        </w:pBdr>
        <w:spacing w:after="0"/>
        <w:jc w:val="both"/>
        <w:rPr>
          <w:color w:val="000000"/>
          <w:sz w:val="24"/>
          <w:szCs w:val="24"/>
        </w:rPr>
      </w:pPr>
      <w:r>
        <w:rPr>
          <w:color w:val="231F20"/>
          <w:sz w:val="24"/>
          <w:szCs w:val="24"/>
        </w:rPr>
        <w:t xml:space="preserve">Au niveau périphérique, l’ECD est </w:t>
      </w:r>
      <w:r>
        <w:rPr>
          <w:color w:val="000000"/>
          <w:sz w:val="24"/>
          <w:szCs w:val="24"/>
        </w:rPr>
        <w:t>responsable de la planification, de la gestion et de l’organisation de l’offre de soins.</w:t>
      </w:r>
    </w:p>
    <w:p w:rsidR="00314B92" w:rsidRDefault="00AD5F81">
      <w:pPr>
        <w:pStyle w:val="Normal1"/>
        <w:spacing w:after="0"/>
        <w:jc w:val="both"/>
        <w:rPr>
          <w:sz w:val="24"/>
          <w:szCs w:val="24"/>
        </w:rPr>
      </w:pPr>
      <w:r>
        <w:rPr>
          <w:sz w:val="24"/>
          <w:szCs w:val="24"/>
        </w:rPr>
        <w:t>En plus du secteur public, le Burkina Faso compte 519 structures privées de soins, 246 officines et 647 dépôts pharmaceutiques</w:t>
      </w:r>
      <w:r>
        <w:rPr>
          <w:sz w:val="24"/>
          <w:szCs w:val="24"/>
          <w:vertAlign w:val="superscript"/>
        </w:rPr>
        <w:footnoteReference w:id="3"/>
      </w:r>
      <w:r>
        <w:rPr>
          <w:sz w:val="24"/>
          <w:szCs w:val="24"/>
        </w:rPr>
        <w:t>.</w:t>
      </w:r>
    </w:p>
    <w:p w:rsidR="00314B92" w:rsidRDefault="00AD5F81">
      <w:pPr>
        <w:pStyle w:val="Normal1"/>
        <w:spacing w:after="0"/>
        <w:jc w:val="both"/>
        <w:rPr>
          <w:color w:val="231F20"/>
          <w:sz w:val="24"/>
          <w:szCs w:val="24"/>
        </w:rPr>
      </w:pPr>
      <w:r>
        <w:rPr>
          <w:sz w:val="24"/>
          <w:szCs w:val="24"/>
        </w:rPr>
        <w:t>En outre, il existe une pratique communautaire animée par des Agents de santé à base communautaire (ASBC), des Organisations à base communautaire (OBC) et d’autres acteurs de la société civile qui interviennent dans le secteur de santé.</w:t>
      </w:r>
    </w:p>
    <w:p w:rsidR="00314B92" w:rsidRDefault="00AD5F81" w:rsidP="005D02C3">
      <w:pPr>
        <w:pStyle w:val="Normal1"/>
        <w:widowControl w:val="0"/>
        <w:numPr>
          <w:ilvl w:val="3"/>
          <w:numId w:val="120"/>
        </w:numPr>
        <w:pBdr>
          <w:top w:val="nil"/>
          <w:left w:val="nil"/>
          <w:bottom w:val="nil"/>
          <w:right w:val="nil"/>
          <w:between w:val="nil"/>
        </w:pBdr>
        <w:tabs>
          <w:tab w:val="left" w:pos="993"/>
        </w:tabs>
        <w:spacing w:before="60" w:after="60"/>
        <w:jc w:val="both"/>
        <w:rPr>
          <w:color w:val="000000"/>
          <w:sz w:val="24"/>
          <w:szCs w:val="24"/>
        </w:rPr>
      </w:pPr>
      <w:r>
        <w:rPr>
          <w:b/>
          <w:color w:val="000000"/>
          <w:sz w:val="24"/>
          <w:szCs w:val="24"/>
        </w:rPr>
        <w:t>Fonctionnement</w:t>
      </w:r>
    </w:p>
    <w:p w:rsidR="00314B92" w:rsidRDefault="00AD5F81">
      <w:pPr>
        <w:pStyle w:val="Normal1"/>
        <w:spacing w:after="0"/>
        <w:jc w:val="both"/>
        <w:rPr>
          <w:sz w:val="24"/>
          <w:szCs w:val="24"/>
        </w:rPr>
      </w:pPr>
      <w:r>
        <w:rPr>
          <w:sz w:val="24"/>
          <w:szCs w:val="24"/>
        </w:rPr>
        <w:t xml:space="preserve">La </w:t>
      </w:r>
      <w:r>
        <w:rPr>
          <w:b/>
          <w:sz w:val="24"/>
          <w:szCs w:val="24"/>
        </w:rPr>
        <w:t>Politique Nationale de Santé (2011)</w:t>
      </w:r>
      <w:r>
        <w:rPr>
          <w:sz w:val="24"/>
          <w:szCs w:val="24"/>
        </w:rPr>
        <w:t xml:space="preserve">, confirme l’adhésion du pays à la stratégie des soins de santé primaires et aux orientations mondiales. Elle est opérationnalisée à travers le </w:t>
      </w:r>
      <w:r>
        <w:rPr>
          <w:b/>
          <w:sz w:val="24"/>
          <w:szCs w:val="24"/>
        </w:rPr>
        <w:t>Plan national de développement sanitaire</w:t>
      </w:r>
      <w:r>
        <w:rPr>
          <w:sz w:val="24"/>
          <w:szCs w:val="24"/>
        </w:rPr>
        <w:t xml:space="preserve"> </w:t>
      </w:r>
      <w:r>
        <w:rPr>
          <w:b/>
          <w:sz w:val="24"/>
          <w:szCs w:val="24"/>
        </w:rPr>
        <w:t xml:space="preserve">2011-2020 (PNDS) </w:t>
      </w:r>
      <w:r>
        <w:rPr>
          <w:sz w:val="24"/>
          <w:szCs w:val="24"/>
        </w:rPr>
        <w:t>soutenu par une approche sectorielle et mis en œuvre à travers des plans triennaux glissants.</w:t>
      </w:r>
    </w:p>
    <w:p w:rsidR="00314B92" w:rsidRDefault="00AD5F81">
      <w:pPr>
        <w:pStyle w:val="Normal1"/>
        <w:spacing w:after="0"/>
        <w:jc w:val="both"/>
        <w:rPr>
          <w:sz w:val="24"/>
          <w:szCs w:val="24"/>
        </w:rPr>
      </w:pPr>
      <w:r>
        <w:rPr>
          <w:sz w:val="24"/>
          <w:szCs w:val="24"/>
        </w:rPr>
        <w:t>Le PNDS 2011-2020 a été évalué à mi-parcours en 2016 [2,3,4] et révisé [5] au début de 2016 dans la perspective d'accélérer l’atteinte des ODD au Burkina-Faso et de faire le lien avec le budget programme 2017-2019. Le Budget programme est bâti autour de trois programmes : (i) le programme "Accès aux services de santé", (ii) le programme "Prestations des services de santé" et (iii) le programme "Pilotage et soutien des services du Ministère de la santé".</w:t>
      </w:r>
    </w:p>
    <w:p w:rsidR="00314B92" w:rsidRDefault="00AD5F81" w:rsidP="005D02C3">
      <w:pPr>
        <w:pStyle w:val="Normal1"/>
        <w:widowControl w:val="0"/>
        <w:numPr>
          <w:ilvl w:val="3"/>
          <w:numId w:val="120"/>
        </w:numPr>
        <w:pBdr>
          <w:top w:val="nil"/>
          <w:left w:val="nil"/>
          <w:bottom w:val="nil"/>
          <w:right w:val="nil"/>
          <w:between w:val="nil"/>
        </w:pBdr>
        <w:tabs>
          <w:tab w:val="left" w:pos="993"/>
        </w:tabs>
        <w:spacing w:before="60" w:after="60"/>
        <w:jc w:val="both"/>
        <w:rPr>
          <w:color w:val="00000A"/>
          <w:sz w:val="24"/>
          <w:szCs w:val="24"/>
        </w:rPr>
      </w:pPr>
      <w:r>
        <w:rPr>
          <w:b/>
          <w:color w:val="00000A"/>
          <w:sz w:val="24"/>
          <w:szCs w:val="24"/>
        </w:rPr>
        <w:t>Etat de santé des populations</w:t>
      </w:r>
    </w:p>
    <w:p w:rsidR="00314B92" w:rsidRDefault="00AD5F81">
      <w:pPr>
        <w:pStyle w:val="Normal1"/>
        <w:spacing w:after="0"/>
        <w:jc w:val="both"/>
        <w:rPr>
          <w:sz w:val="24"/>
          <w:szCs w:val="24"/>
        </w:rPr>
      </w:pPr>
      <w:r>
        <w:rPr>
          <w:sz w:val="24"/>
          <w:szCs w:val="24"/>
        </w:rPr>
        <w:t>L’espérance de vie à la naissance est passée de 53,8 ans en 1996 à 56,7 ans en 2006 mais les taux bruts de morbidité et de mortalité demeurent élevés soit respectivement 8,4‰ et 11,8‰</w:t>
      </w:r>
      <w:r>
        <w:rPr>
          <w:sz w:val="24"/>
          <w:szCs w:val="24"/>
          <w:vertAlign w:val="superscript"/>
        </w:rPr>
        <w:footnoteReference w:id="4"/>
      </w:r>
      <w:r>
        <w:rPr>
          <w:sz w:val="24"/>
          <w:szCs w:val="24"/>
        </w:rPr>
        <w:t>.</w:t>
      </w:r>
    </w:p>
    <w:tbl>
      <w:tblPr>
        <w:tblStyle w:val="a5"/>
        <w:tblW w:w="9062" w:type="dxa"/>
        <w:tblBorders>
          <w:top w:val="nil"/>
          <w:left w:val="nil"/>
          <w:bottom w:val="nil"/>
          <w:right w:val="nil"/>
          <w:insideH w:val="nil"/>
          <w:insideV w:val="nil"/>
        </w:tblBorders>
        <w:tblLayout w:type="fixed"/>
        <w:tblLook w:val="0400" w:firstRow="0" w:lastRow="0" w:firstColumn="0" w:lastColumn="0" w:noHBand="0" w:noVBand="1"/>
      </w:tblPr>
      <w:tblGrid>
        <w:gridCol w:w="4815"/>
        <w:gridCol w:w="1559"/>
        <w:gridCol w:w="2688"/>
      </w:tblGrid>
      <w:tr w:rsidR="00314B92">
        <w:tc>
          <w:tcPr>
            <w:tcW w:w="9062" w:type="dxa"/>
            <w:gridSpan w:val="3"/>
            <w:tcBorders>
              <w:bottom w:val="single" w:sz="4" w:space="0" w:color="000000"/>
            </w:tcBorders>
          </w:tcPr>
          <w:p w:rsidR="00314B92" w:rsidRDefault="00AD5F81">
            <w:pPr>
              <w:pStyle w:val="Normal1"/>
              <w:spacing w:line="360" w:lineRule="auto"/>
              <w:jc w:val="both"/>
              <w:rPr>
                <w:b/>
              </w:rPr>
            </w:pPr>
            <w:r>
              <w:rPr>
                <w:b/>
              </w:rPr>
              <w:t>Tableau 1 : Etat de santé de la population</w:t>
            </w:r>
          </w:p>
        </w:tc>
      </w:tr>
      <w:tr w:rsidR="00314B92">
        <w:tc>
          <w:tcPr>
            <w:tcW w:w="4815" w:type="dxa"/>
            <w:tcBorders>
              <w:top w:val="single" w:sz="4" w:space="0" w:color="000000"/>
            </w:tcBorders>
          </w:tcPr>
          <w:p w:rsidR="00314B92" w:rsidRDefault="00AD5F81">
            <w:pPr>
              <w:pStyle w:val="Normal1"/>
              <w:spacing w:line="360" w:lineRule="auto"/>
              <w:jc w:val="both"/>
            </w:pPr>
            <w:r>
              <w:rPr>
                <w:b/>
              </w:rPr>
              <w:t xml:space="preserve">Indicateurs </w:t>
            </w:r>
          </w:p>
        </w:tc>
        <w:tc>
          <w:tcPr>
            <w:tcW w:w="1559" w:type="dxa"/>
            <w:tcBorders>
              <w:top w:val="single" w:sz="4" w:space="0" w:color="000000"/>
            </w:tcBorders>
          </w:tcPr>
          <w:p w:rsidR="00314B92" w:rsidRDefault="00AD5F81">
            <w:pPr>
              <w:pStyle w:val="Normal1"/>
              <w:spacing w:line="360" w:lineRule="auto"/>
              <w:jc w:val="both"/>
            </w:pPr>
            <w:r>
              <w:rPr>
                <w:b/>
              </w:rPr>
              <w:t xml:space="preserve">Valeur </w:t>
            </w:r>
          </w:p>
        </w:tc>
        <w:tc>
          <w:tcPr>
            <w:tcW w:w="2688" w:type="dxa"/>
            <w:tcBorders>
              <w:top w:val="single" w:sz="4" w:space="0" w:color="000000"/>
            </w:tcBorders>
          </w:tcPr>
          <w:p w:rsidR="00314B92" w:rsidRDefault="00AD5F81">
            <w:pPr>
              <w:pStyle w:val="Normal1"/>
              <w:spacing w:line="360" w:lineRule="auto"/>
              <w:jc w:val="both"/>
            </w:pPr>
            <w:r>
              <w:rPr>
                <w:b/>
              </w:rPr>
              <w:t xml:space="preserve">Sources </w:t>
            </w:r>
          </w:p>
        </w:tc>
      </w:tr>
      <w:tr w:rsidR="00314B92">
        <w:tc>
          <w:tcPr>
            <w:tcW w:w="4815" w:type="dxa"/>
          </w:tcPr>
          <w:p w:rsidR="00314B92" w:rsidRDefault="00AD5F81">
            <w:pPr>
              <w:pStyle w:val="Normal1"/>
              <w:spacing w:line="360" w:lineRule="auto"/>
              <w:jc w:val="both"/>
            </w:pPr>
            <w:r>
              <w:t xml:space="preserve">Population totale </w:t>
            </w:r>
          </w:p>
        </w:tc>
        <w:tc>
          <w:tcPr>
            <w:tcW w:w="1559" w:type="dxa"/>
          </w:tcPr>
          <w:p w:rsidR="00314B92" w:rsidRDefault="00AD5F81">
            <w:pPr>
              <w:pStyle w:val="Normal1"/>
              <w:spacing w:line="360" w:lineRule="auto"/>
              <w:jc w:val="both"/>
            </w:pPr>
            <w:r>
              <w:t xml:space="preserve">19 632 147 </w:t>
            </w:r>
          </w:p>
        </w:tc>
        <w:tc>
          <w:tcPr>
            <w:tcW w:w="2688" w:type="dxa"/>
          </w:tcPr>
          <w:p w:rsidR="00314B92" w:rsidRDefault="00AD5F81">
            <w:pPr>
              <w:pStyle w:val="Normal1"/>
              <w:spacing w:line="360" w:lineRule="auto"/>
              <w:jc w:val="both"/>
            </w:pPr>
            <w:r>
              <w:t xml:space="preserve">Projection 2007-2020 </w:t>
            </w:r>
          </w:p>
        </w:tc>
      </w:tr>
      <w:tr w:rsidR="00314B92">
        <w:tc>
          <w:tcPr>
            <w:tcW w:w="4815" w:type="dxa"/>
          </w:tcPr>
          <w:p w:rsidR="00314B92" w:rsidRDefault="00AD5F81">
            <w:pPr>
              <w:pStyle w:val="Normal1"/>
              <w:spacing w:line="360" w:lineRule="auto"/>
              <w:jc w:val="both"/>
            </w:pPr>
            <w:r>
              <w:t xml:space="preserve">Espérance de vie à la naissance </w:t>
            </w:r>
          </w:p>
        </w:tc>
        <w:tc>
          <w:tcPr>
            <w:tcW w:w="1559" w:type="dxa"/>
          </w:tcPr>
          <w:p w:rsidR="00314B92" w:rsidRDefault="00AD5F81">
            <w:pPr>
              <w:pStyle w:val="Normal1"/>
              <w:spacing w:line="360" w:lineRule="auto"/>
              <w:jc w:val="both"/>
            </w:pPr>
            <w:r>
              <w:t xml:space="preserve">56,7 ans </w:t>
            </w:r>
          </w:p>
        </w:tc>
        <w:tc>
          <w:tcPr>
            <w:tcW w:w="2688" w:type="dxa"/>
          </w:tcPr>
          <w:p w:rsidR="00314B92" w:rsidRDefault="00AD5F81">
            <w:pPr>
              <w:pStyle w:val="Normal1"/>
              <w:spacing w:line="360" w:lineRule="auto"/>
              <w:jc w:val="both"/>
            </w:pPr>
            <w:r>
              <w:t xml:space="preserve">RGPH 2006 </w:t>
            </w:r>
          </w:p>
        </w:tc>
      </w:tr>
      <w:tr w:rsidR="00314B92">
        <w:tc>
          <w:tcPr>
            <w:tcW w:w="4815" w:type="dxa"/>
          </w:tcPr>
          <w:p w:rsidR="00314B92" w:rsidRDefault="00AD5F81">
            <w:pPr>
              <w:pStyle w:val="Normal1"/>
              <w:spacing w:line="360" w:lineRule="auto"/>
              <w:jc w:val="both"/>
            </w:pPr>
            <w:r>
              <w:t xml:space="preserve">Taux bruts de natalité (TBN) </w:t>
            </w:r>
          </w:p>
        </w:tc>
        <w:tc>
          <w:tcPr>
            <w:tcW w:w="1559" w:type="dxa"/>
          </w:tcPr>
          <w:p w:rsidR="00314B92" w:rsidRDefault="00AD5F81">
            <w:pPr>
              <w:pStyle w:val="Normal1"/>
              <w:spacing w:line="360" w:lineRule="auto"/>
              <w:jc w:val="both"/>
            </w:pPr>
            <w:r>
              <w:t xml:space="preserve">45,8‰ </w:t>
            </w:r>
          </w:p>
        </w:tc>
        <w:tc>
          <w:tcPr>
            <w:tcW w:w="2688" w:type="dxa"/>
          </w:tcPr>
          <w:p w:rsidR="00314B92" w:rsidRDefault="00AD5F81">
            <w:pPr>
              <w:pStyle w:val="Normal1"/>
              <w:spacing w:line="360" w:lineRule="auto"/>
              <w:jc w:val="both"/>
            </w:pPr>
            <w:r>
              <w:t xml:space="preserve">RGPH 2006 </w:t>
            </w:r>
          </w:p>
        </w:tc>
      </w:tr>
      <w:tr w:rsidR="00314B92">
        <w:tc>
          <w:tcPr>
            <w:tcW w:w="4815" w:type="dxa"/>
          </w:tcPr>
          <w:p w:rsidR="00314B92" w:rsidRDefault="00AD5F81">
            <w:pPr>
              <w:pStyle w:val="Normal1"/>
              <w:spacing w:line="360" w:lineRule="auto"/>
              <w:jc w:val="both"/>
            </w:pPr>
            <w:r>
              <w:t xml:space="preserve">Taux de mortalité générale </w:t>
            </w:r>
          </w:p>
        </w:tc>
        <w:tc>
          <w:tcPr>
            <w:tcW w:w="1559" w:type="dxa"/>
          </w:tcPr>
          <w:p w:rsidR="00314B92" w:rsidRDefault="00AD5F81">
            <w:pPr>
              <w:pStyle w:val="Normal1"/>
              <w:spacing w:line="360" w:lineRule="auto"/>
              <w:jc w:val="both"/>
            </w:pPr>
            <w:r>
              <w:t xml:space="preserve">11,8‰ </w:t>
            </w:r>
          </w:p>
        </w:tc>
        <w:tc>
          <w:tcPr>
            <w:tcW w:w="2688" w:type="dxa"/>
          </w:tcPr>
          <w:p w:rsidR="00314B92" w:rsidRDefault="00AD5F81">
            <w:pPr>
              <w:pStyle w:val="Normal1"/>
              <w:spacing w:line="360" w:lineRule="auto"/>
              <w:jc w:val="both"/>
            </w:pPr>
            <w:r>
              <w:t xml:space="preserve">RGPH 2006 </w:t>
            </w:r>
          </w:p>
        </w:tc>
      </w:tr>
      <w:tr w:rsidR="00314B92">
        <w:tc>
          <w:tcPr>
            <w:tcW w:w="4815" w:type="dxa"/>
          </w:tcPr>
          <w:p w:rsidR="00314B92" w:rsidRDefault="00AD5F81">
            <w:pPr>
              <w:pStyle w:val="Normal1"/>
              <w:spacing w:line="360" w:lineRule="auto"/>
              <w:jc w:val="both"/>
            </w:pPr>
            <w:r>
              <w:t xml:space="preserve">Taux de mortalité des enfants de moins d’un an </w:t>
            </w:r>
          </w:p>
        </w:tc>
        <w:tc>
          <w:tcPr>
            <w:tcW w:w="1559" w:type="dxa"/>
          </w:tcPr>
          <w:p w:rsidR="00314B92" w:rsidRDefault="00AD5F81">
            <w:pPr>
              <w:pStyle w:val="Normal1"/>
              <w:spacing w:line="360" w:lineRule="auto"/>
              <w:jc w:val="both"/>
            </w:pPr>
            <w:r>
              <w:t xml:space="preserve">65‰ </w:t>
            </w:r>
          </w:p>
        </w:tc>
        <w:tc>
          <w:tcPr>
            <w:tcW w:w="2688" w:type="dxa"/>
          </w:tcPr>
          <w:p w:rsidR="00314B92" w:rsidRDefault="00AD5F81">
            <w:pPr>
              <w:pStyle w:val="Normal1"/>
              <w:spacing w:line="360" w:lineRule="auto"/>
              <w:jc w:val="both"/>
            </w:pPr>
            <w:r>
              <w:t xml:space="preserve">EDS 2010 </w:t>
            </w:r>
          </w:p>
        </w:tc>
      </w:tr>
      <w:tr w:rsidR="00314B92">
        <w:tc>
          <w:tcPr>
            <w:tcW w:w="4815" w:type="dxa"/>
          </w:tcPr>
          <w:p w:rsidR="00314B92" w:rsidRDefault="00AD5F81">
            <w:pPr>
              <w:pStyle w:val="Normal1"/>
              <w:spacing w:line="360" w:lineRule="auto"/>
              <w:jc w:val="both"/>
            </w:pPr>
            <w:r>
              <w:t xml:space="preserve">Taux global de fécondité générale </w:t>
            </w:r>
          </w:p>
        </w:tc>
        <w:tc>
          <w:tcPr>
            <w:tcW w:w="1559" w:type="dxa"/>
          </w:tcPr>
          <w:p w:rsidR="00314B92" w:rsidRDefault="00AD5F81">
            <w:pPr>
              <w:pStyle w:val="Normal1"/>
              <w:spacing w:line="360" w:lineRule="auto"/>
              <w:jc w:val="both"/>
            </w:pPr>
            <w:r>
              <w:t xml:space="preserve">206‰ </w:t>
            </w:r>
          </w:p>
        </w:tc>
        <w:tc>
          <w:tcPr>
            <w:tcW w:w="2688" w:type="dxa"/>
          </w:tcPr>
          <w:p w:rsidR="00314B92" w:rsidRDefault="00AD5F81">
            <w:pPr>
              <w:pStyle w:val="Normal1"/>
              <w:spacing w:line="360" w:lineRule="auto"/>
              <w:jc w:val="both"/>
            </w:pPr>
            <w:r>
              <w:t xml:space="preserve">EDS 2010 </w:t>
            </w:r>
          </w:p>
        </w:tc>
      </w:tr>
      <w:tr w:rsidR="00314B92">
        <w:tc>
          <w:tcPr>
            <w:tcW w:w="4815" w:type="dxa"/>
          </w:tcPr>
          <w:p w:rsidR="00314B92" w:rsidRDefault="00AD5F81">
            <w:pPr>
              <w:pStyle w:val="Normal1"/>
              <w:spacing w:line="360" w:lineRule="auto"/>
              <w:jc w:val="both"/>
            </w:pPr>
            <w:r>
              <w:t xml:space="preserve">Indice Synthétique de Fécondité (ISF) </w:t>
            </w:r>
          </w:p>
        </w:tc>
        <w:tc>
          <w:tcPr>
            <w:tcW w:w="1559" w:type="dxa"/>
          </w:tcPr>
          <w:p w:rsidR="00314B92" w:rsidRDefault="00AD5F81">
            <w:pPr>
              <w:pStyle w:val="Normal1"/>
              <w:spacing w:line="360" w:lineRule="auto"/>
              <w:jc w:val="both"/>
            </w:pPr>
            <w:r>
              <w:t xml:space="preserve">5,4 enfants </w:t>
            </w:r>
          </w:p>
        </w:tc>
        <w:tc>
          <w:tcPr>
            <w:tcW w:w="2688" w:type="dxa"/>
          </w:tcPr>
          <w:p w:rsidR="00314B92" w:rsidRDefault="00AD5F81">
            <w:pPr>
              <w:pStyle w:val="Normal1"/>
              <w:spacing w:line="360" w:lineRule="auto"/>
              <w:jc w:val="both"/>
            </w:pPr>
            <w:r>
              <w:t xml:space="preserve">EMDS 2015 </w:t>
            </w:r>
          </w:p>
        </w:tc>
      </w:tr>
      <w:tr w:rsidR="00314B92">
        <w:tc>
          <w:tcPr>
            <w:tcW w:w="4815" w:type="dxa"/>
          </w:tcPr>
          <w:p w:rsidR="00314B92" w:rsidRDefault="00AD5F81">
            <w:pPr>
              <w:pStyle w:val="Normal1"/>
              <w:spacing w:line="360" w:lineRule="auto"/>
              <w:jc w:val="both"/>
            </w:pPr>
            <w:r>
              <w:t xml:space="preserve">Taux d’accroissement naturel </w:t>
            </w:r>
          </w:p>
        </w:tc>
        <w:tc>
          <w:tcPr>
            <w:tcW w:w="1559" w:type="dxa"/>
          </w:tcPr>
          <w:p w:rsidR="00314B92" w:rsidRDefault="00AD5F81">
            <w:pPr>
              <w:pStyle w:val="Normal1"/>
              <w:spacing w:line="360" w:lineRule="auto"/>
              <w:jc w:val="both"/>
            </w:pPr>
            <w:r>
              <w:t xml:space="preserve">3,1% </w:t>
            </w:r>
          </w:p>
        </w:tc>
        <w:tc>
          <w:tcPr>
            <w:tcW w:w="2688" w:type="dxa"/>
          </w:tcPr>
          <w:p w:rsidR="00314B92" w:rsidRDefault="00AD5F81">
            <w:pPr>
              <w:pStyle w:val="Normal1"/>
              <w:spacing w:line="360" w:lineRule="auto"/>
              <w:jc w:val="both"/>
            </w:pPr>
            <w:r>
              <w:t xml:space="preserve">RGPH 2006 </w:t>
            </w:r>
          </w:p>
        </w:tc>
      </w:tr>
      <w:tr w:rsidR="00314B92">
        <w:tc>
          <w:tcPr>
            <w:tcW w:w="4815" w:type="dxa"/>
          </w:tcPr>
          <w:p w:rsidR="00314B92" w:rsidRDefault="00AD5F81">
            <w:pPr>
              <w:pStyle w:val="Normal1"/>
              <w:spacing w:line="360" w:lineRule="auto"/>
              <w:jc w:val="both"/>
            </w:pPr>
            <w:r>
              <w:t xml:space="preserve">Proportion des femmes </w:t>
            </w:r>
          </w:p>
        </w:tc>
        <w:tc>
          <w:tcPr>
            <w:tcW w:w="1559" w:type="dxa"/>
          </w:tcPr>
          <w:p w:rsidR="00314B92" w:rsidRDefault="00AD5F81">
            <w:pPr>
              <w:pStyle w:val="Normal1"/>
              <w:spacing w:line="360" w:lineRule="auto"/>
              <w:jc w:val="both"/>
            </w:pPr>
            <w:r>
              <w:t xml:space="preserve">51,7% </w:t>
            </w:r>
          </w:p>
        </w:tc>
        <w:tc>
          <w:tcPr>
            <w:tcW w:w="2688" w:type="dxa"/>
          </w:tcPr>
          <w:p w:rsidR="00314B92" w:rsidRDefault="00AD5F81">
            <w:pPr>
              <w:pStyle w:val="Normal1"/>
              <w:spacing w:line="360" w:lineRule="auto"/>
              <w:jc w:val="both"/>
            </w:pPr>
            <w:r>
              <w:t xml:space="preserve">RGPH 2006 </w:t>
            </w:r>
          </w:p>
        </w:tc>
      </w:tr>
      <w:tr w:rsidR="00314B92">
        <w:tc>
          <w:tcPr>
            <w:tcW w:w="4815" w:type="dxa"/>
          </w:tcPr>
          <w:p w:rsidR="00314B92" w:rsidRDefault="00AD5F81">
            <w:pPr>
              <w:pStyle w:val="Normal1"/>
              <w:spacing w:line="360" w:lineRule="auto"/>
              <w:jc w:val="both"/>
            </w:pPr>
            <w:r>
              <w:t xml:space="preserve">Proportion de la population vivant en milieu rural </w:t>
            </w:r>
          </w:p>
        </w:tc>
        <w:tc>
          <w:tcPr>
            <w:tcW w:w="1559" w:type="dxa"/>
          </w:tcPr>
          <w:p w:rsidR="00314B92" w:rsidRDefault="00AD5F81">
            <w:pPr>
              <w:pStyle w:val="Normal1"/>
              <w:spacing w:line="360" w:lineRule="auto"/>
              <w:jc w:val="both"/>
            </w:pPr>
            <w:r>
              <w:t xml:space="preserve">77,3% </w:t>
            </w:r>
          </w:p>
        </w:tc>
        <w:tc>
          <w:tcPr>
            <w:tcW w:w="2688" w:type="dxa"/>
          </w:tcPr>
          <w:p w:rsidR="00314B92" w:rsidRDefault="00AD5F81">
            <w:pPr>
              <w:pStyle w:val="Normal1"/>
              <w:spacing w:line="360" w:lineRule="auto"/>
              <w:jc w:val="both"/>
            </w:pPr>
            <w:r>
              <w:t xml:space="preserve">RGPH 2006 </w:t>
            </w:r>
          </w:p>
        </w:tc>
      </w:tr>
    </w:tbl>
    <w:p w:rsidR="00314B92" w:rsidRDefault="00314B92">
      <w:pPr>
        <w:pStyle w:val="Normal1"/>
        <w:spacing w:after="0" w:line="360" w:lineRule="auto"/>
        <w:jc w:val="both"/>
        <w:rPr>
          <w:sz w:val="24"/>
          <w:szCs w:val="24"/>
        </w:rPr>
      </w:pPr>
    </w:p>
    <w:p w:rsidR="00314B92" w:rsidRDefault="00AD5F81">
      <w:pPr>
        <w:pStyle w:val="Normal1"/>
        <w:spacing w:after="0"/>
        <w:jc w:val="both"/>
        <w:rPr>
          <w:sz w:val="24"/>
          <w:szCs w:val="24"/>
        </w:rPr>
      </w:pPr>
      <w:r>
        <w:rPr>
          <w:sz w:val="24"/>
          <w:szCs w:val="24"/>
        </w:rPr>
        <w:t xml:space="preserve"> Le taux de mortalité maternelle est passé de 484 à 330 décès pour cent mille naissances vivantes entre 2003 et 2015. </w:t>
      </w:r>
    </w:p>
    <w:p w:rsidR="00314B92" w:rsidRDefault="00AD5F81">
      <w:pPr>
        <w:pStyle w:val="Normal1"/>
        <w:jc w:val="both"/>
        <w:rPr>
          <w:sz w:val="24"/>
          <w:szCs w:val="24"/>
        </w:rPr>
      </w:pPr>
      <w:r>
        <w:rPr>
          <w:sz w:val="24"/>
          <w:szCs w:val="24"/>
        </w:rPr>
        <w:t>Le taux de mortalité infanto-juvénile reste parmi les plus élevés au monde passant de 184‰ en 2003 à 129‰ en 2010 et à 81,6‰ en 2015. La mortalité néonatale quant à elle est passée de 31‰ en 2003 à 28‰ en 2010 et à 23,2‰ en 2015.</w:t>
      </w:r>
      <w:r>
        <w:rPr>
          <w:sz w:val="24"/>
          <w:szCs w:val="24"/>
          <w:vertAlign w:val="superscript"/>
        </w:rPr>
        <w:footnoteReference w:id="5"/>
      </w:r>
      <w:r>
        <w:rPr>
          <w:sz w:val="24"/>
          <w:szCs w:val="24"/>
        </w:rPr>
        <w:t xml:space="preserve"> </w:t>
      </w:r>
    </w:p>
    <w:p w:rsidR="00314B92" w:rsidRDefault="00AD5F81" w:rsidP="00D21688">
      <w:pPr>
        <w:pStyle w:val="Normal1"/>
        <w:pBdr>
          <w:top w:val="nil"/>
          <w:left w:val="nil"/>
          <w:bottom w:val="nil"/>
          <w:right w:val="nil"/>
          <w:between w:val="nil"/>
        </w:pBdr>
        <w:tabs>
          <w:tab w:val="left" w:pos="284"/>
          <w:tab w:val="left" w:pos="426"/>
        </w:tabs>
        <w:spacing w:after="0"/>
        <w:jc w:val="both"/>
        <w:rPr>
          <w:color w:val="000000"/>
          <w:sz w:val="24"/>
          <w:szCs w:val="24"/>
        </w:rPr>
      </w:pPr>
      <w:r>
        <w:rPr>
          <w:color w:val="000000"/>
          <w:sz w:val="24"/>
          <w:szCs w:val="24"/>
        </w:rPr>
        <w:t>Le profil épidémiologique du Burkina Faso est dominé par les maladies transmissibles dont les plus meurtrières sont le paludisme, les infections respiratoires aiguës (IRA) et les maladies diarrhéiques. L’incidence du paludisme reste élevée notamment chez les enfants de moins de 5 ans (1725‰), et les femmes enceintes. La létalité du paludisme chez les enfants de moins de cinq ans était de 1,4% en 2017 contre 2,7% en 2012.</w:t>
      </w:r>
    </w:p>
    <w:p w:rsidR="00314B92" w:rsidRDefault="00AD5F81" w:rsidP="00D21688">
      <w:pPr>
        <w:pStyle w:val="Normal1"/>
        <w:pBdr>
          <w:top w:val="nil"/>
          <w:left w:val="nil"/>
          <w:bottom w:val="nil"/>
          <w:right w:val="nil"/>
          <w:between w:val="nil"/>
        </w:pBdr>
        <w:tabs>
          <w:tab w:val="left" w:pos="284"/>
          <w:tab w:val="left" w:pos="426"/>
        </w:tabs>
        <w:spacing w:after="0"/>
        <w:jc w:val="both"/>
        <w:rPr>
          <w:color w:val="000000"/>
          <w:sz w:val="24"/>
          <w:szCs w:val="24"/>
        </w:rPr>
      </w:pPr>
      <w:r>
        <w:rPr>
          <w:color w:val="000000"/>
          <w:sz w:val="24"/>
          <w:szCs w:val="24"/>
        </w:rPr>
        <w:t>On assiste également à une émergence de maladies non transmissibles telles que l’hypertension artérielle, le diabète, les cancers et les cardiopathies.</w:t>
      </w:r>
    </w:p>
    <w:p w:rsidR="00314B92" w:rsidRDefault="00AD5F81" w:rsidP="00D21688">
      <w:pPr>
        <w:pStyle w:val="Normal1"/>
        <w:pBdr>
          <w:top w:val="nil"/>
          <w:left w:val="nil"/>
          <w:bottom w:val="nil"/>
          <w:right w:val="nil"/>
          <w:between w:val="nil"/>
        </w:pBdr>
        <w:tabs>
          <w:tab w:val="left" w:pos="284"/>
          <w:tab w:val="left" w:pos="426"/>
        </w:tabs>
        <w:spacing w:after="0"/>
        <w:jc w:val="both"/>
        <w:rPr>
          <w:color w:val="000000"/>
          <w:sz w:val="24"/>
          <w:szCs w:val="24"/>
        </w:rPr>
      </w:pPr>
      <w:r>
        <w:rPr>
          <w:color w:val="000000"/>
          <w:sz w:val="24"/>
          <w:szCs w:val="24"/>
        </w:rPr>
        <w:t>La situation nutritionnelle des enfants demeure préoccupante. En effet, 21,2% des enfants de moins de cinq ans souffrent de malnutrition chronique, 8,6% d’émaciation et 16,2% d’insuffisance pondérale</w:t>
      </w:r>
      <w:r>
        <w:rPr>
          <w:color w:val="000000"/>
          <w:sz w:val="24"/>
          <w:szCs w:val="24"/>
          <w:vertAlign w:val="superscript"/>
        </w:rPr>
        <w:footnoteReference w:id="6"/>
      </w:r>
      <w:r>
        <w:rPr>
          <w:color w:val="000000"/>
          <w:sz w:val="24"/>
          <w:szCs w:val="24"/>
        </w:rPr>
        <w:t xml:space="preserve">. </w:t>
      </w:r>
      <w:r w:rsidR="00F14E58">
        <w:rPr>
          <w:color w:val="000000"/>
          <w:sz w:val="24"/>
          <w:szCs w:val="24"/>
        </w:rPr>
        <w:t>P</w:t>
      </w:r>
      <w:r>
        <w:rPr>
          <w:color w:val="000000"/>
          <w:sz w:val="24"/>
          <w:szCs w:val="24"/>
        </w:rPr>
        <w:t>lus de la moitié des enfants de moins de six mois (52,2%) ne bénéficient pas de l’allaitement exclusif et seulement 17,9% et 17,5% de ceux âgés de 6-23 mois ont respectivement une bonne diversité alimentaire et une alimentation minimum acceptable.</w:t>
      </w:r>
    </w:p>
    <w:p w:rsidR="00314B92" w:rsidRDefault="00AD5F81" w:rsidP="00D21688">
      <w:pPr>
        <w:pStyle w:val="Normal1"/>
        <w:pBdr>
          <w:top w:val="nil"/>
          <w:left w:val="nil"/>
          <w:bottom w:val="nil"/>
          <w:right w:val="nil"/>
          <w:between w:val="nil"/>
        </w:pBdr>
        <w:tabs>
          <w:tab w:val="left" w:pos="284"/>
          <w:tab w:val="left" w:pos="426"/>
        </w:tabs>
        <w:spacing w:after="0"/>
        <w:jc w:val="both"/>
        <w:rPr>
          <w:color w:val="000000"/>
          <w:sz w:val="24"/>
          <w:szCs w:val="24"/>
        </w:rPr>
      </w:pPr>
      <w:r>
        <w:rPr>
          <w:color w:val="000000"/>
          <w:sz w:val="24"/>
          <w:szCs w:val="24"/>
        </w:rPr>
        <w:t>Dans le domaine de la lutte contre le VIH-SIDA, le taux de séroprévalence du VIH a fortement baissé passant de 4,8% en 2001 à 0,8% en fin 2016.</w:t>
      </w:r>
      <w:r>
        <w:rPr>
          <w:color w:val="000000"/>
          <w:sz w:val="24"/>
          <w:szCs w:val="24"/>
          <w:vertAlign w:val="superscript"/>
        </w:rPr>
        <w:footnoteReference w:id="7"/>
      </w:r>
      <w:r>
        <w:rPr>
          <w:color w:val="000000"/>
          <w:sz w:val="24"/>
          <w:szCs w:val="24"/>
        </w:rPr>
        <w:t xml:space="preserve"> </w:t>
      </w:r>
    </w:p>
    <w:p w:rsidR="00314B92" w:rsidRDefault="00AD5F81" w:rsidP="00D21688">
      <w:pPr>
        <w:pStyle w:val="Normal1"/>
        <w:pBdr>
          <w:top w:val="nil"/>
          <w:left w:val="nil"/>
          <w:bottom w:val="nil"/>
          <w:right w:val="nil"/>
          <w:between w:val="nil"/>
        </w:pBdr>
        <w:tabs>
          <w:tab w:val="left" w:pos="284"/>
          <w:tab w:val="left" w:pos="426"/>
        </w:tabs>
        <w:spacing w:after="0"/>
        <w:jc w:val="both"/>
        <w:rPr>
          <w:color w:val="000000"/>
          <w:sz w:val="24"/>
          <w:szCs w:val="24"/>
        </w:rPr>
      </w:pPr>
      <w:r>
        <w:rPr>
          <w:color w:val="000000"/>
          <w:sz w:val="24"/>
          <w:szCs w:val="24"/>
        </w:rPr>
        <w:t>La lutte contre la tuberculose a connu un progrès notable car le taux de succès au traitement est passé de 77,8% en 2010 à 79,2% en 2017.</w:t>
      </w:r>
      <w:r>
        <w:rPr>
          <w:color w:val="000000"/>
          <w:sz w:val="24"/>
          <w:szCs w:val="24"/>
          <w:vertAlign w:val="superscript"/>
        </w:rPr>
        <w:footnoteReference w:id="8"/>
      </w:r>
    </w:p>
    <w:p w:rsidR="00314B92" w:rsidRDefault="00AD5F81" w:rsidP="00D21688">
      <w:pPr>
        <w:pStyle w:val="Normal1"/>
        <w:pBdr>
          <w:top w:val="nil"/>
          <w:left w:val="nil"/>
          <w:bottom w:val="nil"/>
          <w:right w:val="nil"/>
          <w:between w:val="nil"/>
        </w:pBdr>
        <w:tabs>
          <w:tab w:val="left" w:pos="284"/>
          <w:tab w:val="left" w:pos="426"/>
        </w:tabs>
        <w:spacing w:after="0"/>
        <w:jc w:val="both"/>
        <w:rPr>
          <w:color w:val="000000"/>
          <w:sz w:val="24"/>
          <w:szCs w:val="24"/>
        </w:rPr>
      </w:pPr>
      <w:r>
        <w:rPr>
          <w:color w:val="000000"/>
          <w:sz w:val="24"/>
          <w:szCs w:val="24"/>
        </w:rPr>
        <w:t xml:space="preserve">La lutte contre les maladies tropicales négligées (filariose lymphatique, ver de Guinée, trachome, onchocercose, lèpre…) a entrainé une baisse de prévalence, voire l’éradication de certaines d’entre elles. Les maladies à potentiel épidémique (rougeole, méningite, diarrhée sanguinolente, choléra, fièvre jaune, poliomyélite, Dengue) font également l’objet de surveillance accrue dans les formations sanitaires. Le pays a été certifié indemne de poliomyélite. Grâce aux campagnes de vaccination de masse avec le Men Afrivac organisées depuis 2010 par le Ministère de la santé, le pays n’a plus connu d’épidémie de méningite. </w:t>
      </w:r>
    </w:p>
    <w:p w:rsidR="00314B92" w:rsidRDefault="00AD5F81">
      <w:pPr>
        <w:pStyle w:val="Normal1"/>
        <w:spacing w:after="0"/>
        <w:jc w:val="both"/>
        <w:rPr>
          <w:sz w:val="24"/>
          <w:szCs w:val="24"/>
        </w:rPr>
      </w:pPr>
      <w:r>
        <w:rPr>
          <w:sz w:val="24"/>
          <w:szCs w:val="24"/>
        </w:rPr>
        <w:t>Les acteurs communautaires ont contribué à l’atteinte des résultats obtenus à travers la mise en place des SBC. Pour une meilleure implication de ces acteurs dans l’atteinte des objectifs de santé, les principaux défis restent leur motivation, le renforcement de leurs capacités et la collaboration avec les agents de santé.</w:t>
      </w:r>
    </w:p>
    <w:p w:rsidR="00314B92" w:rsidRDefault="00314B92">
      <w:pPr>
        <w:pStyle w:val="Normal1"/>
        <w:spacing w:after="0"/>
        <w:jc w:val="both"/>
        <w:rPr>
          <w:sz w:val="24"/>
          <w:szCs w:val="24"/>
        </w:rPr>
      </w:pPr>
    </w:p>
    <w:p w:rsidR="00314B92" w:rsidRDefault="00AD5F81">
      <w:pPr>
        <w:pStyle w:val="Normal1"/>
        <w:spacing w:after="0"/>
        <w:jc w:val="both"/>
        <w:rPr>
          <w:sz w:val="24"/>
          <w:szCs w:val="24"/>
        </w:rPr>
      </w:pPr>
      <w:r>
        <w:br w:type="page"/>
      </w:r>
    </w:p>
    <w:p w:rsidR="00314B92" w:rsidRDefault="00AD5F81" w:rsidP="005D02C3">
      <w:pPr>
        <w:pStyle w:val="Normal1"/>
        <w:numPr>
          <w:ilvl w:val="0"/>
          <w:numId w:val="120"/>
        </w:numPr>
        <w:pBdr>
          <w:top w:val="nil"/>
          <w:left w:val="nil"/>
          <w:bottom w:val="nil"/>
          <w:right w:val="nil"/>
          <w:between w:val="nil"/>
        </w:pBdr>
        <w:ind w:left="426" w:hanging="426"/>
        <w:jc w:val="both"/>
        <w:rPr>
          <w:color w:val="000000"/>
          <w:sz w:val="28"/>
          <w:szCs w:val="28"/>
        </w:rPr>
      </w:pPr>
      <w:r>
        <w:rPr>
          <w:b/>
          <w:color w:val="000000"/>
          <w:sz w:val="28"/>
          <w:szCs w:val="28"/>
        </w:rPr>
        <w:lastRenderedPageBreak/>
        <w:t xml:space="preserve">SITUATION </w:t>
      </w:r>
      <w:r w:rsidR="00F14E58">
        <w:rPr>
          <w:b/>
          <w:color w:val="000000"/>
          <w:sz w:val="28"/>
          <w:szCs w:val="28"/>
        </w:rPr>
        <w:t>DE LA SANTE REPRODUCTIVE</w:t>
      </w:r>
      <w:r>
        <w:rPr>
          <w:b/>
          <w:color w:val="000000"/>
          <w:sz w:val="28"/>
          <w:szCs w:val="28"/>
        </w:rPr>
        <w:t>, DE LA MERE</w:t>
      </w:r>
      <w:r w:rsidR="00F14E58">
        <w:rPr>
          <w:b/>
          <w:color w:val="000000"/>
          <w:sz w:val="28"/>
          <w:szCs w:val="28"/>
        </w:rPr>
        <w:t>,</w:t>
      </w:r>
      <w:r>
        <w:rPr>
          <w:b/>
          <w:color w:val="000000"/>
          <w:sz w:val="28"/>
          <w:szCs w:val="28"/>
        </w:rPr>
        <w:t xml:space="preserve"> DU NOUVEAU-NE, DE L’ENFANT, DE L’ADOLESCENT</w:t>
      </w:r>
      <w:r w:rsidR="00F14E58">
        <w:rPr>
          <w:b/>
          <w:color w:val="000000"/>
          <w:sz w:val="28"/>
          <w:szCs w:val="28"/>
        </w:rPr>
        <w:t>/JEUNE</w:t>
      </w:r>
      <w:r>
        <w:rPr>
          <w:b/>
          <w:color w:val="000000"/>
          <w:sz w:val="28"/>
          <w:szCs w:val="28"/>
        </w:rPr>
        <w:t xml:space="preserve"> ET DE LA NUTRITION</w:t>
      </w:r>
      <w:r w:rsidR="00F14E58">
        <w:rPr>
          <w:b/>
          <w:color w:val="000000"/>
          <w:sz w:val="28"/>
          <w:szCs w:val="28"/>
        </w:rPr>
        <w:t>.</w:t>
      </w:r>
    </w:p>
    <w:p w:rsidR="00314B92" w:rsidRDefault="00AD5F81">
      <w:pPr>
        <w:pStyle w:val="Normal1"/>
        <w:jc w:val="both"/>
        <w:rPr>
          <w:sz w:val="24"/>
          <w:szCs w:val="24"/>
        </w:rPr>
      </w:pPr>
      <w:r>
        <w:rPr>
          <w:sz w:val="24"/>
          <w:szCs w:val="24"/>
        </w:rPr>
        <w:t xml:space="preserve">L’analyse de situation montre l’état actuel de la santé de la mère, du nouveau-né, de l’enfant, de l’adolescent/jeune et de la nutrition des populations ainsi que les progrès réalisés au cours des 15 dernières années. L’analyse a porté également sur la réponse du système de santé en termes d’interventions prioritaires à haut impact pour identifier les déficits de performances et les causes de ces déficits.   </w:t>
      </w:r>
    </w:p>
    <w:p w:rsidR="00314B92" w:rsidRDefault="009B5EB2" w:rsidP="005D02C3">
      <w:pPr>
        <w:pStyle w:val="Normal1"/>
        <w:numPr>
          <w:ilvl w:val="1"/>
          <w:numId w:val="120"/>
        </w:numPr>
        <w:pBdr>
          <w:top w:val="nil"/>
          <w:left w:val="nil"/>
          <w:bottom w:val="nil"/>
          <w:right w:val="nil"/>
          <w:between w:val="nil"/>
        </w:pBdr>
        <w:spacing w:after="0" w:line="360" w:lineRule="auto"/>
        <w:jc w:val="both"/>
        <w:rPr>
          <w:color w:val="000000"/>
          <w:sz w:val="28"/>
          <w:szCs w:val="28"/>
        </w:rPr>
      </w:pPr>
      <w:r w:rsidRPr="009B5EB2">
        <w:rPr>
          <w:color w:val="000000"/>
          <w:sz w:val="24"/>
          <w:szCs w:val="24"/>
        </w:rPr>
        <w:t>LES INDICATEURS DE LA SRMNEAN</w:t>
      </w:r>
    </w:p>
    <w:p w:rsidR="00314B92" w:rsidRDefault="00AD5F81" w:rsidP="005D02C3">
      <w:pPr>
        <w:pStyle w:val="Normal1"/>
        <w:numPr>
          <w:ilvl w:val="2"/>
          <w:numId w:val="120"/>
        </w:numPr>
        <w:pBdr>
          <w:top w:val="nil"/>
          <w:left w:val="nil"/>
          <w:bottom w:val="nil"/>
          <w:right w:val="nil"/>
          <w:between w:val="nil"/>
        </w:pBdr>
        <w:spacing w:line="360" w:lineRule="auto"/>
        <w:jc w:val="both"/>
        <w:rPr>
          <w:color w:val="000000"/>
          <w:sz w:val="24"/>
          <w:szCs w:val="24"/>
        </w:rPr>
      </w:pPr>
      <w:r>
        <w:rPr>
          <w:color w:val="000000"/>
          <w:sz w:val="24"/>
          <w:szCs w:val="24"/>
        </w:rPr>
        <w:t>LA MORTALITE MATERNELLE</w:t>
      </w:r>
    </w:p>
    <w:tbl>
      <w:tblPr>
        <w:tblStyle w:val="a6"/>
        <w:tblW w:w="9353" w:type="dxa"/>
        <w:tblLayout w:type="fixed"/>
        <w:tblLook w:val="0400" w:firstRow="0" w:lastRow="0" w:firstColumn="0" w:lastColumn="0" w:noHBand="0" w:noVBand="1"/>
      </w:tblPr>
      <w:tblGrid>
        <w:gridCol w:w="5061"/>
        <w:gridCol w:w="236"/>
        <w:gridCol w:w="4056"/>
      </w:tblGrid>
      <w:tr w:rsidR="00314B92" w:rsidTr="00F14E58">
        <w:tc>
          <w:tcPr>
            <w:tcW w:w="5061" w:type="dxa"/>
          </w:tcPr>
          <w:p w:rsidR="00314B92" w:rsidRDefault="00AD5F81">
            <w:pPr>
              <w:pStyle w:val="Normal1"/>
              <w:spacing w:line="360" w:lineRule="auto"/>
              <w:jc w:val="both"/>
              <w:rPr>
                <w:sz w:val="24"/>
                <w:szCs w:val="24"/>
              </w:rPr>
            </w:pPr>
            <w:r>
              <w:rPr>
                <w:noProof/>
              </w:rPr>
              <w:drawing>
                <wp:inline distT="0" distB="0" distL="0" distR="0">
                  <wp:extent cx="3076575" cy="2476500"/>
                  <wp:effectExtent l="0" t="0" r="0" b="0"/>
                  <wp:docPr id="47"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10" cstate="print"/>
                          <a:srcRect/>
                          <a:stretch>
                            <a:fillRect/>
                          </a:stretch>
                        </pic:blipFill>
                        <pic:spPr>
                          <a:xfrm>
                            <a:off x="0" y="0"/>
                            <a:ext cx="3076575" cy="2476500"/>
                          </a:xfrm>
                          <a:prstGeom prst="rect">
                            <a:avLst/>
                          </a:prstGeom>
                          <a:ln/>
                        </pic:spPr>
                      </pic:pic>
                    </a:graphicData>
                  </a:graphic>
                </wp:inline>
              </w:drawing>
            </w:r>
          </w:p>
        </w:tc>
        <w:tc>
          <w:tcPr>
            <w:tcW w:w="236" w:type="dxa"/>
          </w:tcPr>
          <w:p w:rsidR="00314B92" w:rsidRDefault="00314B92">
            <w:pPr>
              <w:pStyle w:val="Normal1"/>
              <w:spacing w:line="360" w:lineRule="auto"/>
              <w:jc w:val="both"/>
              <w:rPr>
                <w:sz w:val="24"/>
                <w:szCs w:val="24"/>
              </w:rPr>
            </w:pPr>
          </w:p>
        </w:tc>
        <w:tc>
          <w:tcPr>
            <w:tcW w:w="4056" w:type="dxa"/>
            <w:vMerge w:val="restart"/>
          </w:tcPr>
          <w:p w:rsidR="00314B92" w:rsidRDefault="00AD5F81">
            <w:pPr>
              <w:pStyle w:val="Normal1"/>
              <w:pBdr>
                <w:top w:val="nil"/>
                <w:left w:val="nil"/>
                <w:bottom w:val="nil"/>
                <w:right w:val="nil"/>
                <w:between w:val="nil"/>
              </w:pBdr>
              <w:spacing w:after="200" w:line="360" w:lineRule="auto"/>
              <w:ind w:left="360" w:hanging="720"/>
              <w:jc w:val="both"/>
              <w:rPr>
                <w:color w:val="000000"/>
              </w:rPr>
            </w:pPr>
            <w:bookmarkStart w:id="1" w:name="_1fob9te" w:colFirst="0" w:colLast="0"/>
            <w:bookmarkEnd w:id="1"/>
            <w:r>
              <w:rPr>
                <w:color w:val="000000"/>
                <w:sz w:val="24"/>
                <w:szCs w:val="24"/>
              </w:rPr>
              <w:t xml:space="preserve">De </w:t>
            </w:r>
            <w:r w:rsidR="00F14E58">
              <w:rPr>
                <w:color w:val="000000"/>
                <w:sz w:val="24"/>
                <w:szCs w:val="24"/>
              </w:rPr>
              <w:t xml:space="preserve">      De </w:t>
            </w:r>
            <w:r>
              <w:rPr>
                <w:color w:val="000000"/>
                <w:sz w:val="24"/>
                <w:szCs w:val="24"/>
              </w:rPr>
              <w:t>1999 à 2015, le taux de mortalité maternelle est passé de 484 à 330/100 000 naissances vivantes. Le niveau de réduction du Taux de mortalité maternelle a été de 31,8 %. Cependant, ces progrès n’ont pas permis d’atteindre ni la cible fixée dans le PNDS 2011-2020, ni celle des OMD</w:t>
            </w:r>
            <w:r>
              <w:rPr>
                <w:color w:val="000000"/>
                <w:sz w:val="24"/>
                <w:szCs w:val="24"/>
                <w:vertAlign w:val="superscript"/>
              </w:rPr>
              <w:footnoteReference w:id="9"/>
            </w:r>
            <w:r>
              <w:rPr>
                <w:color w:val="000000"/>
              </w:rPr>
              <w:t>.</w:t>
            </w:r>
          </w:p>
        </w:tc>
      </w:tr>
      <w:tr w:rsidR="00314B92" w:rsidTr="00F14E58">
        <w:tc>
          <w:tcPr>
            <w:tcW w:w="5061" w:type="dxa"/>
          </w:tcPr>
          <w:p w:rsidR="00314B92" w:rsidRDefault="00AD5F81">
            <w:pPr>
              <w:pStyle w:val="Normal1"/>
              <w:jc w:val="both"/>
              <w:rPr>
                <w:sz w:val="24"/>
                <w:szCs w:val="24"/>
              </w:rPr>
            </w:pPr>
            <w:r>
              <w:rPr>
                <w:b/>
                <w:sz w:val="20"/>
                <w:szCs w:val="20"/>
              </w:rPr>
              <w:t>Figure 2 : Evolution des ratios de mortalité maternelle</w:t>
            </w:r>
          </w:p>
        </w:tc>
        <w:tc>
          <w:tcPr>
            <w:tcW w:w="236" w:type="dxa"/>
          </w:tcPr>
          <w:p w:rsidR="00314B92" w:rsidRDefault="00314B92">
            <w:pPr>
              <w:pStyle w:val="Normal1"/>
              <w:jc w:val="both"/>
              <w:rPr>
                <w:sz w:val="24"/>
                <w:szCs w:val="24"/>
              </w:rPr>
            </w:pPr>
          </w:p>
        </w:tc>
        <w:tc>
          <w:tcPr>
            <w:tcW w:w="4056" w:type="dxa"/>
            <w:vMerge/>
          </w:tcPr>
          <w:p w:rsidR="00314B92" w:rsidRDefault="00314B92">
            <w:pPr>
              <w:pStyle w:val="Normal1"/>
              <w:widowControl w:val="0"/>
              <w:pBdr>
                <w:top w:val="nil"/>
                <w:left w:val="nil"/>
                <w:bottom w:val="nil"/>
                <w:right w:val="nil"/>
                <w:between w:val="nil"/>
              </w:pBdr>
              <w:spacing w:line="276" w:lineRule="auto"/>
              <w:rPr>
                <w:sz w:val="24"/>
                <w:szCs w:val="24"/>
              </w:rPr>
            </w:pPr>
          </w:p>
        </w:tc>
      </w:tr>
    </w:tbl>
    <w:p w:rsidR="00314B92" w:rsidRDefault="00AD5F81">
      <w:pPr>
        <w:pStyle w:val="Normal1"/>
        <w:spacing w:before="240"/>
        <w:jc w:val="both"/>
        <w:rPr>
          <w:sz w:val="24"/>
          <w:szCs w:val="24"/>
        </w:rPr>
      </w:pPr>
      <w:r>
        <w:rPr>
          <w:sz w:val="24"/>
          <w:szCs w:val="24"/>
        </w:rPr>
        <w:t xml:space="preserve">Des disparités régionales existent en termes de  performance. En effet, en 2015 huit (8) Régions avaient une performance insuffisante. Ce sont l’Est, le Centre-nord, le Nord, le Centre-ouest, le Centre-sud, le Centre-est, la Boucle du Mouhoun et le Sahel.                                                                                                 </w:t>
      </w:r>
    </w:p>
    <w:p w:rsidR="00314B92" w:rsidRDefault="00AD5F81">
      <w:pPr>
        <w:pStyle w:val="Normal1"/>
        <w:spacing w:before="240"/>
        <w:jc w:val="both"/>
        <w:rPr>
          <w:sz w:val="24"/>
          <w:szCs w:val="24"/>
        </w:rPr>
      </w:pPr>
      <w:r>
        <w:rPr>
          <w:sz w:val="24"/>
          <w:szCs w:val="24"/>
        </w:rPr>
        <w:t xml:space="preserve"> Les principaux facteurs de cette  mortalité maternelle élevée sont la faible accessibilité, la faible disponibilité, l’insuffisance de la qualité des soins et la faible implication des Populations pour une maternité à moindre risque. </w:t>
      </w:r>
    </w:p>
    <w:p w:rsidR="00314B92" w:rsidRDefault="00AD5F81">
      <w:pPr>
        <w:pStyle w:val="Normal1"/>
        <w:spacing w:after="0"/>
        <w:jc w:val="both"/>
        <w:rPr>
          <w:b/>
          <w:sz w:val="24"/>
          <w:szCs w:val="24"/>
        </w:rPr>
      </w:pPr>
      <w:r>
        <w:rPr>
          <w:b/>
          <w:sz w:val="24"/>
          <w:szCs w:val="24"/>
        </w:rPr>
        <w:t>Les Causes de la mortalité maternelle au Burkina Faso</w:t>
      </w:r>
    </w:p>
    <w:p w:rsidR="00314B92" w:rsidRDefault="00AD5F81" w:rsidP="006976E9">
      <w:pPr>
        <w:pStyle w:val="Normal1"/>
        <w:spacing w:after="0"/>
        <w:jc w:val="both"/>
        <w:rPr>
          <w:sz w:val="24"/>
          <w:szCs w:val="24"/>
        </w:rPr>
      </w:pPr>
      <w:r>
        <w:rPr>
          <w:sz w:val="24"/>
          <w:szCs w:val="24"/>
        </w:rPr>
        <w:t xml:space="preserve">Les principales </w:t>
      </w:r>
      <w:r w:rsidR="009B5EB2" w:rsidRPr="009B5EB2">
        <w:rPr>
          <w:sz w:val="24"/>
          <w:szCs w:val="24"/>
        </w:rPr>
        <w:t>causes directes</w:t>
      </w:r>
      <w:r>
        <w:rPr>
          <w:sz w:val="24"/>
          <w:szCs w:val="24"/>
        </w:rPr>
        <w:t xml:space="preserve"> de ces décès maternels au niveau des formations sanitaires sont : les hémorragies (30%), les infections (23%), la rétention placentaire (11,40%), les ruptures utérines (10%), les complications des avortements (10%) et les éclampsies (4%). Les causes obstétricales directes sont responsables d’environs 80 % des décès</w:t>
      </w:r>
      <w:r>
        <w:rPr>
          <w:sz w:val="24"/>
          <w:szCs w:val="24"/>
          <w:vertAlign w:val="superscript"/>
        </w:rPr>
        <w:footnoteReference w:id="10"/>
      </w:r>
      <w:r>
        <w:rPr>
          <w:sz w:val="24"/>
          <w:szCs w:val="24"/>
        </w:rPr>
        <w:t xml:space="preserve">maternels pourtant évitables mais qui surviennent dans 50% des cas dans les 24 heures suivant </w:t>
      </w:r>
      <w:r>
        <w:rPr>
          <w:sz w:val="24"/>
          <w:szCs w:val="24"/>
        </w:rPr>
        <w:lastRenderedPageBreak/>
        <w:t>l’accouchement  Du reste, 95% des décès maternels se passent dans les centres de santé et 5% dans les communautés.</w:t>
      </w:r>
    </w:p>
    <w:p w:rsidR="00314B92" w:rsidRDefault="00AD5F81" w:rsidP="006976E9">
      <w:pPr>
        <w:pStyle w:val="Normal1"/>
        <w:spacing w:after="0"/>
        <w:jc w:val="both"/>
        <w:rPr>
          <w:sz w:val="24"/>
          <w:szCs w:val="24"/>
        </w:rPr>
      </w:pPr>
      <w:r>
        <w:rPr>
          <w:sz w:val="24"/>
          <w:szCs w:val="24"/>
        </w:rPr>
        <w:t xml:space="preserve">Parmi les </w:t>
      </w:r>
      <w:r>
        <w:rPr>
          <w:i/>
          <w:sz w:val="24"/>
          <w:szCs w:val="24"/>
        </w:rPr>
        <w:t>causes indirectes</w:t>
      </w:r>
      <w:r>
        <w:rPr>
          <w:sz w:val="24"/>
          <w:szCs w:val="24"/>
        </w:rPr>
        <w:t xml:space="preserve"> qui représentent environ 20%, on peut citer le paludisme, l’anémie, le VIH/Sida et les hémoglobinopathies. . Par ailleurs, </w:t>
      </w:r>
    </w:p>
    <w:p w:rsidR="00314B92" w:rsidRDefault="00AD5F81">
      <w:pPr>
        <w:pStyle w:val="Normal1"/>
        <w:spacing w:before="52" w:after="0" w:line="250" w:lineRule="auto"/>
        <w:ind w:right="370"/>
        <w:jc w:val="both"/>
        <w:rPr>
          <w:sz w:val="24"/>
          <w:szCs w:val="24"/>
        </w:rPr>
      </w:pPr>
      <w:bookmarkStart w:id="2" w:name="_3znysh7" w:colFirst="0" w:colLast="0"/>
      <w:bookmarkEnd w:id="2"/>
      <w:r>
        <w:rPr>
          <w:sz w:val="24"/>
          <w:szCs w:val="24"/>
        </w:rPr>
        <w:t>La malnutrition est aussi une cause de mortalité et de morbidité maternelle.  Le gain de poids excessif pendant la grossesse est associé à des issues défavorables de la grossesse.</w:t>
      </w:r>
      <w:r>
        <w:rPr>
          <w:sz w:val="24"/>
          <w:szCs w:val="24"/>
          <w:vertAlign w:val="superscript"/>
        </w:rPr>
        <w:footnoteReference w:id="11"/>
      </w:r>
      <w:r>
        <w:rPr>
          <w:sz w:val="24"/>
          <w:szCs w:val="24"/>
        </w:rPr>
        <w:t xml:space="preserve"> </w:t>
      </w:r>
    </w:p>
    <w:p w:rsidR="00314B92" w:rsidRDefault="00AD5F81" w:rsidP="006976E9">
      <w:pPr>
        <w:pStyle w:val="Normal1"/>
        <w:spacing w:after="0" w:line="250" w:lineRule="auto"/>
        <w:ind w:right="370"/>
        <w:jc w:val="both"/>
        <w:rPr>
          <w:sz w:val="24"/>
          <w:szCs w:val="24"/>
        </w:rPr>
      </w:pPr>
      <w:r>
        <w:rPr>
          <w:sz w:val="24"/>
          <w:szCs w:val="24"/>
        </w:rPr>
        <w:t>Les carences en micronutriments sont liées à la mortalité et morbidité maternelle</w:t>
      </w:r>
      <w:r>
        <w:rPr>
          <w:sz w:val="24"/>
          <w:szCs w:val="24"/>
          <w:vertAlign w:val="superscript"/>
        </w:rPr>
        <w:footnoteReference w:id="12"/>
      </w:r>
      <w:r>
        <w:rPr>
          <w:sz w:val="24"/>
          <w:szCs w:val="24"/>
          <w:vertAlign w:val="superscript"/>
        </w:rPr>
        <w:t>-</w:t>
      </w:r>
      <w:r>
        <w:rPr>
          <w:sz w:val="24"/>
          <w:szCs w:val="24"/>
          <w:vertAlign w:val="superscript"/>
        </w:rPr>
        <w:footnoteReference w:id="13"/>
      </w:r>
      <w:r>
        <w:rPr>
          <w:sz w:val="24"/>
          <w:szCs w:val="24"/>
        </w:rPr>
        <w:t>.</w:t>
      </w:r>
    </w:p>
    <w:p w:rsidR="00314B92" w:rsidRDefault="00AD5F81" w:rsidP="006976E9">
      <w:pPr>
        <w:pStyle w:val="Normal1"/>
        <w:spacing w:after="0"/>
        <w:jc w:val="both"/>
        <w:rPr>
          <w:sz w:val="24"/>
          <w:szCs w:val="24"/>
        </w:rPr>
      </w:pPr>
      <w:r>
        <w:rPr>
          <w:i/>
          <w:sz w:val="24"/>
          <w:szCs w:val="24"/>
        </w:rPr>
        <w:t>En outre il ya les trois retards</w:t>
      </w:r>
      <w:r>
        <w:rPr>
          <w:sz w:val="24"/>
          <w:szCs w:val="24"/>
        </w:rPr>
        <w:t>  que sont le retard dans la Prise de décision pour le recours à un centre de santé, le retard pour arriver dans un centre de santé et le retard pour recevoir des soins</w:t>
      </w:r>
    </w:p>
    <w:p w:rsidR="00314B92" w:rsidRDefault="00AD5F81" w:rsidP="006976E9">
      <w:pPr>
        <w:pStyle w:val="Normal1"/>
        <w:spacing w:after="0"/>
        <w:jc w:val="both"/>
        <w:rPr>
          <w:sz w:val="24"/>
          <w:szCs w:val="24"/>
        </w:rPr>
      </w:pPr>
      <w:r>
        <w:rPr>
          <w:sz w:val="24"/>
          <w:szCs w:val="24"/>
        </w:rPr>
        <w:t>Le premier retard s’explique essentiellement par les facteurs socioculturels dont le processus de prise de décision au niveau de la cellule familiale pour la recherche des soins</w:t>
      </w:r>
      <w:r>
        <w:rPr>
          <w:sz w:val="24"/>
          <w:szCs w:val="24"/>
          <w:vertAlign w:val="superscript"/>
        </w:rPr>
        <w:footnoteReference w:id="14"/>
      </w:r>
      <w:r>
        <w:rPr>
          <w:sz w:val="24"/>
          <w:szCs w:val="24"/>
        </w:rPr>
        <w:t>, la faible connaissance des signes de danger par la femme</w:t>
      </w:r>
      <w:r>
        <w:rPr>
          <w:sz w:val="24"/>
          <w:szCs w:val="24"/>
          <w:vertAlign w:val="superscript"/>
        </w:rPr>
        <w:footnoteReference w:id="15"/>
      </w:r>
      <w:r>
        <w:rPr>
          <w:sz w:val="24"/>
          <w:szCs w:val="24"/>
        </w:rPr>
        <w:t>, le faible niveau d’éducation des femmes et la pauvreté des populations</w:t>
      </w:r>
      <w:r>
        <w:rPr>
          <w:sz w:val="24"/>
          <w:szCs w:val="24"/>
          <w:vertAlign w:val="superscript"/>
        </w:rPr>
        <w:footnoteReference w:id="16"/>
      </w:r>
      <w:r>
        <w:rPr>
          <w:sz w:val="24"/>
          <w:szCs w:val="24"/>
        </w:rPr>
        <w:t>.</w:t>
      </w:r>
    </w:p>
    <w:p w:rsidR="00314B92" w:rsidRDefault="00AD5F81">
      <w:pPr>
        <w:pStyle w:val="Normal1"/>
        <w:jc w:val="both"/>
        <w:rPr>
          <w:sz w:val="24"/>
          <w:szCs w:val="24"/>
        </w:rPr>
      </w:pPr>
      <w:r>
        <w:rPr>
          <w:sz w:val="24"/>
          <w:szCs w:val="24"/>
        </w:rPr>
        <w:t>Le deuxième retard est dû à la faible accessibilité géographique des formations sanitaires</w:t>
      </w:r>
      <w:r>
        <w:rPr>
          <w:sz w:val="24"/>
          <w:szCs w:val="24"/>
          <w:vertAlign w:val="superscript"/>
        </w:rPr>
        <w:footnoteReference w:id="17"/>
      </w:r>
      <w:r>
        <w:rPr>
          <w:sz w:val="24"/>
          <w:szCs w:val="24"/>
        </w:rPr>
        <w:t>liée à une répartition inégale des formations sanitaires sur le territoire, à l’absence ou la vétusté des moyens d’évacuation</w:t>
      </w:r>
      <w:r>
        <w:rPr>
          <w:sz w:val="24"/>
          <w:szCs w:val="24"/>
          <w:vertAlign w:val="superscript"/>
        </w:rPr>
        <w:footnoteReference w:id="18"/>
      </w:r>
      <w:r>
        <w:rPr>
          <w:sz w:val="24"/>
          <w:szCs w:val="24"/>
        </w:rPr>
        <w:t>, des problèmes de barrières géographiques (montagnes, rivières) et la qualité médiocre du réseau routier.</w:t>
      </w:r>
    </w:p>
    <w:p w:rsidR="00314B92" w:rsidRDefault="00AD5F81">
      <w:pPr>
        <w:pStyle w:val="Normal1"/>
        <w:jc w:val="both"/>
        <w:rPr>
          <w:sz w:val="24"/>
          <w:szCs w:val="24"/>
        </w:rPr>
      </w:pPr>
      <w:r>
        <w:rPr>
          <w:sz w:val="24"/>
          <w:szCs w:val="24"/>
        </w:rPr>
        <w:t>Le troisième retard est dû à la non-disponibilité, la qualité et le coût élevé des soins obstétricaux d’urgence. Cette faible disponibilité était liée à un problème de ressources humaines qualifiées, de matériels, d’équipements et de médicaments</w:t>
      </w:r>
      <w:r>
        <w:rPr>
          <w:sz w:val="24"/>
          <w:szCs w:val="24"/>
          <w:vertAlign w:val="superscript"/>
        </w:rPr>
        <w:footnoteReference w:id="19"/>
      </w:r>
      <w:r>
        <w:rPr>
          <w:sz w:val="24"/>
          <w:szCs w:val="24"/>
        </w:rPr>
        <w:t>.</w:t>
      </w:r>
    </w:p>
    <w:p w:rsidR="00314B92" w:rsidRDefault="00AD5F81" w:rsidP="005D02C3">
      <w:pPr>
        <w:pStyle w:val="Normal1"/>
        <w:numPr>
          <w:ilvl w:val="2"/>
          <w:numId w:val="120"/>
        </w:numPr>
        <w:pBdr>
          <w:top w:val="nil"/>
          <w:left w:val="nil"/>
          <w:bottom w:val="nil"/>
          <w:right w:val="nil"/>
          <w:between w:val="nil"/>
        </w:pBdr>
        <w:spacing w:after="0"/>
        <w:jc w:val="both"/>
        <w:rPr>
          <w:color w:val="000000"/>
          <w:sz w:val="24"/>
          <w:szCs w:val="24"/>
        </w:rPr>
      </w:pPr>
      <w:r>
        <w:rPr>
          <w:color w:val="000000"/>
          <w:sz w:val="24"/>
          <w:szCs w:val="24"/>
        </w:rPr>
        <w:t>LA MORTALITE NEO-NATALE</w:t>
      </w:r>
    </w:p>
    <w:p w:rsidR="00314B92" w:rsidRDefault="00AD5F81">
      <w:pPr>
        <w:pStyle w:val="Normal1"/>
        <w:spacing w:after="0"/>
        <w:jc w:val="both"/>
        <w:rPr>
          <w:sz w:val="24"/>
          <w:szCs w:val="24"/>
        </w:rPr>
      </w:pPr>
      <w:r>
        <w:rPr>
          <w:sz w:val="24"/>
          <w:szCs w:val="24"/>
        </w:rPr>
        <w:t>Selon les rapports annuels de surveillance des décès maternels néonatals et de riposte (SDMNR), entre 2014 et 2016, on a enregistré respectivement 1872, 2256 et 2521 décès néonataux dans les FS. En 2016, les régions qui ont enregistré le plus de décès néonatals sont le Centre (740 cas), l’Est (270 cas), le Centre Nord (228 cas) et les Cascades (208 cas).</w:t>
      </w:r>
    </w:p>
    <w:p w:rsidR="00314B92" w:rsidRDefault="00AD5F81">
      <w:pPr>
        <w:pStyle w:val="Normal1"/>
        <w:spacing w:after="0"/>
        <w:jc w:val="both"/>
        <w:rPr>
          <w:sz w:val="24"/>
          <w:szCs w:val="24"/>
        </w:rPr>
      </w:pPr>
      <w:r>
        <w:rPr>
          <w:sz w:val="24"/>
          <w:szCs w:val="24"/>
        </w:rPr>
        <w:lastRenderedPageBreak/>
        <w:t xml:space="preserve">Au cours de la période néonatale, les causes de morbidité et de mortalité sont essentiellement les infections sévères et la pneumonie (21%), la prématurité , le faible poids à la naissance (32.4%) et les complications intra-partum (27%).  </w:t>
      </w:r>
    </w:p>
    <w:p w:rsidR="00314B92" w:rsidRDefault="00AD5F81">
      <w:pPr>
        <w:pStyle w:val="Normal1"/>
        <w:spacing w:after="0"/>
        <w:jc w:val="both"/>
        <w:rPr>
          <w:sz w:val="24"/>
          <w:szCs w:val="24"/>
        </w:rPr>
      </w:pPr>
      <w:r>
        <w:rPr>
          <w:sz w:val="24"/>
          <w:szCs w:val="24"/>
        </w:rPr>
        <w:t>Le faible espacement des naissances est un important facteur de risque de mortalité des enfants, surtout pendant la période néonatale. Or, plus de trois femmes en âge de procréer sur quatre (76%) n’utilisent pas de méthodes contraceptives</w:t>
      </w:r>
      <w:r>
        <w:rPr>
          <w:sz w:val="24"/>
          <w:szCs w:val="24"/>
          <w:vertAlign w:val="superscript"/>
        </w:rPr>
        <w:footnoteReference w:id="20"/>
      </w:r>
      <w:r>
        <w:rPr>
          <w:sz w:val="24"/>
          <w:szCs w:val="24"/>
        </w:rPr>
        <w:t>.</w:t>
      </w:r>
    </w:p>
    <w:p w:rsidR="00314B92" w:rsidRDefault="00AD5F81">
      <w:pPr>
        <w:pStyle w:val="Normal1"/>
        <w:spacing w:after="0"/>
        <w:jc w:val="both"/>
        <w:rPr>
          <w:sz w:val="24"/>
          <w:szCs w:val="24"/>
        </w:rPr>
      </w:pPr>
      <w:r>
        <w:rPr>
          <w:sz w:val="24"/>
          <w:szCs w:val="24"/>
        </w:rPr>
        <w:t>L’insuffisance de compétences ou de matériel pour apporter une assistance aux nouveau-nés avec difficultés respiratoires à la naissance aggrave la situation au Burkina Faso.</w:t>
      </w:r>
    </w:p>
    <w:p w:rsidR="00314B92" w:rsidRDefault="00314B92">
      <w:pPr>
        <w:pStyle w:val="Normal1"/>
        <w:spacing w:after="0" w:line="360" w:lineRule="auto"/>
        <w:jc w:val="both"/>
        <w:rPr>
          <w:sz w:val="24"/>
          <w:szCs w:val="24"/>
        </w:rPr>
      </w:pPr>
    </w:p>
    <w:tbl>
      <w:tblPr>
        <w:tblStyle w:val="a7"/>
        <w:tblW w:w="935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6"/>
        <w:gridCol w:w="236"/>
        <w:gridCol w:w="394"/>
        <w:gridCol w:w="236"/>
        <w:gridCol w:w="3955"/>
        <w:gridCol w:w="31"/>
      </w:tblGrid>
      <w:tr w:rsidR="00314B92">
        <w:tc>
          <w:tcPr>
            <w:tcW w:w="5136" w:type="dxa"/>
            <w:gridSpan w:val="3"/>
            <w:tcBorders>
              <w:bottom w:val="single" w:sz="4" w:space="0" w:color="000000"/>
            </w:tcBorders>
          </w:tcPr>
          <w:p w:rsidR="00314B92" w:rsidRDefault="00AD5F81">
            <w:pPr>
              <w:pStyle w:val="Normal1"/>
              <w:spacing w:line="360" w:lineRule="auto"/>
              <w:jc w:val="both"/>
              <w:rPr>
                <w:sz w:val="24"/>
                <w:szCs w:val="24"/>
              </w:rPr>
            </w:pPr>
            <w:r>
              <w:rPr>
                <w:noProof/>
              </w:rPr>
              <w:drawing>
                <wp:inline distT="0" distB="0" distL="0" distR="0">
                  <wp:extent cx="3124200" cy="2286000"/>
                  <wp:effectExtent l="0" t="0" r="0" b="0"/>
                  <wp:docPr id="49"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11" cstate="print"/>
                          <a:srcRect/>
                          <a:stretch>
                            <a:fillRect/>
                          </a:stretch>
                        </pic:blipFill>
                        <pic:spPr>
                          <a:xfrm>
                            <a:off x="0" y="0"/>
                            <a:ext cx="3124200" cy="2286000"/>
                          </a:xfrm>
                          <a:prstGeom prst="rect">
                            <a:avLst/>
                          </a:prstGeom>
                          <a:ln/>
                        </pic:spPr>
                      </pic:pic>
                    </a:graphicData>
                  </a:graphic>
                </wp:inline>
              </w:drawing>
            </w:r>
          </w:p>
        </w:tc>
        <w:tc>
          <w:tcPr>
            <w:tcW w:w="236" w:type="dxa"/>
            <w:tcBorders>
              <w:top w:val="nil"/>
              <w:bottom w:val="nil"/>
              <w:right w:val="nil"/>
            </w:tcBorders>
          </w:tcPr>
          <w:p w:rsidR="00314B92" w:rsidRDefault="00314B92">
            <w:pPr>
              <w:pStyle w:val="Normal1"/>
              <w:spacing w:line="360" w:lineRule="auto"/>
              <w:jc w:val="both"/>
              <w:rPr>
                <w:sz w:val="24"/>
                <w:szCs w:val="24"/>
              </w:rPr>
            </w:pPr>
          </w:p>
        </w:tc>
        <w:tc>
          <w:tcPr>
            <w:tcW w:w="3986" w:type="dxa"/>
            <w:gridSpan w:val="2"/>
            <w:vMerge w:val="restart"/>
            <w:tcBorders>
              <w:top w:val="nil"/>
              <w:left w:val="nil"/>
              <w:bottom w:val="nil"/>
              <w:right w:val="nil"/>
            </w:tcBorders>
          </w:tcPr>
          <w:p w:rsidR="00314B92" w:rsidRDefault="00AD5F81">
            <w:pPr>
              <w:pStyle w:val="Normal1"/>
              <w:spacing w:before="240" w:line="360" w:lineRule="auto"/>
            </w:pPr>
            <w:bookmarkStart w:id="3" w:name="_2et92p0" w:colFirst="0" w:colLast="0"/>
            <w:bookmarkEnd w:id="3"/>
            <w:r>
              <w:rPr>
                <w:sz w:val="24"/>
                <w:szCs w:val="24"/>
              </w:rPr>
              <w:t xml:space="preserve">De 1999 à 2015, le taux de mortalité néo-natale est passé de 41 à 23 </w:t>
            </w:r>
            <w:r>
              <w:rPr>
                <w:color w:val="000000"/>
                <w:sz w:val="24"/>
                <w:szCs w:val="24"/>
              </w:rPr>
              <w:t>‰</w:t>
            </w:r>
            <w:r>
              <w:rPr>
                <w:sz w:val="24"/>
                <w:szCs w:val="24"/>
              </w:rPr>
              <w:t xml:space="preserve">. </w:t>
            </w:r>
            <w:r>
              <w:rPr>
                <w:color w:val="000000"/>
                <w:sz w:val="24"/>
                <w:szCs w:val="24"/>
              </w:rPr>
              <w:t xml:space="preserve">Le niveau de réduction du </w:t>
            </w:r>
            <w:r>
              <w:rPr>
                <w:sz w:val="24"/>
                <w:szCs w:val="24"/>
              </w:rPr>
              <w:t xml:space="preserve">taux de mortalité néo-natale </w:t>
            </w:r>
            <w:r>
              <w:rPr>
                <w:color w:val="000000"/>
                <w:sz w:val="24"/>
                <w:szCs w:val="24"/>
              </w:rPr>
              <w:t xml:space="preserve">a été de </w:t>
            </w:r>
            <w:r>
              <w:rPr>
                <w:sz w:val="24"/>
                <w:szCs w:val="24"/>
              </w:rPr>
              <w:t>43,1 %. Cependant, ces progrès n’ont pas permis d’atteindre</w:t>
            </w:r>
            <w:r>
              <w:rPr>
                <w:color w:val="000000"/>
                <w:sz w:val="24"/>
                <w:szCs w:val="24"/>
              </w:rPr>
              <w:t xml:space="preserve"> la cible fixée dans le PNDS 2011-20</w:t>
            </w:r>
            <w:r>
              <w:rPr>
                <w:color w:val="000000"/>
                <w:sz w:val="24"/>
                <w:szCs w:val="24"/>
                <w:vertAlign w:val="superscript"/>
              </w:rPr>
              <w:footnoteReference w:id="21"/>
            </w:r>
            <w:r>
              <w:t>.</w:t>
            </w:r>
          </w:p>
        </w:tc>
      </w:tr>
      <w:tr w:rsidR="00314B92">
        <w:tc>
          <w:tcPr>
            <w:tcW w:w="5136" w:type="dxa"/>
            <w:gridSpan w:val="3"/>
            <w:tcBorders>
              <w:left w:val="nil"/>
              <w:bottom w:val="nil"/>
              <w:right w:val="nil"/>
            </w:tcBorders>
          </w:tcPr>
          <w:p w:rsidR="00314B92" w:rsidRDefault="00AD5F81">
            <w:pPr>
              <w:pStyle w:val="Normal1"/>
              <w:rPr>
                <w:b/>
                <w:sz w:val="20"/>
                <w:szCs w:val="20"/>
              </w:rPr>
            </w:pPr>
            <w:r>
              <w:rPr>
                <w:b/>
                <w:sz w:val="20"/>
                <w:szCs w:val="20"/>
              </w:rPr>
              <w:t>Figure 3 : Taux de mortalité néo-natale (/1000)</w:t>
            </w:r>
          </w:p>
          <w:p w:rsidR="00314B92" w:rsidRDefault="00314B92">
            <w:pPr>
              <w:pStyle w:val="Normal1"/>
              <w:rPr>
                <w:b/>
                <w:sz w:val="20"/>
                <w:szCs w:val="20"/>
              </w:rPr>
            </w:pPr>
          </w:p>
        </w:tc>
        <w:tc>
          <w:tcPr>
            <w:tcW w:w="236" w:type="dxa"/>
            <w:tcBorders>
              <w:top w:val="nil"/>
              <w:left w:val="nil"/>
              <w:bottom w:val="nil"/>
              <w:right w:val="nil"/>
            </w:tcBorders>
          </w:tcPr>
          <w:p w:rsidR="00314B92" w:rsidRDefault="00314B92">
            <w:pPr>
              <w:pStyle w:val="Normal1"/>
              <w:jc w:val="both"/>
              <w:rPr>
                <w:sz w:val="24"/>
                <w:szCs w:val="24"/>
              </w:rPr>
            </w:pPr>
          </w:p>
        </w:tc>
        <w:tc>
          <w:tcPr>
            <w:tcW w:w="3986" w:type="dxa"/>
            <w:gridSpan w:val="2"/>
            <w:vMerge/>
            <w:tcBorders>
              <w:top w:val="nil"/>
              <w:left w:val="nil"/>
              <w:bottom w:val="nil"/>
              <w:right w:val="nil"/>
            </w:tcBorders>
          </w:tcPr>
          <w:p w:rsidR="00314B92" w:rsidRDefault="00314B92">
            <w:pPr>
              <w:pStyle w:val="Normal1"/>
              <w:widowControl w:val="0"/>
              <w:pBdr>
                <w:top w:val="nil"/>
                <w:left w:val="nil"/>
                <w:bottom w:val="nil"/>
                <w:right w:val="nil"/>
                <w:between w:val="nil"/>
              </w:pBdr>
              <w:spacing w:line="276" w:lineRule="auto"/>
              <w:rPr>
                <w:sz w:val="24"/>
                <w:szCs w:val="24"/>
              </w:rPr>
            </w:pPr>
          </w:p>
        </w:tc>
      </w:tr>
      <w:tr w:rsidR="00314B92" w:rsidTr="006976E9">
        <w:trPr>
          <w:gridAfter w:val="1"/>
          <w:wAfter w:w="31" w:type="dxa"/>
          <w:trHeight w:val="3827"/>
        </w:trPr>
        <w:tc>
          <w:tcPr>
            <w:tcW w:w="4506" w:type="dxa"/>
            <w:tcBorders>
              <w:top w:val="nil"/>
              <w:left w:val="nil"/>
              <w:bottom w:val="nil"/>
              <w:right w:val="nil"/>
            </w:tcBorders>
          </w:tcPr>
          <w:p w:rsidR="00314B92" w:rsidRDefault="00AD5F81">
            <w:pPr>
              <w:pStyle w:val="Normal1"/>
              <w:spacing w:line="360" w:lineRule="auto"/>
              <w:jc w:val="both"/>
              <w:rPr>
                <w:b/>
                <w:sz w:val="24"/>
                <w:szCs w:val="24"/>
              </w:rPr>
            </w:pPr>
            <w:r>
              <w:rPr>
                <w:noProof/>
              </w:rPr>
              <w:drawing>
                <wp:inline distT="0" distB="0" distL="0" distR="0">
                  <wp:extent cx="2667000" cy="2095500"/>
                  <wp:effectExtent l="19050" t="19050" r="19050" b="19050"/>
                  <wp:docPr id="48"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12" cstate="print"/>
                          <a:srcRect b="-61"/>
                          <a:stretch>
                            <a:fillRect/>
                          </a:stretch>
                        </pic:blipFill>
                        <pic:spPr>
                          <a:xfrm>
                            <a:off x="0" y="0"/>
                            <a:ext cx="2670957" cy="2098609"/>
                          </a:xfrm>
                          <a:prstGeom prst="rect">
                            <a:avLst/>
                          </a:prstGeom>
                          <a:ln w="6350">
                            <a:solidFill>
                              <a:srgbClr val="000000"/>
                            </a:solidFill>
                            <a:prstDash val="solid"/>
                          </a:ln>
                        </pic:spPr>
                      </pic:pic>
                    </a:graphicData>
                  </a:graphic>
                </wp:inline>
              </w:drawing>
            </w:r>
          </w:p>
          <w:p w:rsidR="00314B92" w:rsidRDefault="00AD5F81">
            <w:pPr>
              <w:pStyle w:val="Normal1"/>
              <w:jc w:val="both"/>
              <w:rPr>
                <w:b/>
                <w:sz w:val="18"/>
                <w:szCs w:val="18"/>
              </w:rPr>
            </w:pPr>
            <w:r>
              <w:rPr>
                <w:b/>
                <w:sz w:val="18"/>
                <w:szCs w:val="18"/>
              </w:rPr>
              <w:t>Figure 4 : Taux de mortalité Néonatale par région</w:t>
            </w:r>
            <w:r>
              <w:rPr>
                <w:b/>
                <w:sz w:val="18"/>
                <w:szCs w:val="18"/>
                <w:vertAlign w:val="superscript"/>
              </w:rPr>
              <w:footnoteReference w:id="22"/>
            </w:r>
          </w:p>
        </w:tc>
        <w:tc>
          <w:tcPr>
            <w:tcW w:w="236" w:type="dxa"/>
            <w:tcBorders>
              <w:top w:val="nil"/>
              <w:left w:val="nil"/>
              <w:bottom w:val="nil"/>
              <w:right w:val="nil"/>
            </w:tcBorders>
          </w:tcPr>
          <w:p w:rsidR="00314B92" w:rsidRDefault="00314B92">
            <w:pPr>
              <w:pStyle w:val="Normal1"/>
              <w:jc w:val="both"/>
              <w:rPr>
                <w:sz w:val="24"/>
                <w:szCs w:val="24"/>
              </w:rPr>
            </w:pPr>
          </w:p>
        </w:tc>
        <w:tc>
          <w:tcPr>
            <w:tcW w:w="4585" w:type="dxa"/>
            <w:gridSpan w:val="3"/>
            <w:tcBorders>
              <w:top w:val="nil"/>
              <w:left w:val="nil"/>
              <w:bottom w:val="nil"/>
              <w:right w:val="nil"/>
            </w:tcBorders>
          </w:tcPr>
          <w:p w:rsidR="006976E9" w:rsidRDefault="006976E9">
            <w:pPr>
              <w:pStyle w:val="Normal1"/>
              <w:pBdr>
                <w:top w:val="nil"/>
                <w:left w:val="nil"/>
                <w:bottom w:val="nil"/>
                <w:right w:val="nil"/>
                <w:between w:val="nil"/>
              </w:pBdr>
              <w:spacing w:line="276" w:lineRule="auto"/>
              <w:ind w:hanging="720"/>
              <w:jc w:val="both"/>
              <w:rPr>
                <w:color w:val="000000"/>
                <w:sz w:val="24"/>
                <w:szCs w:val="24"/>
              </w:rPr>
            </w:pPr>
            <w:r>
              <w:rPr>
                <w:color w:val="000000"/>
                <w:sz w:val="24"/>
                <w:szCs w:val="24"/>
              </w:rPr>
              <w:t xml:space="preserve">Les                   </w:t>
            </w:r>
          </w:p>
          <w:p w:rsidR="00314B92" w:rsidRDefault="006976E9">
            <w:pPr>
              <w:pStyle w:val="Normal1"/>
              <w:pBdr>
                <w:top w:val="nil"/>
                <w:left w:val="nil"/>
                <w:bottom w:val="nil"/>
                <w:right w:val="nil"/>
                <w:between w:val="nil"/>
              </w:pBdr>
              <w:spacing w:line="276" w:lineRule="auto"/>
              <w:ind w:hanging="720"/>
              <w:jc w:val="both"/>
              <w:rPr>
                <w:color w:val="000000"/>
                <w:sz w:val="24"/>
                <w:szCs w:val="24"/>
              </w:rPr>
            </w:pPr>
            <w:r>
              <w:rPr>
                <w:color w:val="000000"/>
                <w:sz w:val="24"/>
                <w:szCs w:val="24"/>
              </w:rPr>
              <w:t xml:space="preserve">            Les ré</w:t>
            </w:r>
            <w:r w:rsidR="00AD5F81">
              <w:rPr>
                <w:color w:val="000000"/>
                <w:sz w:val="24"/>
                <w:szCs w:val="24"/>
              </w:rPr>
              <w:t>gions du Sahel (41 ‰), des Hauts-Bassins (40 ‰), de la Boucle du Mouhoun (34 ‰) et de l’Est (31 ‰), affichent des taux de mortalité néo-natale très élevés, au-dessus de la moyenne nationale qui se situent à 25 pour 1000 naissances vivantes.</w:t>
            </w:r>
          </w:p>
          <w:p w:rsidR="00314B92" w:rsidRDefault="00AD5F81">
            <w:pPr>
              <w:pStyle w:val="Normal1"/>
              <w:pBdr>
                <w:top w:val="nil"/>
                <w:left w:val="nil"/>
                <w:bottom w:val="nil"/>
                <w:right w:val="nil"/>
                <w:between w:val="nil"/>
              </w:pBdr>
              <w:spacing w:line="276" w:lineRule="auto"/>
              <w:ind w:hanging="720"/>
              <w:jc w:val="both"/>
              <w:rPr>
                <w:color w:val="000000"/>
                <w:sz w:val="24"/>
                <w:szCs w:val="24"/>
              </w:rPr>
            </w:pPr>
            <w:bookmarkStart w:id="4" w:name="_tyjcwt" w:colFirst="0" w:colLast="0"/>
            <w:bookmarkEnd w:id="4"/>
            <w:r>
              <w:rPr>
                <w:color w:val="000000"/>
                <w:sz w:val="24"/>
                <w:szCs w:val="24"/>
              </w:rPr>
              <w:t xml:space="preserve">Cette mortalité néo-natale est plus élevée dans les populations vivant en zone rurale (28 ‰). </w:t>
            </w:r>
          </w:p>
          <w:p w:rsidR="00314B92" w:rsidRDefault="00314B92">
            <w:pPr>
              <w:pStyle w:val="Normal1"/>
              <w:pBdr>
                <w:top w:val="nil"/>
                <w:left w:val="nil"/>
                <w:bottom w:val="nil"/>
                <w:right w:val="nil"/>
                <w:between w:val="nil"/>
              </w:pBdr>
              <w:spacing w:line="276" w:lineRule="auto"/>
              <w:ind w:hanging="720"/>
              <w:jc w:val="both"/>
              <w:rPr>
                <w:color w:val="000000"/>
                <w:sz w:val="24"/>
                <w:szCs w:val="24"/>
              </w:rPr>
            </w:pPr>
          </w:p>
          <w:p w:rsidR="00314B92" w:rsidRDefault="00314B92">
            <w:pPr>
              <w:pStyle w:val="Normal1"/>
              <w:pBdr>
                <w:top w:val="nil"/>
                <w:left w:val="nil"/>
                <w:bottom w:val="nil"/>
                <w:right w:val="nil"/>
                <w:between w:val="nil"/>
              </w:pBdr>
              <w:spacing w:after="200" w:line="276" w:lineRule="auto"/>
              <w:ind w:hanging="720"/>
              <w:jc w:val="both"/>
              <w:rPr>
                <w:color w:val="000000"/>
              </w:rPr>
            </w:pPr>
          </w:p>
        </w:tc>
      </w:tr>
    </w:tbl>
    <w:p w:rsidR="00314B92" w:rsidRDefault="00AD5F81">
      <w:pPr>
        <w:pStyle w:val="Normal1"/>
        <w:spacing w:before="240" w:after="0"/>
        <w:jc w:val="both"/>
        <w:rPr>
          <w:sz w:val="24"/>
          <w:szCs w:val="24"/>
        </w:rPr>
      </w:pPr>
      <w:r>
        <w:rPr>
          <w:sz w:val="24"/>
          <w:szCs w:val="24"/>
        </w:rPr>
        <w:t xml:space="preserve">Le taux de décès chez les populations défavorisées est de 28 </w:t>
      </w:r>
      <w:r>
        <w:rPr>
          <w:color w:val="000000"/>
          <w:sz w:val="24"/>
          <w:szCs w:val="24"/>
        </w:rPr>
        <w:t>‰ contre</w:t>
      </w:r>
      <w:r>
        <w:rPr>
          <w:sz w:val="24"/>
          <w:szCs w:val="24"/>
        </w:rPr>
        <w:t xml:space="preserve"> 25 </w:t>
      </w:r>
      <w:r>
        <w:rPr>
          <w:color w:val="000000"/>
          <w:sz w:val="24"/>
          <w:szCs w:val="24"/>
        </w:rPr>
        <w:t>‰ dans</w:t>
      </w:r>
      <w:r>
        <w:rPr>
          <w:sz w:val="24"/>
          <w:szCs w:val="24"/>
        </w:rPr>
        <w:t xml:space="preserve"> la population la plus riche, avec 3 points de différence.</w:t>
      </w:r>
    </w:p>
    <w:p w:rsidR="00314B92" w:rsidRDefault="00AD5F81">
      <w:pPr>
        <w:pStyle w:val="Normal1"/>
        <w:jc w:val="both"/>
        <w:rPr>
          <w:sz w:val="24"/>
          <w:szCs w:val="24"/>
        </w:rPr>
      </w:pPr>
      <w:r>
        <w:rPr>
          <w:sz w:val="24"/>
          <w:szCs w:val="24"/>
        </w:rPr>
        <w:lastRenderedPageBreak/>
        <w:t>Le facteur d’iniquité le plus important concernant la mortalité néo-natale réside au niveau de la répartition géographique.</w:t>
      </w:r>
    </w:p>
    <w:p w:rsidR="00314B92" w:rsidRDefault="00AD5F81">
      <w:pPr>
        <w:pStyle w:val="Normal1"/>
        <w:spacing w:before="240" w:after="0"/>
        <w:rPr>
          <w:b/>
          <w:u w:val="single"/>
        </w:rPr>
      </w:pPr>
      <w:r>
        <w:rPr>
          <w:b/>
          <w:u w:val="single"/>
        </w:rPr>
        <w:t>Les causes de la mortalité néo-natale</w:t>
      </w:r>
    </w:p>
    <w:p w:rsidR="00314B92" w:rsidRDefault="00AD5F81">
      <w:pPr>
        <w:pStyle w:val="Normal1"/>
        <w:jc w:val="both"/>
        <w:rPr>
          <w:sz w:val="23"/>
          <w:szCs w:val="23"/>
        </w:rPr>
      </w:pPr>
      <w:r>
        <w:rPr>
          <w:sz w:val="23"/>
          <w:szCs w:val="23"/>
        </w:rPr>
        <w:t>Au cours de la période néonatale, les causes de morbidité et de mortalité sont essentiellement les infections sévères et la pneumonie (21%), la prématurité et le faible poids à la naissance (32.4%) et les complications intra-partum (27%).</w:t>
      </w:r>
    </w:p>
    <w:p w:rsidR="00314B92" w:rsidRDefault="00AD5F81">
      <w:pPr>
        <w:pStyle w:val="Normal1"/>
        <w:spacing w:before="52" w:after="0" w:line="250" w:lineRule="auto"/>
        <w:ind w:right="370"/>
        <w:rPr>
          <w:sz w:val="23"/>
          <w:szCs w:val="23"/>
        </w:rPr>
      </w:pPr>
      <w:bookmarkStart w:id="5" w:name="_3dy6vkm" w:colFirst="0" w:colLast="0"/>
      <w:bookmarkEnd w:id="5"/>
      <w:r>
        <w:rPr>
          <w:sz w:val="24"/>
          <w:szCs w:val="24"/>
        </w:rPr>
        <w:t>La malnutrition est associée à la mortalité néonatale.</w:t>
      </w:r>
      <w:r>
        <w:rPr>
          <w:sz w:val="23"/>
          <w:szCs w:val="23"/>
        </w:rPr>
        <w:t xml:space="preserve">  Le gain de poids insuffisant pendant la grossesse est associé avec risque de faible poids à naissance de l’enfant.</w:t>
      </w:r>
      <w:r>
        <w:rPr>
          <w:sz w:val="23"/>
          <w:szCs w:val="23"/>
          <w:vertAlign w:val="superscript"/>
        </w:rPr>
        <w:footnoteReference w:id="23"/>
      </w:r>
      <w:r>
        <w:rPr>
          <w:sz w:val="23"/>
          <w:szCs w:val="23"/>
        </w:rPr>
        <w:t xml:space="preserve"> </w:t>
      </w:r>
    </w:p>
    <w:p w:rsidR="00314B92" w:rsidRDefault="00AD5F81">
      <w:pPr>
        <w:pStyle w:val="Normal1"/>
        <w:spacing w:before="52" w:line="250" w:lineRule="auto"/>
        <w:ind w:right="370"/>
        <w:rPr>
          <w:sz w:val="23"/>
          <w:szCs w:val="23"/>
        </w:rPr>
      </w:pPr>
      <w:r>
        <w:rPr>
          <w:sz w:val="23"/>
          <w:szCs w:val="23"/>
        </w:rPr>
        <w:t>Les carences en micronutriments sont liées à la mortalité et morbidité infantile et au retard de croissance intra-utérin</w:t>
      </w:r>
      <w:r>
        <w:rPr>
          <w:sz w:val="23"/>
          <w:szCs w:val="23"/>
          <w:vertAlign w:val="superscript"/>
        </w:rPr>
        <w:footnoteReference w:id="24"/>
      </w:r>
      <w:r>
        <w:rPr>
          <w:sz w:val="23"/>
          <w:szCs w:val="23"/>
          <w:vertAlign w:val="superscript"/>
        </w:rPr>
        <w:t>-</w:t>
      </w:r>
      <w:r>
        <w:rPr>
          <w:sz w:val="23"/>
          <w:szCs w:val="23"/>
          <w:vertAlign w:val="superscript"/>
        </w:rPr>
        <w:footnoteReference w:id="25"/>
      </w:r>
      <w:r>
        <w:rPr>
          <w:sz w:val="23"/>
          <w:szCs w:val="23"/>
        </w:rPr>
        <w:t>.</w:t>
      </w:r>
    </w:p>
    <w:p w:rsidR="00314B92" w:rsidRDefault="00AD5F81" w:rsidP="005D02C3">
      <w:pPr>
        <w:pStyle w:val="Normal1"/>
        <w:numPr>
          <w:ilvl w:val="2"/>
          <w:numId w:val="120"/>
        </w:numPr>
        <w:pBdr>
          <w:top w:val="nil"/>
          <w:left w:val="nil"/>
          <w:bottom w:val="nil"/>
          <w:right w:val="nil"/>
          <w:between w:val="nil"/>
        </w:pBdr>
        <w:spacing w:after="0" w:line="360" w:lineRule="auto"/>
        <w:jc w:val="both"/>
        <w:rPr>
          <w:color w:val="000000"/>
          <w:sz w:val="24"/>
          <w:szCs w:val="24"/>
        </w:rPr>
      </w:pPr>
      <w:r>
        <w:rPr>
          <w:color w:val="000000"/>
          <w:sz w:val="24"/>
          <w:szCs w:val="24"/>
        </w:rPr>
        <w:t>LA MORTALITE INFANTO-JUVENILE</w:t>
      </w:r>
    </w:p>
    <w:tbl>
      <w:tblPr>
        <w:tblStyle w:val="a8"/>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7"/>
        <w:gridCol w:w="252"/>
        <w:gridCol w:w="4529"/>
      </w:tblGrid>
      <w:tr w:rsidR="00314B92">
        <w:tc>
          <w:tcPr>
            <w:tcW w:w="4507" w:type="dxa"/>
            <w:tcBorders>
              <w:bottom w:val="single" w:sz="4" w:space="0" w:color="000000"/>
            </w:tcBorders>
          </w:tcPr>
          <w:p w:rsidR="00314B92" w:rsidRDefault="00AD5F81">
            <w:pPr>
              <w:pStyle w:val="Normal1"/>
              <w:spacing w:line="360" w:lineRule="auto"/>
              <w:jc w:val="both"/>
              <w:rPr>
                <w:b/>
                <w:sz w:val="24"/>
                <w:szCs w:val="24"/>
              </w:rPr>
            </w:pPr>
            <w:r>
              <w:rPr>
                <w:noProof/>
              </w:rPr>
              <w:drawing>
                <wp:inline distT="0" distB="0" distL="0" distR="0">
                  <wp:extent cx="2814762" cy="2219325"/>
                  <wp:effectExtent l="0" t="0" r="0" b="0"/>
                  <wp:docPr id="51"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13" cstate="print"/>
                          <a:srcRect/>
                          <a:stretch>
                            <a:fillRect/>
                          </a:stretch>
                        </pic:blipFill>
                        <pic:spPr>
                          <a:xfrm>
                            <a:off x="0" y="0"/>
                            <a:ext cx="2814762" cy="2219325"/>
                          </a:xfrm>
                          <a:prstGeom prst="rect">
                            <a:avLst/>
                          </a:prstGeom>
                          <a:ln/>
                        </pic:spPr>
                      </pic:pic>
                    </a:graphicData>
                  </a:graphic>
                </wp:inline>
              </w:drawing>
            </w:r>
            <w:r w:rsidR="00A06EBD">
              <w:rPr>
                <w:noProof/>
              </w:rPr>
              <w:drawing>
                <wp:anchor distT="0" distB="0" distL="114300" distR="114300" simplePos="0" relativeHeight="251603456" behindDoc="0" locked="0" layoutInCell="1" hidden="0" allowOverlap="1">
                  <wp:simplePos x="0" y="0"/>
                  <wp:positionH relativeFrom="column">
                    <wp:posOffset>2209800</wp:posOffset>
                  </wp:positionH>
                  <wp:positionV relativeFrom="paragraph">
                    <wp:posOffset>1727200</wp:posOffset>
                  </wp:positionV>
                  <wp:extent cx="425450" cy="320675"/>
                  <wp:effectExtent l="0" t="0" r="0" b="0"/>
                  <wp:wrapNone/>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425450" cy="320675"/>
                          </a:xfrm>
                          <a:prstGeom prst="rect">
                            <a:avLst/>
                          </a:prstGeom>
                          <a:ln/>
                        </pic:spPr>
                      </pic:pic>
                    </a:graphicData>
                  </a:graphic>
                </wp:anchor>
              </w:drawing>
            </w:r>
          </w:p>
        </w:tc>
        <w:tc>
          <w:tcPr>
            <w:tcW w:w="252" w:type="dxa"/>
            <w:tcBorders>
              <w:top w:val="nil"/>
              <w:bottom w:val="nil"/>
            </w:tcBorders>
          </w:tcPr>
          <w:p w:rsidR="00314B92" w:rsidRDefault="00314B92">
            <w:pPr>
              <w:pStyle w:val="Normal1"/>
              <w:spacing w:line="360" w:lineRule="auto"/>
              <w:jc w:val="both"/>
              <w:rPr>
                <w:b/>
                <w:sz w:val="24"/>
                <w:szCs w:val="24"/>
              </w:rPr>
            </w:pPr>
          </w:p>
        </w:tc>
        <w:tc>
          <w:tcPr>
            <w:tcW w:w="4529" w:type="dxa"/>
            <w:tcBorders>
              <w:bottom w:val="single" w:sz="4" w:space="0" w:color="000000"/>
            </w:tcBorders>
          </w:tcPr>
          <w:p w:rsidR="00314B92" w:rsidRDefault="00AD5F81">
            <w:pPr>
              <w:pStyle w:val="Normal1"/>
              <w:jc w:val="both"/>
              <w:rPr>
                <w:b/>
                <w:sz w:val="24"/>
                <w:szCs w:val="24"/>
              </w:rPr>
            </w:pPr>
            <w:r>
              <w:rPr>
                <w:noProof/>
              </w:rPr>
              <w:drawing>
                <wp:inline distT="0" distB="0" distL="0" distR="0">
                  <wp:extent cx="2781300" cy="2238375"/>
                  <wp:effectExtent l="0" t="0" r="0" b="0"/>
                  <wp:docPr id="50"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5" cstate="print"/>
                          <a:srcRect/>
                          <a:stretch>
                            <a:fillRect/>
                          </a:stretch>
                        </pic:blipFill>
                        <pic:spPr>
                          <a:xfrm>
                            <a:off x="0" y="0"/>
                            <a:ext cx="2781300" cy="2238375"/>
                          </a:xfrm>
                          <a:prstGeom prst="rect">
                            <a:avLst/>
                          </a:prstGeom>
                          <a:ln/>
                        </pic:spPr>
                      </pic:pic>
                    </a:graphicData>
                  </a:graphic>
                </wp:inline>
              </w:drawing>
            </w:r>
          </w:p>
        </w:tc>
      </w:tr>
      <w:tr w:rsidR="00314B92">
        <w:trPr>
          <w:trHeight w:val="200"/>
        </w:trPr>
        <w:tc>
          <w:tcPr>
            <w:tcW w:w="4507" w:type="dxa"/>
            <w:tcBorders>
              <w:left w:val="nil"/>
              <w:right w:val="nil"/>
            </w:tcBorders>
          </w:tcPr>
          <w:p w:rsidR="00314B92" w:rsidRDefault="00314B92">
            <w:pPr>
              <w:pStyle w:val="Normal1"/>
              <w:rPr>
                <w:b/>
                <w:sz w:val="20"/>
                <w:szCs w:val="20"/>
              </w:rPr>
            </w:pPr>
          </w:p>
        </w:tc>
        <w:tc>
          <w:tcPr>
            <w:tcW w:w="252" w:type="dxa"/>
            <w:tcBorders>
              <w:top w:val="nil"/>
              <w:left w:val="nil"/>
              <w:bottom w:val="nil"/>
              <w:right w:val="nil"/>
            </w:tcBorders>
          </w:tcPr>
          <w:p w:rsidR="00314B92" w:rsidRDefault="00314B92">
            <w:pPr>
              <w:pStyle w:val="Normal1"/>
              <w:jc w:val="both"/>
              <w:rPr>
                <w:b/>
                <w:sz w:val="24"/>
                <w:szCs w:val="24"/>
              </w:rPr>
            </w:pPr>
          </w:p>
        </w:tc>
        <w:tc>
          <w:tcPr>
            <w:tcW w:w="4529" w:type="dxa"/>
            <w:tcBorders>
              <w:left w:val="nil"/>
              <w:bottom w:val="single" w:sz="4" w:space="0" w:color="000000"/>
              <w:right w:val="nil"/>
            </w:tcBorders>
          </w:tcPr>
          <w:p w:rsidR="00314B92" w:rsidRDefault="00314B92">
            <w:pPr>
              <w:pStyle w:val="Normal1"/>
              <w:jc w:val="both"/>
              <w:rPr>
                <w:b/>
                <w:sz w:val="24"/>
                <w:szCs w:val="24"/>
              </w:rPr>
            </w:pPr>
          </w:p>
        </w:tc>
      </w:tr>
      <w:tr w:rsidR="00314B92">
        <w:tc>
          <w:tcPr>
            <w:tcW w:w="4507" w:type="dxa"/>
            <w:tcBorders>
              <w:bottom w:val="single" w:sz="4" w:space="0" w:color="000000"/>
            </w:tcBorders>
          </w:tcPr>
          <w:p w:rsidR="00314B92" w:rsidRDefault="00AD5F81">
            <w:pPr>
              <w:pStyle w:val="Normal1"/>
              <w:spacing w:line="360" w:lineRule="auto"/>
              <w:jc w:val="both"/>
            </w:pPr>
            <w:r>
              <w:rPr>
                <w:noProof/>
              </w:rPr>
              <w:drawing>
                <wp:inline distT="0" distB="0" distL="0" distR="0">
                  <wp:extent cx="2790825" cy="2043485"/>
                  <wp:effectExtent l="0" t="0" r="0" b="0"/>
                  <wp:docPr id="53"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6" cstate="print"/>
                          <a:srcRect/>
                          <a:stretch>
                            <a:fillRect/>
                          </a:stretch>
                        </pic:blipFill>
                        <pic:spPr>
                          <a:xfrm>
                            <a:off x="0" y="0"/>
                            <a:ext cx="2790825" cy="2043485"/>
                          </a:xfrm>
                          <a:prstGeom prst="rect">
                            <a:avLst/>
                          </a:prstGeom>
                          <a:ln/>
                        </pic:spPr>
                      </pic:pic>
                    </a:graphicData>
                  </a:graphic>
                </wp:inline>
              </w:drawing>
            </w:r>
          </w:p>
        </w:tc>
        <w:tc>
          <w:tcPr>
            <w:tcW w:w="252" w:type="dxa"/>
            <w:tcBorders>
              <w:top w:val="nil"/>
              <w:bottom w:val="nil"/>
              <w:right w:val="single" w:sz="4" w:space="0" w:color="000000"/>
            </w:tcBorders>
          </w:tcPr>
          <w:p w:rsidR="00314B92" w:rsidRDefault="00314B92">
            <w:pPr>
              <w:pStyle w:val="Normal1"/>
              <w:spacing w:line="360" w:lineRule="auto"/>
              <w:jc w:val="both"/>
              <w:rPr>
                <w:b/>
                <w:sz w:val="24"/>
                <w:szCs w:val="24"/>
              </w:rPr>
            </w:pPr>
          </w:p>
        </w:tc>
        <w:tc>
          <w:tcPr>
            <w:tcW w:w="4529" w:type="dxa"/>
            <w:tcBorders>
              <w:top w:val="single" w:sz="4" w:space="0" w:color="000000"/>
              <w:left w:val="single" w:sz="4" w:space="0" w:color="000000"/>
              <w:bottom w:val="single" w:sz="4" w:space="0" w:color="000000"/>
              <w:right w:val="single" w:sz="4" w:space="0" w:color="000000"/>
            </w:tcBorders>
          </w:tcPr>
          <w:p w:rsidR="00314B92" w:rsidRDefault="00AD5F81">
            <w:pPr>
              <w:pStyle w:val="Normal1"/>
              <w:jc w:val="both"/>
              <w:rPr>
                <w:sz w:val="24"/>
                <w:szCs w:val="24"/>
              </w:rPr>
            </w:pPr>
            <w:r>
              <w:rPr>
                <w:noProof/>
                <w:u w:val="single"/>
              </w:rPr>
              <w:drawing>
                <wp:inline distT="0" distB="0" distL="0" distR="0">
                  <wp:extent cx="2738755" cy="2043430"/>
                  <wp:effectExtent l="0" t="0" r="0" b="0"/>
                  <wp:docPr id="52"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17" cstate="print"/>
                          <a:srcRect b="-31"/>
                          <a:stretch>
                            <a:fillRect/>
                          </a:stretch>
                        </pic:blipFill>
                        <pic:spPr>
                          <a:xfrm>
                            <a:off x="0" y="0"/>
                            <a:ext cx="2738755" cy="2043430"/>
                          </a:xfrm>
                          <a:prstGeom prst="rect">
                            <a:avLst/>
                          </a:prstGeom>
                          <a:ln/>
                        </pic:spPr>
                      </pic:pic>
                    </a:graphicData>
                  </a:graphic>
                </wp:inline>
              </w:drawing>
            </w:r>
            <w:r w:rsidR="00A06EBD">
              <w:rPr>
                <w:noProof/>
              </w:rPr>
              <mc:AlternateContent>
                <mc:Choice Requires="wps">
                  <w:drawing>
                    <wp:anchor distT="0" distB="0" distL="114300" distR="114300" simplePos="0" relativeHeight="251604480" behindDoc="0" locked="0" layoutInCell="1" hidden="0" allowOverlap="1">
                      <wp:simplePos x="0" y="0"/>
                      <wp:positionH relativeFrom="column">
                        <wp:posOffset>2260600</wp:posOffset>
                      </wp:positionH>
                      <wp:positionV relativeFrom="paragraph">
                        <wp:posOffset>1587500</wp:posOffset>
                      </wp:positionV>
                      <wp:extent cx="406400" cy="377825"/>
                      <wp:effectExtent l="0" t="0" r="0" b="0"/>
                      <wp:wrapNone/>
                      <wp:docPr id="16" name="Rectangle à coins arrondis 16"/>
                      <wp:cNvGraphicFramePr/>
                      <a:graphic xmlns:a="http://schemas.openxmlformats.org/drawingml/2006/main">
                        <a:graphicData uri="http://schemas.microsoft.com/office/word/2010/wordprocessingShape">
                          <wps:wsp>
                            <wps:cNvSpPr/>
                            <wps:spPr>
                              <a:xfrm>
                                <a:off x="5155500" y="3603788"/>
                                <a:ext cx="381000" cy="352425"/>
                              </a:xfrm>
                              <a:prstGeom prst="roundRect">
                                <a:avLst>
                                  <a:gd name="adj" fmla="val 16667"/>
                                </a:avLst>
                              </a:prstGeom>
                              <a:solidFill>
                                <a:schemeClr val="accent1"/>
                              </a:solidFill>
                              <a:ln w="25400" cap="flat" cmpd="sng">
                                <a:solidFill>
                                  <a:srgbClr val="395E89"/>
                                </a:solidFill>
                                <a:prstDash val="solid"/>
                                <a:round/>
                                <a:headEnd type="none" w="sm" len="sm"/>
                                <a:tailEnd type="none" w="sm" len="sm"/>
                              </a:ln>
                            </wps:spPr>
                            <wps:txbx>
                              <w:txbxContent>
                                <w:p w:rsidR="00424DD6" w:rsidRDefault="00A06EBD">
                                  <w:pPr>
                                    <w:spacing w:line="275" w:lineRule="auto"/>
                                    <w:jc w:val="center"/>
                                    <w:textDirection w:val="btLr"/>
                                  </w:pPr>
                                  <w:r>
                                    <w:rPr>
                                      <w:color w:val="000000"/>
                                    </w:rPr>
                                    <w:t>D</w:t>
                                  </w:r>
                                </w:p>
                              </w:txbxContent>
                            </wps:txbx>
                            <wps:bodyPr spcFirstLastPara="1" wrap="square" lIns="91425" tIns="45700" rIns="91425" bIns="45700" anchor="ctr" anchorCtr="0"/>
                          </wps:wsp>
                        </a:graphicData>
                      </a:graphic>
                    </wp:anchor>
                  </w:drawing>
                </mc:Choice>
                <mc:Fallback>
                  <w:pict>
                    <v:roundrect id="Rectangle à coins arrondis 16" o:spid="_x0000_s1035" style="position:absolute;left:0;text-align:left;margin-left:178pt;margin-top:125pt;width:32pt;height:29.75pt;z-index:251604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" fillcolor="#4f81bd [3204]" strokecolor="#395e89" strokeweight="2pt">
                      <v:stroke startarrowwidth="narrow" startarrowlength="short" endarrowwidth="narrow" endarrowlength="short"/>
                      <v:textbox inset="2.53958mm,1.2694mm,2.53958mm,1.2694mm">
                        <w:txbxContent>
                          <w:p w:rsidR="00424DD6" w:rsidRDefault="00A06EBD">
                            <w:pPr>
                              <w:spacing w:line="275" w:lineRule="auto"/>
                              <w:jc w:val="center"/>
                              <w:textDirection w:val="btLr"/>
                            </w:pPr>
                            <w:r>
                              <w:rPr>
                                <w:color w:val="000000"/>
                              </w:rPr>
                              <w:t>D</w:t>
                            </w:r>
                          </w:p>
                        </w:txbxContent>
                      </v:textbox>
                    </v:roundrect>
                  </w:pict>
                </mc:Fallback>
              </mc:AlternateContent>
            </w:r>
          </w:p>
        </w:tc>
      </w:tr>
      <w:tr w:rsidR="00314B92">
        <w:tc>
          <w:tcPr>
            <w:tcW w:w="4507" w:type="dxa"/>
            <w:tcBorders>
              <w:left w:val="nil"/>
              <w:bottom w:val="nil"/>
              <w:right w:val="nil"/>
            </w:tcBorders>
          </w:tcPr>
          <w:p w:rsidR="00314B92" w:rsidRDefault="00AD5F81">
            <w:pPr>
              <w:pStyle w:val="Normal1"/>
              <w:jc w:val="both"/>
              <w:rPr>
                <w:b/>
                <w:sz w:val="20"/>
                <w:szCs w:val="20"/>
              </w:rPr>
            </w:pPr>
            <w:r>
              <w:rPr>
                <w:b/>
                <w:sz w:val="20"/>
                <w:szCs w:val="20"/>
              </w:rPr>
              <w:t>Figure 5 : Evolution de la mortalité infanto-juvénile</w:t>
            </w:r>
          </w:p>
        </w:tc>
        <w:tc>
          <w:tcPr>
            <w:tcW w:w="252" w:type="dxa"/>
            <w:tcBorders>
              <w:top w:val="nil"/>
              <w:left w:val="nil"/>
              <w:bottom w:val="nil"/>
              <w:right w:val="nil"/>
            </w:tcBorders>
          </w:tcPr>
          <w:p w:rsidR="00314B92" w:rsidRDefault="00314B92">
            <w:pPr>
              <w:pStyle w:val="Normal1"/>
              <w:jc w:val="both"/>
              <w:rPr>
                <w:b/>
                <w:sz w:val="24"/>
                <w:szCs w:val="24"/>
              </w:rPr>
            </w:pPr>
          </w:p>
        </w:tc>
        <w:tc>
          <w:tcPr>
            <w:tcW w:w="4529" w:type="dxa"/>
            <w:tcBorders>
              <w:top w:val="single" w:sz="4" w:space="0" w:color="000000"/>
              <w:left w:val="nil"/>
              <w:bottom w:val="nil"/>
              <w:right w:val="nil"/>
            </w:tcBorders>
          </w:tcPr>
          <w:p w:rsidR="00314B92" w:rsidRDefault="00314B92">
            <w:pPr>
              <w:pStyle w:val="Normal1"/>
              <w:jc w:val="both"/>
              <w:rPr>
                <w:b/>
                <w:sz w:val="18"/>
                <w:szCs w:val="18"/>
              </w:rPr>
            </w:pPr>
          </w:p>
        </w:tc>
      </w:tr>
    </w:tbl>
    <w:p w:rsidR="00314B92" w:rsidRDefault="00314B92">
      <w:pPr>
        <w:pStyle w:val="Normal1"/>
        <w:spacing w:after="0" w:line="360" w:lineRule="auto"/>
        <w:jc w:val="both"/>
        <w:rPr>
          <w:sz w:val="23"/>
          <w:szCs w:val="23"/>
        </w:rPr>
      </w:pPr>
    </w:p>
    <w:p w:rsidR="00314B92" w:rsidRDefault="00AD5F81">
      <w:pPr>
        <w:pStyle w:val="Normal1"/>
        <w:spacing w:after="0"/>
        <w:jc w:val="both"/>
        <w:rPr>
          <w:color w:val="000000"/>
          <w:sz w:val="24"/>
          <w:szCs w:val="24"/>
        </w:rPr>
      </w:pPr>
      <w:bookmarkStart w:id="6" w:name="_1t3h5sf" w:colFirst="0" w:colLast="0"/>
      <w:bookmarkEnd w:id="6"/>
      <w:r>
        <w:rPr>
          <w:sz w:val="24"/>
          <w:szCs w:val="24"/>
        </w:rPr>
        <w:lastRenderedPageBreak/>
        <w:t>De 1999 à 2015, le taux de mortalité infantile est passé de 105 à 43</w:t>
      </w:r>
      <w:r>
        <w:rPr>
          <w:color w:val="000000"/>
          <w:sz w:val="24"/>
          <w:szCs w:val="24"/>
        </w:rPr>
        <w:t>‰</w:t>
      </w:r>
      <w:r>
        <w:rPr>
          <w:sz w:val="24"/>
          <w:szCs w:val="24"/>
        </w:rPr>
        <w:t>, le taux de mortalité juvénile de 127 à 41</w:t>
      </w:r>
      <w:r>
        <w:rPr>
          <w:color w:val="000000"/>
          <w:sz w:val="24"/>
          <w:szCs w:val="24"/>
        </w:rPr>
        <w:t>‰</w:t>
      </w:r>
      <w:r>
        <w:rPr>
          <w:sz w:val="24"/>
          <w:szCs w:val="24"/>
        </w:rPr>
        <w:t xml:space="preserve"> et celui de la mortalité de moins decinq  ans de 219 à 82</w:t>
      </w:r>
      <w:r>
        <w:rPr>
          <w:color w:val="000000"/>
          <w:sz w:val="24"/>
          <w:szCs w:val="24"/>
        </w:rPr>
        <w:t>‰</w:t>
      </w:r>
      <w:r>
        <w:rPr>
          <w:sz w:val="24"/>
          <w:szCs w:val="24"/>
        </w:rPr>
        <w:t xml:space="preserve">. La réduction des taux de mortalité a une allure linéaire avec </w:t>
      </w:r>
      <w:r>
        <w:rPr>
          <w:color w:val="000000"/>
          <w:sz w:val="24"/>
          <w:szCs w:val="24"/>
        </w:rPr>
        <w:t xml:space="preserve">67,9 % pour </w:t>
      </w:r>
      <w:r>
        <w:rPr>
          <w:sz w:val="24"/>
          <w:szCs w:val="24"/>
        </w:rPr>
        <w:t xml:space="preserve">le </w:t>
      </w:r>
      <w:r>
        <w:rPr>
          <w:color w:val="000000"/>
          <w:sz w:val="24"/>
          <w:szCs w:val="24"/>
        </w:rPr>
        <w:t xml:space="preserve">Taux de Mortalité juvénile, </w:t>
      </w:r>
      <w:r>
        <w:rPr>
          <w:sz w:val="24"/>
          <w:szCs w:val="24"/>
        </w:rPr>
        <w:t xml:space="preserve">62,7 % pour </w:t>
      </w:r>
      <w:r>
        <w:rPr>
          <w:color w:val="000000"/>
          <w:sz w:val="24"/>
          <w:szCs w:val="24"/>
        </w:rPr>
        <w:t xml:space="preserve">le Taux de mortalité </w:t>
      </w:r>
      <w:r>
        <w:rPr>
          <w:sz w:val="24"/>
          <w:szCs w:val="24"/>
        </w:rPr>
        <w:t xml:space="preserve">des &lt; 5 ans et </w:t>
      </w:r>
      <w:r>
        <w:rPr>
          <w:color w:val="000000"/>
          <w:sz w:val="24"/>
          <w:szCs w:val="24"/>
        </w:rPr>
        <w:t xml:space="preserve">59,4%) pour </w:t>
      </w:r>
      <w:r>
        <w:rPr>
          <w:sz w:val="24"/>
          <w:szCs w:val="24"/>
        </w:rPr>
        <w:t xml:space="preserve">le </w:t>
      </w:r>
      <w:r>
        <w:rPr>
          <w:color w:val="000000"/>
          <w:sz w:val="24"/>
          <w:szCs w:val="24"/>
        </w:rPr>
        <w:t xml:space="preserve">Taux de mortalité infantile. Cependant la progression est insuffisante pour atteindre la cible (2015) du PNDS 2011-20, ou celle des OMD </w:t>
      </w:r>
      <w:r>
        <w:rPr>
          <w:i/>
          <w:color w:val="000000"/>
          <w:sz w:val="24"/>
          <w:szCs w:val="24"/>
        </w:rPr>
        <w:t>(EDS 1998-99, EDS 2003, EDS 2010, EMDS 2015).</w:t>
      </w:r>
    </w:p>
    <w:p w:rsidR="00314B92" w:rsidRDefault="00AD5F81" w:rsidP="006976E9">
      <w:pPr>
        <w:pStyle w:val="Normal1"/>
        <w:pBdr>
          <w:top w:val="nil"/>
          <w:left w:val="nil"/>
          <w:bottom w:val="nil"/>
          <w:right w:val="nil"/>
          <w:between w:val="nil"/>
        </w:pBdr>
        <w:spacing w:after="0"/>
        <w:jc w:val="both"/>
        <w:rPr>
          <w:color w:val="000000"/>
          <w:sz w:val="24"/>
          <w:szCs w:val="24"/>
        </w:rPr>
      </w:pPr>
      <w:bookmarkStart w:id="7" w:name="_4d34og8" w:colFirst="0" w:colLast="0"/>
      <w:bookmarkEnd w:id="7"/>
      <w:r>
        <w:rPr>
          <w:color w:val="000000"/>
          <w:sz w:val="24"/>
          <w:szCs w:val="24"/>
        </w:rPr>
        <w:t>La mortalité des moins de cinq ans est élevée dans les régions du sahel (146</w:t>
      </w:r>
      <w:r>
        <w:rPr>
          <w:i/>
          <w:color w:val="000000"/>
          <w:sz w:val="24"/>
          <w:szCs w:val="24"/>
        </w:rPr>
        <w:t>‰</w:t>
      </w:r>
      <w:r>
        <w:rPr>
          <w:color w:val="000000"/>
          <w:sz w:val="24"/>
          <w:szCs w:val="24"/>
        </w:rPr>
        <w:t>), Hauts-Bassins (122</w:t>
      </w:r>
      <w:r>
        <w:rPr>
          <w:i/>
          <w:color w:val="000000"/>
          <w:sz w:val="24"/>
          <w:szCs w:val="24"/>
        </w:rPr>
        <w:t>‰</w:t>
      </w:r>
      <w:r>
        <w:rPr>
          <w:color w:val="000000"/>
          <w:sz w:val="24"/>
          <w:szCs w:val="24"/>
        </w:rPr>
        <w:t>), Boucle du Mouhoun (103</w:t>
      </w:r>
      <w:r>
        <w:rPr>
          <w:i/>
          <w:color w:val="000000"/>
          <w:sz w:val="24"/>
          <w:szCs w:val="24"/>
        </w:rPr>
        <w:t>‰</w:t>
      </w:r>
      <w:r>
        <w:rPr>
          <w:color w:val="000000"/>
          <w:sz w:val="24"/>
          <w:szCs w:val="24"/>
        </w:rPr>
        <w:t xml:space="preserve">), </w:t>
      </w:r>
      <w:r w:rsidR="006976E9">
        <w:rPr>
          <w:color w:val="000000"/>
          <w:sz w:val="24"/>
          <w:szCs w:val="24"/>
        </w:rPr>
        <w:t>Sud-ouest</w:t>
      </w:r>
      <w:r>
        <w:rPr>
          <w:color w:val="000000"/>
          <w:sz w:val="24"/>
          <w:szCs w:val="24"/>
        </w:rPr>
        <w:t xml:space="preserve"> (101</w:t>
      </w:r>
      <w:r>
        <w:rPr>
          <w:i/>
          <w:color w:val="000000"/>
          <w:sz w:val="24"/>
          <w:szCs w:val="24"/>
        </w:rPr>
        <w:t>‰</w:t>
      </w:r>
      <w:r>
        <w:rPr>
          <w:color w:val="000000"/>
          <w:sz w:val="24"/>
          <w:szCs w:val="24"/>
        </w:rPr>
        <w:t>), Est (100</w:t>
      </w:r>
      <w:r>
        <w:rPr>
          <w:i/>
          <w:color w:val="000000"/>
          <w:sz w:val="24"/>
          <w:szCs w:val="24"/>
        </w:rPr>
        <w:t>‰</w:t>
      </w:r>
      <w:r>
        <w:rPr>
          <w:color w:val="000000"/>
          <w:sz w:val="24"/>
          <w:szCs w:val="24"/>
        </w:rPr>
        <w:t>), cascades (95</w:t>
      </w:r>
      <w:r>
        <w:rPr>
          <w:i/>
          <w:color w:val="000000"/>
          <w:sz w:val="24"/>
          <w:szCs w:val="24"/>
        </w:rPr>
        <w:t>‰</w:t>
      </w:r>
      <w:r>
        <w:rPr>
          <w:color w:val="000000"/>
          <w:sz w:val="24"/>
          <w:szCs w:val="24"/>
        </w:rPr>
        <w:t>), Centre-Nord (93</w:t>
      </w:r>
      <w:r>
        <w:rPr>
          <w:i/>
          <w:color w:val="000000"/>
          <w:sz w:val="24"/>
          <w:szCs w:val="24"/>
        </w:rPr>
        <w:t>‰</w:t>
      </w:r>
      <w:r>
        <w:rPr>
          <w:color w:val="000000"/>
          <w:sz w:val="24"/>
          <w:szCs w:val="24"/>
        </w:rPr>
        <w:t>) et Centre-Sud (89</w:t>
      </w:r>
      <w:r>
        <w:rPr>
          <w:i/>
          <w:color w:val="000000"/>
          <w:sz w:val="24"/>
          <w:szCs w:val="24"/>
        </w:rPr>
        <w:t>‰</w:t>
      </w:r>
      <w:r>
        <w:rPr>
          <w:color w:val="000000"/>
          <w:sz w:val="24"/>
          <w:szCs w:val="24"/>
        </w:rPr>
        <w:t xml:space="preserve">). </w:t>
      </w:r>
    </w:p>
    <w:p w:rsidR="00314B92" w:rsidRDefault="00AD5F81" w:rsidP="006976E9">
      <w:pPr>
        <w:pStyle w:val="Normal1"/>
        <w:spacing w:after="0"/>
        <w:jc w:val="both"/>
        <w:rPr>
          <w:sz w:val="24"/>
          <w:szCs w:val="24"/>
        </w:rPr>
      </w:pPr>
      <w:r>
        <w:rPr>
          <w:sz w:val="24"/>
          <w:szCs w:val="24"/>
        </w:rPr>
        <w:t>Le taux de mortalité infanto-juvénile est plus élevé en milieu rural soit 97</w:t>
      </w:r>
      <w:r>
        <w:rPr>
          <w:i/>
          <w:sz w:val="24"/>
          <w:szCs w:val="24"/>
        </w:rPr>
        <w:t>‰</w:t>
      </w:r>
      <w:r>
        <w:rPr>
          <w:sz w:val="24"/>
          <w:szCs w:val="24"/>
        </w:rPr>
        <w:t xml:space="preserve"> contre 57</w:t>
      </w:r>
      <w:r>
        <w:rPr>
          <w:i/>
          <w:sz w:val="24"/>
          <w:szCs w:val="24"/>
        </w:rPr>
        <w:t>‰</w:t>
      </w:r>
      <w:r>
        <w:rPr>
          <w:sz w:val="24"/>
          <w:szCs w:val="24"/>
        </w:rPr>
        <w:t xml:space="preserve"> en milieu urbain.</w:t>
      </w:r>
    </w:p>
    <w:p w:rsidR="00314B92" w:rsidRDefault="00AD5F81" w:rsidP="006976E9">
      <w:pPr>
        <w:pStyle w:val="Normal1"/>
        <w:spacing w:after="0"/>
        <w:jc w:val="both"/>
        <w:rPr>
          <w:sz w:val="24"/>
          <w:szCs w:val="24"/>
        </w:rPr>
      </w:pPr>
      <w:r>
        <w:rPr>
          <w:sz w:val="24"/>
          <w:szCs w:val="24"/>
        </w:rPr>
        <w:t>Le taux de mortalité infanto-juvénile est beaucoup plus élevée dans la population la plus pauvre (103 ‰) que dans la population la plus riche (66‰).</w:t>
      </w:r>
    </w:p>
    <w:p w:rsidR="00314B92" w:rsidRDefault="00AD5F81" w:rsidP="006976E9">
      <w:pPr>
        <w:pStyle w:val="Normal1"/>
        <w:spacing w:after="0"/>
        <w:jc w:val="both"/>
        <w:rPr>
          <w:sz w:val="24"/>
          <w:szCs w:val="24"/>
        </w:rPr>
      </w:pPr>
      <w:r>
        <w:rPr>
          <w:sz w:val="24"/>
          <w:szCs w:val="24"/>
        </w:rPr>
        <w:t>Les facteurs d’iniquité concernant la mortalité infanto-juvénile touchent aussi bien la répartition géographique (région), la zone de résidence que le niveau socio-économique. Plus l’on retrouve dans le groupe le plus défavorisé, plus le taux de mortalité est élevé.</w:t>
      </w:r>
    </w:p>
    <w:p w:rsidR="00314B92" w:rsidRDefault="00AD5F81" w:rsidP="006976E9">
      <w:pPr>
        <w:pStyle w:val="Normal1"/>
        <w:spacing w:before="240" w:after="0"/>
        <w:rPr>
          <w:b/>
          <w:sz w:val="24"/>
          <w:szCs w:val="24"/>
          <w:u w:val="single"/>
        </w:rPr>
      </w:pPr>
      <w:r>
        <w:rPr>
          <w:b/>
          <w:sz w:val="24"/>
          <w:szCs w:val="24"/>
          <w:u w:val="single"/>
        </w:rPr>
        <w:t>Les causes de la mortalité infanto-juvénile</w:t>
      </w:r>
      <w:r>
        <w:rPr>
          <w:sz w:val="24"/>
          <w:szCs w:val="24"/>
        </w:rPr>
        <w:t xml:space="preserve"> </w:t>
      </w:r>
    </w:p>
    <w:p w:rsidR="00314B92" w:rsidRDefault="00AD5F81" w:rsidP="006976E9">
      <w:pPr>
        <w:pStyle w:val="Normal1"/>
        <w:pBdr>
          <w:top w:val="nil"/>
          <w:left w:val="nil"/>
          <w:bottom w:val="nil"/>
          <w:right w:val="nil"/>
          <w:between w:val="nil"/>
        </w:pBdr>
        <w:spacing w:after="0"/>
        <w:jc w:val="both"/>
        <w:rPr>
          <w:color w:val="000000"/>
          <w:sz w:val="24"/>
          <w:szCs w:val="24"/>
        </w:rPr>
      </w:pPr>
      <w:r>
        <w:rPr>
          <w:color w:val="000000"/>
          <w:sz w:val="24"/>
          <w:szCs w:val="24"/>
        </w:rPr>
        <w:t>La mortalité infanto-juvénile est due essentiellement au paludisme (23,8%), aux infections respiratoires aiguës (13,4%) et aux diarrhées (11,5%), aux causes néonatales (22.2%), à la rougeole (3%) et au VIH/SIDA (0.7%)</w:t>
      </w:r>
      <w:r>
        <w:rPr>
          <w:color w:val="000000"/>
          <w:sz w:val="24"/>
          <w:szCs w:val="24"/>
          <w:vertAlign w:val="superscript"/>
        </w:rPr>
        <w:footnoteReference w:id="26"/>
      </w:r>
      <w:r>
        <w:rPr>
          <w:color w:val="000000"/>
          <w:sz w:val="24"/>
          <w:szCs w:val="24"/>
        </w:rPr>
        <w:t>. Un tiers des décès survient sur un terrain de malnutrition</w:t>
      </w:r>
      <w:r>
        <w:rPr>
          <w:color w:val="000000"/>
          <w:sz w:val="24"/>
          <w:szCs w:val="24"/>
          <w:vertAlign w:val="superscript"/>
        </w:rPr>
        <w:footnoteReference w:id="27"/>
      </w:r>
      <w:r>
        <w:rPr>
          <w:color w:val="000000"/>
          <w:sz w:val="24"/>
          <w:szCs w:val="24"/>
        </w:rPr>
        <w:t> .</w:t>
      </w:r>
    </w:p>
    <w:p w:rsidR="00314B92" w:rsidRDefault="00314B92">
      <w:pPr>
        <w:pStyle w:val="Normal1"/>
        <w:pBdr>
          <w:top w:val="nil"/>
          <w:left w:val="nil"/>
          <w:bottom w:val="nil"/>
          <w:right w:val="nil"/>
          <w:between w:val="nil"/>
        </w:pBdr>
        <w:spacing w:after="0"/>
        <w:ind w:hanging="720"/>
        <w:jc w:val="both"/>
        <w:rPr>
          <w:color w:val="000000"/>
          <w:sz w:val="24"/>
          <w:szCs w:val="24"/>
        </w:rPr>
      </w:pPr>
    </w:p>
    <w:p w:rsidR="00314B92" w:rsidRDefault="00AD5F81" w:rsidP="005D02C3">
      <w:pPr>
        <w:pStyle w:val="Normal1"/>
        <w:numPr>
          <w:ilvl w:val="2"/>
          <w:numId w:val="120"/>
        </w:numPr>
        <w:pBdr>
          <w:top w:val="nil"/>
          <w:left w:val="nil"/>
          <w:bottom w:val="nil"/>
          <w:right w:val="nil"/>
          <w:between w:val="nil"/>
        </w:pBdr>
        <w:spacing w:after="0" w:line="360" w:lineRule="auto"/>
        <w:jc w:val="both"/>
        <w:rPr>
          <w:color w:val="000000"/>
          <w:sz w:val="24"/>
          <w:szCs w:val="24"/>
        </w:rPr>
      </w:pPr>
      <w:r>
        <w:rPr>
          <w:color w:val="000000"/>
          <w:sz w:val="24"/>
          <w:szCs w:val="24"/>
        </w:rPr>
        <w:t>LA SANTE DU JEUNE ENFANT</w:t>
      </w:r>
    </w:p>
    <w:p w:rsidR="00314B92" w:rsidRDefault="00AD5F81">
      <w:pPr>
        <w:pStyle w:val="Normal1"/>
        <w:spacing w:after="180"/>
        <w:jc w:val="both"/>
        <w:rPr>
          <w:sz w:val="24"/>
          <w:szCs w:val="24"/>
        </w:rPr>
      </w:pPr>
      <w:r>
        <w:rPr>
          <w:sz w:val="24"/>
          <w:szCs w:val="24"/>
        </w:rPr>
        <w:t>Il n’existe pas de programme national particulier visant la santé des enfants de 6 à 11 ans et le système de santé n’offre pas une réponse adéquate en quantité et en qualité aux besoins des adolescent(e)s en matière de santé.</w:t>
      </w:r>
    </w:p>
    <w:p w:rsidR="00314B92" w:rsidRDefault="00AD5F81">
      <w:pPr>
        <w:pStyle w:val="Normal1"/>
        <w:spacing w:after="240"/>
        <w:jc w:val="both"/>
        <w:rPr>
          <w:sz w:val="24"/>
          <w:szCs w:val="24"/>
        </w:rPr>
      </w:pPr>
      <w:r>
        <w:rPr>
          <w:sz w:val="24"/>
          <w:szCs w:val="24"/>
        </w:rPr>
        <w:t>L’exposition précoce des enfants âgés de 6 à 11 ans aux comportements à haut risque pour leur santé est sous-tendue par la faiblesse de leurs compétences de vie courante et les lacunes dans la chaîne de transmission des valeurs leur permettant de se prémunir contre les comportements à risques. Il est également à noter une insuffisante prise en compte des besoins spécifiques des enfants dans l’offre de santé, particulièrement ceux en situation de handicap. En outre, les soins et services de santé sont coûteux et leur disponibilité en termes d’horaires est inadaptée au contexte scolaire</w:t>
      </w:r>
      <w:r>
        <w:rPr>
          <w:sz w:val="24"/>
          <w:szCs w:val="24"/>
          <w:vertAlign w:val="superscript"/>
        </w:rPr>
        <w:footnoteReference w:id="28"/>
      </w:r>
      <w:r>
        <w:rPr>
          <w:sz w:val="24"/>
          <w:szCs w:val="24"/>
        </w:rPr>
        <w:t xml:space="preserve">. La malnutrition des enfants de 6-11 ans est sous-tendue par trois principales causes sous-jacentes : (i) l’alimentation inadéquate ; (ii) l’inexistence d’un environnement protecteur de l’enfant ; et (iii) la faible accessibilité des soins de santé et des infrastructures d’eau et d’assainissement. </w:t>
      </w:r>
    </w:p>
    <w:p w:rsidR="00314B92" w:rsidRDefault="00AD5F81" w:rsidP="005D02C3">
      <w:pPr>
        <w:pStyle w:val="Normal1"/>
        <w:numPr>
          <w:ilvl w:val="2"/>
          <w:numId w:val="120"/>
        </w:numPr>
        <w:pBdr>
          <w:top w:val="nil"/>
          <w:left w:val="nil"/>
          <w:bottom w:val="nil"/>
          <w:right w:val="nil"/>
          <w:between w:val="nil"/>
        </w:pBdr>
        <w:spacing w:after="0" w:line="360" w:lineRule="auto"/>
        <w:jc w:val="both"/>
        <w:rPr>
          <w:color w:val="000000"/>
          <w:sz w:val="23"/>
          <w:szCs w:val="23"/>
        </w:rPr>
      </w:pPr>
      <w:r>
        <w:rPr>
          <w:color w:val="000000"/>
          <w:sz w:val="23"/>
          <w:szCs w:val="23"/>
        </w:rPr>
        <w:t xml:space="preserve"> LA SANTE DES ADOLESCENT(E</w:t>
      </w:r>
      <w:r w:rsidR="00F14E58">
        <w:rPr>
          <w:color w:val="000000"/>
          <w:sz w:val="23"/>
          <w:szCs w:val="23"/>
        </w:rPr>
        <w:t>)S</w:t>
      </w:r>
      <w:r>
        <w:rPr>
          <w:color w:val="000000"/>
          <w:sz w:val="23"/>
          <w:szCs w:val="23"/>
        </w:rPr>
        <w:t xml:space="preserve"> /JEUNES</w:t>
      </w:r>
    </w:p>
    <w:p w:rsidR="00314B92" w:rsidRDefault="00AD5F81">
      <w:pPr>
        <w:pStyle w:val="Normal1"/>
        <w:spacing w:after="0"/>
        <w:jc w:val="both"/>
        <w:rPr>
          <w:sz w:val="24"/>
          <w:szCs w:val="24"/>
        </w:rPr>
      </w:pPr>
      <w:r>
        <w:rPr>
          <w:sz w:val="24"/>
          <w:szCs w:val="24"/>
        </w:rPr>
        <w:t>Si d’une manière générale, l’état de santé des populations est mal documenté par des enquêtes et ou par des publications récentes, la situation de la santé des adolescents/jeunes est particulièrement mal desservie.</w:t>
      </w:r>
    </w:p>
    <w:p w:rsidR="00314B92" w:rsidRDefault="00AD5F81">
      <w:pPr>
        <w:pStyle w:val="Titre1"/>
        <w:spacing w:after="0"/>
        <w:rPr>
          <w:b w:val="0"/>
          <w:smallCaps w:val="0"/>
          <w:color w:val="000000"/>
          <w:sz w:val="22"/>
          <w:szCs w:val="22"/>
        </w:rPr>
      </w:pPr>
      <w:r>
        <w:rPr>
          <w:b w:val="0"/>
          <w:smallCaps w:val="0"/>
          <w:color w:val="000000"/>
          <w:sz w:val="22"/>
          <w:szCs w:val="22"/>
        </w:rPr>
        <w:t xml:space="preserve">La santé sexuelle et reproductive des adolescents/jeunes présente les caractéristiques suivantes : </w:t>
      </w:r>
    </w:p>
    <w:p w:rsidR="00314B92" w:rsidRDefault="00AD5F81">
      <w:pPr>
        <w:pStyle w:val="Normal1"/>
        <w:spacing w:after="0"/>
        <w:jc w:val="both"/>
        <w:rPr>
          <w:sz w:val="24"/>
          <w:szCs w:val="24"/>
        </w:rPr>
      </w:pPr>
      <w:r>
        <w:rPr>
          <w:b/>
          <w:sz w:val="24"/>
          <w:szCs w:val="24"/>
        </w:rPr>
        <w:t>Une activité sexuelle précoce</w:t>
      </w:r>
      <w:r>
        <w:rPr>
          <w:sz w:val="24"/>
          <w:szCs w:val="24"/>
        </w:rPr>
        <w:t> </w:t>
      </w:r>
    </w:p>
    <w:p w:rsidR="00314B92" w:rsidRDefault="00AD5F81">
      <w:pPr>
        <w:pStyle w:val="Normal1"/>
        <w:spacing w:after="0"/>
        <w:jc w:val="both"/>
        <w:rPr>
          <w:sz w:val="24"/>
          <w:szCs w:val="24"/>
        </w:rPr>
      </w:pPr>
      <w:r>
        <w:rPr>
          <w:sz w:val="24"/>
          <w:szCs w:val="24"/>
        </w:rPr>
        <w:t>Le pourcentage des adolescents (9 - 14 ans) qui ont eu des rapports sexuels avant l’âge de 15 ans va de 12 à 20,5% pour les filles et de 7 à 13,9  % pour les garçons. Le pourcentage des jeunes (20 - 24 ans) qui ont eu des rapports sexuels avant l’âge de 15 ans va de 10,3 à 21,5 % pour les filles et de 7,5 à 27,4 % pour les jeunes hommes (Tableau 2).</w:t>
      </w:r>
    </w:p>
    <w:p w:rsidR="00314B92" w:rsidRDefault="00AD5F81">
      <w:pPr>
        <w:pStyle w:val="Titre1"/>
        <w:spacing w:before="0" w:after="0"/>
        <w:rPr>
          <w:b w:val="0"/>
          <w:smallCaps w:val="0"/>
          <w:color w:val="000000"/>
          <w:sz w:val="24"/>
          <w:szCs w:val="24"/>
        </w:rPr>
      </w:pPr>
      <w:r>
        <w:rPr>
          <w:smallCaps w:val="0"/>
          <w:color w:val="000000"/>
          <w:sz w:val="24"/>
          <w:szCs w:val="24"/>
        </w:rPr>
        <w:t>Une entrée précoce dans la vie féconde</w:t>
      </w:r>
      <w:r>
        <w:rPr>
          <w:b w:val="0"/>
          <w:smallCaps w:val="0"/>
          <w:color w:val="000000"/>
          <w:sz w:val="24"/>
          <w:szCs w:val="24"/>
        </w:rPr>
        <w:t xml:space="preserve"> </w:t>
      </w:r>
    </w:p>
    <w:p w:rsidR="00314B92" w:rsidRDefault="00AD5F81">
      <w:pPr>
        <w:pStyle w:val="Normal1"/>
        <w:spacing w:after="0"/>
        <w:jc w:val="both"/>
        <w:rPr>
          <w:sz w:val="24"/>
          <w:szCs w:val="24"/>
        </w:rPr>
      </w:pPr>
      <w:r>
        <w:rPr>
          <w:sz w:val="24"/>
          <w:szCs w:val="24"/>
        </w:rPr>
        <w:t>Parmi la population des adolescentes, 23,2 à 25 % d’entre elles sont déjà entrées dans la vie féconde avec 17,4 à 20 % d’entre elles qui sont déjà mères d’un enfant et 4,9 à 5,8 % qui sont enceintes pour la première fois (Tableau 2). Avec de 27,8 à 29,2 % pour 11,3 à 14 %, l’entrée dans la vie féconde des adolescentes du monde rurale est encore plus précoce que celles des zones urbaines</w:t>
      </w:r>
      <w:r>
        <w:rPr>
          <w:sz w:val="24"/>
          <w:szCs w:val="24"/>
          <w:vertAlign w:val="superscript"/>
        </w:rPr>
        <w:footnoteReference w:id="29"/>
      </w:r>
      <w:r>
        <w:rPr>
          <w:sz w:val="24"/>
          <w:szCs w:val="24"/>
        </w:rPr>
        <w:t xml:space="preserve">. </w:t>
      </w:r>
    </w:p>
    <w:p w:rsidR="00314B92" w:rsidRDefault="00314B92">
      <w:pPr>
        <w:pStyle w:val="Normal1"/>
        <w:spacing w:after="0"/>
        <w:jc w:val="both"/>
        <w:rPr>
          <w:sz w:val="24"/>
          <w:szCs w:val="24"/>
        </w:rPr>
      </w:pPr>
    </w:p>
    <w:tbl>
      <w:tblPr>
        <w:tblStyle w:val="a9"/>
        <w:tblW w:w="895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9"/>
        <w:gridCol w:w="4018"/>
        <w:gridCol w:w="641"/>
        <w:gridCol w:w="641"/>
        <w:gridCol w:w="641"/>
        <w:gridCol w:w="641"/>
        <w:gridCol w:w="641"/>
        <w:gridCol w:w="641"/>
        <w:gridCol w:w="641"/>
      </w:tblGrid>
      <w:tr w:rsidR="00314B92">
        <w:tc>
          <w:tcPr>
            <w:tcW w:w="8954" w:type="dxa"/>
            <w:gridSpan w:val="9"/>
          </w:tcPr>
          <w:p w:rsidR="00314B92" w:rsidRDefault="00AD5F81">
            <w:pPr>
              <w:pStyle w:val="Normal1"/>
              <w:spacing w:line="360" w:lineRule="auto"/>
              <w:rPr>
                <w:b/>
              </w:rPr>
            </w:pPr>
            <w:r>
              <w:rPr>
                <w:b/>
              </w:rPr>
              <w:t>Tableau 2 : Principaux indicateurs de la santé sexuelle et reproductive des adolescents/jeunes</w:t>
            </w:r>
          </w:p>
        </w:tc>
      </w:tr>
      <w:tr w:rsidR="00314B92">
        <w:tc>
          <w:tcPr>
            <w:tcW w:w="449" w:type="dxa"/>
          </w:tcPr>
          <w:p w:rsidR="00314B92" w:rsidRDefault="00314B92">
            <w:pPr>
              <w:pStyle w:val="Normal1"/>
              <w:rPr>
                <w:sz w:val="20"/>
                <w:szCs w:val="20"/>
              </w:rPr>
            </w:pPr>
          </w:p>
        </w:tc>
        <w:tc>
          <w:tcPr>
            <w:tcW w:w="4018"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Age</w:t>
            </w:r>
          </w:p>
        </w:tc>
        <w:tc>
          <w:tcPr>
            <w:tcW w:w="1282" w:type="dxa"/>
            <w:gridSpan w:val="2"/>
          </w:tcPr>
          <w:p w:rsidR="00314B92" w:rsidRDefault="00AD5F81">
            <w:pPr>
              <w:pStyle w:val="Normal1"/>
              <w:rPr>
                <w:sz w:val="20"/>
                <w:szCs w:val="20"/>
              </w:rPr>
            </w:pPr>
            <w:r>
              <w:rPr>
                <w:sz w:val="20"/>
                <w:szCs w:val="20"/>
              </w:rPr>
              <w:t>EDS 98-99</w:t>
            </w:r>
            <w:r>
              <w:rPr>
                <w:sz w:val="20"/>
                <w:szCs w:val="20"/>
                <w:vertAlign w:val="superscript"/>
              </w:rPr>
              <w:footnoteReference w:id="30"/>
            </w:r>
          </w:p>
        </w:tc>
        <w:tc>
          <w:tcPr>
            <w:tcW w:w="1282" w:type="dxa"/>
            <w:gridSpan w:val="2"/>
          </w:tcPr>
          <w:p w:rsidR="00314B92" w:rsidRDefault="00AD5F81">
            <w:pPr>
              <w:pStyle w:val="Normal1"/>
              <w:rPr>
                <w:sz w:val="20"/>
                <w:szCs w:val="20"/>
              </w:rPr>
            </w:pPr>
            <w:r>
              <w:rPr>
                <w:sz w:val="20"/>
                <w:szCs w:val="20"/>
              </w:rPr>
              <w:t>EDS 2003</w:t>
            </w:r>
            <w:r>
              <w:rPr>
                <w:sz w:val="20"/>
                <w:szCs w:val="20"/>
                <w:vertAlign w:val="superscript"/>
              </w:rPr>
              <w:footnoteReference w:id="31"/>
            </w:r>
          </w:p>
        </w:tc>
        <w:tc>
          <w:tcPr>
            <w:tcW w:w="1282" w:type="dxa"/>
            <w:gridSpan w:val="2"/>
          </w:tcPr>
          <w:p w:rsidR="00314B92" w:rsidRDefault="00AD5F81">
            <w:pPr>
              <w:pStyle w:val="Normal1"/>
              <w:rPr>
                <w:sz w:val="20"/>
                <w:szCs w:val="20"/>
              </w:rPr>
            </w:pPr>
            <w:r>
              <w:rPr>
                <w:sz w:val="20"/>
                <w:szCs w:val="20"/>
              </w:rPr>
              <w:t>EDS 2010</w:t>
            </w:r>
            <w:r>
              <w:rPr>
                <w:sz w:val="20"/>
                <w:szCs w:val="20"/>
                <w:vertAlign w:val="superscript"/>
              </w:rPr>
              <w:footnoteReference w:id="32"/>
            </w:r>
          </w:p>
        </w:tc>
      </w:tr>
      <w:tr w:rsidR="00314B92">
        <w:tc>
          <w:tcPr>
            <w:tcW w:w="449" w:type="dxa"/>
          </w:tcPr>
          <w:p w:rsidR="00314B92" w:rsidRDefault="00314B92">
            <w:pPr>
              <w:pStyle w:val="Normal1"/>
            </w:pPr>
          </w:p>
        </w:tc>
        <w:tc>
          <w:tcPr>
            <w:tcW w:w="4018" w:type="dxa"/>
          </w:tcPr>
          <w:p w:rsidR="00314B92" w:rsidRDefault="00314B92">
            <w:pPr>
              <w:pStyle w:val="Normal1"/>
            </w:pPr>
          </w:p>
        </w:tc>
        <w:tc>
          <w:tcPr>
            <w:tcW w:w="641" w:type="dxa"/>
          </w:tcPr>
          <w:p w:rsidR="00314B92" w:rsidRDefault="00314B92">
            <w:pPr>
              <w:pStyle w:val="Normal1"/>
              <w:rPr>
                <w:sz w:val="16"/>
                <w:szCs w:val="16"/>
              </w:rPr>
            </w:pPr>
          </w:p>
        </w:tc>
        <w:tc>
          <w:tcPr>
            <w:tcW w:w="641" w:type="dxa"/>
          </w:tcPr>
          <w:p w:rsidR="00314B92" w:rsidRDefault="00AD5F81">
            <w:pPr>
              <w:pStyle w:val="Normal1"/>
              <w:rPr>
                <w:sz w:val="20"/>
                <w:szCs w:val="20"/>
              </w:rPr>
            </w:pPr>
            <w:r>
              <w:rPr>
                <w:sz w:val="20"/>
                <w:szCs w:val="20"/>
              </w:rPr>
              <w:t>F</w:t>
            </w:r>
          </w:p>
        </w:tc>
        <w:tc>
          <w:tcPr>
            <w:tcW w:w="641" w:type="dxa"/>
          </w:tcPr>
          <w:p w:rsidR="00314B92" w:rsidRDefault="00AD5F81">
            <w:pPr>
              <w:pStyle w:val="Normal1"/>
              <w:rPr>
                <w:sz w:val="20"/>
                <w:szCs w:val="20"/>
              </w:rPr>
            </w:pPr>
            <w:r>
              <w:rPr>
                <w:sz w:val="20"/>
                <w:szCs w:val="20"/>
              </w:rPr>
              <w:t>M</w:t>
            </w:r>
          </w:p>
        </w:tc>
        <w:tc>
          <w:tcPr>
            <w:tcW w:w="641" w:type="dxa"/>
          </w:tcPr>
          <w:p w:rsidR="00314B92" w:rsidRDefault="00AD5F81">
            <w:pPr>
              <w:pStyle w:val="Normal1"/>
              <w:rPr>
                <w:sz w:val="20"/>
                <w:szCs w:val="20"/>
              </w:rPr>
            </w:pPr>
            <w:r>
              <w:rPr>
                <w:sz w:val="20"/>
                <w:szCs w:val="20"/>
              </w:rPr>
              <w:t>F</w:t>
            </w:r>
          </w:p>
        </w:tc>
        <w:tc>
          <w:tcPr>
            <w:tcW w:w="641" w:type="dxa"/>
          </w:tcPr>
          <w:p w:rsidR="00314B92" w:rsidRDefault="00AD5F81">
            <w:pPr>
              <w:pStyle w:val="Normal1"/>
              <w:rPr>
                <w:sz w:val="20"/>
                <w:szCs w:val="20"/>
              </w:rPr>
            </w:pPr>
            <w:r>
              <w:rPr>
                <w:sz w:val="20"/>
                <w:szCs w:val="20"/>
              </w:rPr>
              <w:t>M</w:t>
            </w:r>
          </w:p>
        </w:tc>
        <w:tc>
          <w:tcPr>
            <w:tcW w:w="641" w:type="dxa"/>
          </w:tcPr>
          <w:p w:rsidR="00314B92" w:rsidRDefault="00AD5F81">
            <w:pPr>
              <w:pStyle w:val="Normal1"/>
              <w:rPr>
                <w:sz w:val="20"/>
                <w:szCs w:val="20"/>
              </w:rPr>
            </w:pPr>
            <w:r>
              <w:rPr>
                <w:sz w:val="20"/>
                <w:szCs w:val="20"/>
              </w:rPr>
              <w:t>F</w:t>
            </w:r>
          </w:p>
        </w:tc>
        <w:tc>
          <w:tcPr>
            <w:tcW w:w="641" w:type="dxa"/>
          </w:tcPr>
          <w:p w:rsidR="00314B92" w:rsidRDefault="00AD5F81">
            <w:pPr>
              <w:pStyle w:val="Normal1"/>
              <w:rPr>
                <w:sz w:val="20"/>
                <w:szCs w:val="20"/>
              </w:rPr>
            </w:pPr>
            <w:r>
              <w:rPr>
                <w:sz w:val="20"/>
                <w:szCs w:val="20"/>
              </w:rPr>
              <w:t>M</w:t>
            </w:r>
          </w:p>
        </w:tc>
      </w:tr>
      <w:tr w:rsidR="00314B92">
        <w:tc>
          <w:tcPr>
            <w:tcW w:w="449" w:type="dxa"/>
          </w:tcPr>
          <w:p w:rsidR="00314B92" w:rsidRDefault="00314B92" w:rsidP="005D02C3">
            <w:pPr>
              <w:pStyle w:val="Normal1"/>
              <w:numPr>
                <w:ilvl w:val="0"/>
                <w:numId w:val="60"/>
              </w:numPr>
              <w:pBdr>
                <w:top w:val="nil"/>
                <w:left w:val="nil"/>
                <w:bottom w:val="nil"/>
                <w:right w:val="nil"/>
                <w:between w:val="nil"/>
              </w:pBdr>
              <w:spacing w:after="200" w:line="276" w:lineRule="auto"/>
            </w:pPr>
          </w:p>
        </w:tc>
        <w:tc>
          <w:tcPr>
            <w:tcW w:w="4018" w:type="dxa"/>
          </w:tcPr>
          <w:p w:rsidR="00314B92" w:rsidRDefault="00AD5F81">
            <w:pPr>
              <w:pStyle w:val="Normal1"/>
              <w:rPr>
                <w:sz w:val="20"/>
                <w:szCs w:val="20"/>
              </w:rPr>
            </w:pPr>
            <w:r>
              <w:rPr>
                <w:sz w:val="20"/>
                <w:szCs w:val="20"/>
              </w:rPr>
              <w:t>Vie féconde</w:t>
            </w:r>
          </w:p>
        </w:tc>
        <w:tc>
          <w:tcPr>
            <w:tcW w:w="641" w:type="dxa"/>
          </w:tcPr>
          <w:p w:rsidR="00314B92" w:rsidRDefault="00314B92">
            <w:pPr>
              <w:pStyle w:val="Normal1"/>
              <w:rPr>
                <w:sz w:val="16"/>
                <w:szCs w:val="16"/>
              </w:rPr>
            </w:pPr>
          </w:p>
        </w:tc>
        <w:tc>
          <w:tcPr>
            <w:tcW w:w="641" w:type="dxa"/>
          </w:tcPr>
          <w:p w:rsidR="00314B92" w:rsidRDefault="00AD5F81">
            <w:pPr>
              <w:pStyle w:val="Normal1"/>
              <w:rPr>
                <w:sz w:val="20"/>
                <w:szCs w:val="20"/>
              </w:rPr>
            </w:pPr>
            <w:r>
              <w:rPr>
                <w:sz w:val="20"/>
                <w:szCs w:val="20"/>
              </w:rPr>
              <w:t>25%</w:t>
            </w: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23,2</w:t>
            </w: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23,6</w:t>
            </w:r>
          </w:p>
        </w:tc>
        <w:tc>
          <w:tcPr>
            <w:tcW w:w="641" w:type="dxa"/>
          </w:tcPr>
          <w:p w:rsidR="00314B92" w:rsidRDefault="00314B92">
            <w:pPr>
              <w:pStyle w:val="Normal1"/>
              <w:rPr>
                <w:sz w:val="20"/>
                <w:szCs w:val="20"/>
              </w:rPr>
            </w:pPr>
          </w:p>
        </w:tc>
      </w:tr>
      <w:tr w:rsidR="00314B92">
        <w:tc>
          <w:tcPr>
            <w:tcW w:w="449" w:type="dxa"/>
            <w:vMerge w:val="restart"/>
          </w:tcPr>
          <w:p w:rsidR="00314B92" w:rsidRDefault="00314B92" w:rsidP="005D02C3">
            <w:pPr>
              <w:pStyle w:val="Normal1"/>
              <w:numPr>
                <w:ilvl w:val="0"/>
                <w:numId w:val="60"/>
              </w:numPr>
              <w:pBdr>
                <w:top w:val="nil"/>
                <w:left w:val="nil"/>
                <w:bottom w:val="nil"/>
                <w:right w:val="nil"/>
                <w:between w:val="nil"/>
              </w:pBdr>
              <w:spacing w:after="200" w:line="276" w:lineRule="auto"/>
            </w:pPr>
          </w:p>
        </w:tc>
        <w:tc>
          <w:tcPr>
            <w:tcW w:w="4018" w:type="dxa"/>
            <w:vMerge w:val="restart"/>
          </w:tcPr>
          <w:p w:rsidR="00314B92" w:rsidRDefault="00AD5F81">
            <w:pPr>
              <w:pStyle w:val="Normal1"/>
              <w:rPr>
                <w:sz w:val="20"/>
                <w:szCs w:val="20"/>
              </w:rPr>
            </w:pPr>
            <w:r>
              <w:rPr>
                <w:sz w:val="20"/>
                <w:szCs w:val="20"/>
              </w:rPr>
              <w:t>Pourcentage de femmes et d’hommes ayant des rapports sexuels avant 15 ans</w:t>
            </w:r>
          </w:p>
        </w:tc>
        <w:tc>
          <w:tcPr>
            <w:tcW w:w="641" w:type="dxa"/>
          </w:tcPr>
          <w:p w:rsidR="00314B92" w:rsidRDefault="00AD5F81">
            <w:pPr>
              <w:pStyle w:val="Normal1"/>
              <w:rPr>
                <w:sz w:val="16"/>
                <w:szCs w:val="16"/>
              </w:rPr>
            </w:pPr>
            <w:r>
              <w:rPr>
                <w:sz w:val="16"/>
                <w:szCs w:val="16"/>
              </w:rPr>
              <w:t>15-19</w:t>
            </w:r>
          </w:p>
        </w:tc>
        <w:tc>
          <w:tcPr>
            <w:tcW w:w="641" w:type="dxa"/>
          </w:tcPr>
          <w:p w:rsidR="00314B92" w:rsidRDefault="00AD5F81">
            <w:pPr>
              <w:pStyle w:val="Normal1"/>
              <w:rPr>
                <w:sz w:val="20"/>
                <w:szCs w:val="20"/>
              </w:rPr>
            </w:pPr>
            <w:r>
              <w:rPr>
                <w:sz w:val="20"/>
                <w:szCs w:val="20"/>
              </w:rPr>
              <w:t>12</w:t>
            </w:r>
          </w:p>
        </w:tc>
        <w:tc>
          <w:tcPr>
            <w:tcW w:w="641" w:type="dxa"/>
          </w:tcPr>
          <w:p w:rsidR="00314B92" w:rsidRDefault="00AD5F81">
            <w:pPr>
              <w:pStyle w:val="Normal1"/>
              <w:rPr>
                <w:sz w:val="20"/>
                <w:szCs w:val="20"/>
              </w:rPr>
            </w:pPr>
            <w:r>
              <w:rPr>
                <w:sz w:val="20"/>
                <w:szCs w:val="20"/>
              </w:rPr>
              <w:t>7</w:t>
            </w:r>
          </w:p>
        </w:tc>
        <w:tc>
          <w:tcPr>
            <w:tcW w:w="641" w:type="dxa"/>
          </w:tcPr>
          <w:p w:rsidR="00314B92" w:rsidRDefault="00AD5F81">
            <w:pPr>
              <w:pStyle w:val="Normal1"/>
              <w:rPr>
                <w:sz w:val="20"/>
                <w:szCs w:val="20"/>
              </w:rPr>
            </w:pPr>
            <w:r>
              <w:rPr>
                <w:sz w:val="20"/>
                <w:szCs w:val="20"/>
              </w:rPr>
              <w:t>20,5</w:t>
            </w:r>
          </w:p>
        </w:tc>
        <w:tc>
          <w:tcPr>
            <w:tcW w:w="641" w:type="dxa"/>
          </w:tcPr>
          <w:p w:rsidR="00314B92" w:rsidRDefault="00AD5F81">
            <w:pPr>
              <w:pStyle w:val="Normal1"/>
              <w:rPr>
                <w:sz w:val="20"/>
                <w:szCs w:val="20"/>
              </w:rPr>
            </w:pPr>
            <w:r>
              <w:rPr>
                <w:sz w:val="20"/>
                <w:szCs w:val="20"/>
              </w:rPr>
              <w:t>13,6</w:t>
            </w:r>
          </w:p>
        </w:tc>
        <w:tc>
          <w:tcPr>
            <w:tcW w:w="641" w:type="dxa"/>
          </w:tcPr>
          <w:p w:rsidR="00314B92" w:rsidRDefault="00AD5F81">
            <w:pPr>
              <w:pStyle w:val="Normal1"/>
              <w:rPr>
                <w:sz w:val="20"/>
                <w:szCs w:val="20"/>
              </w:rPr>
            </w:pPr>
            <w:r>
              <w:rPr>
                <w:sz w:val="20"/>
                <w:szCs w:val="20"/>
              </w:rPr>
              <w:t>15,1</w:t>
            </w:r>
          </w:p>
        </w:tc>
        <w:tc>
          <w:tcPr>
            <w:tcW w:w="641" w:type="dxa"/>
          </w:tcPr>
          <w:p w:rsidR="00314B92" w:rsidRDefault="00AD5F81">
            <w:pPr>
              <w:pStyle w:val="Normal1"/>
              <w:rPr>
                <w:sz w:val="20"/>
                <w:szCs w:val="20"/>
              </w:rPr>
            </w:pPr>
            <w:r>
              <w:rPr>
                <w:sz w:val="20"/>
                <w:szCs w:val="20"/>
              </w:rPr>
              <w:t>13,9</w:t>
            </w:r>
          </w:p>
        </w:tc>
      </w:tr>
      <w:tr w:rsidR="00314B92">
        <w:tc>
          <w:tcPr>
            <w:tcW w:w="449"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4018"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641" w:type="dxa"/>
          </w:tcPr>
          <w:p w:rsidR="00314B92" w:rsidRDefault="00AD5F81">
            <w:pPr>
              <w:pStyle w:val="Normal1"/>
              <w:rPr>
                <w:sz w:val="16"/>
                <w:szCs w:val="16"/>
              </w:rPr>
            </w:pPr>
            <w:r>
              <w:rPr>
                <w:sz w:val="16"/>
                <w:szCs w:val="16"/>
              </w:rPr>
              <w:t>20-24</w:t>
            </w:r>
          </w:p>
        </w:tc>
        <w:tc>
          <w:tcPr>
            <w:tcW w:w="641" w:type="dxa"/>
          </w:tcPr>
          <w:p w:rsidR="00314B92" w:rsidRDefault="00AD5F81">
            <w:pPr>
              <w:pStyle w:val="Normal1"/>
              <w:rPr>
                <w:sz w:val="20"/>
                <w:szCs w:val="20"/>
              </w:rPr>
            </w:pPr>
            <w:r>
              <w:rPr>
                <w:sz w:val="20"/>
                <w:szCs w:val="20"/>
              </w:rPr>
              <w:t>10,3</w:t>
            </w:r>
          </w:p>
        </w:tc>
        <w:tc>
          <w:tcPr>
            <w:tcW w:w="641" w:type="dxa"/>
          </w:tcPr>
          <w:p w:rsidR="00314B92" w:rsidRDefault="00AD5F81">
            <w:pPr>
              <w:pStyle w:val="Normal1"/>
              <w:rPr>
                <w:sz w:val="20"/>
                <w:szCs w:val="20"/>
              </w:rPr>
            </w:pPr>
            <w:r>
              <w:rPr>
                <w:sz w:val="20"/>
                <w:szCs w:val="20"/>
              </w:rPr>
              <w:t>7,5</w:t>
            </w:r>
          </w:p>
        </w:tc>
        <w:tc>
          <w:tcPr>
            <w:tcW w:w="641" w:type="dxa"/>
          </w:tcPr>
          <w:p w:rsidR="00314B92" w:rsidRDefault="00AD5F81">
            <w:pPr>
              <w:pStyle w:val="Normal1"/>
              <w:rPr>
                <w:sz w:val="20"/>
                <w:szCs w:val="20"/>
              </w:rPr>
            </w:pPr>
            <w:r>
              <w:rPr>
                <w:sz w:val="20"/>
                <w:szCs w:val="20"/>
              </w:rPr>
              <w:t>22,1</w:t>
            </w:r>
          </w:p>
        </w:tc>
        <w:tc>
          <w:tcPr>
            <w:tcW w:w="641" w:type="dxa"/>
          </w:tcPr>
          <w:p w:rsidR="00314B92" w:rsidRDefault="00AD5F81">
            <w:pPr>
              <w:pStyle w:val="Normal1"/>
              <w:rPr>
                <w:sz w:val="20"/>
                <w:szCs w:val="20"/>
              </w:rPr>
            </w:pPr>
            <w:r>
              <w:rPr>
                <w:sz w:val="20"/>
                <w:szCs w:val="20"/>
              </w:rPr>
              <w:t>11,6</w:t>
            </w:r>
          </w:p>
        </w:tc>
        <w:tc>
          <w:tcPr>
            <w:tcW w:w="641" w:type="dxa"/>
          </w:tcPr>
          <w:p w:rsidR="00314B92" w:rsidRDefault="00AD5F81">
            <w:pPr>
              <w:pStyle w:val="Normal1"/>
              <w:rPr>
                <w:sz w:val="20"/>
                <w:szCs w:val="20"/>
              </w:rPr>
            </w:pPr>
            <w:r>
              <w:rPr>
                <w:sz w:val="20"/>
                <w:szCs w:val="20"/>
              </w:rPr>
              <w:t>21,5</w:t>
            </w:r>
          </w:p>
        </w:tc>
        <w:tc>
          <w:tcPr>
            <w:tcW w:w="641" w:type="dxa"/>
          </w:tcPr>
          <w:p w:rsidR="00314B92" w:rsidRDefault="00AD5F81">
            <w:pPr>
              <w:pStyle w:val="Normal1"/>
              <w:rPr>
                <w:sz w:val="20"/>
                <w:szCs w:val="20"/>
              </w:rPr>
            </w:pPr>
            <w:r>
              <w:rPr>
                <w:sz w:val="20"/>
                <w:szCs w:val="20"/>
              </w:rPr>
              <w:t>27,4</w:t>
            </w:r>
          </w:p>
        </w:tc>
      </w:tr>
      <w:tr w:rsidR="00314B92">
        <w:tc>
          <w:tcPr>
            <w:tcW w:w="449" w:type="dxa"/>
            <w:vMerge w:val="restart"/>
          </w:tcPr>
          <w:p w:rsidR="00314B92" w:rsidRDefault="00314B92" w:rsidP="005D02C3">
            <w:pPr>
              <w:pStyle w:val="Normal1"/>
              <w:numPr>
                <w:ilvl w:val="0"/>
                <w:numId w:val="60"/>
              </w:numPr>
              <w:pBdr>
                <w:top w:val="nil"/>
                <w:left w:val="nil"/>
                <w:bottom w:val="nil"/>
                <w:right w:val="nil"/>
                <w:between w:val="nil"/>
              </w:pBdr>
              <w:spacing w:after="200" w:line="276" w:lineRule="auto"/>
            </w:pPr>
          </w:p>
        </w:tc>
        <w:tc>
          <w:tcPr>
            <w:tcW w:w="4018" w:type="dxa"/>
            <w:vMerge w:val="restart"/>
          </w:tcPr>
          <w:p w:rsidR="00314B92" w:rsidRDefault="00AD5F81">
            <w:pPr>
              <w:pStyle w:val="Normal1"/>
              <w:rPr>
                <w:sz w:val="20"/>
                <w:szCs w:val="20"/>
              </w:rPr>
            </w:pPr>
            <w:r>
              <w:rPr>
                <w:sz w:val="20"/>
                <w:szCs w:val="20"/>
              </w:rPr>
              <w:t xml:space="preserve">IST (12 derniers mois) </w:t>
            </w:r>
          </w:p>
        </w:tc>
        <w:tc>
          <w:tcPr>
            <w:tcW w:w="641" w:type="dxa"/>
          </w:tcPr>
          <w:p w:rsidR="00314B92" w:rsidRDefault="00AD5F81">
            <w:pPr>
              <w:pStyle w:val="Normal1"/>
              <w:rPr>
                <w:sz w:val="16"/>
                <w:szCs w:val="16"/>
              </w:rPr>
            </w:pPr>
            <w:r>
              <w:rPr>
                <w:sz w:val="16"/>
                <w:szCs w:val="16"/>
              </w:rPr>
              <w:t>15-19</w:t>
            </w:r>
          </w:p>
        </w:tc>
        <w:tc>
          <w:tcPr>
            <w:tcW w:w="641" w:type="dxa"/>
          </w:tcPr>
          <w:p w:rsidR="00314B92" w:rsidRDefault="00AD5F81">
            <w:pPr>
              <w:pStyle w:val="Normal1"/>
              <w:rPr>
                <w:sz w:val="20"/>
                <w:szCs w:val="20"/>
              </w:rPr>
            </w:pPr>
            <w:r>
              <w:rPr>
                <w:sz w:val="20"/>
                <w:szCs w:val="20"/>
              </w:rPr>
              <w:t>0,3</w:t>
            </w:r>
          </w:p>
        </w:tc>
        <w:tc>
          <w:tcPr>
            <w:tcW w:w="641" w:type="dxa"/>
          </w:tcPr>
          <w:p w:rsidR="00314B92" w:rsidRDefault="00AD5F81">
            <w:pPr>
              <w:pStyle w:val="Normal1"/>
              <w:rPr>
                <w:sz w:val="20"/>
                <w:szCs w:val="20"/>
              </w:rPr>
            </w:pPr>
            <w:r>
              <w:rPr>
                <w:sz w:val="20"/>
                <w:szCs w:val="20"/>
              </w:rPr>
              <w:t>1,9</w:t>
            </w:r>
          </w:p>
        </w:tc>
        <w:tc>
          <w:tcPr>
            <w:tcW w:w="641" w:type="dxa"/>
          </w:tcPr>
          <w:p w:rsidR="00314B92" w:rsidRDefault="00AD5F81">
            <w:pPr>
              <w:pStyle w:val="Normal1"/>
              <w:rPr>
                <w:sz w:val="20"/>
                <w:szCs w:val="20"/>
              </w:rPr>
            </w:pPr>
            <w:r>
              <w:rPr>
                <w:sz w:val="20"/>
                <w:szCs w:val="20"/>
              </w:rPr>
              <w:t>1,6</w:t>
            </w:r>
          </w:p>
        </w:tc>
        <w:tc>
          <w:tcPr>
            <w:tcW w:w="641" w:type="dxa"/>
          </w:tcPr>
          <w:p w:rsidR="00314B92" w:rsidRDefault="00AD5F81">
            <w:pPr>
              <w:pStyle w:val="Normal1"/>
              <w:rPr>
                <w:sz w:val="20"/>
                <w:szCs w:val="20"/>
              </w:rPr>
            </w:pPr>
            <w:r>
              <w:rPr>
                <w:sz w:val="20"/>
                <w:szCs w:val="20"/>
              </w:rPr>
              <w:t>1,3</w:t>
            </w:r>
          </w:p>
        </w:tc>
        <w:tc>
          <w:tcPr>
            <w:tcW w:w="641" w:type="dxa"/>
          </w:tcPr>
          <w:p w:rsidR="00314B92" w:rsidRDefault="00AD5F81">
            <w:pPr>
              <w:pStyle w:val="Normal1"/>
              <w:rPr>
                <w:sz w:val="20"/>
                <w:szCs w:val="20"/>
              </w:rPr>
            </w:pPr>
            <w:r>
              <w:rPr>
                <w:sz w:val="20"/>
                <w:szCs w:val="20"/>
              </w:rPr>
              <w:t>2,9</w:t>
            </w:r>
          </w:p>
        </w:tc>
        <w:tc>
          <w:tcPr>
            <w:tcW w:w="641" w:type="dxa"/>
          </w:tcPr>
          <w:p w:rsidR="00314B92" w:rsidRDefault="00AD5F81">
            <w:pPr>
              <w:pStyle w:val="Normal1"/>
              <w:rPr>
                <w:sz w:val="20"/>
                <w:szCs w:val="20"/>
              </w:rPr>
            </w:pPr>
            <w:r>
              <w:rPr>
                <w:sz w:val="20"/>
                <w:szCs w:val="20"/>
              </w:rPr>
              <w:t>1,5</w:t>
            </w:r>
          </w:p>
        </w:tc>
      </w:tr>
      <w:tr w:rsidR="00314B92">
        <w:tc>
          <w:tcPr>
            <w:tcW w:w="449"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4018"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641" w:type="dxa"/>
          </w:tcPr>
          <w:p w:rsidR="00314B92" w:rsidRDefault="00AD5F81">
            <w:pPr>
              <w:pStyle w:val="Normal1"/>
              <w:rPr>
                <w:sz w:val="16"/>
                <w:szCs w:val="16"/>
              </w:rPr>
            </w:pPr>
            <w:r>
              <w:rPr>
                <w:sz w:val="16"/>
                <w:szCs w:val="16"/>
              </w:rPr>
              <w:t>20-24</w:t>
            </w:r>
          </w:p>
        </w:tc>
        <w:tc>
          <w:tcPr>
            <w:tcW w:w="641" w:type="dxa"/>
          </w:tcPr>
          <w:p w:rsidR="00314B92" w:rsidRDefault="00AD5F81">
            <w:pPr>
              <w:pStyle w:val="Normal1"/>
              <w:rPr>
                <w:sz w:val="20"/>
                <w:szCs w:val="20"/>
              </w:rPr>
            </w:pPr>
            <w:r>
              <w:rPr>
                <w:sz w:val="20"/>
                <w:szCs w:val="20"/>
              </w:rPr>
              <w:t>0,5</w:t>
            </w:r>
          </w:p>
        </w:tc>
        <w:tc>
          <w:tcPr>
            <w:tcW w:w="641" w:type="dxa"/>
          </w:tcPr>
          <w:p w:rsidR="00314B92" w:rsidRDefault="00AD5F81">
            <w:pPr>
              <w:pStyle w:val="Normal1"/>
              <w:rPr>
                <w:sz w:val="20"/>
                <w:szCs w:val="20"/>
              </w:rPr>
            </w:pPr>
            <w:r>
              <w:rPr>
                <w:sz w:val="20"/>
                <w:szCs w:val="20"/>
              </w:rPr>
              <w:t>2,9</w:t>
            </w:r>
          </w:p>
        </w:tc>
        <w:tc>
          <w:tcPr>
            <w:tcW w:w="641" w:type="dxa"/>
          </w:tcPr>
          <w:p w:rsidR="00314B92" w:rsidRDefault="00AD5F81">
            <w:pPr>
              <w:pStyle w:val="Normal1"/>
              <w:rPr>
                <w:sz w:val="20"/>
                <w:szCs w:val="20"/>
              </w:rPr>
            </w:pPr>
            <w:r>
              <w:rPr>
                <w:sz w:val="20"/>
                <w:szCs w:val="20"/>
              </w:rPr>
              <w:t>2</w:t>
            </w:r>
          </w:p>
        </w:tc>
        <w:tc>
          <w:tcPr>
            <w:tcW w:w="641" w:type="dxa"/>
          </w:tcPr>
          <w:p w:rsidR="00314B92" w:rsidRDefault="00AD5F81">
            <w:pPr>
              <w:pStyle w:val="Normal1"/>
              <w:rPr>
                <w:sz w:val="20"/>
                <w:szCs w:val="20"/>
              </w:rPr>
            </w:pPr>
            <w:r>
              <w:rPr>
                <w:sz w:val="20"/>
                <w:szCs w:val="20"/>
              </w:rPr>
              <w:t>0,6</w:t>
            </w:r>
          </w:p>
        </w:tc>
        <w:tc>
          <w:tcPr>
            <w:tcW w:w="641" w:type="dxa"/>
          </w:tcPr>
          <w:p w:rsidR="00314B92" w:rsidRDefault="00AD5F81">
            <w:pPr>
              <w:pStyle w:val="Normal1"/>
              <w:rPr>
                <w:sz w:val="20"/>
                <w:szCs w:val="20"/>
              </w:rPr>
            </w:pPr>
            <w:r>
              <w:rPr>
                <w:sz w:val="20"/>
                <w:szCs w:val="20"/>
              </w:rPr>
              <w:t>3,4</w:t>
            </w:r>
          </w:p>
        </w:tc>
        <w:tc>
          <w:tcPr>
            <w:tcW w:w="641" w:type="dxa"/>
          </w:tcPr>
          <w:p w:rsidR="00314B92" w:rsidRDefault="00AD5F81">
            <w:pPr>
              <w:pStyle w:val="Normal1"/>
              <w:rPr>
                <w:sz w:val="20"/>
                <w:szCs w:val="20"/>
              </w:rPr>
            </w:pPr>
            <w:r>
              <w:rPr>
                <w:sz w:val="20"/>
                <w:szCs w:val="20"/>
              </w:rPr>
              <w:t>1</w:t>
            </w:r>
          </w:p>
        </w:tc>
      </w:tr>
      <w:tr w:rsidR="00314B92">
        <w:tc>
          <w:tcPr>
            <w:tcW w:w="449" w:type="dxa"/>
            <w:vMerge w:val="restart"/>
          </w:tcPr>
          <w:p w:rsidR="00314B92" w:rsidRDefault="00314B92" w:rsidP="005D02C3">
            <w:pPr>
              <w:pStyle w:val="Normal1"/>
              <w:numPr>
                <w:ilvl w:val="0"/>
                <w:numId w:val="60"/>
              </w:numPr>
              <w:pBdr>
                <w:top w:val="nil"/>
                <w:left w:val="nil"/>
                <w:bottom w:val="nil"/>
                <w:right w:val="nil"/>
                <w:between w:val="nil"/>
              </w:pBdr>
              <w:spacing w:after="200" w:line="276" w:lineRule="auto"/>
            </w:pPr>
          </w:p>
        </w:tc>
        <w:tc>
          <w:tcPr>
            <w:tcW w:w="4018" w:type="dxa"/>
            <w:vMerge w:val="restart"/>
          </w:tcPr>
          <w:p w:rsidR="00314B92" w:rsidRDefault="00AD5F81">
            <w:pPr>
              <w:pStyle w:val="Normal1"/>
              <w:rPr>
                <w:sz w:val="20"/>
                <w:szCs w:val="20"/>
              </w:rPr>
            </w:pPr>
            <w:r>
              <w:rPr>
                <w:sz w:val="20"/>
                <w:szCs w:val="20"/>
              </w:rPr>
              <w:t>Pourcentage ayant eu des rapports sexuels à hauts risques au cours des 12 derniers mois</w:t>
            </w:r>
          </w:p>
        </w:tc>
        <w:tc>
          <w:tcPr>
            <w:tcW w:w="641" w:type="dxa"/>
          </w:tcPr>
          <w:p w:rsidR="00314B92" w:rsidRDefault="00AD5F81">
            <w:pPr>
              <w:pStyle w:val="Normal1"/>
              <w:rPr>
                <w:sz w:val="16"/>
                <w:szCs w:val="16"/>
              </w:rPr>
            </w:pPr>
            <w:r>
              <w:rPr>
                <w:sz w:val="16"/>
                <w:szCs w:val="16"/>
              </w:rPr>
              <w:t>15-19</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36,8</w:t>
            </w:r>
          </w:p>
        </w:tc>
        <w:tc>
          <w:tcPr>
            <w:tcW w:w="641" w:type="dxa"/>
          </w:tcPr>
          <w:p w:rsidR="00314B92" w:rsidRDefault="00AD5F81">
            <w:pPr>
              <w:pStyle w:val="Normal1"/>
              <w:rPr>
                <w:sz w:val="20"/>
                <w:szCs w:val="20"/>
              </w:rPr>
            </w:pPr>
            <w:r>
              <w:rPr>
                <w:sz w:val="20"/>
                <w:szCs w:val="20"/>
              </w:rPr>
              <w:t>97,6</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r>
      <w:tr w:rsidR="00314B92">
        <w:tc>
          <w:tcPr>
            <w:tcW w:w="449"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4018"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641" w:type="dxa"/>
          </w:tcPr>
          <w:p w:rsidR="00314B92" w:rsidRDefault="00AD5F81">
            <w:pPr>
              <w:pStyle w:val="Normal1"/>
              <w:rPr>
                <w:sz w:val="16"/>
                <w:szCs w:val="16"/>
              </w:rPr>
            </w:pPr>
            <w:r>
              <w:rPr>
                <w:sz w:val="16"/>
                <w:szCs w:val="16"/>
              </w:rPr>
              <w:t>20-24</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13,5</w:t>
            </w:r>
          </w:p>
        </w:tc>
        <w:tc>
          <w:tcPr>
            <w:tcW w:w="641" w:type="dxa"/>
          </w:tcPr>
          <w:p w:rsidR="00314B92" w:rsidRDefault="00AD5F81">
            <w:pPr>
              <w:pStyle w:val="Normal1"/>
              <w:rPr>
                <w:sz w:val="20"/>
                <w:szCs w:val="20"/>
              </w:rPr>
            </w:pPr>
            <w:r>
              <w:rPr>
                <w:sz w:val="20"/>
                <w:szCs w:val="20"/>
              </w:rPr>
              <w:t>67,7</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r>
      <w:tr w:rsidR="00314B92">
        <w:tc>
          <w:tcPr>
            <w:tcW w:w="449" w:type="dxa"/>
            <w:vMerge w:val="restart"/>
          </w:tcPr>
          <w:p w:rsidR="00314B92" w:rsidRDefault="00314B92" w:rsidP="005D02C3">
            <w:pPr>
              <w:pStyle w:val="Normal1"/>
              <w:numPr>
                <w:ilvl w:val="0"/>
                <w:numId w:val="60"/>
              </w:numPr>
              <w:pBdr>
                <w:top w:val="nil"/>
                <w:left w:val="nil"/>
                <w:bottom w:val="nil"/>
                <w:right w:val="nil"/>
                <w:between w:val="nil"/>
              </w:pBdr>
              <w:spacing w:after="200" w:line="276" w:lineRule="auto"/>
            </w:pPr>
          </w:p>
        </w:tc>
        <w:tc>
          <w:tcPr>
            <w:tcW w:w="4018" w:type="dxa"/>
            <w:vMerge w:val="restart"/>
          </w:tcPr>
          <w:p w:rsidR="00314B92" w:rsidRDefault="00AD5F81">
            <w:pPr>
              <w:pStyle w:val="Normal1"/>
              <w:rPr>
                <w:sz w:val="20"/>
                <w:szCs w:val="20"/>
              </w:rPr>
            </w:pPr>
            <w:r>
              <w:rPr>
                <w:sz w:val="20"/>
                <w:szCs w:val="20"/>
              </w:rPr>
              <w:t>Pourcentage ayant utilisé un condom au cours des derniers rapports à haut risque</w:t>
            </w:r>
          </w:p>
        </w:tc>
        <w:tc>
          <w:tcPr>
            <w:tcW w:w="641" w:type="dxa"/>
          </w:tcPr>
          <w:p w:rsidR="00314B92" w:rsidRDefault="00AD5F81">
            <w:pPr>
              <w:pStyle w:val="Normal1"/>
              <w:rPr>
                <w:sz w:val="16"/>
                <w:szCs w:val="16"/>
              </w:rPr>
            </w:pPr>
            <w:r>
              <w:rPr>
                <w:sz w:val="16"/>
                <w:szCs w:val="16"/>
              </w:rPr>
              <w:t>15-19</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46,4</w:t>
            </w:r>
          </w:p>
        </w:tc>
        <w:tc>
          <w:tcPr>
            <w:tcW w:w="641" w:type="dxa"/>
          </w:tcPr>
          <w:p w:rsidR="00314B92" w:rsidRDefault="00AD5F81">
            <w:pPr>
              <w:pStyle w:val="Normal1"/>
              <w:rPr>
                <w:sz w:val="20"/>
                <w:szCs w:val="20"/>
              </w:rPr>
            </w:pPr>
            <w:r>
              <w:rPr>
                <w:sz w:val="20"/>
                <w:szCs w:val="20"/>
              </w:rPr>
              <w:t>61,6</w:t>
            </w:r>
          </w:p>
        </w:tc>
        <w:tc>
          <w:tcPr>
            <w:tcW w:w="641" w:type="dxa"/>
          </w:tcPr>
          <w:p w:rsidR="00314B92" w:rsidRDefault="00AD5F81">
            <w:pPr>
              <w:pStyle w:val="Normal1"/>
              <w:rPr>
                <w:sz w:val="20"/>
                <w:szCs w:val="20"/>
              </w:rPr>
            </w:pPr>
            <w:r>
              <w:rPr>
                <w:sz w:val="20"/>
                <w:szCs w:val="20"/>
              </w:rPr>
              <w:t>57,3</w:t>
            </w:r>
          </w:p>
        </w:tc>
        <w:tc>
          <w:tcPr>
            <w:tcW w:w="641" w:type="dxa"/>
          </w:tcPr>
          <w:p w:rsidR="00314B92" w:rsidRDefault="00AD5F81">
            <w:pPr>
              <w:pStyle w:val="Normal1"/>
              <w:rPr>
                <w:sz w:val="20"/>
                <w:szCs w:val="20"/>
              </w:rPr>
            </w:pPr>
            <w:r>
              <w:rPr>
                <w:sz w:val="20"/>
                <w:szCs w:val="20"/>
              </w:rPr>
              <w:t>76,4</w:t>
            </w:r>
          </w:p>
        </w:tc>
      </w:tr>
      <w:tr w:rsidR="00314B92">
        <w:tc>
          <w:tcPr>
            <w:tcW w:w="449"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4018"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641" w:type="dxa"/>
          </w:tcPr>
          <w:p w:rsidR="00314B92" w:rsidRDefault="00AD5F81">
            <w:pPr>
              <w:pStyle w:val="Normal1"/>
              <w:rPr>
                <w:sz w:val="16"/>
                <w:szCs w:val="16"/>
              </w:rPr>
            </w:pPr>
            <w:r>
              <w:rPr>
                <w:sz w:val="16"/>
                <w:szCs w:val="16"/>
              </w:rPr>
              <w:t>20-24</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67,4</w:t>
            </w:r>
          </w:p>
        </w:tc>
        <w:tc>
          <w:tcPr>
            <w:tcW w:w="641" w:type="dxa"/>
          </w:tcPr>
          <w:p w:rsidR="00314B92" w:rsidRDefault="00AD5F81">
            <w:pPr>
              <w:pStyle w:val="Normal1"/>
              <w:rPr>
                <w:sz w:val="20"/>
                <w:szCs w:val="20"/>
              </w:rPr>
            </w:pPr>
            <w:r>
              <w:rPr>
                <w:sz w:val="20"/>
                <w:szCs w:val="20"/>
              </w:rPr>
              <w:t>71</w:t>
            </w:r>
          </w:p>
        </w:tc>
        <w:tc>
          <w:tcPr>
            <w:tcW w:w="641" w:type="dxa"/>
          </w:tcPr>
          <w:p w:rsidR="00314B92" w:rsidRDefault="00AD5F81">
            <w:pPr>
              <w:pStyle w:val="Normal1"/>
              <w:rPr>
                <w:sz w:val="20"/>
                <w:szCs w:val="20"/>
              </w:rPr>
            </w:pPr>
            <w:r>
              <w:rPr>
                <w:sz w:val="20"/>
                <w:szCs w:val="20"/>
              </w:rPr>
              <w:t>73,6</w:t>
            </w:r>
          </w:p>
        </w:tc>
        <w:tc>
          <w:tcPr>
            <w:tcW w:w="641" w:type="dxa"/>
          </w:tcPr>
          <w:p w:rsidR="00314B92" w:rsidRDefault="00AD5F81">
            <w:pPr>
              <w:pStyle w:val="Normal1"/>
              <w:rPr>
                <w:sz w:val="20"/>
                <w:szCs w:val="20"/>
              </w:rPr>
            </w:pPr>
            <w:r>
              <w:rPr>
                <w:sz w:val="20"/>
                <w:szCs w:val="20"/>
              </w:rPr>
              <w:t>74,2</w:t>
            </w:r>
          </w:p>
        </w:tc>
      </w:tr>
      <w:tr w:rsidR="00314B92">
        <w:tc>
          <w:tcPr>
            <w:tcW w:w="449" w:type="dxa"/>
            <w:vMerge w:val="restart"/>
          </w:tcPr>
          <w:p w:rsidR="00314B92" w:rsidRDefault="00314B92" w:rsidP="005D02C3">
            <w:pPr>
              <w:pStyle w:val="Normal1"/>
              <w:numPr>
                <w:ilvl w:val="0"/>
                <w:numId w:val="60"/>
              </w:numPr>
              <w:pBdr>
                <w:top w:val="nil"/>
                <w:left w:val="nil"/>
                <w:bottom w:val="nil"/>
                <w:right w:val="nil"/>
                <w:between w:val="nil"/>
              </w:pBdr>
              <w:spacing w:after="200" w:line="276" w:lineRule="auto"/>
            </w:pPr>
          </w:p>
        </w:tc>
        <w:tc>
          <w:tcPr>
            <w:tcW w:w="4018" w:type="dxa"/>
            <w:vMerge w:val="restart"/>
          </w:tcPr>
          <w:p w:rsidR="00314B92" w:rsidRDefault="00AD5F81">
            <w:pPr>
              <w:pStyle w:val="Normal1"/>
              <w:rPr>
                <w:sz w:val="20"/>
                <w:szCs w:val="20"/>
              </w:rPr>
            </w:pPr>
            <w:r>
              <w:rPr>
                <w:sz w:val="20"/>
                <w:szCs w:val="20"/>
              </w:rPr>
              <w:t>Pourcentage de femmes ayant eu des rapports sexuels avec plus d’un partenaire au cours des 12 derniers mois</w:t>
            </w:r>
          </w:p>
        </w:tc>
        <w:tc>
          <w:tcPr>
            <w:tcW w:w="641" w:type="dxa"/>
          </w:tcPr>
          <w:p w:rsidR="00314B92" w:rsidRDefault="00AD5F81">
            <w:pPr>
              <w:pStyle w:val="Normal1"/>
              <w:rPr>
                <w:sz w:val="16"/>
                <w:szCs w:val="16"/>
              </w:rPr>
            </w:pPr>
            <w:r>
              <w:rPr>
                <w:sz w:val="16"/>
                <w:szCs w:val="16"/>
              </w:rPr>
              <w:t>15-19</w:t>
            </w:r>
          </w:p>
        </w:tc>
        <w:tc>
          <w:tcPr>
            <w:tcW w:w="641" w:type="dxa"/>
          </w:tcPr>
          <w:p w:rsidR="00314B92" w:rsidRDefault="00AD5F81">
            <w:pPr>
              <w:pStyle w:val="Normal1"/>
              <w:rPr>
                <w:sz w:val="20"/>
                <w:szCs w:val="20"/>
              </w:rPr>
            </w:pPr>
            <w:r>
              <w:rPr>
                <w:sz w:val="20"/>
                <w:szCs w:val="20"/>
              </w:rPr>
              <w:t>2,3</w:t>
            </w:r>
          </w:p>
        </w:tc>
        <w:tc>
          <w:tcPr>
            <w:tcW w:w="641" w:type="dxa"/>
          </w:tcPr>
          <w:p w:rsidR="00314B92" w:rsidRDefault="00AD5F81">
            <w:pPr>
              <w:pStyle w:val="Normal1"/>
              <w:rPr>
                <w:sz w:val="20"/>
                <w:szCs w:val="20"/>
              </w:rPr>
            </w:pPr>
            <w:r>
              <w:rPr>
                <w:sz w:val="20"/>
                <w:szCs w:val="20"/>
              </w:rPr>
              <w:t>11,8</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0,9</w:t>
            </w:r>
          </w:p>
        </w:tc>
        <w:tc>
          <w:tcPr>
            <w:tcW w:w="641" w:type="dxa"/>
          </w:tcPr>
          <w:p w:rsidR="00314B92" w:rsidRDefault="00AD5F81">
            <w:pPr>
              <w:pStyle w:val="Normal1"/>
              <w:rPr>
                <w:sz w:val="20"/>
                <w:szCs w:val="20"/>
              </w:rPr>
            </w:pPr>
            <w:r>
              <w:rPr>
                <w:sz w:val="20"/>
                <w:szCs w:val="20"/>
              </w:rPr>
              <w:t>2</w:t>
            </w:r>
          </w:p>
        </w:tc>
      </w:tr>
      <w:tr w:rsidR="00314B92">
        <w:tc>
          <w:tcPr>
            <w:tcW w:w="449"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4018" w:type="dxa"/>
            <w:vMerge/>
          </w:tcPr>
          <w:p w:rsidR="00314B92" w:rsidRDefault="00314B92">
            <w:pPr>
              <w:pStyle w:val="Normal1"/>
              <w:widowControl w:val="0"/>
              <w:pBdr>
                <w:top w:val="nil"/>
                <w:left w:val="nil"/>
                <w:bottom w:val="nil"/>
                <w:right w:val="nil"/>
                <w:between w:val="nil"/>
              </w:pBdr>
              <w:spacing w:line="276" w:lineRule="auto"/>
              <w:rPr>
                <w:sz w:val="20"/>
                <w:szCs w:val="20"/>
              </w:rPr>
            </w:pPr>
          </w:p>
        </w:tc>
        <w:tc>
          <w:tcPr>
            <w:tcW w:w="641" w:type="dxa"/>
          </w:tcPr>
          <w:p w:rsidR="00314B92" w:rsidRDefault="00AD5F81">
            <w:pPr>
              <w:pStyle w:val="Normal1"/>
              <w:rPr>
                <w:sz w:val="16"/>
                <w:szCs w:val="16"/>
              </w:rPr>
            </w:pPr>
            <w:r>
              <w:rPr>
                <w:sz w:val="16"/>
                <w:szCs w:val="16"/>
              </w:rPr>
              <w:t>20-24</w:t>
            </w:r>
          </w:p>
        </w:tc>
        <w:tc>
          <w:tcPr>
            <w:tcW w:w="641" w:type="dxa"/>
          </w:tcPr>
          <w:p w:rsidR="00314B92" w:rsidRDefault="00AD5F81">
            <w:pPr>
              <w:pStyle w:val="Normal1"/>
              <w:rPr>
                <w:sz w:val="20"/>
                <w:szCs w:val="20"/>
              </w:rPr>
            </w:pPr>
            <w:r>
              <w:rPr>
                <w:sz w:val="20"/>
                <w:szCs w:val="20"/>
              </w:rPr>
              <w:t>0,4</w:t>
            </w:r>
          </w:p>
        </w:tc>
        <w:tc>
          <w:tcPr>
            <w:tcW w:w="641" w:type="dxa"/>
          </w:tcPr>
          <w:p w:rsidR="00314B92" w:rsidRDefault="00AD5F81">
            <w:pPr>
              <w:pStyle w:val="Normal1"/>
              <w:rPr>
                <w:sz w:val="20"/>
                <w:szCs w:val="20"/>
              </w:rPr>
            </w:pPr>
            <w:r>
              <w:rPr>
                <w:sz w:val="20"/>
                <w:szCs w:val="20"/>
              </w:rPr>
              <w:t>16</w:t>
            </w:r>
          </w:p>
        </w:tc>
        <w:tc>
          <w:tcPr>
            <w:tcW w:w="641" w:type="dxa"/>
          </w:tcPr>
          <w:p w:rsidR="00314B92" w:rsidRDefault="00314B92">
            <w:pPr>
              <w:pStyle w:val="Normal1"/>
              <w:rPr>
                <w:sz w:val="20"/>
                <w:szCs w:val="20"/>
              </w:rPr>
            </w:pPr>
          </w:p>
        </w:tc>
        <w:tc>
          <w:tcPr>
            <w:tcW w:w="641" w:type="dxa"/>
          </w:tcPr>
          <w:p w:rsidR="00314B92" w:rsidRDefault="00314B92">
            <w:pPr>
              <w:pStyle w:val="Normal1"/>
              <w:rPr>
                <w:sz w:val="20"/>
                <w:szCs w:val="20"/>
              </w:rPr>
            </w:pPr>
          </w:p>
        </w:tc>
        <w:tc>
          <w:tcPr>
            <w:tcW w:w="641" w:type="dxa"/>
          </w:tcPr>
          <w:p w:rsidR="00314B92" w:rsidRDefault="00AD5F81">
            <w:pPr>
              <w:pStyle w:val="Normal1"/>
              <w:rPr>
                <w:sz w:val="20"/>
                <w:szCs w:val="20"/>
              </w:rPr>
            </w:pPr>
            <w:r>
              <w:rPr>
                <w:sz w:val="20"/>
                <w:szCs w:val="20"/>
              </w:rPr>
              <w:t>0,9</w:t>
            </w:r>
          </w:p>
        </w:tc>
        <w:tc>
          <w:tcPr>
            <w:tcW w:w="641" w:type="dxa"/>
          </w:tcPr>
          <w:p w:rsidR="00314B92" w:rsidRDefault="00AD5F81">
            <w:pPr>
              <w:pStyle w:val="Normal1"/>
              <w:rPr>
                <w:sz w:val="20"/>
                <w:szCs w:val="20"/>
              </w:rPr>
            </w:pPr>
            <w:r>
              <w:rPr>
                <w:sz w:val="20"/>
                <w:szCs w:val="20"/>
              </w:rPr>
              <w:t>11,5</w:t>
            </w:r>
          </w:p>
        </w:tc>
      </w:tr>
    </w:tbl>
    <w:p w:rsidR="00314B92" w:rsidRDefault="00AD5F81">
      <w:pPr>
        <w:pStyle w:val="Normal1"/>
        <w:spacing w:before="240" w:after="0"/>
        <w:jc w:val="both"/>
        <w:rPr>
          <w:b/>
          <w:sz w:val="24"/>
          <w:szCs w:val="24"/>
        </w:rPr>
      </w:pPr>
      <w:bookmarkStart w:id="8" w:name="_2s8eyo1" w:colFirst="0" w:colLast="0"/>
      <w:bookmarkEnd w:id="8"/>
      <w:r>
        <w:rPr>
          <w:b/>
          <w:sz w:val="24"/>
          <w:szCs w:val="24"/>
        </w:rPr>
        <w:t>La pratique de rapports sexuels à haut risque et non protégés</w:t>
      </w:r>
    </w:p>
    <w:p w:rsidR="00314B92" w:rsidRDefault="00AD5F81">
      <w:pPr>
        <w:pStyle w:val="Normal1"/>
        <w:spacing w:after="0"/>
        <w:jc w:val="both"/>
        <w:rPr>
          <w:sz w:val="24"/>
          <w:szCs w:val="24"/>
        </w:rPr>
      </w:pPr>
      <w:r>
        <w:rPr>
          <w:sz w:val="24"/>
          <w:szCs w:val="24"/>
        </w:rPr>
        <w:t>En 1999, le pourcentage de femmes ayant eu des rapports sexuels avec plus d’un partenaire au cours des 12 derniers mois étaient de 2,3 % pour les adolescentes et 11,8 % pour les adolescents et en 2010 ces proportions étaient respectivement de 0,9 et 2 %. Dans la population des jeunes (20-24 ans), ces proportions étaient respectivement de 0,4 % et 16 % en 1999 et de 0,9 et 11,5 % en 2010.</w:t>
      </w:r>
    </w:p>
    <w:p w:rsidR="00314B92" w:rsidRDefault="00AD5F81">
      <w:pPr>
        <w:pStyle w:val="Normal1"/>
        <w:spacing w:after="0"/>
        <w:jc w:val="both"/>
        <w:rPr>
          <w:sz w:val="24"/>
          <w:szCs w:val="24"/>
        </w:rPr>
      </w:pPr>
      <w:r>
        <w:rPr>
          <w:sz w:val="24"/>
          <w:szCs w:val="24"/>
        </w:rPr>
        <w:t xml:space="preserve">Parmi les 15 – 19 ans, le pourcentage des adolescents ayant utilisé un condom au cours des derniers rapports à haut risque était de 46,4 % pour les filles et 61,6 % pour les garçons en 2003 et de 57,3 % et 76,4 % en 2010.  Dans la population des 20-24 ans, ces proportions étaient respectivement de 67,4 % et 71 % en 2003 et 73,6% et 74,2 % en 2010. </w:t>
      </w:r>
    </w:p>
    <w:p w:rsidR="00314B92" w:rsidRDefault="00AD5F81">
      <w:pPr>
        <w:pStyle w:val="Normal1"/>
        <w:spacing w:after="0"/>
        <w:jc w:val="both"/>
        <w:rPr>
          <w:sz w:val="24"/>
          <w:szCs w:val="24"/>
        </w:rPr>
      </w:pPr>
      <w:r>
        <w:rPr>
          <w:sz w:val="24"/>
          <w:szCs w:val="24"/>
        </w:rPr>
        <w:t xml:space="preserve">En 2010, la proportion des rapports à risque mais protégés a légèrement progressé. Cette progression est un peu plus chez les garçons que chez les filles où on observe plus de 42 % de rapports sexuels à risque sans protection chez les 15-19 ans et 26 % chez les 20-24 ans. </w:t>
      </w:r>
    </w:p>
    <w:p w:rsidR="00314B92" w:rsidRDefault="00AD5F81">
      <w:pPr>
        <w:pStyle w:val="Normal1"/>
        <w:spacing w:after="0"/>
        <w:jc w:val="both"/>
        <w:rPr>
          <w:b/>
          <w:sz w:val="24"/>
          <w:szCs w:val="24"/>
        </w:rPr>
      </w:pPr>
      <w:r>
        <w:rPr>
          <w:b/>
          <w:sz w:val="24"/>
          <w:szCs w:val="24"/>
        </w:rPr>
        <w:t>Les IST et VIH-SIDA</w:t>
      </w:r>
    </w:p>
    <w:p w:rsidR="00314B92" w:rsidRDefault="00AD5F81">
      <w:pPr>
        <w:pStyle w:val="Normal1"/>
        <w:spacing w:after="0"/>
        <w:jc w:val="both"/>
        <w:rPr>
          <w:sz w:val="24"/>
          <w:szCs w:val="24"/>
        </w:rPr>
      </w:pPr>
      <w:r>
        <w:rPr>
          <w:sz w:val="24"/>
          <w:szCs w:val="24"/>
        </w:rPr>
        <w:t>La proportion des adolescents ayant déclaré avoir fait une IST au cours des derniers 12 mois précédents l’enquête était pour les filles et les garçons de 0,3 et 1,9 % en 1999, 1,6 et 1,3 % en 2003 et 2,9 et 1,5 % en 2010. La tendance est variable chez les adolescents, mais par contre elle est croissante chez les adolescentes.</w:t>
      </w:r>
    </w:p>
    <w:p w:rsidR="00314B92" w:rsidRDefault="00AD5F81">
      <w:pPr>
        <w:pStyle w:val="Normal1"/>
        <w:spacing w:after="0"/>
        <w:jc w:val="both"/>
        <w:rPr>
          <w:sz w:val="24"/>
          <w:szCs w:val="24"/>
        </w:rPr>
      </w:pPr>
      <w:r>
        <w:rPr>
          <w:sz w:val="24"/>
          <w:szCs w:val="24"/>
        </w:rPr>
        <w:t>En 2010, la prévalence du VIH/SIDA est de 0,1% pour les filles et 0,4% pour les garçons de 15-19 ans.  Chez les 20-24 ans, elle était de 0,4 % pour les filles et de 0,5 % pour les garçons</w:t>
      </w:r>
      <w:r>
        <w:rPr>
          <w:sz w:val="24"/>
          <w:szCs w:val="24"/>
          <w:vertAlign w:val="superscript"/>
        </w:rPr>
        <w:footnoteReference w:id="33"/>
      </w:r>
      <w:r>
        <w:rPr>
          <w:sz w:val="24"/>
          <w:szCs w:val="24"/>
        </w:rPr>
        <w:t>.</w:t>
      </w:r>
    </w:p>
    <w:p w:rsidR="00314B92" w:rsidRDefault="00AD5F81" w:rsidP="00AD2787">
      <w:pPr>
        <w:pStyle w:val="Normal1"/>
        <w:spacing w:after="0"/>
        <w:jc w:val="both"/>
        <w:rPr>
          <w:sz w:val="24"/>
          <w:szCs w:val="24"/>
        </w:rPr>
      </w:pPr>
      <w:r>
        <w:rPr>
          <w:sz w:val="24"/>
          <w:szCs w:val="24"/>
        </w:rPr>
        <w:t>En effet, la tendance globale de l’infection au VIH est à la baisse chez les populations adultes, alors qu’elle est en hausse chez les adolescents(e)s : 0,9% chez les adultes de 19-49 ans et 1.33% chez les adolescents de 15-19 ans</w:t>
      </w:r>
      <w:r>
        <w:rPr>
          <w:sz w:val="24"/>
          <w:szCs w:val="24"/>
          <w:vertAlign w:val="superscript"/>
        </w:rPr>
        <w:footnoteReference w:id="34"/>
      </w:r>
      <w:r>
        <w:rPr>
          <w:sz w:val="24"/>
          <w:szCs w:val="24"/>
        </w:rPr>
        <w:t xml:space="preserve">. </w:t>
      </w:r>
    </w:p>
    <w:p w:rsidR="00314B92" w:rsidRDefault="00AD5F81" w:rsidP="00AD2787">
      <w:pPr>
        <w:pStyle w:val="Normal1"/>
        <w:spacing w:after="0"/>
        <w:jc w:val="both"/>
        <w:rPr>
          <w:sz w:val="24"/>
          <w:szCs w:val="24"/>
        </w:rPr>
      </w:pPr>
      <w:r>
        <w:rPr>
          <w:sz w:val="24"/>
          <w:szCs w:val="24"/>
        </w:rPr>
        <w:t>Par rapport aux comportements à risque pour le don de sang, en 2017 54,70% des dons de sang proviennent des donneurs dont l’âge est compris entre 18-24 ans. Durant le même 14,90% des motifs de contre-indication au don de sang st relatifs au comportement sexuel a risque (annuaire stat de la TS 2017).</w:t>
      </w:r>
    </w:p>
    <w:p w:rsidR="00314B92" w:rsidRDefault="00AD5F81">
      <w:pPr>
        <w:pStyle w:val="Normal1"/>
        <w:spacing w:after="0"/>
        <w:jc w:val="both"/>
        <w:rPr>
          <w:b/>
          <w:sz w:val="24"/>
          <w:szCs w:val="24"/>
        </w:rPr>
      </w:pPr>
      <w:r>
        <w:rPr>
          <w:b/>
          <w:sz w:val="24"/>
          <w:szCs w:val="24"/>
        </w:rPr>
        <w:t xml:space="preserve">Grossesses non désirées et avortements clandestins </w:t>
      </w:r>
    </w:p>
    <w:p w:rsidR="00314B92" w:rsidRDefault="00AD5F81">
      <w:pPr>
        <w:pStyle w:val="Normal1"/>
        <w:spacing w:after="0"/>
        <w:jc w:val="both"/>
        <w:rPr>
          <w:sz w:val="24"/>
          <w:szCs w:val="24"/>
        </w:rPr>
      </w:pPr>
      <w:r>
        <w:rPr>
          <w:sz w:val="24"/>
          <w:szCs w:val="24"/>
        </w:rPr>
        <w:t xml:space="preserve">Les grossesses non désirées chez les adolescents et jeunes sont la conséquence d’une sexualité précoce, à risque non protégée et un taux d’utilisation bas de la contraception. Cette situation entraine un enchaînement de problèmes dont l’avortement clandestin, l’infanticide, l’abandon scolaire et l’exclusion familiale. </w:t>
      </w:r>
    </w:p>
    <w:p w:rsidR="00314B92" w:rsidRDefault="00AD5F81">
      <w:pPr>
        <w:pStyle w:val="Normal1"/>
        <w:spacing w:after="0"/>
        <w:jc w:val="both"/>
        <w:rPr>
          <w:sz w:val="24"/>
          <w:szCs w:val="24"/>
        </w:rPr>
      </w:pPr>
      <w:r>
        <w:rPr>
          <w:sz w:val="24"/>
          <w:szCs w:val="24"/>
        </w:rPr>
        <w:t>En 2015, la prévalence contraceptive chez les 15-19 ans et de 12,6 et 21,6% chez les 20-24 ans</w:t>
      </w:r>
      <w:r>
        <w:rPr>
          <w:sz w:val="24"/>
          <w:szCs w:val="24"/>
          <w:vertAlign w:val="superscript"/>
        </w:rPr>
        <w:footnoteReference w:id="35"/>
      </w:r>
      <w:r>
        <w:rPr>
          <w:sz w:val="24"/>
          <w:szCs w:val="24"/>
        </w:rPr>
        <w:t>. En 2012, environ 105 000 avortements ont été pratiqués au Burkina Faso et le taux national d’avortement était de 25 pour 1 000 femmes âgées de 15 à 49 ans.</w:t>
      </w:r>
    </w:p>
    <w:p w:rsidR="00314B92" w:rsidRDefault="00AD5F81">
      <w:pPr>
        <w:pStyle w:val="Normal1"/>
        <w:spacing w:after="0"/>
        <w:rPr>
          <w:sz w:val="24"/>
          <w:szCs w:val="24"/>
        </w:rPr>
      </w:pPr>
      <w:r>
        <w:rPr>
          <w:sz w:val="24"/>
          <w:szCs w:val="24"/>
        </w:rPr>
        <w:t xml:space="preserve">La problématique des grossesses non désirées est surtout préoccupante en milieu scolaire. </w:t>
      </w:r>
    </w:p>
    <w:p w:rsidR="006D2860" w:rsidRDefault="00AD5F81">
      <w:pPr>
        <w:pStyle w:val="Normal1"/>
        <w:spacing w:after="0"/>
        <w:jc w:val="both"/>
      </w:pPr>
      <w:r>
        <w:rPr>
          <w:sz w:val="24"/>
          <w:szCs w:val="24"/>
        </w:rPr>
        <w:t>Au cours de l'année scolaire 2010-11, les DS de Ouahigouya et de Gaoua ont enregistré respectivement 119 et 276 cas de grossesses d'adolescentes dans les écoles. Dans le DS de Bobo, 27 cas de grossesses  ont été notifiés dans une classe du CM2 durant l'année scolaire 2010-11</w:t>
      </w:r>
      <w:r>
        <w:rPr>
          <w:sz w:val="24"/>
          <w:szCs w:val="24"/>
          <w:vertAlign w:val="superscript"/>
        </w:rPr>
        <w:footnoteReference w:id="36"/>
      </w:r>
      <w:r>
        <w:rPr>
          <w:sz w:val="24"/>
          <w:szCs w:val="24"/>
        </w:rPr>
        <w:t>.</w:t>
      </w:r>
    </w:p>
    <w:p w:rsidR="00314B92" w:rsidRDefault="00AD5F81" w:rsidP="00AD2787">
      <w:pPr>
        <w:pStyle w:val="Normal1"/>
        <w:spacing w:after="0"/>
        <w:jc w:val="both"/>
        <w:rPr>
          <w:sz w:val="24"/>
          <w:szCs w:val="24"/>
        </w:rPr>
      </w:pPr>
      <w:r>
        <w:rPr>
          <w:sz w:val="24"/>
          <w:szCs w:val="24"/>
        </w:rPr>
        <w:t>En 2008, 65% des femmes qui avaient eu recours à l’avortement dans les deux années précédentes avaient entre 15 et 24 ans. Six femmes sur 10 qui ont avorté n’étaient pas mariées. Le recours à des méthodes d’avortement sûr reste très faible au Burkina Faso et il est presque inexistant chez les femmes des zones rurales où 97% des avortements sont à risque. En 2008, environ 23 000 femmes ont été traitées pour complications liées à un avortement et 15 000 femmes ayant connu des complications sévères n’ayant pas reçu les soins dont elles avaient besoin</w:t>
      </w:r>
      <w:r>
        <w:rPr>
          <w:sz w:val="24"/>
          <w:szCs w:val="24"/>
          <w:vertAlign w:val="superscript"/>
        </w:rPr>
        <w:footnoteReference w:id="37"/>
      </w:r>
      <w:r>
        <w:rPr>
          <w:sz w:val="24"/>
          <w:szCs w:val="24"/>
        </w:rPr>
        <w:t>.</w:t>
      </w:r>
    </w:p>
    <w:p w:rsidR="00314B92" w:rsidRDefault="00AD5F81" w:rsidP="00AD2787">
      <w:pPr>
        <w:pStyle w:val="Normal1"/>
        <w:spacing w:after="0"/>
        <w:jc w:val="both"/>
        <w:rPr>
          <w:b/>
          <w:sz w:val="24"/>
          <w:szCs w:val="24"/>
        </w:rPr>
      </w:pPr>
      <w:r>
        <w:rPr>
          <w:b/>
          <w:sz w:val="24"/>
          <w:szCs w:val="24"/>
        </w:rPr>
        <w:t>La malnutrition</w:t>
      </w:r>
    </w:p>
    <w:p w:rsidR="00314B92" w:rsidRDefault="00AD5F81" w:rsidP="00AD2787">
      <w:pPr>
        <w:pStyle w:val="Normal1"/>
        <w:spacing w:after="0"/>
        <w:rPr>
          <w:sz w:val="23"/>
          <w:szCs w:val="23"/>
        </w:rPr>
      </w:pPr>
      <w:r>
        <w:rPr>
          <w:sz w:val="23"/>
          <w:szCs w:val="23"/>
        </w:rPr>
        <w:t>Comme le reste de la population de nombreux adolescent(e)s souffrent de malnutrition : 23,7% des femmes de 15-19 ans souffrent de maigreur, soit une adolescente sur quatre</w:t>
      </w:r>
      <w:r>
        <w:rPr>
          <w:sz w:val="23"/>
          <w:szCs w:val="23"/>
          <w:vertAlign w:val="superscript"/>
        </w:rPr>
        <w:footnoteReference w:id="38"/>
      </w:r>
      <w:r>
        <w:rPr>
          <w:sz w:val="23"/>
          <w:szCs w:val="23"/>
        </w:rPr>
        <w:t>. Les adolescentes de 15-19 ans ont un taux d’anémie de 62%</w:t>
      </w:r>
      <w:r>
        <w:rPr>
          <w:sz w:val="23"/>
          <w:szCs w:val="23"/>
          <w:vertAlign w:val="superscript"/>
        </w:rPr>
        <w:footnoteReference w:id="39"/>
      </w:r>
      <w:r>
        <w:rPr>
          <w:sz w:val="23"/>
          <w:szCs w:val="23"/>
        </w:rPr>
        <w:t>.</w:t>
      </w:r>
    </w:p>
    <w:p w:rsidR="00314B92" w:rsidRDefault="00AD5F81" w:rsidP="00AD2787">
      <w:pPr>
        <w:pStyle w:val="Normal1"/>
        <w:spacing w:after="0"/>
        <w:jc w:val="both"/>
        <w:rPr>
          <w:b/>
          <w:sz w:val="24"/>
          <w:szCs w:val="24"/>
        </w:rPr>
      </w:pPr>
      <w:r>
        <w:rPr>
          <w:b/>
          <w:sz w:val="24"/>
          <w:szCs w:val="24"/>
        </w:rPr>
        <w:t>Consommation d’alcool et tabac</w:t>
      </w:r>
    </w:p>
    <w:p w:rsidR="00314B92" w:rsidRDefault="00AD5F81" w:rsidP="00AD2787">
      <w:pPr>
        <w:pStyle w:val="Normal1"/>
        <w:spacing w:after="0"/>
        <w:jc w:val="both"/>
        <w:rPr>
          <w:sz w:val="24"/>
          <w:szCs w:val="24"/>
        </w:rPr>
      </w:pPr>
      <w:r>
        <w:rPr>
          <w:sz w:val="24"/>
          <w:szCs w:val="24"/>
        </w:rPr>
        <w:t>Pour la consommation d’alcool, entre 2003 et 2005, 29,2% d’individus âgés de 15 ans et plus étaient des consommateurs d’alcool (39,7% d’hommes et 18,81% de femmes). En 2012, le pourcentage de jeunes filles et garçons dont l’âge est compris entre 13 et 15 ans, ayant couramment usé du tabac est respectivement de 11,5% et 22,6%.</w:t>
      </w:r>
    </w:p>
    <w:p w:rsidR="00314B92" w:rsidRDefault="00AD5F81" w:rsidP="00AD2787">
      <w:pPr>
        <w:pStyle w:val="Normal1"/>
        <w:spacing w:after="0"/>
        <w:jc w:val="both"/>
        <w:rPr>
          <w:sz w:val="24"/>
          <w:szCs w:val="24"/>
        </w:rPr>
      </w:pPr>
      <w:r>
        <w:rPr>
          <w:b/>
          <w:sz w:val="24"/>
          <w:szCs w:val="24"/>
        </w:rPr>
        <w:t>Les déterminants sociaux proximaux</w:t>
      </w:r>
    </w:p>
    <w:p w:rsidR="00314B92" w:rsidRDefault="00AD5F81">
      <w:pPr>
        <w:pStyle w:val="Normal1"/>
        <w:spacing w:after="0"/>
        <w:jc w:val="both"/>
        <w:rPr>
          <w:sz w:val="24"/>
          <w:szCs w:val="24"/>
        </w:rPr>
      </w:pPr>
      <w:r>
        <w:rPr>
          <w:sz w:val="24"/>
          <w:szCs w:val="24"/>
        </w:rPr>
        <w:t>Les résultats d’une étude menée par l’OOAS en 2016 dans cinq pays de la CEDEAO sont alarmants</w:t>
      </w:r>
      <w:r>
        <w:rPr>
          <w:sz w:val="24"/>
          <w:szCs w:val="24"/>
          <w:vertAlign w:val="superscript"/>
        </w:rPr>
        <w:footnoteReference w:id="40"/>
      </w:r>
      <w:r>
        <w:rPr>
          <w:sz w:val="24"/>
          <w:szCs w:val="24"/>
        </w:rPr>
        <w:t xml:space="preserve">.« Les indicateurs classiques de l’état de santé de la population des adolescents et jeunes de l’espace CEDEAO, à savoir la mortalité, la morbidité et le DALY, se situent à un niveau préoccupant. … </w:t>
      </w:r>
      <w:r>
        <w:rPr>
          <w:color w:val="111111"/>
          <w:sz w:val="24"/>
          <w:szCs w:val="24"/>
        </w:rPr>
        <w:t>Les principales causes de mortalité chez les adolescents/jeunes sont (i) Complications de la grossesse et de l’accouchement chez les adolescentes et jeunes filles, (ii) complications liées aux avortements à risque, (iii) Mortalité due au VIH, (iv) Mortalité due aux accidents de la route. </w:t>
      </w:r>
    </w:p>
    <w:p w:rsidR="00314B92" w:rsidRDefault="00AD5F81">
      <w:pPr>
        <w:pStyle w:val="Normal1"/>
        <w:jc w:val="both"/>
        <w:rPr>
          <w:color w:val="111111"/>
          <w:sz w:val="24"/>
          <w:szCs w:val="24"/>
        </w:rPr>
      </w:pPr>
      <w:r>
        <w:rPr>
          <w:sz w:val="24"/>
          <w:szCs w:val="24"/>
        </w:rPr>
        <w:t>La plupart des adolescents et jeunes des pays de l’espace CEDEAO souffrent d’un manque crucial de bonnes et saines informations, et adoptent des comportements et un mode de vie néfastes à une bonne santé (rapports sexuels non protégés, sédentarité, consommation nocive d’alcool, de tabac et drogues, une mauvaise alimentation et surtout une addiction aux technologies de l’information et de la communication TIC).</w:t>
      </w:r>
      <w:r>
        <w:rPr>
          <w:color w:val="111111"/>
          <w:sz w:val="24"/>
          <w:szCs w:val="24"/>
        </w:rPr>
        <w:t xml:space="preserve"> »</w:t>
      </w:r>
    </w:p>
    <w:p w:rsidR="00314B92" w:rsidRDefault="00AD5F81" w:rsidP="005D02C3">
      <w:pPr>
        <w:pStyle w:val="Normal1"/>
        <w:numPr>
          <w:ilvl w:val="2"/>
          <w:numId w:val="120"/>
        </w:numPr>
        <w:pBdr>
          <w:top w:val="nil"/>
          <w:left w:val="nil"/>
          <w:bottom w:val="nil"/>
          <w:right w:val="nil"/>
          <w:between w:val="nil"/>
        </w:pBdr>
        <w:spacing w:after="0" w:line="360" w:lineRule="auto"/>
        <w:jc w:val="both"/>
        <w:rPr>
          <w:color w:val="000000"/>
          <w:sz w:val="24"/>
          <w:szCs w:val="24"/>
        </w:rPr>
      </w:pPr>
      <w:r>
        <w:rPr>
          <w:color w:val="000000"/>
          <w:sz w:val="24"/>
          <w:szCs w:val="24"/>
        </w:rPr>
        <w:t>SITUATION DE LA NUTRITION</w:t>
      </w:r>
    </w:p>
    <w:p w:rsidR="00314B92" w:rsidRDefault="00AD5F81" w:rsidP="005D02C3">
      <w:pPr>
        <w:pStyle w:val="Normal1"/>
        <w:numPr>
          <w:ilvl w:val="3"/>
          <w:numId w:val="120"/>
        </w:numPr>
        <w:pBdr>
          <w:top w:val="nil"/>
          <w:left w:val="nil"/>
          <w:bottom w:val="nil"/>
          <w:right w:val="nil"/>
          <w:between w:val="nil"/>
        </w:pBdr>
        <w:spacing w:after="0"/>
        <w:rPr>
          <w:color w:val="000000"/>
          <w:sz w:val="24"/>
          <w:szCs w:val="24"/>
        </w:rPr>
      </w:pPr>
      <w:r>
        <w:rPr>
          <w:b/>
          <w:color w:val="000000"/>
          <w:sz w:val="24"/>
          <w:szCs w:val="24"/>
        </w:rPr>
        <w:t>La Malnutrition chez les enfants de moins de 5 ans</w:t>
      </w:r>
    </w:p>
    <w:p w:rsidR="00314B92" w:rsidRDefault="00AD5F81" w:rsidP="00AD2787">
      <w:pPr>
        <w:pStyle w:val="Normal1"/>
        <w:pBdr>
          <w:top w:val="nil"/>
          <w:left w:val="nil"/>
          <w:bottom w:val="nil"/>
          <w:right w:val="nil"/>
          <w:between w:val="nil"/>
        </w:pBdr>
        <w:spacing w:after="0"/>
        <w:jc w:val="both"/>
        <w:rPr>
          <w:color w:val="000000"/>
          <w:sz w:val="24"/>
          <w:szCs w:val="24"/>
        </w:rPr>
      </w:pPr>
      <w:r>
        <w:rPr>
          <w:color w:val="000000"/>
          <w:sz w:val="24"/>
          <w:szCs w:val="24"/>
        </w:rPr>
        <w:t>L’analyse est faite sur la base de données provenant de sources différentes, ce qui pourrait poser un problème de comparabilité. Mais les différents résultats recoupent de manière harmonieuse les données de l’OMS sur base d’estimations.</w:t>
      </w:r>
    </w:p>
    <w:p w:rsidR="00AD2787" w:rsidRDefault="00AD2787" w:rsidP="00AD2787">
      <w:pPr>
        <w:pStyle w:val="Normal1"/>
        <w:pBdr>
          <w:top w:val="nil"/>
          <w:left w:val="nil"/>
          <w:bottom w:val="nil"/>
          <w:right w:val="nil"/>
          <w:between w:val="nil"/>
        </w:pBdr>
        <w:spacing w:after="0"/>
        <w:jc w:val="both"/>
        <w:rPr>
          <w:color w:val="000000"/>
          <w:sz w:val="24"/>
          <w:szCs w:val="24"/>
        </w:rPr>
      </w:pPr>
      <w:r>
        <w:rPr>
          <w:color w:val="000000"/>
          <w:sz w:val="24"/>
          <w:szCs w:val="24"/>
        </w:rPr>
        <w:t>La tendance des indicateurs de la malnutrition (malnutrition aigüe, de la malnutrition chronique et insuffisance pondérale) est à la baisse.</w:t>
      </w:r>
    </w:p>
    <w:p w:rsidR="00314B92" w:rsidRDefault="00AD5F81">
      <w:pPr>
        <w:pStyle w:val="Normal1"/>
        <w:pBdr>
          <w:top w:val="nil"/>
          <w:left w:val="nil"/>
          <w:bottom w:val="nil"/>
          <w:right w:val="nil"/>
          <w:between w:val="nil"/>
        </w:pBdr>
        <w:spacing w:after="240" w:line="240" w:lineRule="auto"/>
        <w:rPr>
          <w:b/>
          <w:color w:val="000000"/>
          <w:sz w:val="20"/>
          <w:szCs w:val="20"/>
        </w:rPr>
      </w:pPr>
      <w:r>
        <w:rPr>
          <w:rFonts w:ascii="Arial" w:eastAsia="Arial" w:hAnsi="Arial" w:cs="Arial"/>
          <w:b/>
          <w:noProof/>
          <w:color w:val="000000"/>
          <w:sz w:val="26"/>
          <w:szCs w:val="26"/>
        </w:rPr>
        <w:drawing>
          <wp:inline distT="0" distB="0" distL="0" distR="0">
            <wp:extent cx="5766435" cy="3057525"/>
            <wp:effectExtent l="0" t="0" r="0" b="0"/>
            <wp:docPr id="56"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18" cstate="print"/>
                    <a:srcRect/>
                    <a:stretch>
                      <a:fillRect/>
                    </a:stretch>
                  </pic:blipFill>
                  <pic:spPr>
                    <a:xfrm>
                      <a:off x="0" y="0"/>
                      <a:ext cx="5766435" cy="3057525"/>
                    </a:xfrm>
                    <a:prstGeom prst="rect">
                      <a:avLst/>
                    </a:prstGeom>
                    <a:ln/>
                  </pic:spPr>
                </pic:pic>
              </a:graphicData>
            </a:graphic>
          </wp:inline>
        </w:drawing>
      </w:r>
      <w:r>
        <w:rPr>
          <w:rFonts w:ascii="Arial" w:eastAsia="Arial" w:hAnsi="Arial" w:cs="Arial"/>
          <w:b/>
          <w:color w:val="000000"/>
          <w:sz w:val="26"/>
          <w:szCs w:val="26"/>
          <w:vertAlign w:val="superscript"/>
        </w:rPr>
        <w:footnoteReference w:id="41"/>
      </w:r>
      <w:r>
        <w:rPr>
          <w:b/>
          <w:color w:val="000000"/>
          <w:sz w:val="20"/>
          <w:szCs w:val="20"/>
        </w:rPr>
        <w:t>Figure 6 : Evolution de la malnutrition au Burkina Faso de 1999 à 2017</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La tendance des indicateurs de la malnutrition (malnutrition aigüe, de la malnutrition chronique et insuffisance pondérale) est à la baisse.</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De 1999 à 2017, la prévalence de la malnutrition chronique est passée de 39 à 21% soit une réduction de 43% et celle de l’insuffisance pondérale de 34 à16% soit une réduction de 53 %.</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Au cours de la même période la malnutrition aigüe a connu une baisse moins importante (31%) passant de 13 à 9%. Cependant, la malnutrition aigüe sévère atteignait encore une prévalence de 2% en 2017.  Le faible poids à la naissance est aussi élevé. En effet, 13,2 % pesaient moins de 2,5 kg</w:t>
      </w:r>
      <w:r>
        <w:rPr>
          <w:color w:val="000000"/>
          <w:sz w:val="24"/>
          <w:szCs w:val="24"/>
          <w:vertAlign w:val="superscript"/>
        </w:rPr>
        <w:footnoteReference w:id="42"/>
      </w:r>
      <w:r>
        <w:rPr>
          <w:color w:val="000000"/>
          <w:sz w:val="24"/>
          <w:szCs w:val="24"/>
        </w:rPr>
        <w:t>. La prévalence des carences en micronutriments (vitamine A, Iode, fer, etc.) restait également très élevée en 2014. L’anémie touche 83.4% des enfants de 6-59 mois et 89.1% des 6-23 mois. Quatre enfants de moins de 5 ans sur cinq sont anémiés entrainant des conséquences délétères sur les capacités intellectuelles, cognitives et aussi physiques</w:t>
      </w:r>
      <w:r>
        <w:rPr>
          <w:color w:val="000000"/>
          <w:sz w:val="24"/>
          <w:szCs w:val="24"/>
          <w:vertAlign w:val="superscript"/>
        </w:rPr>
        <w:footnoteReference w:id="43"/>
      </w:r>
      <w:r>
        <w:rPr>
          <w:color w:val="000000"/>
          <w:sz w:val="24"/>
          <w:szCs w:val="24"/>
        </w:rPr>
        <w:t>. Sur les 697 000 naissantes vivantes attendues en 2015, 410 000 et 123 000 sont insuffisamment protégées et non protégées contre la carence en iode, respectivement. Ces enfants sont à fort risque de subir un retard de développement mental et d’avoir une déficience mentale, entrainant des implications socio-économiques sur leur vie future. Avec une prévalence de 13,6% pour le Sahel et de 10 % pour les régions du Nord et de l’Est, ces 3 régions sont les plus touchées par la malnutrition aiguë (2017). Cette forte prévalence est en partie liée à la situation sécuritaire dans cette partie du pays.</w:t>
      </w:r>
    </w:p>
    <w:tbl>
      <w:tblPr>
        <w:tblStyle w:val="aa"/>
        <w:tblW w:w="9067" w:type="dxa"/>
        <w:tblBorders>
          <w:top w:val="nil"/>
          <w:left w:val="nil"/>
          <w:bottom w:val="nil"/>
          <w:right w:val="nil"/>
          <w:insideH w:val="nil"/>
          <w:insideV w:val="nil"/>
        </w:tblBorders>
        <w:tblLayout w:type="fixed"/>
        <w:tblLook w:val="0400" w:firstRow="0" w:lastRow="0" w:firstColumn="0" w:lastColumn="0" w:noHBand="0" w:noVBand="1"/>
      </w:tblPr>
      <w:tblGrid>
        <w:gridCol w:w="4772"/>
        <w:gridCol w:w="236"/>
        <w:gridCol w:w="4059"/>
      </w:tblGrid>
      <w:tr w:rsidR="00314B92">
        <w:tc>
          <w:tcPr>
            <w:tcW w:w="4780" w:type="dxa"/>
          </w:tcPr>
          <w:p w:rsidR="00314B92" w:rsidRDefault="00AD5F81">
            <w:pPr>
              <w:pStyle w:val="Normal1"/>
              <w:pBdr>
                <w:top w:val="nil"/>
                <w:left w:val="nil"/>
                <w:bottom w:val="nil"/>
                <w:right w:val="nil"/>
                <w:between w:val="nil"/>
              </w:pBdr>
              <w:spacing w:line="276" w:lineRule="auto"/>
              <w:jc w:val="both"/>
              <w:rPr>
                <w:color w:val="000000"/>
                <w:sz w:val="24"/>
                <w:szCs w:val="24"/>
              </w:rPr>
            </w:pPr>
            <w:r>
              <w:rPr>
                <w:rFonts w:ascii="Arial" w:eastAsia="Arial" w:hAnsi="Arial" w:cs="Arial"/>
                <w:b/>
                <w:noProof/>
                <w:color w:val="000000"/>
                <w:sz w:val="24"/>
                <w:szCs w:val="24"/>
                <w:u w:val="single"/>
              </w:rPr>
              <w:drawing>
                <wp:inline distT="0" distB="0" distL="0" distR="0">
                  <wp:extent cx="2867025" cy="2124075"/>
                  <wp:effectExtent l="6350" t="6350" r="6350" b="6350"/>
                  <wp:docPr id="54"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19" cstate="print"/>
                          <a:srcRect/>
                          <a:stretch>
                            <a:fillRect/>
                          </a:stretch>
                        </pic:blipFill>
                        <pic:spPr>
                          <a:xfrm>
                            <a:off x="0" y="0"/>
                            <a:ext cx="2867025" cy="2124075"/>
                          </a:xfrm>
                          <a:prstGeom prst="rect">
                            <a:avLst/>
                          </a:prstGeom>
                          <a:ln w="6350">
                            <a:solidFill>
                              <a:srgbClr val="000000"/>
                            </a:solidFill>
                            <a:prstDash val="solid"/>
                          </a:ln>
                        </pic:spPr>
                      </pic:pic>
                    </a:graphicData>
                  </a:graphic>
                </wp:inline>
              </w:drawing>
            </w:r>
          </w:p>
        </w:tc>
        <w:tc>
          <w:tcPr>
            <w:tcW w:w="222" w:type="dxa"/>
            <w:tcBorders>
              <w:right w:val="single" w:sz="4" w:space="0" w:color="000000"/>
            </w:tcBorders>
          </w:tcPr>
          <w:p w:rsidR="00314B92" w:rsidRDefault="00314B92">
            <w:pPr>
              <w:pStyle w:val="Normal1"/>
              <w:pBdr>
                <w:top w:val="nil"/>
                <w:left w:val="nil"/>
                <w:bottom w:val="nil"/>
                <w:right w:val="nil"/>
                <w:between w:val="nil"/>
              </w:pBdr>
              <w:spacing w:line="276" w:lineRule="auto"/>
              <w:jc w:val="both"/>
              <w:rPr>
                <w:color w:val="000000"/>
                <w:sz w:val="24"/>
                <w:szCs w:val="24"/>
              </w:rPr>
            </w:pPr>
          </w:p>
        </w:tc>
        <w:tc>
          <w:tcPr>
            <w:tcW w:w="4065" w:type="dxa"/>
            <w:tcBorders>
              <w:top w:val="single" w:sz="4" w:space="0" w:color="000000"/>
              <w:left w:val="single" w:sz="4" w:space="0" w:color="000000"/>
              <w:bottom w:val="single" w:sz="4" w:space="0" w:color="000000"/>
              <w:right w:val="single" w:sz="4" w:space="0" w:color="000000"/>
            </w:tcBorders>
          </w:tcPr>
          <w:p w:rsidR="00314B92" w:rsidRDefault="00AD5F81">
            <w:pPr>
              <w:pStyle w:val="Normal1"/>
              <w:pBdr>
                <w:top w:val="nil"/>
                <w:left w:val="nil"/>
                <w:bottom w:val="nil"/>
                <w:right w:val="nil"/>
                <w:between w:val="nil"/>
              </w:pBdr>
              <w:spacing w:line="276" w:lineRule="auto"/>
              <w:jc w:val="both"/>
              <w:rPr>
                <w:color w:val="000000"/>
                <w:sz w:val="24"/>
                <w:szCs w:val="24"/>
              </w:rPr>
            </w:pPr>
            <w:r>
              <w:rPr>
                <w:rFonts w:ascii="Arial" w:eastAsia="Arial" w:hAnsi="Arial" w:cs="Arial"/>
                <w:b/>
                <w:noProof/>
                <w:color w:val="000000"/>
                <w:sz w:val="24"/>
                <w:szCs w:val="24"/>
              </w:rPr>
              <w:drawing>
                <wp:inline distT="0" distB="0" distL="0" distR="0">
                  <wp:extent cx="2457450" cy="2143125"/>
                  <wp:effectExtent l="0" t="0" r="0" b="0"/>
                  <wp:docPr id="55"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20" cstate="print"/>
                          <a:srcRect/>
                          <a:stretch>
                            <a:fillRect/>
                          </a:stretch>
                        </pic:blipFill>
                        <pic:spPr>
                          <a:xfrm>
                            <a:off x="0" y="0"/>
                            <a:ext cx="2457450" cy="2143125"/>
                          </a:xfrm>
                          <a:prstGeom prst="rect">
                            <a:avLst/>
                          </a:prstGeom>
                          <a:ln/>
                        </pic:spPr>
                      </pic:pic>
                    </a:graphicData>
                  </a:graphic>
                </wp:inline>
              </w:drawing>
            </w:r>
          </w:p>
        </w:tc>
      </w:tr>
      <w:tr w:rsidR="00314B92">
        <w:tc>
          <w:tcPr>
            <w:tcW w:w="4780" w:type="dxa"/>
          </w:tcPr>
          <w:p w:rsidR="00314B92" w:rsidRDefault="00AD5F81">
            <w:pPr>
              <w:pStyle w:val="Normal1"/>
              <w:pBdr>
                <w:top w:val="nil"/>
                <w:left w:val="nil"/>
                <w:bottom w:val="nil"/>
                <w:right w:val="nil"/>
                <w:between w:val="nil"/>
              </w:pBdr>
              <w:spacing w:after="240" w:line="276" w:lineRule="auto"/>
              <w:jc w:val="both"/>
              <w:rPr>
                <w:b/>
                <w:color w:val="000000"/>
                <w:sz w:val="20"/>
                <w:szCs w:val="20"/>
              </w:rPr>
            </w:pPr>
            <w:r>
              <w:rPr>
                <w:b/>
                <w:color w:val="000000"/>
                <w:sz w:val="20"/>
                <w:szCs w:val="20"/>
              </w:rPr>
              <w:t>Figure7a : Retard de croissance par Région</w:t>
            </w:r>
          </w:p>
        </w:tc>
        <w:tc>
          <w:tcPr>
            <w:tcW w:w="222" w:type="dxa"/>
          </w:tcPr>
          <w:p w:rsidR="00314B92" w:rsidRDefault="00314B92">
            <w:pPr>
              <w:pStyle w:val="Normal1"/>
              <w:pBdr>
                <w:top w:val="nil"/>
                <w:left w:val="nil"/>
                <w:bottom w:val="nil"/>
                <w:right w:val="nil"/>
                <w:between w:val="nil"/>
              </w:pBdr>
              <w:spacing w:after="240" w:line="276" w:lineRule="auto"/>
              <w:jc w:val="both"/>
              <w:rPr>
                <w:color w:val="000000"/>
                <w:sz w:val="24"/>
                <w:szCs w:val="24"/>
              </w:rPr>
            </w:pPr>
          </w:p>
        </w:tc>
        <w:tc>
          <w:tcPr>
            <w:tcW w:w="4065" w:type="dxa"/>
            <w:tcBorders>
              <w:top w:val="single" w:sz="4" w:space="0" w:color="000000"/>
            </w:tcBorders>
          </w:tcPr>
          <w:p w:rsidR="00314B92" w:rsidRDefault="00AD5F81">
            <w:pPr>
              <w:pStyle w:val="Normal1"/>
              <w:pBdr>
                <w:top w:val="nil"/>
                <w:left w:val="nil"/>
                <w:bottom w:val="nil"/>
                <w:right w:val="nil"/>
                <w:between w:val="nil"/>
              </w:pBdr>
              <w:spacing w:after="240" w:line="276" w:lineRule="auto"/>
              <w:jc w:val="both"/>
              <w:rPr>
                <w:b/>
                <w:color w:val="000000"/>
                <w:sz w:val="20"/>
                <w:szCs w:val="20"/>
              </w:rPr>
            </w:pPr>
            <w:r>
              <w:rPr>
                <w:b/>
                <w:color w:val="000000"/>
                <w:sz w:val="20"/>
                <w:szCs w:val="20"/>
              </w:rPr>
              <w:t>Figure 7b : Malnutrition aiguë sévère par Région</w:t>
            </w:r>
          </w:p>
        </w:tc>
      </w:tr>
    </w:tbl>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Les garçons, les enfants des ménages pauvres, ceux du milieu rural et ceux dont la mère n’est pas instruite sont les plus défavorisés en matière de survie.</w:t>
      </w:r>
    </w:p>
    <w:p w:rsidR="00314B92" w:rsidRDefault="00AD5F81">
      <w:pPr>
        <w:pStyle w:val="Normal1"/>
        <w:pBdr>
          <w:top w:val="nil"/>
          <w:left w:val="nil"/>
          <w:bottom w:val="nil"/>
          <w:right w:val="nil"/>
          <w:between w:val="nil"/>
        </w:pBdr>
        <w:spacing w:after="0"/>
        <w:jc w:val="both"/>
        <w:rPr>
          <w:color w:val="000000"/>
          <w:sz w:val="24"/>
          <w:szCs w:val="24"/>
        </w:rPr>
      </w:pPr>
      <w:bookmarkStart w:id="9" w:name="_17dp8vu" w:colFirst="0" w:colLast="0"/>
      <w:bookmarkEnd w:id="9"/>
      <w:r>
        <w:rPr>
          <w:color w:val="000000"/>
          <w:sz w:val="24"/>
          <w:szCs w:val="24"/>
        </w:rPr>
        <w:t>Le retard de croissance est prédominant chez les plus pauvres</w:t>
      </w:r>
      <w:r>
        <w:rPr>
          <w:color w:val="000000"/>
          <w:sz w:val="24"/>
          <w:szCs w:val="24"/>
          <w:vertAlign w:val="superscript"/>
        </w:rPr>
        <w:footnoteReference w:id="44"/>
      </w:r>
      <w:r>
        <w:rPr>
          <w:color w:val="000000"/>
          <w:sz w:val="24"/>
          <w:szCs w:val="24"/>
        </w:rPr>
        <w:t>.</w:t>
      </w:r>
    </w:p>
    <w:p w:rsidR="00314B92" w:rsidRDefault="00AD5F81">
      <w:pPr>
        <w:pStyle w:val="Normal1"/>
        <w:pBdr>
          <w:top w:val="nil"/>
          <w:left w:val="nil"/>
          <w:bottom w:val="nil"/>
          <w:right w:val="nil"/>
          <w:between w:val="nil"/>
        </w:pBdr>
        <w:tabs>
          <w:tab w:val="left" w:pos="5670"/>
        </w:tabs>
        <w:ind w:right="-426"/>
        <w:jc w:val="both"/>
        <w:rPr>
          <w:color w:val="000000"/>
          <w:sz w:val="24"/>
          <w:szCs w:val="24"/>
        </w:rPr>
      </w:pPr>
      <w:r>
        <w:rPr>
          <w:color w:val="000000"/>
          <w:sz w:val="24"/>
          <w:szCs w:val="24"/>
        </w:rPr>
        <w:t>Les   régions du Sahel, des Cascades, du Sud-Ouest, de l’Est, du Centre-Est et du Nord sont les plus touchées en termes de prévalence du retard de croissance sur les trois dernières années.</w:t>
      </w:r>
    </w:p>
    <w:p w:rsidR="00314B92" w:rsidRDefault="00AD5F81" w:rsidP="005D02C3">
      <w:pPr>
        <w:pStyle w:val="Normal1"/>
        <w:numPr>
          <w:ilvl w:val="3"/>
          <w:numId w:val="120"/>
        </w:numPr>
        <w:pBdr>
          <w:top w:val="nil"/>
          <w:left w:val="nil"/>
          <w:bottom w:val="nil"/>
          <w:right w:val="nil"/>
          <w:between w:val="nil"/>
        </w:pBdr>
        <w:rPr>
          <w:rFonts w:ascii="Cambria" w:eastAsia="Cambria" w:hAnsi="Cambria" w:cs="Cambria"/>
          <w:color w:val="000000"/>
        </w:rPr>
      </w:pPr>
      <w:r>
        <w:rPr>
          <w:rFonts w:ascii="Cambria" w:eastAsia="Cambria" w:hAnsi="Cambria" w:cs="Cambria"/>
          <w:b/>
          <w:color w:val="000000"/>
        </w:rPr>
        <w:t>Autres indicateurs de nutrition</w:t>
      </w:r>
    </w:p>
    <w:tbl>
      <w:tblPr>
        <w:tblStyle w:val="ab"/>
        <w:tblW w:w="9640" w:type="dxa"/>
        <w:tblInd w:w="-289" w:type="dxa"/>
        <w:tblBorders>
          <w:top w:val="nil"/>
          <w:left w:val="nil"/>
          <w:bottom w:val="nil"/>
          <w:right w:val="nil"/>
          <w:insideH w:val="nil"/>
          <w:insideV w:val="nil"/>
        </w:tblBorders>
        <w:tblLayout w:type="fixed"/>
        <w:tblLook w:val="0400" w:firstRow="0" w:lastRow="0" w:firstColumn="0" w:lastColumn="0" w:noHBand="0" w:noVBand="1"/>
      </w:tblPr>
      <w:tblGrid>
        <w:gridCol w:w="568"/>
        <w:gridCol w:w="5245"/>
        <w:gridCol w:w="765"/>
        <w:gridCol w:w="765"/>
        <w:gridCol w:w="766"/>
        <w:gridCol w:w="765"/>
        <w:gridCol w:w="766"/>
      </w:tblGrid>
      <w:tr w:rsidR="00314B92">
        <w:tc>
          <w:tcPr>
            <w:tcW w:w="9640" w:type="dxa"/>
            <w:gridSpan w:val="7"/>
          </w:tcPr>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 xml:space="preserve">Tableau 3 : Evolution d’autres indicateurs de nutrition </w:t>
            </w:r>
          </w:p>
        </w:tc>
      </w:tr>
      <w:tr w:rsidR="00314B92">
        <w:tc>
          <w:tcPr>
            <w:tcW w:w="568" w:type="dxa"/>
            <w:tcBorders>
              <w:bottom w:val="single" w:sz="4" w:space="0" w:color="000000"/>
            </w:tcBorders>
          </w:tcPr>
          <w:p w:rsidR="00314B92" w:rsidRDefault="00314B92" w:rsidP="0061329A">
            <w:pPr>
              <w:pStyle w:val="Normal1"/>
              <w:pBdr>
                <w:top w:val="nil"/>
                <w:left w:val="nil"/>
                <w:bottom w:val="nil"/>
                <w:right w:val="nil"/>
                <w:between w:val="nil"/>
              </w:pBdr>
              <w:spacing w:line="276" w:lineRule="auto"/>
              <w:jc w:val="both"/>
              <w:rPr>
                <w:b/>
                <w:color w:val="000000"/>
              </w:rPr>
            </w:pPr>
          </w:p>
        </w:tc>
        <w:tc>
          <w:tcPr>
            <w:tcW w:w="5245"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Type de Malnutrition</w:t>
            </w:r>
          </w:p>
        </w:tc>
        <w:tc>
          <w:tcPr>
            <w:tcW w:w="765"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1988-89 (1)</w:t>
            </w:r>
          </w:p>
        </w:tc>
        <w:tc>
          <w:tcPr>
            <w:tcW w:w="765"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 xml:space="preserve"> 2003 (2)</w:t>
            </w:r>
          </w:p>
        </w:tc>
        <w:tc>
          <w:tcPr>
            <w:tcW w:w="766"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2010</w:t>
            </w:r>
          </w:p>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 xml:space="preserve"> (3)</w:t>
            </w:r>
          </w:p>
        </w:tc>
        <w:tc>
          <w:tcPr>
            <w:tcW w:w="765"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 xml:space="preserve"> 2015 (4)</w:t>
            </w:r>
          </w:p>
        </w:tc>
        <w:tc>
          <w:tcPr>
            <w:tcW w:w="766"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b/>
                <w:color w:val="000000"/>
              </w:rPr>
            </w:pPr>
            <w:r>
              <w:rPr>
                <w:b/>
                <w:color w:val="000000"/>
              </w:rPr>
              <w:t>2017 (5)</w:t>
            </w:r>
          </w:p>
        </w:tc>
      </w:tr>
      <w:tr w:rsidR="00314B92">
        <w:tc>
          <w:tcPr>
            <w:tcW w:w="568" w:type="dxa"/>
            <w:tcBorders>
              <w:top w:val="single" w:sz="4" w:space="0" w:color="000000"/>
            </w:tcBorders>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Borders>
              <w:top w:val="single" w:sz="4" w:space="0" w:color="000000"/>
            </w:tcBorders>
          </w:tcPr>
          <w:p w:rsidR="00314B92" w:rsidRDefault="00AD5F81" w:rsidP="0061329A">
            <w:pPr>
              <w:pStyle w:val="Normal1"/>
              <w:spacing w:line="276" w:lineRule="auto"/>
            </w:pPr>
            <w:r>
              <w:t>Anémie chez les enfants de moins de 5 ans (%)</w:t>
            </w:r>
          </w:p>
        </w:tc>
        <w:tc>
          <w:tcPr>
            <w:tcW w:w="765" w:type="dxa"/>
            <w:tcBorders>
              <w:top w:val="single" w:sz="4" w:space="0" w:color="000000"/>
            </w:tcBorders>
          </w:tcPr>
          <w:p w:rsidR="00314B92" w:rsidRDefault="00314B92" w:rsidP="0061329A">
            <w:pPr>
              <w:pStyle w:val="Normal1"/>
              <w:pBdr>
                <w:top w:val="nil"/>
                <w:left w:val="nil"/>
                <w:bottom w:val="nil"/>
                <w:right w:val="nil"/>
                <w:between w:val="nil"/>
              </w:pBdr>
              <w:spacing w:line="276" w:lineRule="auto"/>
              <w:jc w:val="both"/>
              <w:rPr>
                <w:color w:val="000000"/>
              </w:rPr>
            </w:pPr>
          </w:p>
        </w:tc>
        <w:tc>
          <w:tcPr>
            <w:tcW w:w="765" w:type="dxa"/>
            <w:tcBorders>
              <w:top w:val="single" w:sz="4" w:space="0" w:color="000000"/>
            </w:tcBorders>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91,5</w:t>
            </w:r>
          </w:p>
        </w:tc>
        <w:tc>
          <w:tcPr>
            <w:tcW w:w="766" w:type="dxa"/>
            <w:tcBorders>
              <w:top w:val="single" w:sz="4" w:space="0" w:color="000000"/>
            </w:tcBorders>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87,8</w:t>
            </w:r>
          </w:p>
        </w:tc>
        <w:tc>
          <w:tcPr>
            <w:tcW w:w="765" w:type="dxa"/>
            <w:tcBorders>
              <w:top w:val="single" w:sz="4" w:space="0" w:color="000000"/>
            </w:tcBorders>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Borders>
              <w:top w:val="single" w:sz="4" w:space="0" w:color="000000"/>
            </w:tcBorders>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83,4</w:t>
            </w:r>
          </w:p>
        </w:tc>
      </w:tr>
      <w:tr w:rsidR="00314B92">
        <w:tc>
          <w:tcPr>
            <w:tcW w:w="568" w:type="dxa"/>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Pr>
          <w:p w:rsidR="00314B92" w:rsidRDefault="00AD5F81" w:rsidP="0061329A">
            <w:pPr>
              <w:pStyle w:val="Normal1"/>
              <w:spacing w:line="276" w:lineRule="auto"/>
            </w:pPr>
            <w:r>
              <w:t>Anémie sévère chez les enfants de moins de 5 ans (%)</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13</w:t>
            </w:r>
          </w:p>
        </w:tc>
        <w:tc>
          <w:tcPr>
            <w:tcW w:w="766"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11,1</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Pr>
          <w:p w:rsidR="00314B92" w:rsidRDefault="00314B92" w:rsidP="0061329A">
            <w:pPr>
              <w:pStyle w:val="Normal1"/>
              <w:pBdr>
                <w:top w:val="nil"/>
                <w:left w:val="nil"/>
                <w:bottom w:val="nil"/>
                <w:right w:val="nil"/>
                <w:between w:val="nil"/>
              </w:pBdr>
              <w:spacing w:line="276" w:lineRule="auto"/>
              <w:jc w:val="both"/>
              <w:rPr>
                <w:color w:val="000000"/>
              </w:rPr>
            </w:pPr>
          </w:p>
        </w:tc>
      </w:tr>
      <w:tr w:rsidR="00314B92">
        <w:tc>
          <w:tcPr>
            <w:tcW w:w="568" w:type="dxa"/>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Pr>
          <w:p w:rsidR="00314B92" w:rsidRDefault="00AD5F81" w:rsidP="0061329A">
            <w:pPr>
              <w:pStyle w:val="Normal1"/>
              <w:spacing w:line="276" w:lineRule="auto"/>
            </w:pPr>
            <w:r>
              <w:t>Anémie modérée chez les enfants de moins de 5 ans (%)</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59,9</w:t>
            </w:r>
          </w:p>
        </w:tc>
        <w:tc>
          <w:tcPr>
            <w:tcW w:w="766"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58,5</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Pr>
          <w:p w:rsidR="00314B92" w:rsidRDefault="00314B92" w:rsidP="0061329A">
            <w:pPr>
              <w:pStyle w:val="Normal1"/>
              <w:pBdr>
                <w:top w:val="nil"/>
                <w:left w:val="nil"/>
                <w:bottom w:val="nil"/>
                <w:right w:val="nil"/>
                <w:between w:val="nil"/>
              </w:pBdr>
              <w:spacing w:line="276" w:lineRule="auto"/>
              <w:jc w:val="both"/>
              <w:rPr>
                <w:color w:val="000000"/>
              </w:rPr>
            </w:pPr>
          </w:p>
        </w:tc>
      </w:tr>
      <w:tr w:rsidR="00314B92">
        <w:tc>
          <w:tcPr>
            <w:tcW w:w="568" w:type="dxa"/>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Pr>
          <w:p w:rsidR="00314B92" w:rsidRDefault="00AD5F81" w:rsidP="0061329A">
            <w:pPr>
              <w:pStyle w:val="Normal1"/>
              <w:spacing w:line="276" w:lineRule="auto"/>
            </w:pPr>
            <w:r>
              <w:t>Femmes avec un IMC en-deçà du seuil critique (%)</w:t>
            </w:r>
          </w:p>
        </w:tc>
        <w:tc>
          <w:tcPr>
            <w:tcW w:w="76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13,3</w:t>
            </w:r>
          </w:p>
        </w:tc>
        <w:tc>
          <w:tcPr>
            <w:tcW w:w="76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20,8</w:t>
            </w:r>
          </w:p>
        </w:tc>
        <w:tc>
          <w:tcPr>
            <w:tcW w:w="766"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15,7</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Pr>
          <w:p w:rsidR="00314B92" w:rsidRDefault="00314B92" w:rsidP="0061329A">
            <w:pPr>
              <w:pStyle w:val="Normal1"/>
              <w:pBdr>
                <w:top w:val="nil"/>
                <w:left w:val="nil"/>
                <w:bottom w:val="nil"/>
                <w:right w:val="nil"/>
                <w:between w:val="nil"/>
              </w:pBdr>
              <w:spacing w:line="276" w:lineRule="auto"/>
              <w:jc w:val="both"/>
              <w:rPr>
                <w:color w:val="000000"/>
              </w:rPr>
            </w:pPr>
          </w:p>
        </w:tc>
      </w:tr>
      <w:tr w:rsidR="00314B92">
        <w:tc>
          <w:tcPr>
            <w:tcW w:w="568" w:type="dxa"/>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Femmes avec une maigreur sévère (%)</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6,9</w:t>
            </w:r>
          </w:p>
        </w:tc>
        <w:tc>
          <w:tcPr>
            <w:tcW w:w="766"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4,3</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Pr>
          <w:p w:rsidR="00314B92" w:rsidRDefault="00314B92" w:rsidP="0061329A">
            <w:pPr>
              <w:pStyle w:val="Normal1"/>
              <w:pBdr>
                <w:top w:val="nil"/>
                <w:left w:val="nil"/>
                <w:bottom w:val="nil"/>
                <w:right w:val="nil"/>
                <w:between w:val="nil"/>
              </w:pBdr>
              <w:spacing w:line="276" w:lineRule="auto"/>
              <w:jc w:val="both"/>
              <w:rPr>
                <w:color w:val="000000"/>
              </w:rPr>
            </w:pPr>
          </w:p>
        </w:tc>
      </w:tr>
      <w:tr w:rsidR="00314B92">
        <w:tc>
          <w:tcPr>
            <w:tcW w:w="568" w:type="dxa"/>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Anémie chez la femme de 15-49 ans</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53,7</w:t>
            </w:r>
          </w:p>
        </w:tc>
        <w:tc>
          <w:tcPr>
            <w:tcW w:w="766"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48,8</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Pr>
          <w:p w:rsidR="00314B92" w:rsidRDefault="00314B92" w:rsidP="0061329A">
            <w:pPr>
              <w:pStyle w:val="Normal1"/>
              <w:pBdr>
                <w:top w:val="nil"/>
                <w:left w:val="nil"/>
                <w:bottom w:val="nil"/>
                <w:right w:val="nil"/>
                <w:between w:val="nil"/>
              </w:pBdr>
              <w:spacing w:line="276" w:lineRule="auto"/>
              <w:jc w:val="both"/>
              <w:rPr>
                <w:color w:val="000000"/>
              </w:rPr>
            </w:pPr>
          </w:p>
        </w:tc>
      </w:tr>
      <w:tr w:rsidR="00314B92">
        <w:tc>
          <w:tcPr>
            <w:tcW w:w="568" w:type="dxa"/>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Anémie sévère chez la femme de 15-49 ans</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5"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1,1</w:t>
            </w:r>
          </w:p>
        </w:tc>
        <w:tc>
          <w:tcPr>
            <w:tcW w:w="766" w:type="dxa"/>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1,1</w:t>
            </w:r>
          </w:p>
        </w:tc>
        <w:tc>
          <w:tcPr>
            <w:tcW w:w="765" w:type="dxa"/>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Pr>
          <w:p w:rsidR="00314B92" w:rsidRDefault="00314B92" w:rsidP="0061329A">
            <w:pPr>
              <w:pStyle w:val="Normal1"/>
              <w:pBdr>
                <w:top w:val="nil"/>
                <w:left w:val="nil"/>
                <w:bottom w:val="nil"/>
                <w:right w:val="nil"/>
                <w:between w:val="nil"/>
              </w:pBdr>
              <w:spacing w:line="276" w:lineRule="auto"/>
              <w:jc w:val="both"/>
              <w:rPr>
                <w:color w:val="000000"/>
              </w:rPr>
            </w:pPr>
          </w:p>
        </w:tc>
      </w:tr>
      <w:tr w:rsidR="00314B92">
        <w:tc>
          <w:tcPr>
            <w:tcW w:w="568" w:type="dxa"/>
            <w:tcBorders>
              <w:bottom w:val="single" w:sz="4" w:space="0" w:color="000000"/>
            </w:tcBorders>
          </w:tcPr>
          <w:p w:rsidR="00314B92" w:rsidRDefault="00314B92" w:rsidP="005D02C3">
            <w:pPr>
              <w:pStyle w:val="Normal1"/>
              <w:numPr>
                <w:ilvl w:val="0"/>
                <w:numId w:val="61"/>
              </w:numPr>
              <w:pBdr>
                <w:top w:val="nil"/>
                <w:left w:val="nil"/>
                <w:bottom w:val="nil"/>
                <w:right w:val="nil"/>
                <w:between w:val="nil"/>
              </w:pBdr>
              <w:spacing w:line="276" w:lineRule="auto"/>
              <w:jc w:val="both"/>
              <w:rPr>
                <w:color w:val="000000"/>
              </w:rPr>
            </w:pPr>
          </w:p>
        </w:tc>
        <w:tc>
          <w:tcPr>
            <w:tcW w:w="5245"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Anémie modérée chez la femme de 15-49 ans</w:t>
            </w:r>
          </w:p>
        </w:tc>
        <w:tc>
          <w:tcPr>
            <w:tcW w:w="765" w:type="dxa"/>
            <w:tcBorders>
              <w:bottom w:val="single" w:sz="4" w:space="0" w:color="000000"/>
            </w:tcBorders>
          </w:tcPr>
          <w:p w:rsidR="00314B92" w:rsidRDefault="00314B92" w:rsidP="0061329A">
            <w:pPr>
              <w:pStyle w:val="Normal1"/>
              <w:pBdr>
                <w:top w:val="nil"/>
                <w:left w:val="nil"/>
                <w:bottom w:val="nil"/>
                <w:right w:val="nil"/>
                <w:between w:val="nil"/>
              </w:pBdr>
              <w:spacing w:line="276" w:lineRule="auto"/>
              <w:jc w:val="both"/>
              <w:rPr>
                <w:color w:val="000000"/>
              </w:rPr>
            </w:pPr>
          </w:p>
        </w:tc>
        <w:tc>
          <w:tcPr>
            <w:tcW w:w="765"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14,7</w:t>
            </w:r>
          </w:p>
        </w:tc>
        <w:tc>
          <w:tcPr>
            <w:tcW w:w="766" w:type="dxa"/>
            <w:tcBorders>
              <w:bottom w:val="single" w:sz="4" w:space="0" w:color="000000"/>
            </w:tcBorders>
          </w:tcPr>
          <w:p w:rsidR="00314B92" w:rsidRDefault="00AD5F81" w:rsidP="0061329A">
            <w:pPr>
              <w:pStyle w:val="Normal1"/>
              <w:pBdr>
                <w:top w:val="nil"/>
                <w:left w:val="nil"/>
                <w:bottom w:val="nil"/>
                <w:right w:val="nil"/>
                <w:between w:val="nil"/>
              </w:pBdr>
              <w:spacing w:line="276" w:lineRule="auto"/>
              <w:jc w:val="both"/>
              <w:rPr>
                <w:color w:val="000000"/>
              </w:rPr>
            </w:pPr>
            <w:r>
              <w:rPr>
                <w:color w:val="000000"/>
              </w:rPr>
              <w:t>14</w:t>
            </w:r>
          </w:p>
        </w:tc>
        <w:tc>
          <w:tcPr>
            <w:tcW w:w="765" w:type="dxa"/>
            <w:tcBorders>
              <w:bottom w:val="single" w:sz="4" w:space="0" w:color="000000"/>
            </w:tcBorders>
          </w:tcPr>
          <w:p w:rsidR="00314B92" w:rsidRDefault="00314B92" w:rsidP="0061329A">
            <w:pPr>
              <w:pStyle w:val="Normal1"/>
              <w:pBdr>
                <w:top w:val="nil"/>
                <w:left w:val="nil"/>
                <w:bottom w:val="nil"/>
                <w:right w:val="nil"/>
                <w:between w:val="nil"/>
              </w:pBdr>
              <w:spacing w:line="276" w:lineRule="auto"/>
              <w:jc w:val="both"/>
              <w:rPr>
                <w:color w:val="000000"/>
              </w:rPr>
            </w:pPr>
          </w:p>
        </w:tc>
        <w:tc>
          <w:tcPr>
            <w:tcW w:w="766" w:type="dxa"/>
            <w:tcBorders>
              <w:bottom w:val="single" w:sz="4" w:space="0" w:color="000000"/>
            </w:tcBorders>
          </w:tcPr>
          <w:p w:rsidR="00314B92" w:rsidRDefault="00314B92" w:rsidP="0061329A">
            <w:pPr>
              <w:pStyle w:val="Normal1"/>
              <w:pBdr>
                <w:top w:val="nil"/>
                <w:left w:val="nil"/>
                <w:bottom w:val="nil"/>
                <w:right w:val="nil"/>
                <w:between w:val="nil"/>
              </w:pBdr>
              <w:spacing w:line="276" w:lineRule="auto"/>
              <w:jc w:val="both"/>
              <w:rPr>
                <w:color w:val="000000"/>
              </w:rPr>
            </w:pPr>
          </w:p>
        </w:tc>
      </w:tr>
      <w:tr w:rsidR="00314B92">
        <w:tc>
          <w:tcPr>
            <w:tcW w:w="568" w:type="dxa"/>
            <w:tcBorders>
              <w:top w:val="single" w:sz="4" w:space="0" w:color="000000"/>
            </w:tcBorders>
          </w:tcPr>
          <w:p w:rsidR="00314B92" w:rsidRDefault="00314B92" w:rsidP="006976E9">
            <w:pPr>
              <w:pStyle w:val="Normal1"/>
              <w:pBdr>
                <w:top w:val="nil"/>
                <w:left w:val="nil"/>
                <w:bottom w:val="nil"/>
                <w:right w:val="nil"/>
                <w:between w:val="nil"/>
              </w:pBdr>
              <w:spacing w:line="360" w:lineRule="auto"/>
              <w:jc w:val="both"/>
              <w:rPr>
                <w:color w:val="000000"/>
              </w:rPr>
            </w:pPr>
          </w:p>
        </w:tc>
        <w:tc>
          <w:tcPr>
            <w:tcW w:w="9072" w:type="dxa"/>
            <w:gridSpan w:val="6"/>
            <w:tcBorders>
              <w:top w:val="single" w:sz="4" w:space="0" w:color="000000"/>
            </w:tcBorders>
          </w:tcPr>
          <w:p w:rsidR="00314B92" w:rsidRDefault="00AD5F81" w:rsidP="0061329A">
            <w:pPr>
              <w:pStyle w:val="Normal1"/>
              <w:pBdr>
                <w:top w:val="nil"/>
                <w:left w:val="nil"/>
                <w:bottom w:val="nil"/>
                <w:right w:val="nil"/>
                <w:between w:val="nil"/>
              </w:pBdr>
              <w:jc w:val="both"/>
              <w:rPr>
                <w:color w:val="000000"/>
                <w:sz w:val="16"/>
                <w:szCs w:val="16"/>
              </w:rPr>
            </w:pPr>
            <w:r w:rsidRPr="006D2860">
              <w:rPr>
                <w:color w:val="000000"/>
                <w:sz w:val="16"/>
                <w:szCs w:val="16"/>
                <w:lang w:val="en-US"/>
              </w:rPr>
              <w:t xml:space="preserve">Sources : (1) EDS Burkina Faso 1998-99, (2) EDS Burkina Faso 2003, (3) EDS – MICS Burkina Faso 2010, (4) Evaluation Mi-Parcours du PNDS 2011-20 Burkina Faso. </w:t>
            </w:r>
            <w:r>
              <w:rPr>
                <w:color w:val="000000"/>
                <w:sz w:val="16"/>
                <w:szCs w:val="16"/>
              </w:rPr>
              <w:t>Rapport – Ministère de la santé publique 2016, (5) Enquête nutritionnelle nationale SMART 2016</w:t>
            </w:r>
          </w:p>
        </w:tc>
      </w:tr>
    </w:tbl>
    <w:p w:rsidR="00314B92" w:rsidRDefault="00AD5F81">
      <w:pPr>
        <w:pStyle w:val="Normal1"/>
        <w:widowControl w:val="0"/>
        <w:tabs>
          <w:tab w:val="left" w:pos="9498"/>
        </w:tabs>
        <w:spacing w:before="240" w:after="0"/>
        <w:ind w:left="-142" w:right="-20"/>
        <w:jc w:val="both"/>
        <w:rPr>
          <w:sz w:val="24"/>
          <w:szCs w:val="24"/>
        </w:rPr>
      </w:pPr>
      <w:r>
        <w:rPr>
          <w:sz w:val="24"/>
          <w:szCs w:val="24"/>
        </w:rPr>
        <w:t xml:space="preserve">La prévalence de l’anémie chez les enfants de moins de 5 ans reste élevée atteignant 92 % en 2003 et 88 % en 2010 et 83,4 % en 2017.Cette situation nutritionnelle chez les enfants est liée à un certain nombre de facteurs déterminants dont notamment (i) les mauvaises pratiques d’alimentation et faible accès aux soins prénatals pendant la grossesse, (ii) les mauvaises pratiques d’allaitement et d’alimentation de complément, (iii) la précarité des soins apportés aux enfants, (iv) la persistance des maladies parasitaires et infectieuses, (v) l’insuffisance d’accès à l’eau potable, (vi) les mauvaises pratiques en matière d’hygiène notamment alimentaire et (vii) à certains pesanteurs  socioculturelles.  </w:t>
      </w:r>
    </w:p>
    <w:p w:rsidR="00314B92" w:rsidRDefault="00AD5F81">
      <w:pPr>
        <w:pStyle w:val="Normal1"/>
        <w:widowControl w:val="0"/>
        <w:tabs>
          <w:tab w:val="left" w:pos="9498"/>
        </w:tabs>
        <w:spacing w:before="32" w:after="0"/>
        <w:ind w:left="-142" w:right="-20"/>
        <w:jc w:val="both"/>
        <w:rPr>
          <w:sz w:val="24"/>
          <w:szCs w:val="24"/>
        </w:rPr>
      </w:pPr>
      <w:r>
        <w:rPr>
          <w:sz w:val="24"/>
          <w:szCs w:val="24"/>
        </w:rPr>
        <w:t xml:space="preserve"> La situation nutritionnelle des mères est caractérisée par une prévalence de la maigreur (IMC&lt;18,5) de l’ordre de 16% (EDS 2010), une prévalence élevée de l’anémie chez les femmes enceintes (72,5%) et une carence en iode marquée chez les femmes enceintes avec une concentration d’iode urinaire médiane de 74µmg/l (Norme 150µmg/l) </w:t>
      </w:r>
      <w:r>
        <w:rPr>
          <w:sz w:val="24"/>
          <w:szCs w:val="24"/>
          <w:vertAlign w:val="superscript"/>
        </w:rPr>
        <w:footnoteReference w:id="45"/>
      </w:r>
      <w:r>
        <w:rPr>
          <w:sz w:val="24"/>
          <w:szCs w:val="24"/>
        </w:rPr>
        <w:t xml:space="preserve">.  </w:t>
      </w:r>
    </w:p>
    <w:p w:rsidR="00314B92" w:rsidRDefault="00AD5F81" w:rsidP="0061329A">
      <w:pPr>
        <w:pStyle w:val="Normal1"/>
        <w:widowControl w:val="0"/>
        <w:tabs>
          <w:tab w:val="left" w:pos="9498"/>
        </w:tabs>
        <w:spacing w:before="32"/>
        <w:ind w:left="-142" w:right="-20"/>
        <w:jc w:val="both"/>
        <w:rPr>
          <w:sz w:val="24"/>
          <w:szCs w:val="24"/>
        </w:rPr>
      </w:pPr>
      <w:r>
        <w:rPr>
          <w:sz w:val="24"/>
          <w:szCs w:val="24"/>
        </w:rPr>
        <w:t>Les causes immédiates des formes de malnutrition infanto-juvénile et maternelle résident dans un apport nutritionnel inadéquat et la présence de maladies qui interagissent entre eux créant un cycle vicieux d’aggravation des maladies et de dégradation progressive de l’état nutritionnel impactant la survie et le développement du jeune enfant.</w:t>
      </w:r>
    </w:p>
    <w:p w:rsidR="00314B92" w:rsidRDefault="009B5EB2" w:rsidP="005D02C3">
      <w:pPr>
        <w:pStyle w:val="Normal1"/>
        <w:numPr>
          <w:ilvl w:val="1"/>
          <w:numId w:val="120"/>
        </w:numPr>
        <w:pBdr>
          <w:top w:val="nil"/>
          <w:left w:val="nil"/>
          <w:bottom w:val="nil"/>
          <w:right w:val="nil"/>
          <w:between w:val="nil"/>
        </w:pBdr>
        <w:spacing w:after="0"/>
        <w:jc w:val="both"/>
        <w:rPr>
          <w:color w:val="000000"/>
          <w:sz w:val="28"/>
          <w:szCs w:val="28"/>
        </w:rPr>
      </w:pPr>
      <w:r w:rsidRPr="009B5EB2">
        <w:rPr>
          <w:color w:val="000000"/>
          <w:sz w:val="24"/>
          <w:szCs w:val="24"/>
        </w:rPr>
        <w:t xml:space="preserve">CONTINUUM DE SERVICES EN SRMNEAN : PERFORMANCE ET GAPS </w:t>
      </w:r>
    </w:p>
    <w:p w:rsidR="00314B92" w:rsidRDefault="00AD5F81" w:rsidP="0061329A">
      <w:pPr>
        <w:pStyle w:val="Normal1"/>
        <w:tabs>
          <w:tab w:val="left" w:pos="5640"/>
        </w:tabs>
        <w:spacing w:after="0"/>
        <w:jc w:val="both"/>
        <w:rPr>
          <w:sz w:val="24"/>
          <w:szCs w:val="24"/>
        </w:rPr>
      </w:pPr>
      <w:r>
        <w:rPr>
          <w:sz w:val="24"/>
          <w:szCs w:val="24"/>
        </w:rPr>
        <w:t>L’analyse des performances des interventions de SRMNEAN a permis d’identifier les insuffisances de couverture dans le domaine.</w:t>
      </w:r>
    </w:p>
    <w:p w:rsidR="00314B92" w:rsidRPr="00314B92" w:rsidRDefault="00AD5F81">
      <w:pPr>
        <w:pStyle w:val="Normal1"/>
        <w:spacing w:after="0"/>
        <w:jc w:val="both"/>
      </w:pPr>
      <w:r>
        <w:rPr>
          <w:sz w:val="24"/>
          <w:szCs w:val="24"/>
        </w:rPr>
        <w:t xml:space="preserve">La couverture des interventions résulte d’une interdépendance entre des indicateurs dont la disponibilité des commodités, la disponibilité des ressources humaines, l’accessibilité géographique, l’accessibilité financière, l’acceptabilité socio-culturelle, l’utilisation initiale, la couverture adéquate (utilisation continue) et la couverture effective (prenant en compte la qualité du service offert). Par ailleurs, il faut relever que d’autres facteurs issus de l’environnement de la mise en œuvre interviennent également dans l’atteinte des résultats à savoir : les politiques et stratégies, les normes sociales, les conditions économiques, le système d’information, le leadership et la gouvernance. </w:t>
      </w:r>
    </w:p>
    <w:p w:rsidR="00314B92" w:rsidRDefault="00AD5F81">
      <w:pPr>
        <w:pStyle w:val="Normal1"/>
        <w:jc w:val="both"/>
        <w:rPr>
          <w:sz w:val="24"/>
          <w:szCs w:val="24"/>
        </w:rPr>
      </w:pPr>
      <w:r>
        <w:rPr>
          <w:sz w:val="24"/>
          <w:szCs w:val="24"/>
        </w:rPr>
        <w:t xml:space="preserve">Cette analyse de la performance sera faite à l’aide de l’outil EQUIST en prenant en compte les gaps de couverture des interventions à haut impact sur la mortalité des nouveau-nés, enfants de moins de cinq ans, des adolescents, des mères, de la nutrition. </w:t>
      </w:r>
    </w:p>
    <w:p w:rsidR="00314B92" w:rsidRDefault="00AD5F81" w:rsidP="005D02C3">
      <w:pPr>
        <w:pStyle w:val="Normal1"/>
        <w:numPr>
          <w:ilvl w:val="2"/>
          <w:numId w:val="120"/>
        </w:numPr>
        <w:pBdr>
          <w:top w:val="nil"/>
          <w:left w:val="nil"/>
          <w:bottom w:val="nil"/>
          <w:right w:val="nil"/>
          <w:between w:val="nil"/>
        </w:pBdr>
        <w:spacing w:after="0" w:line="360" w:lineRule="auto"/>
        <w:jc w:val="both"/>
        <w:rPr>
          <w:color w:val="000000"/>
          <w:sz w:val="24"/>
          <w:szCs w:val="24"/>
        </w:rPr>
      </w:pPr>
      <w:r>
        <w:rPr>
          <w:color w:val="000000"/>
          <w:sz w:val="24"/>
          <w:szCs w:val="24"/>
        </w:rPr>
        <w:t>LES SOINS PRENATALS (SPN)</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 xml:space="preserve">Performances </w:t>
      </w:r>
    </w:p>
    <w:p w:rsidR="00314B92" w:rsidRDefault="00AD5F81">
      <w:pPr>
        <w:pStyle w:val="Normal1"/>
        <w:spacing w:after="0"/>
        <w:jc w:val="both"/>
        <w:rPr>
          <w:sz w:val="24"/>
          <w:szCs w:val="24"/>
        </w:rPr>
      </w:pPr>
      <w:r>
        <w:rPr>
          <w:sz w:val="24"/>
          <w:szCs w:val="24"/>
        </w:rPr>
        <w:t>Les résultats de l’enquête EDS/MICS 2010, montrent que 95 % des femmes ont reçu des soins prénatals au cours de leur grossesse. En 2016, la couverture nationale de CPN1 de 81 %, 70 % pour la CPN2 et 34 % pour la CPN4</w:t>
      </w:r>
      <w:r>
        <w:rPr>
          <w:sz w:val="24"/>
          <w:szCs w:val="24"/>
          <w:vertAlign w:val="superscript"/>
        </w:rPr>
        <w:footnoteReference w:id="46"/>
      </w:r>
      <w:r>
        <w:rPr>
          <w:sz w:val="24"/>
          <w:szCs w:val="24"/>
        </w:rPr>
        <w:t xml:space="preserve">. Malgré les progrès observés, avec une hausse du taux de la CPN4 passant de 34,1% en 2015 à 38% en 2017, il y a un déficit de performance qui n’a pas permis d’atteindre la cible fixée de 45% (PNDS 2011-2020). </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Gaps de performance et analyse de leurs causes</w:t>
      </w:r>
    </w:p>
    <w:p w:rsidR="00314B92" w:rsidRDefault="00AD5F81" w:rsidP="005D02C3">
      <w:pPr>
        <w:pStyle w:val="Normal1"/>
        <w:numPr>
          <w:ilvl w:val="0"/>
          <w:numId w:val="121"/>
        </w:numPr>
        <w:pBdr>
          <w:top w:val="nil"/>
          <w:left w:val="nil"/>
          <w:bottom w:val="nil"/>
          <w:right w:val="nil"/>
          <w:between w:val="nil"/>
        </w:pBdr>
        <w:spacing w:after="0"/>
        <w:jc w:val="both"/>
        <w:rPr>
          <w:b/>
          <w:i/>
          <w:color w:val="000000"/>
          <w:sz w:val="24"/>
          <w:szCs w:val="24"/>
        </w:rPr>
      </w:pPr>
      <w:r>
        <w:rPr>
          <w:b/>
          <w:i/>
          <w:color w:val="000000"/>
          <w:sz w:val="24"/>
          <w:szCs w:val="24"/>
        </w:rPr>
        <w:t>L’offr</w:t>
      </w:r>
      <w:r w:rsidR="0061329A">
        <w:rPr>
          <w:b/>
          <w:i/>
          <w:color w:val="000000"/>
          <w:sz w:val="24"/>
          <w:szCs w:val="24"/>
        </w:rPr>
        <w:t xml:space="preserve">e de services de SPN </w:t>
      </w:r>
      <w:r>
        <w:rPr>
          <w:b/>
          <w:i/>
          <w:color w:val="000000"/>
          <w:sz w:val="24"/>
          <w:szCs w:val="24"/>
        </w:rPr>
        <w:t xml:space="preserve"> est inégalement répartie entre les différents niveaux de soins et entre le secteur public et le secteur privé et entre les régions du pays</w:t>
      </w:r>
      <w:r>
        <w:rPr>
          <w:b/>
          <w:i/>
          <w:color w:val="000000"/>
          <w:sz w:val="24"/>
          <w:szCs w:val="24"/>
          <w:vertAlign w:val="superscript"/>
        </w:rPr>
        <w:footnoteReference w:id="47"/>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 xml:space="preserve">En 2016, l’offre de soins prénatals est de 99% dans les formations sanitaires publiques et de 39% dans le secteur privé. </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 xml:space="preserve">Les formations sanitaires du 1er échelon offrent le plus de services de CPN avec 90% contre 75% pour les CMA/Cliniques et 85% pour les hôpitaux/polycliniques </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 xml:space="preserve">Par rapport à la moyenne nationale, la proportion des formations sanitaires qui offrent les services de CPN est plus faible dans les régions du Centre (59%) et des Hauts-Bassins (83%). </w:t>
      </w:r>
    </w:p>
    <w:p w:rsidR="00314B92" w:rsidRDefault="00AD5F81" w:rsidP="00F20185">
      <w:pPr>
        <w:pStyle w:val="Normal1"/>
        <w:numPr>
          <w:ilvl w:val="0"/>
          <w:numId w:val="35"/>
        </w:numPr>
        <w:pBdr>
          <w:top w:val="nil"/>
          <w:left w:val="nil"/>
          <w:bottom w:val="nil"/>
          <w:right w:val="nil"/>
          <w:between w:val="nil"/>
        </w:pBdr>
        <w:spacing w:after="0"/>
        <w:ind w:left="0" w:firstLine="0"/>
        <w:jc w:val="both"/>
        <w:rPr>
          <w:b/>
          <w:i/>
          <w:color w:val="000000"/>
          <w:sz w:val="24"/>
          <w:szCs w:val="24"/>
        </w:rPr>
      </w:pPr>
      <w:r>
        <w:rPr>
          <w:b/>
          <w:i/>
          <w:color w:val="000000"/>
          <w:sz w:val="24"/>
          <w:szCs w:val="24"/>
        </w:rPr>
        <w:t xml:space="preserve">La capacité opérationnelle des services de soins prénatals est entravée par le manque d’un certain nombre d’éléments traceurs. </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La capacité opérationnelle des services de soins prénatals est évaluée sur base de la disponibilité de 10 éléments traceurs.</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Au plan national, le score moyen de disponibilité des éléments indispensables pour les soins prénatals était de 65% en 2016 et moins de 1% des formations sanitaires disposaient de l’ensemble des éléments traceurs. La faible disponibilité du test d’hémoglobine (5%), de personnel formé (seulement 46 %) et des directives nationales (50 %) sont les éléments qui tirent vers le bas la capacité opérationnelle.</w:t>
      </w:r>
    </w:p>
    <w:p w:rsidR="00314B92" w:rsidRDefault="00AD5F81" w:rsidP="00F20185">
      <w:pPr>
        <w:pStyle w:val="Normal1"/>
        <w:numPr>
          <w:ilvl w:val="0"/>
          <w:numId w:val="36"/>
        </w:numPr>
        <w:pBdr>
          <w:top w:val="nil"/>
          <w:left w:val="nil"/>
          <w:bottom w:val="nil"/>
          <w:right w:val="nil"/>
          <w:between w:val="nil"/>
        </w:pBdr>
        <w:spacing w:after="0"/>
        <w:ind w:left="0" w:firstLine="0"/>
        <w:jc w:val="both"/>
        <w:rPr>
          <w:b/>
          <w:i/>
          <w:color w:val="000000"/>
          <w:sz w:val="24"/>
          <w:szCs w:val="24"/>
        </w:rPr>
      </w:pPr>
      <w:r>
        <w:rPr>
          <w:b/>
          <w:i/>
          <w:color w:val="000000"/>
          <w:sz w:val="24"/>
          <w:szCs w:val="24"/>
        </w:rPr>
        <w:t xml:space="preserve">La faible utilisation continue de la CPN </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En 2016, la couverture nationale de CPN1 de 81 %, 70 % pour la CPN2 et 34 % pour la CPN4</w:t>
      </w:r>
      <w:r>
        <w:rPr>
          <w:color w:val="000000"/>
          <w:sz w:val="24"/>
          <w:szCs w:val="24"/>
          <w:vertAlign w:val="superscript"/>
        </w:rPr>
        <w:footnoteReference w:id="48"/>
      </w:r>
      <w:r>
        <w:rPr>
          <w:color w:val="000000"/>
          <w:sz w:val="24"/>
          <w:szCs w:val="24"/>
        </w:rPr>
        <w:t xml:space="preserve">.  En ce qui concerne le taux de couverture en CPN4, seules deux régions (Sud-ouest et les Cascades) ont atteint la cible de 45% fixée par le PNDS en 2017 et quatre régions (Boucle du Mouhoun, Cascades, Centre et Centre-Est) réalisaient une performance en dessous de la moyenne nationale. </w:t>
      </w:r>
    </w:p>
    <w:p w:rsidR="00314B92" w:rsidRDefault="00314B92">
      <w:pPr>
        <w:pStyle w:val="Normal1"/>
        <w:pBdr>
          <w:top w:val="nil"/>
          <w:left w:val="nil"/>
          <w:bottom w:val="nil"/>
          <w:right w:val="nil"/>
          <w:between w:val="nil"/>
        </w:pBdr>
        <w:spacing w:after="0"/>
        <w:rPr>
          <w:color w:val="000000"/>
          <w:sz w:val="24"/>
          <w:szCs w:val="24"/>
        </w:rPr>
      </w:pPr>
    </w:p>
    <w:p w:rsidR="00314B92" w:rsidRDefault="00AD5F81">
      <w:pPr>
        <w:pStyle w:val="Normal1"/>
        <w:pBdr>
          <w:top w:val="nil"/>
          <w:left w:val="nil"/>
          <w:bottom w:val="nil"/>
          <w:right w:val="nil"/>
          <w:between w:val="nil"/>
        </w:pBdr>
        <w:spacing w:after="0" w:line="240" w:lineRule="auto"/>
        <w:rPr>
          <w:color w:val="000000"/>
          <w:sz w:val="24"/>
          <w:szCs w:val="24"/>
        </w:rPr>
      </w:pPr>
      <w:r>
        <w:rPr>
          <w:noProof/>
          <w:color w:val="000000"/>
          <w:sz w:val="24"/>
          <w:szCs w:val="24"/>
        </w:rPr>
        <w:drawing>
          <wp:inline distT="0" distB="0" distL="0" distR="0">
            <wp:extent cx="5572125" cy="2419350"/>
            <wp:effectExtent l="0" t="0" r="0" b="0"/>
            <wp:docPr id="57"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21" cstate="print"/>
                    <a:srcRect/>
                    <a:stretch>
                      <a:fillRect/>
                    </a:stretch>
                  </pic:blipFill>
                  <pic:spPr>
                    <a:xfrm>
                      <a:off x="0" y="0"/>
                      <a:ext cx="5572125" cy="2419350"/>
                    </a:xfrm>
                    <a:prstGeom prst="rect">
                      <a:avLst/>
                    </a:prstGeom>
                    <a:ln/>
                  </pic:spPr>
                </pic:pic>
              </a:graphicData>
            </a:graphic>
          </wp:inline>
        </w:drawing>
      </w:r>
      <w:r w:rsidR="00A06EBD">
        <w:rPr>
          <w:noProof/>
        </w:rPr>
        <mc:AlternateContent>
          <mc:Choice Requires="wps">
            <w:drawing>
              <wp:anchor distT="0" distB="0" distL="114300" distR="114300" simplePos="0" relativeHeight="251605504" behindDoc="0" locked="0" layoutInCell="1" hidden="0" allowOverlap="1">
                <wp:simplePos x="0" y="0"/>
                <wp:positionH relativeFrom="column">
                  <wp:posOffset>571500</wp:posOffset>
                </wp:positionH>
                <wp:positionV relativeFrom="paragraph">
                  <wp:posOffset>698500</wp:posOffset>
                </wp:positionV>
                <wp:extent cx="4832350" cy="31750"/>
                <wp:effectExtent l="0" t="0" r="0" b="0"/>
                <wp:wrapNone/>
                <wp:docPr id="19" name="Connecteur droit avec flèche 19"/>
                <wp:cNvGraphicFramePr/>
                <a:graphic xmlns:a="http://schemas.openxmlformats.org/drawingml/2006/main">
                  <a:graphicData uri="http://schemas.microsoft.com/office/word/2010/wordprocessingShape">
                    <wps:wsp>
                      <wps:cNvCnPr/>
                      <wps:spPr>
                        <a:xfrm flipH="1">
                          <a:off x="2936175" y="3770475"/>
                          <a:ext cx="4819650" cy="19050"/>
                        </a:xfrm>
                        <a:prstGeom prst="straightConnector1">
                          <a:avLst/>
                        </a:prstGeom>
                        <a:noFill/>
                        <a:ln w="12700" cap="flat" cmpd="sng">
                          <a:solidFill>
                            <a:srgbClr val="FF0000"/>
                          </a:solidFill>
                          <a:prstDash val="solid"/>
                          <a:round/>
                          <a:headEnd type="none" w="sm" len="sm"/>
                          <a:tailEnd type="none" w="sm" len="sm"/>
                        </a:ln>
                      </wps:spPr>
                      <wps:bodyPr/>
                    </wps:wsp>
                  </a:graphicData>
                </a:graphic>
              </wp:anchor>
            </w:drawing>
          </mc:Choice>
          <mc:Fallback>
            <w:pict>
              <v:shapetype w14:anchorId="64B3B841" id="_x0000_t32" coordsize="21600,21600" o:spt="32" o:oned="t" path="m,l21600,21600e" filled="f">
                <v:path arrowok="t" fillok="f" o:connecttype="none"/>
                <o:lock v:ext="edit" shapetype="t"/>
              </v:shapetype>
              <v:shape id="Connecteur droit avec flèche 19" o:spid="_x0000_s1026" type="#_x0000_t32" style="position:absolute;margin-left:45pt;margin-top:55pt;width:380.5pt;height:2.5pt;flip:x;z-index:251605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" strokecolor="red" strokeweight="1pt">
                <v:stroke startarrowwidth="narrow" startarrowlength="short" endarrowwidth="narrow" endarrowlength="short"/>
              </v:shape>
            </w:pict>
          </mc:Fallback>
        </mc:AlternateContent>
      </w:r>
      <w:r w:rsidR="00A06EBD">
        <w:rPr>
          <w:noProof/>
        </w:rPr>
        <mc:AlternateContent>
          <mc:Choice Requires="wps">
            <w:drawing>
              <wp:anchor distT="0" distB="0" distL="114300" distR="114300" simplePos="0" relativeHeight="251606528" behindDoc="0" locked="0" layoutInCell="1" hidden="0" allowOverlap="1">
                <wp:simplePos x="0" y="0"/>
                <wp:positionH relativeFrom="column">
                  <wp:posOffset>584200</wp:posOffset>
                </wp:positionH>
                <wp:positionV relativeFrom="paragraph">
                  <wp:posOffset>1308100</wp:posOffset>
                </wp:positionV>
                <wp:extent cx="4819650" cy="12700"/>
                <wp:effectExtent l="0" t="0" r="0" b="0"/>
                <wp:wrapNone/>
                <wp:docPr id="12" name="Connecteur droit avec flèche 12"/>
                <wp:cNvGraphicFramePr/>
                <a:graphic xmlns:a="http://schemas.openxmlformats.org/drawingml/2006/main">
                  <a:graphicData uri="http://schemas.microsoft.com/office/word/2010/wordprocessingShape">
                    <wps:wsp>
                      <wps:cNvCnPr/>
                      <wps:spPr>
                        <a:xfrm flipH="1">
                          <a:off x="2936175" y="3775238"/>
                          <a:ext cx="4819650" cy="9525"/>
                        </a:xfrm>
                        <a:prstGeom prst="straightConnector1">
                          <a:avLst/>
                        </a:prstGeom>
                        <a:noFill/>
                        <a:ln w="9525" cap="flat" cmpd="sng">
                          <a:solidFill>
                            <a:srgbClr val="4A7DBA"/>
                          </a:solidFill>
                          <a:prstDash val="solid"/>
                          <a:round/>
                          <a:headEnd type="none" w="sm" len="sm"/>
                          <a:tailEnd type="none" w="sm" len="sm"/>
                        </a:ln>
                      </wps:spPr>
                      <wps:bodyPr/>
                    </wps:wsp>
                  </a:graphicData>
                </a:graphic>
              </wp:anchor>
            </w:drawing>
          </mc:Choice>
          <mc:Fallback>
            <w:pict>
              <v:shape w14:anchorId="008930AD" id="Connecteur droit avec flèche 12" o:spid="_x0000_s1026" type="#_x0000_t32" style="position:absolute;margin-left:46pt;margin-top:103pt;width:379.5pt;height:1pt;flip:x;z-index:251606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" strokecolor="#4a7dba">
                <v:stroke startarrowwidth="narrow" startarrowlength="short" endarrowwidth="narrow" endarrowlength="short"/>
              </v:shape>
            </w:pict>
          </mc:Fallback>
        </mc:AlternateContent>
      </w:r>
    </w:p>
    <w:p w:rsidR="00314B92" w:rsidRDefault="00AD5F81">
      <w:pPr>
        <w:pStyle w:val="Normal1"/>
        <w:pBdr>
          <w:top w:val="nil"/>
          <w:left w:val="nil"/>
          <w:bottom w:val="nil"/>
          <w:right w:val="nil"/>
          <w:between w:val="nil"/>
        </w:pBdr>
        <w:tabs>
          <w:tab w:val="left" w:pos="6855"/>
        </w:tabs>
        <w:spacing w:after="0" w:line="240" w:lineRule="auto"/>
        <w:rPr>
          <w:rFonts w:ascii="Arial" w:eastAsia="Arial" w:hAnsi="Arial" w:cs="Arial"/>
          <w:color w:val="000000"/>
          <w:sz w:val="23"/>
          <w:szCs w:val="23"/>
        </w:rPr>
      </w:pPr>
      <w:r>
        <w:rPr>
          <w:rFonts w:ascii="Arial" w:eastAsia="Arial" w:hAnsi="Arial" w:cs="Arial"/>
          <w:b/>
          <w:color w:val="000000"/>
          <w:sz w:val="20"/>
          <w:szCs w:val="20"/>
        </w:rPr>
        <w:t>Figure 8 : Taux de couverture en CPN4 par région en 2017</w:t>
      </w:r>
      <w:r>
        <w:rPr>
          <w:rFonts w:ascii="Arial" w:eastAsia="Arial" w:hAnsi="Arial" w:cs="Arial"/>
          <w:color w:val="000000"/>
          <w:sz w:val="23"/>
          <w:szCs w:val="23"/>
          <w:vertAlign w:val="superscript"/>
        </w:rPr>
        <w:footnoteReference w:id="49"/>
      </w:r>
    </w:p>
    <w:p w:rsidR="00314B92" w:rsidRDefault="00314B92">
      <w:pPr>
        <w:pStyle w:val="Normal1"/>
        <w:pBdr>
          <w:top w:val="nil"/>
          <w:left w:val="nil"/>
          <w:bottom w:val="nil"/>
          <w:right w:val="nil"/>
          <w:between w:val="nil"/>
        </w:pBdr>
        <w:tabs>
          <w:tab w:val="left" w:pos="6855"/>
        </w:tabs>
        <w:spacing w:after="0" w:line="240" w:lineRule="auto"/>
        <w:rPr>
          <w:color w:val="000000"/>
          <w:sz w:val="24"/>
          <w:szCs w:val="24"/>
        </w:rPr>
      </w:pPr>
    </w:p>
    <w:p w:rsidR="00314B92" w:rsidRDefault="00AD5F81" w:rsidP="00F20185">
      <w:pPr>
        <w:pStyle w:val="Normal1"/>
        <w:numPr>
          <w:ilvl w:val="0"/>
          <w:numId w:val="37"/>
        </w:numPr>
        <w:pBdr>
          <w:top w:val="nil"/>
          <w:left w:val="nil"/>
          <w:bottom w:val="nil"/>
          <w:right w:val="nil"/>
          <w:between w:val="nil"/>
        </w:pBdr>
        <w:spacing w:after="0"/>
        <w:ind w:left="360"/>
        <w:jc w:val="both"/>
        <w:rPr>
          <w:b/>
          <w:i/>
          <w:color w:val="000000"/>
          <w:sz w:val="24"/>
          <w:szCs w:val="24"/>
        </w:rPr>
      </w:pPr>
      <w:r>
        <w:rPr>
          <w:b/>
          <w:i/>
          <w:color w:val="000000"/>
          <w:sz w:val="24"/>
          <w:szCs w:val="24"/>
        </w:rPr>
        <w:t>La pauvreté influence négativement l’accès et l’utilisation des services pendant la grossesse</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Environ deux personnes sur cinq parmi les pauvres contre trois sur cinq parmi les non pauvres peuvent être considérées comme utilisant de façon appropriée les services de santé pendant la grossesse. L’accès et l’utilisation des services laisse montraient une augmentation progressive du quintile le plus pauvre (Q1) au plus riche (Q5)</w:t>
      </w:r>
      <w:r>
        <w:rPr>
          <w:color w:val="000000"/>
          <w:sz w:val="24"/>
          <w:szCs w:val="24"/>
          <w:vertAlign w:val="superscript"/>
        </w:rPr>
        <w:footnoteReference w:id="50"/>
      </w:r>
      <w:r>
        <w:rPr>
          <w:color w:val="000000"/>
          <w:sz w:val="24"/>
          <w:szCs w:val="24"/>
        </w:rPr>
        <w:t>.</w:t>
      </w:r>
    </w:p>
    <w:p w:rsidR="00314B92" w:rsidRDefault="00AD5F81" w:rsidP="00F20185">
      <w:pPr>
        <w:pStyle w:val="Normal1"/>
        <w:numPr>
          <w:ilvl w:val="0"/>
          <w:numId w:val="38"/>
        </w:numPr>
        <w:pBdr>
          <w:top w:val="nil"/>
          <w:left w:val="nil"/>
          <w:bottom w:val="nil"/>
          <w:right w:val="nil"/>
          <w:between w:val="nil"/>
        </w:pBdr>
        <w:spacing w:after="0"/>
        <w:ind w:left="360"/>
        <w:jc w:val="both"/>
        <w:rPr>
          <w:b/>
          <w:i/>
          <w:color w:val="000000"/>
          <w:sz w:val="24"/>
          <w:szCs w:val="24"/>
        </w:rPr>
      </w:pPr>
      <w:r>
        <w:rPr>
          <w:b/>
          <w:i/>
          <w:color w:val="000000"/>
          <w:sz w:val="24"/>
          <w:szCs w:val="24"/>
        </w:rPr>
        <w:t>La demande se heurte à un certain nombre d’obstacles</w:t>
      </w:r>
    </w:p>
    <w:p w:rsidR="00314B92" w:rsidRDefault="00AD5F81" w:rsidP="00F20185">
      <w:pPr>
        <w:pStyle w:val="Normal1"/>
        <w:numPr>
          <w:ilvl w:val="0"/>
          <w:numId w:val="39"/>
        </w:numPr>
        <w:pBdr>
          <w:top w:val="nil"/>
          <w:left w:val="nil"/>
          <w:bottom w:val="nil"/>
          <w:right w:val="nil"/>
          <w:between w:val="nil"/>
        </w:pBdr>
        <w:spacing w:after="0"/>
        <w:jc w:val="both"/>
        <w:rPr>
          <w:i/>
          <w:color w:val="000000"/>
          <w:sz w:val="24"/>
          <w:szCs w:val="24"/>
        </w:rPr>
      </w:pPr>
      <w:r>
        <w:rPr>
          <w:i/>
          <w:color w:val="000000"/>
          <w:sz w:val="24"/>
          <w:szCs w:val="24"/>
        </w:rPr>
        <w:t>Barrières géographiques </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Plus de 20% de la population parcourt au moins 10 km pour atteindre une formation sanitaire. Dans les régions de l’Est (47,2%) et du Sahel (46,2%), près de la moitié de la population habite à 10 km ou plus d’un centre de santé</w:t>
      </w:r>
      <w:r>
        <w:rPr>
          <w:color w:val="000000"/>
          <w:sz w:val="24"/>
          <w:szCs w:val="24"/>
          <w:vertAlign w:val="superscript"/>
        </w:rPr>
        <w:footnoteReference w:id="51"/>
      </w:r>
      <w:r>
        <w:rPr>
          <w:color w:val="000000"/>
          <w:sz w:val="24"/>
          <w:szCs w:val="24"/>
        </w:rPr>
        <w:t>. Avec le sous-secteur privé le Rayon moyen d’action théorique est de 6,1 en 2016</w:t>
      </w:r>
      <w:r>
        <w:rPr>
          <w:color w:val="000000"/>
          <w:sz w:val="24"/>
          <w:szCs w:val="24"/>
          <w:vertAlign w:val="superscript"/>
        </w:rPr>
        <w:footnoteReference w:id="52"/>
      </w:r>
      <w:r>
        <w:rPr>
          <w:color w:val="000000"/>
          <w:sz w:val="24"/>
          <w:szCs w:val="24"/>
        </w:rPr>
        <w:t>.</w:t>
      </w:r>
    </w:p>
    <w:p w:rsidR="00314B92" w:rsidRDefault="00AD5F81" w:rsidP="00F20185">
      <w:pPr>
        <w:pStyle w:val="Normal1"/>
        <w:numPr>
          <w:ilvl w:val="0"/>
          <w:numId w:val="39"/>
        </w:numPr>
        <w:pBdr>
          <w:top w:val="nil"/>
          <w:left w:val="nil"/>
          <w:bottom w:val="nil"/>
          <w:right w:val="nil"/>
          <w:between w:val="nil"/>
        </w:pBdr>
        <w:spacing w:after="0"/>
        <w:ind w:left="0" w:firstLine="0"/>
        <w:jc w:val="both"/>
        <w:rPr>
          <w:i/>
          <w:color w:val="000000"/>
          <w:sz w:val="24"/>
          <w:szCs w:val="24"/>
        </w:rPr>
      </w:pPr>
      <w:r>
        <w:rPr>
          <w:i/>
          <w:color w:val="000000"/>
          <w:sz w:val="24"/>
          <w:szCs w:val="24"/>
        </w:rPr>
        <w:t>Barrières financières </w:t>
      </w:r>
    </w:p>
    <w:p w:rsidR="00314B92" w:rsidRDefault="00AD5F81" w:rsidP="0061329A">
      <w:pPr>
        <w:pStyle w:val="Normal1"/>
        <w:pBdr>
          <w:top w:val="nil"/>
          <w:left w:val="nil"/>
          <w:bottom w:val="nil"/>
          <w:right w:val="nil"/>
          <w:between w:val="nil"/>
        </w:pBdr>
        <w:spacing w:after="0"/>
        <w:jc w:val="both"/>
        <w:rPr>
          <w:color w:val="000000"/>
          <w:sz w:val="24"/>
          <w:szCs w:val="24"/>
        </w:rPr>
      </w:pPr>
      <w:r>
        <w:rPr>
          <w:color w:val="000000"/>
          <w:sz w:val="24"/>
          <w:szCs w:val="24"/>
        </w:rPr>
        <w:t xml:space="preserve">Dans le contexte de gratuité, des paiements directs ou indirects persistent : frais de transport, </w:t>
      </w:r>
    </w:p>
    <w:p w:rsidR="00AD2787" w:rsidRPr="00AD2787" w:rsidRDefault="00AD5F81" w:rsidP="00F20185">
      <w:pPr>
        <w:pStyle w:val="Normal1"/>
        <w:numPr>
          <w:ilvl w:val="0"/>
          <w:numId w:val="39"/>
        </w:numPr>
        <w:pBdr>
          <w:top w:val="nil"/>
          <w:left w:val="nil"/>
          <w:bottom w:val="nil"/>
          <w:right w:val="nil"/>
          <w:between w:val="nil"/>
        </w:pBdr>
        <w:spacing w:after="0"/>
        <w:ind w:left="0" w:firstLine="0"/>
        <w:jc w:val="both"/>
        <w:rPr>
          <w:i/>
          <w:color w:val="000000"/>
          <w:sz w:val="24"/>
          <w:szCs w:val="24"/>
        </w:rPr>
      </w:pPr>
      <w:r>
        <w:rPr>
          <w:i/>
          <w:color w:val="000000"/>
          <w:sz w:val="24"/>
          <w:szCs w:val="24"/>
        </w:rPr>
        <w:t>Barrières socio-culturelles</w:t>
      </w:r>
      <w:r w:rsidR="00AD2787">
        <w:rPr>
          <w:i/>
          <w:color w:val="000000"/>
          <w:sz w:val="24"/>
          <w:szCs w:val="24"/>
        </w:rPr>
        <w:t xml:space="preserve"> : </w:t>
      </w:r>
      <w:r w:rsidRPr="00AD2787">
        <w:rPr>
          <w:color w:val="000000"/>
          <w:sz w:val="24"/>
          <w:szCs w:val="24"/>
        </w:rPr>
        <w:t xml:space="preserve">Faible capacité de la femme à prendre les décisions toute </w:t>
      </w:r>
    </w:p>
    <w:p w:rsidR="00AD2787" w:rsidRPr="00AD2787" w:rsidRDefault="00AD2787" w:rsidP="00AD2787">
      <w:pPr>
        <w:pStyle w:val="Normal1"/>
        <w:pBdr>
          <w:top w:val="nil"/>
          <w:left w:val="nil"/>
          <w:bottom w:val="nil"/>
          <w:right w:val="nil"/>
          <w:between w:val="nil"/>
        </w:pBdr>
        <w:spacing w:after="0"/>
        <w:jc w:val="both"/>
        <w:rPr>
          <w:i/>
          <w:color w:val="000000"/>
          <w:sz w:val="24"/>
          <w:szCs w:val="24"/>
        </w:rPr>
      </w:pPr>
      <w:r>
        <w:rPr>
          <w:color w:val="000000"/>
          <w:sz w:val="24"/>
          <w:szCs w:val="24"/>
        </w:rPr>
        <w:t xml:space="preserve">            </w:t>
      </w:r>
      <w:r w:rsidR="00AD5F81" w:rsidRPr="00AD2787">
        <w:rPr>
          <w:color w:val="000000"/>
          <w:sz w:val="24"/>
          <w:szCs w:val="24"/>
        </w:rPr>
        <w:t>seule, influence de la famille, pratiques traditionnelles</w:t>
      </w:r>
      <w:r>
        <w:rPr>
          <w:i/>
          <w:color w:val="000000"/>
          <w:sz w:val="24"/>
          <w:szCs w:val="24"/>
        </w:rPr>
        <w:t xml:space="preserve"> et </w:t>
      </w:r>
      <w:r w:rsidRPr="00AD2787">
        <w:rPr>
          <w:color w:val="000000"/>
          <w:sz w:val="24"/>
          <w:szCs w:val="24"/>
        </w:rPr>
        <w:t>m</w:t>
      </w:r>
      <w:r w:rsidR="00AD5F81" w:rsidRPr="00AD2787">
        <w:rPr>
          <w:color w:val="000000"/>
          <w:sz w:val="24"/>
          <w:szCs w:val="24"/>
        </w:rPr>
        <w:t xml:space="preserve">anque d’information sur </w:t>
      </w:r>
    </w:p>
    <w:p w:rsidR="00314B92" w:rsidRPr="00AD2787" w:rsidRDefault="00AD2787" w:rsidP="00AD2787">
      <w:pPr>
        <w:pStyle w:val="Normal1"/>
        <w:pBdr>
          <w:top w:val="nil"/>
          <w:left w:val="nil"/>
          <w:bottom w:val="nil"/>
          <w:right w:val="nil"/>
          <w:between w:val="nil"/>
        </w:pBdr>
        <w:spacing w:after="0"/>
        <w:jc w:val="both"/>
        <w:rPr>
          <w:i/>
          <w:color w:val="000000"/>
          <w:sz w:val="24"/>
          <w:szCs w:val="24"/>
        </w:rPr>
      </w:pPr>
      <w:r>
        <w:rPr>
          <w:color w:val="000000"/>
          <w:sz w:val="24"/>
          <w:szCs w:val="24"/>
        </w:rPr>
        <w:t xml:space="preserve">            </w:t>
      </w:r>
      <w:r w:rsidR="00AD5F81" w:rsidRPr="00AD2787">
        <w:rPr>
          <w:color w:val="000000"/>
          <w:sz w:val="24"/>
          <w:szCs w:val="24"/>
        </w:rPr>
        <w:t xml:space="preserve">la disponibilité et l’utilité des soins prénatals </w:t>
      </w:r>
    </w:p>
    <w:p w:rsidR="00314B92" w:rsidRDefault="00AD5F81" w:rsidP="00F20185">
      <w:pPr>
        <w:pStyle w:val="Normal1"/>
        <w:numPr>
          <w:ilvl w:val="0"/>
          <w:numId w:val="38"/>
        </w:numPr>
        <w:pBdr>
          <w:top w:val="nil"/>
          <w:left w:val="nil"/>
          <w:bottom w:val="nil"/>
          <w:right w:val="nil"/>
          <w:between w:val="nil"/>
        </w:pBdr>
        <w:tabs>
          <w:tab w:val="left" w:pos="426"/>
        </w:tabs>
        <w:spacing w:after="0"/>
        <w:ind w:firstLine="0"/>
        <w:jc w:val="both"/>
        <w:rPr>
          <w:b/>
          <w:i/>
          <w:color w:val="000000"/>
          <w:sz w:val="24"/>
          <w:szCs w:val="24"/>
        </w:rPr>
      </w:pPr>
      <w:r>
        <w:rPr>
          <w:b/>
          <w:i/>
          <w:color w:val="000000"/>
          <w:sz w:val="24"/>
          <w:szCs w:val="24"/>
        </w:rPr>
        <w:t>La qualité des services prénatals est faible pour les motifs suivants :</w:t>
      </w:r>
    </w:p>
    <w:p w:rsidR="00314B92" w:rsidRDefault="00AD5F81" w:rsidP="00F20185">
      <w:pPr>
        <w:pStyle w:val="Normal1"/>
        <w:numPr>
          <w:ilvl w:val="0"/>
          <w:numId w:val="40"/>
        </w:numPr>
        <w:pBdr>
          <w:top w:val="nil"/>
          <w:left w:val="nil"/>
          <w:bottom w:val="nil"/>
          <w:right w:val="nil"/>
          <w:between w:val="nil"/>
        </w:pBdr>
        <w:spacing w:after="0"/>
        <w:ind w:left="0" w:firstLine="0"/>
        <w:jc w:val="both"/>
        <w:rPr>
          <w:color w:val="000000"/>
          <w:sz w:val="24"/>
          <w:szCs w:val="24"/>
        </w:rPr>
      </w:pPr>
      <w:r>
        <w:rPr>
          <w:color w:val="000000"/>
          <w:sz w:val="24"/>
          <w:szCs w:val="24"/>
        </w:rPr>
        <w:t>Mauvais accueil</w:t>
      </w:r>
    </w:p>
    <w:p w:rsidR="00314B92" w:rsidRDefault="00AD5F81" w:rsidP="00F20185">
      <w:pPr>
        <w:pStyle w:val="Normal1"/>
        <w:numPr>
          <w:ilvl w:val="0"/>
          <w:numId w:val="40"/>
        </w:numPr>
        <w:pBdr>
          <w:top w:val="nil"/>
          <w:left w:val="nil"/>
          <w:bottom w:val="nil"/>
          <w:right w:val="nil"/>
          <w:between w:val="nil"/>
        </w:pBdr>
        <w:spacing w:after="0"/>
        <w:ind w:left="0" w:firstLine="0"/>
        <w:jc w:val="both"/>
        <w:rPr>
          <w:color w:val="000000"/>
          <w:sz w:val="24"/>
          <w:szCs w:val="24"/>
        </w:rPr>
      </w:pPr>
      <w:r>
        <w:rPr>
          <w:color w:val="000000"/>
          <w:sz w:val="24"/>
          <w:szCs w:val="24"/>
        </w:rPr>
        <w:t>Non-respect des Règles de bonnes pratiques</w:t>
      </w:r>
    </w:p>
    <w:p w:rsidR="00314B92" w:rsidRDefault="00AD5F81" w:rsidP="00F20185">
      <w:pPr>
        <w:pStyle w:val="Normal1"/>
        <w:numPr>
          <w:ilvl w:val="0"/>
          <w:numId w:val="40"/>
        </w:numPr>
        <w:pBdr>
          <w:top w:val="nil"/>
          <w:left w:val="nil"/>
          <w:bottom w:val="nil"/>
          <w:right w:val="nil"/>
          <w:between w:val="nil"/>
        </w:pBdr>
        <w:spacing w:after="0"/>
        <w:ind w:left="0" w:firstLine="0"/>
        <w:jc w:val="both"/>
        <w:rPr>
          <w:color w:val="000000"/>
          <w:sz w:val="24"/>
          <w:szCs w:val="24"/>
        </w:rPr>
      </w:pPr>
      <w:r>
        <w:rPr>
          <w:color w:val="000000"/>
          <w:sz w:val="24"/>
          <w:szCs w:val="24"/>
        </w:rPr>
        <w:t>Cadre physique ne respectant pas les normes en matière d’hygiène et assainissement</w:t>
      </w:r>
    </w:p>
    <w:p w:rsidR="00314B92" w:rsidRDefault="00AD5F81" w:rsidP="00F20185">
      <w:pPr>
        <w:pStyle w:val="Normal1"/>
        <w:numPr>
          <w:ilvl w:val="0"/>
          <w:numId w:val="40"/>
        </w:numPr>
        <w:pBdr>
          <w:top w:val="nil"/>
          <w:left w:val="nil"/>
          <w:bottom w:val="nil"/>
          <w:right w:val="nil"/>
          <w:between w:val="nil"/>
        </w:pBdr>
        <w:spacing w:after="0"/>
        <w:ind w:left="0" w:firstLine="0"/>
        <w:jc w:val="both"/>
        <w:rPr>
          <w:color w:val="000000"/>
          <w:sz w:val="24"/>
          <w:szCs w:val="24"/>
        </w:rPr>
      </w:pPr>
      <w:r>
        <w:rPr>
          <w:color w:val="000000"/>
          <w:sz w:val="24"/>
          <w:szCs w:val="24"/>
        </w:rPr>
        <w:t>Normes relatives à la Sécurité du patient souvent non respectées</w:t>
      </w:r>
    </w:p>
    <w:p w:rsidR="00314B92" w:rsidRDefault="00AD5F81" w:rsidP="00F20185">
      <w:pPr>
        <w:pStyle w:val="Normal1"/>
        <w:numPr>
          <w:ilvl w:val="1"/>
          <w:numId w:val="38"/>
        </w:numPr>
        <w:pBdr>
          <w:top w:val="nil"/>
          <w:left w:val="nil"/>
          <w:bottom w:val="nil"/>
          <w:right w:val="nil"/>
          <w:between w:val="nil"/>
        </w:pBdr>
        <w:tabs>
          <w:tab w:val="left" w:pos="426"/>
        </w:tabs>
        <w:spacing w:after="0"/>
        <w:ind w:hanging="720"/>
        <w:jc w:val="both"/>
        <w:rPr>
          <w:b/>
          <w:i/>
          <w:color w:val="000000"/>
          <w:sz w:val="24"/>
          <w:szCs w:val="24"/>
        </w:rPr>
      </w:pPr>
      <w:r>
        <w:rPr>
          <w:b/>
          <w:i/>
          <w:color w:val="000000"/>
          <w:sz w:val="24"/>
          <w:szCs w:val="24"/>
        </w:rPr>
        <w:t xml:space="preserve">Quelques gaps liés à l’environnement systémique et aux déterminants de la santé : </w:t>
      </w:r>
      <w:r>
        <w:rPr>
          <w:color w:val="000000"/>
          <w:sz w:val="24"/>
          <w:szCs w:val="24"/>
        </w:rPr>
        <w:t>Disponibilité des équipements, des outils de communication et des intrants, Diffusion et utilisation des directives, Pauvreté, Education.</w:t>
      </w:r>
    </w:p>
    <w:p w:rsidR="00314B92" w:rsidRDefault="00AD5F81" w:rsidP="00F20185">
      <w:pPr>
        <w:pStyle w:val="Normal1"/>
        <w:numPr>
          <w:ilvl w:val="0"/>
          <w:numId w:val="38"/>
        </w:numPr>
        <w:pBdr>
          <w:top w:val="nil"/>
          <w:left w:val="nil"/>
          <w:bottom w:val="nil"/>
          <w:right w:val="nil"/>
          <w:between w:val="nil"/>
        </w:pBdr>
        <w:tabs>
          <w:tab w:val="left" w:pos="426"/>
        </w:tabs>
        <w:spacing w:after="0"/>
        <w:ind w:firstLine="0"/>
        <w:jc w:val="both"/>
        <w:rPr>
          <w:b/>
          <w:color w:val="000000"/>
          <w:sz w:val="24"/>
          <w:szCs w:val="24"/>
        </w:rPr>
      </w:pPr>
      <w:r>
        <w:rPr>
          <w:b/>
          <w:color w:val="000000"/>
          <w:sz w:val="24"/>
          <w:szCs w:val="24"/>
        </w:rPr>
        <w:t>Intégration limitée des composante nutrition dans les CPN</w:t>
      </w:r>
    </w:p>
    <w:p w:rsidR="00314B92" w:rsidRDefault="00AD5F81" w:rsidP="00AD2787">
      <w:pPr>
        <w:pStyle w:val="Normal1"/>
        <w:tabs>
          <w:tab w:val="left" w:pos="426"/>
        </w:tabs>
        <w:spacing w:after="0"/>
        <w:ind w:left="426"/>
        <w:jc w:val="both"/>
        <w:rPr>
          <w:sz w:val="24"/>
          <w:szCs w:val="24"/>
        </w:rPr>
      </w:pPr>
      <w:r>
        <w:rPr>
          <w:sz w:val="24"/>
          <w:szCs w:val="24"/>
        </w:rPr>
        <w:t>Les SPN sont composés d’interventions nutritionnelles basées sur des évidences qui ne sont pas suffisamment exploités. 97% des femmes enceintes ont fait au moins une consultation prénatale (CPN), alors que seulement 66,7% de ces femmes seulement ont pris 90 comprimés de fer et acide folique ou plus, 62% ont reçu un counseling sur le gain de poids par les agents de santé, et 54% en counseling sur l’alimentation de leurs nouveau-nés</w:t>
      </w:r>
      <w:r>
        <w:rPr>
          <w:color w:val="221E1F"/>
          <w:vertAlign w:val="superscript"/>
        </w:rPr>
        <w:footnoteReference w:id="53"/>
      </w:r>
      <w:r>
        <w:rPr>
          <w:color w:val="221E1F"/>
        </w:rPr>
        <w:t xml:space="preserve">. </w:t>
      </w:r>
      <w:r>
        <w:rPr>
          <w:sz w:val="24"/>
          <w:szCs w:val="24"/>
        </w:rPr>
        <w:t xml:space="preserve">  </w:t>
      </w:r>
    </w:p>
    <w:p w:rsidR="0061329A" w:rsidRDefault="0061329A" w:rsidP="00F20185">
      <w:pPr>
        <w:pStyle w:val="Normal1"/>
        <w:numPr>
          <w:ilvl w:val="0"/>
          <w:numId w:val="38"/>
        </w:numPr>
        <w:pBdr>
          <w:top w:val="nil"/>
          <w:left w:val="nil"/>
          <w:bottom w:val="nil"/>
          <w:right w:val="nil"/>
          <w:between w:val="nil"/>
        </w:pBdr>
        <w:tabs>
          <w:tab w:val="left" w:pos="426"/>
        </w:tabs>
        <w:spacing w:after="0"/>
        <w:ind w:firstLine="0"/>
        <w:jc w:val="both"/>
        <w:rPr>
          <w:b/>
          <w:i/>
          <w:color w:val="000000"/>
          <w:sz w:val="24"/>
          <w:szCs w:val="24"/>
        </w:rPr>
      </w:pPr>
      <w:r>
        <w:rPr>
          <w:b/>
          <w:i/>
          <w:color w:val="000000"/>
          <w:sz w:val="24"/>
          <w:szCs w:val="24"/>
        </w:rPr>
        <w:t>L’in</w:t>
      </w:r>
      <w:r w:rsidR="00AD5F81">
        <w:rPr>
          <w:b/>
          <w:i/>
          <w:color w:val="000000"/>
          <w:sz w:val="24"/>
          <w:szCs w:val="24"/>
        </w:rPr>
        <w:t>disponibilité des directives opérationnelles pour la mise en œuvre effective des</w:t>
      </w:r>
    </w:p>
    <w:p w:rsidR="00314B92" w:rsidRDefault="0061329A" w:rsidP="0061329A">
      <w:pPr>
        <w:pStyle w:val="Normal1"/>
        <w:pBdr>
          <w:top w:val="nil"/>
          <w:left w:val="nil"/>
          <w:bottom w:val="nil"/>
          <w:right w:val="nil"/>
          <w:between w:val="nil"/>
        </w:pBdr>
        <w:tabs>
          <w:tab w:val="left" w:pos="426"/>
        </w:tabs>
        <w:spacing w:after="0"/>
        <w:jc w:val="both"/>
        <w:rPr>
          <w:b/>
          <w:i/>
          <w:color w:val="000000"/>
          <w:sz w:val="24"/>
          <w:szCs w:val="24"/>
        </w:rPr>
      </w:pPr>
      <w:r>
        <w:rPr>
          <w:b/>
          <w:i/>
          <w:color w:val="000000"/>
          <w:sz w:val="24"/>
          <w:szCs w:val="24"/>
        </w:rPr>
        <w:t xml:space="preserve">      </w:t>
      </w:r>
      <w:r w:rsidR="00AD2787">
        <w:rPr>
          <w:b/>
          <w:i/>
          <w:color w:val="000000"/>
          <w:sz w:val="24"/>
          <w:szCs w:val="24"/>
        </w:rPr>
        <w:t xml:space="preserve"> recommandations de l’OMS (</w:t>
      </w:r>
      <w:r w:rsidR="00AD5F81">
        <w:rPr>
          <w:b/>
          <w:i/>
          <w:color w:val="000000"/>
          <w:sz w:val="24"/>
          <w:szCs w:val="24"/>
        </w:rPr>
        <w:t>2016</w:t>
      </w:r>
      <w:r w:rsidR="00AD2787">
        <w:rPr>
          <w:b/>
          <w:i/>
          <w:color w:val="000000"/>
          <w:sz w:val="24"/>
          <w:szCs w:val="24"/>
        </w:rPr>
        <w:t>) sur les SPN</w:t>
      </w:r>
      <w:r w:rsidR="00AD5F81">
        <w:rPr>
          <w:b/>
          <w:i/>
          <w:color w:val="000000"/>
          <w:sz w:val="24"/>
          <w:szCs w:val="24"/>
        </w:rPr>
        <w:t xml:space="preserve"> et adoptées par le pays en 2017</w:t>
      </w:r>
    </w:p>
    <w:p w:rsidR="00314B92" w:rsidRDefault="00314B92">
      <w:pPr>
        <w:pStyle w:val="Normal1"/>
        <w:pBdr>
          <w:top w:val="nil"/>
          <w:left w:val="nil"/>
          <w:bottom w:val="nil"/>
          <w:right w:val="nil"/>
          <w:between w:val="nil"/>
        </w:pBdr>
        <w:spacing w:after="0"/>
        <w:ind w:hanging="720"/>
        <w:jc w:val="both"/>
        <w:rPr>
          <w:b/>
          <w:i/>
          <w:color w:val="000000"/>
          <w:sz w:val="24"/>
          <w:szCs w:val="24"/>
        </w:rPr>
      </w:pPr>
    </w:p>
    <w:p w:rsidR="00314B92" w:rsidRDefault="00AD5F81" w:rsidP="005D02C3">
      <w:pPr>
        <w:pStyle w:val="Normal1"/>
        <w:numPr>
          <w:ilvl w:val="2"/>
          <w:numId w:val="120"/>
        </w:numPr>
        <w:pBdr>
          <w:top w:val="nil"/>
          <w:left w:val="nil"/>
          <w:bottom w:val="nil"/>
          <w:right w:val="nil"/>
          <w:between w:val="nil"/>
        </w:pBdr>
        <w:spacing w:after="0"/>
        <w:jc w:val="both"/>
        <w:rPr>
          <w:smallCaps/>
          <w:color w:val="000000"/>
          <w:sz w:val="24"/>
          <w:szCs w:val="24"/>
        </w:rPr>
      </w:pPr>
      <w:bookmarkStart w:id="10" w:name="_3rdcrjn" w:colFirst="0" w:colLast="0"/>
      <w:bookmarkEnd w:id="10"/>
      <w:r>
        <w:rPr>
          <w:color w:val="000000"/>
          <w:sz w:val="24"/>
          <w:szCs w:val="24"/>
        </w:rPr>
        <w:t xml:space="preserve">LES SOINS OBSTETRICAUX ET NEONATAUX D’URGENCES  </w:t>
      </w:r>
    </w:p>
    <w:p w:rsidR="00314B92" w:rsidRDefault="00AD5F81">
      <w:pPr>
        <w:pStyle w:val="Normal1"/>
        <w:spacing w:after="0"/>
        <w:jc w:val="both"/>
        <w:rPr>
          <w:sz w:val="24"/>
          <w:szCs w:val="24"/>
        </w:rPr>
      </w:pPr>
      <w:r>
        <w:rPr>
          <w:sz w:val="24"/>
          <w:szCs w:val="24"/>
        </w:rPr>
        <w:t xml:space="preserve">Les SONU repose sur 2 composantes, les SONUB et les SONUC. </w:t>
      </w:r>
    </w:p>
    <w:p w:rsidR="00314B92" w:rsidRDefault="00AD5F81">
      <w:pPr>
        <w:pStyle w:val="Normal1"/>
        <w:jc w:val="both"/>
        <w:rPr>
          <w:sz w:val="24"/>
          <w:szCs w:val="24"/>
        </w:rPr>
      </w:pPr>
      <w:r>
        <w:rPr>
          <w:sz w:val="24"/>
          <w:szCs w:val="24"/>
        </w:rPr>
        <w:t>L’analyse portera aussi sur deux autres interventions intimement liées aux SONU : L’assistance des accouchements par du personnel qualifié et les soins après avortement.</w:t>
      </w:r>
    </w:p>
    <w:p w:rsidR="00314B92" w:rsidRDefault="009B5EB2" w:rsidP="005D02C3">
      <w:pPr>
        <w:pStyle w:val="Normal1"/>
        <w:numPr>
          <w:ilvl w:val="3"/>
          <w:numId w:val="120"/>
        </w:numPr>
        <w:pBdr>
          <w:top w:val="nil"/>
          <w:left w:val="nil"/>
          <w:bottom w:val="nil"/>
          <w:right w:val="nil"/>
          <w:between w:val="nil"/>
        </w:pBdr>
        <w:spacing w:after="0"/>
        <w:jc w:val="both"/>
        <w:rPr>
          <w:color w:val="000000"/>
        </w:rPr>
      </w:pPr>
      <w:r w:rsidRPr="009B5EB2">
        <w:rPr>
          <w:b/>
          <w:color w:val="000000"/>
          <w:sz w:val="24"/>
          <w:szCs w:val="24"/>
        </w:rPr>
        <w:t>Performances des SONU</w:t>
      </w:r>
    </w:p>
    <w:p w:rsidR="00314B92" w:rsidRDefault="00AD5F81">
      <w:pPr>
        <w:pStyle w:val="Normal1"/>
        <w:spacing w:after="0"/>
        <w:jc w:val="both"/>
        <w:rPr>
          <w:sz w:val="24"/>
          <w:szCs w:val="24"/>
        </w:rPr>
      </w:pPr>
      <w:r>
        <w:rPr>
          <w:color w:val="000000"/>
          <w:sz w:val="24"/>
          <w:szCs w:val="24"/>
        </w:rPr>
        <w:t>Le Taux d’accouchements assistés par du personnel qualifié (%) est passé de 76 % en 2010 à 83,4 % en 2015 (Cible PNDS 2011-2020 = 85%).</w:t>
      </w:r>
    </w:p>
    <w:p w:rsidR="00314B92" w:rsidRDefault="00AD5F81">
      <w:pPr>
        <w:pStyle w:val="Normal1"/>
        <w:spacing w:after="0"/>
        <w:jc w:val="both"/>
        <w:rPr>
          <w:sz w:val="24"/>
          <w:szCs w:val="24"/>
        </w:rPr>
      </w:pPr>
      <w:r>
        <w:rPr>
          <w:sz w:val="24"/>
          <w:szCs w:val="24"/>
        </w:rPr>
        <w:t xml:space="preserve">Le </w:t>
      </w:r>
      <w:r>
        <w:rPr>
          <w:color w:val="000000"/>
          <w:sz w:val="24"/>
          <w:szCs w:val="24"/>
        </w:rPr>
        <w:t>Taux de césariennes parmi les naissances attendues (%) est passé de 1,6 % en 2010 à 2,4 % en 2015 (Cible PNDS 2011-2020 = 5%)</w:t>
      </w:r>
      <w:r>
        <w:rPr>
          <w:sz w:val="24"/>
          <w:szCs w:val="24"/>
        </w:rPr>
        <w:t>.</w:t>
      </w:r>
    </w:p>
    <w:p w:rsidR="00314B92" w:rsidRDefault="00AD5F81">
      <w:pPr>
        <w:pStyle w:val="Normal1"/>
        <w:spacing w:after="0"/>
        <w:jc w:val="both"/>
        <w:rPr>
          <w:sz w:val="23"/>
          <w:szCs w:val="23"/>
        </w:rPr>
      </w:pPr>
      <w:r>
        <w:rPr>
          <w:sz w:val="23"/>
          <w:szCs w:val="23"/>
        </w:rPr>
        <w:t xml:space="preserve">La proportion des naissances qui ont lieu dans les établissements offrant des SONU a légèrement augmenté, passant de 4,5% en 2010 et en 2014 à 6,4% en 2016. La proportion de complications obstétricales directes étaient reçues et traitées dans les établissements SONU était de 12,3% en 2010, 17,1% en 2014 et 15,3% en 2016. </w:t>
      </w:r>
    </w:p>
    <w:p w:rsidR="00314B92" w:rsidRPr="00F14E58" w:rsidRDefault="00AD5F81">
      <w:pPr>
        <w:pStyle w:val="Normal1"/>
        <w:spacing w:after="0"/>
        <w:jc w:val="both"/>
        <w:rPr>
          <w:sz w:val="24"/>
          <w:szCs w:val="24"/>
        </w:rPr>
      </w:pPr>
      <w:r>
        <w:rPr>
          <w:sz w:val="24"/>
          <w:szCs w:val="24"/>
        </w:rPr>
        <w:t>Dans les structures sanitaires, le taux de mortalité maternelle intra hospitalière pour 100 000 parturientes a évolué en dents de scie : 109,9% en 2015, 135,49% en 2016%, et 119,3% en 2017</w:t>
      </w:r>
      <w:r>
        <w:rPr>
          <w:sz w:val="24"/>
          <w:szCs w:val="24"/>
          <w:vertAlign w:val="superscript"/>
        </w:rPr>
        <w:footnoteReference w:id="54"/>
      </w:r>
      <w:r>
        <w:rPr>
          <w:sz w:val="24"/>
          <w:szCs w:val="24"/>
        </w:rPr>
        <w:t>. Les produits sanguins labiles sont produits par le CNTS et les banques de sang des formations sanitaires pour répondre aux besoins des transfusions.</w:t>
      </w:r>
    </w:p>
    <w:p w:rsidR="00314B92" w:rsidRDefault="00AD5F81">
      <w:pPr>
        <w:pStyle w:val="Normal1"/>
        <w:jc w:val="both"/>
        <w:rPr>
          <w:color w:val="000000"/>
          <w:sz w:val="24"/>
          <w:szCs w:val="24"/>
        </w:rPr>
      </w:pPr>
      <w:r>
        <w:rPr>
          <w:sz w:val="23"/>
          <w:szCs w:val="23"/>
        </w:rPr>
        <w:t xml:space="preserve">Les progrès sont réels mais insuffisants pour atteindre la cible du PNDS </w:t>
      </w:r>
      <w:r>
        <w:rPr>
          <w:color w:val="000000"/>
          <w:sz w:val="24"/>
          <w:szCs w:val="24"/>
        </w:rPr>
        <w:t>2011-2020.</w:t>
      </w:r>
    </w:p>
    <w:p w:rsidR="00314B92" w:rsidRDefault="009B5EB2" w:rsidP="005D02C3">
      <w:pPr>
        <w:pStyle w:val="Normal1"/>
        <w:numPr>
          <w:ilvl w:val="3"/>
          <w:numId w:val="120"/>
        </w:numPr>
        <w:pBdr>
          <w:top w:val="nil"/>
          <w:left w:val="nil"/>
          <w:bottom w:val="nil"/>
          <w:right w:val="nil"/>
          <w:between w:val="nil"/>
        </w:pBdr>
        <w:spacing w:after="0"/>
        <w:jc w:val="both"/>
        <w:rPr>
          <w:color w:val="000000"/>
          <w:sz w:val="23"/>
          <w:szCs w:val="23"/>
        </w:rPr>
      </w:pPr>
      <w:r w:rsidRPr="009B5EB2">
        <w:rPr>
          <w:b/>
          <w:color w:val="000000"/>
          <w:sz w:val="24"/>
          <w:szCs w:val="24"/>
        </w:rPr>
        <w:t>Gaps de performance et leurs causes</w:t>
      </w:r>
    </w:p>
    <w:p w:rsidR="00314B92" w:rsidRPr="000B20C0" w:rsidRDefault="00AD5F81" w:rsidP="005D02C3">
      <w:pPr>
        <w:pStyle w:val="Normal1"/>
        <w:numPr>
          <w:ilvl w:val="0"/>
          <w:numId w:val="47"/>
        </w:numPr>
        <w:pBdr>
          <w:top w:val="nil"/>
          <w:left w:val="nil"/>
          <w:bottom w:val="nil"/>
          <w:right w:val="nil"/>
          <w:between w:val="nil"/>
        </w:pBdr>
        <w:spacing w:after="0"/>
        <w:ind w:left="0" w:firstLine="66"/>
        <w:jc w:val="both"/>
        <w:rPr>
          <w:b/>
          <w:i/>
          <w:color w:val="000000"/>
          <w:sz w:val="23"/>
          <w:szCs w:val="23"/>
        </w:rPr>
      </w:pPr>
      <w:r w:rsidRPr="000B20C0">
        <w:rPr>
          <w:b/>
          <w:i/>
          <w:color w:val="000000"/>
          <w:sz w:val="23"/>
          <w:szCs w:val="23"/>
        </w:rPr>
        <w:t>Une couverture insuffisante en formations sanitaires offrant le paquet SONU.</w:t>
      </w:r>
    </w:p>
    <w:p w:rsidR="00314B92" w:rsidRDefault="00AD5F81" w:rsidP="00F14E58">
      <w:pPr>
        <w:pStyle w:val="Normal1"/>
        <w:pBdr>
          <w:top w:val="nil"/>
          <w:left w:val="nil"/>
          <w:bottom w:val="nil"/>
          <w:right w:val="nil"/>
          <w:between w:val="nil"/>
        </w:pBdr>
        <w:spacing w:after="0"/>
        <w:ind w:left="720" w:firstLine="66"/>
        <w:jc w:val="both"/>
        <w:rPr>
          <w:color w:val="000000"/>
          <w:sz w:val="23"/>
          <w:szCs w:val="23"/>
        </w:rPr>
      </w:pPr>
      <w:r>
        <w:rPr>
          <w:color w:val="000000"/>
          <w:sz w:val="23"/>
          <w:szCs w:val="23"/>
        </w:rPr>
        <w:t xml:space="preserve">La disponibilité des formations sanitaires offrant le paquet de SONU/ 500 000 habitants reste en deçà des normes </w:t>
      </w:r>
      <w:r>
        <w:rPr>
          <w:color w:val="000000"/>
        </w:rPr>
        <w:t>(cinq structures offrant des SONU dont au moins une assurant des soins complets/500 000 habitants).</w:t>
      </w:r>
      <w:r>
        <w:rPr>
          <w:color w:val="000000"/>
          <w:sz w:val="23"/>
          <w:szCs w:val="23"/>
        </w:rPr>
        <w:t xml:space="preserve">  Le nombre de formations sanitaires offrant des SONU était de 0,8 en 2010 et 0,9/500 000 habitants en 2016.</w:t>
      </w:r>
    </w:p>
    <w:p w:rsidR="00F14E58" w:rsidRPr="000B20C0" w:rsidRDefault="00AD5F81" w:rsidP="005D02C3">
      <w:pPr>
        <w:pStyle w:val="Normal1"/>
        <w:numPr>
          <w:ilvl w:val="0"/>
          <w:numId w:val="47"/>
        </w:numPr>
        <w:pBdr>
          <w:top w:val="nil"/>
          <w:left w:val="nil"/>
          <w:bottom w:val="nil"/>
          <w:right w:val="nil"/>
          <w:between w:val="nil"/>
        </w:pBdr>
        <w:spacing w:after="0"/>
        <w:ind w:left="0" w:firstLine="66"/>
        <w:jc w:val="both"/>
        <w:rPr>
          <w:b/>
          <w:i/>
          <w:color w:val="000000"/>
          <w:sz w:val="24"/>
          <w:szCs w:val="24"/>
        </w:rPr>
      </w:pPr>
      <w:r w:rsidRPr="000B20C0">
        <w:rPr>
          <w:b/>
          <w:i/>
          <w:color w:val="000000"/>
          <w:sz w:val="24"/>
          <w:szCs w:val="24"/>
        </w:rPr>
        <w:t xml:space="preserve">La disponibilité moyenne des SONUB est insuffisante pour </w:t>
      </w:r>
      <w:r w:rsidR="00F14E58" w:rsidRPr="000B20C0">
        <w:rPr>
          <w:b/>
          <w:i/>
          <w:color w:val="000000"/>
          <w:sz w:val="24"/>
          <w:szCs w:val="24"/>
        </w:rPr>
        <w:t>les composants soins</w:t>
      </w:r>
      <w:r w:rsidRPr="000B20C0">
        <w:rPr>
          <w:b/>
          <w:i/>
          <w:color w:val="000000"/>
          <w:sz w:val="24"/>
          <w:szCs w:val="24"/>
        </w:rPr>
        <w:t xml:space="preserve"> </w:t>
      </w:r>
    </w:p>
    <w:p w:rsidR="00314B92" w:rsidRPr="000B20C0" w:rsidRDefault="00F14E58" w:rsidP="00F14E58">
      <w:pPr>
        <w:pStyle w:val="Normal1"/>
        <w:pBdr>
          <w:top w:val="nil"/>
          <w:left w:val="nil"/>
          <w:bottom w:val="nil"/>
          <w:right w:val="nil"/>
          <w:between w:val="nil"/>
        </w:pBdr>
        <w:spacing w:after="0"/>
        <w:ind w:left="66"/>
        <w:jc w:val="both"/>
        <w:rPr>
          <w:b/>
          <w:i/>
          <w:color w:val="000000"/>
          <w:sz w:val="24"/>
          <w:szCs w:val="24"/>
        </w:rPr>
      </w:pPr>
      <w:r w:rsidRPr="000B20C0">
        <w:rPr>
          <w:b/>
          <w:i/>
          <w:color w:val="000000"/>
          <w:sz w:val="24"/>
          <w:szCs w:val="24"/>
        </w:rPr>
        <w:t xml:space="preserve">           </w:t>
      </w:r>
      <w:r w:rsidR="00AD5F81" w:rsidRPr="000B20C0">
        <w:rPr>
          <w:b/>
          <w:i/>
          <w:color w:val="000000"/>
          <w:sz w:val="24"/>
          <w:szCs w:val="24"/>
        </w:rPr>
        <w:t>néonataux d’urgence et moyenne pour les soins obstétricaux d’urgence</w:t>
      </w:r>
      <w:r w:rsidR="00AD5F81" w:rsidRPr="000B20C0">
        <w:rPr>
          <w:b/>
          <w:i/>
          <w:color w:val="000000"/>
          <w:sz w:val="24"/>
          <w:szCs w:val="24"/>
          <w:vertAlign w:val="superscript"/>
        </w:rPr>
        <w:footnoteReference w:id="55"/>
      </w:r>
    </w:p>
    <w:p w:rsidR="00314B92" w:rsidRDefault="00F14E58" w:rsidP="00F14E58">
      <w:pPr>
        <w:pStyle w:val="Normal1"/>
        <w:spacing w:after="0"/>
        <w:jc w:val="both"/>
        <w:rPr>
          <w:b/>
          <w:sz w:val="24"/>
          <w:szCs w:val="24"/>
        </w:rPr>
      </w:pPr>
      <w:r>
        <w:rPr>
          <w:i/>
          <w:sz w:val="24"/>
          <w:szCs w:val="24"/>
        </w:rPr>
        <w:t xml:space="preserve">            </w:t>
      </w:r>
      <w:r w:rsidR="00AD5F81">
        <w:rPr>
          <w:sz w:val="24"/>
          <w:szCs w:val="24"/>
        </w:rPr>
        <w:t xml:space="preserve">La disponibilité moyenne des soins néonataux d’urgence était de 39 % en 2016. </w:t>
      </w:r>
    </w:p>
    <w:p w:rsidR="00314B92" w:rsidRDefault="00AD5F81" w:rsidP="00F14E58">
      <w:pPr>
        <w:pStyle w:val="Normal1"/>
        <w:spacing w:after="0"/>
        <w:ind w:left="720"/>
        <w:jc w:val="both"/>
        <w:rPr>
          <w:sz w:val="24"/>
          <w:szCs w:val="24"/>
        </w:rPr>
      </w:pPr>
      <w:r>
        <w:rPr>
          <w:sz w:val="24"/>
          <w:szCs w:val="24"/>
        </w:rPr>
        <w:t>Si le pourcentage des établissements offrant l’allaitement immédiat et exclusif, les soins d’hygiène du cordon et la protection thermique dépassait 85%, il y avait encore respectivement 26% et 34% des établissements qui n’offraient des antibiotiques aux prématurés ou rupture prématurée des membranes prolongée et la méthode kangourou pour prématurées ou nouveaux nés.</w:t>
      </w:r>
    </w:p>
    <w:p w:rsidR="00314B92" w:rsidRDefault="00AD5F81" w:rsidP="00F14E58">
      <w:pPr>
        <w:pStyle w:val="Normal1"/>
        <w:spacing w:after="0"/>
        <w:ind w:left="720"/>
        <w:jc w:val="both"/>
        <w:rPr>
          <w:sz w:val="24"/>
          <w:szCs w:val="24"/>
        </w:rPr>
      </w:pPr>
      <w:r>
        <w:rPr>
          <w:sz w:val="24"/>
          <w:szCs w:val="24"/>
        </w:rPr>
        <w:t>Mais le déficit est particulièrement profond pour le pourcentage des établissements offrant des antibiotiques injectables pour la septicémie néonatale ne dépasse pas 43% et 34% pour la réanimation néonatale.</w:t>
      </w:r>
    </w:p>
    <w:p w:rsidR="00314B92" w:rsidRDefault="00AD5F81" w:rsidP="000B20C0">
      <w:pPr>
        <w:pStyle w:val="Normal1"/>
        <w:pBdr>
          <w:top w:val="nil"/>
          <w:left w:val="nil"/>
          <w:bottom w:val="nil"/>
          <w:right w:val="nil"/>
          <w:between w:val="nil"/>
        </w:pBdr>
        <w:ind w:left="786"/>
        <w:jc w:val="both"/>
        <w:rPr>
          <w:color w:val="000000"/>
          <w:sz w:val="23"/>
          <w:szCs w:val="23"/>
        </w:rPr>
      </w:pPr>
      <w:r>
        <w:rPr>
          <w:color w:val="000000"/>
          <w:sz w:val="23"/>
          <w:szCs w:val="23"/>
        </w:rPr>
        <w:t>La disponibilité moyenne des soins obstétricaux était de 60 % en 2016, avec des proportions particulièrement basses pour les services relatifs à l’administration parentérale d’anticonvulsivants (26%), Corticostéroïdes en travail prématuré et l’évacuation utérine après accouchement (18%).</w:t>
      </w:r>
    </w:p>
    <w:tbl>
      <w:tblPr>
        <w:tblStyle w:val="ac"/>
        <w:tblW w:w="835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58"/>
      </w:tblGrid>
      <w:tr w:rsidR="00314B92">
        <w:tc>
          <w:tcPr>
            <w:tcW w:w="8358" w:type="dxa"/>
          </w:tcPr>
          <w:p w:rsidR="00314B92" w:rsidRDefault="00AD5F81">
            <w:pPr>
              <w:pStyle w:val="Normal1"/>
              <w:spacing w:after="160" w:line="360" w:lineRule="auto"/>
              <w:jc w:val="center"/>
              <w:rPr>
                <w:sz w:val="23"/>
                <w:szCs w:val="23"/>
              </w:rPr>
            </w:pPr>
            <w:r>
              <w:rPr>
                <w:noProof/>
                <w:sz w:val="23"/>
                <w:szCs w:val="23"/>
              </w:rPr>
              <w:drawing>
                <wp:inline distT="0" distB="0" distL="0" distR="0">
                  <wp:extent cx="5184873" cy="2946050"/>
                  <wp:effectExtent l="0" t="0" r="0" b="0"/>
                  <wp:docPr id="58"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22" cstate="print"/>
                          <a:srcRect/>
                          <a:stretch>
                            <a:fillRect/>
                          </a:stretch>
                        </pic:blipFill>
                        <pic:spPr>
                          <a:xfrm>
                            <a:off x="0" y="0"/>
                            <a:ext cx="5184873" cy="2946050"/>
                          </a:xfrm>
                          <a:prstGeom prst="rect">
                            <a:avLst/>
                          </a:prstGeom>
                          <a:ln/>
                        </pic:spPr>
                      </pic:pic>
                    </a:graphicData>
                  </a:graphic>
                </wp:inline>
              </w:drawing>
            </w:r>
          </w:p>
        </w:tc>
      </w:tr>
      <w:tr w:rsidR="00314B92">
        <w:tc>
          <w:tcPr>
            <w:tcW w:w="8358" w:type="dxa"/>
          </w:tcPr>
          <w:p w:rsidR="00314B92" w:rsidRDefault="00AD5F81">
            <w:pPr>
              <w:pStyle w:val="Normal1"/>
              <w:spacing w:after="160" w:line="360" w:lineRule="auto"/>
              <w:jc w:val="both"/>
              <w:rPr>
                <w:b/>
                <w:sz w:val="20"/>
                <w:szCs w:val="20"/>
              </w:rPr>
            </w:pPr>
            <w:r>
              <w:rPr>
                <w:b/>
                <w:sz w:val="20"/>
                <w:szCs w:val="20"/>
              </w:rPr>
              <w:t>Figure 9 : Proportion des formations sanitaires offrant les services essentielles de SONU</w:t>
            </w:r>
            <w:r>
              <w:rPr>
                <w:b/>
                <w:sz w:val="20"/>
                <w:szCs w:val="20"/>
                <w:vertAlign w:val="superscript"/>
              </w:rPr>
              <w:footnoteReference w:id="56"/>
            </w:r>
          </w:p>
        </w:tc>
      </w:tr>
    </w:tbl>
    <w:p w:rsidR="00314B92" w:rsidRDefault="00AD5F81">
      <w:pPr>
        <w:pStyle w:val="Normal1"/>
        <w:pBdr>
          <w:top w:val="nil"/>
          <w:left w:val="nil"/>
          <w:bottom w:val="nil"/>
          <w:right w:val="nil"/>
          <w:between w:val="nil"/>
        </w:pBdr>
        <w:spacing w:after="0" w:line="360" w:lineRule="auto"/>
        <w:ind w:left="360" w:hanging="720"/>
        <w:jc w:val="both"/>
        <w:rPr>
          <w:color w:val="000000"/>
          <w:sz w:val="23"/>
          <w:szCs w:val="23"/>
        </w:rPr>
      </w:pPr>
      <w:r>
        <w:rPr>
          <w:color w:val="000000"/>
          <w:sz w:val="23"/>
          <w:szCs w:val="23"/>
        </w:rPr>
        <w:t xml:space="preserve"> </w:t>
      </w:r>
    </w:p>
    <w:p w:rsidR="00314B92" w:rsidRDefault="00AD5F81" w:rsidP="005D02C3">
      <w:pPr>
        <w:pStyle w:val="Normal1"/>
        <w:numPr>
          <w:ilvl w:val="0"/>
          <w:numId w:val="47"/>
        </w:numPr>
        <w:pBdr>
          <w:top w:val="nil"/>
          <w:left w:val="nil"/>
          <w:bottom w:val="nil"/>
          <w:right w:val="nil"/>
          <w:between w:val="nil"/>
        </w:pBdr>
        <w:spacing w:after="0"/>
        <w:ind w:left="360"/>
        <w:jc w:val="both"/>
        <w:rPr>
          <w:i/>
          <w:color w:val="000000"/>
          <w:sz w:val="23"/>
          <w:szCs w:val="23"/>
        </w:rPr>
      </w:pPr>
      <w:r>
        <w:rPr>
          <w:i/>
          <w:color w:val="000000"/>
          <w:sz w:val="23"/>
          <w:szCs w:val="23"/>
        </w:rPr>
        <w:t xml:space="preserve">La </w:t>
      </w:r>
      <w:r>
        <w:rPr>
          <w:i/>
          <w:color w:val="000000"/>
          <w:sz w:val="24"/>
          <w:szCs w:val="24"/>
        </w:rPr>
        <w:t>capacité opérationnelle des établissements à fournir des SONUB nécessite des améliorations y compris dans leur distribution par régions.</w:t>
      </w:r>
      <w:r>
        <w:rPr>
          <w:color w:val="000000"/>
          <w:sz w:val="23"/>
          <w:szCs w:val="23"/>
        </w:rPr>
        <w:t xml:space="preserve"> </w:t>
      </w:r>
    </w:p>
    <w:p w:rsidR="00314B92" w:rsidRDefault="00AD5F81" w:rsidP="000B20C0">
      <w:pPr>
        <w:pStyle w:val="Normal1"/>
        <w:pBdr>
          <w:top w:val="nil"/>
          <w:left w:val="nil"/>
          <w:bottom w:val="nil"/>
          <w:right w:val="nil"/>
          <w:between w:val="nil"/>
        </w:pBdr>
        <w:spacing w:after="0"/>
        <w:ind w:left="426"/>
        <w:jc w:val="both"/>
        <w:rPr>
          <w:color w:val="000000"/>
          <w:sz w:val="24"/>
          <w:szCs w:val="24"/>
        </w:rPr>
      </w:pPr>
      <w:r>
        <w:rPr>
          <w:color w:val="000000"/>
          <w:sz w:val="24"/>
          <w:szCs w:val="24"/>
        </w:rPr>
        <w:t>En termes, de capacité opérationnelle des établissements à fournir des SONUB</w:t>
      </w:r>
    </w:p>
    <w:p w:rsidR="00314B92" w:rsidRDefault="00AD5F81" w:rsidP="000B20C0">
      <w:pPr>
        <w:pStyle w:val="Normal1"/>
        <w:pBdr>
          <w:top w:val="nil"/>
          <w:left w:val="nil"/>
          <w:bottom w:val="nil"/>
          <w:right w:val="nil"/>
          <w:between w:val="nil"/>
        </w:pBdr>
        <w:spacing w:after="0"/>
        <w:ind w:left="426"/>
        <w:jc w:val="both"/>
        <w:rPr>
          <w:color w:val="000000"/>
          <w:sz w:val="24"/>
          <w:szCs w:val="24"/>
        </w:rPr>
      </w:pPr>
      <w:r>
        <w:rPr>
          <w:color w:val="000000"/>
          <w:sz w:val="24"/>
          <w:szCs w:val="24"/>
        </w:rPr>
        <w:t xml:space="preserve">(Disponibilité des 21 éléments traceurs), en </w:t>
      </w:r>
      <w:r>
        <w:rPr>
          <w:color w:val="000000"/>
          <w:sz w:val="23"/>
          <w:szCs w:val="23"/>
        </w:rPr>
        <w:t xml:space="preserve">moyenne </w:t>
      </w:r>
      <w:r>
        <w:rPr>
          <w:color w:val="000000"/>
          <w:sz w:val="24"/>
          <w:szCs w:val="24"/>
        </w:rPr>
        <w:t>moins de</w:t>
      </w:r>
      <w:r>
        <w:rPr>
          <w:color w:val="000000"/>
        </w:rPr>
        <w:t xml:space="preserve"> </w:t>
      </w:r>
      <w:r>
        <w:rPr>
          <w:color w:val="000000"/>
          <w:sz w:val="24"/>
          <w:szCs w:val="24"/>
        </w:rPr>
        <w:t xml:space="preserve">1% pour l’ensemble des établissements de soins disposait de tous les éléments traceurs et en moyenne les formations sanitaires disposaient de 64% des 21 éléments. </w:t>
      </w:r>
    </w:p>
    <w:p w:rsidR="00314B92" w:rsidRDefault="00AD5F81" w:rsidP="005D02C3">
      <w:pPr>
        <w:pStyle w:val="Normal1"/>
        <w:numPr>
          <w:ilvl w:val="0"/>
          <w:numId w:val="47"/>
        </w:numPr>
        <w:pBdr>
          <w:top w:val="nil"/>
          <w:left w:val="nil"/>
          <w:bottom w:val="nil"/>
          <w:right w:val="nil"/>
          <w:between w:val="nil"/>
        </w:pBdr>
        <w:spacing w:after="0"/>
        <w:ind w:left="426" w:hanging="426"/>
        <w:jc w:val="both"/>
        <w:rPr>
          <w:i/>
          <w:color w:val="000000"/>
          <w:sz w:val="24"/>
          <w:szCs w:val="24"/>
        </w:rPr>
      </w:pPr>
      <w:r>
        <w:rPr>
          <w:i/>
          <w:color w:val="000000"/>
          <w:sz w:val="24"/>
          <w:szCs w:val="24"/>
        </w:rPr>
        <w:t>Le manque ou les ruptures de stock en intrants.</w:t>
      </w:r>
    </w:p>
    <w:p w:rsidR="00314B92" w:rsidRDefault="00AD5F81">
      <w:pPr>
        <w:pStyle w:val="Normal1"/>
        <w:pBdr>
          <w:top w:val="nil"/>
          <w:left w:val="nil"/>
          <w:bottom w:val="nil"/>
          <w:right w:val="nil"/>
          <w:between w:val="nil"/>
        </w:pBdr>
        <w:spacing w:after="0"/>
        <w:ind w:hanging="720"/>
        <w:jc w:val="both"/>
        <w:rPr>
          <w:color w:val="000000"/>
          <w:sz w:val="24"/>
          <w:szCs w:val="24"/>
        </w:rPr>
      </w:pPr>
      <w:r>
        <w:rPr>
          <w:color w:val="000000"/>
          <w:sz w:val="24"/>
          <w:szCs w:val="24"/>
        </w:rPr>
        <w:t xml:space="preserve"> </w:t>
      </w:r>
      <w:r w:rsidR="000B20C0">
        <w:rPr>
          <w:color w:val="000000"/>
          <w:sz w:val="24"/>
          <w:szCs w:val="24"/>
        </w:rPr>
        <w:t xml:space="preserve">                   </w:t>
      </w:r>
      <w:r>
        <w:rPr>
          <w:color w:val="000000"/>
          <w:sz w:val="24"/>
          <w:szCs w:val="24"/>
        </w:rPr>
        <w:t>Les gaps sont observés au niveau :</w:t>
      </w:r>
    </w:p>
    <w:p w:rsidR="00314B92" w:rsidRDefault="00AD5F81" w:rsidP="005D02C3">
      <w:pPr>
        <w:pStyle w:val="Normal1"/>
        <w:numPr>
          <w:ilvl w:val="0"/>
          <w:numId w:val="51"/>
        </w:numPr>
        <w:pBdr>
          <w:top w:val="nil"/>
          <w:left w:val="nil"/>
          <w:bottom w:val="nil"/>
          <w:right w:val="nil"/>
          <w:between w:val="nil"/>
        </w:pBdr>
        <w:spacing w:after="0"/>
        <w:ind w:left="720"/>
        <w:jc w:val="both"/>
        <w:rPr>
          <w:color w:val="000000"/>
          <w:sz w:val="24"/>
          <w:szCs w:val="24"/>
        </w:rPr>
      </w:pPr>
      <w:r>
        <w:rPr>
          <w:color w:val="000000"/>
          <w:sz w:val="24"/>
          <w:szCs w:val="24"/>
        </w:rPr>
        <w:t>Des directives et du personnel : directives (54%), personnel formé aux SONUB (53%).</w:t>
      </w:r>
    </w:p>
    <w:p w:rsidR="00314B92" w:rsidRDefault="00AD5F81" w:rsidP="005D02C3">
      <w:pPr>
        <w:pStyle w:val="Normal1"/>
        <w:numPr>
          <w:ilvl w:val="0"/>
          <w:numId w:val="51"/>
        </w:numPr>
        <w:pBdr>
          <w:top w:val="nil"/>
          <w:left w:val="nil"/>
          <w:bottom w:val="nil"/>
          <w:right w:val="nil"/>
          <w:between w:val="nil"/>
        </w:pBdr>
        <w:spacing w:after="0"/>
        <w:ind w:left="720"/>
        <w:jc w:val="both"/>
        <w:rPr>
          <w:color w:val="000000"/>
          <w:sz w:val="24"/>
          <w:szCs w:val="24"/>
        </w:rPr>
      </w:pPr>
      <w:r>
        <w:rPr>
          <w:color w:val="000000"/>
          <w:sz w:val="24"/>
          <w:szCs w:val="24"/>
        </w:rPr>
        <w:t>Des équipements : Lampes d’examen (59%), Appareil d’aspiration (36%), Matériel de stérilisation (21%), Ballons et masques (18%), Ventouse obstétricale manuelle (7%).</w:t>
      </w:r>
    </w:p>
    <w:p w:rsidR="00314B92" w:rsidRDefault="00AD5F81" w:rsidP="005D02C3">
      <w:pPr>
        <w:pStyle w:val="Normal1"/>
        <w:numPr>
          <w:ilvl w:val="0"/>
          <w:numId w:val="51"/>
        </w:numPr>
        <w:pBdr>
          <w:top w:val="nil"/>
          <w:left w:val="nil"/>
          <w:bottom w:val="nil"/>
          <w:right w:val="nil"/>
          <w:between w:val="nil"/>
        </w:pBdr>
        <w:spacing w:after="160"/>
        <w:ind w:left="720"/>
        <w:jc w:val="both"/>
        <w:rPr>
          <w:color w:val="000000"/>
          <w:sz w:val="24"/>
          <w:szCs w:val="24"/>
        </w:rPr>
      </w:pPr>
      <w:r>
        <w:rPr>
          <w:color w:val="000000"/>
          <w:sz w:val="24"/>
          <w:szCs w:val="24"/>
        </w:rPr>
        <w:t xml:space="preserve">Des médicaments et produits médicaux : Sulfate de Magnésium (38%) </w:t>
      </w:r>
    </w:p>
    <w:p w:rsidR="00314B92" w:rsidRDefault="00AD5F81" w:rsidP="000B20C0">
      <w:pPr>
        <w:pStyle w:val="Normal1"/>
        <w:spacing w:after="160"/>
        <w:ind w:left="360"/>
        <w:jc w:val="both"/>
        <w:rPr>
          <w:sz w:val="24"/>
          <w:szCs w:val="24"/>
        </w:rPr>
      </w:pPr>
      <w:r>
        <w:rPr>
          <w:sz w:val="24"/>
          <w:szCs w:val="24"/>
        </w:rPr>
        <w:t xml:space="preserve">En termes de répartition régionale, les formations sanitaires dans 7 régions n’atteignent pas la moyenne nationale : Centre, Centre-Ouest et hauts-Bassins avec 62%, Centre-Sud et Plateau Central avec 59%, Centre-Est et Cascades avec 57%. </w:t>
      </w:r>
    </w:p>
    <w:p w:rsidR="000B20C0" w:rsidRDefault="00AD5F81" w:rsidP="000B20C0">
      <w:pPr>
        <w:pStyle w:val="Normal1"/>
        <w:pBdr>
          <w:top w:val="nil"/>
          <w:left w:val="nil"/>
          <w:bottom w:val="nil"/>
          <w:right w:val="nil"/>
          <w:between w:val="nil"/>
        </w:pBdr>
        <w:spacing w:after="0"/>
        <w:ind w:left="294" w:firstLine="132"/>
        <w:jc w:val="both"/>
        <w:rPr>
          <w:color w:val="000000"/>
          <w:sz w:val="24"/>
          <w:szCs w:val="24"/>
        </w:rPr>
      </w:pPr>
      <w:r>
        <w:rPr>
          <w:color w:val="000000"/>
          <w:sz w:val="24"/>
          <w:szCs w:val="24"/>
        </w:rPr>
        <w:t xml:space="preserve">Seuls 54% et 53% des établissements de santé remplissaient les critères par rapport aux </w:t>
      </w:r>
    </w:p>
    <w:p w:rsidR="00314B92" w:rsidRDefault="000B20C0" w:rsidP="000B20C0">
      <w:pPr>
        <w:pStyle w:val="Normal1"/>
        <w:pBdr>
          <w:top w:val="nil"/>
          <w:left w:val="nil"/>
          <w:bottom w:val="nil"/>
          <w:right w:val="nil"/>
          <w:between w:val="nil"/>
        </w:pBdr>
        <w:spacing w:after="0"/>
        <w:ind w:left="294" w:firstLine="132"/>
        <w:jc w:val="both"/>
        <w:rPr>
          <w:color w:val="000000"/>
          <w:sz w:val="24"/>
          <w:szCs w:val="24"/>
        </w:rPr>
      </w:pPr>
      <w:r>
        <w:rPr>
          <w:color w:val="000000"/>
          <w:sz w:val="24"/>
          <w:szCs w:val="24"/>
        </w:rPr>
        <w:t xml:space="preserve"> </w:t>
      </w:r>
      <w:r w:rsidR="00AD5F81">
        <w:rPr>
          <w:color w:val="000000"/>
          <w:sz w:val="24"/>
          <w:szCs w:val="24"/>
        </w:rPr>
        <w:t>éléments traceurs Directives et Personnel.</w:t>
      </w:r>
    </w:p>
    <w:p w:rsidR="00314B92" w:rsidRDefault="00AD5F81" w:rsidP="005D02C3">
      <w:pPr>
        <w:pStyle w:val="Normal1"/>
        <w:numPr>
          <w:ilvl w:val="0"/>
          <w:numId w:val="47"/>
        </w:numPr>
        <w:pBdr>
          <w:top w:val="nil"/>
          <w:left w:val="nil"/>
          <w:bottom w:val="nil"/>
          <w:right w:val="nil"/>
          <w:between w:val="nil"/>
        </w:pBdr>
        <w:spacing w:after="0"/>
        <w:ind w:left="360"/>
        <w:jc w:val="both"/>
        <w:rPr>
          <w:i/>
          <w:color w:val="000000"/>
          <w:sz w:val="24"/>
          <w:szCs w:val="24"/>
        </w:rPr>
      </w:pPr>
      <w:r>
        <w:rPr>
          <w:i/>
          <w:color w:val="000000"/>
          <w:sz w:val="24"/>
          <w:szCs w:val="24"/>
        </w:rPr>
        <w:t>La disponibilité et la capacité opérationnelle des services de SONUC y compris la transfusion sont basses</w:t>
      </w:r>
    </w:p>
    <w:p w:rsidR="00314B92" w:rsidRDefault="00AD5F81" w:rsidP="000B20C0">
      <w:pPr>
        <w:pStyle w:val="Normal1"/>
        <w:pBdr>
          <w:top w:val="nil"/>
          <w:left w:val="nil"/>
          <w:bottom w:val="nil"/>
          <w:right w:val="nil"/>
          <w:between w:val="nil"/>
        </w:pBdr>
        <w:spacing w:after="160"/>
        <w:ind w:left="360" w:firstLine="66"/>
        <w:jc w:val="both"/>
        <w:rPr>
          <w:color w:val="000000"/>
          <w:sz w:val="24"/>
          <w:szCs w:val="24"/>
        </w:rPr>
      </w:pPr>
      <w:r>
        <w:rPr>
          <w:color w:val="000000"/>
          <w:sz w:val="24"/>
          <w:szCs w:val="24"/>
        </w:rPr>
        <w:t>La disponibilité des services de SONUC</w:t>
      </w:r>
      <w:r>
        <w:rPr>
          <w:color w:val="000000"/>
          <w:sz w:val="24"/>
          <w:szCs w:val="24"/>
          <w:vertAlign w:val="superscript"/>
        </w:rPr>
        <w:footnoteReference w:id="57"/>
      </w:r>
      <w:r>
        <w:rPr>
          <w:color w:val="000000"/>
          <w:sz w:val="24"/>
          <w:szCs w:val="24"/>
        </w:rPr>
        <w:t xml:space="preserve"> étaient en moyenne de 58% (80% des structures publiques et 28% des structures privées). Les écarts entre régions sont très grands allant de 15% dans la région du Centre-Nord à 100% dans celle de la Boucle du Mouhoun. En termes de capacité opérationnelle des services (directives et personnel, équipement, capacité de diagnostic, médicaments et produits), seulement 57% des structures disposaient de l’ensemble des éléments en 2016. La proportion des CMA qui offrent des prestations SONUC était de 51% en 2016. </w:t>
      </w:r>
    </w:p>
    <w:p w:rsidR="00314B92" w:rsidRDefault="00AD5F81">
      <w:pPr>
        <w:pStyle w:val="Normal1"/>
        <w:spacing w:after="0" w:line="360" w:lineRule="auto"/>
        <w:jc w:val="both"/>
        <w:rPr>
          <w:b/>
          <w:sz w:val="20"/>
          <w:szCs w:val="20"/>
        </w:rPr>
      </w:pPr>
      <w:r>
        <w:rPr>
          <w:noProof/>
          <w:sz w:val="23"/>
          <w:szCs w:val="23"/>
        </w:rPr>
        <w:drawing>
          <wp:inline distT="0" distB="0" distL="0" distR="0">
            <wp:extent cx="5695950" cy="2514600"/>
            <wp:effectExtent l="19050" t="0" r="0" b="0"/>
            <wp:docPr id="59" name="image60.png"/>
            <wp:cNvGraphicFramePr/>
            <a:graphic xmlns:a="http://schemas.openxmlformats.org/drawingml/2006/main">
              <a:graphicData uri="http://schemas.openxmlformats.org/drawingml/2006/picture">
                <pic:pic xmlns:pic="http://schemas.openxmlformats.org/drawingml/2006/picture">
                  <pic:nvPicPr>
                    <pic:cNvPr id="0" name="image60.png"/>
                    <pic:cNvPicPr preferRelativeResize="0"/>
                  </pic:nvPicPr>
                  <pic:blipFill>
                    <a:blip r:embed="rId23" cstate="print"/>
                    <a:srcRect/>
                    <a:stretch>
                      <a:fillRect/>
                    </a:stretch>
                  </pic:blipFill>
                  <pic:spPr>
                    <a:xfrm>
                      <a:off x="0" y="0"/>
                      <a:ext cx="5695950" cy="2514600"/>
                    </a:xfrm>
                    <a:prstGeom prst="rect">
                      <a:avLst/>
                    </a:prstGeom>
                    <a:ln/>
                  </pic:spPr>
                </pic:pic>
              </a:graphicData>
            </a:graphic>
          </wp:inline>
        </w:drawing>
      </w:r>
      <w:r>
        <w:rPr>
          <w:sz w:val="24"/>
          <w:szCs w:val="24"/>
          <w:vertAlign w:val="superscript"/>
        </w:rPr>
        <w:footnoteReference w:id="58"/>
      </w:r>
      <w:r>
        <w:rPr>
          <w:sz w:val="24"/>
          <w:szCs w:val="24"/>
        </w:rPr>
        <w:t xml:space="preserve"> </w:t>
      </w:r>
      <w:r>
        <w:rPr>
          <w:b/>
          <w:sz w:val="20"/>
          <w:szCs w:val="20"/>
        </w:rPr>
        <w:t>Figure 10 : Disponibilité des SONUC par région</w:t>
      </w:r>
    </w:p>
    <w:p w:rsidR="00314B92" w:rsidRDefault="00AD5F81" w:rsidP="000B20C0">
      <w:pPr>
        <w:pStyle w:val="Normal1"/>
        <w:spacing w:after="0"/>
        <w:jc w:val="both"/>
        <w:rPr>
          <w:sz w:val="24"/>
          <w:szCs w:val="24"/>
        </w:rPr>
      </w:pPr>
      <w:r>
        <w:rPr>
          <w:sz w:val="24"/>
          <w:szCs w:val="24"/>
        </w:rPr>
        <w:t>Soixante-seize (76) % des établissements de santé offraient des services de transfusion sanguine en 2016. Cette disponibilité varie de 33% dans la région des cascades à 100% dans les régions de la Boucle du Mouhoun, de l’Est, du Centre Nord et du Sud-Ouest.</w:t>
      </w:r>
    </w:p>
    <w:p w:rsidR="00314B92" w:rsidRDefault="00AD5F81">
      <w:pPr>
        <w:pStyle w:val="Normal1"/>
        <w:spacing w:after="0"/>
        <w:jc w:val="both"/>
        <w:rPr>
          <w:sz w:val="24"/>
          <w:szCs w:val="24"/>
        </w:rPr>
      </w:pPr>
      <w:r>
        <w:rPr>
          <w:sz w:val="24"/>
          <w:szCs w:val="24"/>
        </w:rPr>
        <w:t>C’est une transfusion sanguine à double vitesse qui est pratiquée du fait que le CNTS ne couvre pas encore l’ensemble du territoire (annuaire statistique). Les régions des cascades, de la Boucle du Mouhoun, du Centre-Est et du Sahel ne sont pas encore entièrement couvert par le CNTS ; les formations sanitaires produisent encore par elles-mêmes les produits sanguins pour leur consommation</w:t>
      </w:r>
      <w:r w:rsidR="000B20C0">
        <w:rPr>
          <w:sz w:val="24"/>
          <w:szCs w:val="24"/>
        </w:rPr>
        <w:t xml:space="preserve">. </w:t>
      </w:r>
      <w:r w:rsidR="009B5EB2" w:rsidRPr="009B5EB2">
        <w:rPr>
          <w:sz w:val="24"/>
          <w:szCs w:val="24"/>
        </w:rPr>
        <w:t>En 2016, seulement 6% des établissements de santé disposaient de tous les éléments traceurs pour la transfusion sanguine (Personnel et directives, Equipement, Capacité de diagnostic, Médicaments et produits). Le score moyen de disponibilité est de 55% avec 2 régions défavorisées. Trente-un % des CMA et cliniques ne pouvaient pas réaliser la transfusion sanguine dans le cadre des SONUC.</w:t>
      </w:r>
      <w:r>
        <w:rPr>
          <w:sz w:val="24"/>
          <w:szCs w:val="24"/>
        </w:rPr>
        <w:t xml:space="preserve"> La satisfaction des besoins d’approvisionnement en sang est faible (30%).</w:t>
      </w:r>
    </w:p>
    <w:p w:rsidR="00314B92" w:rsidRDefault="00AD5F81" w:rsidP="005D02C3">
      <w:pPr>
        <w:pStyle w:val="Normal1"/>
        <w:numPr>
          <w:ilvl w:val="0"/>
          <w:numId w:val="47"/>
        </w:numPr>
        <w:pBdr>
          <w:top w:val="nil"/>
          <w:left w:val="nil"/>
          <w:bottom w:val="nil"/>
          <w:right w:val="nil"/>
          <w:between w:val="nil"/>
        </w:pBdr>
        <w:spacing w:after="0"/>
        <w:jc w:val="both"/>
        <w:rPr>
          <w:i/>
          <w:color w:val="000000"/>
          <w:sz w:val="24"/>
          <w:szCs w:val="24"/>
        </w:rPr>
      </w:pPr>
      <w:r>
        <w:rPr>
          <w:i/>
          <w:color w:val="000000"/>
          <w:sz w:val="24"/>
          <w:szCs w:val="24"/>
        </w:rPr>
        <w:t xml:space="preserve">La demande est bridée par </w:t>
      </w:r>
    </w:p>
    <w:p w:rsidR="00314B92" w:rsidRDefault="00AD5F81" w:rsidP="005D02C3">
      <w:pPr>
        <w:pStyle w:val="Normal1"/>
        <w:numPr>
          <w:ilvl w:val="0"/>
          <w:numId w:val="64"/>
        </w:numPr>
        <w:pBdr>
          <w:top w:val="nil"/>
          <w:left w:val="nil"/>
          <w:bottom w:val="nil"/>
          <w:right w:val="nil"/>
          <w:between w:val="nil"/>
        </w:pBdr>
        <w:spacing w:after="0"/>
        <w:jc w:val="both"/>
        <w:rPr>
          <w:color w:val="000000"/>
          <w:sz w:val="24"/>
          <w:szCs w:val="24"/>
        </w:rPr>
      </w:pPr>
      <w:r>
        <w:rPr>
          <w:color w:val="000000"/>
          <w:sz w:val="24"/>
          <w:szCs w:val="24"/>
        </w:rPr>
        <w:t xml:space="preserve">Barrières géographiques (Rayon moyen d’action, disparité régionale) </w:t>
      </w:r>
    </w:p>
    <w:p w:rsidR="00314B92" w:rsidRDefault="00AD5F81" w:rsidP="005D02C3">
      <w:pPr>
        <w:pStyle w:val="Normal1"/>
        <w:numPr>
          <w:ilvl w:val="0"/>
          <w:numId w:val="64"/>
        </w:numPr>
        <w:pBdr>
          <w:top w:val="nil"/>
          <w:left w:val="nil"/>
          <w:bottom w:val="nil"/>
          <w:right w:val="nil"/>
          <w:between w:val="nil"/>
        </w:pBdr>
        <w:spacing w:after="0"/>
        <w:jc w:val="both"/>
        <w:rPr>
          <w:color w:val="000000"/>
          <w:sz w:val="24"/>
          <w:szCs w:val="24"/>
        </w:rPr>
      </w:pPr>
      <w:r>
        <w:rPr>
          <w:color w:val="000000"/>
          <w:sz w:val="24"/>
          <w:szCs w:val="24"/>
        </w:rPr>
        <w:t>Barrières financières (paiements indirects malgré la gratuité y compris des produits sanguins, achat de médicaments non disponibles, du transport du domicile vers la FS)</w:t>
      </w:r>
    </w:p>
    <w:p w:rsidR="00314B92" w:rsidRDefault="00AD5F81" w:rsidP="005D02C3">
      <w:pPr>
        <w:pStyle w:val="Normal1"/>
        <w:numPr>
          <w:ilvl w:val="0"/>
          <w:numId w:val="64"/>
        </w:numPr>
        <w:pBdr>
          <w:top w:val="nil"/>
          <w:left w:val="nil"/>
          <w:bottom w:val="nil"/>
          <w:right w:val="nil"/>
          <w:between w:val="nil"/>
        </w:pBdr>
        <w:spacing w:after="0"/>
        <w:jc w:val="both"/>
        <w:rPr>
          <w:color w:val="000000"/>
          <w:sz w:val="24"/>
          <w:szCs w:val="24"/>
        </w:rPr>
      </w:pPr>
      <w:r>
        <w:rPr>
          <w:color w:val="000000"/>
          <w:sz w:val="24"/>
          <w:szCs w:val="24"/>
        </w:rPr>
        <w:t>Information, non-connaissance</w:t>
      </w:r>
    </w:p>
    <w:p w:rsidR="00314B92" w:rsidRDefault="00AD5F81" w:rsidP="005D02C3">
      <w:pPr>
        <w:pStyle w:val="Normal1"/>
        <w:numPr>
          <w:ilvl w:val="0"/>
          <w:numId w:val="64"/>
        </w:numPr>
        <w:pBdr>
          <w:top w:val="nil"/>
          <w:left w:val="nil"/>
          <w:bottom w:val="nil"/>
          <w:right w:val="nil"/>
          <w:between w:val="nil"/>
        </w:pBdr>
        <w:spacing w:after="0"/>
        <w:jc w:val="both"/>
        <w:rPr>
          <w:color w:val="000000"/>
          <w:sz w:val="24"/>
          <w:szCs w:val="24"/>
        </w:rPr>
      </w:pPr>
      <w:r>
        <w:rPr>
          <w:color w:val="000000"/>
          <w:sz w:val="24"/>
          <w:szCs w:val="24"/>
        </w:rPr>
        <w:t>Barrières socio-culturelles (pouvoir de décision de la femme limité, influence sur la décision du mari, belle-mère, …)</w:t>
      </w:r>
    </w:p>
    <w:p w:rsidR="00314B92" w:rsidRDefault="00314B92">
      <w:pPr>
        <w:pStyle w:val="Normal1"/>
        <w:pBdr>
          <w:top w:val="nil"/>
          <w:left w:val="nil"/>
          <w:bottom w:val="nil"/>
          <w:right w:val="nil"/>
          <w:between w:val="nil"/>
        </w:pBdr>
        <w:spacing w:after="0"/>
        <w:ind w:left="720" w:hanging="720"/>
        <w:jc w:val="both"/>
        <w:rPr>
          <w:i/>
          <w:color w:val="000000"/>
          <w:sz w:val="24"/>
          <w:szCs w:val="24"/>
        </w:rPr>
      </w:pPr>
    </w:p>
    <w:p w:rsidR="00314B92" w:rsidRDefault="00AD5F81" w:rsidP="005D02C3">
      <w:pPr>
        <w:pStyle w:val="Normal1"/>
        <w:numPr>
          <w:ilvl w:val="2"/>
          <w:numId w:val="120"/>
        </w:numPr>
        <w:pBdr>
          <w:top w:val="nil"/>
          <w:left w:val="nil"/>
          <w:bottom w:val="nil"/>
          <w:right w:val="nil"/>
          <w:between w:val="nil"/>
        </w:pBdr>
        <w:spacing w:after="0"/>
        <w:jc w:val="both"/>
        <w:rPr>
          <w:smallCaps/>
          <w:color w:val="000000"/>
          <w:sz w:val="24"/>
          <w:szCs w:val="24"/>
        </w:rPr>
      </w:pPr>
      <w:r>
        <w:rPr>
          <w:color w:val="000000"/>
          <w:sz w:val="24"/>
          <w:szCs w:val="24"/>
        </w:rPr>
        <w:t>ACCOUCHEMENTS ASSISTES PAR DU PERSONNEL QUALIFIE </w:t>
      </w:r>
    </w:p>
    <w:p w:rsidR="00314B92" w:rsidRDefault="00AD5F81" w:rsidP="005D02C3">
      <w:pPr>
        <w:pStyle w:val="Normal1"/>
        <w:numPr>
          <w:ilvl w:val="3"/>
          <w:numId w:val="120"/>
        </w:numPr>
        <w:pBdr>
          <w:top w:val="nil"/>
          <w:left w:val="nil"/>
          <w:bottom w:val="nil"/>
          <w:right w:val="nil"/>
          <w:between w:val="nil"/>
        </w:pBdr>
        <w:spacing w:after="0"/>
        <w:jc w:val="both"/>
        <w:rPr>
          <w:color w:val="000000"/>
          <w:sz w:val="23"/>
          <w:szCs w:val="23"/>
        </w:rPr>
      </w:pPr>
      <w:r>
        <w:rPr>
          <w:b/>
          <w:color w:val="000000"/>
          <w:sz w:val="23"/>
          <w:szCs w:val="23"/>
        </w:rPr>
        <w:t>Performance</w:t>
      </w:r>
    </w:p>
    <w:p w:rsidR="00314B92" w:rsidRDefault="00AD5F81" w:rsidP="000B20C0">
      <w:pPr>
        <w:pStyle w:val="Normal1"/>
        <w:spacing w:after="0"/>
        <w:jc w:val="both"/>
        <w:rPr>
          <w:sz w:val="24"/>
          <w:szCs w:val="24"/>
        </w:rPr>
      </w:pPr>
      <w:r>
        <w:rPr>
          <w:sz w:val="24"/>
          <w:szCs w:val="24"/>
        </w:rPr>
        <w:t xml:space="preserve">La proportion des accouchements assistés par du personnel qualifié est allée de 86,2% en 2014 à 83,9% en 2017. Cette proportion a connu un léger recul avec une inflexion de presque 6 points en 2016 (80,9 %). Entre 2005 et 2015, la </w:t>
      </w:r>
      <w:r>
        <w:rPr>
          <w:sz w:val="23"/>
          <w:szCs w:val="23"/>
        </w:rPr>
        <w:t xml:space="preserve">proportion d’accouchements assistés par du personnel qualifié a plus que doublé, passant de 37.7% à 83,4% entre 2005 (37.7%). </w:t>
      </w:r>
      <w:r>
        <w:rPr>
          <w:sz w:val="24"/>
          <w:szCs w:val="24"/>
        </w:rPr>
        <w:t xml:space="preserve">La quasi-totalité des femmes qui ont accouché dans un établissement de santé ont bénéficié d’une assistance par un prestataire de santé formé (99,6 %). </w:t>
      </w:r>
    </w:p>
    <w:p w:rsidR="00314B92" w:rsidRDefault="009B5EB2" w:rsidP="000B20C0">
      <w:pPr>
        <w:pStyle w:val="Normal1"/>
        <w:spacing w:after="0"/>
        <w:jc w:val="both"/>
        <w:rPr>
          <w:sz w:val="24"/>
          <w:szCs w:val="24"/>
        </w:rPr>
      </w:pPr>
      <w:r w:rsidRPr="009B5EB2">
        <w:rPr>
          <w:sz w:val="24"/>
          <w:szCs w:val="24"/>
        </w:rPr>
        <w:t xml:space="preserve">Mais cette </w:t>
      </w:r>
      <w:r w:rsidR="00AD5F81">
        <w:rPr>
          <w:sz w:val="24"/>
          <w:szCs w:val="24"/>
        </w:rPr>
        <w:t>performance reste insuffisante par rapport à la cible de 85% d’accouchement assistés par du personnel qualifié (PNDS 2011-2020)</w:t>
      </w:r>
      <w:r w:rsidR="00AD5F81">
        <w:rPr>
          <w:sz w:val="24"/>
          <w:szCs w:val="24"/>
          <w:vertAlign w:val="superscript"/>
        </w:rPr>
        <w:footnoteReference w:id="59"/>
      </w:r>
      <w:r w:rsidR="00AD5F81">
        <w:rPr>
          <w:sz w:val="24"/>
          <w:szCs w:val="24"/>
        </w:rPr>
        <w:t>.</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 xml:space="preserve">Gaps de performance et leurs causes </w:t>
      </w:r>
    </w:p>
    <w:p w:rsidR="00314B92" w:rsidRDefault="00AD5F81" w:rsidP="005D02C3">
      <w:pPr>
        <w:pStyle w:val="Normal1"/>
        <w:numPr>
          <w:ilvl w:val="0"/>
          <w:numId w:val="65"/>
        </w:numPr>
        <w:pBdr>
          <w:top w:val="nil"/>
          <w:left w:val="nil"/>
          <w:bottom w:val="nil"/>
          <w:right w:val="nil"/>
          <w:between w:val="nil"/>
        </w:pBdr>
        <w:spacing w:after="0"/>
        <w:jc w:val="both"/>
        <w:rPr>
          <w:i/>
          <w:color w:val="000000"/>
          <w:sz w:val="24"/>
          <w:szCs w:val="24"/>
        </w:rPr>
      </w:pPr>
      <w:r>
        <w:rPr>
          <w:i/>
          <w:color w:val="000000"/>
          <w:sz w:val="24"/>
          <w:szCs w:val="24"/>
        </w:rPr>
        <w:t>Le manque ou l’insuffisance d’intrants :</w:t>
      </w:r>
    </w:p>
    <w:p w:rsidR="00314B92" w:rsidRDefault="00AD5F81" w:rsidP="005D02C3">
      <w:pPr>
        <w:pStyle w:val="Normal1"/>
        <w:numPr>
          <w:ilvl w:val="0"/>
          <w:numId w:val="49"/>
        </w:numPr>
        <w:pBdr>
          <w:top w:val="nil"/>
          <w:left w:val="nil"/>
          <w:bottom w:val="nil"/>
          <w:right w:val="nil"/>
          <w:between w:val="nil"/>
        </w:pBdr>
        <w:spacing w:after="0"/>
        <w:jc w:val="both"/>
        <w:rPr>
          <w:color w:val="000000"/>
          <w:sz w:val="24"/>
          <w:szCs w:val="24"/>
        </w:rPr>
      </w:pPr>
      <w:r>
        <w:rPr>
          <w:color w:val="000000"/>
          <w:sz w:val="24"/>
          <w:szCs w:val="24"/>
        </w:rPr>
        <w:t>L’insuffisance du personnel qualifié, directement opérationnel dès la sortie des écoles de formation. La densité de professionnel de santé (7 professionnels de santé pour 10 000 habitants) est considérablement inférieure aux 23 travailleurs de la santé préconisés par l’OMS. Plus d’une femme sur dix accouche avec l’assistance d’une accoucheuse traditionnelle. Les écarts entre régions sont considérables allant de 1,83 pour la Région du Nord à 12,22 pour 10 000 habitants pour la région du Centre.</w:t>
      </w:r>
    </w:p>
    <w:p w:rsidR="00314B92" w:rsidRDefault="00AD5F81" w:rsidP="005D02C3">
      <w:pPr>
        <w:pStyle w:val="Normal1"/>
        <w:numPr>
          <w:ilvl w:val="0"/>
          <w:numId w:val="67"/>
        </w:numPr>
        <w:pBdr>
          <w:top w:val="nil"/>
          <w:left w:val="nil"/>
          <w:bottom w:val="nil"/>
          <w:right w:val="nil"/>
          <w:between w:val="nil"/>
        </w:pBdr>
        <w:spacing w:after="0"/>
        <w:jc w:val="both"/>
        <w:rPr>
          <w:color w:val="000000"/>
          <w:sz w:val="24"/>
          <w:szCs w:val="24"/>
        </w:rPr>
      </w:pPr>
      <w:r>
        <w:rPr>
          <w:color w:val="000000"/>
          <w:sz w:val="24"/>
          <w:szCs w:val="24"/>
        </w:rPr>
        <w:t xml:space="preserve">Insuffisance ou rupture de stock d’autres intrants : Directives, Matériel médicotechnique spécifique (Ventouse, forceps) </w:t>
      </w:r>
    </w:p>
    <w:p w:rsidR="00314B92" w:rsidRDefault="00AD5F81" w:rsidP="005D02C3">
      <w:pPr>
        <w:pStyle w:val="Normal1"/>
        <w:numPr>
          <w:ilvl w:val="0"/>
          <w:numId w:val="65"/>
        </w:numPr>
        <w:pBdr>
          <w:top w:val="nil"/>
          <w:left w:val="nil"/>
          <w:bottom w:val="nil"/>
          <w:right w:val="nil"/>
          <w:between w:val="nil"/>
        </w:pBdr>
        <w:spacing w:after="0"/>
        <w:jc w:val="both"/>
        <w:rPr>
          <w:i/>
          <w:color w:val="000000"/>
          <w:sz w:val="24"/>
          <w:szCs w:val="24"/>
        </w:rPr>
      </w:pPr>
      <w:r>
        <w:rPr>
          <w:i/>
          <w:color w:val="000000"/>
          <w:sz w:val="24"/>
          <w:szCs w:val="24"/>
        </w:rPr>
        <w:t xml:space="preserve">Une couverture insuffisante par rapport à la cible avec plus de la moitié des régions se situant sous la moyenne nationale. </w:t>
      </w:r>
    </w:p>
    <w:p w:rsidR="00314B92" w:rsidRDefault="00AD5F81" w:rsidP="005D02C3">
      <w:pPr>
        <w:pStyle w:val="Normal1"/>
        <w:numPr>
          <w:ilvl w:val="0"/>
          <w:numId w:val="66"/>
        </w:numPr>
        <w:pBdr>
          <w:top w:val="nil"/>
          <w:left w:val="nil"/>
          <w:bottom w:val="nil"/>
          <w:right w:val="nil"/>
          <w:between w:val="nil"/>
        </w:pBdr>
        <w:jc w:val="both"/>
        <w:rPr>
          <w:color w:val="000000"/>
          <w:sz w:val="23"/>
          <w:szCs w:val="23"/>
        </w:rPr>
      </w:pPr>
      <w:r>
        <w:rPr>
          <w:color w:val="000000"/>
          <w:sz w:val="23"/>
          <w:szCs w:val="23"/>
        </w:rPr>
        <w:t xml:space="preserve">Six régions ont réalisé une performance en dessous de la moyenne : Est (83,54%), Centre Sud (82,50%), Centre Ouest (80,96%), Centre Nord (79,63%), Centre Est (78,29%), Centre (76,77%), Cascades (74,46%) et Boucle du Mouhoun (69,92%). </w:t>
      </w:r>
    </w:p>
    <w:p w:rsidR="00314B92" w:rsidRDefault="00AD5F81" w:rsidP="000B20C0">
      <w:pPr>
        <w:pStyle w:val="Normal1"/>
        <w:pBdr>
          <w:top w:val="nil"/>
          <w:left w:val="nil"/>
          <w:bottom w:val="nil"/>
          <w:right w:val="nil"/>
          <w:between w:val="nil"/>
        </w:pBdr>
        <w:spacing w:line="360" w:lineRule="auto"/>
        <w:ind w:left="360" w:hanging="720"/>
        <w:jc w:val="center"/>
        <w:rPr>
          <w:color w:val="000000"/>
          <w:sz w:val="23"/>
          <w:szCs w:val="23"/>
        </w:rPr>
      </w:pPr>
      <w:r>
        <w:rPr>
          <w:noProof/>
          <w:color w:val="000000"/>
          <w:sz w:val="23"/>
          <w:szCs w:val="23"/>
        </w:rPr>
        <w:drawing>
          <wp:inline distT="0" distB="0" distL="0" distR="0">
            <wp:extent cx="5376999" cy="2105025"/>
            <wp:effectExtent l="19050" t="0" r="0" b="0"/>
            <wp:docPr id="60"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24" cstate="print"/>
                    <a:srcRect/>
                    <a:stretch>
                      <a:fillRect/>
                    </a:stretch>
                  </pic:blipFill>
                  <pic:spPr>
                    <a:xfrm>
                      <a:off x="0" y="0"/>
                      <a:ext cx="5381537" cy="2106801"/>
                    </a:xfrm>
                    <a:prstGeom prst="rect">
                      <a:avLst/>
                    </a:prstGeom>
                    <a:ln/>
                  </pic:spPr>
                </pic:pic>
              </a:graphicData>
            </a:graphic>
          </wp:inline>
        </w:drawing>
      </w:r>
    </w:p>
    <w:p w:rsidR="00314B92" w:rsidRDefault="00AD5F81">
      <w:pPr>
        <w:pStyle w:val="Normal1"/>
        <w:spacing w:line="360" w:lineRule="auto"/>
        <w:ind w:left="708"/>
        <w:jc w:val="both"/>
        <w:rPr>
          <w:b/>
          <w:sz w:val="23"/>
          <w:szCs w:val="23"/>
        </w:rPr>
      </w:pPr>
      <w:r>
        <w:rPr>
          <w:b/>
          <w:sz w:val="23"/>
          <w:szCs w:val="23"/>
        </w:rPr>
        <w:t>Figure 11: Taux d’accouchements assistés par région en 2017</w:t>
      </w:r>
      <w:r>
        <w:rPr>
          <w:b/>
          <w:sz w:val="23"/>
          <w:szCs w:val="23"/>
          <w:vertAlign w:val="superscript"/>
        </w:rPr>
        <w:footnoteReference w:id="60"/>
      </w:r>
    </w:p>
    <w:p w:rsidR="00314B92" w:rsidRDefault="00AD5F81" w:rsidP="005D02C3">
      <w:pPr>
        <w:pStyle w:val="Normal1"/>
        <w:numPr>
          <w:ilvl w:val="0"/>
          <w:numId w:val="65"/>
        </w:numPr>
        <w:pBdr>
          <w:top w:val="nil"/>
          <w:left w:val="nil"/>
          <w:bottom w:val="nil"/>
          <w:right w:val="nil"/>
          <w:between w:val="nil"/>
        </w:pBdr>
        <w:spacing w:after="0"/>
        <w:jc w:val="both"/>
        <w:rPr>
          <w:i/>
          <w:color w:val="000000"/>
          <w:sz w:val="23"/>
          <w:szCs w:val="23"/>
        </w:rPr>
      </w:pPr>
      <w:r>
        <w:rPr>
          <w:i/>
          <w:color w:val="000000"/>
          <w:sz w:val="23"/>
          <w:szCs w:val="23"/>
        </w:rPr>
        <w:t>Les conditions socio-économiques défavorables</w:t>
      </w:r>
    </w:p>
    <w:p w:rsidR="00314B92" w:rsidRDefault="00AD5F81" w:rsidP="005D02C3">
      <w:pPr>
        <w:pStyle w:val="Normal1"/>
        <w:numPr>
          <w:ilvl w:val="0"/>
          <w:numId w:val="48"/>
        </w:numPr>
        <w:pBdr>
          <w:top w:val="nil"/>
          <w:left w:val="nil"/>
          <w:bottom w:val="nil"/>
          <w:right w:val="nil"/>
          <w:between w:val="nil"/>
        </w:pBdr>
        <w:spacing w:after="0"/>
        <w:jc w:val="both"/>
        <w:rPr>
          <w:color w:val="000000"/>
          <w:sz w:val="24"/>
          <w:szCs w:val="24"/>
        </w:rPr>
      </w:pPr>
      <w:r>
        <w:rPr>
          <w:color w:val="000000"/>
          <w:sz w:val="24"/>
          <w:szCs w:val="24"/>
        </w:rPr>
        <w:t>Les femmes du milieu rural (62 %) et celles vivant dans un ménage classé dans le quintile le plus pauvre (47 %) sont celles dont l’accouchement s’est le plus fréquemment déroulé sans l’assistance de personnel de santé formé. Ce sont aussi ces femmes qui accouchent le plus fréquemment à la maison</w:t>
      </w:r>
      <w:r>
        <w:rPr>
          <w:color w:val="000000"/>
          <w:sz w:val="24"/>
          <w:szCs w:val="24"/>
          <w:vertAlign w:val="superscript"/>
        </w:rPr>
        <w:footnoteReference w:id="61"/>
      </w:r>
      <w:r>
        <w:rPr>
          <w:color w:val="000000"/>
          <w:sz w:val="24"/>
          <w:szCs w:val="24"/>
        </w:rPr>
        <w:t xml:space="preserve">. </w:t>
      </w:r>
    </w:p>
    <w:p w:rsidR="00314B92" w:rsidRDefault="00AD5F81" w:rsidP="005D02C3">
      <w:pPr>
        <w:pStyle w:val="Normal1"/>
        <w:numPr>
          <w:ilvl w:val="0"/>
          <w:numId w:val="48"/>
        </w:numPr>
        <w:pBdr>
          <w:top w:val="nil"/>
          <w:left w:val="nil"/>
          <w:bottom w:val="nil"/>
          <w:right w:val="nil"/>
          <w:between w:val="nil"/>
        </w:pBdr>
        <w:spacing w:after="0"/>
        <w:jc w:val="both"/>
        <w:rPr>
          <w:i/>
          <w:color w:val="000000"/>
          <w:sz w:val="24"/>
          <w:szCs w:val="24"/>
        </w:rPr>
      </w:pPr>
      <w:r>
        <w:rPr>
          <w:i/>
          <w:color w:val="221E1F"/>
          <w:sz w:val="24"/>
          <w:szCs w:val="24"/>
        </w:rPr>
        <w:t xml:space="preserve">La mise au sein précoce et la promotion de l’allaitement exclusif ne suivent pas cette performance en termes d’accouchements assisté par du personnel qualifié. </w:t>
      </w:r>
    </w:p>
    <w:p w:rsidR="00314B92" w:rsidRDefault="00AD5F81">
      <w:pPr>
        <w:pStyle w:val="Normal1"/>
        <w:pBdr>
          <w:top w:val="nil"/>
          <w:left w:val="nil"/>
          <w:bottom w:val="nil"/>
          <w:right w:val="nil"/>
          <w:between w:val="nil"/>
        </w:pBdr>
        <w:ind w:left="360" w:hanging="720"/>
        <w:jc w:val="both"/>
        <w:rPr>
          <w:color w:val="000000"/>
          <w:sz w:val="24"/>
          <w:szCs w:val="24"/>
        </w:rPr>
      </w:pPr>
      <w:r>
        <w:rPr>
          <w:color w:val="221E1F"/>
          <w:sz w:val="24"/>
          <w:szCs w:val="24"/>
        </w:rPr>
        <w:t>En effet, 46,6%</w:t>
      </w:r>
      <w:r>
        <w:rPr>
          <w:color w:val="221E1F"/>
          <w:sz w:val="24"/>
          <w:szCs w:val="24"/>
          <w:vertAlign w:val="superscript"/>
        </w:rPr>
        <w:footnoteReference w:id="62"/>
      </w:r>
      <w:r>
        <w:rPr>
          <w:color w:val="221E1F"/>
          <w:sz w:val="24"/>
          <w:szCs w:val="24"/>
        </w:rPr>
        <w:t xml:space="preserve"> des enfants de 0-23mois mis au sein dans l’heure qui suit la naissance en 2016. En outre, 67% ont reçu de counseling sur l’alimentation de leurs nouveau-nés ou ont été observées par un agent de santé pour assurer une bonne technique d’allaitement, 59% des enfants ont été mis au sein dans l’heure qui suit la naissance, et 40% des femmes qui venaient aux centres de santé pour une visite postnatale dans les 30jours après la naissance ont reçu une information sur l’allaitement ou ont été observées sur la technique correcte de l’allaitement</w:t>
      </w:r>
      <w:r>
        <w:rPr>
          <w:color w:val="221E1F"/>
          <w:sz w:val="24"/>
          <w:szCs w:val="24"/>
          <w:vertAlign w:val="superscript"/>
        </w:rPr>
        <w:footnoteReference w:id="63"/>
      </w:r>
      <w:r>
        <w:rPr>
          <w:color w:val="221E1F"/>
          <w:sz w:val="24"/>
          <w:szCs w:val="24"/>
        </w:rPr>
        <w:t>.</w:t>
      </w:r>
    </w:p>
    <w:p w:rsidR="00314B92" w:rsidRDefault="00AD5F81" w:rsidP="005D02C3">
      <w:pPr>
        <w:pStyle w:val="Normal1"/>
        <w:numPr>
          <w:ilvl w:val="2"/>
          <w:numId w:val="120"/>
        </w:numPr>
        <w:pBdr>
          <w:top w:val="nil"/>
          <w:left w:val="nil"/>
          <w:bottom w:val="nil"/>
          <w:right w:val="nil"/>
          <w:between w:val="nil"/>
        </w:pBdr>
        <w:jc w:val="both"/>
        <w:rPr>
          <w:color w:val="000000"/>
          <w:sz w:val="24"/>
          <w:szCs w:val="24"/>
        </w:rPr>
      </w:pPr>
      <w:bookmarkStart w:id="11" w:name="_26in1rg" w:colFirst="0" w:colLast="0"/>
      <w:bookmarkEnd w:id="11"/>
      <w:r>
        <w:rPr>
          <w:color w:val="000000"/>
          <w:sz w:val="24"/>
          <w:szCs w:val="24"/>
        </w:rPr>
        <w:t>SOINS APRES AVORTEMENT </w:t>
      </w:r>
    </w:p>
    <w:p w:rsidR="00314B92" w:rsidRDefault="00AD5F81">
      <w:pPr>
        <w:pStyle w:val="Normal1"/>
        <w:spacing w:after="0"/>
        <w:jc w:val="both"/>
        <w:rPr>
          <w:b/>
          <w:sz w:val="23"/>
          <w:szCs w:val="23"/>
        </w:rPr>
      </w:pPr>
      <w:r>
        <w:rPr>
          <w:b/>
          <w:sz w:val="23"/>
          <w:szCs w:val="23"/>
        </w:rPr>
        <w:t>1.1.4.1. Situation actuelle</w:t>
      </w:r>
    </w:p>
    <w:p w:rsidR="00314B92" w:rsidRDefault="00AD5F81">
      <w:pPr>
        <w:pStyle w:val="Normal1"/>
        <w:spacing w:after="0"/>
        <w:jc w:val="both"/>
        <w:rPr>
          <w:sz w:val="24"/>
          <w:szCs w:val="24"/>
        </w:rPr>
      </w:pPr>
      <w:r>
        <w:t>En 2017, 41 000 avortements dont 120 thérapeutiques ont été notifiés par les formations sanitaires. Ces avortements représentent 37,9 p. 1000 grossesses attendues. Cette proportion était de 36,6 p.1000 en 2016 soit une hausse de 1,3 point. Les régions du Centre (58,9p. 1000), des Hauts Bassins (48,6 p. 1000) et des Cascades (48,4 p. 1000) enregistrent les plus forts taux d’avortement.</w:t>
      </w:r>
    </w:p>
    <w:p w:rsidR="00314B92" w:rsidRDefault="00AD5F81">
      <w:pPr>
        <w:pStyle w:val="Normal1"/>
        <w:spacing w:after="0"/>
        <w:jc w:val="both"/>
        <w:rPr>
          <w:sz w:val="24"/>
          <w:szCs w:val="24"/>
        </w:rPr>
      </w:pPr>
      <w:r>
        <w:rPr>
          <w:sz w:val="24"/>
          <w:szCs w:val="24"/>
        </w:rPr>
        <w:t xml:space="preserve">Le recours à des méthodes d’avortement sûr reste très faible au Burkina Faso et il est presque inexistant chez les femmes des zones rurales où 97% des avortements sont à risque. </w:t>
      </w:r>
    </w:p>
    <w:p w:rsidR="00314B92" w:rsidRDefault="00AD5F81">
      <w:pPr>
        <w:pStyle w:val="Normal1"/>
        <w:spacing w:after="0"/>
        <w:jc w:val="both"/>
        <w:rPr>
          <w:sz w:val="24"/>
          <w:szCs w:val="24"/>
        </w:rPr>
      </w:pPr>
      <w:r>
        <w:rPr>
          <w:sz w:val="24"/>
          <w:szCs w:val="24"/>
        </w:rPr>
        <w:t>En 2008, environ 23 000 femmes ont été traitées pour complications liées à un avortement et 15 000 femmes ayant connu des complications sévères n’ayant pas reçu les soins dont elles avaient besoin</w:t>
      </w:r>
      <w:r>
        <w:rPr>
          <w:sz w:val="24"/>
          <w:szCs w:val="24"/>
          <w:vertAlign w:val="superscript"/>
        </w:rPr>
        <w:footnoteReference w:id="64"/>
      </w:r>
      <w:r>
        <w:rPr>
          <w:sz w:val="24"/>
          <w:szCs w:val="24"/>
        </w:rPr>
        <w:t>.</w:t>
      </w:r>
    </w:p>
    <w:p w:rsidR="00314B92" w:rsidRDefault="00AD5F81">
      <w:pPr>
        <w:pStyle w:val="Normal1"/>
        <w:spacing w:after="0"/>
        <w:jc w:val="both"/>
        <w:rPr>
          <w:b/>
          <w:sz w:val="23"/>
          <w:szCs w:val="23"/>
        </w:rPr>
      </w:pPr>
      <w:r>
        <w:rPr>
          <w:b/>
          <w:sz w:val="23"/>
          <w:szCs w:val="23"/>
        </w:rPr>
        <w:t>1.1.4.2. Gaps de performance et leurs causes</w:t>
      </w:r>
    </w:p>
    <w:p w:rsidR="00314B92" w:rsidRDefault="00AD5F81">
      <w:pPr>
        <w:pStyle w:val="Normal1"/>
        <w:spacing w:after="0"/>
        <w:jc w:val="both"/>
        <w:rPr>
          <w:i/>
          <w:sz w:val="23"/>
          <w:szCs w:val="23"/>
        </w:rPr>
      </w:pPr>
      <w:r>
        <w:rPr>
          <w:i/>
          <w:sz w:val="23"/>
          <w:szCs w:val="23"/>
        </w:rPr>
        <w:t>a. Insuffisance dans l’offre et la disponibilité des services de soins après avortement</w:t>
      </w:r>
      <w:r>
        <w:rPr>
          <w:i/>
          <w:sz w:val="23"/>
          <w:szCs w:val="23"/>
          <w:vertAlign w:val="superscript"/>
        </w:rPr>
        <w:footnoteReference w:id="65"/>
      </w:r>
      <w:r>
        <w:rPr>
          <w:i/>
          <w:sz w:val="23"/>
          <w:szCs w:val="23"/>
        </w:rPr>
        <w:t xml:space="preserve">. </w:t>
      </w:r>
    </w:p>
    <w:p w:rsidR="00314B92" w:rsidRDefault="00AD5F81" w:rsidP="005D02C3">
      <w:pPr>
        <w:pStyle w:val="Normal1"/>
        <w:numPr>
          <w:ilvl w:val="0"/>
          <w:numId w:val="50"/>
        </w:numPr>
        <w:pBdr>
          <w:top w:val="nil"/>
          <w:left w:val="nil"/>
          <w:bottom w:val="nil"/>
          <w:right w:val="nil"/>
          <w:between w:val="nil"/>
        </w:pBdr>
        <w:spacing w:after="0"/>
        <w:jc w:val="both"/>
        <w:rPr>
          <w:color w:val="000000"/>
          <w:sz w:val="23"/>
          <w:szCs w:val="23"/>
        </w:rPr>
      </w:pPr>
      <w:r>
        <w:rPr>
          <w:color w:val="000000"/>
          <w:sz w:val="23"/>
          <w:szCs w:val="23"/>
        </w:rPr>
        <w:t>Vingt-huit % des décès maternels dans les formations sanitaires sont causés par un avortement compliqué.</w:t>
      </w:r>
    </w:p>
    <w:p w:rsidR="00314B92" w:rsidRDefault="00AD5F81" w:rsidP="005D02C3">
      <w:pPr>
        <w:pStyle w:val="Normal1"/>
        <w:numPr>
          <w:ilvl w:val="0"/>
          <w:numId w:val="50"/>
        </w:numPr>
        <w:pBdr>
          <w:top w:val="nil"/>
          <w:left w:val="nil"/>
          <w:bottom w:val="nil"/>
          <w:right w:val="nil"/>
          <w:between w:val="nil"/>
        </w:pBdr>
        <w:spacing w:after="0"/>
        <w:jc w:val="both"/>
        <w:rPr>
          <w:color w:val="000000"/>
          <w:sz w:val="23"/>
          <w:szCs w:val="23"/>
        </w:rPr>
      </w:pPr>
      <w:r>
        <w:rPr>
          <w:color w:val="000000"/>
          <w:sz w:val="23"/>
          <w:szCs w:val="23"/>
        </w:rPr>
        <w:t>Trente-trois % des formations sanitaires n’avaient pas réalisé d’extraction des produits résiduels dans les trois derniers mois précédent l’enquête par manque de formation, de fournitures et d’équipements.</w:t>
      </w:r>
    </w:p>
    <w:p w:rsidR="00314B92" w:rsidRDefault="00AD5F81">
      <w:pPr>
        <w:pStyle w:val="Normal1"/>
        <w:spacing w:after="0"/>
        <w:jc w:val="both"/>
        <w:rPr>
          <w:i/>
          <w:sz w:val="23"/>
          <w:szCs w:val="23"/>
        </w:rPr>
      </w:pPr>
      <w:r>
        <w:rPr>
          <w:i/>
          <w:sz w:val="23"/>
          <w:szCs w:val="23"/>
        </w:rPr>
        <w:t>b. Insuffisance ou rupture de stock d’intrants</w:t>
      </w:r>
    </w:p>
    <w:p w:rsidR="00314B92" w:rsidRDefault="00AD5F81" w:rsidP="005D02C3">
      <w:pPr>
        <w:pStyle w:val="Normal1"/>
        <w:numPr>
          <w:ilvl w:val="0"/>
          <w:numId w:val="50"/>
        </w:numPr>
        <w:pBdr>
          <w:top w:val="nil"/>
          <w:left w:val="nil"/>
          <w:bottom w:val="nil"/>
          <w:right w:val="nil"/>
          <w:between w:val="nil"/>
        </w:pBdr>
        <w:spacing w:after="0"/>
        <w:jc w:val="both"/>
        <w:rPr>
          <w:color w:val="000000"/>
          <w:sz w:val="23"/>
          <w:szCs w:val="23"/>
        </w:rPr>
      </w:pPr>
      <w:r>
        <w:rPr>
          <w:color w:val="000000"/>
          <w:sz w:val="23"/>
          <w:szCs w:val="23"/>
        </w:rPr>
        <w:t xml:space="preserve">Les Manuels/Protocoles sur les SAA n’étaient disponibles que dans 49% des formations sanitaires. </w:t>
      </w:r>
    </w:p>
    <w:p w:rsidR="00314B92" w:rsidRDefault="00AD5F81" w:rsidP="005D02C3">
      <w:pPr>
        <w:pStyle w:val="Normal1"/>
        <w:numPr>
          <w:ilvl w:val="0"/>
          <w:numId w:val="50"/>
        </w:numPr>
        <w:pBdr>
          <w:top w:val="nil"/>
          <w:left w:val="nil"/>
          <w:bottom w:val="nil"/>
          <w:right w:val="nil"/>
          <w:between w:val="nil"/>
        </w:pBdr>
        <w:spacing w:after="0"/>
        <w:jc w:val="both"/>
        <w:rPr>
          <w:color w:val="000000"/>
          <w:sz w:val="23"/>
          <w:szCs w:val="23"/>
        </w:rPr>
      </w:pPr>
      <w:r>
        <w:rPr>
          <w:color w:val="000000"/>
          <w:sz w:val="23"/>
          <w:szCs w:val="23"/>
        </w:rPr>
        <w:t xml:space="preserve">Disponibilité du matériel médico-technique : </w:t>
      </w:r>
      <w:r>
        <w:rPr>
          <w:color w:val="000000"/>
          <w:sz w:val="20"/>
          <w:szCs w:val="20"/>
        </w:rPr>
        <w:t>seringues d’aspiration</w:t>
      </w:r>
    </w:p>
    <w:p w:rsidR="00314B92" w:rsidRDefault="00AD5F81">
      <w:pPr>
        <w:pStyle w:val="Normal1"/>
        <w:spacing w:after="0"/>
        <w:jc w:val="both"/>
        <w:rPr>
          <w:i/>
          <w:sz w:val="23"/>
          <w:szCs w:val="23"/>
        </w:rPr>
      </w:pPr>
      <w:r>
        <w:rPr>
          <w:i/>
          <w:sz w:val="23"/>
          <w:szCs w:val="23"/>
        </w:rPr>
        <w:t xml:space="preserve">c. Insuffisance de compétences des prestataires </w:t>
      </w:r>
    </w:p>
    <w:p w:rsidR="00314B92" w:rsidRDefault="00AD5F81">
      <w:pPr>
        <w:pStyle w:val="Normal1"/>
        <w:spacing w:after="0"/>
        <w:jc w:val="both"/>
        <w:rPr>
          <w:sz w:val="23"/>
          <w:szCs w:val="23"/>
        </w:rPr>
      </w:pPr>
      <w:r>
        <w:rPr>
          <w:sz w:val="23"/>
          <w:szCs w:val="23"/>
        </w:rPr>
        <w:t>Seulement 0,3% des prestataires ont pu identifier l’ensemble des 9 traitements en cas de complications d’avortement incomplet ou à risque et seulement 5% ont pu identifier l’ensemble des six éléments d’information en SAA.</w:t>
      </w:r>
    </w:p>
    <w:p w:rsidR="00314B92" w:rsidRDefault="00AD5F81" w:rsidP="005D02C3">
      <w:pPr>
        <w:pStyle w:val="Normal1"/>
        <w:numPr>
          <w:ilvl w:val="0"/>
          <w:numId w:val="50"/>
        </w:numPr>
        <w:pBdr>
          <w:top w:val="nil"/>
          <w:left w:val="nil"/>
          <w:bottom w:val="nil"/>
          <w:right w:val="nil"/>
          <w:between w:val="nil"/>
        </w:pBdr>
        <w:spacing w:after="0"/>
        <w:jc w:val="both"/>
        <w:rPr>
          <w:color w:val="000000"/>
          <w:sz w:val="23"/>
          <w:szCs w:val="23"/>
        </w:rPr>
      </w:pPr>
      <w:r>
        <w:rPr>
          <w:color w:val="000000"/>
          <w:sz w:val="23"/>
          <w:szCs w:val="23"/>
        </w:rPr>
        <w:t xml:space="preserve">Les Manuels/Protocoles sur les SAA n’étaient disponibles que dans 49% des formations sanitaires. </w:t>
      </w:r>
    </w:p>
    <w:p w:rsidR="00314B92" w:rsidRDefault="00AD5F81" w:rsidP="005D02C3">
      <w:pPr>
        <w:pStyle w:val="Normal1"/>
        <w:numPr>
          <w:ilvl w:val="0"/>
          <w:numId w:val="50"/>
        </w:numPr>
        <w:pBdr>
          <w:top w:val="nil"/>
          <w:left w:val="nil"/>
          <w:bottom w:val="nil"/>
          <w:right w:val="nil"/>
          <w:between w:val="nil"/>
        </w:pBdr>
        <w:spacing w:after="0"/>
        <w:jc w:val="both"/>
        <w:rPr>
          <w:color w:val="000000"/>
          <w:sz w:val="23"/>
          <w:szCs w:val="23"/>
        </w:rPr>
      </w:pPr>
      <w:r>
        <w:rPr>
          <w:color w:val="000000"/>
          <w:sz w:val="23"/>
          <w:szCs w:val="23"/>
        </w:rPr>
        <w:t>Au plan des compétences des prestataires, seulement 0,3% des prestataires ont pu identifier l’ensemble des 9 traitements en cas de complications d’avortement incomplet ou à risque et seulement 5% ont pu identifier l’ensemble des six éléments d’information en SAA.</w:t>
      </w:r>
    </w:p>
    <w:p w:rsidR="00314B92" w:rsidRDefault="00314B92">
      <w:pPr>
        <w:pStyle w:val="Normal1"/>
        <w:pBdr>
          <w:top w:val="nil"/>
          <w:left w:val="nil"/>
          <w:bottom w:val="nil"/>
          <w:right w:val="nil"/>
          <w:between w:val="nil"/>
        </w:pBdr>
        <w:spacing w:after="0"/>
        <w:ind w:left="360" w:hanging="720"/>
        <w:jc w:val="both"/>
        <w:rPr>
          <w:color w:val="000000"/>
          <w:sz w:val="23"/>
          <w:szCs w:val="23"/>
        </w:rPr>
      </w:pPr>
    </w:p>
    <w:p w:rsidR="00314B92" w:rsidRDefault="00AD5F81" w:rsidP="005D02C3">
      <w:pPr>
        <w:pStyle w:val="Normal1"/>
        <w:numPr>
          <w:ilvl w:val="2"/>
          <w:numId w:val="120"/>
        </w:numPr>
        <w:pBdr>
          <w:top w:val="nil"/>
          <w:left w:val="nil"/>
          <w:bottom w:val="nil"/>
          <w:right w:val="nil"/>
          <w:between w:val="nil"/>
        </w:pBdr>
        <w:spacing w:after="0"/>
        <w:jc w:val="both"/>
        <w:rPr>
          <w:color w:val="000000"/>
          <w:sz w:val="24"/>
          <w:szCs w:val="24"/>
        </w:rPr>
      </w:pPr>
      <w:r>
        <w:rPr>
          <w:color w:val="000000"/>
          <w:sz w:val="24"/>
          <w:szCs w:val="24"/>
        </w:rPr>
        <w:t>CONSULTATION POSTNATALE</w:t>
      </w:r>
    </w:p>
    <w:p w:rsidR="00314B92" w:rsidRDefault="00AD5F81">
      <w:pPr>
        <w:pStyle w:val="Normal1"/>
        <w:pBdr>
          <w:top w:val="nil"/>
          <w:left w:val="nil"/>
          <w:bottom w:val="nil"/>
          <w:right w:val="nil"/>
          <w:between w:val="nil"/>
        </w:pBdr>
        <w:spacing w:after="0"/>
        <w:ind w:hanging="720"/>
        <w:jc w:val="both"/>
        <w:rPr>
          <w:color w:val="000000"/>
          <w:sz w:val="23"/>
          <w:szCs w:val="23"/>
        </w:rPr>
      </w:pPr>
      <w:r>
        <w:rPr>
          <w:color w:val="000000"/>
          <w:sz w:val="23"/>
          <w:szCs w:val="23"/>
        </w:rPr>
        <w:t>La Consultation postnatale constitue une opportunité pour développer trois composantes que sont la vaccination, le suivi anthropométrique et la nutrition. Le volet nutritionnel couvre aussi bien les conseils alimentaires que les démonstrations culinaires.</w:t>
      </w:r>
    </w:p>
    <w:p w:rsidR="00314B92" w:rsidRDefault="00AD5F81" w:rsidP="005D02C3">
      <w:pPr>
        <w:pStyle w:val="Normal1"/>
        <w:numPr>
          <w:ilvl w:val="3"/>
          <w:numId w:val="120"/>
        </w:numPr>
        <w:pBdr>
          <w:top w:val="nil"/>
          <w:left w:val="nil"/>
          <w:bottom w:val="nil"/>
          <w:right w:val="nil"/>
          <w:between w:val="nil"/>
        </w:pBdr>
        <w:spacing w:after="0"/>
        <w:jc w:val="both"/>
        <w:rPr>
          <w:color w:val="000000"/>
          <w:sz w:val="23"/>
          <w:szCs w:val="23"/>
        </w:rPr>
      </w:pPr>
      <w:r>
        <w:rPr>
          <w:b/>
          <w:color w:val="000000"/>
          <w:sz w:val="23"/>
          <w:szCs w:val="23"/>
        </w:rPr>
        <w:t>Performance</w:t>
      </w:r>
    </w:p>
    <w:p w:rsidR="00314B92" w:rsidRDefault="00AD5F81">
      <w:pPr>
        <w:pStyle w:val="Normal1"/>
        <w:jc w:val="both"/>
        <w:rPr>
          <w:sz w:val="23"/>
          <w:szCs w:val="23"/>
        </w:rPr>
      </w:pPr>
      <w:r>
        <w:t>Au cours de l’année 2017, 59,1% des femmes avaient bénéficié d’une consultation postnatale (CPoN) de la 6-8</w:t>
      </w:r>
      <w:r>
        <w:rPr>
          <w:sz w:val="14"/>
          <w:szCs w:val="14"/>
        </w:rPr>
        <w:t xml:space="preserve">ème </w:t>
      </w:r>
      <w:r>
        <w:t>jour, soit un recul de 3,9 points par rapport à 2016.  Pour la CPoN de la 6-8</w:t>
      </w:r>
      <w:r>
        <w:rPr>
          <w:sz w:val="14"/>
          <w:szCs w:val="14"/>
        </w:rPr>
        <w:t xml:space="preserve">ème </w:t>
      </w:r>
      <w:r>
        <w:t>semaine, la proportion de femmes vues était de 46,3%, soit une hausse de 3,1 points par rapport à 2016.</w:t>
      </w:r>
    </w:p>
    <w:p w:rsidR="00314B92" w:rsidRDefault="00AD5F81">
      <w:pPr>
        <w:pStyle w:val="Normal1"/>
        <w:spacing w:after="0" w:line="360" w:lineRule="auto"/>
        <w:jc w:val="both"/>
        <w:rPr>
          <w:b/>
          <w:sz w:val="20"/>
          <w:szCs w:val="20"/>
        </w:rPr>
      </w:pPr>
      <w:r>
        <w:rPr>
          <w:noProof/>
          <w:sz w:val="24"/>
          <w:szCs w:val="24"/>
        </w:rPr>
        <w:drawing>
          <wp:inline distT="0" distB="0" distL="0" distR="0">
            <wp:extent cx="5495925" cy="2530951"/>
            <wp:effectExtent l="19050" t="0" r="9525" b="0"/>
            <wp:docPr id="61"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25" cstate="print"/>
                    <a:srcRect/>
                    <a:stretch>
                      <a:fillRect/>
                    </a:stretch>
                  </pic:blipFill>
                  <pic:spPr>
                    <a:xfrm>
                      <a:off x="0" y="0"/>
                      <a:ext cx="5493991" cy="2530060"/>
                    </a:xfrm>
                    <a:prstGeom prst="rect">
                      <a:avLst/>
                    </a:prstGeom>
                    <a:ln/>
                  </pic:spPr>
                </pic:pic>
              </a:graphicData>
            </a:graphic>
          </wp:inline>
        </w:drawing>
      </w:r>
      <w:r>
        <w:rPr>
          <w:b/>
          <w:sz w:val="20"/>
          <w:szCs w:val="20"/>
        </w:rPr>
        <w:t>Figure 12 : Couverture CPoN1 et CPoN2 au niveau national et régional</w:t>
      </w:r>
      <w:r w:rsidR="00A06EBD">
        <w:rPr>
          <w:noProof/>
        </w:rPr>
        <mc:AlternateContent>
          <mc:Choice Requires="wps">
            <w:drawing>
              <wp:anchor distT="0" distB="0" distL="114300" distR="114300" simplePos="0" relativeHeight="251607552" behindDoc="0" locked="0" layoutInCell="1" hidden="0" allowOverlap="1">
                <wp:simplePos x="0" y="0"/>
                <wp:positionH relativeFrom="column">
                  <wp:posOffset>139700</wp:posOffset>
                </wp:positionH>
                <wp:positionV relativeFrom="paragraph">
                  <wp:posOffset>736600</wp:posOffset>
                </wp:positionV>
                <wp:extent cx="5314771" cy="52657"/>
                <wp:effectExtent l="0" t="0" r="0" b="0"/>
                <wp:wrapNone/>
                <wp:docPr id="21" name="Connecteur droit avec flèche 21"/>
                <wp:cNvGraphicFramePr/>
                <a:graphic xmlns:a="http://schemas.openxmlformats.org/drawingml/2006/main">
                  <a:graphicData uri="http://schemas.microsoft.com/office/word/2010/wordprocessingShape">
                    <wps:wsp>
                      <wps:cNvCnPr/>
                      <wps:spPr>
                        <a:xfrm flipH="1">
                          <a:off x="2693377" y="3758434"/>
                          <a:ext cx="5305246" cy="43132"/>
                        </a:xfrm>
                        <a:prstGeom prst="straightConnector1">
                          <a:avLst/>
                        </a:prstGeom>
                        <a:noFill/>
                        <a:ln w="9525" cap="flat" cmpd="sng">
                          <a:solidFill>
                            <a:srgbClr val="BD4B48"/>
                          </a:solidFill>
                          <a:prstDash val="solid"/>
                          <a:round/>
                          <a:headEnd type="none" w="sm" len="sm"/>
                          <a:tailEnd type="none" w="sm" len="sm"/>
                        </a:ln>
                      </wps:spPr>
                      <wps:bodyPr/>
                    </wps:wsp>
                  </a:graphicData>
                </a:graphic>
              </wp:anchor>
            </w:drawing>
          </mc:Choice>
          <mc:Fallback>
            <w:pict>
              <v:shape w14:anchorId="0A61F89D" id="Connecteur droit avec flèche 21" o:spid="_x0000_s1026" type="#_x0000_t32" style="position:absolute;margin-left:11pt;margin-top:58pt;width:418.5pt;height:4.15pt;flip:x;z-index:251607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" strokecolor="#bd4b48">
                <v:stroke startarrowwidth="narrow" startarrowlength="short" endarrowwidth="narrow" endarrowlength="short"/>
              </v:shape>
            </w:pict>
          </mc:Fallback>
        </mc:AlternateContent>
      </w:r>
      <w:r w:rsidR="00A06EBD">
        <w:rPr>
          <w:noProof/>
        </w:rPr>
        <mc:AlternateContent>
          <mc:Choice Requires="wps">
            <w:drawing>
              <wp:anchor distT="0" distB="0" distL="114300" distR="114300" simplePos="0" relativeHeight="251608576" behindDoc="0" locked="0" layoutInCell="1" hidden="0" allowOverlap="1">
                <wp:simplePos x="0" y="0"/>
                <wp:positionH relativeFrom="column">
                  <wp:posOffset>127000</wp:posOffset>
                </wp:positionH>
                <wp:positionV relativeFrom="paragraph">
                  <wp:posOffset>622300</wp:posOffset>
                </wp:positionV>
                <wp:extent cx="5228506" cy="35404"/>
                <wp:effectExtent l="0" t="0" r="0" b="0"/>
                <wp:wrapNone/>
                <wp:docPr id="13" name="Connecteur droit avec flèche 13"/>
                <wp:cNvGraphicFramePr/>
                <a:graphic xmlns:a="http://schemas.openxmlformats.org/drawingml/2006/main">
                  <a:graphicData uri="http://schemas.microsoft.com/office/word/2010/wordprocessingShape">
                    <wps:wsp>
                      <wps:cNvCnPr/>
                      <wps:spPr>
                        <a:xfrm flipH="1">
                          <a:off x="2736510" y="3767061"/>
                          <a:ext cx="5218981" cy="25879"/>
                        </a:xfrm>
                        <a:prstGeom prst="straightConnector1">
                          <a:avLst/>
                        </a:prstGeom>
                        <a:noFill/>
                        <a:ln w="9525" cap="flat" cmpd="sng">
                          <a:solidFill>
                            <a:srgbClr val="4A7DBA"/>
                          </a:solidFill>
                          <a:prstDash val="solid"/>
                          <a:round/>
                          <a:headEnd type="none" w="sm" len="sm"/>
                          <a:tailEnd type="none" w="sm" len="sm"/>
                        </a:ln>
                      </wps:spPr>
                      <wps:bodyPr/>
                    </wps:wsp>
                  </a:graphicData>
                </a:graphic>
              </wp:anchor>
            </w:drawing>
          </mc:Choice>
          <mc:Fallback>
            <w:pict>
              <v:shape w14:anchorId="621A8CD9" id="Connecteur droit avec flèche 13" o:spid="_x0000_s1026" type="#_x0000_t32" style="position:absolute;margin-left:10pt;margin-top:49pt;width:411.7pt;height:2.8pt;flip:x;z-index:251608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" strokecolor="#4a7dba">
                <v:stroke startarrowwidth="narrow" startarrowlength="short" endarrowwidth="narrow" endarrowlength="short"/>
              </v:shape>
            </w:pict>
          </mc:Fallback>
        </mc:AlternateContent>
      </w:r>
      <w:r w:rsidR="00A06EBD">
        <w:rPr>
          <w:noProof/>
        </w:rPr>
        <mc:AlternateContent>
          <mc:Choice Requires="wps">
            <w:drawing>
              <wp:anchor distT="0" distB="0" distL="114300" distR="114300" simplePos="0" relativeHeight="251609600" behindDoc="0" locked="0" layoutInCell="1" hidden="0" allowOverlap="1">
                <wp:simplePos x="0" y="0"/>
                <wp:positionH relativeFrom="column">
                  <wp:posOffset>12701</wp:posOffset>
                </wp:positionH>
                <wp:positionV relativeFrom="paragraph">
                  <wp:posOffset>2082800</wp:posOffset>
                </wp:positionV>
                <wp:extent cx="5780860" cy="12700"/>
                <wp:effectExtent l="0" t="0" r="0" b="0"/>
                <wp:wrapNone/>
                <wp:docPr id="15" name="Connecteur droit avec flèche 15"/>
                <wp:cNvGraphicFramePr/>
                <a:graphic xmlns:a="http://schemas.openxmlformats.org/drawingml/2006/main">
                  <a:graphicData uri="http://schemas.microsoft.com/office/word/2010/wordprocessingShape">
                    <wps:wsp>
                      <wps:cNvCnPr/>
                      <wps:spPr>
                        <a:xfrm>
                          <a:off x="2455570" y="3780000"/>
                          <a:ext cx="5780860" cy="0"/>
                        </a:xfrm>
                        <a:prstGeom prst="straightConnector1">
                          <a:avLst/>
                        </a:prstGeom>
                        <a:noFill/>
                        <a:ln w="9525" cap="flat" cmpd="sng">
                          <a:solidFill>
                            <a:srgbClr val="4A7DBA"/>
                          </a:solidFill>
                          <a:prstDash val="solid"/>
                          <a:round/>
                          <a:headEnd type="none" w="sm" len="sm"/>
                          <a:tailEnd type="none" w="sm" len="sm"/>
                        </a:ln>
                      </wps:spPr>
                      <wps:bodyPr/>
                    </wps:wsp>
                  </a:graphicData>
                </a:graphic>
              </wp:anchor>
            </w:drawing>
          </mc:Choice>
          <mc:Fallback>
            <w:pict>
              <v:shape w14:anchorId="7F463D57" id="Connecteur droit avec flèche 15" o:spid="_x0000_s1026" type="#_x0000_t32" style="position:absolute;margin-left:1pt;margin-top:164pt;width:455.2pt;height:1pt;z-index:251609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" strokecolor="#4a7dba">
                <v:stroke startarrowwidth="narrow" startarrowlength="short" endarrowwidth="narrow" endarrowlength="short"/>
              </v:shape>
            </w:pict>
          </mc:Fallback>
        </mc:AlternateContent>
      </w:r>
      <w:r w:rsidR="00A06EBD">
        <w:rPr>
          <w:noProof/>
        </w:rPr>
        <mc:AlternateContent>
          <mc:Choice Requires="wps">
            <w:drawing>
              <wp:anchor distT="0" distB="0" distL="114300" distR="114300" simplePos="0" relativeHeight="251610624" behindDoc="0" locked="0" layoutInCell="1" hidden="0" allowOverlap="1">
                <wp:simplePos x="0" y="0"/>
                <wp:positionH relativeFrom="column">
                  <wp:posOffset>5753100</wp:posOffset>
                </wp:positionH>
                <wp:positionV relativeFrom="paragraph">
                  <wp:posOffset>0</wp:posOffset>
                </wp:positionV>
                <wp:extent cx="27940" cy="2131623"/>
                <wp:effectExtent l="0" t="0" r="0" b="0"/>
                <wp:wrapNone/>
                <wp:docPr id="14" name="Connecteur droit avec flèche 14"/>
                <wp:cNvGraphicFramePr/>
                <a:graphic xmlns:a="http://schemas.openxmlformats.org/drawingml/2006/main">
                  <a:graphicData uri="http://schemas.microsoft.com/office/word/2010/wordprocessingShape">
                    <wps:wsp>
                      <wps:cNvCnPr/>
                      <wps:spPr>
                        <a:xfrm>
                          <a:off x="5336793" y="2718951"/>
                          <a:ext cx="18415" cy="2122098"/>
                        </a:xfrm>
                        <a:prstGeom prst="straightConnector1">
                          <a:avLst/>
                        </a:prstGeom>
                        <a:noFill/>
                        <a:ln w="9525" cap="flat" cmpd="sng">
                          <a:solidFill>
                            <a:srgbClr val="4A7DBA"/>
                          </a:solidFill>
                          <a:prstDash val="solid"/>
                          <a:round/>
                          <a:headEnd type="none" w="sm" len="sm"/>
                          <a:tailEnd type="none" w="sm" len="sm"/>
                        </a:ln>
                      </wps:spPr>
                      <wps:bodyPr/>
                    </wps:wsp>
                  </a:graphicData>
                </a:graphic>
              </wp:anchor>
            </w:drawing>
          </mc:Choice>
          <mc:Fallback>
            <w:pict>
              <v:shape w14:anchorId="358A558E" id="Connecteur droit avec flèche 14" o:spid="_x0000_s1026" type="#_x0000_t32" style="position:absolute;margin-left:453pt;margin-top:0;width:2.2pt;height:167.85pt;z-index:251610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" strokecolor="#4a7dba">
                <v:stroke startarrowwidth="narrow" startarrowlength="short" endarrowwidth="narrow" endarrowlength="short"/>
              </v:shape>
            </w:pict>
          </mc:Fallback>
        </mc:AlternateContent>
      </w:r>
    </w:p>
    <w:p w:rsidR="00314B92" w:rsidRDefault="00AD5F81" w:rsidP="005D02C3">
      <w:pPr>
        <w:pStyle w:val="Normal1"/>
        <w:numPr>
          <w:ilvl w:val="3"/>
          <w:numId w:val="120"/>
        </w:numPr>
        <w:pBdr>
          <w:top w:val="nil"/>
          <w:left w:val="nil"/>
          <w:bottom w:val="nil"/>
          <w:right w:val="nil"/>
          <w:between w:val="nil"/>
        </w:pBdr>
        <w:spacing w:after="0"/>
        <w:jc w:val="both"/>
        <w:rPr>
          <w:color w:val="000000"/>
          <w:sz w:val="23"/>
          <w:szCs w:val="23"/>
        </w:rPr>
      </w:pPr>
      <w:r>
        <w:rPr>
          <w:b/>
          <w:color w:val="000000"/>
          <w:sz w:val="23"/>
          <w:szCs w:val="23"/>
        </w:rPr>
        <w:t>Gap de performance et leurs causes</w:t>
      </w:r>
    </w:p>
    <w:p w:rsidR="00314B92" w:rsidRDefault="00AD5F81" w:rsidP="005D02C3">
      <w:pPr>
        <w:pStyle w:val="Normal1"/>
        <w:numPr>
          <w:ilvl w:val="0"/>
          <w:numId w:val="53"/>
        </w:numPr>
        <w:pBdr>
          <w:top w:val="nil"/>
          <w:left w:val="nil"/>
          <w:bottom w:val="nil"/>
          <w:right w:val="nil"/>
          <w:between w:val="nil"/>
        </w:pBdr>
        <w:spacing w:after="0"/>
        <w:jc w:val="both"/>
        <w:rPr>
          <w:color w:val="000000"/>
          <w:sz w:val="24"/>
          <w:szCs w:val="24"/>
        </w:rPr>
      </w:pPr>
      <w:r>
        <w:rPr>
          <w:color w:val="000000"/>
          <w:sz w:val="24"/>
          <w:szCs w:val="24"/>
        </w:rPr>
        <w:t xml:space="preserve">Faible couverture au niveau nationale avec plusieurs régions dont la performance est en deçà de la moyenne nationale  </w:t>
      </w:r>
    </w:p>
    <w:p w:rsidR="000B20C0" w:rsidRDefault="00AD5F81" w:rsidP="005D02C3">
      <w:pPr>
        <w:pStyle w:val="Normal1"/>
        <w:numPr>
          <w:ilvl w:val="0"/>
          <w:numId w:val="53"/>
        </w:numPr>
        <w:pBdr>
          <w:top w:val="nil"/>
          <w:left w:val="nil"/>
          <w:bottom w:val="nil"/>
          <w:right w:val="nil"/>
          <w:between w:val="nil"/>
        </w:pBdr>
        <w:spacing w:after="0"/>
        <w:jc w:val="both"/>
        <w:rPr>
          <w:color w:val="000000"/>
          <w:sz w:val="24"/>
          <w:szCs w:val="24"/>
        </w:rPr>
      </w:pPr>
      <w:r>
        <w:rPr>
          <w:color w:val="000000"/>
          <w:sz w:val="24"/>
          <w:szCs w:val="24"/>
        </w:rPr>
        <w:t xml:space="preserve">Une faible contribution du niveau hospitalier avec 20 % et 23 %. </w:t>
      </w:r>
    </w:p>
    <w:p w:rsidR="00314B92" w:rsidRPr="000B20C0" w:rsidRDefault="00AD5F81" w:rsidP="005D02C3">
      <w:pPr>
        <w:pStyle w:val="Normal1"/>
        <w:numPr>
          <w:ilvl w:val="0"/>
          <w:numId w:val="53"/>
        </w:numPr>
        <w:pBdr>
          <w:top w:val="nil"/>
          <w:left w:val="nil"/>
          <w:bottom w:val="nil"/>
          <w:right w:val="nil"/>
          <w:between w:val="nil"/>
        </w:pBdr>
        <w:spacing w:after="0"/>
        <w:jc w:val="both"/>
        <w:rPr>
          <w:color w:val="000000"/>
          <w:sz w:val="24"/>
          <w:szCs w:val="24"/>
        </w:rPr>
      </w:pPr>
      <w:r w:rsidRPr="000B20C0">
        <w:rPr>
          <w:color w:val="000000"/>
          <w:sz w:val="24"/>
          <w:szCs w:val="24"/>
        </w:rPr>
        <w:t>La faible disponibilité des directives de surveillance de la croissance (38 %) et des balances pour enfants (55 %) diminue les performances du suivi et de la promotion de la croissance des enfants</w:t>
      </w:r>
      <w:r>
        <w:rPr>
          <w:color w:val="000000"/>
          <w:sz w:val="24"/>
          <w:szCs w:val="24"/>
          <w:vertAlign w:val="superscript"/>
        </w:rPr>
        <w:footnoteReference w:id="66"/>
      </w:r>
      <w:r w:rsidRPr="000B20C0">
        <w:rPr>
          <w:color w:val="000000"/>
          <w:sz w:val="24"/>
          <w:szCs w:val="24"/>
        </w:rPr>
        <w:t xml:space="preserve">. </w:t>
      </w:r>
    </w:p>
    <w:p w:rsidR="00314B92" w:rsidRDefault="00AD5F81" w:rsidP="005D02C3">
      <w:pPr>
        <w:pStyle w:val="Normal1"/>
        <w:numPr>
          <w:ilvl w:val="0"/>
          <w:numId w:val="53"/>
        </w:numPr>
        <w:pBdr>
          <w:top w:val="nil"/>
          <w:left w:val="nil"/>
          <w:bottom w:val="nil"/>
          <w:right w:val="nil"/>
          <w:between w:val="nil"/>
        </w:pBdr>
        <w:spacing w:after="0"/>
        <w:jc w:val="both"/>
        <w:rPr>
          <w:color w:val="000000"/>
          <w:sz w:val="24"/>
          <w:szCs w:val="24"/>
        </w:rPr>
      </w:pPr>
      <w:r>
        <w:rPr>
          <w:color w:val="000000"/>
          <w:sz w:val="24"/>
          <w:szCs w:val="24"/>
        </w:rPr>
        <w:t>Les facteurs socio-culturels ont une influence sur la fréquentation des soins postnatals dans les délais. La femme du milieu rural, peu instruite et pauvre est la plus défavorisée.</w:t>
      </w:r>
    </w:p>
    <w:p w:rsidR="00314B92" w:rsidRDefault="00AD5F81" w:rsidP="005D02C3">
      <w:pPr>
        <w:pStyle w:val="Normal1"/>
        <w:numPr>
          <w:ilvl w:val="0"/>
          <w:numId w:val="53"/>
        </w:numPr>
        <w:pBdr>
          <w:top w:val="nil"/>
          <w:left w:val="nil"/>
          <w:bottom w:val="nil"/>
          <w:right w:val="nil"/>
          <w:between w:val="nil"/>
        </w:pBdr>
        <w:spacing w:after="0"/>
        <w:jc w:val="both"/>
        <w:rPr>
          <w:color w:val="000000"/>
          <w:sz w:val="24"/>
          <w:szCs w:val="24"/>
        </w:rPr>
      </w:pPr>
      <w:r>
        <w:rPr>
          <w:color w:val="000000"/>
          <w:sz w:val="24"/>
          <w:szCs w:val="24"/>
        </w:rPr>
        <w:t>Intégration limitée de la promotion de l’allaitement exclusif</w:t>
      </w:r>
    </w:p>
    <w:p w:rsidR="00314B92" w:rsidRPr="000B20C0" w:rsidRDefault="00AD5F81" w:rsidP="005D02C3">
      <w:pPr>
        <w:pStyle w:val="Normal1"/>
        <w:numPr>
          <w:ilvl w:val="0"/>
          <w:numId w:val="53"/>
        </w:numPr>
        <w:pBdr>
          <w:top w:val="nil"/>
          <w:left w:val="nil"/>
          <w:bottom w:val="nil"/>
          <w:right w:val="nil"/>
          <w:between w:val="nil"/>
        </w:pBdr>
        <w:spacing w:after="0"/>
        <w:jc w:val="both"/>
        <w:rPr>
          <w:color w:val="000000"/>
          <w:sz w:val="24"/>
          <w:szCs w:val="24"/>
        </w:rPr>
      </w:pPr>
      <w:r>
        <w:rPr>
          <w:color w:val="000000"/>
          <w:sz w:val="24"/>
          <w:szCs w:val="24"/>
        </w:rPr>
        <w:t>La disponibilité et la fréquentation des services postnatals est inégalement répartition au niveau régional. La région du Sud-Ouest accuse la proportion la plus faible (48% contre un maximum de 91 % dans le Centre-Sud) de femmes qui ont reçu les soins postnatals dans les délais recommandés</w:t>
      </w:r>
      <w:r>
        <w:rPr>
          <w:color w:val="000000"/>
          <w:sz w:val="24"/>
          <w:szCs w:val="24"/>
          <w:vertAlign w:val="superscript"/>
        </w:rPr>
        <w:footnoteReference w:id="67"/>
      </w:r>
      <w:r>
        <w:rPr>
          <w:color w:val="000000"/>
          <w:sz w:val="24"/>
          <w:szCs w:val="24"/>
        </w:rPr>
        <w:t>.</w:t>
      </w:r>
    </w:p>
    <w:p w:rsidR="00314B92" w:rsidRDefault="00AD5F81">
      <w:pPr>
        <w:pStyle w:val="Normal1"/>
        <w:spacing w:after="0"/>
        <w:jc w:val="both"/>
        <w:rPr>
          <w:sz w:val="24"/>
          <w:szCs w:val="24"/>
        </w:rPr>
      </w:pPr>
      <w:r>
        <w:rPr>
          <w:sz w:val="24"/>
          <w:szCs w:val="24"/>
        </w:rPr>
        <w:t>La demande est entravée par (i) des barrières géographiques (Rayon moyen d’action théorique, …), (ii) des barrières financières (Paiements indirects malgré la gratuité (Déplacements), (iii) Insuffisance de l’information, (iv) Barrières socio-culturelles (influence sur la décision du mari, belle-mère, …)</w:t>
      </w:r>
    </w:p>
    <w:p w:rsidR="00314B92" w:rsidRDefault="00314B92">
      <w:pPr>
        <w:pStyle w:val="Normal1"/>
        <w:pBdr>
          <w:top w:val="nil"/>
          <w:left w:val="nil"/>
          <w:bottom w:val="nil"/>
          <w:right w:val="nil"/>
          <w:between w:val="nil"/>
        </w:pBdr>
        <w:spacing w:after="0"/>
        <w:ind w:left="1080" w:hanging="720"/>
        <w:jc w:val="both"/>
        <w:rPr>
          <w:color w:val="000000"/>
          <w:sz w:val="24"/>
          <w:szCs w:val="24"/>
        </w:rPr>
      </w:pPr>
    </w:p>
    <w:p w:rsidR="00314B92" w:rsidRDefault="00AD5F81" w:rsidP="005D02C3">
      <w:pPr>
        <w:pStyle w:val="Normal1"/>
        <w:numPr>
          <w:ilvl w:val="2"/>
          <w:numId w:val="120"/>
        </w:numPr>
        <w:pBdr>
          <w:top w:val="nil"/>
          <w:left w:val="nil"/>
          <w:bottom w:val="nil"/>
          <w:right w:val="nil"/>
          <w:between w:val="nil"/>
        </w:pBdr>
        <w:spacing w:after="0"/>
        <w:jc w:val="both"/>
        <w:rPr>
          <w:color w:val="000000"/>
          <w:sz w:val="24"/>
          <w:szCs w:val="24"/>
        </w:rPr>
      </w:pPr>
      <w:r>
        <w:rPr>
          <w:color w:val="000000"/>
          <w:sz w:val="24"/>
          <w:szCs w:val="24"/>
        </w:rPr>
        <w:t>LES CANCERS DE LA FEMME</w:t>
      </w:r>
    </w:p>
    <w:p w:rsidR="00314B92" w:rsidRDefault="00AD5F81">
      <w:pPr>
        <w:pStyle w:val="Normal1"/>
        <w:spacing w:after="0"/>
        <w:jc w:val="both"/>
        <w:rPr>
          <w:sz w:val="24"/>
          <w:szCs w:val="24"/>
        </w:rPr>
      </w:pPr>
      <w:r>
        <w:rPr>
          <w:sz w:val="24"/>
          <w:szCs w:val="24"/>
        </w:rPr>
        <w:t>Au Burkina Faso, les cancers du sein (13,39 %) et du col de l’utérus (12,46%) sont plus fréquents chez les adultes. Selon la même source l’incidence du cancer en 2012 était de 7760 cas de cancers dont 5012 chez les femmes. Des 7 760 cas 6 215 sont décédés, soit une mortalité de 80% en 2012 En 2015, l’incidence du cancer était de 8167 cas de cancers dont 5242 chez les femmes et le taux de mortalité se chiffrait à 70%</w:t>
      </w:r>
      <w:r>
        <w:rPr>
          <w:sz w:val="24"/>
          <w:szCs w:val="24"/>
          <w:vertAlign w:val="superscript"/>
        </w:rPr>
        <w:footnoteReference w:id="68"/>
      </w:r>
      <w:r>
        <w:rPr>
          <w:sz w:val="24"/>
          <w:szCs w:val="24"/>
        </w:rPr>
        <w:t>.</w:t>
      </w:r>
    </w:p>
    <w:p w:rsidR="00314B92" w:rsidRDefault="00AD5F81">
      <w:pPr>
        <w:pStyle w:val="Normal1"/>
        <w:spacing w:after="0"/>
        <w:jc w:val="both"/>
        <w:rPr>
          <w:sz w:val="24"/>
          <w:szCs w:val="24"/>
        </w:rPr>
      </w:pPr>
      <w:bookmarkStart w:id="12" w:name="_lnxbz9" w:colFirst="0" w:colLast="0"/>
      <w:bookmarkEnd w:id="12"/>
      <w:r>
        <w:rPr>
          <w:sz w:val="24"/>
          <w:szCs w:val="24"/>
        </w:rPr>
        <w:t>Le cancer du col de l’utérus est l’un des cancers sexuellement transmissibles parce qu’il est dû dans près de 98% des cas à un virus appelé HPV, le virus papilloma humain. La disponibilité d’un vaccin efficace est susceptible de modifier la prise en charge de ce cancer.</w:t>
      </w:r>
    </w:p>
    <w:p w:rsidR="00314B92" w:rsidRDefault="00AD5F81" w:rsidP="005D02C3">
      <w:pPr>
        <w:pStyle w:val="Normal1"/>
        <w:numPr>
          <w:ilvl w:val="2"/>
          <w:numId w:val="120"/>
        </w:numPr>
        <w:pBdr>
          <w:top w:val="nil"/>
          <w:left w:val="nil"/>
          <w:bottom w:val="nil"/>
          <w:right w:val="nil"/>
          <w:between w:val="nil"/>
        </w:pBdr>
        <w:spacing w:before="240" w:after="0" w:line="360" w:lineRule="auto"/>
        <w:jc w:val="both"/>
        <w:rPr>
          <w:color w:val="000000"/>
          <w:sz w:val="23"/>
          <w:szCs w:val="23"/>
        </w:rPr>
      </w:pPr>
      <w:r>
        <w:rPr>
          <w:color w:val="000000"/>
        </w:rPr>
        <w:t>PLANIFICATION FAMILIALE</w:t>
      </w:r>
    </w:p>
    <w:p w:rsidR="00314B92" w:rsidRDefault="00AD5F81">
      <w:pPr>
        <w:pStyle w:val="Normal1"/>
        <w:spacing w:after="0"/>
        <w:jc w:val="both"/>
        <w:rPr>
          <w:sz w:val="24"/>
          <w:szCs w:val="24"/>
        </w:rPr>
      </w:pPr>
      <w:r>
        <w:rPr>
          <w:sz w:val="24"/>
          <w:szCs w:val="24"/>
        </w:rPr>
        <w:t xml:space="preserve">Le plan national d’accélération de la planification familiale (PNAPF) 2017-2020 se fixe comme objectif de porter le taux de prévalence contraceptive moderne (TPCm) de 22,5% en 2015 à 32% en 2020. </w:t>
      </w:r>
    </w:p>
    <w:p w:rsidR="00314B92" w:rsidRDefault="00AD5F81">
      <w:pPr>
        <w:pStyle w:val="Normal1"/>
        <w:jc w:val="both"/>
        <w:rPr>
          <w:sz w:val="24"/>
          <w:szCs w:val="24"/>
        </w:rPr>
      </w:pPr>
      <w:r>
        <w:rPr>
          <w:sz w:val="24"/>
          <w:szCs w:val="24"/>
        </w:rPr>
        <w:t>Pour améliorer l’offre de services PF, le gouvernement a pris (i) l’engagement de réduire de 50% les prix des contraceptifs, de consacrer une ligne budgétaire de 500 millions de francs CFA pour l’achat des produits contraceptifs et (iii) d’assurer la gratuité de la planification familiale.</w:t>
      </w:r>
    </w:p>
    <w:p w:rsidR="00314B92" w:rsidRDefault="00AD5F81" w:rsidP="005D02C3">
      <w:pPr>
        <w:pStyle w:val="Normal1"/>
        <w:numPr>
          <w:ilvl w:val="3"/>
          <w:numId w:val="120"/>
        </w:numPr>
        <w:pBdr>
          <w:top w:val="nil"/>
          <w:left w:val="nil"/>
          <w:bottom w:val="nil"/>
          <w:right w:val="nil"/>
          <w:between w:val="nil"/>
        </w:pBdr>
        <w:spacing w:after="0" w:line="360" w:lineRule="auto"/>
        <w:jc w:val="both"/>
        <w:rPr>
          <w:color w:val="000000"/>
          <w:sz w:val="24"/>
          <w:szCs w:val="24"/>
        </w:rPr>
      </w:pPr>
      <w:r>
        <w:rPr>
          <w:b/>
          <w:color w:val="000000"/>
          <w:sz w:val="24"/>
          <w:szCs w:val="24"/>
        </w:rPr>
        <w:t>Performance</w:t>
      </w:r>
      <w:r>
        <w:rPr>
          <w:b/>
          <w:color w:val="000000"/>
          <w:sz w:val="24"/>
          <w:szCs w:val="24"/>
          <w:vertAlign w:val="superscript"/>
        </w:rPr>
        <w:footnoteReference w:id="69"/>
      </w:r>
    </w:p>
    <w:p w:rsidR="00314B92" w:rsidRDefault="00AD5F81">
      <w:pPr>
        <w:pStyle w:val="Normal1"/>
        <w:spacing w:after="0"/>
        <w:jc w:val="both"/>
        <w:rPr>
          <w:sz w:val="24"/>
          <w:szCs w:val="24"/>
        </w:rPr>
      </w:pPr>
      <w:r>
        <w:rPr>
          <w:sz w:val="24"/>
          <w:szCs w:val="24"/>
        </w:rPr>
        <w:t>En 2017, 1,3 millions d’utilisatrices de méthodes contraceptives ont été enregistrées, soit un taux d’utilisation de 27,5%. Ce taux en baisse par rapport à l’année 2016 (31,7%) pourrait s’expliquer par l’application effective de la définition « nouvelles et anciennes utilisatrices ».</w:t>
      </w:r>
    </w:p>
    <w:p w:rsidR="00314B92" w:rsidRDefault="00AD5F81">
      <w:pPr>
        <w:pStyle w:val="Normal1"/>
        <w:pBdr>
          <w:top w:val="nil"/>
          <w:left w:val="nil"/>
          <w:bottom w:val="nil"/>
          <w:right w:val="nil"/>
          <w:between w:val="nil"/>
        </w:pBdr>
        <w:spacing w:after="240"/>
        <w:jc w:val="both"/>
        <w:rPr>
          <w:color w:val="000000"/>
          <w:sz w:val="24"/>
          <w:szCs w:val="24"/>
        </w:rPr>
      </w:pPr>
      <w:r>
        <w:rPr>
          <w:color w:val="000000"/>
          <w:sz w:val="24"/>
          <w:szCs w:val="24"/>
        </w:rPr>
        <w:t xml:space="preserve">Les nouvelles utilisatrices enregistrées au cours de l’année 2017 sont au nombre de 424 000 contre 450 000 pour l’année 2016 ; soit une baisse de 6,1%. </w:t>
      </w:r>
    </w:p>
    <w:p w:rsidR="00314B92" w:rsidRDefault="00AD5F81">
      <w:pPr>
        <w:pStyle w:val="Normal1"/>
        <w:pBdr>
          <w:top w:val="nil"/>
          <w:left w:val="nil"/>
          <w:bottom w:val="nil"/>
          <w:right w:val="nil"/>
          <w:between w:val="nil"/>
        </w:pBdr>
        <w:spacing w:after="0" w:line="360" w:lineRule="auto"/>
        <w:jc w:val="both"/>
        <w:rPr>
          <w:color w:val="000000"/>
          <w:sz w:val="24"/>
          <w:szCs w:val="24"/>
        </w:rPr>
      </w:pPr>
      <w:r>
        <w:rPr>
          <w:rFonts w:ascii="Arial" w:eastAsia="Arial" w:hAnsi="Arial" w:cs="Arial"/>
          <w:noProof/>
          <w:color w:val="000000"/>
          <w:sz w:val="24"/>
          <w:szCs w:val="24"/>
        </w:rPr>
        <w:drawing>
          <wp:inline distT="0" distB="0" distL="0" distR="0">
            <wp:extent cx="5477510" cy="2061714"/>
            <wp:effectExtent l="0" t="0" r="0" b="0"/>
            <wp:docPr id="62"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26" cstate="print"/>
                    <a:srcRect/>
                    <a:stretch>
                      <a:fillRect/>
                    </a:stretch>
                  </pic:blipFill>
                  <pic:spPr>
                    <a:xfrm>
                      <a:off x="0" y="0"/>
                      <a:ext cx="5477510" cy="2061714"/>
                    </a:xfrm>
                    <a:prstGeom prst="rect">
                      <a:avLst/>
                    </a:prstGeom>
                    <a:ln/>
                  </pic:spPr>
                </pic:pic>
              </a:graphicData>
            </a:graphic>
          </wp:inline>
        </w:drawing>
      </w:r>
    </w:p>
    <w:p w:rsidR="00314B92" w:rsidRDefault="00AD5F81">
      <w:pPr>
        <w:pStyle w:val="Normal1"/>
        <w:pBdr>
          <w:top w:val="nil"/>
          <w:left w:val="nil"/>
          <w:bottom w:val="nil"/>
          <w:right w:val="nil"/>
          <w:between w:val="nil"/>
        </w:pBdr>
        <w:spacing w:after="0" w:line="360" w:lineRule="auto"/>
        <w:jc w:val="both"/>
        <w:rPr>
          <w:b/>
          <w:color w:val="000000"/>
          <w:sz w:val="20"/>
          <w:szCs w:val="20"/>
        </w:rPr>
      </w:pPr>
      <w:r>
        <w:rPr>
          <w:b/>
          <w:color w:val="000000"/>
          <w:sz w:val="20"/>
          <w:szCs w:val="20"/>
        </w:rPr>
        <w:t>Figure 13 : Taux d’utilisation de méthodes contraceptives</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 xml:space="preserve">Les méthodes les plus utilisées sont le </w:t>
      </w:r>
      <w:r>
        <w:rPr>
          <w:i/>
          <w:color w:val="000000"/>
          <w:sz w:val="24"/>
          <w:szCs w:val="24"/>
        </w:rPr>
        <w:t xml:space="preserve">Depo-provéra </w:t>
      </w:r>
      <w:r>
        <w:rPr>
          <w:color w:val="000000"/>
          <w:sz w:val="24"/>
          <w:szCs w:val="24"/>
        </w:rPr>
        <w:t xml:space="preserve">avec une proportion de 34,2% et la méthode </w:t>
      </w:r>
      <w:r>
        <w:rPr>
          <w:i/>
          <w:color w:val="000000"/>
          <w:sz w:val="24"/>
          <w:szCs w:val="24"/>
        </w:rPr>
        <w:t xml:space="preserve">Jadelle </w:t>
      </w:r>
      <w:r>
        <w:rPr>
          <w:color w:val="000000"/>
          <w:sz w:val="24"/>
          <w:szCs w:val="24"/>
        </w:rPr>
        <w:t xml:space="preserve">avec une proportion de 34,1%. </w:t>
      </w:r>
    </w:p>
    <w:p w:rsidR="00314B92" w:rsidRDefault="00AD5F81">
      <w:pPr>
        <w:pStyle w:val="Normal1"/>
        <w:spacing w:after="0"/>
        <w:jc w:val="both"/>
        <w:rPr>
          <w:sz w:val="24"/>
          <w:szCs w:val="24"/>
        </w:rPr>
      </w:pPr>
      <w:r>
        <w:rPr>
          <w:sz w:val="24"/>
          <w:szCs w:val="24"/>
        </w:rPr>
        <w:t>Les méthodes chirurgicales sont en hausse par rapport à 2016. En effet, il a été enregistré 317 ligatures des trompes contre 63 en 2016 et 37 vasectomies contre 03 en 2016.</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 xml:space="preserve">En 2017, 1 311 000 couples années protection ont été comptabilisés. </w:t>
      </w:r>
    </w:p>
    <w:p w:rsidR="00314B92" w:rsidRDefault="00AD5F81">
      <w:pPr>
        <w:pStyle w:val="Normal1"/>
        <w:spacing w:after="0"/>
        <w:jc w:val="both"/>
        <w:rPr>
          <w:sz w:val="24"/>
          <w:szCs w:val="24"/>
        </w:rPr>
      </w:pPr>
      <w:r>
        <w:rPr>
          <w:sz w:val="24"/>
          <w:szCs w:val="24"/>
        </w:rPr>
        <w:t>De 2013 à 2017, cet indicateur a connu une hausse de 84,6% en passant de 710 000 à 1 311 000 couples années protection.</w:t>
      </w:r>
    </w:p>
    <w:p w:rsidR="00314B92" w:rsidRDefault="00AD5F81">
      <w:pPr>
        <w:pStyle w:val="Normal1"/>
        <w:jc w:val="both"/>
        <w:rPr>
          <w:sz w:val="24"/>
          <w:szCs w:val="24"/>
        </w:rPr>
      </w:pPr>
      <w:r>
        <w:rPr>
          <w:sz w:val="24"/>
          <w:szCs w:val="24"/>
        </w:rPr>
        <w:t xml:space="preserve">Même si la baisse du taux d’utilisation de méthodes contraceptives de 2017 (27,5%) en baisse par rapport à l’année 2016 (31,7%) pourrait s’expliquer par </w:t>
      </w:r>
      <w:r>
        <w:t xml:space="preserve">l’application effective de la définition </w:t>
      </w:r>
      <w:r>
        <w:rPr>
          <w:sz w:val="24"/>
          <w:szCs w:val="24"/>
        </w:rPr>
        <w:t xml:space="preserve">« nouvelles et anciennes utilisatrices », la courbe n’affiche pas une progression nette. </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Gaps de performances et leurs causes</w:t>
      </w:r>
    </w:p>
    <w:p w:rsidR="00314B92" w:rsidRDefault="00AD5F81" w:rsidP="005D02C3">
      <w:pPr>
        <w:pStyle w:val="Normal1"/>
        <w:numPr>
          <w:ilvl w:val="0"/>
          <w:numId w:val="52"/>
        </w:numPr>
        <w:pBdr>
          <w:top w:val="nil"/>
          <w:left w:val="nil"/>
          <w:bottom w:val="nil"/>
          <w:right w:val="nil"/>
          <w:between w:val="nil"/>
        </w:pBdr>
        <w:spacing w:after="0"/>
        <w:ind w:left="360"/>
        <w:jc w:val="both"/>
        <w:rPr>
          <w:i/>
          <w:color w:val="000000"/>
          <w:sz w:val="24"/>
          <w:szCs w:val="24"/>
        </w:rPr>
      </w:pPr>
      <w:r>
        <w:rPr>
          <w:i/>
          <w:color w:val="000000"/>
          <w:sz w:val="24"/>
          <w:szCs w:val="24"/>
        </w:rPr>
        <w:t>La persistance d’une demande non satisfaite</w:t>
      </w:r>
    </w:p>
    <w:p w:rsidR="00314B92" w:rsidRDefault="00AD5F81">
      <w:pPr>
        <w:pStyle w:val="Normal1"/>
        <w:pBdr>
          <w:top w:val="nil"/>
          <w:left w:val="nil"/>
          <w:bottom w:val="nil"/>
          <w:right w:val="nil"/>
          <w:between w:val="nil"/>
        </w:pBdr>
        <w:spacing w:after="0"/>
        <w:ind w:left="360" w:hanging="720"/>
        <w:jc w:val="both"/>
        <w:rPr>
          <w:color w:val="000000"/>
          <w:sz w:val="24"/>
          <w:szCs w:val="24"/>
        </w:rPr>
      </w:pPr>
      <w:r>
        <w:rPr>
          <w:color w:val="000000"/>
          <w:sz w:val="24"/>
          <w:szCs w:val="24"/>
        </w:rPr>
        <w:t>De 2003 à 2010, L’augmentation des connaissances des hommes et des femmes en matière planification familiale a connu une bonne progression en passant de 91,7% à 98% des femmes en union et de 95,6% à 99,5% des hommes en union qui ont déclaré connaître au moins une méthode contraceptive</w:t>
      </w:r>
    </w:p>
    <w:p w:rsidR="00314B92" w:rsidRDefault="00AD5F81">
      <w:pPr>
        <w:pStyle w:val="Normal1"/>
        <w:pBdr>
          <w:top w:val="nil"/>
          <w:left w:val="nil"/>
          <w:bottom w:val="nil"/>
          <w:right w:val="nil"/>
          <w:between w:val="nil"/>
        </w:pBdr>
        <w:spacing w:after="0"/>
        <w:ind w:left="360" w:hanging="720"/>
        <w:jc w:val="both"/>
        <w:rPr>
          <w:color w:val="000000"/>
          <w:sz w:val="24"/>
          <w:szCs w:val="24"/>
        </w:rPr>
      </w:pPr>
      <w:r>
        <w:rPr>
          <w:color w:val="000000"/>
          <w:sz w:val="24"/>
          <w:szCs w:val="24"/>
        </w:rPr>
        <w:t>Mais sur une demande de PF chez les femmes actuellement en union de 43,3%, seuls 22,5% des femmes en union utilisent des contraceptifs, ce qui signifie que 19,4% des femmes actuellement en union ont un besoin non satisfait en PF (EDS 2010).</w:t>
      </w:r>
    </w:p>
    <w:p w:rsidR="00314B92" w:rsidRDefault="00AD5F81" w:rsidP="005D02C3">
      <w:pPr>
        <w:pStyle w:val="Normal1"/>
        <w:numPr>
          <w:ilvl w:val="0"/>
          <w:numId w:val="52"/>
        </w:numPr>
        <w:pBdr>
          <w:top w:val="nil"/>
          <w:left w:val="nil"/>
          <w:bottom w:val="nil"/>
          <w:right w:val="nil"/>
          <w:between w:val="nil"/>
        </w:pBdr>
        <w:spacing w:after="0"/>
        <w:ind w:left="360"/>
        <w:jc w:val="both"/>
        <w:rPr>
          <w:i/>
          <w:color w:val="000000"/>
        </w:rPr>
      </w:pPr>
      <w:r>
        <w:rPr>
          <w:i/>
          <w:color w:val="000000"/>
        </w:rPr>
        <w:t>Une offre et un accès aux Services en matière de PF avec encore des points faibles.</w:t>
      </w:r>
    </w:p>
    <w:p w:rsidR="00314B92" w:rsidRDefault="00AD5F81">
      <w:pPr>
        <w:pStyle w:val="Normal1"/>
        <w:pBdr>
          <w:top w:val="nil"/>
          <w:left w:val="nil"/>
          <w:bottom w:val="nil"/>
          <w:right w:val="nil"/>
          <w:between w:val="nil"/>
        </w:pBdr>
        <w:spacing w:after="0"/>
        <w:ind w:left="360" w:hanging="720"/>
        <w:jc w:val="both"/>
        <w:rPr>
          <w:color w:val="000000"/>
          <w:sz w:val="23"/>
          <w:szCs w:val="23"/>
        </w:rPr>
      </w:pPr>
      <w:r>
        <w:rPr>
          <w:color w:val="000000"/>
          <w:sz w:val="23"/>
          <w:szCs w:val="23"/>
        </w:rPr>
        <w:t xml:space="preserve">Quatre-vingt-quinze pourcent (99.5%) des centres de santé publics offrent certains services de PF, mais seulement 30,1% des points de prestations disposent de toute la gamme complète de contraceptifs. Le secteur public joue un rôle important dans l’approvisionnement des femmes en méthodes de contraception (74% en 2010), principalement dans les centres de santé et de promotion sociale (CSPS), avec un taux d’approvisionnement de 58 % pour l’ensemble des méthodes. Comme le graphique 10 l’indique, le secteur public fournit 97,3% des injectables, 97,8% des implants, 84,2% des pilules et 94,4% des stérilisations féminines Toutefois, il ne fournit que 9% des condoms masculins. Cela demande un restockage plus fréquent et entraine plus facilement des ruptures de stock. Pour les condoms masculins, les sources alternatives d’approvisionnement constituent le taux le plus élevé avec 51%. </w:t>
      </w:r>
    </w:p>
    <w:p w:rsidR="00314B92" w:rsidRDefault="00AD5F81" w:rsidP="005D02C3">
      <w:pPr>
        <w:pStyle w:val="Normal1"/>
        <w:numPr>
          <w:ilvl w:val="0"/>
          <w:numId w:val="52"/>
        </w:numPr>
        <w:pBdr>
          <w:top w:val="nil"/>
          <w:left w:val="nil"/>
          <w:bottom w:val="nil"/>
          <w:right w:val="nil"/>
          <w:between w:val="nil"/>
        </w:pBdr>
        <w:spacing w:after="0"/>
        <w:ind w:left="360"/>
        <w:jc w:val="both"/>
        <w:rPr>
          <w:i/>
          <w:color w:val="000000"/>
          <w:sz w:val="24"/>
          <w:szCs w:val="24"/>
        </w:rPr>
      </w:pPr>
      <w:r>
        <w:rPr>
          <w:i/>
          <w:color w:val="000000"/>
          <w:sz w:val="24"/>
          <w:szCs w:val="24"/>
        </w:rPr>
        <w:t>La Sécurisation des produits contraceptifs de planification familiale est incomplète</w:t>
      </w:r>
    </w:p>
    <w:p w:rsidR="00314B92" w:rsidRDefault="00AD5F81">
      <w:pPr>
        <w:pStyle w:val="Normal1"/>
        <w:spacing w:after="0"/>
        <w:ind w:left="360"/>
        <w:jc w:val="both"/>
        <w:rPr>
          <w:sz w:val="23"/>
          <w:szCs w:val="23"/>
        </w:rPr>
      </w:pPr>
      <w:r>
        <w:rPr>
          <w:sz w:val="23"/>
          <w:szCs w:val="23"/>
        </w:rPr>
        <w:t>La demande totale en PF en 2015 est de 43,3% et seulement 55,3% de la demande est satisfaite</w:t>
      </w:r>
      <w:r>
        <w:rPr>
          <w:sz w:val="23"/>
          <w:szCs w:val="23"/>
          <w:vertAlign w:val="superscript"/>
        </w:rPr>
        <w:footnoteReference w:id="70"/>
      </w:r>
      <w:r>
        <w:rPr>
          <w:sz w:val="23"/>
          <w:szCs w:val="23"/>
        </w:rPr>
        <w:t xml:space="preserve">. </w:t>
      </w:r>
    </w:p>
    <w:p w:rsidR="00314B92" w:rsidRDefault="00AD5F81" w:rsidP="005D02C3">
      <w:pPr>
        <w:pStyle w:val="Normal1"/>
        <w:numPr>
          <w:ilvl w:val="0"/>
          <w:numId w:val="54"/>
        </w:numPr>
        <w:pBdr>
          <w:top w:val="nil"/>
          <w:left w:val="nil"/>
          <w:bottom w:val="nil"/>
          <w:right w:val="nil"/>
          <w:between w:val="nil"/>
        </w:pBdr>
        <w:spacing w:after="0"/>
        <w:jc w:val="both"/>
        <w:rPr>
          <w:i/>
          <w:color w:val="000000"/>
          <w:sz w:val="24"/>
          <w:szCs w:val="24"/>
        </w:rPr>
      </w:pPr>
      <w:r>
        <w:rPr>
          <w:i/>
          <w:color w:val="000000"/>
          <w:sz w:val="24"/>
          <w:szCs w:val="24"/>
        </w:rPr>
        <w:t>La Capacité opérationnelle des services de PF sur base de 7 éléments traceurs est basse</w:t>
      </w:r>
    </w:p>
    <w:p w:rsidR="00314B92" w:rsidRDefault="00AD5F81">
      <w:pPr>
        <w:pStyle w:val="Normal1"/>
        <w:pBdr>
          <w:top w:val="nil"/>
          <w:left w:val="nil"/>
          <w:bottom w:val="nil"/>
          <w:right w:val="nil"/>
          <w:between w:val="nil"/>
        </w:pBdr>
        <w:spacing w:after="0"/>
        <w:ind w:left="360"/>
        <w:jc w:val="both"/>
        <w:rPr>
          <w:color w:val="000000"/>
          <w:sz w:val="24"/>
          <w:szCs w:val="24"/>
        </w:rPr>
      </w:pPr>
      <w:r>
        <w:rPr>
          <w:color w:val="000000"/>
          <w:sz w:val="24"/>
          <w:szCs w:val="24"/>
        </w:rPr>
        <w:t>La Capacité opérationnelle des services de PF évaluée sur base de 7 éléments traceurs</w:t>
      </w:r>
    </w:p>
    <w:p w:rsidR="00314B92" w:rsidRDefault="00AD5F81">
      <w:pPr>
        <w:pStyle w:val="Normal1"/>
        <w:pBdr>
          <w:top w:val="nil"/>
          <w:left w:val="nil"/>
          <w:bottom w:val="nil"/>
          <w:right w:val="nil"/>
          <w:between w:val="nil"/>
        </w:pBdr>
        <w:spacing w:after="0"/>
        <w:ind w:left="360"/>
        <w:jc w:val="both"/>
        <w:rPr>
          <w:color w:val="000000"/>
          <w:sz w:val="24"/>
          <w:szCs w:val="24"/>
        </w:rPr>
      </w:pPr>
      <w:r>
        <w:rPr>
          <w:color w:val="000000"/>
          <w:sz w:val="24"/>
          <w:szCs w:val="24"/>
        </w:rPr>
        <w:t>(Directives nationales en matière de PF, Personnel formé à la PF aux cours des deux années passées, Liste de contrôle ou autres aides à la PF, Tensiomètre, Pilules contraceptives orales combinées, Contraceptifs injectables, Préservatifs masculins) est basse et en baisse.</w:t>
      </w:r>
    </w:p>
    <w:p w:rsidR="00314B92" w:rsidRDefault="00AD5F81">
      <w:pPr>
        <w:pStyle w:val="Normal1"/>
        <w:pBdr>
          <w:top w:val="nil"/>
          <w:left w:val="nil"/>
          <w:bottom w:val="nil"/>
          <w:right w:val="nil"/>
          <w:between w:val="nil"/>
        </w:pBdr>
        <w:spacing w:after="0"/>
        <w:ind w:left="360" w:hanging="720"/>
        <w:jc w:val="both"/>
        <w:rPr>
          <w:color w:val="000000"/>
          <w:sz w:val="24"/>
          <w:szCs w:val="24"/>
        </w:rPr>
      </w:pPr>
      <w:r>
        <w:rPr>
          <w:color w:val="000000"/>
          <w:sz w:val="24"/>
          <w:szCs w:val="24"/>
        </w:rPr>
        <w:t>La proportion des établissements de santé qui disposent de tous les sept (07) éléments est de 24% en 2016 contre 54% en 2014 et 51% en 2012. Cette baisse s’explique par la non disponibilité des directives dans plus de la moitié des formations sanitaires. Le score de disponibilité globale est de 81% contre 90% en 2014 et 88% en 2012</w:t>
      </w:r>
      <w:r>
        <w:rPr>
          <w:color w:val="000000"/>
          <w:sz w:val="24"/>
          <w:szCs w:val="24"/>
          <w:vertAlign w:val="superscript"/>
        </w:rPr>
        <w:footnoteReference w:id="71"/>
      </w:r>
      <w:r>
        <w:rPr>
          <w:color w:val="000000"/>
          <w:sz w:val="24"/>
          <w:szCs w:val="24"/>
        </w:rPr>
        <w:t>.</w:t>
      </w:r>
    </w:p>
    <w:p w:rsidR="00314B92" w:rsidRDefault="00AD5F81" w:rsidP="005D02C3">
      <w:pPr>
        <w:pStyle w:val="Normal1"/>
        <w:numPr>
          <w:ilvl w:val="0"/>
          <w:numId w:val="54"/>
        </w:numPr>
        <w:pBdr>
          <w:top w:val="nil"/>
          <w:left w:val="nil"/>
          <w:bottom w:val="nil"/>
          <w:right w:val="nil"/>
          <w:between w:val="nil"/>
        </w:pBdr>
        <w:spacing w:after="0"/>
        <w:jc w:val="both"/>
        <w:rPr>
          <w:i/>
          <w:color w:val="000000"/>
          <w:sz w:val="23"/>
          <w:szCs w:val="23"/>
        </w:rPr>
      </w:pPr>
      <w:r>
        <w:rPr>
          <w:i/>
          <w:color w:val="000000"/>
          <w:sz w:val="23"/>
          <w:szCs w:val="23"/>
        </w:rPr>
        <w:t>Une répartition inégale des performances au niveau des régions</w:t>
      </w:r>
    </w:p>
    <w:p w:rsidR="00314B92" w:rsidRDefault="00AD5F81">
      <w:pPr>
        <w:pStyle w:val="Normal1"/>
        <w:pBdr>
          <w:top w:val="nil"/>
          <w:left w:val="nil"/>
          <w:bottom w:val="nil"/>
          <w:right w:val="nil"/>
          <w:between w:val="nil"/>
        </w:pBdr>
        <w:ind w:left="360" w:hanging="720"/>
        <w:jc w:val="both"/>
        <w:rPr>
          <w:color w:val="000000"/>
          <w:sz w:val="23"/>
          <w:szCs w:val="23"/>
        </w:rPr>
      </w:pPr>
      <w:r>
        <w:rPr>
          <w:color w:val="000000"/>
          <w:sz w:val="23"/>
          <w:szCs w:val="23"/>
        </w:rPr>
        <w:t>En 2017, le taux d’utilisation le plus élevé est observé dans le Sud-Ouest (34,7%) et le plus bas dans la région du Centre-Est (16,6%) soit une différence de 18,1 points. Six régions sur 13 (Centre-Est, Cascades, Centre, Sahel, Centre-Ouest, Hauts-Bassins) n’atteignent pas la moyenne nationale.</w:t>
      </w:r>
    </w:p>
    <w:p w:rsidR="00314B92" w:rsidRDefault="00AD5F81">
      <w:pPr>
        <w:pStyle w:val="Normal1"/>
        <w:spacing w:after="0" w:line="360" w:lineRule="auto"/>
        <w:jc w:val="both"/>
        <w:rPr>
          <w:sz w:val="23"/>
          <w:szCs w:val="23"/>
        </w:rPr>
      </w:pPr>
      <w:r>
        <w:rPr>
          <w:noProof/>
          <w:sz w:val="23"/>
          <w:szCs w:val="23"/>
        </w:rPr>
        <w:drawing>
          <wp:inline distT="0" distB="0" distL="0" distR="0">
            <wp:extent cx="5542130" cy="2238075"/>
            <wp:effectExtent l="0" t="0" r="0" b="0"/>
            <wp:docPr id="63"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27" cstate="print"/>
                    <a:srcRect/>
                    <a:stretch>
                      <a:fillRect/>
                    </a:stretch>
                  </pic:blipFill>
                  <pic:spPr>
                    <a:xfrm>
                      <a:off x="0" y="0"/>
                      <a:ext cx="5542130" cy="2238075"/>
                    </a:xfrm>
                    <a:prstGeom prst="rect">
                      <a:avLst/>
                    </a:prstGeom>
                    <a:ln/>
                  </pic:spPr>
                </pic:pic>
              </a:graphicData>
            </a:graphic>
          </wp:inline>
        </w:drawing>
      </w:r>
      <w:r>
        <w:rPr>
          <w:b/>
          <w:sz w:val="20"/>
          <w:szCs w:val="20"/>
        </w:rPr>
        <w:t>Figure 14 : Taux d’utilisation de méthodes contraceptives par Régions</w:t>
      </w:r>
      <w:r w:rsidR="00A06EBD">
        <w:rPr>
          <w:noProof/>
        </w:rPr>
        <mc:AlternateContent>
          <mc:Choice Requires="wps">
            <w:drawing>
              <wp:anchor distT="0" distB="0" distL="114300" distR="114300" simplePos="0" relativeHeight="251611648" behindDoc="0" locked="0" layoutInCell="1" hidden="0" allowOverlap="1">
                <wp:simplePos x="0" y="0"/>
                <wp:positionH relativeFrom="column">
                  <wp:posOffset>152400</wp:posOffset>
                </wp:positionH>
                <wp:positionV relativeFrom="paragraph">
                  <wp:posOffset>546100</wp:posOffset>
                </wp:positionV>
                <wp:extent cx="5244860" cy="12700"/>
                <wp:effectExtent l="0" t="0" r="0" b="0"/>
                <wp:wrapNone/>
                <wp:docPr id="20" name="Connecteur droit avec flèche 20"/>
                <wp:cNvGraphicFramePr/>
                <a:graphic xmlns:a="http://schemas.openxmlformats.org/drawingml/2006/main">
                  <a:graphicData uri="http://schemas.microsoft.com/office/word/2010/wordprocessingShape">
                    <wps:wsp>
                      <wps:cNvCnPr/>
                      <wps:spPr>
                        <a:xfrm rot="10800000">
                          <a:off x="2723570" y="3775687"/>
                          <a:ext cx="5244860" cy="8627"/>
                        </a:xfrm>
                        <a:prstGeom prst="straightConnector1">
                          <a:avLst/>
                        </a:prstGeom>
                        <a:noFill/>
                        <a:ln w="9525" cap="flat" cmpd="sng">
                          <a:solidFill>
                            <a:srgbClr val="BD4B48"/>
                          </a:solidFill>
                          <a:prstDash val="solid"/>
                          <a:round/>
                          <a:headEnd type="none" w="sm" len="sm"/>
                          <a:tailEnd type="none" w="sm" len="sm"/>
                        </a:ln>
                      </wps:spPr>
                      <wps:bodyPr/>
                    </wps:wsp>
                  </a:graphicData>
                </a:graphic>
              </wp:anchor>
            </w:drawing>
          </mc:Choice>
          <mc:Fallback>
            <w:pict>
              <v:shape w14:anchorId="1F720F50" id="Connecteur droit avec flèche 20" o:spid="_x0000_s1026" type="#_x0000_t32" style="position:absolute;margin-left:12pt;margin-top:43pt;width:413pt;height:1pt;rotation:180;z-index:251611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" strokecolor="#bd4b48">
                <v:stroke startarrowwidth="narrow" startarrowlength="short" endarrowwidth="narrow" endarrowlength="short"/>
              </v:shape>
            </w:pict>
          </mc:Fallback>
        </mc:AlternateContent>
      </w:r>
    </w:p>
    <w:p w:rsidR="00314B92" w:rsidRDefault="00AD5F81" w:rsidP="005D02C3">
      <w:pPr>
        <w:pStyle w:val="Normal1"/>
        <w:numPr>
          <w:ilvl w:val="0"/>
          <w:numId w:val="54"/>
        </w:numPr>
        <w:pBdr>
          <w:top w:val="nil"/>
          <w:left w:val="nil"/>
          <w:bottom w:val="nil"/>
          <w:right w:val="nil"/>
          <w:between w:val="nil"/>
        </w:pBdr>
        <w:spacing w:after="0"/>
        <w:jc w:val="both"/>
        <w:rPr>
          <w:i/>
          <w:color w:val="000000"/>
          <w:sz w:val="23"/>
          <w:szCs w:val="23"/>
        </w:rPr>
      </w:pPr>
      <w:r>
        <w:rPr>
          <w:i/>
          <w:color w:val="000000"/>
          <w:sz w:val="23"/>
          <w:szCs w:val="23"/>
        </w:rPr>
        <w:t xml:space="preserve">Insuffisance ou rupture de stock en intrants : </w:t>
      </w:r>
      <w:r>
        <w:rPr>
          <w:color w:val="000000"/>
          <w:sz w:val="23"/>
          <w:szCs w:val="23"/>
        </w:rPr>
        <w:t xml:space="preserve">Kits d’insertion et de retrait,…  </w:t>
      </w:r>
    </w:p>
    <w:p w:rsidR="00314B92" w:rsidRDefault="00AD5F81" w:rsidP="005D02C3">
      <w:pPr>
        <w:pStyle w:val="Normal1"/>
        <w:numPr>
          <w:ilvl w:val="0"/>
          <w:numId w:val="54"/>
        </w:numPr>
        <w:pBdr>
          <w:top w:val="nil"/>
          <w:left w:val="nil"/>
          <w:bottom w:val="nil"/>
          <w:right w:val="nil"/>
          <w:between w:val="nil"/>
        </w:pBdr>
        <w:spacing w:after="0"/>
        <w:jc w:val="both"/>
        <w:rPr>
          <w:i/>
          <w:color w:val="000000"/>
          <w:sz w:val="23"/>
          <w:szCs w:val="23"/>
        </w:rPr>
      </w:pPr>
      <w:r>
        <w:rPr>
          <w:i/>
          <w:color w:val="000000"/>
          <w:sz w:val="23"/>
          <w:szCs w:val="23"/>
        </w:rPr>
        <w:t>Insuffisance de l’offre au niveau communautaire (délégation des taches, auto-injection)</w:t>
      </w:r>
    </w:p>
    <w:p w:rsidR="00314B92" w:rsidRDefault="00AD5F81" w:rsidP="005D02C3">
      <w:pPr>
        <w:pStyle w:val="Normal1"/>
        <w:numPr>
          <w:ilvl w:val="0"/>
          <w:numId w:val="54"/>
        </w:numPr>
        <w:pBdr>
          <w:top w:val="nil"/>
          <w:left w:val="nil"/>
          <w:bottom w:val="nil"/>
          <w:right w:val="nil"/>
          <w:between w:val="nil"/>
        </w:pBdr>
        <w:spacing w:after="0"/>
        <w:jc w:val="both"/>
        <w:rPr>
          <w:i/>
          <w:color w:val="000000"/>
          <w:sz w:val="23"/>
          <w:szCs w:val="23"/>
        </w:rPr>
      </w:pPr>
      <w:r>
        <w:rPr>
          <w:i/>
          <w:color w:val="000000"/>
          <w:sz w:val="23"/>
          <w:szCs w:val="23"/>
        </w:rPr>
        <w:t>La qualité des prestations souffre d’insuffisance au niveau de</w:t>
      </w:r>
    </w:p>
    <w:p w:rsidR="00314B92" w:rsidRDefault="00AD5F81" w:rsidP="005D02C3">
      <w:pPr>
        <w:pStyle w:val="Normal1"/>
        <w:numPr>
          <w:ilvl w:val="0"/>
          <w:numId w:val="55"/>
        </w:numPr>
        <w:pBdr>
          <w:top w:val="nil"/>
          <w:left w:val="nil"/>
          <w:bottom w:val="nil"/>
          <w:right w:val="nil"/>
          <w:between w:val="nil"/>
        </w:pBdr>
        <w:spacing w:after="0"/>
        <w:jc w:val="both"/>
        <w:rPr>
          <w:color w:val="000000"/>
          <w:sz w:val="23"/>
          <w:szCs w:val="23"/>
        </w:rPr>
      </w:pPr>
      <w:r>
        <w:rPr>
          <w:color w:val="000000"/>
          <w:sz w:val="23"/>
          <w:szCs w:val="23"/>
        </w:rPr>
        <w:t>Respect des normes et protocoles</w:t>
      </w:r>
    </w:p>
    <w:p w:rsidR="00314B92" w:rsidRDefault="00AD5F81" w:rsidP="005D02C3">
      <w:pPr>
        <w:pStyle w:val="Normal1"/>
        <w:numPr>
          <w:ilvl w:val="0"/>
          <w:numId w:val="55"/>
        </w:numPr>
        <w:pBdr>
          <w:top w:val="nil"/>
          <w:left w:val="nil"/>
          <w:bottom w:val="nil"/>
          <w:right w:val="nil"/>
          <w:between w:val="nil"/>
        </w:pBdr>
        <w:spacing w:after="0"/>
        <w:jc w:val="both"/>
        <w:rPr>
          <w:color w:val="000000"/>
          <w:sz w:val="23"/>
          <w:szCs w:val="23"/>
        </w:rPr>
      </w:pPr>
      <w:r>
        <w:rPr>
          <w:color w:val="000000"/>
          <w:sz w:val="23"/>
          <w:szCs w:val="23"/>
        </w:rPr>
        <w:t>Sécurité du patient, gestion des déchets biomédicaux</w:t>
      </w:r>
    </w:p>
    <w:p w:rsidR="00314B92" w:rsidRDefault="00AD5F81" w:rsidP="005D02C3">
      <w:pPr>
        <w:pStyle w:val="Normal1"/>
        <w:numPr>
          <w:ilvl w:val="0"/>
          <w:numId w:val="55"/>
        </w:numPr>
        <w:pBdr>
          <w:top w:val="nil"/>
          <w:left w:val="nil"/>
          <w:bottom w:val="nil"/>
          <w:right w:val="nil"/>
          <w:between w:val="nil"/>
        </w:pBdr>
        <w:spacing w:after="0"/>
        <w:jc w:val="both"/>
        <w:rPr>
          <w:color w:val="000000"/>
          <w:sz w:val="23"/>
          <w:szCs w:val="23"/>
        </w:rPr>
      </w:pPr>
      <w:r>
        <w:rPr>
          <w:color w:val="000000"/>
          <w:sz w:val="23"/>
          <w:szCs w:val="23"/>
        </w:rPr>
        <w:t xml:space="preserve">Conditions de conservation et stockage des produits </w:t>
      </w:r>
    </w:p>
    <w:p w:rsidR="00314B92" w:rsidRDefault="00AD5F81" w:rsidP="005D02C3">
      <w:pPr>
        <w:pStyle w:val="Normal1"/>
        <w:numPr>
          <w:ilvl w:val="0"/>
          <w:numId w:val="54"/>
        </w:numPr>
        <w:pBdr>
          <w:top w:val="nil"/>
          <w:left w:val="nil"/>
          <w:bottom w:val="nil"/>
          <w:right w:val="nil"/>
          <w:between w:val="nil"/>
        </w:pBdr>
        <w:spacing w:after="0"/>
        <w:jc w:val="both"/>
        <w:rPr>
          <w:i/>
          <w:color w:val="000000"/>
          <w:sz w:val="23"/>
          <w:szCs w:val="23"/>
        </w:rPr>
      </w:pPr>
      <w:r>
        <w:rPr>
          <w:i/>
          <w:color w:val="000000"/>
          <w:sz w:val="23"/>
          <w:szCs w:val="23"/>
        </w:rPr>
        <w:t>La demande est entravée par</w:t>
      </w:r>
    </w:p>
    <w:p w:rsidR="00314B92" w:rsidRDefault="00AD5F81" w:rsidP="005D02C3">
      <w:pPr>
        <w:pStyle w:val="Normal1"/>
        <w:numPr>
          <w:ilvl w:val="0"/>
          <w:numId w:val="57"/>
        </w:numPr>
        <w:pBdr>
          <w:top w:val="nil"/>
          <w:left w:val="nil"/>
          <w:bottom w:val="nil"/>
          <w:right w:val="nil"/>
          <w:between w:val="nil"/>
        </w:pBdr>
        <w:spacing w:after="0"/>
        <w:jc w:val="both"/>
        <w:rPr>
          <w:color w:val="000000"/>
          <w:sz w:val="23"/>
          <w:szCs w:val="23"/>
        </w:rPr>
      </w:pPr>
      <w:r>
        <w:rPr>
          <w:color w:val="000000"/>
          <w:sz w:val="23"/>
          <w:szCs w:val="23"/>
        </w:rPr>
        <w:t>Insuffisance de l’information</w:t>
      </w:r>
    </w:p>
    <w:p w:rsidR="00314B92" w:rsidRDefault="00AD5F81" w:rsidP="005D02C3">
      <w:pPr>
        <w:pStyle w:val="Normal1"/>
        <w:numPr>
          <w:ilvl w:val="0"/>
          <w:numId w:val="57"/>
        </w:numPr>
        <w:pBdr>
          <w:top w:val="nil"/>
          <w:left w:val="nil"/>
          <w:bottom w:val="nil"/>
          <w:right w:val="nil"/>
          <w:between w:val="nil"/>
        </w:pBdr>
        <w:spacing w:after="0"/>
        <w:jc w:val="both"/>
        <w:rPr>
          <w:color w:val="000000"/>
          <w:sz w:val="23"/>
          <w:szCs w:val="23"/>
        </w:rPr>
      </w:pPr>
      <w:r>
        <w:rPr>
          <w:color w:val="000000"/>
          <w:sz w:val="23"/>
          <w:szCs w:val="23"/>
        </w:rPr>
        <w:t>Accessibilité géographique (disparité régionale)</w:t>
      </w:r>
    </w:p>
    <w:p w:rsidR="00314B92" w:rsidRDefault="00AD5F81" w:rsidP="005D02C3">
      <w:pPr>
        <w:pStyle w:val="Normal1"/>
        <w:numPr>
          <w:ilvl w:val="0"/>
          <w:numId w:val="57"/>
        </w:numPr>
        <w:pBdr>
          <w:top w:val="nil"/>
          <w:left w:val="nil"/>
          <w:bottom w:val="nil"/>
          <w:right w:val="nil"/>
          <w:between w:val="nil"/>
        </w:pBdr>
        <w:spacing w:after="0"/>
        <w:jc w:val="both"/>
        <w:rPr>
          <w:color w:val="000000"/>
          <w:sz w:val="23"/>
          <w:szCs w:val="23"/>
        </w:rPr>
      </w:pPr>
      <w:r>
        <w:rPr>
          <w:color w:val="000000"/>
          <w:sz w:val="23"/>
          <w:szCs w:val="23"/>
        </w:rPr>
        <w:t>Pesanteur des croyances socio-culturelles (Réticences des conjoints et belles-mères)</w:t>
      </w:r>
    </w:p>
    <w:p w:rsidR="00314B92" w:rsidRDefault="00AD5F81" w:rsidP="005D02C3">
      <w:pPr>
        <w:pStyle w:val="Normal1"/>
        <w:numPr>
          <w:ilvl w:val="0"/>
          <w:numId w:val="57"/>
        </w:numPr>
        <w:pBdr>
          <w:top w:val="nil"/>
          <w:left w:val="nil"/>
          <w:bottom w:val="nil"/>
          <w:right w:val="nil"/>
          <w:between w:val="nil"/>
        </w:pBdr>
        <w:spacing w:after="0"/>
        <w:jc w:val="both"/>
        <w:rPr>
          <w:color w:val="000000"/>
          <w:sz w:val="23"/>
          <w:szCs w:val="23"/>
        </w:rPr>
      </w:pPr>
      <w:r>
        <w:rPr>
          <w:color w:val="000000"/>
          <w:sz w:val="23"/>
          <w:szCs w:val="23"/>
        </w:rPr>
        <w:t>Accessibilité financière (coûts indirects,)</w:t>
      </w:r>
    </w:p>
    <w:p w:rsidR="00314B92" w:rsidRDefault="00AD5F81" w:rsidP="005D02C3">
      <w:pPr>
        <w:pStyle w:val="Normal1"/>
        <w:numPr>
          <w:ilvl w:val="0"/>
          <w:numId w:val="57"/>
        </w:numPr>
        <w:pBdr>
          <w:top w:val="nil"/>
          <w:left w:val="nil"/>
          <w:bottom w:val="nil"/>
          <w:right w:val="nil"/>
          <w:between w:val="nil"/>
        </w:pBdr>
        <w:spacing w:after="0"/>
        <w:jc w:val="both"/>
        <w:rPr>
          <w:color w:val="000000"/>
          <w:sz w:val="23"/>
          <w:szCs w:val="23"/>
        </w:rPr>
      </w:pPr>
      <w:r>
        <w:rPr>
          <w:color w:val="000000"/>
          <w:sz w:val="23"/>
          <w:szCs w:val="23"/>
        </w:rPr>
        <w:t>La faible implication de l’homme</w:t>
      </w:r>
    </w:p>
    <w:p w:rsidR="00314B92" w:rsidRDefault="00314B92">
      <w:pPr>
        <w:pStyle w:val="Normal1"/>
        <w:pBdr>
          <w:top w:val="nil"/>
          <w:left w:val="nil"/>
          <w:bottom w:val="nil"/>
          <w:right w:val="nil"/>
          <w:between w:val="nil"/>
        </w:pBdr>
        <w:spacing w:after="0"/>
        <w:ind w:left="720" w:hanging="720"/>
        <w:jc w:val="both"/>
        <w:rPr>
          <w:color w:val="000000"/>
          <w:sz w:val="23"/>
          <w:szCs w:val="23"/>
        </w:rPr>
      </w:pPr>
    </w:p>
    <w:p w:rsidR="00314B92" w:rsidRDefault="00AD5F81" w:rsidP="005D02C3">
      <w:pPr>
        <w:pStyle w:val="Normal1"/>
        <w:numPr>
          <w:ilvl w:val="2"/>
          <w:numId w:val="120"/>
        </w:numPr>
        <w:pBdr>
          <w:top w:val="nil"/>
          <w:left w:val="nil"/>
          <w:bottom w:val="nil"/>
          <w:right w:val="nil"/>
          <w:between w:val="nil"/>
        </w:pBdr>
        <w:spacing w:after="0" w:line="360" w:lineRule="auto"/>
        <w:jc w:val="both"/>
        <w:rPr>
          <w:smallCaps/>
          <w:color w:val="000000"/>
          <w:sz w:val="24"/>
          <w:szCs w:val="24"/>
        </w:rPr>
      </w:pPr>
      <w:bookmarkStart w:id="13" w:name="_35nkun2" w:colFirst="0" w:colLast="0"/>
      <w:bookmarkEnd w:id="13"/>
      <w:r>
        <w:rPr>
          <w:smallCaps/>
          <w:color w:val="000000"/>
          <w:sz w:val="24"/>
          <w:szCs w:val="24"/>
        </w:rPr>
        <w:t>ELIMINATION DE LA TRANSMISSION MÈRE-ENFANT DU VIH</w:t>
      </w:r>
    </w:p>
    <w:p w:rsidR="00314B92" w:rsidRDefault="00AD5F81" w:rsidP="005D02C3">
      <w:pPr>
        <w:pStyle w:val="Normal1"/>
        <w:numPr>
          <w:ilvl w:val="3"/>
          <w:numId w:val="120"/>
        </w:numPr>
        <w:pBdr>
          <w:top w:val="nil"/>
          <w:left w:val="nil"/>
          <w:bottom w:val="nil"/>
          <w:right w:val="nil"/>
          <w:between w:val="nil"/>
        </w:pBdr>
        <w:spacing w:after="0"/>
        <w:jc w:val="both"/>
        <w:rPr>
          <w:color w:val="000000"/>
          <w:sz w:val="23"/>
          <w:szCs w:val="23"/>
        </w:rPr>
      </w:pPr>
      <w:r>
        <w:rPr>
          <w:b/>
          <w:color w:val="000000"/>
          <w:sz w:val="23"/>
          <w:szCs w:val="23"/>
        </w:rPr>
        <w:t>Performances</w:t>
      </w:r>
    </w:p>
    <w:p w:rsidR="00314B92" w:rsidRDefault="00AD5F81">
      <w:pPr>
        <w:pStyle w:val="Normal1"/>
        <w:spacing w:line="360" w:lineRule="auto"/>
        <w:jc w:val="both"/>
        <w:rPr>
          <w:sz w:val="23"/>
          <w:szCs w:val="23"/>
        </w:rPr>
      </w:pPr>
      <w:r>
        <w:rPr>
          <w:sz w:val="23"/>
          <w:szCs w:val="23"/>
        </w:rPr>
        <w:t>Entre 201 et 2017, les indicateurs de la PTME ont dans l’ensemble connu une progression qui va de 2 à 28 points.</w:t>
      </w:r>
    </w:p>
    <w:p w:rsidR="00314B92" w:rsidRDefault="00AD5F81">
      <w:pPr>
        <w:pStyle w:val="Normal1"/>
        <w:spacing w:after="0" w:line="360" w:lineRule="auto"/>
        <w:jc w:val="both"/>
        <w:rPr>
          <w:sz w:val="23"/>
          <w:szCs w:val="23"/>
        </w:rPr>
      </w:pPr>
      <w:r>
        <w:rPr>
          <w:b/>
          <w:sz w:val="23"/>
          <w:szCs w:val="23"/>
        </w:rPr>
        <w:t>Tableau n°4 : Evolution des indicateurs de la PTME de 2010 à 2016 au Burkina Faso</w:t>
      </w:r>
    </w:p>
    <w:p w:rsidR="00314B92" w:rsidRDefault="00314B92">
      <w:pPr>
        <w:pStyle w:val="Normal1"/>
        <w:spacing w:after="160"/>
        <w:rPr>
          <w:rFonts w:ascii="Gisha" w:eastAsia="Gisha" w:hAnsi="Gisha" w:cs="Gisha"/>
          <w:sz w:val="6"/>
          <w:szCs w:val="6"/>
        </w:rPr>
      </w:pPr>
    </w:p>
    <w:tbl>
      <w:tblPr>
        <w:tblStyle w:val="ad"/>
        <w:tblW w:w="9106" w:type="dxa"/>
        <w:tblLayout w:type="fixed"/>
        <w:tblLook w:val="0400" w:firstRow="0" w:lastRow="0" w:firstColumn="0" w:lastColumn="0" w:noHBand="0" w:noVBand="1"/>
      </w:tblPr>
      <w:tblGrid>
        <w:gridCol w:w="4797"/>
        <w:gridCol w:w="426"/>
        <w:gridCol w:w="709"/>
        <w:gridCol w:w="567"/>
        <w:gridCol w:w="850"/>
        <w:gridCol w:w="443"/>
        <w:gridCol w:w="435"/>
        <w:gridCol w:w="435"/>
        <w:gridCol w:w="444"/>
      </w:tblGrid>
      <w:tr w:rsidR="00314B92">
        <w:trPr>
          <w:trHeight w:val="300"/>
        </w:trPr>
        <w:tc>
          <w:tcPr>
            <w:tcW w:w="4797" w:type="dxa"/>
            <w:tcBorders>
              <w:top w:val="single" w:sz="18" w:space="0" w:color="000000"/>
              <w:left w:val="single" w:sz="18" w:space="0" w:color="000000"/>
              <w:bottom w:val="single" w:sz="18" w:space="0" w:color="000000"/>
              <w:right w:val="single" w:sz="8" w:space="0" w:color="000000"/>
            </w:tcBorders>
            <w:shd w:val="clear" w:color="auto" w:fill="D9D9D9"/>
            <w:vAlign w:val="center"/>
          </w:tcPr>
          <w:p w:rsidR="00314B92" w:rsidRDefault="00AD5F81">
            <w:pPr>
              <w:pStyle w:val="Normal1"/>
              <w:spacing w:after="0"/>
              <w:jc w:val="center"/>
              <w:rPr>
                <w:b/>
                <w:sz w:val="20"/>
                <w:szCs w:val="20"/>
              </w:rPr>
            </w:pPr>
            <w:r>
              <w:rPr>
                <w:b/>
                <w:sz w:val="20"/>
                <w:szCs w:val="20"/>
              </w:rPr>
              <w:t>INDICATEURS</w:t>
            </w:r>
          </w:p>
        </w:tc>
        <w:tc>
          <w:tcPr>
            <w:tcW w:w="426" w:type="dxa"/>
            <w:tcBorders>
              <w:top w:val="single" w:sz="18" w:space="0" w:color="000000"/>
              <w:left w:val="nil"/>
              <w:bottom w:val="single" w:sz="18" w:space="0" w:color="000000"/>
              <w:right w:val="single" w:sz="8" w:space="0" w:color="000000"/>
            </w:tcBorders>
            <w:shd w:val="clear" w:color="auto" w:fill="D9D9D9"/>
            <w:vAlign w:val="center"/>
          </w:tcPr>
          <w:p w:rsidR="00314B92" w:rsidRDefault="00AD5F81">
            <w:pPr>
              <w:pStyle w:val="Normal1"/>
              <w:spacing w:after="0"/>
              <w:jc w:val="center"/>
              <w:rPr>
                <w:b/>
                <w:sz w:val="20"/>
                <w:szCs w:val="20"/>
              </w:rPr>
            </w:pPr>
            <w:r>
              <w:rPr>
                <w:b/>
                <w:sz w:val="20"/>
                <w:szCs w:val="20"/>
              </w:rPr>
              <w:t>2010</w:t>
            </w:r>
          </w:p>
        </w:tc>
        <w:tc>
          <w:tcPr>
            <w:tcW w:w="709" w:type="dxa"/>
            <w:tcBorders>
              <w:top w:val="single" w:sz="18" w:space="0" w:color="000000"/>
              <w:left w:val="nil"/>
              <w:bottom w:val="single" w:sz="18" w:space="0" w:color="000000"/>
              <w:right w:val="single" w:sz="8" w:space="0" w:color="000000"/>
            </w:tcBorders>
            <w:shd w:val="clear" w:color="auto" w:fill="D9D9D9"/>
            <w:vAlign w:val="center"/>
          </w:tcPr>
          <w:p w:rsidR="00314B92" w:rsidRDefault="00AD5F81">
            <w:pPr>
              <w:pStyle w:val="Normal1"/>
              <w:spacing w:after="0"/>
              <w:jc w:val="center"/>
              <w:rPr>
                <w:b/>
                <w:sz w:val="20"/>
                <w:szCs w:val="20"/>
              </w:rPr>
            </w:pPr>
            <w:r>
              <w:rPr>
                <w:b/>
                <w:sz w:val="20"/>
                <w:szCs w:val="20"/>
              </w:rPr>
              <w:t>2011</w:t>
            </w:r>
          </w:p>
        </w:tc>
        <w:tc>
          <w:tcPr>
            <w:tcW w:w="567" w:type="dxa"/>
            <w:tcBorders>
              <w:top w:val="single" w:sz="18" w:space="0" w:color="000000"/>
              <w:left w:val="nil"/>
              <w:bottom w:val="single" w:sz="18" w:space="0" w:color="000000"/>
              <w:right w:val="single" w:sz="8" w:space="0" w:color="000000"/>
            </w:tcBorders>
            <w:shd w:val="clear" w:color="auto" w:fill="D9D9D9"/>
            <w:vAlign w:val="center"/>
          </w:tcPr>
          <w:p w:rsidR="00314B92" w:rsidRDefault="00AD5F81">
            <w:pPr>
              <w:pStyle w:val="Normal1"/>
              <w:spacing w:after="0"/>
              <w:jc w:val="center"/>
              <w:rPr>
                <w:b/>
                <w:sz w:val="20"/>
                <w:szCs w:val="20"/>
              </w:rPr>
            </w:pPr>
            <w:r>
              <w:rPr>
                <w:b/>
                <w:sz w:val="20"/>
                <w:szCs w:val="20"/>
              </w:rPr>
              <w:t>2012</w:t>
            </w:r>
          </w:p>
        </w:tc>
        <w:tc>
          <w:tcPr>
            <w:tcW w:w="850" w:type="dxa"/>
            <w:tcBorders>
              <w:top w:val="single" w:sz="18" w:space="0" w:color="000000"/>
              <w:left w:val="nil"/>
              <w:bottom w:val="single" w:sz="18" w:space="0" w:color="000000"/>
              <w:right w:val="single" w:sz="8" w:space="0" w:color="000000"/>
            </w:tcBorders>
            <w:shd w:val="clear" w:color="auto" w:fill="D9D9D9"/>
            <w:vAlign w:val="center"/>
          </w:tcPr>
          <w:p w:rsidR="00314B92" w:rsidRDefault="00AD5F81">
            <w:pPr>
              <w:pStyle w:val="Normal1"/>
              <w:spacing w:after="0"/>
              <w:jc w:val="center"/>
              <w:rPr>
                <w:b/>
                <w:sz w:val="20"/>
                <w:szCs w:val="20"/>
              </w:rPr>
            </w:pPr>
            <w:r>
              <w:rPr>
                <w:b/>
                <w:sz w:val="20"/>
                <w:szCs w:val="20"/>
              </w:rPr>
              <w:t>2013</w:t>
            </w:r>
          </w:p>
        </w:tc>
        <w:tc>
          <w:tcPr>
            <w:tcW w:w="443" w:type="dxa"/>
            <w:tcBorders>
              <w:top w:val="single" w:sz="18" w:space="0" w:color="000000"/>
              <w:left w:val="nil"/>
              <w:bottom w:val="single" w:sz="18" w:space="0" w:color="000000"/>
              <w:right w:val="single" w:sz="8" w:space="0" w:color="000000"/>
            </w:tcBorders>
            <w:shd w:val="clear" w:color="auto" w:fill="D9D9D9"/>
            <w:vAlign w:val="center"/>
          </w:tcPr>
          <w:p w:rsidR="00314B92" w:rsidRDefault="00AD5F81">
            <w:pPr>
              <w:pStyle w:val="Normal1"/>
              <w:spacing w:after="0"/>
              <w:jc w:val="center"/>
              <w:rPr>
                <w:b/>
                <w:sz w:val="20"/>
                <w:szCs w:val="20"/>
              </w:rPr>
            </w:pPr>
            <w:r>
              <w:rPr>
                <w:b/>
                <w:sz w:val="20"/>
                <w:szCs w:val="20"/>
              </w:rPr>
              <w:t>2014</w:t>
            </w:r>
          </w:p>
        </w:tc>
        <w:tc>
          <w:tcPr>
            <w:tcW w:w="435" w:type="dxa"/>
            <w:tcBorders>
              <w:top w:val="single" w:sz="18" w:space="0" w:color="000000"/>
              <w:left w:val="nil"/>
              <w:bottom w:val="single" w:sz="18" w:space="0" w:color="000000"/>
              <w:right w:val="single" w:sz="8" w:space="0" w:color="000000"/>
            </w:tcBorders>
            <w:shd w:val="clear" w:color="auto" w:fill="D9D9D9"/>
            <w:vAlign w:val="center"/>
          </w:tcPr>
          <w:p w:rsidR="00314B92" w:rsidRDefault="00AD5F81">
            <w:pPr>
              <w:pStyle w:val="Normal1"/>
              <w:spacing w:after="0"/>
              <w:jc w:val="center"/>
              <w:rPr>
                <w:b/>
                <w:sz w:val="20"/>
                <w:szCs w:val="20"/>
              </w:rPr>
            </w:pPr>
            <w:r>
              <w:rPr>
                <w:b/>
                <w:sz w:val="20"/>
                <w:szCs w:val="20"/>
              </w:rPr>
              <w:t>2015</w:t>
            </w:r>
          </w:p>
        </w:tc>
        <w:tc>
          <w:tcPr>
            <w:tcW w:w="435" w:type="dxa"/>
            <w:tcBorders>
              <w:top w:val="single" w:sz="18" w:space="0" w:color="000000"/>
              <w:left w:val="single" w:sz="8" w:space="0" w:color="000000"/>
              <w:bottom w:val="single" w:sz="18" w:space="0" w:color="000000"/>
              <w:right w:val="single" w:sz="6" w:space="0" w:color="000000"/>
            </w:tcBorders>
            <w:shd w:val="clear" w:color="auto" w:fill="D9D9D9"/>
            <w:vAlign w:val="center"/>
          </w:tcPr>
          <w:p w:rsidR="00314B92" w:rsidRDefault="00AD5F81">
            <w:pPr>
              <w:pStyle w:val="Normal1"/>
              <w:spacing w:after="0"/>
              <w:jc w:val="center"/>
              <w:rPr>
                <w:b/>
                <w:sz w:val="20"/>
                <w:szCs w:val="20"/>
              </w:rPr>
            </w:pPr>
            <w:r>
              <w:rPr>
                <w:b/>
                <w:sz w:val="20"/>
                <w:szCs w:val="20"/>
              </w:rPr>
              <w:t>2016</w:t>
            </w:r>
          </w:p>
        </w:tc>
        <w:tc>
          <w:tcPr>
            <w:tcW w:w="444" w:type="dxa"/>
            <w:tcBorders>
              <w:top w:val="single" w:sz="18" w:space="0" w:color="000000"/>
              <w:left w:val="single" w:sz="6" w:space="0" w:color="000000"/>
              <w:bottom w:val="single" w:sz="18" w:space="0" w:color="000000"/>
              <w:right w:val="single" w:sz="18" w:space="0" w:color="000000"/>
            </w:tcBorders>
            <w:shd w:val="clear" w:color="auto" w:fill="D9D9D9"/>
          </w:tcPr>
          <w:p w:rsidR="00314B92" w:rsidRDefault="00AD5F81">
            <w:pPr>
              <w:pStyle w:val="Normal1"/>
              <w:spacing w:after="0"/>
              <w:jc w:val="center"/>
              <w:rPr>
                <w:b/>
                <w:sz w:val="20"/>
                <w:szCs w:val="20"/>
              </w:rPr>
            </w:pPr>
            <w:r>
              <w:rPr>
                <w:b/>
                <w:sz w:val="20"/>
                <w:szCs w:val="20"/>
              </w:rPr>
              <w:t>2017</w:t>
            </w:r>
          </w:p>
        </w:tc>
      </w:tr>
      <w:tr w:rsidR="00314B92">
        <w:trPr>
          <w:trHeight w:val="60"/>
        </w:trPr>
        <w:tc>
          <w:tcPr>
            <w:tcW w:w="4797" w:type="dxa"/>
            <w:tcBorders>
              <w:top w:val="single" w:sz="18" w:space="0" w:color="000000"/>
              <w:left w:val="single" w:sz="18" w:space="0" w:color="000000"/>
              <w:bottom w:val="single" w:sz="4" w:space="0" w:color="000000"/>
              <w:right w:val="single" w:sz="4" w:space="0" w:color="000000"/>
            </w:tcBorders>
            <w:shd w:val="clear" w:color="auto" w:fill="auto"/>
            <w:vAlign w:val="center"/>
          </w:tcPr>
          <w:p w:rsidR="00314B92" w:rsidRDefault="00AD5F81">
            <w:pPr>
              <w:pStyle w:val="Normal1"/>
              <w:spacing w:after="0"/>
              <w:rPr>
                <w:sz w:val="20"/>
                <w:szCs w:val="20"/>
              </w:rPr>
            </w:pPr>
            <w:r>
              <w:rPr>
                <w:sz w:val="20"/>
                <w:szCs w:val="20"/>
              </w:rPr>
              <w:t>Proportion d’enfants ayant reçu le traitement ARV pour la prévention (%)</w:t>
            </w:r>
          </w:p>
        </w:tc>
        <w:tc>
          <w:tcPr>
            <w:tcW w:w="426" w:type="dxa"/>
            <w:tcBorders>
              <w:top w:val="single" w:sz="18"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93</w:t>
            </w:r>
          </w:p>
        </w:tc>
        <w:tc>
          <w:tcPr>
            <w:tcW w:w="709" w:type="dxa"/>
            <w:tcBorders>
              <w:top w:val="single" w:sz="18"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94</w:t>
            </w:r>
          </w:p>
        </w:tc>
        <w:tc>
          <w:tcPr>
            <w:tcW w:w="567" w:type="dxa"/>
            <w:tcBorders>
              <w:top w:val="single" w:sz="18"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63</w:t>
            </w:r>
          </w:p>
        </w:tc>
        <w:tc>
          <w:tcPr>
            <w:tcW w:w="850" w:type="dxa"/>
            <w:tcBorders>
              <w:top w:val="single" w:sz="18"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59</w:t>
            </w:r>
          </w:p>
        </w:tc>
        <w:tc>
          <w:tcPr>
            <w:tcW w:w="443" w:type="dxa"/>
            <w:tcBorders>
              <w:top w:val="single" w:sz="18"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66</w:t>
            </w:r>
          </w:p>
        </w:tc>
        <w:tc>
          <w:tcPr>
            <w:tcW w:w="435" w:type="dxa"/>
            <w:tcBorders>
              <w:top w:val="single" w:sz="18"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74</w:t>
            </w:r>
          </w:p>
        </w:tc>
        <w:tc>
          <w:tcPr>
            <w:tcW w:w="435" w:type="dxa"/>
            <w:tcBorders>
              <w:top w:val="single" w:sz="18" w:space="0" w:color="000000"/>
              <w:left w:val="nil"/>
              <w:bottom w:val="single" w:sz="4" w:space="0" w:color="000000"/>
              <w:right w:val="single" w:sz="6"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89</w:t>
            </w:r>
          </w:p>
        </w:tc>
        <w:tc>
          <w:tcPr>
            <w:tcW w:w="444" w:type="dxa"/>
            <w:tcBorders>
              <w:top w:val="single" w:sz="18" w:space="0" w:color="000000"/>
              <w:left w:val="single" w:sz="6" w:space="0" w:color="000000"/>
              <w:bottom w:val="single" w:sz="4" w:space="0" w:color="000000"/>
              <w:right w:val="single" w:sz="18" w:space="0" w:color="000000"/>
            </w:tcBorders>
            <w:vAlign w:val="center"/>
          </w:tcPr>
          <w:p w:rsidR="00314B92" w:rsidRDefault="00AD5F81">
            <w:pPr>
              <w:pStyle w:val="Normal1"/>
              <w:spacing w:after="0"/>
              <w:jc w:val="center"/>
              <w:rPr>
                <w:sz w:val="20"/>
                <w:szCs w:val="20"/>
              </w:rPr>
            </w:pPr>
            <w:r>
              <w:rPr>
                <w:sz w:val="20"/>
                <w:szCs w:val="20"/>
              </w:rPr>
              <w:t>93</w:t>
            </w:r>
          </w:p>
        </w:tc>
      </w:tr>
      <w:tr w:rsidR="00314B92">
        <w:trPr>
          <w:trHeight w:val="60"/>
        </w:trPr>
        <w:tc>
          <w:tcPr>
            <w:tcW w:w="4797" w:type="dxa"/>
            <w:tcBorders>
              <w:top w:val="single" w:sz="4" w:space="0" w:color="000000"/>
              <w:left w:val="single" w:sz="18" w:space="0" w:color="000000"/>
              <w:bottom w:val="single" w:sz="4" w:space="0" w:color="000000"/>
              <w:right w:val="single" w:sz="4" w:space="0" w:color="000000"/>
            </w:tcBorders>
            <w:shd w:val="clear" w:color="auto" w:fill="EBF1DD"/>
            <w:vAlign w:val="center"/>
          </w:tcPr>
          <w:p w:rsidR="00314B92" w:rsidRDefault="00AD5F81">
            <w:pPr>
              <w:pStyle w:val="Normal1"/>
              <w:spacing w:after="0"/>
              <w:rPr>
                <w:sz w:val="20"/>
                <w:szCs w:val="20"/>
              </w:rPr>
            </w:pPr>
            <w:r>
              <w:rPr>
                <w:sz w:val="20"/>
                <w:szCs w:val="20"/>
              </w:rPr>
              <w:t>% de formations sanitaires offrant des services PTME </w:t>
            </w:r>
          </w:p>
        </w:tc>
        <w:tc>
          <w:tcPr>
            <w:tcW w:w="426"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92</w:t>
            </w:r>
          </w:p>
        </w:tc>
        <w:tc>
          <w:tcPr>
            <w:tcW w:w="709"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97</w:t>
            </w:r>
          </w:p>
        </w:tc>
        <w:tc>
          <w:tcPr>
            <w:tcW w:w="567"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97</w:t>
            </w:r>
          </w:p>
        </w:tc>
        <w:tc>
          <w:tcPr>
            <w:tcW w:w="850"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98</w:t>
            </w:r>
          </w:p>
        </w:tc>
        <w:tc>
          <w:tcPr>
            <w:tcW w:w="443"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98</w:t>
            </w:r>
          </w:p>
        </w:tc>
        <w:tc>
          <w:tcPr>
            <w:tcW w:w="435"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98</w:t>
            </w:r>
          </w:p>
        </w:tc>
        <w:tc>
          <w:tcPr>
            <w:tcW w:w="435" w:type="dxa"/>
            <w:tcBorders>
              <w:top w:val="single" w:sz="4" w:space="0" w:color="000000"/>
              <w:left w:val="nil"/>
              <w:bottom w:val="single" w:sz="4" w:space="0" w:color="000000"/>
              <w:right w:val="single" w:sz="6"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98</w:t>
            </w:r>
          </w:p>
        </w:tc>
        <w:tc>
          <w:tcPr>
            <w:tcW w:w="444" w:type="dxa"/>
            <w:tcBorders>
              <w:top w:val="single" w:sz="4" w:space="0" w:color="000000"/>
              <w:left w:val="single" w:sz="6" w:space="0" w:color="000000"/>
              <w:bottom w:val="single" w:sz="4" w:space="0" w:color="000000"/>
              <w:right w:val="single" w:sz="18" w:space="0" w:color="000000"/>
            </w:tcBorders>
            <w:shd w:val="clear" w:color="auto" w:fill="EBF1DD"/>
            <w:vAlign w:val="center"/>
          </w:tcPr>
          <w:p w:rsidR="00314B92" w:rsidRDefault="00AD5F81">
            <w:pPr>
              <w:pStyle w:val="Normal1"/>
              <w:spacing w:after="0"/>
              <w:jc w:val="center"/>
              <w:rPr>
                <w:sz w:val="20"/>
                <w:szCs w:val="20"/>
              </w:rPr>
            </w:pPr>
            <w:r>
              <w:rPr>
                <w:sz w:val="20"/>
                <w:szCs w:val="20"/>
              </w:rPr>
              <w:t>98</w:t>
            </w:r>
          </w:p>
        </w:tc>
      </w:tr>
      <w:tr w:rsidR="00314B92">
        <w:trPr>
          <w:trHeight w:val="60"/>
        </w:trPr>
        <w:tc>
          <w:tcPr>
            <w:tcW w:w="4797" w:type="dxa"/>
            <w:tcBorders>
              <w:top w:val="single" w:sz="4" w:space="0" w:color="000000"/>
              <w:left w:val="single" w:sz="18" w:space="0" w:color="000000"/>
              <w:bottom w:val="single" w:sz="4" w:space="0" w:color="000000"/>
              <w:right w:val="single" w:sz="4" w:space="0" w:color="000000"/>
            </w:tcBorders>
            <w:shd w:val="clear" w:color="auto" w:fill="EBF1DD"/>
            <w:vAlign w:val="center"/>
          </w:tcPr>
          <w:p w:rsidR="00314B92" w:rsidRDefault="00AD5F81">
            <w:pPr>
              <w:pStyle w:val="Normal1"/>
              <w:spacing w:after="0"/>
              <w:rPr>
                <w:sz w:val="20"/>
                <w:szCs w:val="20"/>
              </w:rPr>
            </w:pPr>
            <w:r>
              <w:rPr>
                <w:sz w:val="20"/>
                <w:szCs w:val="20"/>
              </w:rPr>
              <w:t>Taux de transmission résiduelle du VIH (TME) de la mère à l’enfant (%)</w:t>
            </w:r>
          </w:p>
        </w:tc>
        <w:tc>
          <w:tcPr>
            <w:tcW w:w="426"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8</w:t>
            </w:r>
          </w:p>
        </w:tc>
        <w:tc>
          <w:tcPr>
            <w:tcW w:w="709"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ND</w:t>
            </w:r>
          </w:p>
        </w:tc>
        <w:tc>
          <w:tcPr>
            <w:tcW w:w="567"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6</w:t>
            </w:r>
          </w:p>
        </w:tc>
        <w:tc>
          <w:tcPr>
            <w:tcW w:w="850"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6</w:t>
            </w:r>
          </w:p>
        </w:tc>
        <w:tc>
          <w:tcPr>
            <w:tcW w:w="443"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5</w:t>
            </w:r>
          </w:p>
        </w:tc>
        <w:tc>
          <w:tcPr>
            <w:tcW w:w="435"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6</w:t>
            </w:r>
          </w:p>
        </w:tc>
        <w:tc>
          <w:tcPr>
            <w:tcW w:w="435" w:type="dxa"/>
            <w:tcBorders>
              <w:top w:val="single" w:sz="4" w:space="0" w:color="000000"/>
              <w:left w:val="nil"/>
              <w:bottom w:val="single" w:sz="4" w:space="0" w:color="000000"/>
              <w:right w:val="single" w:sz="6"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8</w:t>
            </w:r>
          </w:p>
        </w:tc>
        <w:tc>
          <w:tcPr>
            <w:tcW w:w="444" w:type="dxa"/>
            <w:tcBorders>
              <w:top w:val="single" w:sz="4" w:space="0" w:color="000000"/>
              <w:left w:val="single" w:sz="6" w:space="0" w:color="000000"/>
              <w:bottom w:val="single" w:sz="4" w:space="0" w:color="000000"/>
              <w:right w:val="single" w:sz="18" w:space="0" w:color="000000"/>
            </w:tcBorders>
            <w:shd w:val="clear" w:color="auto" w:fill="EBF1DD"/>
            <w:vAlign w:val="center"/>
          </w:tcPr>
          <w:p w:rsidR="00314B92" w:rsidRDefault="00AD5F81">
            <w:pPr>
              <w:pStyle w:val="Normal1"/>
              <w:spacing w:after="0"/>
              <w:jc w:val="center"/>
              <w:rPr>
                <w:sz w:val="20"/>
                <w:szCs w:val="20"/>
              </w:rPr>
            </w:pPr>
            <w:r>
              <w:rPr>
                <w:sz w:val="20"/>
                <w:szCs w:val="20"/>
              </w:rPr>
              <w:t>6</w:t>
            </w:r>
          </w:p>
        </w:tc>
      </w:tr>
      <w:tr w:rsidR="00314B92">
        <w:trPr>
          <w:trHeight w:val="60"/>
        </w:trPr>
        <w:tc>
          <w:tcPr>
            <w:tcW w:w="4797" w:type="dxa"/>
            <w:tcBorders>
              <w:top w:val="single" w:sz="4" w:space="0" w:color="000000"/>
              <w:left w:val="single" w:sz="18" w:space="0" w:color="000000"/>
              <w:bottom w:val="single" w:sz="4" w:space="0" w:color="000000"/>
              <w:right w:val="single" w:sz="4" w:space="0" w:color="000000"/>
            </w:tcBorders>
            <w:shd w:val="clear" w:color="auto" w:fill="auto"/>
            <w:vAlign w:val="center"/>
          </w:tcPr>
          <w:p w:rsidR="00314B92" w:rsidRDefault="00AD5F81">
            <w:pPr>
              <w:pStyle w:val="Normal1"/>
              <w:spacing w:after="0"/>
              <w:rPr>
                <w:sz w:val="20"/>
                <w:szCs w:val="20"/>
              </w:rPr>
            </w:pPr>
            <w:r>
              <w:rPr>
                <w:sz w:val="20"/>
                <w:szCs w:val="20"/>
              </w:rPr>
              <w:t>% de femmes enceintes vues en CPN qui ont fait le dépistage</w:t>
            </w:r>
          </w:p>
        </w:tc>
        <w:tc>
          <w:tcPr>
            <w:tcW w:w="426" w:type="dxa"/>
            <w:tcBorders>
              <w:top w:val="single" w:sz="4" w:space="0" w:color="000000"/>
              <w:left w:val="nil"/>
              <w:bottom w:val="single" w:sz="4" w:space="0" w:color="000000"/>
              <w:right w:val="single" w:sz="4" w:space="0" w:color="000000"/>
            </w:tcBorders>
            <w:shd w:val="clear" w:color="auto" w:fill="FFFFFF"/>
            <w:tcMar>
              <w:right w:w="28" w:type="dxa"/>
            </w:tcMar>
            <w:vAlign w:val="center"/>
          </w:tcPr>
          <w:p w:rsidR="00314B92" w:rsidRDefault="00AD5F81">
            <w:pPr>
              <w:pStyle w:val="Normal1"/>
              <w:spacing w:after="0"/>
              <w:jc w:val="center"/>
              <w:rPr>
                <w:sz w:val="20"/>
                <w:szCs w:val="20"/>
              </w:rPr>
            </w:pPr>
            <w:r>
              <w:rPr>
                <w:sz w:val="20"/>
                <w:szCs w:val="20"/>
              </w:rPr>
              <w:t>56</w:t>
            </w:r>
          </w:p>
        </w:tc>
        <w:tc>
          <w:tcPr>
            <w:tcW w:w="709" w:type="dxa"/>
            <w:tcBorders>
              <w:top w:val="single" w:sz="4"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67</w:t>
            </w:r>
          </w:p>
        </w:tc>
        <w:tc>
          <w:tcPr>
            <w:tcW w:w="567" w:type="dxa"/>
            <w:tcBorders>
              <w:top w:val="single" w:sz="4"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71</w:t>
            </w:r>
          </w:p>
        </w:tc>
        <w:tc>
          <w:tcPr>
            <w:tcW w:w="850" w:type="dxa"/>
            <w:tcBorders>
              <w:top w:val="single" w:sz="4"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82</w:t>
            </w:r>
          </w:p>
        </w:tc>
        <w:tc>
          <w:tcPr>
            <w:tcW w:w="443" w:type="dxa"/>
            <w:tcBorders>
              <w:top w:val="single" w:sz="4" w:space="0" w:color="000000"/>
              <w:left w:val="nil"/>
              <w:bottom w:val="single" w:sz="4"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86</w:t>
            </w:r>
          </w:p>
        </w:tc>
        <w:tc>
          <w:tcPr>
            <w:tcW w:w="435" w:type="dxa"/>
            <w:tcBorders>
              <w:top w:val="single" w:sz="4" w:space="0" w:color="000000"/>
              <w:left w:val="nil"/>
              <w:bottom w:val="single" w:sz="4" w:space="0" w:color="000000"/>
              <w:right w:val="single" w:sz="4" w:space="0" w:color="000000"/>
            </w:tcBorders>
            <w:shd w:val="clear" w:color="auto" w:fill="FFFFFF"/>
            <w:tcMar>
              <w:right w:w="28" w:type="dxa"/>
            </w:tcMar>
            <w:vAlign w:val="center"/>
          </w:tcPr>
          <w:p w:rsidR="00314B92" w:rsidRDefault="00AD5F81">
            <w:pPr>
              <w:pStyle w:val="Normal1"/>
              <w:spacing w:after="0"/>
              <w:jc w:val="center"/>
              <w:rPr>
                <w:sz w:val="20"/>
                <w:szCs w:val="20"/>
              </w:rPr>
            </w:pPr>
            <w:r>
              <w:rPr>
                <w:sz w:val="20"/>
                <w:szCs w:val="20"/>
              </w:rPr>
              <w:t>86</w:t>
            </w:r>
          </w:p>
        </w:tc>
        <w:tc>
          <w:tcPr>
            <w:tcW w:w="435" w:type="dxa"/>
            <w:tcBorders>
              <w:top w:val="single" w:sz="4" w:space="0" w:color="000000"/>
              <w:left w:val="nil"/>
              <w:bottom w:val="single" w:sz="4" w:space="0" w:color="000000"/>
              <w:right w:val="single" w:sz="6"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85</w:t>
            </w:r>
          </w:p>
        </w:tc>
        <w:tc>
          <w:tcPr>
            <w:tcW w:w="444" w:type="dxa"/>
            <w:tcBorders>
              <w:top w:val="single" w:sz="4" w:space="0" w:color="000000"/>
              <w:left w:val="single" w:sz="6" w:space="0" w:color="000000"/>
              <w:bottom w:val="single" w:sz="4" w:space="0" w:color="000000"/>
              <w:right w:val="single" w:sz="18" w:space="0" w:color="000000"/>
            </w:tcBorders>
            <w:vAlign w:val="center"/>
          </w:tcPr>
          <w:p w:rsidR="00314B92" w:rsidRDefault="00AD5F81">
            <w:pPr>
              <w:pStyle w:val="Normal1"/>
              <w:spacing w:after="0"/>
              <w:jc w:val="center"/>
              <w:rPr>
                <w:sz w:val="20"/>
                <w:szCs w:val="20"/>
              </w:rPr>
            </w:pPr>
            <w:r>
              <w:rPr>
                <w:sz w:val="20"/>
                <w:szCs w:val="20"/>
              </w:rPr>
              <w:t>84</w:t>
            </w:r>
          </w:p>
        </w:tc>
      </w:tr>
      <w:tr w:rsidR="00314B92">
        <w:trPr>
          <w:trHeight w:val="60"/>
        </w:trPr>
        <w:tc>
          <w:tcPr>
            <w:tcW w:w="4797" w:type="dxa"/>
            <w:tcBorders>
              <w:top w:val="single" w:sz="4" w:space="0" w:color="000000"/>
              <w:left w:val="single" w:sz="18" w:space="0" w:color="000000"/>
              <w:bottom w:val="single" w:sz="4" w:space="0" w:color="000000"/>
              <w:right w:val="single" w:sz="4" w:space="0" w:color="000000"/>
            </w:tcBorders>
            <w:shd w:val="clear" w:color="auto" w:fill="EBF1DD"/>
            <w:vAlign w:val="center"/>
          </w:tcPr>
          <w:p w:rsidR="00314B92" w:rsidRDefault="00AD5F81">
            <w:pPr>
              <w:pStyle w:val="Normal1"/>
              <w:spacing w:after="0"/>
              <w:rPr>
                <w:sz w:val="20"/>
                <w:szCs w:val="20"/>
              </w:rPr>
            </w:pPr>
            <w:r>
              <w:rPr>
                <w:sz w:val="20"/>
                <w:szCs w:val="20"/>
              </w:rPr>
              <w:t>Proportion de femmes enceintes dépistées séropositives qui ont bénéficié d’un comptage de CD4  (%)</w:t>
            </w:r>
          </w:p>
        </w:tc>
        <w:tc>
          <w:tcPr>
            <w:tcW w:w="426"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20</w:t>
            </w:r>
          </w:p>
        </w:tc>
        <w:tc>
          <w:tcPr>
            <w:tcW w:w="709"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16</w:t>
            </w:r>
          </w:p>
        </w:tc>
        <w:tc>
          <w:tcPr>
            <w:tcW w:w="567"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14</w:t>
            </w:r>
          </w:p>
        </w:tc>
        <w:tc>
          <w:tcPr>
            <w:tcW w:w="850"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16</w:t>
            </w:r>
          </w:p>
        </w:tc>
        <w:tc>
          <w:tcPr>
            <w:tcW w:w="443"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22</w:t>
            </w:r>
          </w:p>
        </w:tc>
        <w:tc>
          <w:tcPr>
            <w:tcW w:w="435" w:type="dxa"/>
            <w:tcBorders>
              <w:top w:val="single" w:sz="4" w:space="0" w:color="000000"/>
              <w:left w:val="nil"/>
              <w:bottom w:val="single" w:sz="4" w:space="0" w:color="000000"/>
              <w:right w:val="single" w:sz="4"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51</w:t>
            </w:r>
          </w:p>
        </w:tc>
        <w:tc>
          <w:tcPr>
            <w:tcW w:w="435" w:type="dxa"/>
            <w:tcBorders>
              <w:top w:val="single" w:sz="4" w:space="0" w:color="000000"/>
              <w:left w:val="nil"/>
              <w:bottom w:val="single" w:sz="4" w:space="0" w:color="000000"/>
              <w:right w:val="single" w:sz="6" w:space="0" w:color="000000"/>
            </w:tcBorders>
            <w:shd w:val="clear" w:color="auto" w:fill="EBF1DD"/>
            <w:tcMar>
              <w:right w:w="28" w:type="dxa"/>
            </w:tcMar>
            <w:vAlign w:val="center"/>
          </w:tcPr>
          <w:p w:rsidR="00314B92" w:rsidRDefault="00AD5F81">
            <w:pPr>
              <w:pStyle w:val="Normal1"/>
              <w:spacing w:after="0"/>
              <w:jc w:val="center"/>
              <w:rPr>
                <w:sz w:val="20"/>
                <w:szCs w:val="20"/>
              </w:rPr>
            </w:pPr>
            <w:r>
              <w:rPr>
                <w:sz w:val="20"/>
                <w:szCs w:val="20"/>
              </w:rPr>
              <w:t>11</w:t>
            </w:r>
          </w:p>
        </w:tc>
        <w:tc>
          <w:tcPr>
            <w:tcW w:w="444" w:type="dxa"/>
            <w:tcBorders>
              <w:top w:val="single" w:sz="4" w:space="0" w:color="000000"/>
              <w:left w:val="single" w:sz="6" w:space="0" w:color="000000"/>
              <w:bottom w:val="single" w:sz="4" w:space="0" w:color="000000"/>
              <w:right w:val="single" w:sz="18" w:space="0" w:color="000000"/>
            </w:tcBorders>
            <w:shd w:val="clear" w:color="auto" w:fill="EBF1DD"/>
            <w:vAlign w:val="center"/>
          </w:tcPr>
          <w:p w:rsidR="00314B92" w:rsidRDefault="00AD5F81">
            <w:pPr>
              <w:pStyle w:val="Normal1"/>
              <w:spacing w:after="0"/>
              <w:jc w:val="center"/>
              <w:rPr>
                <w:sz w:val="20"/>
                <w:szCs w:val="20"/>
              </w:rPr>
            </w:pPr>
            <w:r>
              <w:rPr>
                <w:sz w:val="20"/>
                <w:szCs w:val="20"/>
              </w:rPr>
              <w:t>17</w:t>
            </w:r>
          </w:p>
        </w:tc>
      </w:tr>
      <w:tr w:rsidR="00314B92">
        <w:trPr>
          <w:trHeight w:val="60"/>
        </w:trPr>
        <w:tc>
          <w:tcPr>
            <w:tcW w:w="4797" w:type="dxa"/>
            <w:tcBorders>
              <w:top w:val="single" w:sz="4" w:space="0" w:color="000000"/>
              <w:left w:val="single" w:sz="18" w:space="0" w:color="000000"/>
              <w:bottom w:val="single" w:sz="18" w:space="0" w:color="000000"/>
              <w:right w:val="single" w:sz="4" w:space="0" w:color="000000"/>
            </w:tcBorders>
            <w:shd w:val="clear" w:color="auto" w:fill="auto"/>
            <w:vAlign w:val="center"/>
          </w:tcPr>
          <w:p w:rsidR="00314B92" w:rsidRDefault="00AD5F81">
            <w:pPr>
              <w:pStyle w:val="Normal1"/>
              <w:spacing w:after="0"/>
              <w:rPr>
                <w:sz w:val="20"/>
                <w:szCs w:val="20"/>
              </w:rPr>
            </w:pPr>
            <w:r>
              <w:rPr>
                <w:sz w:val="20"/>
                <w:szCs w:val="20"/>
              </w:rPr>
              <w:t xml:space="preserve">% de femmes enceintes séropositives à qui on a administré des ARV pour réduire le risque de transmission mère-enfant </w:t>
            </w:r>
          </w:p>
        </w:tc>
        <w:tc>
          <w:tcPr>
            <w:tcW w:w="426" w:type="dxa"/>
            <w:tcBorders>
              <w:top w:val="single" w:sz="4" w:space="0" w:color="000000"/>
              <w:left w:val="nil"/>
              <w:bottom w:val="single" w:sz="18" w:space="0" w:color="000000"/>
              <w:right w:val="single" w:sz="4" w:space="0" w:color="000000"/>
            </w:tcBorders>
            <w:shd w:val="clear" w:color="auto" w:fill="FFFFFF"/>
            <w:tcMar>
              <w:right w:w="28" w:type="dxa"/>
            </w:tcMar>
            <w:vAlign w:val="center"/>
          </w:tcPr>
          <w:p w:rsidR="00314B92" w:rsidRDefault="00AD5F81">
            <w:pPr>
              <w:pStyle w:val="Normal1"/>
              <w:spacing w:after="0"/>
              <w:jc w:val="center"/>
              <w:rPr>
                <w:sz w:val="20"/>
                <w:szCs w:val="20"/>
              </w:rPr>
            </w:pPr>
            <w:r>
              <w:rPr>
                <w:sz w:val="20"/>
                <w:szCs w:val="20"/>
              </w:rPr>
              <w:t>90</w:t>
            </w:r>
          </w:p>
        </w:tc>
        <w:tc>
          <w:tcPr>
            <w:tcW w:w="709" w:type="dxa"/>
            <w:tcBorders>
              <w:top w:val="single" w:sz="4" w:space="0" w:color="000000"/>
              <w:left w:val="nil"/>
              <w:bottom w:val="single" w:sz="18"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91</w:t>
            </w:r>
          </w:p>
        </w:tc>
        <w:tc>
          <w:tcPr>
            <w:tcW w:w="567" w:type="dxa"/>
            <w:tcBorders>
              <w:top w:val="single" w:sz="4" w:space="0" w:color="000000"/>
              <w:left w:val="nil"/>
              <w:bottom w:val="single" w:sz="18"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93</w:t>
            </w:r>
          </w:p>
        </w:tc>
        <w:tc>
          <w:tcPr>
            <w:tcW w:w="850" w:type="dxa"/>
            <w:tcBorders>
              <w:top w:val="single" w:sz="4" w:space="0" w:color="000000"/>
              <w:left w:val="nil"/>
              <w:bottom w:val="single" w:sz="18"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88</w:t>
            </w:r>
          </w:p>
        </w:tc>
        <w:tc>
          <w:tcPr>
            <w:tcW w:w="443" w:type="dxa"/>
            <w:tcBorders>
              <w:top w:val="single" w:sz="4" w:space="0" w:color="000000"/>
              <w:left w:val="nil"/>
              <w:bottom w:val="single" w:sz="18" w:space="0" w:color="000000"/>
              <w:right w:val="single" w:sz="4"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92</w:t>
            </w:r>
          </w:p>
        </w:tc>
        <w:tc>
          <w:tcPr>
            <w:tcW w:w="435" w:type="dxa"/>
            <w:tcBorders>
              <w:top w:val="single" w:sz="4" w:space="0" w:color="000000"/>
              <w:left w:val="nil"/>
              <w:bottom w:val="single" w:sz="18" w:space="0" w:color="000000"/>
              <w:right w:val="single" w:sz="4" w:space="0" w:color="000000"/>
            </w:tcBorders>
            <w:shd w:val="clear" w:color="auto" w:fill="FFFFFF"/>
            <w:tcMar>
              <w:right w:w="28" w:type="dxa"/>
            </w:tcMar>
            <w:vAlign w:val="center"/>
          </w:tcPr>
          <w:p w:rsidR="00314B92" w:rsidRDefault="00AD5F81">
            <w:pPr>
              <w:pStyle w:val="Normal1"/>
              <w:spacing w:after="0"/>
              <w:jc w:val="center"/>
              <w:rPr>
                <w:sz w:val="20"/>
                <w:szCs w:val="20"/>
              </w:rPr>
            </w:pPr>
            <w:r>
              <w:rPr>
                <w:sz w:val="20"/>
                <w:szCs w:val="20"/>
              </w:rPr>
              <w:t>67</w:t>
            </w:r>
          </w:p>
        </w:tc>
        <w:tc>
          <w:tcPr>
            <w:tcW w:w="435" w:type="dxa"/>
            <w:tcBorders>
              <w:top w:val="single" w:sz="4" w:space="0" w:color="000000"/>
              <w:left w:val="nil"/>
              <w:bottom w:val="single" w:sz="18" w:space="0" w:color="000000"/>
              <w:right w:val="single" w:sz="6" w:space="0" w:color="000000"/>
            </w:tcBorders>
            <w:shd w:val="clear" w:color="auto" w:fill="auto"/>
            <w:tcMar>
              <w:right w:w="28" w:type="dxa"/>
            </w:tcMar>
            <w:vAlign w:val="center"/>
          </w:tcPr>
          <w:p w:rsidR="00314B92" w:rsidRDefault="00AD5F81">
            <w:pPr>
              <w:pStyle w:val="Normal1"/>
              <w:spacing w:after="0"/>
              <w:jc w:val="center"/>
              <w:rPr>
                <w:sz w:val="20"/>
                <w:szCs w:val="20"/>
              </w:rPr>
            </w:pPr>
            <w:r>
              <w:rPr>
                <w:sz w:val="20"/>
                <w:szCs w:val="20"/>
              </w:rPr>
              <w:t>92</w:t>
            </w:r>
          </w:p>
        </w:tc>
        <w:tc>
          <w:tcPr>
            <w:tcW w:w="444" w:type="dxa"/>
            <w:tcBorders>
              <w:top w:val="single" w:sz="4" w:space="0" w:color="000000"/>
              <w:left w:val="single" w:sz="6" w:space="0" w:color="000000"/>
              <w:bottom w:val="single" w:sz="18" w:space="0" w:color="000000"/>
              <w:right w:val="single" w:sz="18" w:space="0" w:color="000000"/>
            </w:tcBorders>
            <w:vAlign w:val="center"/>
          </w:tcPr>
          <w:p w:rsidR="00314B92" w:rsidRDefault="00AD5F81">
            <w:pPr>
              <w:pStyle w:val="Normal1"/>
              <w:spacing w:after="0"/>
              <w:jc w:val="center"/>
              <w:rPr>
                <w:sz w:val="20"/>
                <w:szCs w:val="20"/>
              </w:rPr>
            </w:pPr>
            <w:r>
              <w:rPr>
                <w:sz w:val="20"/>
                <w:szCs w:val="20"/>
              </w:rPr>
              <w:t>110</w:t>
            </w:r>
          </w:p>
        </w:tc>
      </w:tr>
    </w:tbl>
    <w:p w:rsidR="00314B92" w:rsidRDefault="00314B92">
      <w:pPr>
        <w:pStyle w:val="Normal1"/>
        <w:spacing w:line="360" w:lineRule="auto"/>
        <w:jc w:val="both"/>
        <w:rPr>
          <w:sz w:val="23"/>
          <w:szCs w:val="23"/>
        </w:rPr>
      </w:pPr>
    </w:p>
    <w:p w:rsidR="00314B92" w:rsidRDefault="00AD5F81" w:rsidP="005D02C3">
      <w:pPr>
        <w:pStyle w:val="Normal1"/>
        <w:numPr>
          <w:ilvl w:val="3"/>
          <w:numId w:val="120"/>
        </w:numPr>
        <w:pBdr>
          <w:top w:val="nil"/>
          <w:left w:val="nil"/>
          <w:bottom w:val="nil"/>
          <w:right w:val="nil"/>
          <w:between w:val="nil"/>
        </w:pBdr>
        <w:spacing w:after="0" w:line="360" w:lineRule="auto"/>
        <w:jc w:val="both"/>
        <w:rPr>
          <w:color w:val="000000"/>
          <w:sz w:val="23"/>
          <w:szCs w:val="23"/>
        </w:rPr>
      </w:pPr>
      <w:r>
        <w:rPr>
          <w:b/>
          <w:color w:val="000000"/>
          <w:sz w:val="23"/>
          <w:szCs w:val="23"/>
        </w:rPr>
        <w:t>Gaps de performance et leurs causes</w:t>
      </w:r>
    </w:p>
    <w:p w:rsidR="00314B92" w:rsidRDefault="00AD5F81">
      <w:pPr>
        <w:pStyle w:val="Normal1"/>
        <w:jc w:val="both"/>
        <w:rPr>
          <w:sz w:val="23"/>
          <w:szCs w:val="23"/>
        </w:rPr>
      </w:pPr>
      <w:r>
        <w:rPr>
          <w:sz w:val="23"/>
          <w:szCs w:val="23"/>
        </w:rPr>
        <w:t xml:space="preserve">Les principales causes sont le manque de formation suffisante des prestataires en matière de PTME, la faible couverture de la CPN4, les insuffisances dans le dépistage, dans la qualité des soins offerts, le suivi du couple mère enfant, l’observance du traitement et dans le suivi/supervision des activités mises en œuvre dans le domaine de la PTME.  </w:t>
      </w:r>
    </w:p>
    <w:p w:rsidR="00314B92" w:rsidRDefault="00AD5F81" w:rsidP="005D02C3">
      <w:pPr>
        <w:pStyle w:val="Normal1"/>
        <w:numPr>
          <w:ilvl w:val="0"/>
          <w:numId w:val="48"/>
        </w:numPr>
        <w:pBdr>
          <w:top w:val="nil"/>
          <w:left w:val="nil"/>
          <w:bottom w:val="nil"/>
          <w:right w:val="nil"/>
          <w:between w:val="nil"/>
        </w:pBdr>
        <w:spacing w:after="0"/>
        <w:jc w:val="both"/>
        <w:rPr>
          <w:i/>
          <w:color w:val="000000"/>
          <w:sz w:val="23"/>
          <w:szCs w:val="23"/>
        </w:rPr>
      </w:pPr>
      <w:r>
        <w:rPr>
          <w:i/>
          <w:color w:val="000000"/>
          <w:sz w:val="23"/>
          <w:szCs w:val="23"/>
        </w:rPr>
        <w:t>Des améliorations nécessaires au niveau des formations sanitaires offrant des services de CPN, porte d’entrée à l’ETME du VIH</w:t>
      </w:r>
      <w:r>
        <w:rPr>
          <w:i/>
          <w:color w:val="000000"/>
          <w:sz w:val="23"/>
          <w:szCs w:val="23"/>
          <w:vertAlign w:val="superscript"/>
        </w:rPr>
        <w:footnoteReference w:id="72"/>
      </w:r>
    </w:p>
    <w:p w:rsidR="00314B92" w:rsidRDefault="00AD5F81">
      <w:pPr>
        <w:pStyle w:val="Normal1"/>
        <w:numPr>
          <w:ilvl w:val="0"/>
          <w:numId w:val="1"/>
        </w:numPr>
        <w:pBdr>
          <w:top w:val="nil"/>
          <w:left w:val="nil"/>
          <w:bottom w:val="nil"/>
          <w:right w:val="nil"/>
          <w:between w:val="nil"/>
        </w:pBdr>
        <w:spacing w:after="0"/>
        <w:jc w:val="both"/>
        <w:rPr>
          <w:color w:val="000000"/>
          <w:sz w:val="23"/>
          <w:szCs w:val="23"/>
        </w:rPr>
      </w:pPr>
      <w:r>
        <w:rPr>
          <w:color w:val="000000"/>
          <w:sz w:val="23"/>
          <w:szCs w:val="23"/>
        </w:rPr>
        <w:t>Au niveau de l’accessibilité, 42% de la population cible habitent dans un rayon qui dépasse 5 km autour d’une formation sanitaire offrant des services de CPN.</w:t>
      </w:r>
    </w:p>
    <w:p w:rsidR="00314B92" w:rsidRDefault="00AD5F81">
      <w:pPr>
        <w:pStyle w:val="Normal1"/>
        <w:numPr>
          <w:ilvl w:val="0"/>
          <w:numId w:val="1"/>
        </w:numPr>
        <w:pBdr>
          <w:top w:val="nil"/>
          <w:left w:val="nil"/>
          <w:bottom w:val="nil"/>
          <w:right w:val="nil"/>
          <w:between w:val="nil"/>
        </w:pBdr>
        <w:spacing w:after="0"/>
        <w:jc w:val="both"/>
        <w:rPr>
          <w:color w:val="000000"/>
          <w:sz w:val="23"/>
          <w:szCs w:val="23"/>
        </w:rPr>
      </w:pPr>
      <w:r>
        <w:rPr>
          <w:color w:val="000000"/>
          <w:sz w:val="23"/>
          <w:szCs w:val="23"/>
        </w:rPr>
        <w:t>Soixante-neuf % des femmes enceintes ne viennent pas au premier trimestre de la grossesse, occasionnant un retard par rapport au dépistage et à la mise éventuelle sous traitement ARV.</w:t>
      </w:r>
    </w:p>
    <w:p w:rsidR="00314B92" w:rsidRDefault="002D6681">
      <w:pPr>
        <w:pStyle w:val="Normal1"/>
        <w:numPr>
          <w:ilvl w:val="0"/>
          <w:numId w:val="1"/>
        </w:numPr>
        <w:pBdr>
          <w:top w:val="nil"/>
          <w:left w:val="nil"/>
          <w:bottom w:val="nil"/>
          <w:right w:val="nil"/>
          <w:between w:val="nil"/>
        </w:pBdr>
        <w:spacing w:after="0"/>
        <w:jc w:val="both"/>
        <w:rPr>
          <w:color w:val="000000"/>
          <w:sz w:val="23"/>
          <w:szCs w:val="23"/>
        </w:rPr>
      </w:pPr>
      <w:r>
        <w:rPr>
          <w:color w:val="000000"/>
          <w:sz w:val="23"/>
          <w:szCs w:val="23"/>
        </w:rPr>
        <w:t xml:space="preserve">Soixante </w:t>
      </w:r>
      <w:r w:rsidR="00AD5F81">
        <w:rPr>
          <w:color w:val="000000"/>
          <w:sz w:val="23"/>
          <w:szCs w:val="23"/>
        </w:rPr>
        <w:t>six% des femmes enceintes n’ont pas réalisé les 4 CPN. Ceci constitue une contrainte majeure pour le suivi des femmes enceintes séropositives.</w:t>
      </w:r>
    </w:p>
    <w:p w:rsidR="00314B92" w:rsidRDefault="00AD5F81">
      <w:pPr>
        <w:pStyle w:val="Normal1"/>
        <w:spacing w:after="0"/>
        <w:ind w:left="360"/>
        <w:jc w:val="both"/>
        <w:rPr>
          <w:sz w:val="23"/>
          <w:szCs w:val="23"/>
        </w:rPr>
      </w:pPr>
      <w:r>
        <w:rPr>
          <w:sz w:val="23"/>
          <w:szCs w:val="23"/>
        </w:rPr>
        <w:t xml:space="preserve">Les causes sous-jacentes sont (i) les croyances socio culturelles qui n’autorisent pas certaines femmes à annoncer leur grossesse, (ii) l’insuffisance de connaissance sur les avantages de la CPN, (iii) l’influence du milieu familial (du mari, belle-mère) et l’insuffisance dans la mise en œuvre des interventions communautaires. </w:t>
      </w:r>
    </w:p>
    <w:p w:rsidR="00314B92" w:rsidRDefault="00AD5F81" w:rsidP="005D02C3">
      <w:pPr>
        <w:pStyle w:val="Normal1"/>
        <w:numPr>
          <w:ilvl w:val="0"/>
          <w:numId w:val="48"/>
        </w:numPr>
        <w:pBdr>
          <w:top w:val="nil"/>
          <w:left w:val="nil"/>
          <w:bottom w:val="nil"/>
          <w:right w:val="nil"/>
          <w:between w:val="nil"/>
        </w:pBdr>
        <w:spacing w:after="0"/>
        <w:jc w:val="both"/>
        <w:rPr>
          <w:i/>
          <w:color w:val="000000"/>
          <w:sz w:val="23"/>
          <w:szCs w:val="23"/>
        </w:rPr>
      </w:pPr>
      <w:r>
        <w:rPr>
          <w:i/>
          <w:color w:val="000000"/>
          <w:sz w:val="23"/>
          <w:szCs w:val="23"/>
        </w:rPr>
        <w:t>Des goulots d’étranglement à lever au niveau des formations sanitaires offrant des services de Planification familiale, porte d’entrée à l’ETME du VIH</w:t>
      </w:r>
      <w:r>
        <w:rPr>
          <w:i/>
          <w:color w:val="000000"/>
          <w:sz w:val="23"/>
          <w:szCs w:val="23"/>
          <w:vertAlign w:val="superscript"/>
        </w:rPr>
        <w:footnoteReference w:id="73"/>
      </w:r>
      <w:r>
        <w:rPr>
          <w:i/>
          <w:color w:val="000000"/>
          <w:sz w:val="23"/>
          <w:szCs w:val="23"/>
        </w:rPr>
        <w:t>.</w:t>
      </w:r>
    </w:p>
    <w:p w:rsidR="00314B92" w:rsidRDefault="00AD5F81">
      <w:pPr>
        <w:pStyle w:val="Normal1"/>
        <w:numPr>
          <w:ilvl w:val="0"/>
          <w:numId w:val="2"/>
        </w:numPr>
        <w:pBdr>
          <w:top w:val="nil"/>
          <w:left w:val="nil"/>
          <w:bottom w:val="nil"/>
          <w:right w:val="nil"/>
          <w:between w:val="nil"/>
        </w:pBdr>
        <w:spacing w:after="0"/>
        <w:jc w:val="both"/>
        <w:rPr>
          <w:color w:val="000000"/>
          <w:sz w:val="23"/>
          <w:szCs w:val="23"/>
        </w:rPr>
      </w:pPr>
      <w:r>
        <w:rPr>
          <w:color w:val="000000"/>
          <w:sz w:val="23"/>
          <w:szCs w:val="23"/>
        </w:rPr>
        <w:t>Trente-trois % des structures de santé qui offrent des services de PF ont connu des ruptures de stock en contraceptifs pendant les trois derniers mois.</w:t>
      </w:r>
    </w:p>
    <w:p w:rsidR="00314B92" w:rsidRDefault="00AD5F81">
      <w:pPr>
        <w:pStyle w:val="Normal1"/>
        <w:numPr>
          <w:ilvl w:val="0"/>
          <w:numId w:val="2"/>
        </w:numPr>
        <w:pBdr>
          <w:top w:val="nil"/>
          <w:left w:val="nil"/>
          <w:bottom w:val="nil"/>
          <w:right w:val="nil"/>
          <w:between w:val="nil"/>
        </w:pBdr>
        <w:spacing w:after="0"/>
        <w:jc w:val="both"/>
        <w:rPr>
          <w:color w:val="000000"/>
          <w:sz w:val="23"/>
          <w:szCs w:val="23"/>
        </w:rPr>
      </w:pPr>
      <w:r>
        <w:rPr>
          <w:color w:val="000000"/>
          <w:sz w:val="23"/>
          <w:szCs w:val="23"/>
        </w:rPr>
        <w:t>Soixante-seize % des femmes mariées et célibataires sexuellement actives (âgées de 15-49 ans) n’utilisent pas une méthode contraceptive.</w:t>
      </w:r>
    </w:p>
    <w:p w:rsidR="00314B92" w:rsidRDefault="00AD5F81">
      <w:pPr>
        <w:pStyle w:val="Normal1"/>
        <w:ind w:left="360"/>
        <w:jc w:val="both"/>
        <w:rPr>
          <w:sz w:val="23"/>
          <w:szCs w:val="23"/>
        </w:rPr>
      </w:pPr>
      <w:r>
        <w:rPr>
          <w:sz w:val="23"/>
          <w:szCs w:val="23"/>
        </w:rPr>
        <w:t>Les causes liées à cette situation sont entre autres (i) l’insuffisance de compétences des acteurs en gestion de stock, (ii) la rupture des méthodes contraceptives au niveau DRD/CAMEG, (iii) le retard dans la livraison et (iv) la non mise à jour des outils de gestions.</w:t>
      </w:r>
    </w:p>
    <w:p w:rsidR="00314B92" w:rsidRDefault="00AD5F81" w:rsidP="005D02C3">
      <w:pPr>
        <w:pStyle w:val="Normal1"/>
        <w:numPr>
          <w:ilvl w:val="0"/>
          <w:numId w:val="48"/>
        </w:numPr>
        <w:pBdr>
          <w:top w:val="nil"/>
          <w:left w:val="nil"/>
          <w:bottom w:val="nil"/>
          <w:right w:val="nil"/>
          <w:between w:val="nil"/>
        </w:pBdr>
        <w:spacing w:after="0"/>
        <w:jc w:val="both"/>
        <w:rPr>
          <w:i/>
          <w:color w:val="000000"/>
          <w:sz w:val="23"/>
          <w:szCs w:val="23"/>
        </w:rPr>
      </w:pPr>
      <w:r>
        <w:rPr>
          <w:i/>
          <w:color w:val="000000"/>
          <w:sz w:val="23"/>
          <w:szCs w:val="23"/>
        </w:rPr>
        <w:t>Des goulots d’étranglement à lever au niveau du dépistage précoce</w:t>
      </w:r>
      <w:r>
        <w:rPr>
          <w:i/>
          <w:color w:val="000000"/>
          <w:sz w:val="23"/>
          <w:szCs w:val="23"/>
          <w:vertAlign w:val="superscript"/>
        </w:rPr>
        <w:footnoteReference w:id="74"/>
      </w:r>
    </w:p>
    <w:p w:rsidR="00314B92" w:rsidRDefault="00AD5F81">
      <w:pPr>
        <w:pStyle w:val="Normal1"/>
        <w:numPr>
          <w:ilvl w:val="0"/>
          <w:numId w:val="3"/>
        </w:numPr>
        <w:pBdr>
          <w:top w:val="nil"/>
          <w:left w:val="nil"/>
          <w:bottom w:val="nil"/>
          <w:right w:val="nil"/>
          <w:between w:val="nil"/>
        </w:pBdr>
        <w:spacing w:after="0"/>
        <w:jc w:val="both"/>
        <w:rPr>
          <w:color w:val="000000"/>
          <w:sz w:val="23"/>
          <w:szCs w:val="23"/>
        </w:rPr>
      </w:pPr>
      <w:r>
        <w:rPr>
          <w:color w:val="000000"/>
          <w:sz w:val="23"/>
          <w:szCs w:val="23"/>
        </w:rPr>
        <w:t xml:space="preserve">Au niveau de l’utilisation initiale, 47 % des nourrissons exposés n’ont pas été testés au VIH à l’âge de 12 mois.  </w:t>
      </w:r>
    </w:p>
    <w:p w:rsidR="00314B92" w:rsidRDefault="00AD5F81">
      <w:pPr>
        <w:pStyle w:val="Normal1"/>
        <w:numPr>
          <w:ilvl w:val="0"/>
          <w:numId w:val="3"/>
        </w:numPr>
        <w:pBdr>
          <w:top w:val="nil"/>
          <w:left w:val="nil"/>
          <w:bottom w:val="nil"/>
          <w:right w:val="nil"/>
          <w:between w:val="nil"/>
        </w:pBdr>
        <w:spacing w:after="0"/>
        <w:jc w:val="both"/>
        <w:rPr>
          <w:color w:val="000000"/>
          <w:sz w:val="23"/>
          <w:szCs w:val="23"/>
        </w:rPr>
      </w:pPr>
      <w:r>
        <w:rPr>
          <w:color w:val="000000"/>
          <w:sz w:val="23"/>
          <w:szCs w:val="23"/>
        </w:rPr>
        <w:t>Au niveau de l’utilisation continue, 47 % des enfants n’ont pas été testés au cours des deux premiers mois de la naissance.</w:t>
      </w:r>
    </w:p>
    <w:p w:rsidR="00314B92" w:rsidRDefault="00AD5F81">
      <w:pPr>
        <w:pStyle w:val="Normal1"/>
        <w:spacing w:after="0"/>
        <w:ind w:left="360"/>
        <w:jc w:val="both"/>
        <w:rPr>
          <w:sz w:val="23"/>
          <w:szCs w:val="23"/>
        </w:rPr>
      </w:pPr>
      <w:r>
        <w:rPr>
          <w:sz w:val="23"/>
          <w:szCs w:val="23"/>
        </w:rPr>
        <w:t xml:space="preserve">Les causes évoquées sont entre autres (i) l’insuffisance dans le suivi des enfants exposés, (ii) l’insuffisance de compétences des agents de santé pour réaliser les DBS, (iii) l’insuffisance de restitution des résultats de la PCR par les laboratoires de référence et (iv) le Paiement tardif des frais relatifs aux examens de laboratoires. </w:t>
      </w:r>
    </w:p>
    <w:p w:rsidR="00314B92" w:rsidRDefault="00AD5F81" w:rsidP="005D02C3">
      <w:pPr>
        <w:pStyle w:val="Normal1"/>
        <w:numPr>
          <w:ilvl w:val="0"/>
          <w:numId w:val="48"/>
        </w:numPr>
        <w:pBdr>
          <w:top w:val="nil"/>
          <w:left w:val="nil"/>
          <w:bottom w:val="nil"/>
          <w:right w:val="nil"/>
          <w:between w:val="nil"/>
        </w:pBdr>
        <w:spacing w:after="0"/>
        <w:jc w:val="both"/>
        <w:rPr>
          <w:i/>
          <w:color w:val="000000"/>
          <w:sz w:val="23"/>
          <w:szCs w:val="23"/>
        </w:rPr>
      </w:pPr>
      <w:r>
        <w:rPr>
          <w:i/>
          <w:color w:val="000000"/>
          <w:sz w:val="23"/>
          <w:szCs w:val="23"/>
        </w:rPr>
        <w:t>Des goulots d’étranglement à lever au niveau de l’offre des ARV maternels</w:t>
      </w:r>
      <w:r>
        <w:rPr>
          <w:i/>
          <w:color w:val="000000"/>
          <w:sz w:val="23"/>
          <w:szCs w:val="23"/>
          <w:vertAlign w:val="superscript"/>
        </w:rPr>
        <w:footnoteReference w:id="75"/>
      </w:r>
    </w:p>
    <w:p w:rsidR="00314B92" w:rsidRDefault="00AD5F81">
      <w:pPr>
        <w:pStyle w:val="Normal1"/>
        <w:spacing w:after="0"/>
        <w:ind w:left="360"/>
        <w:jc w:val="both"/>
        <w:rPr>
          <w:sz w:val="23"/>
          <w:szCs w:val="23"/>
        </w:rPr>
      </w:pPr>
      <w:r>
        <w:rPr>
          <w:sz w:val="23"/>
          <w:szCs w:val="23"/>
        </w:rPr>
        <w:t xml:space="preserve">Au niveau de la demande vingt-huit % du nombre estimé de femmes enceintes vivant avec le VIH n’ont pas été dépistées pour le VIH et 46 % des femmes enceintes vivant avec le VIH n’ont pas initié le traitement ARV. </w:t>
      </w:r>
    </w:p>
    <w:p w:rsidR="00314B92" w:rsidRDefault="00AD5F81">
      <w:pPr>
        <w:pStyle w:val="Normal1"/>
        <w:spacing w:after="0"/>
        <w:ind w:left="360"/>
        <w:jc w:val="both"/>
        <w:rPr>
          <w:sz w:val="23"/>
          <w:szCs w:val="23"/>
        </w:rPr>
      </w:pPr>
      <w:r>
        <w:rPr>
          <w:sz w:val="23"/>
          <w:szCs w:val="23"/>
        </w:rPr>
        <w:t>En termes de qualité, 74% des enfants nés de mères VIH+ n’ont pas reçu la prophylaxie ARV à la naissance.</w:t>
      </w:r>
    </w:p>
    <w:p w:rsidR="00314B92" w:rsidRDefault="00AD5F81">
      <w:pPr>
        <w:pStyle w:val="Normal1"/>
        <w:spacing w:after="0"/>
        <w:jc w:val="both"/>
        <w:rPr>
          <w:sz w:val="23"/>
          <w:szCs w:val="23"/>
        </w:rPr>
      </w:pPr>
      <w:r>
        <w:rPr>
          <w:sz w:val="23"/>
          <w:szCs w:val="23"/>
        </w:rPr>
        <w:t>Les causes sont (i) les ruptures de stock d'intrants PTME surtout pour les intrants de dépistage, les ARV pédiatriques pour la prophylaxie des enfants nés de mères séropositives, (ii) les difficultés d'identification du statut sérologique des femmes VIH+ en salle d'accouchement, (iii) l’insuffisance dans le suivi du couple mère-enfant, (iv) toutes les femmes enceintes ne sont pas vues en CPN, (v) la faible proposition de réalisation du test de dépistage VIH en per/post parut et (vi) la faible adhésion des partenaires à la PTME.</w:t>
      </w:r>
    </w:p>
    <w:p w:rsidR="00314B92" w:rsidRDefault="00AD5F81">
      <w:pPr>
        <w:pStyle w:val="Normal1"/>
        <w:jc w:val="both"/>
        <w:rPr>
          <w:i/>
          <w:sz w:val="23"/>
          <w:szCs w:val="23"/>
        </w:rPr>
      </w:pPr>
      <w:r>
        <w:rPr>
          <w:i/>
          <w:sz w:val="23"/>
          <w:szCs w:val="23"/>
        </w:rPr>
        <w:t>Une couverture géographique qui montre des disparités au niveau régional</w:t>
      </w:r>
    </w:p>
    <w:p w:rsidR="00314B92" w:rsidRDefault="00AD5F81">
      <w:pPr>
        <w:pStyle w:val="Normal1"/>
        <w:rPr>
          <w:rFonts w:ascii="Gisha" w:eastAsia="Gisha" w:hAnsi="Gisha" w:cs="Gisha"/>
          <w:sz w:val="24"/>
          <w:szCs w:val="24"/>
        </w:rPr>
      </w:pPr>
      <w:r>
        <w:rPr>
          <w:rFonts w:ascii="Gisha" w:eastAsia="Gisha" w:hAnsi="Gisha" w:cs="Gisha"/>
          <w:noProof/>
          <w:sz w:val="24"/>
          <w:szCs w:val="24"/>
        </w:rPr>
        <w:drawing>
          <wp:inline distT="0" distB="0" distL="0" distR="0">
            <wp:extent cx="5693134" cy="2449195"/>
            <wp:effectExtent l="0" t="0" r="0" b="0"/>
            <wp:docPr id="64"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28" cstate="print"/>
                    <a:srcRect/>
                    <a:stretch>
                      <a:fillRect/>
                    </a:stretch>
                  </pic:blipFill>
                  <pic:spPr>
                    <a:xfrm>
                      <a:off x="0" y="0"/>
                      <a:ext cx="5693134" cy="2449195"/>
                    </a:xfrm>
                    <a:prstGeom prst="rect">
                      <a:avLst/>
                    </a:prstGeom>
                    <a:ln/>
                  </pic:spPr>
                </pic:pic>
              </a:graphicData>
            </a:graphic>
          </wp:inline>
        </w:drawing>
      </w:r>
    </w:p>
    <w:p w:rsidR="00314B92" w:rsidRDefault="00AD5F81">
      <w:pPr>
        <w:pStyle w:val="Normal1"/>
        <w:spacing w:line="360" w:lineRule="auto"/>
        <w:jc w:val="both"/>
        <w:rPr>
          <w:b/>
          <w:sz w:val="23"/>
          <w:szCs w:val="23"/>
        </w:rPr>
      </w:pPr>
      <w:r>
        <w:rPr>
          <w:b/>
          <w:sz w:val="23"/>
          <w:szCs w:val="23"/>
        </w:rPr>
        <w:t>Figure 15 : Besoins non couverts selon les régions et selon l’intervention</w:t>
      </w:r>
    </w:p>
    <w:p w:rsidR="00314B92" w:rsidRDefault="00AD5F81" w:rsidP="005D02C3">
      <w:pPr>
        <w:pStyle w:val="Normal1"/>
        <w:numPr>
          <w:ilvl w:val="0"/>
          <w:numId w:val="56"/>
        </w:numPr>
        <w:pBdr>
          <w:top w:val="nil"/>
          <w:left w:val="nil"/>
          <w:bottom w:val="nil"/>
          <w:right w:val="nil"/>
          <w:between w:val="nil"/>
        </w:pBdr>
        <w:spacing w:before="280" w:after="0"/>
        <w:jc w:val="both"/>
        <w:rPr>
          <w:color w:val="000000"/>
          <w:sz w:val="23"/>
          <w:szCs w:val="23"/>
        </w:rPr>
      </w:pPr>
      <w:r>
        <w:rPr>
          <w:color w:val="000000"/>
          <w:sz w:val="23"/>
          <w:szCs w:val="23"/>
        </w:rPr>
        <w:t xml:space="preserve">Neuf régions (Centre- Centre Est- Centre Nord- centre ouest-centre sud- DRS Est-Haut Bassin-DRS Nord- Sahel) ont les plus grands besoins non couverts entre 20% et 60% en matière d’offre des ARV pour le traitement de la mère et la prévention du VIH chez le bébé. </w:t>
      </w:r>
    </w:p>
    <w:p w:rsidR="00314B92" w:rsidRDefault="00AD5F81" w:rsidP="005D02C3">
      <w:pPr>
        <w:pStyle w:val="Normal1"/>
        <w:numPr>
          <w:ilvl w:val="0"/>
          <w:numId w:val="56"/>
        </w:numPr>
        <w:pBdr>
          <w:top w:val="nil"/>
          <w:left w:val="nil"/>
          <w:bottom w:val="nil"/>
          <w:right w:val="nil"/>
          <w:between w:val="nil"/>
        </w:pBdr>
        <w:spacing w:after="0"/>
        <w:jc w:val="both"/>
        <w:rPr>
          <w:color w:val="000000"/>
          <w:sz w:val="23"/>
          <w:szCs w:val="23"/>
        </w:rPr>
      </w:pPr>
      <w:r>
        <w:rPr>
          <w:color w:val="000000"/>
          <w:sz w:val="23"/>
          <w:szCs w:val="23"/>
        </w:rPr>
        <w:t xml:space="preserve">Concernant le dépistage, 20% à 35% des besoins non couverts sont concentrés au niveau de 7 régions (Boucle du Mouhoun- Centre – Centre Est- Centre Ouest- Centre Sud – Plateau central). </w:t>
      </w:r>
    </w:p>
    <w:p w:rsidR="00314B92" w:rsidRDefault="00AD5F81" w:rsidP="005D02C3">
      <w:pPr>
        <w:pStyle w:val="Normal1"/>
        <w:numPr>
          <w:ilvl w:val="0"/>
          <w:numId w:val="56"/>
        </w:numPr>
        <w:pBdr>
          <w:top w:val="nil"/>
          <w:left w:val="nil"/>
          <w:bottom w:val="nil"/>
          <w:right w:val="nil"/>
          <w:between w:val="nil"/>
        </w:pBdr>
        <w:spacing w:after="0"/>
        <w:jc w:val="both"/>
        <w:rPr>
          <w:color w:val="000000"/>
          <w:sz w:val="23"/>
          <w:szCs w:val="23"/>
        </w:rPr>
      </w:pPr>
      <w:r>
        <w:rPr>
          <w:color w:val="000000"/>
          <w:sz w:val="23"/>
          <w:szCs w:val="23"/>
        </w:rPr>
        <w:t>Pour la première consultation prénatale 5 régions (Boucle du Mouhoun-Centre Est- Centre Ouest- Centre Sud - Plateau central) représentent entre 22% à 35% de besoins non couverts.</w:t>
      </w:r>
    </w:p>
    <w:p w:rsidR="00314B92" w:rsidRDefault="00314B92">
      <w:pPr>
        <w:pStyle w:val="Normal1"/>
        <w:spacing w:after="0" w:line="360" w:lineRule="auto"/>
        <w:jc w:val="both"/>
        <w:rPr>
          <w:smallCaps/>
          <w:sz w:val="24"/>
          <w:szCs w:val="24"/>
        </w:rPr>
      </w:pPr>
    </w:p>
    <w:p w:rsidR="00314B92" w:rsidRDefault="00AD5F81" w:rsidP="005D02C3">
      <w:pPr>
        <w:pStyle w:val="Normal1"/>
        <w:numPr>
          <w:ilvl w:val="2"/>
          <w:numId w:val="120"/>
        </w:numPr>
        <w:pBdr>
          <w:top w:val="nil"/>
          <w:left w:val="nil"/>
          <w:bottom w:val="nil"/>
          <w:right w:val="nil"/>
          <w:between w:val="nil"/>
        </w:pBdr>
        <w:spacing w:after="0" w:line="360" w:lineRule="auto"/>
        <w:jc w:val="both"/>
        <w:rPr>
          <w:smallCaps/>
          <w:color w:val="000000"/>
          <w:sz w:val="24"/>
          <w:szCs w:val="24"/>
        </w:rPr>
      </w:pPr>
      <w:r>
        <w:rPr>
          <w:smallCaps/>
          <w:color w:val="000000"/>
          <w:sz w:val="24"/>
          <w:szCs w:val="24"/>
        </w:rPr>
        <w:t>CONSULTATION DU NOURRISSON SAIN (CNS) :</w:t>
      </w:r>
    </w:p>
    <w:p w:rsidR="00314B92" w:rsidRDefault="00AD5F81">
      <w:pPr>
        <w:pStyle w:val="Normal1"/>
        <w:pBdr>
          <w:top w:val="nil"/>
          <w:left w:val="nil"/>
          <w:bottom w:val="nil"/>
          <w:right w:val="nil"/>
          <w:between w:val="nil"/>
        </w:pBdr>
        <w:spacing w:after="0" w:line="360" w:lineRule="auto"/>
        <w:ind w:left="720" w:hanging="720"/>
        <w:jc w:val="both"/>
        <w:rPr>
          <w:color w:val="000000"/>
          <w:sz w:val="24"/>
          <w:szCs w:val="24"/>
        </w:rPr>
      </w:pPr>
      <w:r>
        <w:rPr>
          <w:color w:val="000000"/>
          <w:sz w:val="24"/>
          <w:szCs w:val="24"/>
        </w:rPr>
        <w:t xml:space="preserve">La CNS telle que décrite dans les politiques, normes et protocoles en santé de la reproduction (PNP/SR) du Burkina Faso est une opportunité réelle pour le suivi et promotion de la croissance en couvrant les interventions nutritionnelles basées sur les évidences : allaitement exclusif et alimentation de complément. </w:t>
      </w:r>
    </w:p>
    <w:p w:rsidR="00314B92" w:rsidRDefault="00314B92">
      <w:pPr>
        <w:pStyle w:val="Normal1"/>
        <w:pBdr>
          <w:top w:val="nil"/>
          <w:left w:val="nil"/>
          <w:bottom w:val="nil"/>
          <w:right w:val="nil"/>
          <w:between w:val="nil"/>
        </w:pBdr>
        <w:spacing w:after="0"/>
        <w:ind w:left="360" w:hanging="720"/>
        <w:jc w:val="both"/>
        <w:rPr>
          <w:color w:val="000000"/>
          <w:sz w:val="23"/>
          <w:szCs w:val="23"/>
        </w:rPr>
      </w:pPr>
    </w:p>
    <w:p w:rsidR="00314B92" w:rsidRDefault="00AD5F81" w:rsidP="005D02C3">
      <w:pPr>
        <w:pStyle w:val="Normal1"/>
        <w:numPr>
          <w:ilvl w:val="2"/>
          <w:numId w:val="120"/>
        </w:numPr>
        <w:pBdr>
          <w:top w:val="nil"/>
          <w:left w:val="nil"/>
          <w:bottom w:val="nil"/>
          <w:right w:val="nil"/>
          <w:between w:val="nil"/>
        </w:pBdr>
        <w:spacing w:after="0" w:line="360" w:lineRule="auto"/>
        <w:jc w:val="both"/>
        <w:rPr>
          <w:smallCaps/>
          <w:color w:val="000000"/>
          <w:sz w:val="24"/>
          <w:szCs w:val="24"/>
        </w:rPr>
      </w:pPr>
      <w:bookmarkStart w:id="14" w:name="_1ksv4uv" w:colFirst="0" w:colLast="0"/>
      <w:bookmarkEnd w:id="14"/>
      <w:r>
        <w:rPr>
          <w:smallCaps/>
          <w:color w:val="000000"/>
          <w:sz w:val="24"/>
          <w:szCs w:val="24"/>
        </w:rPr>
        <w:t>VACCINATION DES ENFANTS</w:t>
      </w:r>
    </w:p>
    <w:p w:rsidR="00314B92" w:rsidRDefault="00AD5F81" w:rsidP="005D02C3">
      <w:pPr>
        <w:pStyle w:val="Normal1"/>
        <w:numPr>
          <w:ilvl w:val="3"/>
          <w:numId w:val="120"/>
        </w:numPr>
        <w:pBdr>
          <w:top w:val="nil"/>
          <w:left w:val="nil"/>
          <w:bottom w:val="nil"/>
          <w:right w:val="nil"/>
          <w:between w:val="nil"/>
        </w:pBdr>
        <w:spacing w:after="0"/>
        <w:rPr>
          <w:color w:val="000000"/>
        </w:rPr>
      </w:pPr>
      <w:r>
        <w:rPr>
          <w:b/>
          <w:color w:val="000000"/>
        </w:rPr>
        <w:t>Performances</w:t>
      </w:r>
    </w:p>
    <w:p w:rsidR="00314B92" w:rsidRDefault="00AD5F81" w:rsidP="00750AD2">
      <w:pPr>
        <w:pStyle w:val="Normal1"/>
        <w:spacing w:after="0"/>
        <w:jc w:val="both"/>
        <w:rPr>
          <w:sz w:val="24"/>
          <w:szCs w:val="24"/>
        </w:rPr>
      </w:pPr>
      <w:r>
        <w:rPr>
          <w:sz w:val="24"/>
          <w:szCs w:val="24"/>
        </w:rPr>
        <w:t>Les couvertures vaccinales nationales sont passées de 99% à 107% pour le Pentavalent 3(DTC-Hep B-HiB), de 74% à 106% pour le PCV 3 et de 74% à 106% pour le Rota3. Le pourcentage de districts ayant un taux de Pentavalent 3 supérieur ou égal à 80% était de 98% en 2011, 100% en 2012, 100% en 2013, 100% en 2014 et 100% en 2015 (cible de 99%3).</w:t>
      </w:r>
    </w:p>
    <w:p w:rsidR="00314B92" w:rsidRDefault="00AD5F81">
      <w:pPr>
        <w:pStyle w:val="Normal1"/>
        <w:jc w:val="both"/>
      </w:pPr>
      <w:r>
        <w:rPr>
          <w:sz w:val="24"/>
          <w:szCs w:val="24"/>
        </w:rPr>
        <w:t>Malgré ces très bonnes performances, l’approche « Atteindre</w:t>
      </w:r>
      <w:r>
        <w:t xml:space="preserve"> chaque district (ACD) avec pour objectif l’atteinte d’une couverture d’au moins 80% de tous les Antigènes dans au moins 80% des districts (OMS) » n’est pas atteint.  </w:t>
      </w:r>
    </w:p>
    <w:p w:rsidR="00314B92" w:rsidRDefault="00AD5F81">
      <w:pPr>
        <w:pStyle w:val="Normal1"/>
        <w:rPr>
          <w:b/>
        </w:rPr>
      </w:pPr>
      <w:r>
        <w:rPr>
          <w:rFonts w:ascii="Bookman Old Style" w:eastAsia="Bookman Old Style" w:hAnsi="Bookman Old Style" w:cs="Bookman Old Style"/>
          <w:b/>
          <w:color w:val="000000"/>
          <w:sz w:val="20"/>
          <w:szCs w:val="20"/>
        </w:rPr>
        <w:t>Tableau 5 : Couvertures (%) vaccinales de 2013 à 2017</w:t>
      </w:r>
      <w:r>
        <w:rPr>
          <w:rFonts w:ascii="Bookman Old Style" w:eastAsia="Bookman Old Style" w:hAnsi="Bookman Old Style" w:cs="Bookman Old Style"/>
          <w:b/>
          <w:color w:val="000000"/>
          <w:sz w:val="20"/>
          <w:szCs w:val="20"/>
          <w:vertAlign w:val="superscript"/>
        </w:rPr>
        <w:footnoteReference w:id="76"/>
      </w:r>
    </w:p>
    <w:tbl>
      <w:tblPr>
        <w:tblStyle w:val="ae"/>
        <w:tblW w:w="9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47"/>
        <w:gridCol w:w="992"/>
        <w:gridCol w:w="993"/>
        <w:gridCol w:w="992"/>
        <w:gridCol w:w="850"/>
        <w:gridCol w:w="851"/>
        <w:gridCol w:w="1276"/>
      </w:tblGrid>
      <w:tr w:rsidR="00314B92">
        <w:trPr>
          <w:trHeight w:val="180"/>
        </w:trPr>
        <w:tc>
          <w:tcPr>
            <w:tcW w:w="3647" w:type="dxa"/>
            <w:shd w:val="clear" w:color="auto" w:fill="C6D9F1"/>
          </w:tcPr>
          <w:p w:rsidR="006D2860" w:rsidRDefault="009B5EB2">
            <w:pPr>
              <w:pStyle w:val="Normal1"/>
              <w:spacing w:before="120" w:after="0" w:line="240" w:lineRule="auto"/>
            </w:pPr>
            <w:r w:rsidRPr="009B5EB2">
              <w:rPr>
                <w:b/>
                <w:color w:val="000000"/>
              </w:rPr>
              <w:t xml:space="preserve">ANTIGÈNES </w:t>
            </w:r>
          </w:p>
        </w:tc>
        <w:tc>
          <w:tcPr>
            <w:tcW w:w="992" w:type="dxa"/>
            <w:shd w:val="clear" w:color="auto" w:fill="C6D9F1"/>
          </w:tcPr>
          <w:p w:rsidR="006D2860" w:rsidRDefault="009B5EB2">
            <w:pPr>
              <w:pStyle w:val="Normal1"/>
              <w:spacing w:before="120" w:after="0" w:line="240" w:lineRule="auto"/>
            </w:pPr>
            <w:r w:rsidRPr="009B5EB2">
              <w:rPr>
                <w:b/>
                <w:color w:val="000000"/>
              </w:rPr>
              <w:t xml:space="preserve">2013 </w:t>
            </w:r>
          </w:p>
        </w:tc>
        <w:tc>
          <w:tcPr>
            <w:tcW w:w="993" w:type="dxa"/>
            <w:shd w:val="clear" w:color="auto" w:fill="C6D9F1"/>
          </w:tcPr>
          <w:p w:rsidR="006D2860" w:rsidRDefault="009B5EB2">
            <w:pPr>
              <w:pStyle w:val="Normal1"/>
              <w:spacing w:before="120" w:after="0" w:line="240" w:lineRule="auto"/>
            </w:pPr>
            <w:r w:rsidRPr="009B5EB2">
              <w:rPr>
                <w:b/>
                <w:color w:val="000000"/>
              </w:rPr>
              <w:t xml:space="preserve">2014 </w:t>
            </w:r>
          </w:p>
        </w:tc>
        <w:tc>
          <w:tcPr>
            <w:tcW w:w="992" w:type="dxa"/>
            <w:shd w:val="clear" w:color="auto" w:fill="C6D9F1"/>
          </w:tcPr>
          <w:p w:rsidR="006D2860" w:rsidRDefault="009B5EB2">
            <w:pPr>
              <w:pStyle w:val="Normal1"/>
              <w:spacing w:before="120" w:after="0" w:line="240" w:lineRule="auto"/>
            </w:pPr>
            <w:r w:rsidRPr="009B5EB2">
              <w:rPr>
                <w:b/>
                <w:color w:val="000000"/>
              </w:rPr>
              <w:t xml:space="preserve">2015 </w:t>
            </w:r>
          </w:p>
        </w:tc>
        <w:tc>
          <w:tcPr>
            <w:tcW w:w="850" w:type="dxa"/>
            <w:shd w:val="clear" w:color="auto" w:fill="C6D9F1"/>
          </w:tcPr>
          <w:p w:rsidR="006D2860" w:rsidRDefault="009B5EB2">
            <w:pPr>
              <w:pStyle w:val="Normal1"/>
              <w:spacing w:before="120" w:after="0" w:line="240" w:lineRule="auto"/>
            </w:pPr>
            <w:r w:rsidRPr="009B5EB2">
              <w:rPr>
                <w:b/>
                <w:color w:val="000000"/>
              </w:rPr>
              <w:t xml:space="preserve">2016 </w:t>
            </w:r>
          </w:p>
        </w:tc>
        <w:tc>
          <w:tcPr>
            <w:tcW w:w="851" w:type="dxa"/>
            <w:shd w:val="clear" w:color="auto" w:fill="C6D9F1"/>
          </w:tcPr>
          <w:p w:rsidR="006D2860" w:rsidRDefault="009B5EB2">
            <w:pPr>
              <w:pStyle w:val="Normal1"/>
              <w:spacing w:before="120" w:after="0" w:line="240" w:lineRule="auto"/>
            </w:pPr>
            <w:r w:rsidRPr="009B5EB2">
              <w:rPr>
                <w:b/>
                <w:color w:val="000000"/>
              </w:rPr>
              <w:t xml:space="preserve">2017 </w:t>
            </w:r>
          </w:p>
        </w:tc>
        <w:tc>
          <w:tcPr>
            <w:tcW w:w="1276" w:type="dxa"/>
            <w:shd w:val="clear" w:color="auto" w:fill="C6D9F1"/>
          </w:tcPr>
          <w:p w:rsidR="006D2860" w:rsidRDefault="009B5EB2">
            <w:pPr>
              <w:pStyle w:val="Normal1"/>
              <w:spacing w:before="120" w:after="0" w:line="240" w:lineRule="auto"/>
            </w:pPr>
            <w:r w:rsidRPr="009B5EB2">
              <w:rPr>
                <w:b/>
                <w:color w:val="000000"/>
              </w:rPr>
              <w:t xml:space="preserve">Cible 2017 </w:t>
            </w:r>
          </w:p>
        </w:tc>
      </w:tr>
      <w:tr w:rsidR="00314B92">
        <w:trPr>
          <w:trHeight w:val="80"/>
        </w:trPr>
        <w:tc>
          <w:tcPr>
            <w:tcW w:w="3647" w:type="dxa"/>
          </w:tcPr>
          <w:p w:rsidR="006D2860" w:rsidRDefault="009B5EB2">
            <w:pPr>
              <w:pStyle w:val="Normal1"/>
              <w:spacing w:before="120" w:after="0" w:line="240" w:lineRule="auto"/>
            </w:pPr>
            <w:r w:rsidRPr="009B5EB2">
              <w:rPr>
                <w:b/>
                <w:color w:val="000000"/>
              </w:rPr>
              <w:t xml:space="preserve">BCG </w:t>
            </w:r>
          </w:p>
        </w:tc>
        <w:tc>
          <w:tcPr>
            <w:tcW w:w="992" w:type="dxa"/>
          </w:tcPr>
          <w:p w:rsidR="006D2860" w:rsidRDefault="009B5EB2">
            <w:pPr>
              <w:pStyle w:val="Normal1"/>
              <w:spacing w:before="120" w:after="0" w:line="240" w:lineRule="auto"/>
            </w:pPr>
            <w:r w:rsidRPr="009B5EB2">
              <w:rPr>
                <w:color w:val="000000"/>
              </w:rPr>
              <w:t xml:space="preserve">106 </w:t>
            </w:r>
          </w:p>
        </w:tc>
        <w:tc>
          <w:tcPr>
            <w:tcW w:w="993" w:type="dxa"/>
          </w:tcPr>
          <w:p w:rsidR="006D2860" w:rsidRDefault="009B5EB2">
            <w:pPr>
              <w:pStyle w:val="Normal1"/>
              <w:spacing w:before="120" w:after="0" w:line="240" w:lineRule="auto"/>
            </w:pPr>
            <w:r w:rsidRPr="009B5EB2">
              <w:rPr>
                <w:color w:val="000000"/>
              </w:rPr>
              <w:t xml:space="preserve">105,8 </w:t>
            </w:r>
          </w:p>
        </w:tc>
        <w:tc>
          <w:tcPr>
            <w:tcW w:w="992" w:type="dxa"/>
          </w:tcPr>
          <w:p w:rsidR="006D2860" w:rsidRDefault="009B5EB2">
            <w:pPr>
              <w:pStyle w:val="Normal1"/>
              <w:spacing w:before="120" w:after="0" w:line="240" w:lineRule="auto"/>
            </w:pPr>
            <w:r w:rsidRPr="009B5EB2">
              <w:rPr>
                <w:color w:val="000000"/>
              </w:rPr>
              <w:t xml:space="preserve">104,0 </w:t>
            </w:r>
          </w:p>
        </w:tc>
        <w:tc>
          <w:tcPr>
            <w:tcW w:w="850" w:type="dxa"/>
          </w:tcPr>
          <w:p w:rsidR="006D2860" w:rsidRDefault="009B5EB2">
            <w:pPr>
              <w:pStyle w:val="Normal1"/>
              <w:spacing w:before="120" w:after="0" w:line="240" w:lineRule="auto"/>
            </w:pPr>
            <w:r w:rsidRPr="009B5EB2">
              <w:rPr>
                <w:color w:val="000000"/>
              </w:rPr>
              <w:t xml:space="preserve">103,0 </w:t>
            </w:r>
          </w:p>
        </w:tc>
        <w:tc>
          <w:tcPr>
            <w:tcW w:w="851" w:type="dxa"/>
          </w:tcPr>
          <w:p w:rsidR="006D2860" w:rsidRDefault="009B5EB2">
            <w:pPr>
              <w:pStyle w:val="Normal1"/>
              <w:spacing w:before="120" w:after="0" w:line="240" w:lineRule="auto"/>
            </w:pPr>
            <w:r w:rsidRPr="009B5EB2">
              <w:rPr>
                <w:color w:val="000000"/>
              </w:rPr>
              <w:t xml:space="preserve">103,0 </w:t>
            </w:r>
          </w:p>
        </w:tc>
        <w:tc>
          <w:tcPr>
            <w:tcW w:w="1276" w:type="dxa"/>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shd w:val="clear" w:color="auto" w:fill="C6D9F1"/>
          </w:tcPr>
          <w:p w:rsidR="006D2860" w:rsidRDefault="009B5EB2">
            <w:pPr>
              <w:pStyle w:val="Normal1"/>
              <w:spacing w:before="120" w:after="0" w:line="240" w:lineRule="auto"/>
            </w:pPr>
            <w:r w:rsidRPr="009B5EB2">
              <w:rPr>
                <w:b/>
                <w:color w:val="000000"/>
              </w:rPr>
              <w:t xml:space="preserve">VPO 3 </w:t>
            </w:r>
          </w:p>
        </w:tc>
        <w:tc>
          <w:tcPr>
            <w:tcW w:w="992" w:type="dxa"/>
            <w:shd w:val="clear" w:color="auto" w:fill="C6D9F1"/>
          </w:tcPr>
          <w:p w:rsidR="006D2860" w:rsidRDefault="009B5EB2">
            <w:pPr>
              <w:pStyle w:val="Normal1"/>
              <w:spacing w:before="120" w:after="0" w:line="240" w:lineRule="auto"/>
            </w:pPr>
            <w:r w:rsidRPr="009B5EB2">
              <w:rPr>
                <w:color w:val="000000"/>
              </w:rPr>
              <w:t xml:space="preserve">101 </w:t>
            </w:r>
          </w:p>
        </w:tc>
        <w:tc>
          <w:tcPr>
            <w:tcW w:w="993" w:type="dxa"/>
            <w:shd w:val="clear" w:color="auto" w:fill="C6D9F1"/>
          </w:tcPr>
          <w:p w:rsidR="006D2860" w:rsidRDefault="009B5EB2">
            <w:pPr>
              <w:pStyle w:val="Normal1"/>
              <w:spacing w:before="120" w:after="0" w:line="240" w:lineRule="auto"/>
            </w:pPr>
            <w:r w:rsidRPr="009B5EB2">
              <w:rPr>
                <w:color w:val="000000"/>
              </w:rPr>
              <w:t xml:space="preserve">105,8 </w:t>
            </w:r>
          </w:p>
        </w:tc>
        <w:tc>
          <w:tcPr>
            <w:tcW w:w="992" w:type="dxa"/>
            <w:shd w:val="clear" w:color="auto" w:fill="C6D9F1"/>
          </w:tcPr>
          <w:p w:rsidR="006D2860" w:rsidRDefault="009B5EB2">
            <w:pPr>
              <w:pStyle w:val="Normal1"/>
              <w:spacing w:before="120" w:after="0" w:line="240" w:lineRule="auto"/>
            </w:pPr>
            <w:r w:rsidRPr="009B5EB2">
              <w:rPr>
                <w:color w:val="000000"/>
              </w:rPr>
              <w:t xml:space="preserve">104,0 </w:t>
            </w:r>
          </w:p>
        </w:tc>
        <w:tc>
          <w:tcPr>
            <w:tcW w:w="850" w:type="dxa"/>
            <w:shd w:val="clear" w:color="auto" w:fill="C6D9F1"/>
          </w:tcPr>
          <w:p w:rsidR="006D2860" w:rsidRDefault="009B5EB2">
            <w:pPr>
              <w:pStyle w:val="Normal1"/>
              <w:spacing w:before="120" w:after="0" w:line="240" w:lineRule="auto"/>
            </w:pPr>
            <w:r w:rsidRPr="009B5EB2">
              <w:rPr>
                <w:color w:val="000000"/>
              </w:rPr>
              <w:t xml:space="preserve">103,0 </w:t>
            </w:r>
          </w:p>
        </w:tc>
        <w:tc>
          <w:tcPr>
            <w:tcW w:w="851" w:type="dxa"/>
            <w:shd w:val="clear" w:color="auto" w:fill="C6D9F1"/>
          </w:tcPr>
          <w:p w:rsidR="006D2860" w:rsidRDefault="009B5EB2">
            <w:pPr>
              <w:pStyle w:val="Normal1"/>
              <w:spacing w:before="120" w:after="0" w:line="240" w:lineRule="auto"/>
            </w:pPr>
            <w:r w:rsidRPr="009B5EB2">
              <w:rPr>
                <w:color w:val="000000"/>
              </w:rPr>
              <w:t xml:space="preserve">104,6 </w:t>
            </w:r>
          </w:p>
        </w:tc>
        <w:tc>
          <w:tcPr>
            <w:tcW w:w="1276" w:type="dxa"/>
            <w:shd w:val="clear" w:color="auto" w:fill="C6D9F1"/>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tcPr>
          <w:p w:rsidR="006D2860" w:rsidRDefault="009B5EB2">
            <w:pPr>
              <w:pStyle w:val="Normal1"/>
              <w:spacing w:before="120" w:after="0" w:line="240" w:lineRule="auto"/>
            </w:pPr>
            <w:r w:rsidRPr="009B5EB2">
              <w:rPr>
                <w:b/>
                <w:color w:val="000000"/>
              </w:rPr>
              <w:t xml:space="preserve">Penta 3 </w:t>
            </w:r>
          </w:p>
        </w:tc>
        <w:tc>
          <w:tcPr>
            <w:tcW w:w="992" w:type="dxa"/>
          </w:tcPr>
          <w:p w:rsidR="006D2860" w:rsidRDefault="009B5EB2">
            <w:pPr>
              <w:pStyle w:val="Normal1"/>
              <w:spacing w:before="120" w:after="0" w:line="240" w:lineRule="auto"/>
            </w:pPr>
            <w:r w:rsidRPr="009B5EB2">
              <w:rPr>
                <w:color w:val="000000"/>
              </w:rPr>
              <w:t xml:space="preserve">101 </w:t>
            </w:r>
          </w:p>
        </w:tc>
        <w:tc>
          <w:tcPr>
            <w:tcW w:w="993" w:type="dxa"/>
          </w:tcPr>
          <w:p w:rsidR="006D2860" w:rsidRDefault="009B5EB2">
            <w:pPr>
              <w:pStyle w:val="Normal1"/>
              <w:spacing w:before="120" w:after="0" w:line="240" w:lineRule="auto"/>
            </w:pPr>
            <w:r w:rsidRPr="009B5EB2">
              <w:rPr>
                <w:color w:val="000000"/>
              </w:rPr>
              <w:t xml:space="preserve">103,0 </w:t>
            </w:r>
          </w:p>
        </w:tc>
        <w:tc>
          <w:tcPr>
            <w:tcW w:w="992" w:type="dxa"/>
          </w:tcPr>
          <w:p w:rsidR="006D2860" w:rsidRDefault="009B5EB2">
            <w:pPr>
              <w:pStyle w:val="Normal1"/>
              <w:spacing w:before="120" w:after="0" w:line="240" w:lineRule="auto"/>
            </w:pPr>
            <w:r w:rsidRPr="009B5EB2">
              <w:rPr>
                <w:color w:val="000000"/>
              </w:rPr>
              <w:t xml:space="preserve">105,3 </w:t>
            </w:r>
          </w:p>
        </w:tc>
        <w:tc>
          <w:tcPr>
            <w:tcW w:w="850" w:type="dxa"/>
          </w:tcPr>
          <w:p w:rsidR="006D2860" w:rsidRDefault="009B5EB2">
            <w:pPr>
              <w:pStyle w:val="Normal1"/>
              <w:spacing w:before="120" w:after="0" w:line="240" w:lineRule="auto"/>
            </w:pPr>
            <w:r w:rsidRPr="009B5EB2">
              <w:rPr>
                <w:color w:val="000000"/>
              </w:rPr>
              <w:t xml:space="preserve">102,9 </w:t>
            </w:r>
          </w:p>
        </w:tc>
        <w:tc>
          <w:tcPr>
            <w:tcW w:w="851" w:type="dxa"/>
          </w:tcPr>
          <w:p w:rsidR="006D2860" w:rsidRDefault="009B5EB2">
            <w:pPr>
              <w:pStyle w:val="Normal1"/>
              <w:spacing w:before="120" w:after="0" w:line="240" w:lineRule="auto"/>
            </w:pPr>
            <w:r w:rsidRPr="009B5EB2">
              <w:rPr>
                <w:color w:val="000000"/>
              </w:rPr>
              <w:t xml:space="preserve">106,1 </w:t>
            </w:r>
          </w:p>
        </w:tc>
        <w:tc>
          <w:tcPr>
            <w:tcW w:w="1276" w:type="dxa"/>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shd w:val="clear" w:color="auto" w:fill="C6D9F1"/>
          </w:tcPr>
          <w:p w:rsidR="006D2860" w:rsidRDefault="009B5EB2">
            <w:pPr>
              <w:pStyle w:val="Normal1"/>
              <w:spacing w:before="120" w:after="0" w:line="240" w:lineRule="auto"/>
            </w:pPr>
            <w:r w:rsidRPr="009B5EB2">
              <w:rPr>
                <w:b/>
                <w:color w:val="000000"/>
              </w:rPr>
              <w:t xml:space="preserve">Pneumo1 </w:t>
            </w:r>
          </w:p>
        </w:tc>
        <w:tc>
          <w:tcPr>
            <w:tcW w:w="992" w:type="dxa"/>
            <w:shd w:val="clear" w:color="auto" w:fill="C6D9F1"/>
          </w:tcPr>
          <w:p w:rsidR="006D2860" w:rsidRDefault="009B5EB2">
            <w:pPr>
              <w:pStyle w:val="Normal1"/>
              <w:spacing w:before="120" w:after="0" w:line="240" w:lineRule="auto"/>
            </w:pPr>
            <w:r w:rsidRPr="009B5EB2">
              <w:rPr>
                <w:color w:val="000000"/>
              </w:rPr>
              <w:t xml:space="preserve">- </w:t>
            </w:r>
          </w:p>
        </w:tc>
        <w:tc>
          <w:tcPr>
            <w:tcW w:w="993" w:type="dxa"/>
            <w:shd w:val="clear" w:color="auto" w:fill="C6D9F1"/>
          </w:tcPr>
          <w:p w:rsidR="006D2860" w:rsidRDefault="009B5EB2">
            <w:pPr>
              <w:pStyle w:val="Normal1"/>
              <w:spacing w:before="120" w:after="0" w:line="240" w:lineRule="auto"/>
            </w:pPr>
            <w:r w:rsidRPr="009B5EB2">
              <w:rPr>
                <w:color w:val="000000"/>
              </w:rPr>
              <w:t xml:space="preserve">103,1 </w:t>
            </w:r>
          </w:p>
        </w:tc>
        <w:tc>
          <w:tcPr>
            <w:tcW w:w="992" w:type="dxa"/>
            <w:shd w:val="clear" w:color="auto" w:fill="C6D9F1"/>
          </w:tcPr>
          <w:p w:rsidR="006D2860" w:rsidRDefault="009B5EB2">
            <w:pPr>
              <w:pStyle w:val="Normal1"/>
              <w:spacing w:before="120" w:after="0" w:line="240" w:lineRule="auto"/>
            </w:pPr>
            <w:r w:rsidRPr="009B5EB2">
              <w:rPr>
                <w:color w:val="000000"/>
              </w:rPr>
              <w:t xml:space="preserve">105,3 </w:t>
            </w:r>
          </w:p>
        </w:tc>
        <w:tc>
          <w:tcPr>
            <w:tcW w:w="850" w:type="dxa"/>
            <w:shd w:val="clear" w:color="auto" w:fill="C6D9F1"/>
          </w:tcPr>
          <w:p w:rsidR="006D2860" w:rsidRDefault="009B5EB2">
            <w:pPr>
              <w:pStyle w:val="Normal1"/>
              <w:spacing w:before="120" w:after="0" w:line="240" w:lineRule="auto"/>
            </w:pPr>
            <w:r w:rsidRPr="009B5EB2">
              <w:rPr>
                <w:color w:val="000000"/>
              </w:rPr>
              <w:t xml:space="preserve">103,0 </w:t>
            </w:r>
          </w:p>
        </w:tc>
        <w:tc>
          <w:tcPr>
            <w:tcW w:w="851" w:type="dxa"/>
            <w:shd w:val="clear" w:color="auto" w:fill="C6D9F1"/>
          </w:tcPr>
          <w:p w:rsidR="006D2860" w:rsidRDefault="009B5EB2">
            <w:pPr>
              <w:pStyle w:val="Normal1"/>
              <w:spacing w:before="120" w:after="0" w:line="240" w:lineRule="auto"/>
            </w:pPr>
            <w:r w:rsidRPr="009B5EB2">
              <w:rPr>
                <w:color w:val="000000"/>
              </w:rPr>
              <w:t xml:space="preserve">108,4 </w:t>
            </w:r>
          </w:p>
        </w:tc>
        <w:tc>
          <w:tcPr>
            <w:tcW w:w="1276" w:type="dxa"/>
            <w:shd w:val="clear" w:color="auto" w:fill="C6D9F1"/>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tcPr>
          <w:p w:rsidR="006D2860" w:rsidRDefault="009B5EB2">
            <w:pPr>
              <w:pStyle w:val="Normal1"/>
              <w:spacing w:before="120" w:after="0" w:line="240" w:lineRule="auto"/>
            </w:pPr>
            <w:r w:rsidRPr="009B5EB2">
              <w:rPr>
                <w:b/>
                <w:color w:val="000000"/>
              </w:rPr>
              <w:t xml:space="preserve">Pneumo3 </w:t>
            </w:r>
          </w:p>
        </w:tc>
        <w:tc>
          <w:tcPr>
            <w:tcW w:w="992" w:type="dxa"/>
          </w:tcPr>
          <w:p w:rsidR="006D2860" w:rsidRDefault="009B5EB2">
            <w:pPr>
              <w:pStyle w:val="Normal1"/>
              <w:spacing w:before="120" w:after="0" w:line="240" w:lineRule="auto"/>
            </w:pPr>
            <w:r w:rsidRPr="009B5EB2">
              <w:rPr>
                <w:color w:val="000000"/>
              </w:rPr>
              <w:t xml:space="preserve">- </w:t>
            </w:r>
          </w:p>
        </w:tc>
        <w:tc>
          <w:tcPr>
            <w:tcW w:w="993" w:type="dxa"/>
          </w:tcPr>
          <w:p w:rsidR="006D2860" w:rsidRDefault="009B5EB2">
            <w:pPr>
              <w:pStyle w:val="Normal1"/>
              <w:spacing w:before="120" w:after="0" w:line="240" w:lineRule="auto"/>
            </w:pPr>
            <w:r w:rsidRPr="009B5EB2">
              <w:rPr>
                <w:color w:val="000000"/>
              </w:rPr>
              <w:t xml:space="preserve">104,0 </w:t>
            </w:r>
          </w:p>
        </w:tc>
        <w:tc>
          <w:tcPr>
            <w:tcW w:w="992" w:type="dxa"/>
          </w:tcPr>
          <w:p w:rsidR="006D2860" w:rsidRDefault="009B5EB2">
            <w:pPr>
              <w:pStyle w:val="Normal1"/>
              <w:spacing w:before="120" w:after="0" w:line="240" w:lineRule="auto"/>
            </w:pPr>
            <w:r w:rsidRPr="009B5EB2">
              <w:rPr>
                <w:color w:val="000000"/>
              </w:rPr>
              <w:t xml:space="preserve">108,4 </w:t>
            </w:r>
          </w:p>
        </w:tc>
        <w:tc>
          <w:tcPr>
            <w:tcW w:w="850" w:type="dxa"/>
          </w:tcPr>
          <w:p w:rsidR="006D2860" w:rsidRDefault="009B5EB2">
            <w:pPr>
              <w:pStyle w:val="Normal1"/>
              <w:spacing w:before="120" w:after="0" w:line="240" w:lineRule="auto"/>
            </w:pPr>
            <w:r w:rsidRPr="009B5EB2">
              <w:rPr>
                <w:color w:val="000000"/>
              </w:rPr>
              <w:t xml:space="preserve">106,4 </w:t>
            </w:r>
          </w:p>
        </w:tc>
        <w:tc>
          <w:tcPr>
            <w:tcW w:w="851" w:type="dxa"/>
          </w:tcPr>
          <w:p w:rsidR="006D2860" w:rsidRDefault="009B5EB2">
            <w:pPr>
              <w:pStyle w:val="Normal1"/>
              <w:spacing w:before="120" w:after="0" w:line="240" w:lineRule="auto"/>
            </w:pPr>
            <w:r w:rsidRPr="009B5EB2">
              <w:rPr>
                <w:color w:val="000000"/>
              </w:rPr>
              <w:t xml:space="preserve">106,1 </w:t>
            </w:r>
          </w:p>
        </w:tc>
        <w:tc>
          <w:tcPr>
            <w:tcW w:w="1276" w:type="dxa"/>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shd w:val="clear" w:color="auto" w:fill="C6D9F1"/>
          </w:tcPr>
          <w:p w:rsidR="006D2860" w:rsidRDefault="009B5EB2">
            <w:pPr>
              <w:pStyle w:val="Normal1"/>
              <w:spacing w:before="120" w:after="0" w:line="240" w:lineRule="auto"/>
            </w:pPr>
            <w:r w:rsidRPr="009B5EB2">
              <w:rPr>
                <w:b/>
                <w:color w:val="000000"/>
              </w:rPr>
              <w:t xml:space="preserve">Rota1 </w:t>
            </w:r>
          </w:p>
        </w:tc>
        <w:tc>
          <w:tcPr>
            <w:tcW w:w="992" w:type="dxa"/>
            <w:shd w:val="clear" w:color="auto" w:fill="C6D9F1"/>
          </w:tcPr>
          <w:p w:rsidR="006D2860" w:rsidRDefault="009B5EB2">
            <w:pPr>
              <w:pStyle w:val="Normal1"/>
              <w:spacing w:before="120" w:after="0" w:line="240" w:lineRule="auto"/>
            </w:pPr>
            <w:r w:rsidRPr="009B5EB2">
              <w:rPr>
                <w:color w:val="000000"/>
              </w:rPr>
              <w:t xml:space="preserve">- </w:t>
            </w:r>
          </w:p>
        </w:tc>
        <w:tc>
          <w:tcPr>
            <w:tcW w:w="993" w:type="dxa"/>
            <w:shd w:val="clear" w:color="auto" w:fill="C6D9F1"/>
          </w:tcPr>
          <w:p w:rsidR="006D2860" w:rsidRDefault="009B5EB2">
            <w:pPr>
              <w:pStyle w:val="Normal1"/>
              <w:spacing w:before="120" w:after="0" w:line="240" w:lineRule="auto"/>
            </w:pPr>
            <w:r w:rsidRPr="009B5EB2">
              <w:rPr>
                <w:color w:val="000000"/>
              </w:rPr>
              <w:t xml:space="preserve">88,7 </w:t>
            </w:r>
          </w:p>
        </w:tc>
        <w:tc>
          <w:tcPr>
            <w:tcW w:w="992" w:type="dxa"/>
            <w:shd w:val="clear" w:color="auto" w:fill="C6D9F1"/>
          </w:tcPr>
          <w:p w:rsidR="006D2860" w:rsidRDefault="009B5EB2">
            <w:pPr>
              <w:pStyle w:val="Normal1"/>
              <w:spacing w:before="120" w:after="0" w:line="240" w:lineRule="auto"/>
            </w:pPr>
            <w:r w:rsidRPr="009B5EB2">
              <w:rPr>
                <w:color w:val="000000"/>
              </w:rPr>
              <w:t xml:space="preserve">104,5 </w:t>
            </w:r>
          </w:p>
        </w:tc>
        <w:tc>
          <w:tcPr>
            <w:tcW w:w="850" w:type="dxa"/>
            <w:shd w:val="clear" w:color="auto" w:fill="C6D9F1"/>
          </w:tcPr>
          <w:p w:rsidR="006D2860" w:rsidRDefault="009B5EB2">
            <w:pPr>
              <w:pStyle w:val="Normal1"/>
              <w:spacing w:before="120" w:after="0" w:line="240" w:lineRule="auto"/>
            </w:pPr>
            <w:r w:rsidRPr="009B5EB2">
              <w:rPr>
                <w:color w:val="000000"/>
              </w:rPr>
              <w:t xml:space="preserve">102,8 </w:t>
            </w:r>
          </w:p>
        </w:tc>
        <w:tc>
          <w:tcPr>
            <w:tcW w:w="851" w:type="dxa"/>
            <w:shd w:val="clear" w:color="auto" w:fill="C6D9F1"/>
          </w:tcPr>
          <w:p w:rsidR="006D2860" w:rsidRDefault="009B5EB2">
            <w:pPr>
              <w:pStyle w:val="Normal1"/>
              <w:spacing w:before="120" w:after="0" w:line="240" w:lineRule="auto"/>
            </w:pPr>
            <w:r w:rsidRPr="009B5EB2">
              <w:rPr>
                <w:color w:val="000000"/>
              </w:rPr>
              <w:t xml:space="preserve">102,8 </w:t>
            </w:r>
          </w:p>
        </w:tc>
        <w:tc>
          <w:tcPr>
            <w:tcW w:w="1276" w:type="dxa"/>
            <w:shd w:val="clear" w:color="auto" w:fill="C6D9F1"/>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tcPr>
          <w:p w:rsidR="006D2860" w:rsidRDefault="009B5EB2">
            <w:pPr>
              <w:pStyle w:val="Normal1"/>
              <w:spacing w:before="120" w:after="0" w:line="240" w:lineRule="auto"/>
            </w:pPr>
            <w:r w:rsidRPr="009B5EB2">
              <w:rPr>
                <w:b/>
                <w:color w:val="000000"/>
              </w:rPr>
              <w:t xml:space="preserve">Rota3 </w:t>
            </w:r>
          </w:p>
        </w:tc>
        <w:tc>
          <w:tcPr>
            <w:tcW w:w="992" w:type="dxa"/>
          </w:tcPr>
          <w:p w:rsidR="006D2860" w:rsidRDefault="009B5EB2">
            <w:pPr>
              <w:pStyle w:val="Normal1"/>
              <w:spacing w:before="120" w:after="0" w:line="240" w:lineRule="auto"/>
            </w:pPr>
            <w:r w:rsidRPr="009B5EB2">
              <w:rPr>
                <w:color w:val="000000"/>
              </w:rPr>
              <w:t xml:space="preserve">- </w:t>
            </w:r>
          </w:p>
        </w:tc>
        <w:tc>
          <w:tcPr>
            <w:tcW w:w="993" w:type="dxa"/>
          </w:tcPr>
          <w:p w:rsidR="006D2860" w:rsidRDefault="009B5EB2">
            <w:pPr>
              <w:pStyle w:val="Normal1"/>
              <w:spacing w:before="120" w:after="0" w:line="240" w:lineRule="auto"/>
            </w:pPr>
            <w:r w:rsidRPr="009B5EB2">
              <w:rPr>
                <w:color w:val="000000"/>
              </w:rPr>
              <w:t xml:space="preserve">103,0 </w:t>
            </w:r>
          </w:p>
        </w:tc>
        <w:tc>
          <w:tcPr>
            <w:tcW w:w="992" w:type="dxa"/>
          </w:tcPr>
          <w:p w:rsidR="006D2860" w:rsidRDefault="009B5EB2">
            <w:pPr>
              <w:pStyle w:val="Normal1"/>
              <w:spacing w:before="120" w:after="0" w:line="240" w:lineRule="auto"/>
            </w:pPr>
            <w:r w:rsidRPr="009B5EB2">
              <w:rPr>
                <w:color w:val="000000"/>
              </w:rPr>
              <w:t xml:space="preserve">108,0 </w:t>
            </w:r>
          </w:p>
        </w:tc>
        <w:tc>
          <w:tcPr>
            <w:tcW w:w="850" w:type="dxa"/>
          </w:tcPr>
          <w:p w:rsidR="006D2860" w:rsidRDefault="009B5EB2">
            <w:pPr>
              <w:pStyle w:val="Normal1"/>
              <w:spacing w:before="120" w:after="0" w:line="240" w:lineRule="auto"/>
            </w:pPr>
            <w:r w:rsidRPr="009B5EB2">
              <w:rPr>
                <w:color w:val="000000"/>
              </w:rPr>
              <w:t xml:space="preserve">106,3 </w:t>
            </w:r>
          </w:p>
        </w:tc>
        <w:tc>
          <w:tcPr>
            <w:tcW w:w="851" w:type="dxa"/>
          </w:tcPr>
          <w:p w:rsidR="006D2860" w:rsidRDefault="009B5EB2">
            <w:pPr>
              <w:pStyle w:val="Normal1"/>
              <w:spacing w:before="120" w:after="0" w:line="240" w:lineRule="auto"/>
            </w:pPr>
            <w:r w:rsidRPr="009B5EB2">
              <w:rPr>
                <w:color w:val="000000"/>
              </w:rPr>
              <w:t xml:space="preserve">100,6 </w:t>
            </w:r>
          </w:p>
        </w:tc>
        <w:tc>
          <w:tcPr>
            <w:tcW w:w="1276" w:type="dxa"/>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shd w:val="clear" w:color="auto" w:fill="C6D9F1"/>
          </w:tcPr>
          <w:p w:rsidR="006D2860" w:rsidRDefault="009B5EB2">
            <w:pPr>
              <w:pStyle w:val="Normal1"/>
              <w:spacing w:before="120" w:after="0" w:line="240" w:lineRule="auto"/>
            </w:pPr>
            <w:r w:rsidRPr="009B5EB2">
              <w:rPr>
                <w:b/>
                <w:color w:val="000000"/>
              </w:rPr>
              <w:t xml:space="preserve">VAR1/RR1 </w:t>
            </w:r>
          </w:p>
        </w:tc>
        <w:tc>
          <w:tcPr>
            <w:tcW w:w="992" w:type="dxa"/>
            <w:shd w:val="clear" w:color="auto" w:fill="C6D9F1"/>
          </w:tcPr>
          <w:p w:rsidR="006D2860" w:rsidRDefault="009B5EB2">
            <w:pPr>
              <w:pStyle w:val="Normal1"/>
              <w:spacing w:before="120" w:after="0" w:line="240" w:lineRule="auto"/>
            </w:pPr>
            <w:r w:rsidRPr="009B5EB2">
              <w:rPr>
                <w:color w:val="000000"/>
              </w:rPr>
              <w:t xml:space="preserve">100 </w:t>
            </w:r>
          </w:p>
        </w:tc>
        <w:tc>
          <w:tcPr>
            <w:tcW w:w="993" w:type="dxa"/>
            <w:shd w:val="clear" w:color="auto" w:fill="C6D9F1"/>
          </w:tcPr>
          <w:p w:rsidR="006D2860" w:rsidRDefault="009B5EB2">
            <w:pPr>
              <w:pStyle w:val="Normal1"/>
              <w:spacing w:before="120" w:after="0" w:line="240" w:lineRule="auto"/>
            </w:pPr>
            <w:r w:rsidRPr="009B5EB2">
              <w:rPr>
                <w:color w:val="000000"/>
              </w:rPr>
              <w:t xml:space="preserve">99,7 </w:t>
            </w:r>
          </w:p>
        </w:tc>
        <w:tc>
          <w:tcPr>
            <w:tcW w:w="992" w:type="dxa"/>
            <w:shd w:val="clear" w:color="auto" w:fill="C6D9F1"/>
          </w:tcPr>
          <w:p w:rsidR="006D2860" w:rsidRDefault="009B5EB2">
            <w:pPr>
              <w:pStyle w:val="Normal1"/>
              <w:spacing w:before="120" w:after="0" w:line="240" w:lineRule="auto"/>
            </w:pPr>
            <w:r w:rsidRPr="009B5EB2">
              <w:rPr>
                <w:color w:val="000000"/>
              </w:rPr>
              <w:t xml:space="preserve">104,2 </w:t>
            </w:r>
          </w:p>
        </w:tc>
        <w:tc>
          <w:tcPr>
            <w:tcW w:w="850" w:type="dxa"/>
            <w:shd w:val="clear" w:color="auto" w:fill="C6D9F1"/>
          </w:tcPr>
          <w:p w:rsidR="006D2860" w:rsidRDefault="009B5EB2">
            <w:pPr>
              <w:pStyle w:val="Normal1"/>
              <w:spacing w:before="120" w:after="0" w:line="240" w:lineRule="auto"/>
            </w:pPr>
            <w:r w:rsidRPr="009B5EB2">
              <w:rPr>
                <w:color w:val="000000"/>
              </w:rPr>
              <w:t xml:space="preserve">102,8 </w:t>
            </w:r>
          </w:p>
        </w:tc>
        <w:tc>
          <w:tcPr>
            <w:tcW w:w="851" w:type="dxa"/>
            <w:shd w:val="clear" w:color="auto" w:fill="C6D9F1"/>
          </w:tcPr>
          <w:p w:rsidR="006D2860" w:rsidRDefault="009B5EB2">
            <w:pPr>
              <w:pStyle w:val="Normal1"/>
              <w:spacing w:before="120" w:after="0" w:line="240" w:lineRule="auto"/>
            </w:pPr>
            <w:r w:rsidRPr="009B5EB2">
              <w:rPr>
                <w:color w:val="000000"/>
              </w:rPr>
              <w:t xml:space="preserve">101,0 </w:t>
            </w:r>
          </w:p>
        </w:tc>
        <w:tc>
          <w:tcPr>
            <w:tcW w:w="1276" w:type="dxa"/>
            <w:shd w:val="clear" w:color="auto" w:fill="C6D9F1"/>
          </w:tcPr>
          <w:p w:rsidR="006D2860" w:rsidRDefault="009B5EB2">
            <w:pPr>
              <w:pStyle w:val="Normal1"/>
              <w:spacing w:before="120" w:after="0" w:line="240" w:lineRule="auto"/>
            </w:pPr>
            <w:r w:rsidRPr="009B5EB2">
              <w:rPr>
                <w:color w:val="000000"/>
              </w:rPr>
              <w:t xml:space="preserve">100 </w:t>
            </w:r>
          </w:p>
        </w:tc>
      </w:tr>
      <w:tr w:rsidR="00314B92">
        <w:trPr>
          <w:trHeight w:val="100"/>
        </w:trPr>
        <w:tc>
          <w:tcPr>
            <w:tcW w:w="3647" w:type="dxa"/>
          </w:tcPr>
          <w:p w:rsidR="006D2860" w:rsidRDefault="009B5EB2">
            <w:pPr>
              <w:pStyle w:val="Normal1"/>
              <w:spacing w:before="120" w:after="0" w:line="240" w:lineRule="auto"/>
            </w:pPr>
            <w:r w:rsidRPr="009B5EB2">
              <w:rPr>
                <w:b/>
                <w:color w:val="000000"/>
              </w:rPr>
              <w:t xml:space="preserve">VAR2/RR2 </w:t>
            </w:r>
          </w:p>
        </w:tc>
        <w:tc>
          <w:tcPr>
            <w:tcW w:w="992" w:type="dxa"/>
          </w:tcPr>
          <w:p w:rsidR="006D2860" w:rsidRDefault="009B5EB2">
            <w:pPr>
              <w:pStyle w:val="Normal1"/>
              <w:spacing w:before="120" w:after="0" w:line="240" w:lineRule="auto"/>
            </w:pPr>
            <w:r w:rsidRPr="009B5EB2">
              <w:rPr>
                <w:color w:val="000000"/>
              </w:rPr>
              <w:t xml:space="preserve">- </w:t>
            </w:r>
          </w:p>
        </w:tc>
        <w:tc>
          <w:tcPr>
            <w:tcW w:w="993" w:type="dxa"/>
          </w:tcPr>
          <w:p w:rsidR="006D2860" w:rsidRDefault="009B5EB2">
            <w:pPr>
              <w:pStyle w:val="Normal1"/>
              <w:spacing w:before="120" w:after="0" w:line="240" w:lineRule="auto"/>
            </w:pPr>
            <w:r w:rsidRPr="009B5EB2">
              <w:rPr>
                <w:color w:val="000000"/>
              </w:rPr>
              <w:t xml:space="preserve">16,8 </w:t>
            </w:r>
          </w:p>
        </w:tc>
        <w:tc>
          <w:tcPr>
            <w:tcW w:w="992" w:type="dxa"/>
          </w:tcPr>
          <w:p w:rsidR="006D2860" w:rsidRDefault="009B5EB2">
            <w:pPr>
              <w:pStyle w:val="Normal1"/>
              <w:spacing w:before="120" w:after="0" w:line="240" w:lineRule="auto"/>
            </w:pPr>
            <w:r w:rsidRPr="009B5EB2">
              <w:rPr>
                <w:color w:val="000000"/>
              </w:rPr>
              <w:t xml:space="preserve">103,5 </w:t>
            </w:r>
          </w:p>
        </w:tc>
        <w:tc>
          <w:tcPr>
            <w:tcW w:w="850" w:type="dxa"/>
          </w:tcPr>
          <w:p w:rsidR="006D2860" w:rsidRDefault="009B5EB2">
            <w:pPr>
              <w:pStyle w:val="Normal1"/>
              <w:spacing w:before="120" w:after="0" w:line="240" w:lineRule="auto"/>
            </w:pPr>
            <w:r w:rsidRPr="009B5EB2">
              <w:rPr>
                <w:color w:val="000000"/>
              </w:rPr>
              <w:t xml:space="preserve">99,9 </w:t>
            </w:r>
          </w:p>
        </w:tc>
        <w:tc>
          <w:tcPr>
            <w:tcW w:w="851" w:type="dxa"/>
          </w:tcPr>
          <w:p w:rsidR="006D2860" w:rsidRDefault="009B5EB2">
            <w:pPr>
              <w:pStyle w:val="Normal1"/>
              <w:spacing w:before="120" w:after="0" w:line="240" w:lineRule="auto"/>
            </w:pPr>
            <w:r w:rsidRPr="009B5EB2">
              <w:rPr>
                <w:color w:val="000000"/>
              </w:rPr>
              <w:t xml:space="preserve">80,0 </w:t>
            </w:r>
          </w:p>
        </w:tc>
        <w:tc>
          <w:tcPr>
            <w:tcW w:w="1276" w:type="dxa"/>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shd w:val="clear" w:color="auto" w:fill="C6D9F1"/>
          </w:tcPr>
          <w:p w:rsidR="006D2860" w:rsidRDefault="009B5EB2">
            <w:pPr>
              <w:pStyle w:val="Normal1"/>
              <w:spacing w:before="120" w:after="0" w:line="240" w:lineRule="auto"/>
            </w:pPr>
            <w:r w:rsidRPr="009B5EB2">
              <w:rPr>
                <w:b/>
                <w:color w:val="000000"/>
              </w:rPr>
              <w:t xml:space="preserve">VAA </w:t>
            </w:r>
          </w:p>
        </w:tc>
        <w:tc>
          <w:tcPr>
            <w:tcW w:w="992" w:type="dxa"/>
            <w:shd w:val="clear" w:color="auto" w:fill="C6D9F1"/>
          </w:tcPr>
          <w:p w:rsidR="006D2860" w:rsidRDefault="009B5EB2">
            <w:pPr>
              <w:pStyle w:val="Normal1"/>
              <w:spacing w:before="120" w:after="0" w:line="240" w:lineRule="auto"/>
            </w:pPr>
            <w:r w:rsidRPr="009B5EB2">
              <w:rPr>
                <w:color w:val="000000"/>
              </w:rPr>
              <w:t xml:space="preserve">100 </w:t>
            </w:r>
          </w:p>
        </w:tc>
        <w:tc>
          <w:tcPr>
            <w:tcW w:w="993" w:type="dxa"/>
            <w:shd w:val="clear" w:color="auto" w:fill="C6D9F1"/>
          </w:tcPr>
          <w:p w:rsidR="006D2860" w:rsidRDefault="009B5EB2">
            <w:pPr>
              <w:pStyle w:val="Normal1"/>
              <w:spacing w:before="120" w:after="0" w:line="240" w:lineRule="auto"/>
            </w:pPr>
            <w:r w:rsidRPr="009B5EB2">
              <w:rPr>
                <w:color w:val="000000"/>
              </w:rPr>
              <w:t xml:space="preserve">99,7 </w:t>
            </w:r>
          </w:p>
        </w:tc>
        <w:tc>
          <w:tcPr>
            <w:tcW w:w="992" w:type="dxa"/>
            <w:shd w:val="clear" w:color="auto" w:fill="C6D9F1"/>
          </w:tcPr>
          <w:p w:rsidR="006D2860" w:rsidRDefault="009B5EB2">
            <w:pPr>
              <w:pStyle w:val="Normal1"/>
              <w:spacing w:before="120" w:after="0" w:line="240" w:lineRule="auto"/>
            </w:pPr>
            <w:r w:rsidRPr="009B5EB2">
              <w:rPr>
                <w:color w:val="000000"/>
              </w:rPr>
              <w:t xml:space="preserve">65,2 </w:t>
            </w:r>
          </w:p>
        </w:tc>
        <w:tc>
          <w:tcPr>
            <w:tcW w:w="850" w:type="dxa"/>
            <w:shd w:val="clear" w:color="auto" w:fill="C6D9F1"/>
          </w:tcPr>
          <w:p w:rsidR="006D2860" w:rsidRDefault="009B5EB2">
            <w:pPr>
              <w:pStyle w:val="Normal1"/>
              <w:spacing w:before="120" w:after="0" w:line="240" w:lineRule="auto"/>
            </w:pPr>
            <w:r w:rsidRPr="009B5EB2">
              <w:rPr>
                <w:color w:val="000000"/>
              </w:rPr>
              <w:t xml:space="preserve">74,0 </w:t>
            </w:r>
          </w:p>
        </w:tc>
        <w:tc>
          <w:tcPr>
            <w:tcW w:w="851" w:type="dxa"/>
            <w:shd w:val="clear" w:color="auto" w:fill="C6D9F1"/>
          </w:tcPr>
          <w:p w:rsidR="006D2860" w:rsidRDefault="009B5EB2">
            <w:pPr>
              <w:pStyle w:val="Normal1"/>
              <w:spacing w:before="120" w:after="0" w:line="240" w:lineRule="auto"/>
            </w:pPr>
            <w:r w:rsidRPr="009B5EB2">
              <w:rPr>
                <w:color w:val="000000"/>
              </w:rPr>
              <w:t xml:space="preserve">45,6 </w:t>
            </w:r>
          </w:p>
        </w:tc>
        <w:tc>
          <w:tcPr>
            <w:tcW w:w="1276" w:type="dxa"/>
            <w:shd w:val="clear" w:color="auto" w:fill="C6D9F1"/>
          </w:tcPr>
          <w:p w:rsidR="006D2860" w:rsidRDefault="009B5EB2">
            <w:pPr>
              <w:pStyle w:val="Normal1"/>
              <w:spacing w:before="120" w:after="0" w:line="240" w:lineRule="auto"/>
            </w:pPr>
            <w:r w:rsidRPr="009B5EB2">
              <w:rPr>
                <w:color w:val="000000"/>
              </w:rPr>
              <w:t xml:space="preserve">100 </w:t>
            </w:r>
          </w:p>
        </w:tc>
      </w:tr>
      <w:tr w:rsidR="00314B92">
        <w:trPr>
          <w:trHeight w:val="80"/>
        </w:trPr>
        <w:tc>
          <w:tcPr>
            <w:tcW w:w="3647" w:type="dxa"/>
          </w:tcPr>
          <w:p w:rsidR="006D2860" w:rsidRDefault="009B5EB2">
            <w:pPr>
              <w:pStyle w:val="Normal1"/>
              <w:spacing w:before="120" w:after="0" w:line="240" w:lineRule="auto"/>
            </w:pPr>
            <w:r w:rsidRPr="009B5EB2">
              <w:rPr>
                <w:b/>
                <w:color w:val="000000"/>
              </w:rPr>
              <w:t xml:space="preserve">Men A </w:t>
            </w:r>
          </w:p>
        </w:tc>
        <w:tc>
          <w:tcPr>
            <w:tcW w:w="992" w:type="dxa"/>
          </w:tcPr>
          <w:p w:rsidR="006D2860" w:rsidRDefault="009B5EB2">
            <w:pPr>
              <w:pStyle w:val="Normal1"/>
              <w:spacing w:before="120" w:after="0" w:line="240" w:lineRule="auto"/>
            </w:pPr>
            <w:r w:rsidRPr="009B5EB2">
              <w:rPr>
                <w:color w:val="000000"/>
              </w:rPr>
              <w:t xml:space="preserve">- </w:t>
            </w:r>
          </w:p>
        </w:tc>
        <w:tc>
          <w:tcPr>
            <w:tcW w:w="993" w:type="dxa"/>
          </w:tcPr>
          <w:p w:rsidR="006D2860" w:rsidRDefault="009B5EB2">
            <w:pPr>
              <w:pStyle w:val="Normal1"/>
              <w:spacing w:before="120" w:after="0" w:line="240" w:lineRule="auto"/>
            </w:pPr>
            <w:r w:rsidRPr="009B5EB2">
              <w:rPr>
                <w:color w:val="000000"/>
              </w:rPr>
              <w:t xml:space="preserve">- </w:t>
            </w:r>
          </w:p>
        </w:tc>
        <w:tc>
          <w:tcPr>
            <w:tcW w:w="992" w:type="dxa"/>
          </w:tcPr>
          <w:p w:rsidR="006D2860" w:rsidRDefault="009B5EB2">
            <w:pPr>
              <w:pStyle w:val="Normal1"/>
              <w:spacing w:before="120" w:after="0" w:line="240" w:lineRule="auto"/>
            </w:pPr>
            <w:r w:rsidRPr="009B5EB2">
              <w:rPr>
                <w:color w:val="000000"/>
              </w:rPr>
              <w:t xml:space="preserve">- </w:t>
            </w:r>
          </w:p>
        </w:tc>
        <w:tc>
          <w:tcPr>
            <w:tcW w:w="850" w:type="dxa"/>
          </w:tcPr>
          <w:p w:rsidR="006D2860" w:rsidRDefault="009B5EB2">
            <w:pPr>
              <w:pStyle w:val="Normal1"/>
              <w:spacing w:before="120" w:after="0" w:line="240" w:lineRule="auto"/>
            </w:pPr>
            <w:r w:rsidRPr="009B5EB2">
              <w:rPr>
                <w:color w:val="000000"/>
              </w:rPr>
              <w:t xml:space="preserve">- </w:t>
            </w:r>
          </w:p>
        </w:tc>
        <w:tc>
          <w:tcPr>
            <w:tcW w:w="851" w:type="dxa"/>
          </w:tcPr>
          <w:p w:rsidR="006D2860" w:rsidRDefault="009B5EB2">
            <w:pPr>
              <w:pStyle w:val="Normal1"/>
              <w:spacing w:before="120" w:after="0" w:line="240" w:lineRule="auto"/>
            </w:pPr>
            <w:r w:rsidRPr="009B5EB2">
              <w:rPr>
                <w:color w:val="000000"/>
              </w:rPr>
              <w:t xml:space="preserve">68,0 </w:t>
            </w:r>
          </w:p>
        </w:tc>
        <w:tc>
          <w:tcPr>
            <w:tcW w:w="1276" w:type="dxa"/>
          </w:tcPr>
          <w:p w:rsidR="006D2860" w:rsidRDefault="009B5EB2">
            <w:pPr>
              <w:pStyle w:val="Normal1"/>
              <w:spacing w:before="120" w:after="0" w:line="240" w:lineRule="auto"/>
            </w:pPr>
            <w:r w:rsidRPr="009B5EB2">
              <w:rPr>
                <w:color w:val="000000"/>
              </w:rPr>
              <w:t xml:space="preserve">70 </w:t>
            </w:r>
          </w:p>
        </w:tc>
      </w:tr>
      <w:tr w:rsidR="00314B92">
        <w:trPr>
          <w:trHeight w:val="80"/>
        </w:trPr>
        <w:tc>
          <w:tcPr>
            <w:tcW w:w="3647" w:type="dxa"/>
            <w:shd w:val="clear" w:color="auto" w:fill="C6D9F1"/>
          </w:tcPr>
          <w:p w:rsidR="006D2860" w:rsidRDefault="009B5EB2">
            <w:pPr>
              <w:pStyle w:val="Normal1"/>
              <w:spacing w:before="120" w:after="0" w:line="240" w:lineRule="auto"/>
            </w:pPr>
            <w:r w:rsidRPr="009B5EB2">
              <w:rPr>
                <w:b/>
                <w:color w:val="000000"/>
              </w:rPr>
              <w:t xml:space="preserve">VAT2+ </w:t>
            </w:r>
          </w:p>
        </w:tc>
        <w:tc>
          <w:tcPr>
            <w:tcW w:w="992" w:type="dxa"/>
            <w:shd w:val="clear" w:color="auto" w:fill="C6D9F1"/>
          </w:tcPr>
          <w:p w:rsidR="006D2860" w:rsidRDefault="009B5EB2">
            <w:pPr>
              <w:pStyle w:val="Normal1"/>
              <w:spacing w:before="120" w:after="0" w:line="240" w:lineRule="auto"/>
            </w:pPr>
            <w:r w:rsidRPr="009B5EB2">
              <w:rPr>
                <w:color w:val="000000"/>
              </w:rPr>
              <w:t xml:space="preserve">88 </w:t>
            </w:r>
          </w:p>
        </w:tc>
        <w:tc>
          <w:tcPr>
            <w:tcW w:w="993" w:type="dxa"/>
            <w:shd w:val="clear" w:color="auto" w:fill="C6D9F1"/>
          </w:tcPr>
          <w:p w:rsidR="006D2860" w:rsidRDefault="009B5EB2">
            <w:pPr>
              <w:pStyle w:val="Normal1"/>
              <w:spacing w:before="120" w:after="0" w:line="240" w:lineRule="auto"/>
            </w:pPr>
            <w:r w:rsidRPr="009B5EB2">
              <w:rPr>
                <w:color w:val="000000"/>
              </w:rPr>
              <w:t xml:space="preserve">81,8 </w:t>
            </w:r>
          </w:p>
        </w:tc>
        <w:tc>
          <w:tcPr>
            <w:tcW w:w="992" w:type="dxa"/>
            <w:shd w:val="clear" w:color="auto" w:fill="C6D9F1"/>
          </w:tcPr>
          <w:p w:rsidR="006D2860" w:rsidRDefault="009B5EB2">
            <w:pPr>
              <w:pStyle w:val="Normal1"/>
              <w:spacing w:before="120" w:after="0" w:line="240" w:lineRule="auto"/>
            </w:pPr>
            <w:r w:rsidRPr="009B5EB2">
              <w:rPr>
                <w:color w:val="000000"/>
              </w:rPr>
              <w:t xml:space="preserve">103,0 </w:t>
            </w:r>
          </w:p>
        </w:tc>
        <w:tc>
          <w:tcPr>
            <w:tcW w:w="850" w:type="dxa"/>
            <w:shd w:val="clear" w:color="auto" w:fill="C6D9F1"/>
          </w:tcPr>
          <w:p w:rsidR="006D2860" w:rsidRDefault="009B5EB2">
            <w:pPr>
              <w:pStyle w:val="Normal1"/>
              <w:spacing w:before="120" w:after="0" w:line="240" w:lineRule="auto"/>
            </w:pPr>
            <w:r w:rsidRPr="009B5EB2">
              <w:rPr>
                <w:color w:val="000000"/>
              </w:rPr>
              <w:t xml:space="preserve">56,8 </w:t>
            </w:r>
          </w:p>
        </w:tc>
        <w:tc>
          <w:tcPr>
            <w:tcW w:w="851" w:type="dxa"/>
            <w:shd w:val="clear" w:color="auto" w:fill="C6D9F1"/>
          </w:tcPr>
          <w:p w:rsidR="006D2860" w:rsidRDefault="009B5EB2">
            <w:pPr>
              <w:pStyle w:val="Normal1"/>
              <w:spacing w:before="120" w:after="0" w:line="240" w:lineRule="auto"/>
            </w:pPr>
            <w:r w:rsidRPr="009B5EB2">
              <w:rPr>
                <w:color w:val="000000"/>
              </w:rPr>
              <w:t xml:space="preserve">95,4 </w:t>
            </w:r>
          </w:p>
        </w:tc>
        <w:tc>
          <w:tcPr>
            <w:tcW w:w="1276" w:type="dxa"/>
            <w:shd w:val="clear" w:color="auto" w:fill="C6D9F1"/>
          </w:tcPr>
          <w:p w:rsidR="006D2860" w:rsidRDefault="009B5EB2">
            <w:pPr>
              <w:pStyle w:val="Normal1"/>
              <w:spacing w:before="120" w:after="0" w:line="240" w:lineRule="auto"/>
            </w:pPr>
            <w:r w:rsidRPr="009B5EB2">
              <w:rPr>
                <w:color w:val="000000"/>
              </w:rPr>
              <w:t xml:space="preserve">95 </w:t>
            </w:r>
          </w:p>
        </w:tc>
      </w:tr>
      <w:tr w:rsidR="00314B92">
        <w:trPr>
          <w:trHeight w:val="180"/>
        </w:trPr>
        <w:tc>
          <w:tcPr>
            <w:tcW w:w="3647" w:type="dxa"/>
          </w:tcPr>
          <w:p w:rsidR="006D2860" w:rsidRDefault="009B5EB2">
            <w:pPr>
              <w:pStyle w:val="Normal1"/>
              <w:spacing w:before="120" w:after="0" w:line="240" w:lineRule="auto"/>
            </w:pPr>
            <w:r w:rsidRPr="009B5EB2">
              <w:rPr>
                <w:b/>
                <w:color w:val="000000"/>
              </w:rPr>
              <w:t xml:space="preserve">Taux d’abandon Penta1/Penta 3 </w:t>
            </w:r>
          </w:p>
        </w:tc>
        <w:tc>
          <w:tcPr>
            <w:tcW w:w="992" w:type="dxa"/>
          </w:tcPr>
          <w:p w:rsidR="006D2860" w:rsidRDefault="009B5EB2">
            <w:pPr>
              <w:pStyle w:val="Normal1"/>
              <w:spacing w:before="120" w:after="0" w:line="240" w:lineRule="auto"/>
            </w:pPr>
            <w:r w:rsidRPr="009B5EB2">
              <w:rPr>
                <w:color w:val="000000"/>
              </w:rPr>
              <w:t xml:space="preserve">3,3 </w:t>
            </w:r>
          </w:p>
        </w:tc>
        <w:tc>
          <w:tcPr>
            <w:tcW w:w="993" w:type="dxa"/>
          </w:tcPr>
          <w:p w:rsidR="006D2860" w:rsidRDefault="009B5EB2">
            <w:pPr>
              <w:pStyle w:val="Normal1"/>
              <w:spacing w:before="120" w:after="0" w:line="240" w:lineRule="auto"/>
            </w:pPr>
            <w:r w:rsidRPr="009B5EB2">
              <w:rPr>
                <w:color w:val="000000"/>
              </w:rPr>
              <w:t xml:space="preserve">3,4 </w:t>
            </w:r>
          </w:p>
        </w:tc>
        <w:tc>
          <w:tcPr>
            <w:tcW w:w="992" w:type="dxa"/>
          </w:tcPr>
          <w:p w:rsidR="006D2860" w:rsidRDefault="009B5EB2">
            <w:pPr>
              <w:pStyle w:val="Normal1"/>
              <w:spacing w:before="120" w:after="0" w:line="240" w:lineRule="auto"/>
            </w:pPr>
            <w:r w:rsidRPr="009B5EB2">
              <w:rPr>
                <w:color w:val="000000"/>
              </w:rPr>
              <w:t xml:space="preserve">5,2 </w:t>
            </w:r>
          </w:p>
        </w:tc>
        <w:tc>
          <w:tcPr>
            <w:tcW w:w="850" w:type="dxa"/>
          </w:tcPr>
          <w:p w:rsidR="006D2860" w:rsidRDefault="009B5EB2">
            <w:pPr>
              <w:pStyle w:val="Normal1"/>
              <w:spacing w:before="120" w:after="0" w:line="240" w:lineRule="auto"/>
            </w:pPr>
            <w:r w:rsidRPr="009B5EB2">
              <w:rPr>
                <w:color w:val="000000"/>
              </w:rPr>
              <w:t xml:space="preserve">3,2 </w:t>
            </w:r>
          </w:p>
        </w:tc>
        <w:tc>
          <w:tcPr>
            <w:tcW w:w="851" w:type="dxa"/>
          </w:tcPr>
          <w:p w:rsidR="006D2860" w:rsidRDefault="009B5EB2">
            <w:pPr>
              <w:pStyle w:val="Normal1"/>
              <w:spacing w:before="120" w:after="0" w:line="240" w:lineRule="auto"/>
            </w:pPr>
            <w:r w:rsidRPr="009B5EB2">
              <w:rPr>
                <w:color w:val="000000"/>
              </w:rPr>
              <w:t xml:space="preserve">3,3 </w:t>
            </w:r>
          </w:p>
        </w:tc>
        <w:tc>
          <w:tcPr>
            <w:tcW w:w="1276" w:type="dxa"/>
          </w:tcPr>
          <w:p w:rsidR="006D2860" w:rsidRDefault="009B5EB2">
            <w:pPr>
              <w:pStyle w:val="Normal1"/>
              <w:spacing w:before="120" w:after="0" w:line="240" w:lineRule="auto"/>
            </w:pPr>
            <w:r w:rsidRPr="009B5EB2">
              <w:rPr>
                <w:color w:val="000000"/>
              </w:rPr>
              <w:t xml:space="preserve">≤ 5 </w:t>
            </w:r>
          </w:p>
        </w:tc>
      </w:tr>
      <w:tr w:rsidR="00314B92">
        <w:trPr>
          <w:trHeight w:val="180"/>
        </w:trPr>
        <w:tc>
          <w:tcPr>
            <w:tcW w:w="3647" w:type="dxa"/>
            <w:shd w:val="clear" w:color="auto" w:fill="C6D9F1"/>
          </w:tcPr>
          <w:p w:rsidR="006D2860" w:rsidRDefault="009B5EB2">
            <w:pPr>
              <w:pStyle w:val="Normal1"/>
              <w:spacing w:before="120" w:after="0" w:line="240" w:lineRule="auto"/>
            </w:pPr>
            <w:r w:rsidRPr="009B5EB2">
              <w:rPr>
                <w:b/>
                <w:color w:val="000000"/>
              </w:rPr>
              <w:t xml:space="preserve">Taux d’abandon BCG/VAR </w:t>
            </w:r>
          </w:p>
        </w:tc>
        <w:tc>
          <w:tcPr>
            <w:tcW w:w="992" w:type="dxa"/>
            <w:shd w:val="clear" w:color="auto" w:fill="C6D9F1"/>
          </w:tcPr>
          <w:p w:rsidR="006D2860" w:rsidRDefault="009B5EB2">
            <w:pPr>
              <w:pStyle w:val="Normal1"/>
              <w:spacing w:before="120" w:after="0" w:line="240" w:lineRule="auto"/>
            </w:pPr>
            <w:r w:rsidRPr="009B5EB2">
              <w:rPr>
                <w:color w:val="000000"/>
              </w:rPr>
              <w:t xml:space="preserve">12,8 </w:t>
            </w:r>
          </w:p>
        </w:tc>
        <w:tc>
          <w:tcPr>
            <w:tcW w:w="993" w:type="dxa"/>
            <w:shd w:val="clear" w:color="auto" w:fill="C6D9F1"/>
          </w:tcPr>
          <w:p w:rsidR="006D2860" w:rsidRDefault="009B5EB2">
            <w:pPr>
              <w:pStyle w:val="Normal1"/>
              <w:spacing w:before="120" w:after="0" w:line="240" w:lineRule="auto"/>
            </w:pPr>
            <w:r w:rsidRPr="009B5EB2">
              <w:rPr>
                <w:color w:val="000000"/>
              </w:rPr>
              <w:t xml:space="preserve">12,7 </w:t>
            </w:r>
          </w:p>
        </w:tc>
        <w:tc>
          <w:tcPr>
            <w:tcW w:w="992" w:type="dxa"/>
            <w:shd w:val="clear" w:color="auto" w:fill="C6D9F1"/>
          </w:tcPr>
          <w:p w:rsidR="006D2860" w:rsidRDefault="009B5EB2">
            <w:pPr>
              <w:pStyle w:val="Normal1"/>
              <w:spacing w:before="120" w:after="0" w:line="240" w:lineRule="auto"/>
            </w:pPr>
            <w:r w:rsidRPr="009B5EB2">
              <w:rPr>
                <w:color w:val="000000"/>
              </w:rPr>
              <w:t xml:space="preserve">13,6 </w:t>
            </w:r>
          </w:p>
        </w:tc>
        <w:tc>
          <w:tcPr>
            <w:tcW w:w="850" w:type="dxa"/>
            <w:shd w:val="clear" w:color="auto" w:fill="C6D9F1"/>
          </w:tcPr>
          <w:p w:rsidR="006D2860" w:rsidRDefault="009B5EB2">
            <w:pPr>
              <w:pStyle w:val="Normal1"/>
              <w:spacing w:before="120" w:after="0" w:line="240" w:lineRule="auto"/>
            </w:pPr>
            <w:r w:rsidRPr="009B5EB2">
              <w:rPr>
                <w:color w:val="000000"/>
              </w:rPr>
              <w:t xml:space="preserve">10,1 </w:t>
            </w:r>
          </w:p>
        </w:tc>
        <w:tc>
          <w:tcPr>
            <w:tcW w:w="851" w:type="dxa"/>
            <w:shd w:val="clear" w:color="auto" w:fill="C6D9F1"/>
          </w:tcPr>
          <w:p w:rsidR="006D2860" w:rsidRDefault="009B5EB2">
            <w:pPr>
              <w:pStyle w:val="Normal1"/>
              <w:spacing w:before="120" w:after="0" w:line="240" w:lineRule="auto"/>
            </w:pPr>
            <w:r w:rsidRPr="009B5EB2">
              <w:rPr>
                <w:color w:val="000000"/>
              </w:rPr>
              <w:t xml:space="preserve">13,6 </w:t>
            </w:r>
          </w:p>
        </w:tc>
        <w:tc>
          <w:tcPr>
            <w:tcW w:w="1276" w:type="dxa"/>
            <w:shd w:val="clear" w:color="auto" w:fill="C6D9F1"/>
          </w:tcPr>
          <w:p w:rsidR="006D2860" w:rsidRDefault="009B5EB2">
            <w:pPr>
              <w:pStyle w:val="Normal1"/>
              <w:spacing w:before="120" w:after="0" w:line="240" w:lineRule="auto"/>
            </w:pPr>
            <w:r w:rsidRPr="009B5EB2">
              <w:rPr>
                <w:color w:val="000000"/>
              </w:rPr>
              <w:t xml:space="preserve">≤ 12 </w:t>
            </w:r>
          </w:p>
        </w:tc>
      </w:tr>
    </w:tbl>
    <w:p w:rsidR="00314B92" w:rsidRDefault="00314B92">
      <w:pPr>
        <w:pStyle w:val="Normal1"/>
      </w:pPr>
    </w:p>
    <w:p w:rsidR="00314B92" w:rsidRDefault="00AD5F81" w:rsidP="005D02C3">
      <w:pPr>
        <w:pStyle w:val="Normal1"/>
        <w:numPr>
          <w:ilvl w:val="3"/>
          <w:numId w:val="120"/>
        </w:numPr>
        <w:pBdr>
          <w:top w:val="nil"/>
          <w:left w:val="nil"/>
          <w:bottom w:val="nil"/>
          <w:right w:val="nil"/>
          <w:between w:val="nil"/>
        </w:pBdr>
        <w:spacing w:after="0"/>
        <w:rPr>
          <w:color w:val="000000"/>
          <w:sz w:val="24"/>
          <w:szCs w:val="24"/>
        </w:rPr>
      </w:pPr>
      <w:r>
        <w:rPr>
          <w:b/>
          <w:color w:val="000000"/>
          <w:sz w:val="24"/>
          <w:szCs w:val="24"/>
        </w:rPr>
        <w:t>Gaps de performances et leurs causes</w:t>
      </w:r>
    </w:p>
    <w:p w:rsidR="00314B92" w:rsidRDefault="00AD5F81" w:rsidP="00F20185">
      <w:pPr>
        <w:pStyle w:val="Normal1"/>
        <w:numPr>
          <w:ilvl w:val="0"/>
          <w:numId w:val="22"/>
        </w:numPr>
        <w:pBdr>
          <w:top w:val="nil"/>
          <w:left w:val="nil"/>
          <w:bottom w:val="nil"/>
          <w:right w:val="nil"/>
          <w:between w:val="nil"/>
        </w:pBdr>
        <w:spacing w:after="0"/>
        <w:jc w:val="both"/>
        <w:rPr>
          <w:i/>
          <w:color w:val="000000"/>
          <w:sz w:val="24"/>
          <w:szCs w:val="24"/>
        </w:rPr>
      </w:pPr>
      <w:r>
        <w:rPr>
          <w:i/>
          <w:color w:val="000000"/>
          <w:sz w:val="24"/>
          <w:szCs w:val="24"/>
        </w:rPr>
        <w:t xml:space="preserve">Une couverture vaccinale incomplète </w:t>
      </w:r>
    </w:p>
    <w:p w:rsidR="00314B92" w:rsidRDefault="00AD5F81" w:rsidP="005D02C3">
      <w:pPr>
        <w:pStyle w:val="Normal1"/>
        <w:numPr>
          <w:ilvl w:val="0"/>
          <w:numId w:val="58"/>
        </w:numPr>
        <w:pBdr>
          <w:top w:val="nil"/>
          <w:left w:val="nil"/>
          <w:bottom w:val="nil"/>
          <w:right w:val="nil"/>
          <w:between w:val="nil"/>
        </w:pBdr>
        <w:spacing w:after="0"/>
        <w:jc w:val="both"/>
        <w:rPr>
          <w:color w:val="000000"/>
          <w:sz w:val="24"/>
          <w:szCs w:val="24"/>
        </w:rPr>
      </w:pPr>
      <w:r>
        <w:rPr>
          <w:color w:val="000000"/>
          <w:sz w:val="24"/>
          <w:szCs w:val="24"/>
        </w:rPr>
        <w:t>La faible couverture vaccinale en VAA dans les districts qui ne dépasse pas 45,6% pour une cible de 100%.</w:t>
      </w:r>
    </w:p>
    <w:p w:rsidR="00314B92" w:rsidRDefault="00AD5F81" w:rsidP="005D02C3">
      <w:pPr>
        <w:pStyle w:val="Normal1"/>
        <w:numPr>
          <w:ilvl w:val="0"/>
          <w:numId w:val="58"/>
        </w:numPr>
        <w:pBdr>
          <w:top w:val="nil"/>
          <w:left w:val="nil"/>
          <w:bottom w:val="nil"/>
          <w:right w:val="nil"/>
          <w:between w:val="nil"/>
        </w:pBdr>
        <w:spacing w:after="0"/>
        <w:jc w:val="both"/>
        <w:rPr>
          <w:color w:val="000000"/>
          <w:sz w:val="24"/>
          <w:szCs w:val="24"/>
        </w:rPr>
      </w:pPr>
      <w:r>
        <w:rPr>
          <w:color w:val="000000"/>
          <w:sz w:val="24"/>
          <w:szCs w:val="24"/>
        </w:rPr>
        <w:t>Une proportion encore élevée (16 %) d’enfants âgés de 12 à 23 mois qui ne bénéficient pas d’une protection complète contre les maladies évitables par la vaccination (poliomyélite, rougeole, fièvre jaune, diphtérie, coqueluche, méningite à Hib, hépatite virale B et infections à Haemophilus influenzae)</w:t>
      </w:r>
      <w:r>
        <w:rPr>
          <w:color w:val="000000"/>
          <w:sz w:val="24"/>
          <w:szCs w:val="24"/>
          <w:vertAlign w:val="superscript"/>
        </w:rPr>
        <w:footnoteReference w:id="77"/>
      </w:r>
      <w:r>
        <w:rPr>
          <w:color w:val="000000"/>
          <w:sz w:val="24"/>
          <w:szCs w:val="24"/>
        </w:rPr>
        <w:t xml:space="preserve">. </w:t>
      </w:r>
    </w:p>
    <w:p w:rsidR="00314B92" w:rsidRDefault="00AD5F81" w:rsidP="005D02C3">
      <w:pPr>
        <w:pStyle w:val="Normal1"/>
        <w:numPr>
          <w:ilvl w:val="0"/>
          <w:numId w:val="58"/>
        </w:numPr>
        <w:pBdr>
          <w:top w:val="nil"/>
          <w:left w:val="nil"/>
          <w:bottom w:val="nil"/>
          <w:right w:val="nil"/>
          <w:between w:val="nil"/>
        </w:pBdr>
        <w:spacing w:after="0"/>
        <w:jc w:val="both"/>
        <w:rPr>
          <w:color w:val="000000"/>
          <w:sz w:val="24"/>
          <w:szCs w:val="24"/>
        </w:rPr>
      </w:pPr>
      <w:r>
        <w:rPr>
          <w:color w:val="000000"/>
          <w:sz w:val="24"/>
          <w:szCs w:val="24"/>
        </w:rPr>
        <w:t>En 2017, seulement 13 districts sanitaires sur les 70 ont atteint une couverture d’au moins 95% pour les deux doses de VAR dans chaque district, nécessaire pour aller vers l’élimination de la Rougeole (OMS). EN 2016, seulement 9 avaient atteint cette performance.</w:t>
      </w:r>
    </w:p>
    <w:p w:rsidR="00314B92" w:rsidRDefault="00AD5F81" w:rsidP="00F20185">
      <w:pPr>
        <w:pStyle w:val="Normal1"/>
        <w:numPr>
          <w:ilvl w:val="0"/>
          <w:numId w:val="22"/>
        </w:numPr>
        <w:pBdr>
          <w:top w:val="nil"/>
          <w:left w:val="nil"/>
          <w:bottom w:val="nil"/>
          <w:right w:val="nil"/>
          <w:between w:val="nil"/>
        </w:pBdr>
        <w:spacing w:after="0"/>
        <w:jc w:val="both"/>
        <w:rPr>
          <w:color w:val="000000"/>
          <w:sz w:val="24"/>
          <w:szCs w:val="24"/>
        </w:rPr>
      </w:pPr>
      <w:r>
        <w:rPr>
          <w:i/>
          <w:color w:val="000000"/>
          <w:sz w:val="24"/>
          <w:szCs w:val="24"/>
        </w:rPr>
        <w:t>La Gestion des approvisionnements en vaccins n’est pas satisfaisante</w:t>
      </w:r>
      <w:r>
        <w:rPr>
          <w:color w:val="000000"/>
          <w:sz w:val="24"/>
          <w:szCs w:val="24"/>
        </w:rPr>
        <w:t xml:space="preserve"> avec des péremptions et rupture de stock </w:t>
      </w:r>
    </w:p>
    <w:p w:rsidR="00314B92" w:rsidRDefault="00750AD2">
      <w:pPr>
        <w:pStyle w:val="Normal1"/>
        <w:pBdr>
          <w:top w:val="nil"/>
          <w:left w:val="nil"/>
          <w:bottom w:val="nil"/>
          <w:right w:val="nil"/>
          <w:between w:val="nil"/>
        </w:pBdr>
        <w:spacing w:after="0"/>
        <w:ind w:left="360" w:hanging="720"/>
        <w:jc w:val="both"/>
        <w:rPr>
          <w:color w:val="000000"/>
          <w:sz w:val="24"/>
          <w:szCs w:val="24"/>
        </w:rPr>
      </w:pPr>
      <w:r>
        <w:rPr>
          <w:color w:val="000000"/>
          <w:sz w:val="24"/>
          <w:szCs w:val="24"/>
        </w:rPr>
        <w:t xml:space="preserve">            </w:t>
      </w:r>
      <w:r w:rsidR="00AD5F81">
        <w:rPr>
          <w:color w:val="000000"/>
          <w:sz w:val="24"/>
          <w:szCs w:val="24"/>
        </w:rPr>
        <w:t>En 2015, 17% du stock national de vaccin Pentavalent périmé</w:t>
      </w:r>
      <w:r w:rsidR="00AD5F81">
        <w:rPr>
          <w:color w:val="000000"/>
          <w:sz w:val="24"/>
          <w:szCs w:val="24"/>
          <w:vertAlign w:val="superscript"/>
        </w:rPr>
        <w:footnoteReference w:id="78"/>
      </w:r>
      <w:r w:rsidR="00AD5F81">
        <w:rPr>
          <w:color w:val="000000"/>
          <w:sz w:val="24"/>
          <w:szCs w:val="24"/>
        </w:rPr>
        <w:t xml:space="preserve"> et en 2017, rupture de stock de l’Antigène VAA </w:t>
      </w:r>
      <w:r w:rsidR="00AD5F81">
        <w:rPr>
          <w:color w:val="000000"/>
          <w:sz w:val="24"/>
          <w:szCs w:val="24"/>
          <w:vertAlign w:val="superscript"/>
        </w:rPr>
        <w:footnoteReference w:id="79"/>
      </w:r>
      <w:r w:rsidR="00AD5F81">
        <w:rPr>
          <w:color w:val="000000"/>
          <w:sz w:val="24"/>
          <w:szCs w:val="24"/>
        </w:rPr>
        <w:t>.</w:t>
      </w:r>
    </w:p>
    <w:p w:rsidR="00314B92" w:rsidRDefault="00AD5F81" w:rsidP="00F20185">
      <w:pPr>
        <w:pStyle w:val="Normal1"/>
        <w:numPr>
          <w:ilvl w:val="0"/>
          <w:numId w:val="22"/>
        </w:numPr>
        <w:pBdr>
          <w:top w:val="nil"/>
          <w:left w:val="nil"/>
          <w:bottom w:val="nil"/>
          <w:right w:val="nil"/>
          <w:between w:val="nil"/>
        </w:pBdr>
        <w:spacing w:after="0"/>
        <w:jc w:val="both"/>
        <w:rPr>
          <w:i/>
          <w:color w:val="000000"/>
          <w:sz w:val="24"/>
          <w:szCs w:val="24"/>
        </w:rPr>
      </w:pPr>
      <w:r>
        <w:rPr>
          <w:i/>
          <w:color w:val="000000"/>
          <w:sz w:val="24"/>
          <w:szCs w:val="24"/>
        </w:rPr>
        <w:t>Les inégalités dans la distribution de la couverture vaccinale varient suivant les régions.</w:t>
      </w:r>
    </w:p>
    <w:p w:rsidR="00314B92" w:rsidRPr="00DB186A" w:rsidRDefault="00AD5F81" w:rsidP="00F20185">
      <w:pPr>
        <w:pStyle w:val="Normal1"/>
        <w:numPr>
          <w:ilvl w:val="0"/>
          <w:numId w:val="22"/>
        </w:numPr>
        <w:pBdr>
          <w:top w:val="nil"/>
          <w:left w:val="nil"/>
          <w:bottom w:val="nil"/>
          <w:right w:val="nil"/>
          <w:between w:val="nil"/>
        </w:pBdr>
        <w:spacing w:after="0"/>
        <w:jc w:val="both"/>
        <w:rPr>
          <w:color w:val="000000"/>
          <w:sz w:val="24"/>
          <w:szCs w:val="24"/>
        </w:rPr>
      </w:pPr>
      <w:r>
        <w:rPr>
          <w:color w:val="000000"/>
          <w:sz w:val="24"/>
          <w:szCs w:val="24"/>
        </w:rPr>
        <w:t>La région du Sahel apparaît comme celle qui tire les indicateurs nationaux vers le bas avec une couverture de 67.9% de DTCoq-Heb Hib3 et seulement 56.8% d'enfants de 12-23 mois entièrement vaccinés, suivi des Hauts-Bassins et du Centre-Nord qui se rapprochent sensiblement de la moyenne nationale. Parmi les enfants âgés de 12 à 23 mois de la région du Sahel, 43.2% ne sont pas complètement vaccinés et 5.6% n’ont reçu aucun vaccin. Les régions où la proportion d’enfants non-atteints est élevée sont celles des Hauts Bassins, du Plateau Central et du Sahel. Parmi les enfants n’ayant pas une vaccination complète, plus de 40% n’ont reçu aucune des trois vaccinations. L’efficacité actuelle des prestations nécessite des améliorations pour garantir la complétude des vaccinations réalisées.</w:t>
      </w:r>
    </w:p>
    <w:tbl>
      <w:tblPr>
        <w:tblStyle w:val="af"/>
        <w:tblW w:w="8702"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02"/>
      </w:tblGrid>
      <w:tr w:rsidR="00314B92">
        <w:tc>
          <w:tcPr>
            <w:tcW w:w="8702" w:type="dxa"/>
          </w:tcPr>
          <w:p w:rsidR="00314B92" w:rsidRDefault="00AD5F81">
            <w:pPr>
              <w:pStyle w:val="Normal1"/>
              <w:pBdr>
                <w:top w:val="nil"/>
                <w:left w:val="nil"/>
                <w:bottom w:val="nil"/>
                <w:right w:val="nil"/>
                <w:between w:val="nil"/>
              </w:pBdr>
              <w:spacing w:after="200" w:line="360" w:lineRule="auto"/>
              <w:ind w:hanging="720"/>
              <w:jc w:val="center"/>
              <w:rPr>
                <w:color w:val="000000"/>
                <w:sz w:val="24"/>
                <w:szCs w:val="24"/>
              </w:rPr>
            </w:pPr>
            <w:r>
              <w:rPr>
                <w:noProof/>
                <w:color w:val="000000"/>
                <w:sz w:val="24"/>
                <w:szCs w:val="24"/>
              </w:rPr>
              <w:drawing>
                <wp:inline distT="0" distB="0" distL="0" distR="0">
                  <wp:extent cx="4662092" cy="2641405"/>
                  <wp:effectExtent l="0" t="0" r="0" b="0"/>
                  <wp:docPr id="39" name="image46.png" descr="C:\Users\hp Probook 4540s\Desktop\cartes UNICEF\Vaccination2014.png"/>
                  <wp:cNvGraphicFramePr/>
                  <a:graphic xmlns:a="http://schemas.openxmlformats.org/drawingml/2006/main">
                    <a:graphicData uri="http://schemas.openxmlformats.org/drawingml/2006/picture">
                      <pic:pic xmlns:pic="http://schemas.openxmlformats.org/drawingml/2006/picture">
                        <pic:nvPicPr>
                          <pic:cNvPr id="0" name="image46.png" descr="C:\Users\hp Probook 4540s\Desktop\cartes UNICEF\Vaccination2014.png"/>
                          <pic:cNvPicPr preferRelativeResize="0"/>
                        </pic:nvPicPr>
                        <pic:blipFill>
                          <a:blip r:embed="rId29" cstate="print"/>
                          <a:srcRect/>
                          <a:stretch>
                            <a:fillRect/>
                          </a:stretch>
                        </pic:blipFill>
                        <pic:spPr>
                          <a:xfrm>
                            <a:off x="0" y="0"/>
                            <a:ext cx="4662092" cy="2641405"/>
                          </a:xfrm>
                          <a:prstGeom prst="rect">
                            <a:avLst/>
                          </a:prstGeom>
                          <a:ln/>
                        </pic:spPr>
                      </pic:pic>
                    </a:graphicData>
                  </a:graphic>
                </wp:inline>
              </w:drawing>
            </w:r>
          </w:p>
        </w:tc>
      </w:tr>
      <w:tr w:rsidR="00314B92">
        <w:tc>
          <w:tcPr>
            <w:tcW w:w="8702" w:type="dxa"/>
          </w:tcPr>
          <w:p w:rsidR="00314B92" w:rsidRDefault="00A961B1">
            <w:pPr>
              <w:pStyle w:val="Normal1"/>
              <w:pBdr>
                <w:top w:val="nil"/>
                <w:left w:val="nil"/>
                <w:bottom w:val="nil"/>
                <w:right w:val="nil"/>
                <w:between w:val="nil"/>
              </w:pBdr>
              <w:spacing w:after="200" w:line="360" w:lineRule="auto"/>
              <w:ind w:hanging="720"/>
              <w:jc w:val="both"/>
              <w:rPr>
                <w:b/>
                <w:color w:val="000000"/>
                <w:sz w:val="20"/>
                <w:szCs w:val="20"/>
              </w:rPr>
            </w:pPr>
            <w:r>
              <w:rPr>
                <w:b/>
                <w:color w:val="000000"/>
                <w:sz w:val="20"/>
                <w:szCs w:val="20"/>
              </w:rPr>
              <w:t xml:space="preserve">                    </w:t>
            </w:r>
            <w:r w:rsidR="00AD5F81">
              <w:rPr>
                <w:b/>
                <w:color w:val="000000"/>
                <w:sz w:val="20"/>
                <w:szCs w:val="20"/>
              </w:rPr>
              <w:t>Figure 16 :  Proportion d’enfants de 12-23 mois entièrement vaccinés (%)</w:t>
            </w:r>
            <w:r w:rsidR="00AD5F81">
              <w:rPr>
                <w:b/>
                <w:color w:val="000000"/>
                <w:sz w:val="20"/>
                <w:szCs w:val="20"/>
                <w:vertAlign w:val="superscript"/>
              </w:rPr>
              <w:footnoteReference w:id="80"/>
            </w:r>
          </w:p>
        </w:tc>
      </w:tr>
    </w:tbl>
    <w:p w:rsidR="00314B92" w:rsidRDefault="00AD5F81" w:rsidP="005D02C3">
      <w:pPr>
        <w:pStyle w:val="Normal1"/>
        <w:numPr>
          <w:ilvl w:val="2"/>
          <w:numId w:val="120"/>
        </w:numPr>
        <w:pBdr>
          <w:top w:val="nil"/>
          <w:left w:val="nil"/>
          <w:bottom w:val="nil"/>
          <w:right w:val="nil"/>
          <w:between w:val="nil"/>
        </w:pBdr>
        <w:spacing w:before="240" w:after="0" w:line="360" w:lineRule="auto"/>
        <w:jc w:val="both"/>
        <w:rPr>
          <w:color w:val="000000"/>
          <w:sz w:val="24"/>
          <w:szCs w:val="24"/>
        </w:rPr>
      </w:pPr>
      <w:bookmarkStart w:id="15" w:name="_44sinio" w:colFirst="0" w:colLast="0"/>
      <w:bookmarkEnd w:id="15"/>
      <w:r>
        <w:rPr>
          <w:color w:val="000000"/>
          <w:sz w:val="24"/>
          <w:szCs w:val="24"/>
        </w:rPr>
        <w:t>PRISE EN CHARGE INTEGREE DES MALADIES DE L’ENFANT (PCIME)</w:t>
      </w:r>
    </w:p>
    <w:p w:rsidR="00314B92" w:rsidRDefault="00AD5F81" w:rsidP="005D02C3">
      <w:pPr>
        <w:pStyle w:val="Normal1"/>
        <w:numPr>
          <w:ilvl w:val="3"/>
          <w:numId w:val="120"/>
        </w:numPr>
        <w:pBdr>
          <w:top w:val="nil"/>
          <w:left w:val="nil"/>
          <w:bottom w:val="nil"/>
          <w:right w:val="nil"/>
          <w:between w:val="nil"/>
        </w:pBdr>
        <w:spacing w:after="0" w:line="360" w:lineRule="auto"/>
        <w:jc w:val="both"/>
        <w:rPr>
          <w:color w:val="000000"/>
          <w:sz w:val="23"/>
          <w:szCs w:val="23"/>
        </w:rPr>
      </w:pPr>
      <w:r>
        <w:rPr>
          <w:b/>
          <w:color w:val="000000"/>
          <w:sz w:val="23"/>
          <w:szCs w:val="23"/>
        </w:rPr>
        <w:t>Performance</w:t>
      </w:r>
    </w:p>
    <w:p w:rsidR="00314B92" w:rsidRDefault="00AD5F81">
      <w:pPr>
        <w:pStyle w:val="Normal1"/>
        <w:spacing w:after="0"/>
        <w:jc w:val="both"/>
        <w:rPr>
          <w:sz w:val="24"/>
          <w:szCs w:val="24"/>
        </w:rPr>
      </w:pPr>
      <w:r>
        <w:rPr>
          <w:sz w:val="24"/>
          <w:szCs w:val="24"/>
        </w:rPr>
        <w:t>La proportion d’enfants pris en charge est passée de 23.64% en 2014 à 58,5% en 2017. Ce taux est inférieur à la cible de 70% fixée par le PNDS 2011-2020.</w:t>
      </w:r>
    </w:p>
    <w:p w:rsidR="00314B92" w:rsidRDefault="00AD5F81">
      <w:pPr>
        <w:pStyle w:val="Normal1"/>
        <w:spacing w:after="0"/>
        <w:jc w:val="both"/>
        <w:rPr>
          <w:sz w:val="24"/>
          <w:szCs w:val="24"/>
        </w:rPr>
      </w:pPr>
      <w:r>
        <w:rPr>
          <w:sz w:val="24"/>
          <w:szCs w:val="24"/>
        </w:rPr>
        <w:t>Fin 2017, l’introduction du Registre électronique de consultation (REC) est effective dans 604 CSPS de 16 Districts sanitaires répartis dans quatre régions : Nord, Boucle du Mouhoun, Sahel et Est. A l’échelle du pays, il s’agit d’une couverture de 30%.   En termes de résultats obtenus, on peut noter plus 180.000 consultations/mois et 1,5 million d’enfants vus représentant 7,5% de la population totale.</w:t>
      </w:r>
      <w:r w:rsidR="00DB186A">
        <w:rPr>
          <w:sz w:val="24"/>
          <w:szCs w:val="24"/>
        </w:rPr>
        <w:t xml:space="preserve"> </w:t>
      </w:r>
      <w:r>
        <w:rPr>
          <w:sz w:val="24"/>
          <w:szCs w:val="24"/>
        </w:rPr>
        <w:t>Le paquet complet de la PCIME communautaire et les soins du nouveau-né à domicile sont mis en œuvre dans 5 régions (Boucle du Mouhoun, Est, Sahel, Nord et Centre-nord) sanitaires soit 40% des districts sanitaires du pays.</w:t>
      </w:r>
      <w:r w:rsidR="00DB186A">
        <w:rPr>
          <w:sz w:val="24"/>
          <w:szCs w:val="24"/>
        </w:rPr>
        <w:t xml:space="preserve"> </w:t>
      </w:r>
      <w:r>
        <w:rPr>
          <w:sz w:val="24"/>
          <w:szCs w:val="24"/>
        </w:rPr>
        <w:t xml:space="preserve">Cette performance est insuffisante pour atteindre l’objectif de l’objectif de 75% d’enfants pris en charge selon l’approche PCIME en 2020 (PNDS 2011-2020). </w:t>
      </w:r>
    </w:p>
    <w:p w:rsidR="00314B92" w:rsidRPr="00DB186A" w:rsidRDefault="00AD5F81">
      <w:pPr>
        <w:pStyle w:val="Normal1"/>
        <w:spacing w:after="0"/>
        <w:jc w:val="both"/>
        <w:rPr>
          <w:sz w:val="24"/>
          <w:szCs w:val="24"/>
        </w:rPr>
      </w:pPr>
      <w:r>
        <w:rPr>
          <w:sz w:val="24"/>
          <w:szCs w:val="24"/>
        </w:rPr>
        <w:t>La PCIME clinique ou communautaire telle que décrite par la PNP/SR est une opportunité réelle de promouvoir les interventions nutritionnelles basées sur les évidences : allaitement exclusif et alimentation de complément. Le protocole PCIME intègre la promotion des pratiques d’alimentation du nourrisson et du jeune enfant.</w:t>
      </w:r>
    </w:p>
    <w:p w:rsidR="00314B92" w:rsidRDefault="00AD5F81" w:rsidP="005D02C3">
      <w:pPr>
        <w:pStyle w:val="Normal1"/>
        <w:numPr>
          <w:ilvl w:val="3"/>
          <w:numId w:val="120"/>
        </w:numPr>
        <w:pBdr>
          <w:top w:val="nil"/>
          <w:left w:val="nil"/>
          <w:bottom w:val="nil"/>
          <w:right w:val="nil"/>
          <w:between w:val="nil"/>
        </w:pBdr>
        <w:spacing w:after="0" w:line="360" w:lineRule="auto"/>
        <w:jc w:val="both"/>
        <w:rPr>
          <w:color w:val="000000"/>
          <w:sz w:val="23"/>
          <w:szCs w:val="23"/>
        </w:rPr>
      </w:pPr>
      <w:r>
        <w:rPr>
          <w:b/>
          <w:color w:val="000000"/>
          <w:sz w:val="23"/>
          <w:szCs w:val="23"/>
        </w:rPr>
        <w:t>Gaps de performances et leurs Causes</w:t>
      </w:r>
    </w:p>
    <w:p w:rsidR="00314B92" w:rsidRDefault="00AD5F81" w:rsidP="00F20185">
      <w:pPr>
        <w:pStyle w:val="Normal1"/>
        <w:numPr>
          <w:ilvl w:val="0"/>
          <w:numId w:val="23"/>
        </w:numPr>
        <w:pBdr>
          <w:top w:val="nil"/>
          <w:left w:val="nil"/>
          <w:bottom w:val="nil"/>
          <w:right w:val="nil"/>
          <w:between w:val="nil"/>
        </w:pBdr>
        <w:spacing w:after="0"/>
        <w:jc w:val="both"/>
        <w:rPr>
          <w:i/>
          <w:color w:val="000000"/>
          <w:sz w:val="23"/>
          <w:szCs w:val="23"/>
        </w:rPr>
      </w:pPr>
      <w:r>
        <w:rPr>
          <w:i/>
          <w:color w:val="000000"/>
          <w:sz w:val="23"/>
          <w:szCs w:val="23"/>
        </w:rPr>
        <w:t xml:space="preserve">La couverture de l’offre est insuffisante </w:t>
      </w:r>
    </w:p>
    <w:p w:rsidR="00314B92" w:rsidRDefault="000B20C0" w:rsidP="000B20C0">
      <w:pPr>
        <w:pStyle w:val="Normal1"/>
        <w:pBdr>
          <w:top w:val="nil"/>
          <w:left w:val="nil"/>
          <w:bottom w:val="nil"/>
          <w:right w:val="nil"/>
          <w:between w:val="nil"/>
        </w:pBdr>
        <w:spacing w:after="0"/>
        <w:ind w:left="360" w:hanging="360"/>
        <w:jc w:val="both"/>
        <w:rPr>
          <w:color w:val="000000"/>
          <w:sz w:val="24"/>
          <w:szCs w:val="24"/>
        </w:rPr>
      </w:pPr>
      <w:r>
        <w:rPr>
          <w:color w:val="000000"/>
          <w:sz w:val="24"/>
          <w:szCs w:val="24"/>
        </w:rPr>
        <w:t xml:space="preserve">      </w:t>
      </w:r>
      <w:r w:rsidR="00AD5F81">
        <w:rPr>
          <w:color w:val="000000"/>
          <w:sz w:val="24"/>
          <w:szCs w:val="24"/>
        </w:rPr>
        <w:t xml:space="preserve">La couverture de l’offre est insuffisante avec 60% des districts non couverts pour la PCIME communautaire-PECADO et 70% pour la PCIME. </w:t>
      </w:r>
    </w:p>
    <w:p w:rsidR="00314B92" w:rsidRDefault="00AD5F81" w:rsidP="00F20185">
      <w:pPr>
        <w:pStyle w:val="Normal1"/>
        <w:numPr>
          <w:ilvl w:val="0"/>
          <w:numId w:val="23"/>
        </w:numPr>
        <w:pBdr>
          <w:top w:val="nil"/>
          <w:left w:val="nil"/>
          <w:bottom w:val="nil"/>
          <w:right w:val="nil"/>
          <w:between w:val="nil"/>
        </w:pBdr>
        <w:spacing w:after="0"/>
        <w:jc w:val="both"/>
        <w:rPr>
          <w:color w:val="000000"/>
          <w:sz w:val="24"/>
          <w:szCs w:val="24"/>
        </w:rPr>
      </w:pPr>
      <w:r>
        <w:rPr>
          <w:i/>
          <w:color w:val="000000"/>
          <w:sz w:val="24"/>
          <w:szCs w:val="24"/>
        </w:rPr>
        <w:t>Les activités sont ralenties par les fréquentes ruptures de stock en intrants</w:t>
      </w:r>
      <w:r>
        <w:rPr>
          <w:color w:val="000000"/>
          <w:sz w:val="24"/>
          <w:szCs w:val="24"/>
        </w:rPr>
        <w:t xml:space="preserve"> (fiches de prise en charge, les livrets des tableaux, …).</w:t>
      </w:r>
    </w:p>
    <w:p w:rsidR="00314B92" w:rsidRDefault="00AD5F81" w:rsidP="00F20185">
      <w:pPr>
        <w:pStyle w:val="Normal1"/>
        <w:numPr>
          <w:ilvl w:val="0"/>
          <w:numId w:val="23"/>
        </w:numPr>
        <w:pBdr>
          <w:top w:val="nil"/>
          <w:left w:val="nil"/>
          <w:bottom w:val="nil"/>
          <w:right w:val="nil"/>
          <w:between w:val="nil"/>
        </w:pBdr>
        <w:spacing w:after="0"/>
        <w:jc w:val="both"/>
        <w:rPr>
          <w:color w:val="000000"/>
          <w:sz w:val="24"/>
          <w:szCs w:val="24"/>
        </w:rPr>
      </w:pPr>
      <w:r>
        <w:rPr>
          <w:i/>
          <w:color w:val="000000"/>
          <w:sz w:val="24"/>
          <w:szCs w:val="24"/>
        </w:rPr>
        <w:t>La qualité des activités de mise en œuvre de la PCIME est basse</w:t>
      </w:r>
      <w:r>
        <w:rPr>
          <w:color w:val="000000"/>
          <w:sz w:val="24"/>
          <w:szCs w:val="24"/>
        </w:rPr>
        <w:t xml:space="preserve"> à cause de la faiblesse des activités de supervision. </w:t>
      </w:r>
    </w:p>
    <w:p w:rsidR="00314B92" w:rsidRDefault="00AD5F81" w:rsidP="00F20185">
      <w:pPr>
        <w:pStyle w:val="Normal1"/>
        <w:numPr>
          <w:ilvl w:val="0"/>
          <w:numId w:val="23"/>
        </w:numPr>
        <w:pBdr>
          <w:top w:val="nil"/>
          <w:left w:val="nil"/>
          <w:bottom w:val="nil"/>
          <w:right w:val="nil"/>
          <w:between w:val="nil"/>
        </w:pBdr>
        <w:spacing w:after="0"/>
        <w:jc w:val="both"/>
        <w:rPr>
          <w:i/>
          <w:color w:val="000000"/>
          <w:sz w:val="24"/>
          <w:szCs w:val="24"/>
        </w:rPr>
      </w:pPr>
      <w:r>
        <w:rPr>
          <w:i/>
          <w:color w:val="000000"/>
          <w:sz w:val="24"/>
          <w:szCs w:val="24"/>
        </w:rPr>
        <w:t>Le financement insuffisant</w:t>
      </w:r>
    </w:p>
    <w:p w:rsidR="00314B92" w:rsidRDefault="000B20C0" w:rsidP="000B20C0">
      <w:pPr>
        <w:pStyle w:val="Normal1"/>
        <w:pBdr>
          <w:top w:val="nil"/>
          <w:left w:val="nil"/>
          <w:bottom w:val="nil"/>
          <w:right w:val="nil"/>
          <w:between w:val="nil"/>
        </w:pBdr>
        <w:spacing w:after="0"/>
        <w:ind w:left="360" w:hanging="360"/>
        <w:jc w:val="both"/>
        <w:rPr>
          <w:color w:val="000000"/>
          <w:sz w:val="24"/>
          <w:szCs w:val="24"/>
        </w:rPr>
      </w:pPr>
      <w:r>
        <w:rPr>
          <w:color w:val="000000"/>
          <w:sz w:val="24"/>
          <w:szCs w:val="24"/>
        </w:rPr>
        <w:t xml:space="preserve">      </w:t>
      </w:r>
      <w:r w:rsidR="00AD5F81">
        <w:rPr>
          <w:color w:val="000000"/>
          <w:sz w:val="24"/>
          <w:szCs w:val="24"/>
        </w:rPr>
        <w:t>Faute de financement, les activités de suivi de la mise en œuvre de la PCIME y compris les autres stratégies de survie de l’enfant sont en souffrance dans huit régions : Hauts Bassins, Cascades, Centre-Ouest, Centre-Sud, Centre-Est, Plateau Central, Sud-Ouest.</w:t>
      </w:r>
    </w:p>
    <w:p w:rsidR="00314B92" w:rsidRDefault="00AD5F81" w:rsidP="00F20185">
      <w:pPr>
        <w:pStyle w:val="Normal1"/>
        <w:numPr>
          <w:ilvl w:val="0"/>
          <w:numId w:val="23"/>
        </w:numPr>
        <w:pBdr>
          <w:top w:val="nil"/>
          <w:left w:val="nil"/>
          <w:bottom w:val="nil"/>
          <w:right w:val="nil"/>
          <w:between w:val="nil"/>
        </w:pBdr>
        <w:spacing w:after="0"/>
        <w:jc w:val="both"/>
        <w:rPr>
          <w:color w:val="000000"/>
          <w:sz w:val="24"/>
          <w:szCs w:val="24"/>
        </w:rPr>
      </w:pPr>
      <w:r>
        <w:rPr>
          <w:i/>
          <w:color w:val="000000"/>
          <w:sz w:val="24"/>
          <w:szCs w:val="24"/>
        </w:rPr>
        <w:t>La performance de la PCIME communautaire et les soins du nouveau-né à domicile est ralentie par les ruptures fréquentes de stocks d’intrants</w:t>
      </w:r>
      <w:r>
        <w:rPr>
          <w:color w:val="000000"/>
          <w:sz w:val="24"/>
          <w:szCs w:val="24"/>
        </w:rPr>
        <w:t xml:space="preserve"> (ACT, Cotrimoxazole, SRO, Zinc, Carte conseils, Cartes de la mère et du bébé, …)</w:t>
      </w:r>
    </w:p>
    <w:p w:rsidR="00314B92" w:rsidRDefault="00AD5F81" w:rsidP="00F20185">
      <w:pPr>
        <w:pStyle w:val="Normal1"/>
        <w:numPr>
          <w:ilvl w:val="0"/>
          <w:numId w:val="23"/>
        </w:numPr>
        <w:pBdr>
          <w:top w:val="nil"/>
          <w:left w:val="nil"/>
          <w:bottom w:val="nil"/>
          <w:right w:val="nil"/>
          <w:between w:val="nil"/>
        </w:pBdr>
        <w:spacing w:after="0"/>
        <w:jc w:val="both"/>
        <w:rPr>
          <w:color w:val="000000"/>
          <w:sz w:val="24"/>
          <w:szCs w:val="24"/>
        </w:rPr>
      </w:pPr>
      <w:r>
        <w:rPr>
          <w:i/>
          <w:color w:val="000000"/>
          <w:sz w:val="24"/>
          <w:szCs w:val="24"/>
        </w:rPr>
        <w:t>Intégration limitée de la promotion de l’ANJE à travers la PCIME</w:t>
      </w:r>
    </w:p>
    <w:p w:rsidR="000F1546" w:rsidRPr="00DB186A" w:rsidRDefault="00AD5F81" w:rsidP="00F20185">
      <w:pPr>
        <w:pStyle w:val="Normal1"/>
        <w:numPr>
          <w:ilvl w:val="0"/>
          <w:numId w:val="23"/>
        </w:numPr>
        <w:pBdr>
          <w:top w:val="nil"/>
          <w:left w:val="nil"/>
          <w:bottom w:val="nil"/>
          <w:right w:val="nil"/>
          <w:between w:val="nil"/>
        </w:pBdr>
        <w:jc w:val="both"/>
        <w:rPr>
          <w:color w:val="000000"/>
          <w:sz w:val="24"/>
          <w:szCs w:val="24"/>
        </w:rPr>
      </w:pPr>
      <w:r>
        <w:rPr>
          <w:i/>
          <w:color w:val="000000"/>
          <w:sz w:val="24"/>
          <w:szCs w:val="24"/>
        </w:rPr>
        <w:t>Non intégration de la section conseil à la mère qui est partie intégrante de la protocole PCIME dans le PCIME-REC.</w:t>
      </w:r>
    </w:p>
    <w:p w:rsidR="00314B92" w:rsidRDefault="00AD5F81" w:rsidP="005D02C3">
      <w:pPr>
        <w:pStyle w:val="Normal1"/>
        <w:numPr>
          <w:ilvl w:val="2"/>
          <w:numId w:val="120"/>
        </w:numPr>
        <w:pBdr>
          <w:top w:val="nil"/>
          <w:left w:val="nil"/>
          <w:bottom w:val="nil"/>
          <w:right w:val="nil"/>
          <w:between w:val="nil"/>
        </w:pBdr>
        <w:spacing w:after="0"/>
        <w:jc w:val="both"/>
        <w:rPr>
          <w:smallCaps/>
          <w:color w:val="000000"/>
          <w:sz w:val="24"/>
          <w:szCs w:val="24"/>
        </w:rPr>
      </w:pPr>
      <w:bookmarkStart w:id="16" w:name="_2jxsxqh" w:colFirst="0" w:colLast="0"/>
      <w:bookmarkEnd w:id="16"/>
      <w:r>
        <w:rPr>
          <w:color w:val="000000"/>
          <w:sz w:val="24"/>
          <w:szCs w:val="24"/>
        </w:rPr>
        <w:t>LE TRI EVALUATION ET TRAITEMENT DES URGENCES (TETU)</w:t>
      </w:r>
    </w:p>
    <w:p w:rsidR="00314B92" w:rsidRDefault="00AD5F81" w:rsidP="00DB186A">
      <w:pPr>
        <w:pStyle w:val="Normal1"/>
        <w:spacing w:after="0"/>
        <w:jc w:val="both"/>
        <w:rPr>
          <w:b/>
          <w:smallCaps/>
          <w:sz w:val="24"/>
          <w:szCs w:val="24"/>
        </w:rPr>
      </w:pPr>
      <w:r>
        <w:rPr>
          <w:sz w:val="24"/>
          <w:szCs w:val="24"/>
        </w:rPr>
        <w:t>Dans le cadre du projet d’accélération de la réduction de la mortalité maternelle et infanto juvénile, la stratégie TETU a été mise en œuvre dans les régions du Nord et du Centre-nord entre 2008-2012. Trois cent soixante-neuf agents de santé des CMA et CHR de ces régions ont ét</w:t>
      </w:r>
      <w:r w:rsidR="00DB186A">
        <w:rPr>
          <w:sz w:val="24"/>
          <w:szCs w:val="24"/>
        </w:rPr>
        <w:t>é formés. Au moins 2</w:t>
      </w:r>
      <w:r>
        <w:rPr>
          <w:sz w:val="24"/>
          <w:szCs w:val="24"/>
        </w:rPr>
        <w:t xml:space="preserve"> a</w:t>
      </w:r>
      <w:r w:rsidR="00DB186A">
        <w:rPr>
          <w:sz w:val="24"/>
          <w:szCs w:val="24"/>
        </w:rPr>
        <w:t>gents de santé de 9</w:t>
      </w:r>
      <w:r>
        <w:rPr>
          <w:sz w:val="24"/>
          <w:szCs w:val="24"/>
        </w:rPr>
        <w:t xml:space="preserve"> CHR ont bénéficié d’une formation</w:t>
      </w:r>
      <w:r w:rsidR="00DB186A">
        <w:rPr>
          <w:sz w:val="24"/>
          <w:szCs w:val="24"/>
        </w:rPr>
        <w:t xml:space="preserve"> (2014)</w:t>
      </w:r>
      <w:r>
        <w:rPr>
          <w:sz w:val="24"/>
          <w:szCs w:val="24"/>
        </w:rPr>
        <w:t xml:space="preserve">. </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smallCaps/>
          <w:color w:val="000000"/>
          <w:sz w:val="24"/>
          <w:szCs w:val="24"/>
        </w:rPr>
        <w:t>P</w:t>
      </w:r>
      <w:r>
        <w:rPr>
          <w:b/>
          <w:color w:val="000000"/>
          <w:sz w:val="24"/>
          <w:szCs w:val="24"/>
        </w:rPr>
        <w:t>erformance</w:t>
      </w:r>
    </w:p>
    <w:p w:rsidR="00314B92" w:rsidRDefault="00AD5F81" w:rsidP="00DB186A">
      <w:pPr>
        <w:pStyle w:val="Normal1"/>
        <w:spacing w:after="0"/>
        <w:jc w:val="both"/>
        <w:rPr>
          <w:sz w:val="24"/>
          <w:szCs w:val="24"/>
        </w:rPr>
      </w:pPr>
      <w:r>
        <w:rPr>
          <w:sz w:val="24"/>
          <w:szCs w:val="24"/>
        </w:rPr>
        <w:t>Les enfants pris en charge selon l'approche TETU sont respectivement 46938 en 2016 et 75346 en 2017</w:t>
      </w:r>
      <w:r>
        <w:rPr>
          <w:sz w:val="24"/>
          <w:szCs w:val="24"/>
          <w:vertAlign w:val="superscript"/>
        </w:rPr>
        <w:footnoteReference w:id="81"/>
      </w:r>
      <w:r>
        <w:rPr>
          <w:sz w:val="24"/>
          <w:szCs w:val="24"/>
        </w:rPr>
        <w:t>.</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Gaps de performances et leurs causes</w:t>
      </w:r>
    </w:p>
    <w:p w:rsidR="00314B92" w:rsidRDefault="00AD5F81">
      <w:pPr>
        <w:pStyle w:val="Normal1"/>
        <w:spacing w:after="0"/>
        <w:jc w:val="both"/>
        <w:rPr>
          <w:i/>
          <w:sz w:val="24"/>
          <w:szCs w:val="24"/>
        </w:rPr>
      </w:pPr>
      <w:r>
        <w:rPr>
          <w:i/>
          <w:sz w:val="24"/>
          <w:szCs w:val="24"/>
        </w:rPr>
        <w:t>La disponibilité insuffisante de personnel formé</w:t>
      </w:r>
    </w:p>
    <w:p w:rsidR="00314B92" w:rsidRDefault="00AD5F81">
      <w:pPr>
        <w:pStyle w:val="Normal1"/>
        <w:spacing w:after="0"/>
        <w:jc w:val="both"/>
        <w:rPr>
          <w:sz w:val="24"/>
          <w:szCs w:val="24"/>
        </w:rPr>
      </w:pPr>
      <w:r>
        <w:rPr>
          <w:sz w:val="24"/>
          <w:szCs w:val="24"/>
        </w:rPr>
        <w:t>En 2018, le rapport de suivi de routine montre qu’aucun CHR ne dispose d’agents formés sur les TETU et les compétences disponibles dans les CMA sont variables selon les régions.</w:t>
      </w:r>
    </w:p>
    <w:p w:rsidR="00314B92" w:rsidRDefault="00AD5F81">
      <w:pPr>
        <w:pStyle w:val="Normal1"/>
        <w:jc w:val="both"/>
        <w:rPr>
          <w:i/>
          <w:sz w:val="24"/>
          <w:szCs w:val="24"/>
        </w:rPr>
      </w:pPr>
      <w:r>
        <w:rPr>
          <w:i/>
          <w:sz w:val="24"/>
          <w:szCs w:val="24"/>
        </w:rPr>
        <w:t>La faible disponibilité des équipements et consommables nécessaires à la mise en œuvre.</w:t>
      </w:r>
    </w:p>
    <w:p w:rsidR="002E68A0" w:rsidRDefault="002E68A0">
      <w:pPr>
        <w:pStyle w:val="Normal1"/>
        <w:jc w:val="both"/>
        <w:rPr>
          <w:i/>
          <w:sz w:val="24"/>
          <w:szCs w:val="24"/>
        </w:rPr>
      </w:pPr>
    </w:p>
    <w:p w:rsidR="00314B92" w:rsidRDefault="00AD5F81" w:rsidP="005D02C3">
      <w:pPr>
        <w:pStyle w:val="Normal1"/>
        <w:numPr>
          <w:ilvl w:val="2"/>
          <w:numId w:val="120"/>
        </w:numPr>
        <w:pBdr>
          <w:top w:val="nil"/>
          <w:left w:val="nil"/>
          <w:bottom w:val="nil"/>
          <w:right w:val="nil"/>
          <w:between w:val="nil"/>
        </w:pBdr>
        <w:spacing w:before="240" w:after="0"/>
        <w:jc w:val="both"/>
        <w:rPr>
          <w:color w:val="000000"/>
          <w:sz w:val="24"/>
          <w:szCs w:val="24"/>
        </w:rPr>
      </w:pPr>
      <w:r>
        <w:rPr>
          <w:color w:val="000000"/>
          <w:sz w:val="24"/>
          <w:szCs w:val="24"/>
        </w:rPr>
        <w:t xml:space="preserve">LES INTERVENTIONS A HAUT IMPACT DE NUTRITION </w:t>
      </w:r>
    </w:p>
    <w:p w:rsidR="00314B92" w:rsidRDefault="00AD5F81">
      <w:pPr>
        <w:pStyle w:val="Normal1"/>
        <w:spacing w:after="0"/>
        <w:jc w:val="both"/>
        <w:rPr>
          <w:sz w:val="24"/>
          <w:szCs w:val="24"/>
        </w:rPr>
      </w:pPr>
      <w:r>
        <w:rPr>
          <w:sz w:val="24"/>
          <w:szCs w:val="24"/>
        </w:rPr>
        <w:t>Les interventions essentielles, ciblant la nutrition maternelle et la promotion de l’alimentation du Nourrisson et de jeune enfant sont (i) l’alimentation adéquate de la femme enceinte et de la femme allaitante, la surveillance de gain de poids et la supplémentation en fer et acide folique pendant la grossesse, le clampage différé du cordon ombilical, l’initiation à l’allaitement précoce, l’allaitement Maternel Exclusif, la supplémentation en Vitamine A des enfants de moins de 5 ans, le déparasitage des enfants moins de 5 ans, et l’alimentation de complément des enfants de 6-24 mois.</w:t>
      </w:r>
      <w:r>
        <w:rPr>
          <w:b/>
          <w:sz w:val="24"/>
          <w:szCs w:val="24"/>
        </w:rPr>
        <w:t xml:space="preserve"> </w:t>
      </w:r>
      <w:r w:rsidR="00A06EBD">
        <w:rPr>
          <w:noProof/>
        </w:rPr>
        <mc:AlternateContent>
          <mc:Choice Requires="wps">
            <w:drawing>
              <wp:anchor distT="0" distB="0" distL="114300" distR="114300" simplePos="0" relativeHeight="251612672" behindDoc="0" locked="0" layoutInCell="1" hidden="0" allowOverlap="1">
                <wp:simplePos x="0" y="0"/>
                <wp:positionH relativeFrom="column">
                  <wp:posOffset>-2984499</wp:posOffset>
                </wp:positionH>
                <wp:positionV relativeFrom="paragraph">
                  <wp:posOffset>215900</wp:posOffset>
                </wp:positionV>
                <wp:extent cx="950595" cy="167005"/>
                <wp:effectExtent l="0" t="0" r="0" b="0"/>
                <wp:wrapNone/>
                <wp:docPr id="18" name="Rectangle 18"/>
                <wp:cNvGraphicFramePr/>
                <a:graphic xmlns:a="http://schemas.openxmlformats.org/drawingml/2006/main">
                  <a:graphicData uri="http://schemas.microsoft.com/office/word/2010/wordprocessingShape">
                    <wps:wsp>
                      <wps:cNvSpPr/>
                      <wps:spPr>
                        <a:xfrm>
                          <a:off x="4875465" y="3701260"/>
                          <a:ext cx="941070" cy="157480"/>
                        </a:xfrm>
                        <a:prstGeom prst="rect">
                          <a:avLst/>
                        </a:prstGeom>
                        <a:solidFill>
                          <a:srgbClr val="FFFFFF"/>
                        </a:solidFill>
                        <a:ln>
                          <a:noFill/>
                        </a:ln>
                      </wps:spPr>
                      <wps:txbx>
                        <w:txbxContent>
                          <w:p w:rsidR="00424DD6" w:rsidRDefault="00A06EBD">
                            <w:pPr>
                              <w:spacing w:line="275" w:lineRule="auto"/>
                              <w:textDirection w:val="btLr"/>
                            </w:pPr>
                            <w:r>
                              <w:rPr>
                                <w:b/>
                                <w:color w:val="000000"/>
                                <w:sz w:val="10"/>
                              </w:rPr>
                              <w:t>Source : ENN 2017</w:t>
                            </w:r>
                          </w:p>
                        </w:txbxContent>
                      </wps:txbx>
                      <wps:bodyPr spcFirstLastPara="1" wrap="square" lIns="91425" tIns="45700" rIns="91425" bIns="45700" anchor="t" anchorCtr="0"/>
                    </wps:wsp>
                  </a:graphicData>
                </a:graphic>
              </wp:anchor>
            </w:drawing>
          </mc:Choice>
          <mc:Fallback>
            <w:pict>
              <v:rect id="Rectangle 18" o:spid="_x0000_s1036" style="position:absolute;left:0;text-align:left;margin-left:-235pt;margin-top:17pt;width:74.85pt;height:13.15pt;z-index:25161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" stroked="f">
                <v:textbox inset="2.53958mm,1.2694mm,2.53958mm,1.2694mm">
                  <w:txbxContent>
                    <w:p w:rsidR="00424DD6" w:rsidRDefault="00A06EBD">
                      <w:pPr>
                        <w:spacing w:line="275" w:lineRule="auto"/>
                        <w:textDirection w:val="btLr"/>
                      </w:pPr>
                      <w:r>
                        <w:rPr>
                          <w:b/>
                          <w:color w:val="000000"/>
                          <w:sz w:val="10"/>
                        </w:rPr>
                        <w:t>Source : ENN 2017</w:t>
                      </w:r>
                    </w:p>
                  </w:txbxContent>
                </v:textbox>
              </v:rect>
            </w:pict>
          </mc:Fallback>
        </mc:AlternateConten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Performance</w:t>
      </w:r>
    </w:p>
    <w:p w:rsidR="00314B92" w:rsidRDefault="00AD5F81">
      <w:pPr>
        <w:pStyle w:val="Normal1"/>
        <w:spacing w:after="0"/>
        <w:jc w:val="both"/>
        <w:rPr>
          <w:sz w:val="24"/>
          <w:szCs w:val="24"/>
        </w:rPr>
      </w:pPr>
      <w:r>
        <w:rPr>
          <w:sz w:val="24"/>
          <w:szCs w:val="24"/>
        </w:rPr>
        <w:t>En rapport avec l’alimentation adéquate de la femme enceinte et de la femme allaitante, la couverture actuelle de la diversité alimentaire est de 20,3%</w:t>
      </w:r>
      <w:r>
        <w:rPr>
          <w:sz w:val="24"/>
          <w:szCs w:val="24"/>
          <w:vertAlign w:val="superscript"/>
        </w:rPr>
        <w:footnoteReference w:id="82"/>
      </w:r>
      <w:r>
        <w:rPr>
          <w:sz w:val="24"/>
          <w:szCs w:val="24"/>
        </w:rPr>
        <w:t xml:space="preserve">.  </w:t>
      </w:r>
    </w:p>
    <w:p w:rsidR="00314B92" w:rsidRDefault="00AD5F81">
      <w:pPr>
        <w:pStyle w:val="Normal1"/>
        <w:spacing w:after="0"/>
        <w:jc w:val="both"/>
        <w:rPr>
          <w:sz w:val="24"/>
          <w:szCs w:val="24"/>
        </w:rPr>
      </w:pPr>
      <w:r>
        <w:rPr>
          <w:sz w:val="24"/>
          <w:szCs w:val="24"/>
        </w:rPr>
        <w:t>La proportion d’enfants ayant consommé au moins 4 groupes d’aliments sur les 7 prévus (Diversité alimentaire) était croissante de 2013 à 2016 (9% en 2013, 13% en 2014, 17% en 2015 et 24% en 2016) avant de tomber à 18% en 2017.</w:t>
      </w:r>
    </w:p>
    <w:p w:rsidR="00314B92" w:rsidRDefault="00AD5F81">
      <w:pPr>
        <w:pStyle w:val="Normal1"/>
        <w:spacing w:after="0"/>
        <w:jc w:val="both"/>
        <w:rPr>
          <w:sz w:val="24"/>
          <w:szCs w:val="24"/>
        </w:rPr>
      </w:pPr>
      <w:r>
        <w:rPr>
          <w:sz w:val="24"/>
          <w:szCs w:val="24"/>
        </w:rPr>
        <w:t>La proportion 42% des enfants de 0-23 mois mis au sein dans l’heure suivant la naissance était de 46,6% en 2016. Elle était de 42% en 2010</w:t>
      </w:r>
      <w:r>
        <w:rPr>
          <w:sz w:val="24"/>
          <w:szCs w:val="24"/>
          <w:vertAlign w:val="superscript"/>
        </w:rPr>
        <w:footnoteReference w:id="83"/>
      </w:r>
      <w:r>
        <w:rPr>
          <w:sz w:val="24"/>
          <w:szCs w:val="24"/>
        </w:rPr>
        <w:t>.</w:t>
      </w:r>
    </w:p>
    <w:p w:rsidR="00314B92" w:rsidRDefault="00AD5F81">
      <w:pPr>
        <w:pStyle w:val="Normal1"/>
        <w:spacing w:after="0"/>
        <w:jc w:val="both"/>
        <w:rPr>
          <w:sz w:val="24"/>
          <w:szCs w:val="24"/>
        </w:rPr>
      </w:pPr>
      <w:r>
        <w:rPr>
          <w:sz w:val="24"/>
          <w:szCs w:val="24"/>
        </w:rPr>
        <w:t>Le taux d’allaitement exclusif chez les enfants de 0 à 5 mois évolue en dents de scie entre 47% (2013), 50% (2014), 47% (2015), 55% (2016) et 48% (2017) avec une moyenne de 49%</w:t>
      </w:r>
      <w:r>
        <w:rPr>
          <w:sz w:val="24"/>
          <w:szCs w:val="24"/>
          <w:vertAlign w:val="superscript"/>
        </w:rPr>
        <w:footnoteReference w:id="84"/>
      </w:r>
      <w:r>
        <w:rPr>
          <w:sz w:val="24"/>
          <w:szCs w:val="24"/>
        </w:rPr>
        <w:t>.</w:t>
      </w:r>
    </w:p>
    <w:p w:rsidR="00314B92" w:rsidRDefault="00AD5F81">
      <w:pPr>
        <w:pStyle w:val="Normal1"/>
        <w:spacing w:after="0"/>
        <w:jc w:val="both"/>
        <w:rPr>
          <w:sz w:val="24"/>
          <w:szCs w:val="24"/>
        </w:rPr>
      </w:pPr>
      <w:r>
        <w:rPr>
          <w:sz w:val="24"/>
          <w:szCs w:val="24"/>
        </w:rPr>
        <w:t>En 2017, la prévalence de la surcharge pondérale pour les enfants de moins de 5 ans était de 1,7% dont 1,1% de surpoids et 0,6% d’obésité. La prévalence de la surcharge pondérale était de 1,2% en 2016. Les écarts au niveau régional vont de 0,3% dans la région du Centre Ouest à 3,3% dans la région du Centre</w:t>
      </w:r>
      <w:r>
        <w:rPr>
          <w:sz w:val="24"/>
          <w:szCs w:val="24"/>
          <w:vertAlign w:val="superscript"/>
        </w:rPr>
        <w:footnoteReference w:id="85"/>
      </w:r>
      <w:r>
        <w:rPr>
          <w:sz w:val="24"/>
          <w:szCs w:val="24"/>
        </w:rPr>
        <w:t>.</w:t>
      </w:r>
    </w:p>
    <w:p w:rsidR="00314B92" w:rsidRDefault="00AD5F81">
      <w:pPr>
        <w:pStyle w:val="Normal1"/>
        <w:spacing w:after="0" w:line="360" w:lineRule="auto"/>
        <w:jc w:val="both"/>
        <w:rPr>
          <w:sz w:val="24"/>
          <w:szCs w:val="24"/>
        </w:rPr>
      </w:pPr>
      <w:r>
        <w:rPr>
          <w:noProof/>
          <w:sz w:val="24"/>
          <w:szCs w:val="24"/>
        </w:rPr>
        <w:drawing>
          <wp:inline distT="0" distB="0" distL="0" distR="0">
            <wp:extent cx="5760720" cy="2853163"/>
            <wp:effectExtent l="0" t="0" r="0" b="0"/>
            <wp:docPr id="40"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30" cstate="print"/>
                    <a:srcRect/>
                    <a:stretch>
                      <a:fillRect/>
                    </a:stretch>
                  </pic:blipFill>
                  <pic:spPr>
                    <a:xfrm>
                      <a:off x="0" y="0"/>
                      <a:ext cx="5760720" cy="2853163"/>
                    </a:xfrm>
                    <a:prstGeom prst="rect">
                      <a:avLst/>
                    </a:prstGeom>
                    <a:ln/>
                  </pic:spPr>
                </pic:pic>
              </a:graphicData>
            </a:graphic>
          </wp:inline>
        </w:drawing>
      </w:r>
    </w:p>
    <w:p w:rsidR="00314B92" w:rsidRDefault="00AD5F81">
      <w:pPr>
        <w:pStyle w:val="Normal1"/>
        <w:spacing w:after="0" w:line="360" w:lineRule="auto"/>
        <w:jc w:val="both"/>
        <w:rPr>
          <w:b/>
          <w:sz w:val="20"/>
          <w:szCs w:val="20"/>
        </w:rPr>
      </w:pPr>
      <w:r>
        <w:rPr>
          <w:b/>
          <w:sz w:val="20"/>
          <w:szCs w:val="20"/>
        </w:rPr>
        <w:t>Figure 17 : Evolution des indicateurs ANJE de 2012 à 2016</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Gaps de performances et leurs causes</w:t>
      </w:r>
    </w:p>
    <w:p w:rsidR="00314B92" w:rsidRDefault="00AD5F81" w:rsidP="005D02C3">
      <w:pPr>
        <w:pStyle w:val="Normal1"/>
        <w:numPr>
          <w:ilvl w:val="0"/>
          <w:numId w:val="69"/>
        </w:numPr>
        <w:pBdr>
          <w:top w:val="nil"/>
          <w:left w:val="nil"/>
          <w:bottom w:val="nil"/>
          <w:right w:val="nil"/>
          <w:between w:val="nil"/>
        </w:pBdr>
        <w:spacing w:after="0"/>
        <w:jc w:val="both"/>
        <w:rPr>
          <w:i/>
          <w:color w:val="000000"/>
          <w:sz w:val="24"/>
          <w:szCs w:val="24"/>
        </w:rPr>
      </w:pPr>
      <w:r>
        <w:rPr>
          <w:i/>
          <w:color w:val="000000"/>
          <w:sz w:val="24"/>
          <w:szCs w:val="24"/>
        </w:rPr>
        <w:t xml:space="preserve">L’offre du paquet de services ANJE est insuffisante en termes de complétude et continuité du paquet ANJE et souffre d’une répartition inégale sur le territoire national. </w:t>
      </w:r>
    </w:p>
    <w:p w:rsidR="00314B92" w:rsidRDefault="00AD5F81" w:rsidP="005D02C3">
      <w:pPr>
        <w:pStyle w:val="Normal1"/>
        <w:numPr>
          <w:ilvl w:val="0"/>
          <w:numId w:val="70"/>
        </w:numPr>
        <w:pBdr>
          <w:top w:val="nil"/>
          <w:left w:val="nil"/>
          <w:bottom w:val="nil"/>
          <w:right w:val="nil"/>
          <w:between w:val="nil"/>
        </w:pBdr>
        <w:spacing w:after="0"/>
        <w:jc w:val="both"/>
        <w:rPr>
          <w:color w:val="000000"/>
          <w:sz w:val="24"/>
          <w:szCs w:val="24"/>
        </w:rPr>
      </w:pPr>
      <w:r>
        <w:rPr>
          <w:color w:val="000000"/>
          <w:sz w:val="24"/>
          <w:szCs w:val="24"/>
        </w:rPr>
        <w:t xml:space="preserve">Tout le paquet d’interventions de la stratégie ANJE n’est pas systématiquement mis en œuvre dans sa totalité. </w:t>
      </w:r>
    </w:p>
    <w:p w:rsidR="00314B92" w:rsidRDefault="00AD5F81" w:rsidP="005D02C3">
      <w:pPr>
        <w:pStyle w:val="Normal1"/>
        <w:numPr>
          <w:ilvl w:val="0"/>
          <w:numId w:val="70"/>
        </w:numPr>
        <w:pBdr>
          <w:top w:val="nil"/>
          <w:left w:val="nil"/>
          <w:bottom w:val="nil"/>
          <w:right w:val="nil"/>
          <w:between w:val="nil"/>
        </w:pBdr>
        <w:spacing w:after="0"/>
        <w:jc w:val="both"/>
        <w:rPr>
          <w:color w:val="000000"/>
          <w:sz w:val="24"/>
          <w:szCs w:val="24"/>
        </w:rPr>
      </w:pPr>
      <w:r>
        <w:rPr>
          <w:color w:val="000000"/>
          <w:sz w:val="24"/>
          <w:szCs w:val="24"/>
        </w:rPr>
        <w:t>Pour la prise en charge de la malnutrition aigüe modérée, 10 régions ne sont pas couvertes de manière continue : Hauts-Bassins, Centre, Plateau Central, Centre-Est, Centre-Sud, Sud-Ouest, Centre-Ouest, Boucle du Mouhoun, Cascades et Centre-Nord.</w:t>
      </w:r>
    </w:p>
    <w:p w:rsidR="00314B92" w:rsidRDefault="00AD5F81" w:rsidP="005D02C3">
      <w:pPr>
        <w:pStyle w:val="Normal1"/>
        <w:numPr>
          <w:ilvl w:val="0"/>
          <w:numId w:val="70"/>
        </w:numPr>
        <w:pBdr>
          <w:top w:val="nil"/>
          <w:left w:val="nil"/>
          <w:bottom w:val="nil"/>
          <w:right w:val="nil"/>
          <w:between w:val="nil"/>
        </w:pBdr>
        <w:spacing w:after="0"/>
        <w:jc w:val="both"/>
        <w:rPr>
          <w:color w:val="000000"/>
          <w:sz w:val="24"/>
          <w:szCs w:val="24"/>
        </w:rPr>
      </w:pPr>
      <w:bookmarkStart w:id="17" w:name="_z337ya" w:colFirst="0" w:colLast="0"/>
      <w:bookmarkEnd w:id="17"/>
      <w:r>
        <w:rPr>
          <w:color w:val="000000"/>
          <w:sz w:val="24"/>
          <w:szCs w:val="24"/>
        </w:rPr>
        <w:t>Rupture de stock d’intrants : aliments thérapeutiques prêts à l’emploi, Vitamines A, Fer, Acide folique, consommables, farines enrichies.</w:t>
      </w:r>
    </w:p>
    <w:p w:rsidR="00314B92" w:rsidRDefault="00AD5F81" w:rsidP="005D02C3">
      <w:pPr>
        <w:pStyle w:val="Normal1"/>
        <w:numPr>
          <w:ilvl w:val="0"/>
          <w:numId w:val="71"/>
        </w:numPr>
        <w:pBdr>
          <w:top w:val="nil"/>
          <w:left w:val="nil"/>
          <w:bottom w:val="nil"/>
          <w:right w:val="nil"/>
          <w:between w:val="nil"/>
        </w:pBdr>
        <w:spacing w:after="0"/>
        <w:jc w:val="both"/>
        <w:rPr>
          <w:color w:val="000000"/>
          <w:sz w:val="24"/>
          <w:szCs w:val="24"/>
        </w:rPr>
      </w:pPr>
      <w:bookmarkStart w:id="18" w:name="_3j2qqm3" w:colFirst="0" w:colLast="0"/>
      <w:bookmarkEnd w:id="18"/>
      <w:r>
        <w:rPr>
          <w:color w:val="000000"/>
          <w:sz w:val="24"/>
          <w:szCs w:val="24"/>
        </w:rPr>
        <w:t>Faible disponibilité de personnel formé pour la mise en œuvre du Paquet ANJE et pour la prise en charge de la malnutrition aigüe et des complications </w:t>
      </w:r>
    </w:p>
    <w:p w:rsidR="00314B92" w:rsidRDefault="00AD5F81" w:rsidP="005D02C3">
      <w:pPr>
        <w:pStyle w:val="Normal1"/>
        <w:numPr>
          <w:ilvl w:val="0"/>
          <w:numId w:val="71"/>
        </w:numPr>
        <w:pBdr>
          <w:top w:val="nil"/>
          <w:left w:val="nil"/>
          <w:bottom w:val="nil"/>
          <w:right w:val="nil"/>
          <w:between w:val="nil"/>
        </w:pBdr>
        <w:spacing w:after="0"/>
        <w:jc w:val="both"/>
        <w:rPr>
          <w:color w:val="000000"/>
          <w:sz w:val="24"/>
          <w:szCs w:val="24"/>
        </w:rPr>
      </w:pPr>
      <w:r>
        <w:rPr>
          <w:color w:val="000000"/>
          <w:sz w:val="24"/>
          <w:szCs w:val="24"/>
        </w:rPr>
        <w:t>Insuffisance de supports et de certains documents de référence ou boîtes à images ;</w:t>
      </w:r>
    </w:p>
    <w:p w:rsidR="00314B92" w:rsidRDefault="00AD5F81" w:rsidP="005D02C3">
      <w:pPr>
        <w:pStyle w:val="Normal1"/>
        <w:numPr>
          <w:ilvl w:val="0"/>
          <w:numId w:val="71"/>
        </w:numPr>
        <w:pBdr>
          <w:top w:val="nil"/>
          <w:left w:val="nil"/>
          <w:bottom w:val="nil"/>
          <w:right w:val="nil"/>
          <w:between w:val="nil"/>
        </w:pBdr>
        <w:spacing w:after="0"/>
        <w:jc w:val="both"/>
        <w:rPr>
          <w:color w:val="000000"/>
          <w:sz w:val="24"/>
          <w:szCs w:val="24"/>
        </w:rPr>
      </w:pPr>
      <w:r>
        <w:rPr>
          <w:color w:val="000000"/>
          <w:sz w:val="24"/>
          <w:szCs w:val="24"/>
        </w:rPr>
        <w:t xml:space="preserve">Faible intégration effective des interventions nutritionnelles dans les soins SRMNEA </w:t>
      </w:r>
      <w:r>
        <w:rPr>
          <w:color w:val="000000"/>
        </w:rPr>
        <w:t>dans les plateformes SRMNEA (SPN, Accouchement assisté, CPON, Consultation du Nourrisson Sain/suivi et promotion de la croissance, PCIM)E</w:t>
      </w:r>
      <w:r>
        <w:rPr>
          <w:color w:val="000000"/>
          <w:sz w:val="24"/>
          <w:szCs w:val="24"/>
        </w:rPr>
        <w:t xml:space="preserve"> par les formations sanitaires malgré que la plupart sont déjà dans les PNP/SR.</w:t>
      </w:r>
    </w:p>
    <w:p w:rsidR="00314B92" w:rsidRDefault="00AD5F81" w:rsidP="005D02C3">
      <w:pPr>
        <w:pStyle w:val="Normal1"/>
        <w:numPr>
          <w:ilvl w:val="0"/>
          <w:numId w:val="71"/>
        </w:numPr>
        <w:pBdr>
          <w:top w:val="nil"/>
          <w:left w:val="nil"/>
          <w:bottom w:val="nil"/>
          <w:right w:val="nil"/>
          <w:between w:val="nil"/>
        </w:pBdr>
        <w:jc w:val="both"/>
        <w:rPr>
          <w:color w:val="000000"/>
          <w:sz w:val="24"/>
          <w:szCs w:val="24"/>
        </w:rPr>
      </w:pPr>
      <w:r>
        <w:rPr>
          <w:color w:val="000000"/>
          <w:sz w:val="24"/>
          <w:szCs w:val="24"/>
        </w:rPr>
        <w:t>Insuffisance dans le passage à échelle de la stratégie ANJE surtout au niveau communautaire.</w:t>
      </w:r>
    </w:p>
    <w:tbl>
      <w:tblPr>
        <w:tblStyle w:val="af0"/>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2"/>
      </w:tblGrid>
      <w:tr w:rsidR="00314B92">
        <w:tc>
          <w:tcPr>
            <w:tcW w:w="9062" w:type="dxa"/>
          </w:tcPr>
          <w:p w:rsidR="00314B92" w:rsidRDefault="00AD5F81">
            <w:pPr>
              <w:pStyle w:val="Normal1"/>
              <w:jc w:val="both"/>
              <w:rPr>
                <w:sz w:val="24"/>
                <w:szCs w:val="24"/>
              </w:rPr>
            </w:pPr>
            <w:r>
              <w:rPr>
                <w:b/>
              </w:rPr>
              <w:t>Figure 18 : Analyse de la performance des services  de nutrition à l’aide de l’outil PHCPI (Gaps)</w:t>
            </w:r>
            <w:r>
              <w:rPr>
                <w:noProof/>
              </w:rPr>
              <w:drawing>
                <wp:anchor distT="11240" distB="8946" distL="125360" distR="126828" simplePos="0" relativeHeight="251601408" behindDoc="0" locked="0" layoutInCell="1" allowOverlap="1">
                  <wp:simplePos x="0" y="0"/>
                  <wp:positionH relativeFrom="column">
                    <wp:posOffset>28576</wp:posOffset>
                  </wp:positionH>
                  <wp:positionV relativeFrom="paragraph">
                    <wp:posOffset>11240</wp:posOffset>
                  </wp:positionV>
                  <wp:extent cx="5417185" cy="1483360"/>
                  <wp:effectExtent l="0" t="0" r="0" b="0"/>
                  <wp:wrapSquare wrapText="bothSides" distT="11240" distB="8946" distL="125360" distR="126828"/>
                  <wp:docPr id="36"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31" cstate="print"/>
                          <a:srcRect/>
                          <a:stretch>
                            <a:fillRect/>
                          </a:stretch>
                        </pic:blipFill>
                        <pic:spPr>
                          <a:xfrm>
                            <a:off x="0" y="0"/>
                            <a:ext cx="5417185" cy="1483360"/>
                          </a:xfrm>
                          <a:prstGeom prst="rect">
                            <a:avLst/>
                          </a:prstGeom>
                          <a:ln/>
                        </pic:spPr>
                      </pic:pic>
                    </a:graphicData>
                  </a:graphic>
                </wp:anchor>
              </w:drawing>
            </w:r>
          </w:p>
        </w:tc>
      </w:tr>
    </w:tbl>
    <w:p w:rsidR="00314B92" w:rsidRDefault="00AD5F81" w:rsidP="005D02C3">
      <w:pPr>
        <w:pStyle w:val="Normal1"/>
        <w:numPr>
          <w:ilvl w:val="0"/>
          <w:numId w:val="69"/>
        </w:numPr>
        <w:pBdr>
          <w:top w:val="nil"/>
          <w:left w:val="nil"/>
          <w:bottom w:val="nil"/>
          <w:right w:val="nil"/>
          <w:between w:val="nil"/>
        </w:pBdr>
        <w:spacing w:before="240" w:after="0"/>
        <w:jc w:val="both"/>
        <w:rPr>
          <w:i/>
          <w:color w:val="000000"/>
          <w:sz w:val="24"/>
          <w:szCs w:val="24"/>
        </w:rPr>
      </w:pPr>
      <w:r>
        <w:rPr>
          <w:i/>
          <w:color w:val="000000"/>
          <w:sz w:val="24"/>
          <w:szCs w:val="24"/>
        </w:rPr>
        <w:t>La demande est entravée par un certain nombre de barrières</w:t>
      </w:r>
    </w:p>
    <w:p w:rsidR="00314B92" w:rsidRDefault="00AD5F81" w:rsidP="005D02C3">
      <w:pPr>
        <w:pStyle w:val="Normal1"/>
        <w:numPr>
          <w:ilvl w:val="0"/>
          <w:numId w:val="72"/>
        </w:numPr>
        <w:pBdr>
          <w:top w:val="nil"/>
          <w:left w:val="nil"/>
          <w:bottom w:val="nil"/>
          <w:right w:val="nil"/>
          <w:between w:val="nil"/>
        </w:pBdr>
        <w:spacing w:after="0"/>
        <w:jc w:val="both"/>
        <w:rPr>
          <w:color w:val="000000"/>
          <w:sz w:val="24"/>
          <w:szCs w:val="24"/>
        </w:rPr>
      </w:pPr>
      <w:r>
        <w:rPr>
          <w:color w:val="000000"/>
          <w:sz w:val="24"/>
          <w:szCs w:val="24"/>
        </w:rPr>
        <w:t>Obstacle géographique (insuffisance des centres dans un rayon de 5 Km</w:t>
      </w:r>
    </w:p>
    <w:p w:rsidR="00314B92" w:rsidRDefault="00AD5F81" w:rsidP="005D02C3">
      <w:pPr>
        <w:pStyle w:val="Normal1"/>
        <w:numPr>
          <w:ilvl w:val="0"/>
          <w:numId w:val="72"/>
        </w:numPr>
        <w:pBdr>
          <w:top w:val="nil"/>
          <w:left w:val="nil"/>
          <w:bottom w:val="nil"/>
          <w:right w:val="nil"/>
          <w:between w:val="nil"/>
        </w:pBdr>
        <w:spacing w:after="0"/>
        <w:jc w:val="both"/>
        <w:rPr>
          <w:color w:val="000000"/>
          <w:sz w:val="24"/>
          <w:szCs w:val="24"/>
        </w:rPr>
      </w:pPr>
      <w:r>
        <w:rPr>
          <w:color w:val="000000"/>
          <w:sz w:val="24"/>
          <w:szCs w:val="24"/>
        </w:rPr>
        <w:t>Barrières financières : paiements indirects, coût des déplacements</w:t>
      </w:r>
    </w:p>
    <w:p w:rsidR="00314B92" w:rsidRDefault="00AD5F81" w:rsidP="005D02C3">
      <w:pPr>
        <w:pStyle w:val="Normal1"/>
        <w:numPr>
          <w:ilvl w:val="0"/>
          <w:numId w:val="72"/>
        </w:numPr>
        <w:pBdr>
          <w:top w:val="nil"/>
          <w:left w:val="nil"/>
          <w:bottom w:val="nil"/>
          <w:right w:val="nil"/>
          <w:between w:val="nil"/>
        </w:pBdr>
        <w:spacing w:after="0"/>
        <w:jc w:val="both"/>
        <w:rPr>
          <w:color w:val="000000"/>
          <w:sz w:val="24"/>
          <w:szCs w:val="24"/>
        </w:rPr>
      </w:pPr>
      <w:r>
        <w:rPr>
          <w:color w:val="000000"/>
          <w:sz w:val="24"/>
          <w:szCs w:val="24"/>
        </w:rPr>
        <w:t>Information insuffisante sur la disponibilité et l’utilité des services ANJE</w:t>
      </w:r>
    </w:p>
    <w:p w:rsidR="00314B92" w:rsidRDefault="00AD5F81" w:rsidP="005D02C3">
      <w:pPr>
        <w:pStyle w:val="Normal1"/>
        <w:numPr>
          <w:ilvl w:val="0"/>
          <w:numId w:val="72"/>
        </w:numPr>
        <w:pBdr>
          <w:top w:val="nil"/>
          <w:left w:val="nil"/>
          <w:bottom w:val="nil"/>
          <w:right w:val="nil"/>
          <w:between w:val="nil"/>
        </w:pBdr>
        <w:spacing w:after="0"/>
        <w:jc w:val="both"/>
        <w:rPr>
          <w:color w:val="000000"/>
          <w:sz w:val="24"/>
          <w:szCs w:val="24"/>
        </w:rPr>
      </w:pPr>
      <w:r>
        <w:rPr>
          <w:color w:val="000000"/>
          <w:sz w:val="24"/>
          <w:szCs w:val="24"/>
        </w:rPr>
        <w:t>Faible accès à des aliments nutritifs transformés et accessibles localement pour soutenir l’ANJE</w:t>
      </w:r>
    </w:p>
    <w:p w:rsidR="00314B92" w:rsidRDefault="00AD5F81" w:rsidP="005D02C3">
      <w:pPr>
        <w:pStyle w:val="Normal1"/>
        <w:numPr>
          <w:ilvl w:val="0"/>
          <w:numId w:val="72"/>
        </w:numPr>
        <w:pBdr>
          <w:top w:val="nil"/>
          <w:left w:val="nil"/>
          <w:bottom w:val="nil"/>
          <w:right w:val="nil"/>
          <w:between w:val="nil"/>
        </w:pBdr>
        <w:spacing w:after="0"/>
        <w:jc w:val="both"/>
        <w:rPr>
          <w:color w:val="000000"/>
          <w:sz w:val="24"/>
          <w:szCs w:val="24"/>
        </w:rPr>
      </w:pPr>
      <w:r>
        <w:rPr>
          <w:color w:val="000000"/>
          <w:sz w:val="24"/>
          <w:szCs w:val="24"/>
        </w:rPr>
        <w:t>Barrières socio-culturelles : pouvoir de décision limité de la mère pour envoyer l’enfant, eau /tisanes de bienvenue au lieu de l’AME, Rejet du colostrum, exclusion de certains aliments (Œuf)</w:t>
      </w:r>
    </w:p>
    <w:p w:rsidR="00314B92" w:rsidRDefault="00AD5F81" w:rsidP="005D02C3">
      <w:pPr>
        <w:pStyle w:val="Normal1"/>
        <w:numPr>
          <w:ilvl w:val="0"/>
          <w:numId w:val="72"/>
        </w:numPr>
        <w:pBdr>
          <w:top w:val="nil"/>
          <w:left w:val="nil"/>
          <w:bottom w:val="nil"/>
          <w:right w:val="nil"/>
          <w:between w:val="nil"/>
        </w:pBdr>
        <w:spacing w:after="0"/>
        <w:jc w:val="both"/>
        <w:rPr>
          <w:color w:val="000000"/>
          <w:sz w:val="24"/>
          <w:szCs w:val="24"/>
        </w:rPr>
      </w:pPr>
      <w:r>
        <w:rPr>
          <w:color w:val="000000"/>
          <w:sz w:val="24"/>
          <w:szCs w:val="24"/>
        </w:rPr>
        <w:t>Taux d’abandon élevé de la Prise en charge de la MAG</w:t>
      </w:r>
    </w:p>
    <w:p w:rsidR="00314B92" w:rsidRDefault="00AD5F81" w:rsidP="005D02C3">
      <w:pPr>
        <w:pStyle w:val="Normal1"/>
        <w:numPr>
          <w:ilvl w:val="0"/>
          <w:numId w:val="72"/>
        </w:numPr>
        <w:pBdr>
          <w:top w:val="nil"/>
          <w:left w:val="nil"/>
          <w:bottom w:val="nil"/>
          <w:right w:val="nil"/>
          <w:between w:val="nil"/>
        </w:pBdr>
        <w:spacing w:after="0"/>
        <w:jc w:val="both"/>
        <w:rPr>
          <w:color w:val="000000"/>
          <w:sz w:val="24"/>
          <w:szCs w:val="24"/>
        </w:rPr>
      </w:pPr>
      <w:r>
        <w:rPr>
          <w:color w:val="000000"/>
          <w:sz w:val="24"/>
          <w:szCs w:val="24"/>
        </w:rPr>
        <w:t>Les niveaux faibles de couverture faible en CPN4 (38%) et autres plateformes SRMNEA (Accouchement assisté, CNS/vaccination, PCIME) , des soins du nouveau-né à domicile et des GASPA, constituent autant d’opportunités manquées de promotion et que la promotion de la nutrition ne suit même pas ces niveaux actuels de couverture.</w:t>
      </w:r>
    </w:p>
    <w:p w:rsidR="00314B92" w:rsidRDefault="00AD5F81" w:rsidP="005D02C3">
      <w:pPr>
        <w:pStyle w:val="Normal1"/>
        <w:numPr>
          <w:ilvl w:val="0"/>
          <w:numId w:val="69"/>
        </w:numPr>
        <w:pBdr>
          <w:top w:val="nil"/>
          <w:left w:val="nil"/>
          <w:bottom w:val="nil"/>
          <w:right w:val="nil"/>
          <w:between w:val="nil"/>
        </w:pBdr>
        <w:spacing w:after="0"/>
        <w:jc w:val="both"/>
        <w:rPr>
          <w:i/>
          <w:color w:val="000000"/>
          <w:sz w:val="24"/>
          <w:szCs w:val="24"/>
        </w:rPr>
      </w:pPr>
      <w:r>
        <w:rPr>
          <w:i/>
          <w:color w:val="000000"/>
          <w:sz w:val="24"/>
          <w:szCs w:val="24"/>
        </w:rPr>
        <w:t>L’offre de services ANJE est de qualité insuffisante</w:t>
      </w:r>
    </w:p>
    <w:p w:rsidR="00314B92" w:rsidRDefault="00AD5F81" w:rsidP="005D02C3">
      <w:pPr>
        <w:pStyle w:val="Normal1"/>
        <w:numPr>
          <w:ilvl w:val="0"/>
          <w:numId w:val="73"/>
        </w:numPr>
        <w:pBdr>
          <w:top w:val="nil"/>
          <w:left w:val="nil"/>
          <w:bottom w:val="nil"/>
          <w:right w:val="nil"/>
          <w:between w:val="nil"/>
        </w:pBdr>
        <w:spacing w:after="0"/>
        <w:jc w:val="both"/>
        <w:rPr>
          <w:color w:val="000000"/>
          <w:sz w:val="24"/>
          <w:szCs w:val="24"/>
        </w:rPr>
      </w:pPr>
      <w:r>
        <w:rPr>
          <w:color w:val="000000"/>
          <w:sz w:val="24"/>
          <w:szCs w:val="24"/>
        </w:rPr>
        <w:t>Les guides de protocoles, ordinogramme, manquent souvent et ne sont pas toujours suivis lorsqu’ils sont disponibles ;</w:t>
      </w:r>
    </w:p>
    <w:p w:rsidR="00314B92" w:rsidRDefault="00AD5F81" w:rsidP="005D02C3">
      <w:pPr>
        <w:pStyle w:val="Normal1"/>
        <w:numPr>
          <w:ilvl w:val="0"/>
          <w:numId w:val="73"/>
        </w:numPr>
        <w:pBdr>
          <w:top w:val="nil"/>
          <w:left w:val="nil"/>
          <w:bottom w:val="nil"/>
          <w:right w:val="nil"/>
          <w:between w:val="nil"/>
        </w:pBdr>
        <w:spacing w:after="0"/>
        <w:jc w:val="both"/>
        <w:rPr>
          <w:color w:val="000000"/>
          <w:sz w:val="24"/>
          <w:szCs w:val="24"/>
        </w:rPr>
      </w:pPr>
      <w:r>
        <w:rPr>
          <w:color w:val="000000"/>
          <w:sz w:val="24"/>
          <w:szCs w:val="24"/>
        </w:rPr>
        <w:t>Besoins de mise en œuvre d’un mécanisme de supervision formative et motivante pour améliorer la qualité et l’intégration dans les plateformes SRMNEA ;</w:t>
      </w:r>
    </w:p>
    <w:p w:rsidR="00314B92" w:rsidRDefault="00AD5F81" w:rsidP="005D02C3">
      <w:pPr>
        <w:pStyle w:val="Normal1"/>
        <w:numPr>
          <w:ilvl w:val="0"/>
          <w:numId w:val="73"/>
        </w:numPr>
        <w:pBdr>
          <w:top w:val="nil"/>
          <w:left w:val="nil"/>
          <w:bottom w:val="nil"/>
          <w:right w:val="nil"/>
          <w:between w:val="nil"/>
        </w:pBdr>
        <w:spacing w:after="0"/>
        <w:jc w:val="both"/>
        <w:rPr>
          <w:color w:val="000000"/>
          <w:sz w:val="24"/>
          <w:szCs w:val="24"/>
        </w:rPr>
      </w:pPr>
      <w:r>
        <w:rPr>
          <w:color w:val="000000"/>
          <w:sz w:val="24"/>
          <w:szCs w:val="24"/>
        </w:rPr>
        <w:t xml:space="preserve">Les Groupes communautaires ne respectent pas le nombre fixé par les normes, ce qui affecte la qualité.    </w:t>
      </w:r>
    </w:p>
    <w:p w:rsidR="00314B92" w:rsidRDefault="00AD5F81" w:rsidP="005D02C3">
      <w:pPr>
        <w:pStyle w:val="Normal1"/>
        <w:numPr>
          <w:ilvl w:val="0"/>
          <w:numId w:val="74"/>
        </w:numPr>
        <w:pBdr>
          <w:top w:val="nil"/>
          <w:left w:val="nil"/>
          <w:bottom w:val="nil"/>
          <w:right w:val="nil"/>
          <w:between w:val="nil"/>
        </w:pBdr>
        <w:spacing w:after="0"/>
        <w:jc w:val="both"/>
        <w:rPr>
          <w:i/>
          <w:color w:val="000000"/>
          <w:sz w:val="24"/>
          <w:szCs w:val="24"/>
        </w:rPr>
      </w:pPr>
      <w:r>
        <w:rPr>
          <w:i/>
          <w:color w:val="000000"/>
          <w:sz w:val="24"/>
          <w:szCs w:val="24"/>
        </w:rPr>
        <w:t>Quelques goulots d’étranglement observés au niveau de l’environnement de la mise en œuvre du paquet ANJE</w:t>
      </w:r>
    </w:p>
    <w:p w:rsidR="00314B92" w:rsidRDefault="00AD5F81" w:rsidP="005D02C3">
      <w:pPr>
        <w:pStyle w:val="Normal1"/>
        <w:numPr>
          <w:ilvl w:val="0"/>
          <w:numId w:val="80"/>
        </w:numPr>
        <w:pBdr>
          <w:top w:val="nil"/>
          <w:left w:val="nil"/>
          <w:bottom w:val="nil"/>
          <w:right w:val="nil"/>
          <w:between w:val="nil"/>
        </w:pBdr>
        <w:spacing w:after="0"/>
        <w:jc w:val="both"/>
        <w:rPr>
          <w:color w:val="000000"/>
          <w:sz w:val="24"/>
          <w:szCs w:val="24"/>
        </w:rPr>
      </w:pPr>
      <w:r>
        <w:rPr>
          <w:color w:val="000000"/>
          <w:sz w:val="24"/>
          <w:szCs w:val="24"/>
        </w:rPr>
        <w:t>Insuffisance de financement des interventions de la part de l’état</w:t>
      </w:r>
    </w:p>
    <w:p w:rsidR="00314B92" w:rsidRDefault="00AD5F81" w:rsidP="005D02C3">
      <w:pPr>
        <w:pStyle w:val="Normal1"/>
        <w:numPr>
          <w:ilvl w:val="0"/>
          <w:numId w:val="80"/>
        </w:numPr>
        <w:pBdr>
          <w:top w:val="nil"/>
          <w:left w:val="nil"/>
          <w:bottom w:val="nil"/>
          <w:right w:val="nil"/>
          <w:between w:val="nil"/>
        </w:pBdr>
        <w:spacing w:after="0"/>
        <w:jc w:val="both"/>
        <w:rPr>
          <w:color w:val="000000"/>
          <w:sz w:val="24"/>
          <w:szCs w:val="24"/>
        </w:rPr>
      </w:pPr>
      <w:r>
        <w:rPr>
          <w:color w:val="000000"/>
          <w:sz w:val="24"/>
          <w:szCs w:val="24"/>
        </w:rPr>
        <w:t>Insuffisance de la coordination intra et intersectorielle</w:t>
      </w:r>
    </w:p>
    <w:p w:rsidR="00314B92" w:rsidRDefault="00AD5F81" w:rsidP="005D02C3">
      <w:pPr>
        <w:pStyle w:val="Normal1"/>
        <w:numPr>
          <w:ilvl w:val="0"/>
          <w:numId w:val="80"/>
        </w:numPr>
        <w:pBdr>
          <w:top w:val="nil"/>
          <w:left w:val="nil"/>
          <w:bottom w:val="nil"/>
          <w:right w:val="nil"/>
          <w:between w:val="nil"/>
        </w:pBdr>
        <w:spacing w:after="0"/>
        <w:jc w:val="both"/>
        <w:rPr>
          <w:color w:val="000000"/>
          <w:sz w:val="24"/>
          <w:szCs w:val="24"/>
        </w:rPr>
      </w:pPr>
      <w:r>
        <w:rPr>
          <w:color w:val="000000"/>
          <w:sz w:val="24"/>
          <w:szCs w:val="24"/>
        </w:rPr>
        <w:t>Non-respect du code de commercialisation des substituts du lait maternel</w:t>
      </w:r>
    </w:p>
    <w:p w:rsidR="000F1546" w:rsidRPr="00DB186A" w:rsidRDefault="00AD5F81" w:rsidP="005D02C3">
      <w:pPr>
        <w:pStyle w:val="Normal1"/>
        <w:numPr>
          <w:ilvl w:val="0"/>
          <w:numId w:val="80"/>
        </w:numPr>
        <w:pBdr>
          <w:top w:val="nil"/>
          <w:left w:val="nil"/>
          <w:bottom w:val="nil"/>
          <w:right w:val="nil"/>
          <w:between w:val="nil"/>
        </w:pBdr>
        <w:jc w:val="both"/>
        <w:rPr>
          <w:color w:val="000000"/>
          <w:sz w:val="24"/>
          <w:szCs w:val="24"/>
        </w:rPr>
      </w:pPr>
      <w:r>
        <w:rPr>
          <w:color w:val="000000"/>
          <w:sz w:val="24"/>
          <w:szCs w:val="24"/>
        </w:rPr>
        <w:t>Fonctionnement non optimal du Conseil national de nutrition (pas de groupes thématiques multisectoriel (EF).</w:t>
      </w:r>
    </w:p>
    <w:p w:rsidR="00314B92" w:rsidRDefault="00AD5F81" w:rsidP="005D02C3">
      <w:pPr>
        <w:pStyle w:val="Normal1"/>
        <w:numPr>
          <w:ilvl w:val="2"/>
          <w:numId w:val="120"/>
        </w:numPr>
        <w:pBdr>
          <w:top w:val="nil"/>
          <w:left w:val="nil"/>
          <w:bottom w:val="nil"/>
          <w:right w:val="nil"/>
          <w:between w:val="nil"/>
        </w:pBdr>
        <w:spacing w:after="0"/>
        <w:jc w:val="both"/>
        <w:rPr>
          <w:color w:val="000000"/>
          <w:sz w:val="24"/>
          <w:szCs w:val="24"/>
        </w:rPr>
      </w:pPr>
      <w:r>
        <w:rPr>
          <w:color w:val="000000"/>
          <w:sz w:val="24"/>
          <w:szCs w:val="24"/>
        </w:rPr>
        <w:t>INTERVENTIONS EN FAVEUR DE LA SANTE DU JEUNE ENFANT, DE L’ADOLESCENT ET DU JEUNE.</w:t>
      </w:r>
    </w:p>
    <w:p w:rsidR="00314B92" w:rsidRDefault="00AD5F81" w:rsidP="00DB186A">
      <w:pPr>
        <w:pStyle w:val="Normal1"/>
        <w:spacing w:after="0"/>
        <w:jc w:val="both"/>
        <w:rPr>
          <w:sz w:val="24"/>
          <w:szCs w:val="24"/>
        </w:rPr>
      </w:pPr>
      <w:r>
        <w:rPr>
          <w:sz w:val="24"/>
          <w:szCs w:val="24"/>
        </w:rPr>
        <w:t xml:space="preserve">Pour améliorer la santé sexuelle et reproductive des adolescents et des jeunes, le </w:t>
      </w:r>
      <w:r w:rsidR="00DB186A">
        <w:rPr>
          <w:sz w:val="24"/>
          <w:szCs w:val="24"/>
        </w:rPr>
        <w:t>pays dispose d’</w:t>
      </w:r>
      <w:r>
        <w:rPr>
          <w:sz w:val="24"/>
          <w:szCs w:val="24"/>
        </w:rPr>
        <w:t>un ca</w:t>
      </w:r>
      <w:r w:rsidR="00DB186A">
        <w:rPr>
          <w:sz w:val="24"/>
          <w:szCs w:val="24"/>
        </w:rPr>
        <w:t>dre stratégique et opérationnel et d’</w:t>
      </w:r>
      <w:r>
        <w:rPr>
          <w:sz w:val="24"/>
          <w:szCs w:val="24"/>
        </w:rPr>
        <w:t xml:space="preserve">un service dédié au sein de la Direction de la Santé Familiale.  </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 xml:space="preserve">Performances/réalisations </w:t>
      </w:r>
    </w:p>
    <w:p w:rsidR="00314B92" w:rsidRDefault="00AD5F81" w:rsidP="00F20185">
      <w:pPr>
        <w:pStyle w:val="Normal1"/>
        <w:numPr>
          <w:ilvl w:val="0"/>
          <w:numId w:val="41"/>
        </w:numPr>
        <w:pBdr>
          <w:top w:val="nil"/>
          <w:left w:val="nil"/>
          <w:bottom w:val="nil"/>
          <w:right w:val="nil"/>
          <w:between w:val="nil"/>
        </w:pBdr>
        <w:spacing w:after="0"/>
        <w:jc w:val="both"/>
        <w:rPr>
          <w:color w:val="000000"/>
          <w:sz w:val="24"/>
          <w:szCs w:val="24"/>
        </w:rPr>
      </w:pPr>
      <w:r>
        <w:rPr>
          <w:color w:val="000000"/>
          <w:sz w:val="24"/>
          <w:szCs w:val="24"/>
        </w:rPr>
        <w:t>Mise en place du cadre institutionnel, stratégique et opérationnel avec la création d’un service dédié, l’élaboration de documents de stratégie et de plans opérationnels.</w:t>
      </w:r>
    </w:p>
    <w:p w:rsidR="00314B92" w:rsidRDefault="00AD5F81" w:rsidP="00F20185">
      <w:pPr>
        <w:pStyle w:val="Normal1"/>
        <w:numPr>
          <w:ilvl w:val="0"/>
          <w:numId w:val="41"/>
        </w:numPr>
        <w:pBdr>
          <w:top w:val="nil"/>
          <w:left w:val="nil"/>
          <w:bottom w:val="nil"/>
          <w:right w:val="nil"/>
          <w:between w:val="nil"/>
        </w:pBdr>
        <w:spacing w:after="0"/>
        <w:jc w:val="both"/>
        <w:rPr>
          <w:color w:val="000000"/>
          <w:sz w:val="24"/>
          <w:szCs w:val="24"/>
        </w:rPr>
      </w:pPr>
      <w:r>
        <w:rPr>
          <w:color w:val="000000"/>
          <w:sz w:val="24"/>
          <w:szCs w:val="24"/>
        </w:rPr>
        <w:t xml:space="preserve">Les activités de promotion des bonnes pratiques, comportements et attitudes au sein des adolescents et des jeunes particulièrement dans le domaine du VIH et de la planification familiale. </w:t>
      </w:r>
    </w:p>
    <w:p w:rsidR="00314B92" w:rsidRDefault="00AD5F81" w:rsidP="00F20185">
      <w:pPr>
        <w:pStyle w:val="Normal1"/>
        <w:numPr>
          <w:ilvl w:val="0"/>
          <w:numId w:val="41"/>
        </w:numPr>
        <w:pBdr>
          <w:top w:val="nil"/>
          <w:left w:val="nil"/>
          <w:bottom w:val="nil"/>
          <w:right w:val="nil"/>
          <w:between w:val="nil"/>
        </w:pBdr>
        <w:spacing w:after="0"/>
        <w:jc w:val="both"/>
        <w:rPr>
          <w:color w:val="000000"/>
          <w:sz w:val="24"/>
          <w:szCs w:val="24"/>
        </w:rPr>
      </w:pPr>
      <w:r>
        <w:rPr>
          <w:color w:val="000000"/>
          <w:sz w:val="24"/>
          <w:szCs w:val="24"/>
        </w:rPr>
        <w:t>La surveillance des grossesses non désirées en milieu scolaire et la mise en place de clubs SRAJ dans les écoles et des espaces dénommés espaces sûrs pour la promotion d’une vie sexuelle et reproductive saine.</w:t>
      </w:r>
    </w:p>
    <w:p w:rsidR="00314B92" w:rsidRDefault="00AD5F81" w:rsidP="00F20185">
      <w:pPr>
        <w:pStyle w:val="Normal1"/>
        <w:numPr>
          <w:ilvl w:val="0"/>
          <w:numId w:val="41"/>
        </w:numPr>
        <w:pBdr>
          <w:top w:val="nil"/>
          <w:left w:val="nil"/>
          <w:bottom w:val="nil"/>
          <w:right w:val="nil"/>
          <w:between w:val="nil"/>
        </w:pBdr>
        <w:spacing w:after="0"/>
        <w:jc w:val="both"/>
        <w:rPr>
          <w:color w:val="000000"/>
          <w:sz w:val="24"/>
          <w:szCs w:val="24"/>
        </w:rPr>
      </w:pPr>
      <w:r>
        <w:rPr>
          <w:color w:val="000000"/>
          <w:sz w:val="24"/>
          <w:szCs w:val="24"/>
        </w:rPr>
        <w:t>La mise en place de plateformes interactives sur internet dénommée entre autres QG jeunes U-report, tribune ado et jeune du mouvement d’action des jeunes (MAJ). Ces plateformes intègrent la promotion des droits en santé sexuelle et reproductive des jeunes et d’autres thématiques notamment la gestion de l’environnement, les accidents de la voie publique, l’alcoolisme et toxicomanie, la prévention et la gestion des conflits.</w:t>
      </w:r>
    </w:p>
    <w:p w:rsidR="00314B92" w:rsidRDefault="00AD5F81" w:rsidP="00F20185">
      <w:pPr>
        <w:pStyle w:val="Normal1"/>
        <w:numPr>
          <w:ilvl w:val="0"/>
          <w:numId w:val="41"/>
        </w:numPr>
        <w:pBdr>
          <w:top w:val="nil"/>
          <w:left w:val="nil"/>
          <w:bottom w:val="nil"/>
          <w:right w:val="nil"/>
          <w:between w:val="nil"/>
        </w:pBdr>
        <w:spacing w:after="0"/>
        <w:jc w:val="both"/>
        <w:rPr>
          <w:color w:val="000000"/>
          <w:sz w:val="24"/>
          <w:szCs w:val="24"/>
        </w:rPr>
      </w:pPr>
      <w:r>
        <w:rPr>
          <w:color w:val="000000"/>
          <w:sz w:val="24"/>
          <w:szCs w:val="24"/>
        </w:rPr>
        <w:t>La promotion et la fidélisation des donneurs de sang à travers les clubs 25</w:t>
      </w:r>
      <w:r>
        <w:rPr>
          <w:color w:val="000000"/>
          <w:sz w:val="24"/>
          <w:szCs w:val="24"/>
          <w:vertAlign w:val="superscript"/>
        </w:rPr>
        <w:footnoteReference w:id="86"/>
      </w:r>
    </w:p>
    <w:p w:rsidR="00314B92" w:rsidRPr="00D4231F" w:rsidRDefault="00AD5F81" w:rsidP="00F20185">
      <w:pPr>
        <w:pStyle w:val="Normal1"/>
        <w:numPr>
          <w:ilvl w:val="0"/>
          <w:numId w:val="41"/>
        </w:numPr>
        <w:pBdr>
          <w:top w:val="nil"/>
          <w:left w:val="nil"/>
          <w:bottom w:val="nil"/>
          <w:right w:val="nil"/>
          <w:between w:val="nil"/>
        </w:pBdr>
        <w:jc w:val="both"/>
        <w:rPr>
          <w:color w:val="000000"/>
          <w:sz w:val="24"/>
          <w:szCs w:val="24"/>
        </w:rPr>
      </w:pPr>
      <w:r>
        <w:rPr>
          <w:color w:val="000000"/>
          <w:sz w:val="24"/>
          <w:szCs w:val="24"/>
        </w:rPr>
        <w:t>Implication et participation active des jeunes à l’élaboration du plan national d’accélération de la planification familiale et le plan stratégique santé des adolescents et des jeunes 2015-2020</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Gaps de performances et leurs causes</w:t>
      </w:r>
    </w:p>
    <w:p w:rsidR="00314B92" w:rsidRDefault="00AD5F81" w:rsidP="005D02C3">
      <w:pPr>
        <w:pStyle w:val="Normal1"/>
        <w:numPr>
          <w:ilvl w:val="0"/>
          <w:numId w:val="42"/>
        </w:numPr>
        <w:pBdr>
          <w:top w:val="nil"/>
          <w:left w:val="nil"/>
          <w:bottom w:val="nil"/>
          <w:right w:val="nil"/>
          <w:between w:val="nil"/>
        </w:pBdr>
        <w:spacing w:after="0"/>
        <w:jc w:val="both"/>
        <w:rPr>
          <w:i/>
          <w:color w:val="000000"/>
          <w:sz w:val="24"/>
          <w:szCs w:val="24"/>
        </w:rPr>
      </w:pPr>
      <w:r>
        <w:rPr>
          <w:i/>
          <w:color w:val="000000"/>
          <w:sz w:val="24"/>
          <w:szCs w:val="24"/>
        </w:rPr>
        <w:t>L’offre de services ciblant la santé reproductive, des adolescents et des jeunes reste insuffisante.</w:t>
      </w:r>
    </w:p>
    <w:p w:rsidR="00314B92" w:rsidRDefault="00AD5F81" w:rsidP="00F20185">
      <w:pPr>
        <w:pStyle w:val="Normal1"/>
        <w:numPr>
          <w:ilvl w:val="0"/>
          <w:numId w:val="30"/>
        </w:numPr>
        <w:pBdr>
          <w:top w:val="nil"/>
          <w:left w:val="nil"/>
          <w:bottom w:val="nil"/>
          <w:right w:val="nil"/>
          <w:between w:val="nil"/>
        </w:pBdr>
        <w:spacing w:after="0"/>
        <w:jc w:val="both"/>
        <w:rPr>
          <w:color w:val="000000"/>
          <w:sz w:val="24"/>
          <w:szCs w:val="24"/>
        </w:rPr>
      </w:pPr>
      <w:r>
        <w:rPr>
          <w:color w:val="000000"/>
          <w:sz w:val="24"/>
          <w:szCs w:val="24"/>
        </w:rPr>
        <w:t>La disponibilité d’infrastructures et d’équipements pour l’offre de services de santé répondant aux besoins des adolescents et des jeunes dans les centres jeunes, Formations Sanitaires et infirmeries scolaires est insuffisante ;</w:t>
      </w:r>
    </w:p>
    <w:p w:rsidR="00314B92" w:rsidRDefault="00AD5F81" w:rsidP="00F20185">
      <w:pPr>
        <w:pStyle w:val="Normal1"/>
        <w:numPr>
          <w:ilvl w:val="0"/>
          <w:numId w:val="30"/>
        </w:numPr>
        <w:pBdr>
          <w:top w:val="nil"/>
          <w:left w:val="nil"/>
          <w:bottom w:val="nil"/>
          <w:right w:val="nil"/>
          <w:between w:val="nil"/>
        </w:pBdr>
        <w:spacing w:after="0"/>
        <w:jc w:val="both"/>
        <w:rPr>
          <w:color w:val="000000"/>
          <w:sz w:val="24"/>
          <w:szCs w:val="24"/>
        </w:rPr>
      </w:pPr>
      <w:r>
        <w:rPr>
          <w:color w:val="000000"/>
          <w:sz w:val="24"/>
          <w:szCs w:val="24"/>
        </w:rPr>
        <w:t>Le cadre formel qui fera de la fidélisation au don de sang un moyen de promotion des comportements sans risque des jeunes est insuffisant ;</w:t>
      </w:r>
    </w:p>
    <w:p w:rsidR="00314B92" w:rsidRDefault="00AD5F81" w:rsidP="00F20185">
      <w:pPr>
        <w:pStyle w:val="Normal1"/>
        <w:numPr>
          <w:ilvl w:val="0"/>
          <w:numId w:val="30"/>
        </w:numPr>
        <w:pBdr>
          <w:top w:val="nil"/>
          <w:left w:val="nil"/>
          <w:bottom w:val="nil"/>
          <w:right w:val="nil"/>
          <w:between w:val="nil"/>
        </w:pBdr>
        <w:spacing w:after="0"/>
        <w:jc w:val="both"/>
        <w:rPr>
          <w:color w:val="000000"/>
          <w:sz w:val="24"/>
          <w:szCs w:val="24"/>
        </w:rPr>
      </w:pPr>
      <w:r>
        <w:rPr>
          <w:color w:val="000000"/>
          <w:sz w:val="24"/>
          <w:szCs w:val="24"/>
        </w:rPr>
        <w:t xml:space="preserve">La qualité </w:t>
      </w:r>
      <w:r w:rsidR="00DB186A">
        <w:rPr>
          <w:color w:val="000000"/>
          <w:sz w:val="24"/>
          <w:szCs w:val="24"/>
        </w:rPr>
        <w:t xml:space="preserve">faible </w:t>
      </w:r>
      <w:r>
        <w:rPr>
          <w:color w:val="000000"/>
          <w:sz w:val="24"/>
          <w:szCs w:val="24"/>
        </w:rPr>
        <w:t xml:space="preserve">des services offerts aux adolescents/jeunes </w:t>
      </w:r>
      <w:r w:rsidR="00DB186A">
        <w:rPr>
          <w:color w:val="000000"/>
          <w:sz w:val="24"/>
          <w:szCs w:val="24"/>
        </w:rPr>
        <w:t xml:space="preserve">est </w:t>
      </w:r>
      <w:r>
        <w:rPr>
          <w:color w:val="000000"/>
          <w:sz w:val="24"/>
          <w:szCs w:val="24"/>
        </w:rPr>
        <w:t>liée à l’insuffisa</w:t>
      </w:r>
      <w:r w:rsidR="00DB186A">
        <w:rPr>
          <w:color w:val="000000"/>
          <w:sz w:val="24"/>
          <w:szCs w:val="24"/>
        </w:rPr>
        <w:t>nce de compétences du personnel.</w:t>
      </w:r>
    </w:p>
    <w:p w:rsidR="00314B92" w:rsidRDefault="00AD5F81" w:rsidP="00F20185">
      <w:pPr>
        <w:pStyle w:val="Normal1"/>
        <w:numPr>
          <w:ilvl w:val="0"/>
          <w:numId w:val="30"/>
        </w:numPr>
        <w:pBdr>
          <w:top w:val="nil"/>
          <w:left w:val="nil"/>
          <w:bottom w:val="nil"/>
          <w:right w:val="nil"/>
          <w:between w:val="nil"/>
        </w:pBdr>
        <w:spacing w:after="0"/>
        <w:jc w:val="both"/>
        <w:rPr>
          <w:color w:val="000000"/>
          <w:sz w:val="24"/>
          <w:szCs w:val="24"/>
        </w:rPr>
      </w:pPr>
      <w:r>
        <w:rPr>
          <w:color w:val="000000"/>
          <w:sz w:val="24"/>
          <w:szCs w:val="24"/>
        </w:rPr>
        <w:t>La disponibilité de personnel compétent pour l’offre de services en santé sexuelle et reproductive des adolescents et des jeunes est faible</w:t>
      </w:r>
    </w:p>
    <w:p w:rsidR="00314B92" w:rsidRDefault="00AD5F81" w:rsidP="00F20185">
      <w:pPr>
        <w:pStyle w:val="Normal1"/>
        <w:numPr>
          <w:ilvl w:val="0"/>
          <w:numId w:val="30"/>
        </w:numPr>
        <w:pBdr>
          <w:top w:val="nil"/>
          <w:left w:val="nil"/>
          <w:bottom w:val="nil"/>
          <w:right w:val="nil"/>
          <w:between w:val="nil"/>
        </w:pBdr>
        <w:spacing w:after="0"/>
        <w:jc w:val="both"/>
        <w:rPr>
          <w:color w:val="000000"/>
          <w:sz w:val="24"/>
          <w:szCs w:val="24"/>
        </w:rPr>
      </w:pPr>
      <w:r>
        <w:rPr>
          <w:color w:val="000000"/>
          <w:sz w:val="24"/>
          <w:szCs w:val="24"/>
        </w:rPr>
        <w:t xml:space="preserve">Les financements pour l’opérationnalisation des plans relatifs à la SSRAJ sont limités et insuffisants. </w:t>
      </w:r>
    </w:p>
    <w:p w:rsidR="00314B92" w:rsidRDefault="009B5EB2" w:rsidP="00F20185">
      <w:pPr>
        <w:pStyle w:val="Normal1"/>
        <w:numPr>
          <w:ilvl w:val="0"/>
          <w:numId w:val="30"/>
        </w:numPr>
        <w:pBdr>
          <w:top w:val="nil"/>
          <w:left w:val="nil"/>
          <w:bottom w:val="nil"/>
          <w:right w:val="nil"/>
          <w:between w:val="nil"/>
        </w:pBdr>
        <w:spacing w:after="0"/>
        <w:jc w:val="both"/>
        <w:rPr>
          <w:color w:val="000000"/>
          <w:sz w:val="24"/>
          <w:szCs w:val="24"/>
        </w:rPr>
      </w:pPr>
      <w:r w:rsidRPr="009B5EB2">
        <w:rPr>
          <w:color w:val="000000"/>
          <w:sz w:val="24"/>
          <w:szCs w:val="24"/>
        </w:rPr>
        <w:t>Faible exploitation des TIC</w:t>
      </w:r>
      <w:r w:rsidR="00AD5F81">
        <w:rPr>
          <w:color w:val="000000"/>
          <w:sz w:val="24"/>
          <w:szCs w:val="24"/>
        </w:rPr>
        <w:t xml:space="preserve"> (faible couverture et utilisation</w:t>
      </w:r>
      <w:r w:rsidR="00DB186A">
        <w:rPr>
          <w:color w:val="000000"/>
          <w:sz w:val="24"/>
          <w:szCs w:val="24"/>
        </w:rPr>
        <w:t>)</w:t>
      </w:r>
    </w:p>
    <w:p w:rsidR="00314B92" w:rsidRDefault="00AD5F81" w:rsidP="00F20185">
      <w:pPr>
        <w:pStyle w:val="Normal1"/>
        <w:numPr>
          <w:ilvl w:val="0"/>
          <w:numId w:val="30"/>
        </w:numPr>
        <w:pBdr>
          <w:top w:val="nil"/>
          <w:left w:val="nil"/>
          <w:bottom w:val="nil"/>
          <w:right w:val="nil"/>
          <w:between w:val="nil"/>
        </w:pBdr>
        <w:spacing w:after="0"/>
        <w:jc w:val="both"/>
        <w:rPr>
          <w:color w:val="000000"/>
          <w:sz w:val="24"/>
          <w:szCs w:val="24"/>
        </w:rPr>
      </w:pPr>
      <w:r>
        <w:rPr>
          <w:color w:val="000000"/>
          <w:sz w:val="24"/>
          <w:szCs w:val="24"/>
        </w:rPr>
        <w:t>faible qualité des services offerts aux adolescents et aux jeunes liée à l’insuffisance de compétences du personnel en santé sexuelle et reproductive des adolescents et des jeunes.</w:t>
      </w:r>
    </w:p>
    <w:p w:rsidR="00314B92" w:rsidRDefault="00AD5F81" w:rsidP="005D02C3">
      <w:pPr>
        <w:pStyle w:val="Normal1"/>
        <w:numPr>
          <w:ilvl w:val="0"/>
          <w:numId w:val="42"/>
        </w:numPr>
        <w:pBdr>
          <w:top w:val="nil"/>
          <w:left w:val="nil"/>
          <w:bottom w:val="nil"/>
          <w:right w:val="nil"/>
          <w:between w:val="nil"/>
        </w:pBdr>
        <w:spacing w:after="0"/>
        <w:jc w:val="both"/>
        <w:rPr>
          <w:i/>
          <w:color w:val="000000"/>
          <w:sz w:val="24"/>
          <w:szCs w:val="24"/>
        </w:rPr>
      </w:pPr>
      <w:r>
        <w:rPr>
          <w:i/>
          <w:color w:val="000000"/>
          <w:sz w:val="24"/>
          <w:szCs w:val="24"/>
        </w:rPr>
        <w:t xml:space="preserve">Les barrières géographiques, financières et </w:t>
      </w:r>
      <w:r w:rsidR="00FD6406">
        <w:rPr>
          <w:i/>
          <w:color w:val="000000"/>
          <w:sz w:val="24"/>
          <w:szCs w:val="24"/>
        </w:rPr>
        <w:t>socioculturelles</w:t>
      </w:r>
      <w:r>
        <w:rPr>
          <w:i/>
          <w:color w:val="000000"/>
          <w:sz w:val="24"/>
          <w:szCs w:val="24"/>
        </w:rPr>
        <w:t xml:space="preserve"> entravent l’accessibilité et l’utilisation des services de santé sexuelle et reproductive des adolescents et jeunes.</w:t>
      </w:r>
    </w:p>
    <w:p w:rsidR="00314B92" w:rsidRPr="00DB186A" w:rsidRDefault="00AD5F81" w:rsidP="00F20185">
      <w:pPr>
        <w:pStyle w:val="Normal1"/>
        <w:numPr>
          <w:ilvl w:val="0"/>
          <w:numId w:val="32"/>
        </w:numPr>
        <w:pBdr>
          <w:top w:val="nil"/>
          <w:left w:val="nil"/>
          <w:bottom w:val="nil"/>
          <w:right w:val="nil"/>
          <w:between w:val="nil"/>
        </w:pBdr>
        <w:spacing w:after="0"/>
        <w:jc w:val="both"/>
        <w:rPr>
          <w:color w:val="000000"/>
          <w:sz w:val="24"/>
          <w:szCs w:val="24"/>
        </w:rPr>
      </w:pPr>
      <w:r w:rsidRPr="00DB186A">
        <w:rPr>
          <w:color w:val="000000"/>
          <w:sz w:val="24"/>
          <w:szCs w:val="24"/>
        </w:rPr>
        <w:t xml:space="preserve">Faible accessibilité des jeunes aux services de SSRAJ avec des facteurs d’iniquité géographique socio-économique notamment ceux des zones rurales, péri urbaine à forte concentration humaine  </w:t>
      </w:r>
    </w:p>
    <w:p w:rsidR="00314B92" w:rsidRDefault="00AD5F81" w:rsidP="00F20185">
      <w:pPr>
        <w:pStyle w:val="Normal1"/>
        <w:numPr>
          <w:ilvl w:val="0"/>
          <w:numId w:val="31"/>
        </w:numPr>
        <w:pBdr>
          <w:top w:val="nil"/>
          <w:left w:val="nil"/>
          <w:bottom w:val="nil"/>
          <w:right w:val="nil"/>
          <w:between w:val="nil"/>
        </w:pBdr>
        <w:spacing w:after="0"/>
        <w:jc w:val="both"/>
        <w:rPr>
          <w:i/>
          <w:color w:val="000000"/>
          <w:sz w:val="24"/>
          <w:szCs w:val="24"/>
        </w:rPr>
      </w:pPr>
      <w:r>
        <w:rPr>
          <w:color w:val="000000"/>
          <w:sz w:val="24"/>
          <w:szCs w:val="24"/>
        </w:rPr>
        <w:t xml:space="preserve">Une information limitée sur les risques liés à certains comportements et pratiques et la disponibilité d’une offre de services. </w:t>
      </w:r>
    </w:p>
    <w:p w:rsidR="00314B92" w:rsidRDefault="00AD5F81" w:rsidP="00F20185">
      <w:pPr>
        <w:pStyle w:val="Normal1"/>
        <w:numPr>
          <w:ilvl w:val="0"/>
          <w:numId w:val="31"/>
        </w:numPr>
        <w:pBdr>
          <w:top w:val="nil"/>
          <w:left w:val="nil"/>
          <w:bottom w:val="nil"/>
          <w:right w:val="nil"/>
          <w:between w:val="nil"/>
        </w:pBdr>
        <w:spacing w:after="0"/>
        <w:jc w:val="both"/>
        <w:rPr>
          <w:i/>
          <w:color w:val="000000"/>
          <w:sz w:val="24"/>
          <w:szCs w:val="24"/>
        </w:rPr>
      </w:pPr>
      <w:r>
        <w:rPr>
          <w:color w:val="000000"/>
          <w:sz w:val="24"/>
          <w:szCs w:val="24"/>
        </w:rPr>
        <w:t>Une insuffisance de la promotion de la sécurité routière à l’intention des jeunes</w:t>
      </w:r>
    </w:p>
    <w:p w:rsidR="00314B92" w:rsidRDefault="00AD5F81" w:rsidP="00F20185">
      <w:pPr>
        <w:pStyle w:val="Normal1"/>
        <w:numPr>
          <w:ilvl w:val="0"/>
          <w:numId w:val="34"/>
        </w:numPr>
        <w:pBdr>
          <w:top w:val="nil"/>
          <w:left w:val="nil"/>
          <w:bottom w:val="nil"/>
          <w:right w:val="nil"/>
          <w:between w:val="nil"/>
        </w:pBdr>
        <w:spacing w:after="0"/>
        <w:jc w:val="both"/>
        <w:rPr>
          <w:i/>
          <w:color w:val="000000"/>
          <w:sz w:val="24"/>
          <w:szCs w:val="24"/>
        </w:rPr>
      </w:pPr>
      <w:r>
        <w:rPr>
          <w:color w:val="000000"/>
          <w:sz w:val="24"/>
          <w:szCs w:val="24"/>
        </w:rPr>
        <w:t xml:space="preserve">Les barrières </w:t>
      </w:r>
      <w:r w:rsidR="00DB186A">
        <w:rPr>
          <w:color w:val="000000"/>
          <w:sz w:val="24"/>
          <w:szCs w:val="24"/>
        </w:rPr>
        <w:t>socioculturelles</w:t>
      </w:r>
      <w:r>
        <w:rPr>
          <w:color w:val="000000"/>
          <w:sz w:val="24"/>
          <w:szCs w:val="24"/>
        </w:rPr>
        <w:t xml:space="preserve"> (mariage des enfants, sexualité tabou, effritement des relations sociales, séparation, démission ou désengagement des parents, monoparentalité, concubinage, adoption, responsabilisation précoce des enfants, violences sexuelles, physiques et psychologiques.</w:t>
      </w:r>
    </w:p>
    <w:p w:rsidR="00314B92" w:rsidRDefault="00AD5F81" w:rsidP="005D02C3">
      <w:pPr>
        <w:pStyle w:val="Normal1"/>
        <w:numPr>
          <w:ilvl w:val="0"/>
          <w:numId w:val="42"/>
        </w:numPr>
        <w:pBdr>
          <w:top w:val="nil"/>
          <w:left w:val="nil"/>
          <w:bottom w:val="nil"/>
          <w:right w:val="nil"/>
          <w:between w:val="nil"/>
        </w:pBdr>
        <w:spacing w:after="0"/>
        <w:jc w:val="both"/>
        <w:rPr>
          <w:i/>
          <w:color w:val="000000"/>
          <w:sz w:val="24"/>
          <w:szCs w:val="24"/>
        </w:rPr>
      </w:pPr>
      <w:r>
        <w:rPr>
          <w:i/>
          <w:color w:val="000000"/>
          <w:sz w:val="24"/>
          <w:szCs w:val="24"/>
        </w:rPr>
        <w:t>L’exposition précoce des adolescents et jeunes à des pratiques et comportement à risques (tabagisme,</w:t>
      </w:r>
      <w:r w:rsidR="00DB186A">
        <w:rPr>
          <w:i/>
          <w:color w:val="000000"/>
          <w:sz w:val="24"/>
          <w:szCs w:val="24"/>
        </w:rPr>
        <w:t xml:space="preserve"> </w:t>
      </w:r>
      <w:r>
        <w:rPr>
          <w:i/>
          <w:color w:val="000000"/>
          <w:sz w:val="24"/>
          <w:szCs w:val="24"/>
        </w:rPr>
        <w:t>toxicomanie, alcoolisme,  sexualité précoce, substances illicites) à travers les médias, les bandes d’adolescents et jeunes, ….</w:t>
      </w:r>
    </w:p>
    <w:p w:rsidR="00314B92" w:rsidRDefault="00AD5F81" w:rsidP="00F20185">
      <w:pPr>
        <w:pStyle w:val="Normal1"/>
        <w:numPr>
          <w:ilvl w:val="0"/>
          <w:numId w:val="34"/>
        </w:numPr>
        <w:pBdr>
          <w:top w:val="nil"/>
          <w:left w:val="nil"/>
          <w:bottom w:val="nil"/>
          <w:right w:val="nil"/>
          <w:between w:val="nil"/>
        </w:pBdr>
        <w:spacing w:after="0"/>
        <w:jc w:val="both"/>
        <w:rPr>
          <w:i/>
          <w:color w:val="000000"/>
          <w:sz w:val="24"/>
          <w:szCs w:val="24"/>
        </w:rPr>
      </w:pPr>
      <w:r>
        <w:rPr>
          <w:i/>
          <w:color w:val="000000"/>
          <w:sz w:val="24"/>
          <w:szCs w:val="24"/>
        </w:rPr>
        <w:t>Insuffisance des activités de promotion de changement comportemental et social à risque en matière de SSRAJ</w:t>
      </w:r>
    </w:p>
    <w:p w:rsidR="00314B92" w:rsidRDefault="00AD5F81" w:rsidP="005D02C3">
      <w:pPr>
        <w:pStyle w:val="Normal1"/>
        <w:numPr>
          <w:ilvl w:val="0"/>
          <w:numId w:val="42"/>
        </w:numPr>
        <w:pBdr>
          <w:top w:val="nil"/>
          <w:left w:val="nil"/>
          <w:bottom w:val="nil"/>
          <w:right w:val="nil"/>
          <w:between w:val="nil"/>
        </w:pBdr>
        <w:spacing w:after="0"/>
        <w:jc w:val="both"/>
        <w:rPr>
          <w:i/>
          <w:color w:val="000000"/>
          <w:sz w:val="24"/>
          <w:szCs w:val="24"/>
        </w:rPr>
      </w:pPr>
      <w:r>
        <w:rPr>
          <w:i/>
          <w:color w:val="000000"/>
          <w:sz w:val="24"/>
          <w:szCs w:val="24"/>
        </w:rPr>
        <w:t>La coordination insuffisante des acteurs</w:t>
      </w:r>
    </w:p>
    <w:p w:rsidR="00314B92" w:rsidRDefault="00AD5F81" w:rsidP="00F20185">
      <w:pPr>
        <w:pStyle w:val="Normal1"/>
        <w:numPr>
          <w:ilvl w:val="0"/>
          <w:numId w:val="33"/>
        </w:numPr>
        <w:pBdr>
          <w:top w:val="nil"/>
          <w:left w:val="nil"/>
          <w:bottom w:val="nil"/>
          <w:right w:val="nil"/>
          <w:between w:val="nil"/>
        </w:pBdr>
        <w:spacing w:after="0"/>
        <w:jc w:val="both"/>
        <w:rPr>
          <w:color w:val="000000"/>
          <w:sz w:val="24"/>
          <w:szCs w:val="24"/>
        </w:rPr>
      </w:pPr>
      <w:r>
        <w:rPr>
          <w:color w:val="000000"/>
          <w:sz w:val="24"/>
          <w:szCs w:val="24"/>
        </w:rPr>
        <w:t xml:space="preserve">Plusieurs acteurs (PTF, ONG et Associations) interviennent en santé sexuelle et reproductive des adolescents et des jeunes mais ces interventions sont disparates et très peu coordonnées. Une mutualisation des efforts ainsi qu’un partage d’expérience sont nécessaires. Les cadres de concertations planifiés dans le plan stratégique santé des adolescents et des jeunes n’ont pas encore connu de financement. </w:t>
      </w:r>
    </w:p>
    <w:p w:rsidR="00314B92" w:rsidRDefault="00314B92">
      <w:pPr>
        <w:pStyle w:val="Normal1"/>
        <w:pBdr>
          <w:top w:val="nil"/>
          <w:left w:val="nil"/>
          <w:bottom w:val="nil"/>
          <w:right w:val="nil"/>
          <w:between w:val="nil"/>
        </w:pBdr>
        <w:spacing w:after="0"/>
        <w:ind w:left="720" w:hanging="720"/>
        <w:jc w:val="both"/>
        <w:rPr>
          <w:color w:val="000000"/>
          <w:sz w:val="24"/>
          <w:szCs w:val="24"/>
        </w:rPr>
      </w:pPr>
    </w:p>
    <w:p w:rsidR="00314B92" w:rsidRDefault="00AD5F81" w:rsidP="005D02C3">
      <w:pPr>
        <w:pStyle w:val="Normal1"/>
        <w:numPr>
          <w:ilvl w:val="1"/>
          <w:numId w:val="120"/>
        </w:numPr>
        <w:pBdr>
          <w:top w:val="nil"/>
          <w:left w:val="nil"/>
          <w:bottom w:val="nil"/>
          <w:right w:val="nil"/>
          <w:between w:val="nil"/>
        </w:pBdr>
        <w:spacing w:after="0" w:line="360" w:lineRule="auto"/>
        <w:jc w:val="both"/>
        <w:rPr>
          <w:color w:val="000000"/>
          <w:sz w:val="24"/>
          <w:szCs w:val="24"/>
        </w:rPr>
      </w:pPr>
      <w:r>
        <w:rPr>
          <w:b/>
          <w:color w:val="000000"/>
          <w:sz w:val="24"/>
          <w:szCs w:val="24"/>
        </w:rPr>
        <w:t>ENVIRONNEMENT DE LA MISE EN ŒUVRE DU PAQUET SRM</w:t>
      </w:r>
      <w:r w:rsidR="00FD6406">
        <w:rPr>
          <w:b/>
          <w:color w:val="000000"/>
          <w:sz w:val="24"/>
          <w:szCs w:val="24"/>
        </w:rPr>
        <w:t>NEA</w:t>
      </w:r>
      <w:r>
        <w:rPr>
          <w:b/>
          <w:color w:val="000000"/>
          <w:sz w:val="24"/>
          <w:szCs w:val="24"/>
        </w:rPr>
        <w:t>N et ECSV</w:t>
      </w:r>
    </w:p>
    <w:p w:rsidR="00314B92" w:rsidRDefault="00AD5F81">
      <w:pPr>
        <w:pStyle w:val="Normal1"/>
        <w:spacing w:after="0"/>
        <w:jc w:val="both"/>
        <w:rPr>
          <w:sz w:val="24"/>
          <w:szCs w:val="24"/>
        </w:rPr>
      </w:pPr>
      <w:r>
        <w:rPr>
          <w:sz w:val="24"/>
          <w:szCs w:val="24"/>
        </w:rPr>
        <w:t>L’analyse de l’environnement de la mise en œuvre du paquet SRMNEA-N et ECSV portera sur l’appui du Système de santé (ressources humaines, la disponibilité et utilisation des services de santé, le financement, l’information sanitaire, la gouvernance, les prestations de services) et sur les déterminants de la santé.</w:t>
      </w:r>
    </w:p>
    <w:p w:rsidR="00314B92" w:rsidRDefault="00314B92">
      <w:pPr>
        <w:pStyle w:val="Normal1"/>
        <w:spacing w:after="0"/>
        <w:jc w:val="both"/>
        <w:rPr>
          <w:sz w:val="24"/>
          <w:szCs w:val="24"/>
        </w:rPr>
      </w:pPr>
    </w:p>
    <w:p w:rsidR="00314B92" w:rsidRDefault="00AD5F81" w:rsidP="005D02C3">
      <w:pPr>
        <w:pStyle w:val="Normal1"/>
        <w:numPr>
          <w:ilvl w:val="2"/>
          <w:numId w:val="120"/>
        </w:numPr>
        <w:pBdr>
          <w:top w:val="nil"/>
          <w:left w:val="nil"/>
          <w:bottom w:val="nil"/>
          <w:right w:val="nil"/>
          <w:between w:val="nil"/>
        </w:pBdr>
        <w:spacing w:after="0"/>
        <w:jc w:val="both"/>
        <w:rPr>
          <w:b/>
          <w:color w:val="000000"/>
          <w:sz w:val="24"/>
          <w:szCs w:val="24"/>
        </w:rPr>
      </w:pPr>
      <w:r>
        <w:rPr>
          <w:b/>
          <w:color w:val="000000"/>
          <w:sz w:val="24"/>
          <w:szCs w:val="24"/>
        </w:rPr>
        <w:t>LA DISPONIBILITE ET UTILISATION DES SERVICES DE SANTE</w:t>
      </w:r>
    </w:p>
    <w:p w:rsidR="00314B92" w:rsidRDefault="00AD5F81">
      <w:pPr>
        <w:pStyle w:val="Normal1"/>
        <w:spacing w:after="0"/>
        <w:jc w:val="both"/>
        <w:rPr>
          <w:sz w:val="24"/>
          <w:szCs w:val="24"/>
        </w:rPr>
      </w:pPr>
      <w:r>
        <w:rPr>
          <w:sz w:val="24"/>
          <w:szCs w:val="24"/>
        </w:rPr>
        <w:t>Les éléments d’appréciation de la disponibilité des services de santé portent sur les infrastructures sanitaires, les équipements et les ressources humaines. L’utilisation des services de santé est appréciée à travers la fréquentation des formations sanitaires par la population (exemples consultations externes, hospitalisation…).</w:t>
      </w:r>
    </w:p>
    <w:p w:rsidR="00314B92" w:rsidRDefault="00314B92">
      <w:pPr>
        <w:pStyle w:val="Normal1"/>
        <w:spacing w:after="0"/>
        <w:jc w:val="both"/>
        <w:rPr>
          <w:sz w:val="24"/>
          <w:szCs w:val="24"/>
        </w:rPr>
      </w:pP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color w:val="000000"/>
          <w:sz w:val="24"/>
          <w:szCs w:val="24"/>
        </w:rPr>
        <w:t>RESSOURCES HUMAINES</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Performances</w:t>
      </w:r>
    </w:p>
    <w:p w:rsidR="00314B92" w:rsidRDefault="00AD5F81">
      <w:pPr>
        <w:pStyle w:val="Normal1"/>
        <w:spacing w:after="0"/>
        <w:jc w:val="both"/>
        <w:rPr>
          <w:sz w:val="24"/>
          <w:szCs w:val="24"/>
        </w:rPr>
      </w:pPr>
      <w:r>
        <w:rPr>
          <w:sz w:val="24"/>
          <w:szCs w:val="24"/>
        </w:rPr>
        <w:t xml:space="preserve">En 2017, l’effectif se chiffrait à 23 000 personnels de santé. Au cours des 5 dernières années, exception faite de la catégorie Infirmiers brevetés qui a connu un taux d’accroissement moyen annuel (TAMA) de -6%, toutes les autres catégories ont connu un TAMA positif évoluant entre 3% pour les Pharmaciens à 20% pour les sages-femmes/maïeuticiens d’état. </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 xml:space="preserve">La densité de professionnel de santé (7 professionnels de santé pour 10 000 habitants) est considérablement inférieure aux 23 travailleurs de la santé préconisés par l’OMS. </w:t>
      </w:r>
    </w:p>
    <w:p w:rsidR="00314B92" w:rsidRDefault="00AD5F81">
      <w:pPr>
        <w:pStyle w:val="Normal1"/>
        <w:spacing w:after="0"/>
        <w:jc w:val="both"/>
        <w:rPr>
          <w:sz w:val="24"/>
          <w:szCs w:val="24"/>
        </w:rPr>
      </w:pPr>
      <w:r>
        <w:rPr>
          <w:sz w:val="24"/>
          <w:szCs w:val="24"/>
        </w:rPr>
        <w:t>Les écarts entre régions sont considérables allant de 1,83 pour la Région du Nord à 12,22 pour 10 000 habitants pour la région du Centre.</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Gaps de performances</w:t>
      </w:r>
    </w:p>
    <w:p w:rsidR="00314B92" w:rsidRDefault="00AD5F81" w:rsidP="00F20185">
      <w:pPr>
        <w:pStyle w:val="Normal1"/>
        <w:numPr>
          <w:ilvl w:val="0"/>
          <w:numId w:val="24"/>
        </w:numPr>
        <w:pBdr>
          <w:top w:val="nil"/>
          <w:left w:val="nil"/>
          <w:bottom w:val="nil"/>
          <w:right w:val="nil"/>
          <w:between w:val="nil"/>
        </w:pBdr>
        <w:spacing w:after="0"/>
        <w:jc w:val="both"/>
        <w:rPr>
          <w:i/>
          <w:color w:val="000000"/>
          <w:sz w:val="24"/>
          <w:szCs w:val="24"/>
        </w:rPr>
      </w:pPr>
      <w:r>
        <w:rPr>
          <w:i/>
          <w:color w:val="000000"/>
          <w:sz w:val="24"/>
          <w:szCs w:val="24"/>
        </w:rPr>
        <w:t xml:space="preserve">Les effectifs du personnel de santé restent insuffisants </w:t>
      </w:r>
    </w:p>
    <w:p w:rsidR="00726844" w:rsidRDefault="00726844">
      <w:pPr>
        <w:pStyle w:val="Normal1"/>
        <w:pBdr>
          <w:top w:val="nil"/>
          <w:left w:val="nil"/>
          <w:bottom w:val="nil"/>
          <w:right w:val="nil"/>
          <w:between w:val="nil"/>
        </w:pBdr>
        <w:spacing w:after="0"/>
        <w:ind w:left="360" w:hanging="720"/>
        <w:jc w:val="both"/>
        <w:rPr>
          <w:color w:val="000000"/>
          <w:sz w:val="24"/>
          <w:szCs w:val="24"/>
        </w:rPr>
      </w:pPr>
      <w:r>
        <w:rPr>
          <w:color w:val="000000"/>
          <w:sz w:val="24"/>
          <w:szCs w:val="24"/>
        </w:rPr>
        <w:t xml:space="preserve">       </w:t>
      </w:r>
      <w:r w:rsidR="00AD5F81">
        <w:rPr>
          <w:color w:val="000000"/>
          <w:sz w:val="24"/>
          <w:szCs w:val="24"/>
        </w:rPr>
        <w:t xml:space="preserve">Malgré les progrès, les effectifs du personnel de santé restent insuffisants par rapport aux </w:t>
      </w:r>
    </w:p>
    <w:p w:rsidR="00314B92" w:rsidRDefault="00726844">
      <w:pPr>
        <w:pStyle w:val="Normal1"/>
        <w:pBdr>
          <w:top w:val="nil"/>
          <w:left w:val="nil"/>
          <w:bottom w:val="nil"/>
          <w:right w:val="nil"/>
          <w:between w:val="nil"/>
        </w:pBdr>
        <w:spacing w:after="0"/>
        <w:ind w:left="360" w:hanging="720"/>
        <w:jc w:val="both"/>
        <w:rPr>
          <w:color w:val="000000"/>
          <w:sz w:val="24"/>
          <w:szCs w:val="24"/>
        </w:rPr>
      </w:pPr>
      <w:r>
        <w:rPr>
          <w:color w:val="000000"/>
          <w:sz w:val="24"/>
          <w:szCs w:val="24"/>
        </w:rPr>
        <w:t xml:space="preserve">       </w:t>
      </w:r>
      <w:r w:rsidR="00AD5F81">
        <w:rPr>
          <w:color w:val="000000"/>
          <w:sz w:val="24"/>
          <w:szCs w:val="24"/>
        </w:rPr>
        <w:t>normes OMS et sont inégalement répartis sur le territoire national.</w:t>
      </w:r>
    </w:p>
    <w:p w:rsidR="00314B92" w:rsidRDefault="00314B92">
      <w:pPr>
        <w:pStyle w:val="Normal1"/>
        <w:pBdr>
          <w:top w:val="nil"/>
          <w:left w:val="nil"/>
          <w:bottom w:val="nil"/>
          <w:right w:val="nil"/>
          <w:between w:val="nil"/>
        </w:pBdr>
        <w:spacing w:after="0"/>
        <w:ind w:left="360" w:hanging="720"/>
        <w:jc w:val="both"/>
        <w:rPr>
          <w:color w:val="000000"/>
          <w:sz w:val="24"/>
          <w:szCs w:val="24"/>
        </w:rPr>
      </w:pPr>
    </w:p>
    <w:p w:rsidR="00314B92" w:rsidRDefault="00AD5F81" w:rsidP="00726844">
      <w:pPr>
        <w:pStyle w:val="Normal1"/>
        <w:pBdr>
          <w:top w:val="nil"/>
          <w:left w:val="nil"/>
          <w:bottom w:val="nil"/>
          <w:right w:val="nil"/>
          <w:between w:val="nil"/>
        </w:pBdr>
        <w:spacing w:after="0"/>
        <w:ind w:hanging="720"/>
        <w:jc w:val="right"/>
        <w:rPr>
          <w:color w:val="000000"/>
          <w:sz w:val="24"/>
          <w:szCs w:val="24"/>
        </w:rPr>
      </w:pPr>
      <w:r>
        <w:rPr>
          <w:noProof/>
          <w:color w:val="000000"/>
          <w:sz w:val="18"/>
          <w:szCs w:val="18"/>
        </w:rPr>
        <w:drawing>
          <wp:inline distT="0" distB="0" distL="0" distR="0">
            <wp:extent cx="5760720" cy="2552700"/>
            <wp:effectExtent l="0" t="0" r="0" b="0"/>
            <wp:docPr id="41"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32" cstate="print"/>
                    <a:srcRect/>
                    <a:stretch>
                      <a:fillRect/>
                    </a:stretch>
                  </pic:blipFill>
                  <pic:spPr>
                    <a:xfrm>
                      <a:off x="0" y="0"/>
                      <a:ext cx="5760720" cy="2552700"/>
                    </a:xfrm>
                    <a:prstGeom prst="rect">
                      <a:avLst/>
                    </a:prstGeom>
                    <a:ln/>
                  </pic:spPr>
                </pic:pic>
              </a:graphicData>
            </a:graphic>
          </wp:inline>
        </w:drawing>
      </w:r>
    </w:p>
    <w:p w:rsidR="00314B92" w:rsidRDefault="00AD5F81" w:rsidP="00726844">
      <w:pPr>
        <w:pStyle w:val="Normal1"/>
        <w:pBdr>
          <w:top w:val="nil"/>
          <w:left w:val="nil"/>
          <w:bottom w:val="nil"/>
          <w:right w:val="nil"/>
          <w:between w:val="nil"/>
        </w:pBdr>
        <w:spacing w:after="0"/>
        <w:ind w:hanging="720"/>
        <w:jc w:val="center"/>
        <w:rPr>
          <w:b/>
          <w:color w:val="000000"/>
          <w:sz w:val="24"/>
          <w:szCs w:val="24"/>
        </w:rPr>
      </w:pPr>
      <w:r>
        <w:rPr>
          <w:b/>
          <w:color w:val="000000"/>
          <w:sz w:val="24"/>
          <w:szCs w:val="24"/>
        </w:rPr>
        <w:t>Figure 19 : Distribution des gaps en RHS (Normes OMS) par région</w:t>
      </w:r>
    </w:p>
    <w:p w:rsidR="00314B92" w:rsidRDefault="00314B92">
      <w:pPr>
        <w:pStyle w:val="Normal1"/>
        <w:pBdr>
          <w:top w:val="nil"/>
          <w:left w:val="nil"/>
          <w:bottom w:val="nil"/>
          <w:right w:val="nil"/>
          <w:between w:val="nil"/>
        </w:pBdr>
        <w:spacing w:after="0"/>
        <w:ind w:hanging="720"/>
        <w:rPr>
          <w:b/>
          <w:color w:val="000000"/>
          <w:sz w:val="24"/>
          <w:szCs w:val="24"/>
        </w:rPr>
      </w:pPr>
    </w:p>
    <w:p w:rsidR="00314B92" w:rsidRDefault="00726844" w:rsidP="00726844">
      <w:pPr>
        <w:pStyle w:val="Normal1"/>
        <w:pBdr>
          <w:top w:val="nil"/>
          <w:left w:val="nil"/>
          <w:bottom w:val="nil"/>
          <w:right w:val="nil"/>
          <w:between w:val="nil"/>
        </w:pBdr>
        <w:spacing w:after="0"/>
        <w:rPr>
          <w:color w:val="000000"/>
          <w:sz w:val="24"/>
          <w:szCs w:val="24"/>
        </w:rPr>
      </w:pPr>
      <w:r>
        <w:rPr>
          <w:color w:val="000000"/>
        </w:rPr>
        <w:t xml:space="preserve"> </w:t>
      </w:r>
      <w:r w:rsidR="00AD5F81">
        <w:rPr>
          <w:color w:val="000000"/>
        </w:rPr>
        <w:t>La figure suivante montre que la région du Centre a atteint une couverture de 52,6% en RHS SR (pour une moyenne nationale de 31,6%). Les régions du Sahel, de l’Est et du Centre Est ont les plus faibles niveaux de couverture respectivement de 23,1%, de 24,4% et 24,5%</w:t>
      </w:r>
    </w:p>
    <w:p w:rsidR="00314B92" w:rsidRDefault="00AD5F81" w:rsidP="00F20185">
      <w:pPr>
        <w:pStyle w:val="Normal1"/>
        <w:numPr>
          <w:ilvl w:val="0"/>
          <w:numId w:val="24"/>
        </w:numPr>
        <w:pBdr>
          <w:top w:val="nil"/>
          <w:left w:val="nil"/>
          <w:bottom w:val="nil"/>
          <w:right w:val="nil"/>
          <w:between w:val="nil"/>
        </w:pBdr>
        <w:spacing w:after="0"/>
        <w:jc w:val="both"/>
        <w:rPr>
          <w:i/>
          <w:color w:val="000000"/>
          <w:sz w:val="24"/>
          <w:szCs w:val="24"/>
        </w:rPr>
      </w:pPr>
      <w:r>
        <w:rPr>
          <w:i/>
          <w:color w:val="000000"/>
          <w:sz w:val="24"/>
          <w:szCs w:val="24"/>
        </w:rPr>
        <w:t>La disponibilité du personnel compétent, directement opérationnel dès la sortie des écoles de formation et motivé est faible.</w:t>
      </w:r>
    </w:p>
    <w:p w:rsidR="00314B92" w:rsidRDefault="00AD5F81" w:rsidP="00F20185">
      <w:pPr>
        <w:pStyle w:val="Normal1"/>
        <w:numPr>
          <w:ilvl w:val="0"/>
          <w:numId w:val="24"/>
        </w:numPr>
        <w:pBdr>
          <w:top w:val="nil"/>
          <w:left w:val="nil"/>
          <w:bottom w:val="nil"/>
          <w:right w:val="nil"/>
          <w:between w:val="nil"/>
        </w:pBdr>
        <w:jc w:val="both"/>
        <w:rPr>
          <w:i/>
          <w:color w:val="000000"/>
          <w:sz w:val="24"/>
          <w:szCs w:val="24"/>
        </w:rPr>
      </w:pPr>
      <w:r>
        <w:rPr>
          <w:i/>
          <w:color w:val="000000"/>
          <w:sz w:val="24"/>
          <w:szCs w:val="24"/>
        </w:rPr>
        <w:t>Certaines interventions du paquet de la SRMNEA-N et ECSV manquent particulièrement de prestataires formés : SONU, PF, PTME, PCIME, TETU.</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color w:val="000000"/>
          <w:sz w:val="24"/>
          <w:szCs w:val="24"/>
        </w:rPr>
        <w:t>DISPONIBILITE DES INFRASTRUCTURES ET EQUIPEMENTS SANITAIRES</w:t>
      </w:r>
    </w:p>
    <w:p w:rsidR="00314B92" w:rsidRDefault="00AD5F81">
      <w:pPr>
        <w:pStyle w:val="Normal1"/>
        <w:pBdr>
          <w:top w:val="nil"/>
          <w:left w:val="nil"/>
          <w:bottom w:val="nil"/>
          <w:right w:val="nil"/>
          <w:between w:val="nil"/>
        </w:pBdr>
        <w:spacing w:after="0" w:line="360" w:lineRule="auto"/>
        <w:ind w:left="1080" w:hanging="720"/>
        <w:jc w:val="both"/>
        <w:rPr>
          <w:b/>
          <w:color w:val="000000"/>
          <w:sz w:val="24"/>
          <w:szCs w:val="24"/>
        </w:rPr>
      </w:pPr>
      <w:r>
        <w:rPr>
          <w:b/>
          <w:color w:val="000000"/>
          <w:sz w:val="24"/>
          <w:szCs w:val="24"/>
        </w:rPr>
        <w:t>Performances</w:t>
      </w:r>
    </w:p>
    <w:p w:rsidR="00314B92" w:rsidRDefault="00AD5F81">
      <w:pPr>
        <w:pStyle w:val="Normal1"/>
        <w:spacing w:after="0"/>
        <w:rPr>
          <w:sz w:val="23"/>
          <w:szCs w:val="23"/>
        </w:rPr>
      </w:pPr>
      <w:r>
        <w:rPr>
          <w:sz w:val="24"/>
          <w:szCs w:val="24"/>
        </w:rPr>
        <w:t xml:space="preserve">En 2016, </w:t>
      </w:r>
      <w:r>
        <w:rPr>
          <w:sz w:val="23"/>
          <w:szCs w:val="23"/>
        </w:rPr>
        <w:t xml:space="preserve">la densité d’établissements de soins s’est légèrement améliorée passant de 1,24 pour 10 000 habitants à 1.39 en 2016. La plus forte densité est observée dans la région du Plateau Central (1.83) et la plus faible au Sahel (0,89) en 2016. </w:t>
      </w:r>
    </w:p>
    <w:p w:rsidR="00314B92" w:rsidRDefault="00AD5F81">
      <w:pPr>
        <w:pStyle w:val="Normal1"/>
        <w:spacing w:after="0"/>
        <w:rPr>
          <w:sz w:val="23"/>
          <w:szCs w:val="23"/>
        </w:rPr>
      </w:pPr>
      <w:r>
        <w:rPr>
          <w:sz w:val="23"/>
          <w:szCs w:val="23"/>
        </w:rPr>
        <w:t>La valeur de cet indicateur reste inférieure à la norme de l’OMS qui est de 2 établissements de santé pour 10 000 habitants.</w:t>
      </w:r>
    </w:p>
    <w:p w:rsidR="00314B92" w:rsidRDefault="00AD5F81">
      <w:pPr>
        <w:pStyle w:val="Normal1"/>
        <w:spacing w:after="0"/>
        <w:jc w:val="both"/>
        <w:rPr>
          <w:sz w:val="24"/>
          <w:szCs w:val="24"/>
        </w:rPr>
      </w:pPr>
      <w:r>
        <w:rPr>
          <w:sz w:val="24"/>
          <w:szCs w:val="24"/>
        </w:rPr>
        <w:t>Le Rayon moyen d’action théorique (en Km sans le privé) est passé de 7 en 2013 à 6,5 en 2017. Plus de 20% de la population parcourt au moins 10 km pour atteindre une formation sanitaire. Dans les régions de l’Est (47,2%) et du Sahel (46,2%), près de la moitié de la population habite à 10 km ou plus d’un centre de santé</w:t>
      </w:r>
      <w:r>
        <w:rPr>
          <w:sz w:val="24"/>
          <w:szCs w:val="24"/>
          <w:vertAlign w:val="superscript"/>
        </w:rPr>
        <w:footnoteReference w:id="87"/>
      </w:r>
      <w:r>
        <w:rPr>
          <w:sz w:val="24"/>
          <w:szCs w:val="24"/>
        </w:rPr>
        <w:t>. Avec le sous-secteur privé le Rayon moyen d’action théorique est de 6,1 en 2016</w:t>
      </w:r>
      <w:r>
        <w:rPr>
          <w:sz w:val="24"/>
          <w:szCs w:val="24"/>
          <w:vertAlign w:val="superscript"/>
        </w:rPr>
        <w:footnoteReference w:id="88"/>
      </w:r>
      <w:r>
        <w:rPr>
          <w:sz w:val="24"/>
          <w:szCs w:val="24"/>
        </w:rPr>
        <w:t xml:space="preserve">. </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 xml:space="preserve">En 2016, la densité des lits généraux est de 11 lits pour l’accueil de 10 000 habitants et celle des lits de maternité est de 9 lits pour 1 000 femmes enceintes. Ces valeurs sont en deçà de la norme de l’OMS qui est de 25 lits généraux/10 000 habitants et de 10 lits de maternité/1 000 femmes enceintes. </w:t>
      </w:r>
    </w:p>
    <w:p w:rsidR="00314B92" w:rsidRDefault="00AD5F81">
      <w:pPr>
        <w:pStyle w:val="Normal1"/>
        <w:pBdr>
          <w:top w:val="nil"/>
          <w:left w:val="nil"/>
          <w:bottom w:val="nil"/>
          <w:right w:val="nil"/>
          <w:between w:val="nil"/>
        </w:pBdr>
        <w:spacing w:after="0"/>
        <w:jc w:val="both"/>
        <w:rPr>
          <w:b/>
          <w:color w:val="000000"/>
          <w:sz w:val="24"/>
          <w:szCs w:val="24"/>
        </w:rPr>
      </w:pPr>
      <w:r>
        <w:rPr>
          <w:rFonts w:ascii="Arial" w:eastAsia="Arial" w:hAnsi="Arial" w:cs="Arial"/>
          <w:noProof/>
          <w:color w:val="000000"/>
          <w:sz w:val="24"/>
          <w:szCs w:val="24"/>
        </w:rPr>
        <w:drawing>
          <wp:inline distT="0" distB="0" distL="0" distR="0">
            <wp:extent cx="5760720" cy="2319020"/>
            <wp:effectExtent l="0" t="0" r="0" b="0"/>
            <wp:docPr id="42"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33" cstate="print"/>
                    <a:srcRect/>
                    <a:stretch>
                      <a:fillRect/>
                    </a:stretch>
                  </pic:blipFill>
                  <pic:spPr>
                    <a:xfrm>
                      <a:off x="0" y="0"/>
                      <a:ext cx="5760720" cy="2319020"/>
                    </a:xfrm>
                    <a:prstGeom prst="rect">
                      <a:avLst/>
                    </a:prstGeom>
                    <a:ln/>
                  </pic:spPr>
                </pic:pic>
              </a:graphicData>
            </a:graphic>
          </wp:inline>
        </w:drawing>
      </w:r>
      <w:r>
        <w:rPr>
          <w:b/>
          <w:color w:val="000000"/>
          <w:sz w:val="24"/>
          <w:szCs w:val="24"/>
        </w:rPr>
        <w:t>Figure 20 : Distribution des gaps de lits de maternité (Normes OMS) par région</w:t>
      </w:r>
    </w:p>
    <w:p w:rsidR="00314B92" w:rsidRDefault="00314B92">
      <w:pPr>
        <w:pStyle w:val="Normal1"/>
        <w:pBdr>
          <w:top w:val="nil"/>
          <w:left w:val="nil"/>
          <w:bottom w:val="nil"/>
          <w:right w:val="nil"/>
          <w:between w:val="nil"/>
        </w:pBdr>
        <w:spacing w:after="0"/>
        <w:jc w:val="both"/>
        <w:rPr>
          <w:b/>
          <w:color w:val="000000"/>
          <w:sz w:val="24"/>
          <w:szCs w:val="24"/>
        </w:rPr>
      </w:pP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 xml:space="preserve">Au niveau régional, la région des Cascades enregistre la plus forte densité avec 14 lits généraux/10 000 habitants, tandis que la plus faible est observée au niveau de la région du Centre avec 7 lits/10 000 habitants. Pour les lits de maternité, 6 régions sont en déficit en 2017. Il s’agissait des Haut Bassins, Centre Nord, Centre Est, Est, Centre et Sahel. Le gap global en lits était de 1 170 pour tout le pays en 2017, soit une couverture moyenne de 84,6%.  </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En termes d’utilisation des services, le nombre de contact par habitant était de 1,05 en 2016. La région du Plateau Central enregistre le plus grand nombre de consultation externe par habitant par an (1,34) et le plus petit nombre est enregistré dans la région de la Boucle du Mouhoun (0,86).</w:t>
      </w:r>
    </w:p>
    <w:p w:rsidR="00314B92" w:rsidRDefault="00314B92">
      <w:pPr>
        <w:pStyle w:val="Normal1"/>
        <w:pBdr>
          <w:top w:val="nil"/>
          <w:left w:val="nil"/>
          <w:bottom w:val="nil"/>
          <w:right w:val="nil"/>
          <w:between w:val="nil"/>
        </w:pBdr>
        <w:spacing w:after="0"/>
        <w:jc w:val="both"/>
        <w:rPr>
          <w:color w:val="000000"/>
          <w:sz w:val="24"/>
          <w:szCs w:val="24"/>
        </w:rPr>
      </w:pPr>
    </w:p>
    <w:p w:rsidR="00314B92" w:rsidRDefault="00AD5F81">
      <w:pPr>
        <w:pStyle w:val="Normal1"/>
        <w:spacing w:after="0"/>
        <w:jc w:val="both"/>
        <w:rPr>
          <w:b/>
          <w:sz w:val="24"/>
          <w:szCs w:val="24"/>
        </w:rPr>
      </w:pPr>
      <w:r>
        <w:rPr>
          <w:b/>
          <w:sz w:val="24"/>
          <w:szCs w:val="24"/>
        </w:rPr>
        <w:t>Indice de capacité opérationnelle générale des services</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L‘indice de capacité opérationnelle générale des services est une moyenne calculée sur la base des scores des 5 domaines suivants : Aménagements et éléments de confort indispensables, Equipements essentiels, Précautions standard pour la prévention des infections, Capacité de diagnostic et médicaments essentiels.</w:t>
      </w:r>
    </w:p>
    <w:p w:rsidR="00314B92" w:rsidRDefault="00AD5F81">
      <w:pPr>
        <w:pStyle w:val="Normal1"/>
        <w:pBdr>
          <w:top w:val="nil"/>
          <w:left w:val="nil"/>
          <w:bottom w:val="nil"/>
          <w:right w:val="nil"/>
          <w:between w:val="nil"/>
        </w:pBdr>
        <w:spacing w:after="0"/>
        <w:jc w:val="both"/>
        <w:rPr>
          <w:color w:val="000000"/>
          <w:sz w:val="24"/>
          <w:szCs w:val="24"/>
        </w:rPr>
      </w:pPr>
      <w:r>
        <w:rPr>
          <w:color w:val="000000"/>
          <w:sz w:val="24"/>
          <w:szCs w:val="24"/>
        </w:rPr>
        <w:t xml:space="preserve"> Il est de 64% en 2016 contre 70% en 2014. </w:t>
      </w:r>
    </w:p>
    <w:p w:rsidR="00314B92" w:rsidRDefault="00AD5F81">
      <w:pPr>
        <w:pStyle w:val="Normal1"/>
        <w:spacing w:after="0"/>
        <w:jc w:val="both"/>
        <w:rPr>
          <w:sz w:val="24"/>
          <w:szCs w:val="24"/>
        </w:rPr>
      </w:pPr>
      <w:r>
        <w:rPr>
          <w:sz w:val="24"/>
          <w:szCs w:val="24"/>
        </w:rPr>
        <w:t>Parmi ces 5 domaines, les équipements essentiels enregistrent le grand score (87%) tout comme en 2014 (87%). Les plus faibles niveaux concernent les médicaments essentiels (Liste OMS) et la capacité de diagnostic.</w:t>
      </w:r>
    </w:p>
    <w:p w:rsidR="00314B92" w:rsidRDefault="00AD5F81">
      <w:pPr>
        <w:pStyle w:val="Normal1"/>
        <w:spacing w:after="0"/>
        <w:jc w:val="both"/>
        <w:rPr>
          <w:b/>
          <w:sz w:val="24"/>
          <w:szCs w:val="24"/>
        </w:rPr>
      </w:pPr>
      <w:r>
        <w:t>La proportion des DMEG n’ayant pas connu de rupture des 25 intrants traceurs en 2017 est de 18,6% contre 28% en 2016. Le niveau de l’indicateur varie de 50,2% au Centre-Ouest à 1,2% dans la Boucle du Mouhoun et dans le Centre-Est</w:t>
      </w:r>
      <w:r>
        <w:rPr>
          <w:vertAlign w:val="superscript"/>
        </w:rPr>
        <w:footnoteReference w:id="89"/>
      </w:r>
      <w:r>
        <w:t>.</w:t>
      </w:r>
    </w:p>
    <w:p w:rsidR="00314B92" w:rsidRDefault="00AD5F81">
      <w:pPr>
        <w:pStyle w:val="Normal1"/>
        <w:spacing w:after="0" w:line="360" w:lineRule="auto"/>
        <w:rPr>
          <w:sz w:val="24"/>
          <w:szCs w:val="24"/>
        </w:rPr>
      </w:pPr>
      <w:r>
        <w:rPr>
          <w:noProof/>
          <w:sz w:val="24"/>
          <w:szCs w:val="24"/>
        </w:rPr>
        <w:drawing>
          <wp:inline distT="0" distB="0" distL="0" distR="0">
            <wp:extent cx="5486400" cy="3200400"/>
            <wp:effectExtent l="0" t="0" r="0" b="0"/>
            <wp:docPr id="43"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34" cstate="print"/>
                    <a:srcRect/>
                    <a:stretch>
                      <a:fillRect/>
                    </a:stretch>
                  </pic:blipFill>
                  <pic:spPr>
                    <a:xfrm>
                      <a:off x="0" y="0"/>
                      <a:ext cx="5486400" cy="3200400"/>
                    </a:xfrm>
                    <a:prstGeom prst="rect">
                      <a:avLst/>
                    </a:prstGeom>
                    <a:ln/>
                  </pic:spPr>
                </pic:pic>
              </a:graphicData>
            </a:graphic>
          </wp:inline>
        </w:drawing>
      </w:r>
      <w:r w:rsidR="00A06EBD">
        <w:rPr>
          <w:noProof/>
        </w:rPr>
        <mc:AlternateContent>
          <mc:Choice Requires="wps">
            <w:drawing>
              <wp:anchor distT="0" distB="0" distL="114300" distR="114300" simplePos="0" relativeHeight="251613696" behindDoc="0" locked="0" layoutInCell="1" hidden="0" allowOverlap="1">
                <wp:simplePos x="0" y="0"/>
                <wp:positionH relativeFrom="column">
                  <wp:posOffset>4864100</wp:posOffset>
                </wp:positionH>
                <wp:positionV relativeFrom="paragraph">
                  <wp:posOffset>1092200</wp:posOffset>
                </wp:positionV>
                <wp:extent cx="71119" cy="482600"/>
                <wp:effectExtent l="0" t="0" r="0" b="0"/>
                <wp:wrapNone/>
                <wp:docPr id="17" name="Flèche vers le bas 17"/>
                <wp:cNvGraphicFramePr/>
                <a:graphic xmlns:a="http://schemas.openxmlformats.org/drawingml/2006/main">
                  <a:graphicData uri="http://schemas.microsoft.com/office/word/2010/wordprocessingShape">
                    <wps:wsp>
                      <wps:cNvSpPr/>
                      <wps:spPr>
                        <a:xfrm>
                          <a:off x="5323141" y="3551400"/>
                          <a:ext cx="45719" cy="457200"/>
                        </a:xfrm>
                        <a:prstGeom prst="downArrow">
                          <a:avLst>
                            <a:gd name="adj1" fmla="val 50000"/>
                            <a:gd name="adj2" fmla="val 50000"/>
                          </a:avLst>
                        </a:prstGeom>
                        <a:solidFill>
                          <a:srgbClr val="FF0000"/>
                        </a:solidFill>
                        <a:ln w="25400" cap="flat" cmpd="sng">
                          <a:solidFill>
                            <a:srgbClr val="FF0000"/>
                          </a:solidFill>
                          <a:prstDash val="solid"/>
                          <a:round/>
                          <a:headEnd type="none" w="sm" len="sm"/>
                          <a:tailEnd type="none" w="sm" len="sm"/>
                        </a:ln>
                      </wps:spPr>
                      <wps:txbx>
                        <w:txbxContent>
                          <w:p w:rsidR="00424DD6" w:rsidRDefault="00424DD6">
                            <w:pPr>
                              <w:spacing w:after="0" w:line="240" w:lineRule="auto"/>
                              <w:textDirection w:val="btLr"/>
                            </w:pPr>
                          </w:p>
                        </w:txbxContent>
                      </wps:txbx>
                      <wps:bodyPr spcFirstLastPara="1" wrap="square" lIns="91425" tIns="91425" rIns="91425" bIns="91425" anchor="ctr" anchorCtr="0"/>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17" o:spid="_x0000_s1037" type="#_x0000_t67" style="position:absolute;margin-left:383pt;margin-top:86pt;width:5.6pt;height:38pt;z-index:251613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" adj="20520" fillcolor="red" strokecolor="red" strokeweight="2pt">
                <v:stroke startarrowwidth="narrow" startarrowlength="short" endarrowwidth="narrow" endarrowlength="short" joinstyle="round"/>
                <v:textbox inset="2.53958mm,2.53958mm,2.53958mm,2.53958mm">
                  <w:txbxContent>
                    <w:p w:rsidR="00424DD6" w:rsidRDefault="00424DD6">
                      <w:pPr>
                        <w:spacing w:after="0" w:line="240" w:lineRule="auto"/>
                        <w:textDirection w:val="btLr"/>
                      </w:pPr>
                    </w:p>
                  </w:txbxContent>
                </v:textbox>
              </v:shape>
            </w:pict>
          </mc:Fallback>
        </mc:AlternateContent>
      </w:r>
    </w:p>
    <w:p w:rsidR="00314B92" w:rsidRDefault="00AD5F81">
      <w:pPr>
        <w:pStyle w:val="Normal1"/>
        <w:spacing w:after="0" w:line="360" w:lineRule="auto"/>
        <w:rPr>
          <w:b/>
          <w:sz w:val="24"/>
          <w:szCs w:val="24"/>
        </w:rPr>
      </w:pPr>
      <w:r>
        <w:rPr>
          <w:b/>
          <w:sz w:val="24"/>
          <w:szCs w:val="24"/>
        </w:rPr>
        <w:t xml:space="preserve">Figure 21 : Indice de capacité opérationnelle générale des services </w:t>
      </w:r>
      <w:r>
        <w:rPr>
          <w:sz w:val="20"/>
          <w:szCs w:val="20"/>
        </w:rPr>
        <w:t>(Source : Enquête SARA 2016)</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 xml:space="preserve">Gaps de performances </w:t>
      </w:r>
    </w:p>
    <w:p w:rsidR="00314B92" w:rsidRDefault="00AD5F81" w:rsidP="005D02C3">
      <w:pPr>
        <w:pStyle w:val="Normal1"/>
        <w:numPr>
          <w:ilvl w:val="0"/>
          <w:numId w:val="79"/>
        </w:numPr>
        <w:pBdr>
          <w:top w:val="nil"/>
          <w:left w:val="nil"/>
          <w:bottom w:val="nil"/>
          <w:right w:val="nil"/>
          <w:between w:val="nil"/>
        </w:pBdr>
        <w:spacing w:after="0"/>
        <w:jc w:val="both"/>
        <w:rPr>
          <w:i/>
          <w:color w:val="000000"/>
          <w:sz w:val="24"/>
          <w:szCs w:val="24"/>
        </w:rPr>
      </w:pPr>
      <w:r>
        <w:rPr>
          <w:i/>
          <w:color w:val="000000"/>
          <w:sz w:val="24"/>
          <w:szCs w:val="24"/>
        </w:rPr>
        <w:t>Couverture sanitaire insuffisante avec de larges disparités régionales.</w:t>
      </w:r>
    </w:p>
    <w:p w:rsidR="00314B92" w:rsidRDefault="00726844" w:rsidP="00726844">
      <w:pPr>
        <w:pStyle w:val="Normal1"/>
        <w:pBdr>
          <w:top w:val="nil"/>
          <w:left w:val="nil"/>
          <w:bottom w:val="nil"/>
          <w:right w:val="nil"/>
          <w:between w:val="nil"/>
        </w:pBdr>
        <w:spacing w:after="0"/>
        <w:ind w:left="360" w:hanging="502"/>
        <w:jc w:val="both"/>
        <w:rPr>
          <w:color w:val="000000"/>
          <w:sz w:val="24"/>
          <w:szCs w:val="24"/>
        </w:rPr>
      </w:pPr>
      <w:r>
        <w:rPr>
          <w:color w:val="000000"/>
          <w:sz w:val="24"/>
          <w:szCs w:val="24"/>
        </w:rPr>
        <w:t xml:space="preserve">        </w:t>
      </w:r>
      <w:r w:rsidR="00AD5F81">
        <w:rPr>
          <w:color w:val="000000"/>
          <w:sz w:val="24"/>
          <w:szCs w:val="24"/>
        </w:rPr>
        <w:t>Plus de 20% de la population parcourt au moins 10 km pour atteindre une formation sanitaire. Les densités d’établissements/10 000 habitants, les densités des lits généraux/10 000 habitants et la densité des lits de maternité/ 1 000 femmes enceintes sont largement en deçà des normes de l’OMS.</w:t>
      </w:r>
    </w:p>
    <w:p w:rsidR="00314B92" w:rsidRDefault="00AD5F81" w:rsidP="005D02C3">
      <w:pPr>
        <w:pStyle w:val="Normal1"/>
        <w:numPr>
          <w:ilvl w:val="0"/>
          <w:numId w:val="79"/>
        </w:numPr>
        <w:pBdr>
          <w:top w:val="nil"/>
          <w:left w:val="nil"/>
          <w:bottom w:val="nil"/>
          <w:right w:val="nil"/>
          <w:between w:val="nil"/>
        </w:pBdr>
        <w:spacing w:after="0"/>
        <w:jc w:val="both"/>
        <w:rPr>
          <w:i/>
          <w:color w:val="000000"/>
          <w:sz w:val="24"/>
          <w:szCs w:val="24"/>
        </w:rPr>
      </w:pPr>
      <w:r>
        <w:rPr>
          <w:i/>
          <w:color w:val="000000"/>
          <w:sz w:val="24"/>
          <w:szCs w:val="24"/>
        </w:rPr>
        <w:t xml:space="preserve">La capacité opérationnelle ou capacité de l’ensemble des établissements à fournir des services de santé est entravée par les scores moyens bas dans le domaine de la disponibilité des médicaments essentiels et de la capacité de diagnostic. </w:t>
      </w:r>
    </w:p>
    <w:p w:rsidR="00314B92" w:rsidRDefault="00314B92">
      <w:pPr>
        <w:pStyle w:val="Normal1"/>
        <w:spacing w:after="0"/>
        <w:jc w:val="both"/>
        <w:rPr>
          <w:sz w:val="24"/>
          <w:szCs w:val="24"/>
        </w:rPr>
      </w:pP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color w:val="000000"/>
          <w:sz w:val="24"/>
          <w:szCs w:val="24"/>
        </w:rPr>
        <w:t>FINANCEMENT</w:t>
      </w:r>
      <w:r>
        <w:rPr>
          <w:color w:val="000000"/>
          <w:sz w:val="24"/>
          <w:szCs w:val="24"/>
          <w:vertAlign w:val="superscript"/>
        </w:rPr>
        <w:footnoteReference w:id="90"/>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Performances</w:t>
      </w:r>
    </w:p>
    <w:p w:rsidR="00314B92" w:rsidRDefault="00AD5F81">
      <w:pPr>
        <w:pStyle w:val="Normal1"/>
        <w:spacing w:after="0"/>
        <w:jc w:val="both"/>
        <w:rPr>
          <w:sz w:val="24"/>
          <w:szCs w:val="24"/>
        </w:rPr>
      </w:pPr>
      <w:r>
        <w:rPr>
          <w:sz w:val="24"/>
          <w:szCs w:val="24"/>
        </w:rPr>
        <w:t xml:space="preserve">De 2007 à 2016, les dépenses totales pour la santé s’élevaient à environ </w:t>
      </w:r>
      <w:r>
        <w:rPr>
          <w:color w:val="000000"/>
          <w:sz w:val="24"/>
          <w:szCs w:val="24"/>
        </w:rPr>
        <w:t xml:space="preserve">    3 152 927 millions de francs CFA, soit en moyenne 3 15 292,7 millions de francs CFA par an. De 2015 à 2016 la dépense totale de santé a augmenté de presque 25% à cause de la mise en œuvre </w:t>
      </w:r>
      <w:r>
        <w:rPr>
          <w:sz w:val="24"/>
          <w:szCs w:val="24"/>
        </w:rPr>
        <w:t>notamment les mesures de gratuité en faveur des enfants de moins de 5 ans et des femmes enceintes.</w:t>
      </w:r>
    </w:p>
    <w:p w:rsidR="00314B92" w:rsidRDefault="00314B92">
      <w:pPr>
        <w:pStyle w:val="Normal1"/>
        <w:spacing w:after="0"/>
        <w:jc w:val="both"/>
        <w:rPr>
          <w:sz w:val="24"/>
          <w:szCs w:val="24"/>
        </w:rPr>
      </w:pPr>
    </w:p>
    <w:p w:rsidR="00314B92" w:rsidRDefault="00AD5F81">
      <w:pPr>
        <w:pStyle w:val="Normal1"/>
        <w:spacing w:after="0" w:line="360" w:lineRule="auto"/>
        <w:jc w:val="both"/>
        <w:rPr>
          <w:sz w:val="24"/>
          <w:szCs w:val="24"/>
        </w:rPr>
      </w:pPr>
      <w:r>
        <w:rPr>
          <w:noProof/>
          <w:sz w:val="24"/>
          <w:szCs w:val="24"/>
        </w:rPr>
        <w:drawing>
          <wp:inline distT="0" distB="0" distL="0" distR="0">
            <wp:extent cx="5486400" cy="3200400"/>
            <wp:effectExtent l="0" t="0" r="0" b="0"/>
            <wp:docPr id="44"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35" cstate="print"/>
                    <a:srcRect/>
                    <a:stretch>
                      <a:fillRect/>
                    </a:stretch>
                  </pic:blipFill>
                  <pic:spPr>
                    <a:xfrm>
                      <a:off x="0" y="0"/>
                      <a:ext cx="5486400" cy="3200400"/>
                    </a:xfrm>
                    <a:prstGeom prst="rect">
                      <a:avLst/>
                    </a:prstGeom>
                    <a:ln/>
                  </pic:spPr>
                </pic:pic>
              </a:graphicData>
            </a:graphic>
          </wp:inline>
        </w:drawing>
      </w:r>
    </w:p>
    <w:p w:rsidR="00314B92" w:rsidRDefault="00AD5F81">
      <w:pPr>
        <w:pStyle w:val="Normal1"/>
        <w:spacing w:after="0" w:line="360" w:lineRule="auto"/>
        <w:jc w:val="both"/>
        <w:rPr>
          <w:b/>
          <w:sz w:val="20"/>
          <w:szCs w:val="20"/>
        </w:rPr>
      </w:pPr>
      <w:r>
        <w:rPr>
          <w:b/>
          <w:sz w:val="20"/>
          <w:szCs w:val="20"/>
        </w:rPr>
        <w:t>Figure 22 : Dépenses totales de santé comparées aux dépenses pour la SRMNEA et la Nutrition 2007-2016</w:t>
      </w:r>
    </w:p>
    <w:p w:rsidR="00314B92" w:rsidRDefault="00AD5F81">
      <w:pPr>
        <w:pStyle w:val="Normal1"/>
        <w:spacing w:after="0"/>
        <w:jc w:val="both"/>
        <w:rPr>
          <w:sz w:val="24"/>
          <w:szCs w:val="24"/>
        </w:rPr>
      </w:pPr>
      <w:r>
        <w:rPr>
          <w:color w:val="000000"/>
          <w:sz w:val="24"/>
          <w:szCs w:val="24"/>
        </w:rPr>
        <w:t>Les Dépenses de santé de l’Etat en % du budget de l’Etat</w:t>
      </w:r>
      <w:r>
        <w:rPr>
          <w:sz w:val="24"/>
          <w:szCs w:val="24"/>
        </w:rPr>
        <w:t xml:space="preserve"> ont un minimum de 6,2% en 2014 et un maximum de 10,3% en 2016.</w:t>
      </w:r>
    </w:p>
    <w:p w:rsidR="00314B92" w:rsidRDefault="00AD5F81">
      <w:pPr>
        <w:pStyle w:val="Normal1"/>
        <w:spacing w:after="0"/>
        <w:jc w:val="both"/>
        <w:rPr>
          <w:color w:val="000000"/>
          <w:sz w:val="24"/>
          <w:szCs w:val="24"/>
        </w:rPr>
      </w:pPr>
      <w:r>
        <w:rPr>
          <w:color w:val="000000"/>
          <w:sz w:val="24"/>
          <w:szCs w:val="24"/>
        </w:rPr>
        <w:t>Malgré une baisse de 7,1 points entre 2007 et 2016, la contribution des ménages reste élevée et atteint 31,4% des dépenses totales de santé en 2016.</w:t>
      </w:r>
    </w:p>
    <w:p w:rsidR="00314B92" w:rsidRDefault="00AD5F81">
      <w:pPr>
        <w:pStyle w:val="Normal1"/>
        <w:spacing w:after="0"/>
        <w:jc w:val="both"/>
        <w:rPr>
          <w:color w:val="000000"/>
          <w:sz w:val="24"/>
          <w:szCs w:val="24"/>
        </w:rPr>
      </w:pPr>
      <w:r>
        <w:rPr>
          <w:sz w:val="24"/>
          <w:szCs w:val="24"/>
        </w:rPr>
        <w:t>La proportion des dépenses assurance maladie en % des dépenses totales de santé reste très faible et connaît une progression faible qui l’a fait passer de 1,1% en 2007 à 1,4% en 2016.</w:t>
      </w:r>
    </w:p>
    <w:p w:rsidR="00314B92" w:rsidRDefault="00AD5F81">
      <w:pPr>
        <w:pStyle w:val="Normal1"/>
        <w:jc w:val="both"/>
        <w:rPr>
          <w:color w:val="000000"/>
          <w:sz w:val="24"/>
          <w:szCs w:val="24"/>
        </w:rPr>
      </w:pPr>
      <w:r>
        <w:rPr>
          <w:color w:val="000000"/>
          <w:sz w:val="24"/>
          <w:szCs w:val="24"/>
        </w:rPr>
        <w:t>De 2007 à 2016, les dépenses en faveur de la SRMNEA et celles pour la nutrition s’élevaient respectivement à   260 723 et 102 920 millions de francs soit 8,3 % et 3,3 % des dépenses totales de santé</w:t>
      </w:r>
      <w:r>
        <w:rPr>
          <w:color w:val="000000"/>
          <w:sz w:val="24"/>
          <w:szCs w:val="24"/>
          <w:vertAlign w:val="superscript"/>
        </w:rPr>
        <w:footnoteReference w:id="91"/>
      </w:r>
      <w:r>
        <w:rPr>
          <w:color w:val="000000"/>
          <w:sz w:val="24"/>
          <w:szCs w:val="24"/>
        </w:rPr>
        <w:t xml:space="preserve">. </w:t>
      </w:r>
    </w:p>
    <w:p w:rsidR="00314B92" w:rsidRDefault="00AD5F81">
      <w:pPr>
        <w:pStyle w:val="Normal1"/>
        <w:spacing w:after="0"/>
        <w:jc w:val="both"/>
        <w:rPr>
          <w:color w:val="000000"/>
          <w:sz w:val="24"/>
          <w:szCs w:val="24"/>
        </w:rPr>
      </w:pPr>
      <w:r>
        <w:rPr>
          <w:color w:val="000000"/>
          <w:sz w:val="24"/>
          <w:szCs w:val="24"/>
        </w:rPr>
        <w:t xml:space="preserve">Entre 2015 et 2018, </w:t>
      </w:r>
      <w:r>
        <w:rPr>
          <w:sz w:val="24"/>
          <w:szCs w:val="24"/>
        </w:rPr>
        <w:t xml:space="preserve">307 901 830 186FCFAont été mobilisés pour la SRMNEA-N. Le financement annuel est à tendance croissante avec </w:t>
      </w:r>
      <w:r>
        <w:rPr>
          <w:color w:val="000000"/>
          <w:sz w:val="24"/>
          <w:szCs w:val="24"/>
        </w:rPr>
        <w:t>55 960 517 327 FCFA en 2015 et 107 271 584 459FCFA en 2018</w:t>
      </w:r>
      <w:r>
        <w:rPr>
          <w:color w:val="000000"/>
          <w:sz w:val="24"/>
          <w:szCs w:val="24"/>
          <w:vertAlign w:val="superscript"/>
        </w:rPr>
        <w:footnoteReference w:id="92"/>
      </w:r>
      <w:r>
        <w:rPr>
          <w:color w:val="000000"/>
          <w:sz w:val="24"/>
          <w:szCs w:val="24"/>
        </w:rPr>
        <w:t>.</w:t>
      </w:r>
    </w:p>
    <w:p w:rsidR="00314B92" w:rsidRDefault="00AD5F81">
      <w:pPr>
        <w:pStyle w:val="Normal1"/>
        <w:spacing w:after="0"/>
        <w:jc w:val="both"/>
        <w:rPr>
          <w:color w:val="000000"/>
          <w:sz w:val="24"/>
          <w:szCs w:val="24"/>
        </w:rPr>
      </w:pPr>
      <w:r>
        <w:rPr>
          <w:color w:val="000000"/>
          <w:sz w:val="24"/>
          <w:szCs w:val="24"/>
        </w:rPr>
        <w:t>Les financements sont répartis aux régions selon les fourchettes suivantes :</w:t>
      </w:r>
    </w:p>
    <w:p w:rsidR="00314B92" w:rsidRDefault="00AD5F81" w:rsidP="00F20185">
      <w:pPr>
        <w:pStyle w:val="Normal1"/>
        <w:numPr>
          <w:ilvl w:val="0"/>
          <w:numId w:val="25"/>
        </w:numPr>
        <w:pBdr>
          <w:top w:val="nil"/>
          <w:left w:val="nil"/>
          <w:bottom w:val="nil"/>
          <w:right w:val="nil"/>
          <w:between w:val="nil"/>
        </w:pBdr>
        <w:spacing w:after="0"/>
        <w:jc w:val="both"/>
        <w:rPr>
          <w:color w:val="000000"/>
          <w:sz w:val="24"/>
          <w:szCs w:val="24"/>
        </w:rPr>
      </w:pPr>
      <w:r>
        <w:rPr>
          <w:color w:val="000000"/>
          <w:sz w:val="24"/>
          <w:szCs w:val="24"/>
        </w:rPr>
        <w:t>≤ 10 000 000 000 F CFA : Boucle du Mouhoun, Centre-Est, Centre-Nord, Centre-Ouest, Centre-Sud, Plateau Central, Sud-Ouest.</w:t>
      </w:r>
    </w:p>
    <w:p w:rsidR="00314B92" w:rsidRDefault="00AD5F81" w:rsidP="00F20185">
      <w:pPr>
        <w:pStyle w:val="Normal1"/>
        <w:numPr>
          <w:ilvl w:val="0"/>
          <w:numId w:val="25"/>
        </w:numPr>
        <w:pBdr>
          <w:top w:val="nil"/>
          <w:left w:val="nil"/>
          <w:bottom w:val="nil"/>
          <w:right w:val="nil"/>
          <w:between w:val="nil"/>
        </w:pBdr>
        <w:spacing w:after="0"/>
        <w:jc w:val="both"/>
        <w:rPr>
          <w:color w:val="000000"/>
          <w:sz w:val="24"/>
          <w:szCs w:val="24"/>
        </w:rPr>
      </w:pPr>
      <w:r>
        <w:rPr>
          <w:color w:val="000000"/>
          <w:sz w:val="24"/>
          <w:szCs w:val="24"/>
        </w:rPr>
        <w:t>10 000 000 000-20 000 000 000 F CFA : Cascades, Est, Nord, Sahel</w:t>
      </w:r>
    </w:p>
    <w:p w:rsidR="00314B92" w:rsidRDefault="00AD5F81" w:rsidP="00F20185">
      <w:pPr>
        <w:pStyle w:val="Normal1"/>
        <w:numPr>
          <w:ilvl w:val="0"/>
          <w:numId w:val="25"/>
        </w:numPr>
        <w:pBdr>
          <w:top w:val="nil"/>
          <w:left w:val="nil"/>
          <w:bottom w:val="nil"/>
          <w:right w:val="nil"/>
          <w:between w:val="nil"/>
        </w:pBdr>
        <w:spacing w:after="0"/>
        <w:jc w:val="both"/>
        <w:rPr>
          <w:color w:val="000000"/>
          <w:sz w:val="24"/>
          <w:szCs w:val="24"/>
        </w:rPr>
      </w:pPr>
      <w:r>
        <w:rPr>
          <w:color w:val="000000"/>
          <w:sz w:val="24"/>
          <w:szCs w:val="24"/>
        </w:rPr>
        <w:t>≥20 000 000 000 F CFA : Centre, Hauts-Bassins</w:t>
      </w:r>
    </w:p>
    <w:p w:rsidR="00314B92" w:rsidRDefault="00314B92">
      <w:pPr>
        <w:pStyle w:val="Normal1"/>
        <w:pBdr>
          <w:top w:val="nil"/>
          <w:left w:val="nil"/>
          <w:bottom w:val="nil"/>
          <w:right w:val="nil"/>
          <w:between w:val="nil"/>
        </w:pBdr>
        <w:spacing w:after="0"/>
        <w:ind w:left="360" w:hanging="720"/>
        <w:jc w:val="both"/>
        <w:rPr>
          <w:color w:val="000000"/>
          <w:sz w:val="24"/>
          <w:szCs w:val="24"/>
        </w:rPr>
      </w:pP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color w:val="000000"/>
          <w:sz w:val="24"/>
          <w:szCs w:val="24"/>
        </w:rPr>
        <w:t>INFORMATION SANITAIRE</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Performances</w:t>
      </w:r>
    </w:p>
    <w:p w:rsidR="00314B92" w:rsidRDefault="00AD5F81">
      <w:pPr>
        <w:pStyle w:val="Normal1"/>
        <w:spacing w:after="0"/>
        <w:jc w:val="both"/>
        <w:rPr>
          <w:color w:val="000000"/>
          <w:sz w:val="24"/>
          <w:szCs w:val="24"/>
        </w:rPr>
      </w:pPr>
      <w:r>
        <w:rPr>
          <w:sz w:val="24"/>
          <w:szCs w:val="24"/>
        </w:rPr>
        <w:t>Le système d’information sanitaire a connu deux avancées majeures : la création en 2013 de l’Entrepôt des Données sanitaires (ENDOS) du Burkina-Faso sur base des données fournies à travers le DHIS 2 et le renforcement du Système d’Information des ressources humaines pour la santé (SIRHS) par le développement et la mise en service du logiciel de gestion des ressources humaines LogRH.</w:t>
      </w:r>
    </w:p>
    <w:p w:rsidR="00314B92" w:rsidRDefault="00AD5F81">
      <w:pPr>
        <w:pStyle w:val="Normal1"/>
        <w:spacing w:before="120"/>
        <w:jc w:val="both"/>
        <w:rPr>
          <w:sz w:val="24"/>
          <w:szCs w:val="24"/>
        </w:rPr>
      </w:pPr>
      <w:r>
        <w:rPr>
          <w:sz w:val="24"/>
          <w:szCs w:val="24"/>
        </w:rPr>
        <w:t>Ces outils permettent de produire, dans des délais sensiblement réduits, le suivi régulier de l’évolution des indicateurs du PNDS, les annuaires statistiques, les annuaires statistiques régionaux et des hôpitaux, les tableaux de bord de la santé, les bulletins trimestriels d’information et d’épidémiologie, les comptes nationaux de santé.</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Les principaux défis qui restent à relever sont :</w:t>
      </w:r>
    </w:p>
    <w:p w:rsidR="00314B92" w:rsidRDefault="00AD5F81" w:rsidP="005D02C3">
      <w:pPr>
        <w:pStyle w:val="Normal1"/>
        <w:numPr>
          <w:ilvl w:val="0"/>
          <w:numId w:val="44"/>
        </w:numPr>
        <w:pBdr>
          <w:top w:val="nil"/>
          <w:left w:val="nil"/>
          <w:bottom w:val="nil"/>
          <w:right w:val="nil"/>
          <w:between w:val="nil"/>
        </w:pBdr>
        <w:spacing w:after="0"/>
        <w:jc w:val="both"/>
        <w:rPr>
          <w:i/>
          <w:color w:val="000000"/>
          <w:sz w:val="24"/>
          <w:szCs w:val="24"/>
        </w:rPr>
      </w:pPr>
      <w:r>
        <w:rPr>
          <w:i/>
          <w:color w:val="000000"/>
          <w:sz w:val="24"/>
          <w:szCs w:val="24"/>
        </w:rPr>
        <w:t xml:space="preserve">L’absence ou le faible débit de la connexion internet dans certaines structures ; </w:t>
      </w:r>
    </w:p>
    <w:p w:rsidR="00314B92" w:rsidRDefault="00AD5F81" w:rsidP="005D02C3">
      <w:pPr>
        <w:pStyle w:val="Normal1"/>
        <w:numPr>
          <w:ilvl w:val="0"/>
          <w:numId w:val="44"/>
        </w:numPr>
        <w:pBdr>
          <w:top w:val="nil"/>
          <w:left w:val="nil"/>
          <w:bottom w:val="nil"/>
          <w:right w:val="nil"/>
          <w:between w:val="nil"/>
        </w:pBdr>
        <w:spacing w:after="0"/>
        <w:jc w:val="both"/>
        <w:rPr>
          <w:i/>
          <w:color w:val="000000"/>
          <w:sz w:val="24"/>
          <w:szCs w:val="24"/>
        </w:rPr>
      </w:pPr>
      <w:r>
        <w:rPr>
          <w:i/>
          <w:color w:val="000000"/>
          <w:sz w:val="24"/>
          <w:szCs w:val="24"/>
        </w:rPr>
        <w:t xml:space="preserve">L’éparpillement et la fragmentation des bases de données ; </w:t>
      </w:r>
    </w:p>
    <w:p w:rsidR="00314B92" w:rsidRDefault="00AD5F81" w:rsidP="005D02C3">
      <w:pPr>
        <w:pStyle w:val="Normal1"/>
        <w:numPr>
          <w:ilvl w:val="0"/>
          <w:numId w:val="44"/>
        </w:numPr>
        <w:pBdr>
          <w:top w:val="nil"/>
          <w:left w:val="nil"/>
          <w:bottom w:val="nil"/>
          <w:right w:val="nil"/>
          <w:between w:val="nil"/>
        </w:pBdr>
        <w:spacing w:after="0"/>
        <w:jc w:val="both"/>
        <w:rPr>
          <w:i/>
          <w:color w:val="000000"/>
          <w:sz w:val="24"/>
          <w:szCs w:val="24"/>
        </w:rPr>
      </w:pPr>
      <w:r>
        <w:rPr>
          <w:i/>
          <w:color w:val="000000"/>
          <w:sz w:val="24"/>
          <w:szCs w:val="24"/>
        </w:rPr>
        <w:t>La faible maitrise de l’exploitation des données de la base par les différents utilisateurs et l’indisponibilité d’un serveur de grande capacité (serveur miroir) pour garantir la sécurité des données ;</w:t>
      </w:r>
    </w:p>
    <w:p w:rsidR="00314B92" w:rsidRDefault="00AD5F81" w:rsidP="005D02C3">
      <w:pPr>
        <w:pStyle w:val="Normal1"/>
        <w:numPr>
          <w:ilvl w:val="0"/>
          <w:numId w:val="44"/>
        </w:numPr>
        <w:pBdr>
          <w:top w:val="nil"/>
          <w:left w:val="nil"/>
          <w:bottom w:val="nil"/>
          <w:right w:val="nil"/>
          <w:between w:val="nil"/>
        </w:pBdr>
        <w:spacing w:after="0"/>
        <w:jc w:val="both"/>
        <w:rPr>
          <w:i/>
          <w:color w:val="000000"/>
          <w:sz w:val="24"/>
          <w:szCs w:val="24"/>
        </w:rPr>
      </w:pPr>
      <w:r>
        <w:rPr>
          <w:i/>
          <w:color w:val="000000"/>
          <w:sz w:val="24"/>
          <w:szCs w:val="24"/>
        </w:rPr>
        <w:t>La non utilisation des données du SNIS au niveau des structures périphériques (DRS et DS) due au manque de financement des revues périodiques ;</w:t>
      </w:r>
    </w:p>
    <w:p w:rsidR="00314B92" w:rsidRDefault="00AD5F81" w:rsidP="005D02C3">
      <w:pPr>
        <w:pStyle w:val="Normal1"/>
        <w:numPr>
          <w:ilvl w:val="0"/>
          <w:numId w:val="44"/>
        </w:numPr>
        <w:pBdr>
          <w:top w:val="nil"/>
          <w:left w:val="nil"/>
          <w:bottom w:val="nil"/>
          <w:right w:val="nil"/>
          <w:between w:val="nil"/>
        </w:pBdr>
        <w:spacing w:after="0"/>
        <w:jc w:val="both"/>
        <w:rPr>
          <w:i/>
          <w:color w:val="000000"/>
          <w:sz w:val="24"/>
          <w:szCs w:val="24"/>
        </w:rPr>
      </w:pPr>
      <w:r>
        <w:rPr>
          <w:i/>
          <w:color w:val="000000"/>
          <w:sz w:val="24"/>
          <w:szCs w:val="24"/>
        </w:rPr>
        <w:t>La disponibilité des rapports des enquêtes nationales (EDS, MICS) alignée sur les périodes d’évaluation et de planification stratégique.</w:t>
      </w:r>
    </w:p>
    <w:p w:rsidR="00314B92" w:rsidRDefault="00314B92">
      <w:pPr>
        <w:pStyle w:val="Normal1"/>
        <w:pBdr>
          <w:top w:val="nil"/>
          <w:left w:val="nil"/>
          <w:bottom w:val="nil"/>
          <w:right w:val="nil"/>
          <w:between w:val="nil"/>
        </w:pBdr>
        <w:spacing w:after="0"/>
        <w:ind w:left="720" w:hanging="720"/>
        <w:jc w:val="both"/>
        <w:rPr>
          <w:i/>
          <w:color w:val="000000"/>
          <w:sz w:val="24"/>
          <w:szCs w:val="24"/>
        </w:rPr>
      </w:pP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color w:val="000000"/>
          <w:sz w:val="24"/>
          <w:szCs w:val="24"/>
        </w:rPr>
        <w:t>LA DEMARCHE QUALITE : APPROCHE DES SOINS INTEGRES CENTRES SUR LES PERSONNES ET LA SECURITE DES PATIENTS.</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Principaux constats</w:t>
      </w:r>
      <w:r>
        <w:rPr>
          <w:b/>
          <w:color w:val="000000"/>
          <w:sz w:val="24"/>
          <w:szCs w:val="24"/>
          <w:vertAlign w:val="superscript"/>
        </w:rPr>
        <w:footnoteReference w:id="93"/>
      </w:r>
      <w:r>
        <w:rPr>
          <w:b/>
          <w:color w:val="000000"/>
          <w:sz w:val="24"/>
          <w:szCs w:val="24"/>
        </w:rPr>
        <w:t xml:space="preserve"> </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Une faible organisation et coordination des services de santé qui ne sont pas centrées sur le bénéficiaire.</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Les compétences ne sont pas maitrisées : aucun système de vérification et suivi des compétences.</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La gestion des bénéficiaires et des accompagnants est insuffisante :  pas de procédure d’organisation du séjour des usagers.</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Les prestations techniques ne sont pas de qualité : absence ou incomplétude de l’examen physique, démarche diagnostique incohérente, prescription médicamenteuse inadéquate, surveillance insuffisance, supports de soins incomplètement renseignés et mal tenus, absence d’évaluation des pratiques professionnelles, audits de décès maternels et néonataux rarement menées, dégradation progressive du professionnalisme et de la déontologie.</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La confidentialité et la protection des données des usagers est insuffisante.</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La prévention de l’infection associée aux soins n’est pas effective lors des soins : port des EPI, gestion des déchets non maîtrisée.</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 xml:space="preserve">Les infrastructures équipements ne sont pas adaptées, ne répondent à aucune exigence de la sécurité des prestations. Les équipements et matériel sont le plus souvent indisponibles ou immobilisées et la métrologie (balance, pèse bébé, tensiomètre non étalonnés) est absente dans toutes les formations sanitaires. </w:t>
      </w:r>
    </w:p>
    <w:p w:rsidR="00314B92" w:rsidRDefault="00AD5F81" w:rsidP="005D02C3">
      <w:pPr>
        <w:pStyle w:val="Normal1"/>
        <w:numPr>
          <w:ilvl w:val="0"/>
          <w:numId w:val="45"/>
        </w:numPr>
        <w:pBdr>
          <w:top w:val="nil"/>
          <w:left w:val="nil"/>
          <w:bottom w:val="nil"/>
          <w:right w:val="nil"/>
          <w:between w:val="nil"/>
        </w:pBdr>
        <w:spacing w:after="0"/>
        <w:jc w:val="both"/>
        <w:rPr>
          <w:color w:val="000000"/>
          <w:sz w:val="24"/>
          <w:szCs w:val="24"/>
        </w:rPr>
      </w:pPr>
      <w:r>
        <w:rPr>
          <w:color w:val="000000"/>
          <w:sz w:val="24"/>
          <w:szCs w:val="24"/>
        </w:rPr>
        <w:t>La gestion des médicaments est insuffisante : mauvaise conservation des médicaments dans les unités de soins, utilisation de médicaments périmés ou confusions de molécules.</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 xml:space="preserve">Gaps de performances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color w:val="000000"/>
          <w:sz w:val="24"/>
          <w:szCs w:val="24"/>
        </w:rPr>
      </w:pPr>
      <w:r>
        <w:rPr>
          <w:color w:val="000000"/>
          <w:sz w:val="24"/>
          <w:szCs w:val="24"/>
        </w:rPr>
        <w:t xml:space="preserve">L’insuffisante la vision, de coordination, de collaboration et de redevabilité aux différents niveaux du système de santé ne favorisent pas l’amélioration de la qualité des soins centrés sur les personnes et la sécurité des patients ;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color w:val="000000"/>
          <w:sz w:val="24"/>
          <w:szCs w:val="24"/>
        </w:rPr>
      </w:pPr>
      <w:r>
        <w:rPr>
          <w:color w:val="000000"/>
          <w:sz w:val="24"/>
          <w:szCs w:val="24"/>
        </w:rPr>
        <w:t>La qualité de l’offre et des soins et services de centrés sur les personnes et la sécurité des patients dans toutes les structures sanitaires sont insuffisantes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i/>
          <w:color w:val="000000"/>
          <w:sz w:val="24"/>
          <w:szCs w:val="24"/>
        </w:rPr>
      </w:pPr>
      <w:r>
        <w:rPr>
          <w:color w:val="000000"/>
          <w:sz w:val="24"/>
          <w:szCs w:val="24"/>
        </w:rPr>
        <w:t>La qualité de la mise en œuvre des actions de promotion de la santé et de la nutrition et de lutte contre la maladie est insuffisante</w:t>
      </w:r>
      <w:r>
        <w:rPr>
          <w:i/>
          <w:color w:val="000000"/>
          <w:sz w:val="24"/>
          <w:szCs w:val="24"/>
        </w:rPr>
        <w:t xml:space="preserve"> ;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i/>
          <w:color w:val="000000"/>
          <w:sz w:val="24"/>
          <w:szCs w:val="24"/>
        </w:rPr>
      </w:pPr>
      <w:r>
        <w:rPr>
          <w:color w:val="000000"/>
          <w:sz w:val="24"/>
          <w:szCs w:val="24"/>
        </w:rPr>
        <w:t>Les ressources humaines sont insuffisantes pour contribuer à l’amélioration de la qualité de l’offre de soins intégrés centrés sur les personnes et la sécurité des patients</w:t>
      </w:r>
      <w:r>
        <w:rPr>
          <w:i/>
          <w:color w:val="000000"/>
          <w:sz w:val="24"/>
          <w:szCs w:val="24"/>
        </w:rPr>
        <w:t>.</w:t>
      </w:r>
      <w:r>
        <w:rPr>
          <w:color w:val="000000"/>
          <w:sz w:val="24"/>
          <w:szCs w:val="24"/>
        </w:rPr>
        <w:t xml:space="preserve">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color w:val="000000"/>
          <w:sz w:val="24"/>
          <w:szCs w:val="24"/>
        </w:rPr>
      </w:pPr>
      <w:r>
        <w:rPr>
          <w:color w:val="000000"/>
          <w:sz w:val="24"/>
          <w:szCs w:val="24"/>
        </w:rPr>
        <w:t>Les infrastructures, équipements médicotechniques, logistique roulante, produits de santé sont insuffisants pour contribuer à une offre de soins et services de qualité intégrés centrés sur les personnes et la sécurité des patients</w:t>
      </w:r>
      <w:r>
        <w:rPr>
          <w:i/>
          <w:color w:val="000000"/>
          <w:sz w:val="24"/>
          <w:szCs w:val="24"/>
        </w:rPr>
        <w:t xml:space="preserve">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color w:val="000000"/>
          <w:sz w:val="24"/>
          <w:szCs w:val="24"/>
        </w:rPr>
      </w:pPr>
      <w:r>
        <w:rPr>
          <w:color w:val="000000"/>
          <w:sz w:val="24"/>
          <w:szCs w:val="24"/>
        </w:rPr>
        <w:t>Le suivi, l’évaluation et la capitalisation des prestations et des données sont insuffisants pour la prise de décision adéquate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color w:val="000000"/>
          <w:sz w:val="24"/>
          <w:szCs w:val="24"/>
        </w:rPr>
      </w:pPr>
      <w:r>
        <w:rPr>
          <w:color w:val="000000"/>
          <w:sz w:val="24"/>
          <w:szCs w:val="24"/>
        </w:rPr>
        <w:t xml:space="preserve">La promotion de la recherche et l’utilisation des résultats de la recherche sont insuffisantes pour améliorer la qualité des soins intégrés centrés sur les personnes et la sécurité des patients. </w:t>
      </w:r>
    </w:p>
    <w:p w:rsidR="00314B92" w:rsidRDefault="00AD5F81" w:rsidP="005D02C3">
      <w:pPr>
        <w:pStyle w:val="Normal1"/>
        <w:numPr>
          <w:ilvl w:val="0"/>
          <w:numId w:val="75"/>
        </w:numPr>
        <w:pBdr>
          <w:top w:val="nil"/>
          <w:left w:val="nil"/>
          <w:bottom w:val="nil"/>
          <w:right w:val="nil"/>
          <w:between w:val="nil"/>
        </w:pBdr>
        <w:shd w:val="clear" w:color="auto" w:fill="FFFFFF"/>
        <w:spacing w:after="0"/>
        <w:jc w:val="both"/>
        <w:rPr>
          <w:color w:val="000000"/>
          <w:sz w:val="24"/>
          <w:szCs w:val="24"/>
        </w:rPr>
      </w:pPr>
      <w:r>
        <w:rPr>
          <w:color w:val="000000"/>
          <w:sz w:val="24"/>
          <w:szCs w:val="24"/>
        </w:rPr>
        <w:t>Le financement des actions d’amélioration de la qualité des soins intégrés centrés sur les personnes et la sécurité des patients est insuffisant.</w:t>
      </w:r>
    </w:p>
    <w:p w:rsidR="00314B92" w:rsidRDefault="00314B92">
      <w:pPr>
        <w:pStyle w:val="Normal1"/>
        <w:pBdr>
          <w:top w:val="nil"/>
          <w:left w:val="nil"/>
          <w:bottom w:val="nil"/>
          <w:right w:val="nil"/>
          <w:between w:val="nil"/>
        </w:pBdr>
        <w:shd w:val="clear" w:color="auto" w:fill="FFFFFF"/>
        <w:spacing w:after="0"/>
        <w:ind w:left="360" w:hanging="720"/>
        <w:jc w:val="both"/>
        <w:rPr>
          <w:color w:val="000000"/>
          <w:sz w:val="24"/>
          <w:szCs w:val="24"/>
        </w:rPr>
      </w:pP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color w:val="000000"/>
          <w:sz w:val="24"/>
          <w:szCs w:val="24"/>
        </w:rPr>
        <w:t>LA SANTE COMMUNAUTAIRE.</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Performances</w:t>
      </w:r>
    </w:p>
    <w:p w:rsidR="00314B92" w:rsidRDefault="00AD5F81">
      <w:pPr>
        <w:pStyle w:val="Normal1"/>
        <w:spacing w:after="0"/>
        <w:jc w:val="both"/>
        <w:rPr>
          <w:sz w:val="24"/>
          <w:szCs w:val="24"/>
        </w:rPr>
      </w:pPr>
      <w:r>
        <w:rPr>
          <w:sz w:val="24"/>
          <w:szCs w:val="24"/>
        </w:rPr>
        <w:t xml:space="preserve">La santé communautaire ou « la santé par les populations et pour les populations » est soutenue par la disponibilité dans la communauté de services à base communautaire (SBC) délivré par des membres choisis de la communauté. </w:t>
      </w:r>
    </w:p>
    <w:p w:rsidR="00314B92" w:rsidRDefault="00AD5F81">
      <w:pPr>
        <w:pStyle w:val="Normal1"/>
        <w:spacing w:after="0"/>
        <w:jc w:val="both"/>
        <w:rPr>
          <w:sz w:val="24"/>
          <w:szCs w:val="24"/>
        </w:rPr>
      </w:pPr>
      <w:r>
        <w:rPr>
          <w:sz w:val="24"/>
          <w:szCs w:val="24"/>
        </w:rPr>
        <w:t>Au Burkina Faso, les SBC délivrés couvrent les domaines curatif, préventif et promotionnel. La prédominance des soins préventifs et promotionnels est en adéquation avec le rôle de promoteur de la santé de l’agent de santé à base communautaire (ASBC) dans la mise en œuvre des interventions à gain rapide (IGR)</w:t>
      </w:r>
      <w:r>
        <w:rPr>
          <w:sz w:val="24"/>
          <w:szCs w:val="24"/>
          <w:vertAlign w:val="superscript"/>
        </w:rPr>
        <w:footnoteReference w:id="94"/>
      </w:r>
      <w:r>
        <w:rPr>
          <w:sz w:val="24"/>
          <w:szCs w:val="24"/>
        </w:rPr>
        <w:t>.</w:t>
      </w:r>
    </w:p>
    <w:p w:rsidR="00314B92" w:rsidRDefault="00AD5F81">
      <w:pPr>
        <w:pStyle w:val="Normal1"/>
        <w:spacing w:after="0"/>
        <w:jc w:val="both"/>
        <w:rPr>
          <w:sz w:val="24"/>
          <w:szCs w:val="24"/>
        </w:rPr>
      </w:pPr>
      <w:r>
        <w:rPr>
          <w:sz w:val="24"/>
          <w:szCs w:val="24"/>
        </w:rPr>
        <w:t>Cette stratégie réduit les distances par l’offre de services de proximité par personnes connues et qui connaissent les préoccupations de la population, diminue la charge de travail des agents des formations sanitaires.</w:t>
      </w:r>
    </w:p>
    <w:p w:rsidR="00314B92" w:rsidRDefault="00AD5F81">
      <w:pPr>
        <w:pStyle w:val="Normal1"/>
        <w:spacing w:after="0"/>
        <w:jc w:val="both"/>
        <w:rPr>
          <w:sz w:val="24"/>
          <w:szCs w:val="24"/>
        </w:rPr>
      </w:pPr>
      <w:r>
        <w:rPr>
          <w:sz w:val="24"/>
          <w:szCs w:val="24"/>
        </w:rPr>
        <w:t>Les distributions à base communautaire concernent les produits suivants :</w:t>
      </w:r>
    </w:p>
    <w:p w:rsidR="00314B92" w:rsidRDefault="00AD5F81" w:rsidP="005D02C3">
      <w:pPr>
        <w:pStyle w:val="Normal1"/>
        <w:numPr>
          <w:ilvl w:val="0"/>
          <w:numId w:val="43"/>
        </w:numPr>
        <w:pBdr>
          <w:top w:val="nil"/>
          <w:left w:val="nil"/>
          <w:bottom w:val="nil"/>
          <w:right w:val="nil"/>
          <w:between w:val="nil"/>
        </w:pBdr>
        <w:spacing w:after="0"/>
        <w:jc w:val="both"/>
        <w:rPr>
          <w:color w:val="000000"/>
        </w:rPr>
      </w:pPr>
      <w:r>
        <w:rPr>
          <w:color w:val="000000"/>
          <w:sz w:val="24"/>
          <w:szCs w:val="24"/>
        </w:rPr>
        <w:t>Les médicaments anti-palustres pour la prise en charge du paludisme à domicile (PECADO)</w:t>
      </w:r>
    </w:p>
    <w:p w:rsidR="00314B92" w:rsidRDefault="00AD5F81" w:rsidP="005D02C3">
      <w:pPr>
        <w:pStyle w:val="Normal1"/>
        <w:numPr>
          <w:ilvl w:val="0"/>
          <w:numId w:val="43"/>
        </w:numPr>
        <w:pBdr>
          <w:top w:val="nil"/>
          <w:left w:val="nil"/>
          <w:bottom w:val="nil"/>
          <w:right w:val="nil"/>
          <w:between w:val="nil"/>
        </w:pBdr>
        <w:spacing w:after="0"/>
        <w:jc w:val="both"/>
        <w:rPr>
          <w:color w:val="000000"/>
        </w:rPr>
      </w:pPr>
      <w:r>
        <w:rPr>
          <w:color w:val="000000"/>
          <w:sz w:val="24"/>
          <w:szCs w:val="24"/>
        </w:rPr>
        <w:t xml:space="preserve">Le SRO, Zinc, Vitamine A, la supplémentation en Fer, en Acide folique et en Iode, </w:t>
      </w:r>
    </w:p>
    <w:p w:rsidR="00314B92" w:rsidRDefault="00AD5F81">
      <w:pPr>
        <w:pStyle w:val="Normal1"/>
        <w:spacing w:after="0"/>
        <w:jc w:val="both"/>
        <w:rPr>
          <w:sz w:val="24"/>
          <w:szCs w:val="24"/>
        </w:rPr>
      </w:pPr>
      <w:r>
        <w:rPr>
          <w:sz w:val="24"/>
          <w:szCs w:val="24"/>
        </w:rPr>
        <w:t>La promotion de l’hygiène alimentaire par le lavage des mains et de la promotion de la nutrition maternelle, de l’allaitement maternel, et de l’alimentation de complément.</w:t>
      </w:r>
    </w:p>
    <w:p w:rsidR="00314B92" w:rsidRDefault="00AD5F81" w:rsidP="005D02C3">
      <w:pPr>
        <w:pStyle w:val="Normal1"/>
        <w:numPr>
          <w:ilvl w:val="0"/>
          <w:numId w:val="43"/>
        </w:numPr>
        <w:pBdr>
          <w:top w:val="nil"/>
          <w:left w:val="nil"/>
          <w:bottom w:val="nil"/>
          <w:right w:val="nil"/>
          <w:between w:val="nil"/>
        </w:pBdr>
        <w:spacing w:after="0"/>
        <w:jc w:val="both"/>
        <w:rPr>
          <w:color w:val="000000"/>
        </w:rPr>
      </w:pPr>
      <w:r>
        <w:rPr>
          <w:color w:val="000000"/>
          <w:sz w:val="24"/>
          <w:szCs w:val="24"/>
        </w:rPr>
        <w:t>Les moustiquaires imprégnées d’insecticide à longue durée d’action (MILDA).</w:t>
      </w:r>
    </w:p>
    <w:p w:rsidR="00314B92" w:rsidRDefault="00AD5F81" w:rsidP="005D02C3">
      <w:pPr>
        <w:pStyle w:val="Normal1"/>
        <w:numPr>
          <w:ilvl w:val="0"/>
          <w:numId w:val="43"/>
        </w:numPr>
        <w:pBdr>
          <w:top w:val="nil"/>
          <w:left w:val="nil"/>
          <w:bottom w:val="nil"/>
          <w:right w:val="nil"/>
          <w:between w:val="nil"/>
        </w:pBdr>
        <w:spacing w:after="0"/>
        <w:jc w:val="both"/>
        <w:rPr>
          <w:color w:val="000000"/>
        </w:rPr>
      </w:pPr>
      <w:r>
        <w:rPr>
          <w:color w:val="000000"/>
          <w:sz w:val="24"/>
          <w:szCs w:val="24"/>
        </w:rPr>
        <w:t>Les produits de contraception</w:t>
      </w:r>
    </w:p>
    <w:p w:rsidR="00314B92" w:rsidRDefault="00AD5F81" w:rsidP="00EF59CC">
      <w:pPr>
        <w:pStyle w:val="Normal1"/>
        <w:spacing w:after="0"/>
        <w:jc w:val="both"/>
        <w:rPr>
          <w:sz w:val="24"/>
          <w:szCs w:val="24"/>
        </w:rPr>
      </w:pPr>
      <w:r>
        <w:rPr>
          <w:sz w:val="24"/>
          <w:szCs w:val="24"/>
        </w:rPr>
        <w:t>D’autres parts les ASBC mènent d’autres activités de promotion de la santé : promotion de l’hygiène alimentaire par le lavage des mains, de la nutrition maternelle, de l’allaitement maternel, et de l’alimentation de complément, de la planification familiale. En 2016, la santé communautaire a été renforcée par le recrutement de deux ASBC par village administratif, soit 16.000 ASBC, bénéficiant d’une motivation de 20 000 FCFA/mois.</w:t>
      </w:r>
    </w:p>
    <w:p w:rsidR="00314B92" w:rsidRDefault="00AD5F81" w:rsidP="00EF59CC">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Goulots d’étranglement</w:t>
      </w:r>
      <w:r>
        <w:rPr>
          <w:b/>
          <w:color w:val="000000"/>
          <w:sz w:val="24"/>
          <w:szCs w:val="24"/>
          <w:vertAlign w:val="superscript"/>
        </w:rPr>
        <w:footnoteReference w:id="95"/>
      </w:r>
      <w:r>
        <w:rPr>
          <w:b/>
          <w:color w:val="000000"/>
          <w:sz w:val="24"/>
          <w:szCs w:val="24"/>
        </w:rPr>
        <w:t> :</w:t>
      </w:r>
    </w:p>
    <w:p w:rsidR="00314B92" w:rsidRDefault="00AD5F81" w:rsidP="005D02C3">
      <w:pPr>
        <w:pStyle w:val="Normal1"/>
        <w:numPr>
          <w:ilvl w:val="0"/>
          <w:numId w:val="77"/>
        </w:numPr>
        <w:spacing w:after="0"/>
        <w:jc w:val="both"/>
      </w:pPr>
      <w:r>
        <w:rPr>
          <w:sz w:val="24"/>
          <w:szCs w:val="24"/>
        </w:rPr>
        <w:t>L’offre de services à base communautaire de qualité est insuffisante ;</w:t>
      </w:r>
    </w:p>
    <w:p w:rsidR="00314B92" w:rsidRDefault="00AD5F81" w:rsidP="005D02C3">
      <w:pPr>
        <w:pStyle w:val="Normal1"/>
        <w:numPr>
          <w:ilvl w:val="0"/>
          <w:numId w:val="77"/>
        </w:numPr>
        <w:spacing w:after="0"/>
        <w:jc w:val="both"/>
      </w:pPr>
      <w:r>
        <w:rPr>
          <w:sz w:val="24"/>
          <w:szCs w:val="24"/>
        </w:rPr>
        <w:t>Le besoin de renforcement de capacité et de la supervision des acteurs communautaires</w:t>
      </w:r>
    </w:p>
    <w:p w:rsidR="00314B92" w:rsidRDefault="00AD5F81" w:rsidP="005D02C3">
      <w:pPr>
        <w:pStyle w:val="Normal1"/>
        <w:numPr>
          <w:ilvl w:val="0"/>
          <w:numId w:val="77"/>
        </w:numPr>
        <w:spacing w:after="0"/>
        <w:jc w:val="both"/>
      </w:pPr>
      <w:r>
        <w:rPr>
          <w:sz w:val="24"/>
          <w:szCs w:val="24"/>
        </w:rPr>
        <w:t>L’accès aux services de santé à base communautaire est faible ;</w:t>
      </w:r>
    </w:p>
    <w:p w:rsidR="00314B92" w:rsidRDefault="00AD5F81" w:rsidP="005D02C3">
      <w:pPr>
        <w:pStyle w:val="Normal1"/>
        <w:numPr>
          <w:ilvl w:val="0"/>
          <w:numId w:val="77"/>
        </w:numPr>
        <w:spacing w:after="0"/>
        <w:jc w:val="both"/>
      </w:pPr>
      <w:r>
        <w:rPr>
          <w:sz w:val="24"/>
          <w:szCs w:val="24"/>
        </w:rPr>
        <w:t>La coordination et la gestion des SBC sont insuffisantes ;</w:t>
      </w:r>
    </w:p>
    <w:p w:rsidR="00314B92" w:rsidRDefault="00AD5F81" w:rsidP="005D02C3">
      <w:pPr>
        <w:pStyle w:val="Normal1"/>
        <w:numPr>
          <w:ilvl w:val="0"/>
          <w:numId w:val="77"/>
        </w:numPr>
        <w:spacing w:after="0"/>
        <w:jc w:val="both"/>
      </w:pPr>
      <w:r>
        <w:rPr>
          <w:sz w:val="24"/>
          <w:szCs w:val="24"/>
        </w:rPr>
        <w:t xml:space="preserve">La planification, le suivi et l’évaluation des SBC sont insuffisants ; </w:t>
      </w:r>
    </w:p>
    <w:p w:rsidR="00314B92" w:rsidRDefault="00AD5F81" w:rsidP="005D02C3">
      <w:pPr>
        <w:pStyle w:val="Normal1"/>
        <w:numPr>
          <w:ilvl w:val="0"/>
          <w:numId w:val="77"/>
        </w:numPr>
        <w:spacing w:after="0"/>
        <w:jc w:val="both"/>
      </w:pPr>
      <w:r>
        <w:rPr>
          <w:sz w:val="24"/>
          <w:szCs w:val="24"/>
        </w:rPr>
        <w:t>La participation communautaire est faible.</w:t>
      </w:r>
    </w:p>
    <w:p w:rsidR="00314B92" w:rsidRDefault="00314B92">
      <w:pPr>
        <w:pStyle w:val="Normal1"/>
        <w:spacing w:after="0"/>
        <w:ind w:left="360"/>
        <w:jc w:val="both"/>
        <w:rPr>
          <w:sz w:val="24"/>
          <w:szCs w:val="24"/>
        </w:rPr>
      </w:pPr>
    </w:p>
    <w:p w:rsidR="00314B92" w:rsidRDefault="00AD5F81" w:rsidP="005D02C3">
      <w:pPr>
        <w:pStyle w:val="Normal1"/>
        <w:numPr>
          <w:ilvl w:val="2"/>
          <w:numId w:val="120"/>
        </w:numPr>
        <w:pBdr>
          <w:top w:val="nil"/>
          <w:left w:val="nil"/>
          <w:bottom w:val="nil"/>
          <w:right w:val="nil"/>
          <w:between w:val="nil"/>
        </w:pBdr>
        <w:spacing w:after="0"/>
        <w:jc w:val="both"/>
        <w:rPr>
          <w:color w:val="000000"/>
          <w:sz w:val="24"/>
          <w:szCs w:val="24"/>
        </w:rPr>
      </w:pPr>
      <w:r>
        <w:rPr>
          <w:color w:val="000000"/>
          <w:sz w:val="24"/>
          <w:szCs w:val="24"/>
        </w:rPr>
        <w:t>GOUVERNANCE ET COORDINATION</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Performances</w:t>
      </w:r>
    </w:p>
    <w:p w:rsidR="00314B92" w:rsidRDefault="00AD5F81">
      <w:pPr>
        <w:pStyle w:val="Normal1"/>
        <w:spacing w:after="0"/>
        <w:jc w:val="both"/>
        <w:rPr>
          <w:sz w:val="24"/>
          <w:szCs w:val="24"/>
        </w:rPr>
      </w:pPr>
      <w:r>
        <w:rPr>
          <w:color w:val="000000"/>
          <w:sz w:val="24"/>
          <w:szCs w:val="24"/>
        </w:rPr>
        <w:t xml:space="preserve">Le cadre stratégique et opérationnel est en place avec (i) </w:t>
      </w:r>
      <w:r>
        <w:rPr>
          <w:sz w:val="24"/>
          <w:szCs w:val="24"/>
        </w:rPr>
        <w:t>les ODD, (ii) la stratégie mondiale pour la santé de la femme, de l’enfant et de l’adolescent (2016-2030),</w:t>
      </w:r>
      <w:r>
        <w:rPr>
          <w:color w:val="000000"/>
          <w:sz w:val="24"/>
          <w:szCs w:val="24"/>
        </w:rPr>
        <w:t xml:space="preserve"> (iii) le PNDES, (iv) le PNDS 2011-2020, (v) le Plan stratégique intégré de la santé reproductive, maternelle, néonatale, infantile, des adolescents, des jeunes et de la personne âgée (SRMNIA-PA) 2017-2020, (iv) les PNP/SR, (v) le Plan national de nutrition, (vi) le </w:t>
      </w:r>
      <w:r>
        <w:rPr>
          <w:sz w:val="24"/>
          <w:szCs w:val="24"/>
        </w:rPr>
        <w:t>Plan de passage à l’échelle de la promotion des pratiques optimales d’alimentation du</w:t>
      </w:r>
      <w:r>
        <w:rPr>
          <w:color w:val="000000"/>
          <w:sz w:val="24"/>
          <w:szCs w:val="24"/>
        </w:rPr>
        <w:t xml:space="preserve"> </w:t>
      </w:r>
      <w:r>
        <w:rPr>
          <w:sz w:val="24"/>
          <w:szCs w:val="24"/>
        </w:rPr>
        <w:t>nourrisson et du jeune enfant au BURKINA FASO (2013 – 2025).</w:t>
      </w:r>
    </w:p>
    <w:p w:rsidR="00314B92" w:rsidRDefault="00AD5F81">
      <w:pPr>
        <w:pStyle w:val="Normal1"/>
        <w:widowControl w:val="0"/>
        <w:pBdr>
          <w:top w:val="nil"/>
          <w:left w:val="nil"/>
          <w:bottom w:val="nil"/>
          <w:right w:val="nil"/>
          <w:between w:val="nil"/>
        </w:pBdr>
        <w:spacing w:before="60" w:after="60"/>
        <w:jc w:val="both"/>
        <w:rPr>
          <w:color w:val="000000"/>
          <w:sz w:val="24"/>
          <w:szCs w:val="24"/>
        </w:rPr>
      </w:pPr>
      <w:r>
        <w:rPr>
          <w:color w:val="00000A"/>
          <w:sz w:val="24"/>
          <w:szCs w:val="24"/>
        </w:rPr>
        <w:t>Le cadre de coordination des activités pour l’élaboration du dos</w:t>
      </w:r>
      <w:r w:rsidR="00FD6406">
        <w:rPr>
          <w:color w:val="00000A"/>
          <w:sz w:val="24"/>
          <w:szCs w:val="24"/>
        </w:rPr>
        <w:t>sier d’investissement en SRMNEA</w:t>
      </w:r>
      <w:r>
        <w:rPr>
          <w:color w:val="00000A"/>
          <w:sz w:val="24"/>
          <w:szCs w:val="24"/>
        </w:rPr>
        <w:t>N et ECSV est en place et comprend (i)</w:t>
      </w:r>
      <w:r>
        <w:rPr>
          <w:color w:val="000000"/>
          <w:sz w:val="24"/>
          <w:szCs w:val="24"/>
        </w:rPr>
        <w:t xml:space="preserve"> le cadre sectoriel de dialogue retenu comme plateforme globale pour le GFF et (ii) l’équipe fonctionnelle 7 retenue comme plateforme technique pour conduire le processus l’élaboration du dossier d’investissement. </w:t>
      </w:r>
    </w:p>
    <w:p w:rsidR="00314B92" w:rsidRDefault="00AD5F81">
      <w:pPr>
        <w:pStyle w:val="Normal1"/>
        <w:widowControl w:val="0"/>
        <w:pBdr>
          <w:top w:val="nil"/>
          <w:left w:val="nil"/>
          <w:bottom w:val="nil"/>
          <w:right w:val="nil"/>
          <w:between w:val="nil"/>
        </w:pBdr>
        <w:spacing w:before="60" w:after="60"/>
        <w:jc w:val="both"/>
        <w:rPr>
          <w:color w:val="262626"/>
          <w:sz w:val="24"/>
          <w:szCs w:val="24"/>
        </w:rPr>
      </w:pPr>
      <w:r>
        <w:rPr>
          <w:color w:val="000000"/>
          <w:sz w:val="24"/>
          <w:szCs w:val="24"/>
        </w:rPr>
        <w:t xml:space="preserve">Le rapport d’étude sur la </w:t>
      </w:r>
      <w:r>
        <w:rPr>
          <w:color w:val="262626"/>
          <w:sz w:val="24"/>
          <w:szCs w:val="24"/>
        </w:rPr>
        <w:t>Cartographie des interventions, intervenants et financements en SRMNEA-N au Burkina Faso est disponible.</w:t>
      </w:r>
    </w:p>
    <w:p w:rsidR="00314B92" w:rsidRDefault="00AD5F81">
      <w:pPr>
        <w:pStyle w:val="Normal1"/>
        <w:pBdr>
          <w:top w:val="nil"/>
          <w:left w:val="nil"/>
          <w:bottom w:val="nil"/>
          <w:right w:val="nil"/>
          <w:between w:val="nil"/>
        </w:pBdr>
        <w:spacing w:after="0"/>
        <w:ind w:left="1080" w:hanging="720"/>
        <w:jc w:val="both"/>
        <w:rPr>
          <w:b/>
          <w:color w:val="000000"/>
          <w:sz w:val="24"/>
          <w:szCs w:val="24"/>
        </w:rPr>
      </w:pPr>
      <w:r>
        <w:rPr>
          <w:b/>
          <w:color w:val="000000"/>
          <w:sz w:val="24"/>
          <w:szCs w:val="24"/>
        </w:rPr>
        <w:t>Défis</w:t>
      </w:r>
    </w:p>
    <w:p w:rsidR="00314B92" w:rsidRDefault="00AD5F81" w:rsidP="005D02C3">
      <w:pPr>
        <w:pStyle w:val="Normal1"/>
        <w:numPr>
          <w:ilvl w:val="0"/>
          <w:numId w:val="76"/>
        </w:numPr>
        <w:pBdr>
          <w:top w:val="nil"/>
          <w:left w:val="nil"/>
          <w:bottom w:val="nil"/>
          <w:right w:val="nil"/>
          <w:between w:val="nil"/>
        </w:pBdr>
        <w:spacing w:after="0"/>
        <w:jc w:val="both"/>
        <w:rPr>
          <w:i/>
          <w:color w:val="000000"/>
          <w:sz w:val="24"/>
          <w:szCs w:val="24"/>
        </w:rPr>
      </w:pPr>
      <w:r>
        <w:rPr>
          <w:i/>
          <w:color w:val="000000"/>
          <w:sz w:val="24"/>
          <w:szCs w:val="24"/>
        </w:rPr>
        <w:t>Le grand défi ou goulot d’étranglement est d’assurer une coordination optimale dans le contexte de la décentralisation pour éviter les chevauchements, les duplications, les zones orphelines et l’iniquité dans la répartition régionale.</w:t>
      </w:r>
    </w:p>
    <w:p w:rsidR="00314B92" w:rsidRDefault="00726844">
      <w:pPr>
        <w:pStyle w:val="Normal1"/>
        <w:pBdr>
          <w:top w:val="nil"/>
          <w:left w:val="nil"/>
          <w:bottom w:val="nil"/>
          <w:right w:val="nil"/>
          <w:between w:val="nil"/>
        </w:pBdr>
        <w:spacing w:after="0"/>
        <w:ind w:left="360" w:hanging="720"/>
        <w:jc w:val="both"/>
        <w:rPr>
          <w:color w:val="000000"/>
          <w:sz w:val="24"/>
          <w:szCs w:val="24"/>
        </w:rPr>
      </w:pPr>
      <w:r>
        <w:rPr>
          <w:color w:val="000000"/>
          <w:sz w:val="24"/>
          <w:szCs w:val="24"/>
        </w:rPr>
        <w:t xml:space="preserve">            </w:t>
      </w:r>
      <w:r w:rsidR="00AD5F81">
        <w:rPr>
          <w:color w:val="000000"/>
          <w:sz w:val="24"/>
          <w:szCs w:val="24"/>
        </w:rPr>
        <w:t>Parmi les 417 acteurs de mise en œuvre (ONG, Associations, privé), 332 menaient des interventions dans le domaine de la santé sexuelle et reproductive (SSR), 259 en santé maternelle et néo-natale, 279 en santé infantile, 283 en santé des adolescents et273 en nutrition. Les acteurs de la mise en œuvre fonctionnent avec les fonds mis à disposition par un nombre important de Catalyseurs et bailleurs de fonds.</w:t>
      </w:r>
    </w:p>
    <w:p w:rsidR="00314B92" w:rsidRDefault="00AD5F81" w:rsidP="005D02C3">
      <w:pPr>
        <w:pStyle w:val="Normal1"/>
        <w:numPr>
          <w:ilvl w:val="0"/>
          <w:numId w:val="76"/>
        </w:numPr>
        <w:pBdr>
          <w:top w:val="nil"/>
          <w:left w:val="nil"/>
          <w:bottom w:val="nil"/>
          <w:right w:val="nil"/>
          <w:between w:val="nil"/>
        </w:pBdr>
        <w:spacing w:after="0"/>
        <w:jc w:val="both"/>
        <w:rPr>
          <w:i/>
          <w:color w:val="000000"/>
          <w:sz w:val="24"/>
          <w:szCs w:val="24"/>
        </w:rPr>
      </w:pPr>
      <w:r>
        <w:rPr>
          <w:i/>
          <w:color w:val="000000"/>
          <w:sz w:val="24"/>
          <w:szCs w:val="24"/>
        </w:rPr>
        <w:t>Garantir un financement durable y compris en recourant à des sources innovantes de financement ;</w:t>
      </w:r>
    </w:p>
    <w:p w:rsidR="00314B92" w:rsidRDefault="00AD5F81" w:rsidP="005D02C3">
      <w:pPr>
        <w:pStyle w:val="Normal1"/>
        <w:numPr>
          <w:ilvl w:val="0"/>
          <w:numId w:val="76"/>
        </w:numPr>
        <w:pBdr>
          <w:top w:val="nil"/>
          <w:left w:val="nil"/>
          <w:bottom w:val="nil"/>
          <w:right w:val="nil"/>
          <w:between w:val="nil"/>
        </w:pBdr>
        <w:spacing w:after="0"/>
        <w:jc w:val="both"/>
        <w:rPr>
          <w:i/>
          <w:color w:val="000000"/>
          <w:sz w:val="24"/>
          <w:szCs w:val="24"/>
        </w:rPr>
      </w:pPr>
      <w:r>
        <w:rPr>
          <w:i/>
          <w:color w:val="000000"/>
          <w:sz w:val="24"/>
          <w:szCs w:val="24"/>
        </w:rPr>
        <w:t xml:space="preserve">Développer une culture de redevabilité ; </w:t>
      </w:r>
    </w:p>
    <w:p w:rsidR="00314B92" w:rsidRDefault="00AD5F81" w:rsidP="005D02C3">
      <w:pPr>
        <w:pStyle w:val="Normal1"/>
        <w:numPr>
          <w:ilvl w:val="0"/>
          <w:numId w:val="76"/>
        </w:numPr>
        <w:pBdr>
          <w:top w:val="nil"/>
          <w:left w:val="nil"/>
          <w:bottom w:val="nil"/>
          <w:right w:val="nil"/>
          <w:between w:val="nil"/>
        </w:pBdr>
        <w:spacing w:after="0"/>
        <w:jc w:val="both"/>
        <w:rPr>
          <w:i/>
          <w:color w:val="000000"/>
          <w:sz w:val="24"/>
          <w:szCs w:val="24"/>
        </w:rPr>
      </w:pPr>
      <w:r>
        <w:rPr>
          <w:i/>
          <w:color w:val="000000"/>
          <w:sz w:val="24"/>
          <w:szCs w:val="24"/>
        </w:rPr>
        <w:t>Coordination multisectorielle de la nutrition</w:t>
      </w:r>
    </w:p>
    <w:p w:rsidR="00314B92" w:rsidRDefault="00314B92">
      <w:pPr>
        <w:pStyle w:val="Normal1"/>
        <w:spacing w:after="0"/>
        <w:jc w:val="both"/>
        <w:rPr>
          <w:sz w:val="24"/>
          <w:szCs w:val="24"/>
        </w:rPr>
      </w:pPr>
    </w:p>
    <w:p w:rsidR="00314B92" w:rsidRDefault="00AD5F81" w:rsidP="005D02C3">
      <w:pPr>
        <w:pStyle w:val="Normal1"/>
        <w:numPr>
          <w:ilvl w:val="2"/>
          <w:numId w:val="120"/>
        </w:numPr>
        <w:pBdr>
          <w:top w:val="nil"/>
          <w:left w:val="nil"/>
          <w:bottom w:val="nil"/>
          <w:right w:val="nil"/>
          <w:between w:val="nil"/>
        </w:pBdr>
        <w:spacing w:after="0"/>
        <w:jc w:val="both"/>
        <w:rPr>
          <w:color w:val="000000"/>
          <w:sz w:val="24"/>
          <w:szCs w:val="24"/>
        </w:rPr>
      </w:pPr>
      <w:r>
        <w:rPr>
          <w:color w:val="000000"/>
          <w:sz w:val="24"/>
          <w:szCs w:val="24"/>
        </w:rPr>
        <w:t>DETERMINANTS DE LA SANTE</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Indice de développement humain</w:t>
      </w:r>
    </w:p>
    <w:p w:rsidR="00314B92" w:rsidRDefault="00AD5F81">
      <w:pPr>
        <w:pStyle w:val="Normal1"/>
        <w:spacing w:after="0"/>
        <w:jc w:val="both"/>
        <w:rPr>
          <w:sz w:val="24"/>
          <w:szCs w:val="24"/>
        </w:rPr>
      </w:pPr>
      <w:r>
        <w:rPr>
          <w:sz w:val="24"/>
          <w:szCs w:val="24"/>
        </w:rPr>
        <w:t>Le Burkina Faso fait partie des pays les moins avancés et classé 185ème sur 188 pays avec un Indice de développement humain (IDH) de 0,402 en 2016</w:t>
      </w:r>
      <w:r>
        <w:rPr>
          <w:sz w:val="24"/>
          <w:szCs w:val="24"/>
          <w:vertAlign w:val="superscript"/>
        </w:rPr>
        <w:footnoteReference w:id="96"/>
      </w:r>
      <w:r>
        <w:rPr>
          <w:sz w:val="24"/>
          <w:szCs w:val="24"/>
        </w:rPr>
        <w:t xml:space="preserve">. </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La pauvreté</w:t>
      </w:r>
    </w:p>
    <w:p w:rsidR="00314B92" w:rsidRDefault="00AD5F81">
      <w:pPr>
        <w:pStyle w:val="Normal1"/>
        <w:pBdr>
          <w:top w:val="nil"/>
          <w:left w:val="nil"/>
          <w:bottom w:val="nil"/>
          <w:right w:val="nil"/>
          <w:between w:val="nil"/>
        </w:pBdr>
        <w:spacing w:after="0"/>
        <w:ind w:left="720" w:hanging="720"/>
        <w:jc w:val="both"/>
        <w:rPr>
          <w:color w:val="000000"/>
          <w:sz w:val="24"/>
          <w:szCs w:val="24"/>
        </w:rPr>
      </w:pPr>
      <w:r>
        <w:rPr>
          <w:color w:val="000000"/>
          <w:sz w:val="24"/>
          <w:szCs w:val="24"/>
        </w:rPr>
        <w:t>La pauvreté au Burkina est essentiellement rurale avec une incidence de 47,5% contre 13,7% en milieu urbain. Cette même source indique de nombreuses inégalités entre régions du pays avec une concentration de 60% des pauvres dans cinq régions (le Nord, la Boucle du Mouhoun, le Centre-Ouest, le Centre-Nord et l’Est)</w:t>
      </w:r>
      <w:r>
        <w:rPr>
          <w:color w:val="000000"/>
          <w:sz w:val="24"/>
          <w:szCs w:val="24"/>
          <w:vertAlign w:val="superscript"/>
        </w:rPr>
        <w:footnoteReference w:id="97"/>
      </w:r>
      <w:r>
        <w:rPr>
          <w:color w:val="000000"/>
          <w:sz w:val="24"/>
          <w:szCs w:val="24"/>
        </w:rPr>
        <w:t>.</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 xml:space="preserve">L’environnement </w:t>
      </w:r>
      <w:r w:rsidR="00FD6406">
        <w:rPr>
          <w:b/>
          <w:color w:val="000000"/>
          <w:sz w:val="24"/>
          <w:szCs w:val="24"/>
        </w:rPr>
        <w:t>socioculturelle</w:t>
      </w:r>
    </w:p>
    <w:p w:rsidR="00314B92" w:rsidRDefault="00AD5F81" w:rsidP="00726844">
      <w:pPr>
        <w:pStyle w:val="Normal1"/>
        <w:pBdr>
          <w:top w:val="nil"/>
          <w:left w:val="nil"/>
          <w:bottom w:val="nil"/>
          <w:right w:val="nil"/>
          <w:between w:val="nil"/>
        </w:pBdr>
        <w:spacing w:after="0"/>
        <w:ind w:left="720" w:hanging="11"/>
        <w:jc w:val="both"/>
        <w:rPr>
          <w:color w:val="000000"/>
          <w:sz w:val="24"/>
          <w:szCs w:val="24"/>
        </w:rPr>
      </w:pPr>
      <w:r>
        <w:rPr>
          <w:color w:val="000000"/>
          <w:sz w:val="24"/>
          <w:szCs w:val="24"/>
        </w:rPr>
        <w:t xml:space="preserve">L’autonomie des femmes dans la prise de décision reste relativement faible. </w:t>
      </w:r>
    </w:p>
    <w:p w:rsidR="00314B92" w:rsidRDefault="00AD5F81" w:rsidP="00726844">
      <w:pPr>
        <w:pStyle w:val="Normal1"/>
        <w:pBdr>
          <w:top w:val="nil"/>
          <w:left w:val="nil"/>
          <w:bottom w:val="nil"/>
          <w:right w:val="nil"/>
          <w:between w:val="nil"/>
        </w:pBdr>
        <w:spacing w:after="0"/>
        <w:ind w:left="720" w:hanging="11"/>
        <w:jc w:val="both"/>
        <w:rPr>
          <w:color w:val="000000"/>
          <w:sz w:val="24"/>
          <w:szCs w:val="24"/>
        </w:rPr>
      </w:pPr>
      <w:r>
        <w:rPr>
          <w:color w:val="000000"/>
          <w:sz w:val="24"/>
          <w:szCs w:val="24"/>
        </w:rPr>
        <w:t>Le poids du mari ou de la belle-mère reste très important dans la décision de recourir aux services de santé. Certaines pratiques comme les tabous alimentaires, les mutilations génitales féminines, le mariage précoce ont des conséquences directes sur la santé de la mère et de l’enfant</w:t>
      </w:r>
    </w:p>
    <w:p w:rsidR="00314B92" w:rsidRDefault="00AD5F81" w:rsidP="005D02C3">
      <w:pPr>
        <w:pStyle w:val="Normal1"/>
        <w:numPr>
          <w:ilvl w:val="3"/>
          <w:numId w:val="120"/>
        </w:numPr>
        <w:pBdr>
          <w:top w:val="nil"/>
          <w:left w:val="nil"/>
          <w:bottom w:val="nil"/>
          <w:right w:val="nil"/>
          <w:between w:val="nil"/>
        </w:pBdr>
        <w:spacing w:after="0"/>
        <w:jc w:val="both"/>
        <w:rPr>
          <w:color w:val="000000"/>
          <w:sz w:val="24"/>
          <w:szCs w:val="24"/>
        </w:rPr>
      </w:pPr>
      <w:r>
        <w:rPr>
          <w:b/>
          <w:color w:val="000000"/>
          <w:sz w:val="24"/>
          <w:szCs w:val="24"/>
        </w:rPr>
        <w:t>Eau, hygiène, assainissement</w:t>
      </w:r>
      <w:r>
        <w:rPr>
          <w:b/>
          <w:color w:val="000000"/>
          <w:sz w:val="24"/>
          <w:szCs w:val="24"/>
          <w:vertAlign w:val="superscript"/>
        </w:rPr>
        <w:footnoteReference w:id="98"/>
      </w:r>
    </w:p>
    <w:p w:rsidR="00314B92" w:rsidRDefault="00AD5F81">
      <w:pPr>
        <w:pStyle w:val="Normal1"/>
        <w:spacing w:after="0"/>
        <w:jc w:val="both"/>
        <w:rPr>
          <w:sz w:val="24"/>
          <w:szCs w:val="24"/>
        </w:rPr>
      </w:pPr>
      <w:r>
        <w:rPr>
          <w:sz w:val="24"/>
          <w:szCs w:val="24"/>
        </w:rPr>
        <w:t>En moyenne, 76,3% de la population ont accès à l’eau potable. Mais cette moyenne cache de grandes disparités selon les régions.</w:t>
      </w:r>
    </w:p>
    <w:p w:rsidR="00314B92" w:rsidRDefault="00AD5F81">
      <w:pPr>
        <w:pStyle w:val="Normal1"/>
        <w:spacing w:after="0"/>
        <w:jc w:val="both"/>
        <w:rPr>
          <w:sz w:val="24"/>
          <w:szCs w:val="24"/>
        </w:rPr>
      </w:pPr>
      <w:r>
        <w:rPr>
          <w:sz w:val="24"/>
          <w:szCs w:val="24"/>
        </w:rPr>
        <w:t xml:space="preserve">La proportion de la population qui n’a pas accès à l’eau potable varie entre 29,2% et 42,6% selon les régions : Sud-Ouest (29,2%), Nord (30,7%), Est (31,6%), Centre-Ouest (34,2%), Hauts Bassins (34,3%), Sud (35,1%) Et Boucle du Mouhoun (42,6%). </w:t>
      </w:r>
    </w:p>
    <w:tbl>
      <w:tblPr>
        <w:tblStyle w:val="af1"/>
        <w:tblW w:w="9062" w:type="dxa"/>
        <w:tblBorders>
          <w:top w:val="nil"/>
          <w:left w:val="nil"/>
          <w:bottom w:val="nil"/>
          <w:right w:val="nil"/>
          <w:insideH w:val="nil"/>
          <w:insideV w:val="nil"/>
        </w:tblBorders>
        <w:tblLayout w:type="fixed"/>
        <w:tblLook w:val="0400" w:firstRow="0" w:lastRow="0" w:firstColumn="0" w:lastColumn="0" w:noHBand="0" w:noVBand="1"/>
      </w:tblPr>
      <w:tblGrid>
        <w:gridCol w:w="4986"/>
        <w:gridCol w:w="254"/>
        <w:gridCol w:w="3822"/>
      </w:tblGrid>
      <w:tr w:rsidR="00314B92">
        <w:tc>
          <w:tcPr>
            <w:tcW w:w="4986" w:type="dxa"/>
          </w:tcPr>
          <w:p w:rsidR="00314B92" w:rsidRDefault="00AD5F81">
            <w:pPr>
              <w:pStyle w:val="Normal1"/>
              <w:jc w:val="both"/>
              <w:rPr>
                <w:sz w:val="24"/>
                <w:szCs w:val="24"/>
              </w:rPr>
            </w:pPr>
            <w:r>
              <w:rPr>
                <w:noProof/>
              </w:rPr>
              <w:drawing>
                <wp:anchor distT="0" distB="0" distL="114300" distR="114300" simplePos="0" relativeHeight="251602432" behindDoc="0" locked="0" layoutInCell="1" allowOverlap="1">
                  <wp:simplePos x="0" y="0"/>
                  <wp:positionH relativeFrom="column">
                    <wp:posOffset>-6349</wp:posOffset>
                  </wp:positionH>
                  <wp:positionV relativeFrom="paragraph">
                    <wp:posOffset>215265</wp:posOffset>
                  </wp:positionV>
                  <wp:extent cx="2988310" cy="1875790"/>
                  <wp:effectExtent l="6350" t="6350" r="6350" b="6350"/>
                  <wp:wrapSquare wrapText="right" distT="0" distB="0" distL="114300" distR="114300"/>
                  <wp:docPr id="3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6" cstate="print"/>
                          <a:srcRect/>
                          <a:stretch>
                            <a:fillRect/>
                          </a:stretch>
                        </pic:blipFill>
                        <pic:spPr>
                          <a:xfrm>
                            <a:off x="0" y="0"/>
                            <a:ext cx="2988310" cy="1875790"/>
                          </a:xfrm>
                          <a:prstGeom prst="rect">
                            <a:avLst/>
                          </a:prstGeom>
                          <a:ln w="6350">
                            <a:solidFill>
                              <a:srgbClr val="000000"/>
                            </a:solidFill>
                            <a:prstDash val="solid"/>
                          </a:ln>
                        </pic:spPr>
                      </pic:pic>
                    </a:graphicData>
                  </a:graphic>
                </wp:anchor>
              </w:drawing>
            </w:r>
          </w:p>
        </w:tc>
        <w:tc>
          <w:tcPr>
            <w:tcW w:w="254" w:type="dxa"/>
          </w:tcPr>
          <w:p w:rsidR="00314B92" w:rsidRDefault="00314B92">
            <w:pPr>
              <w:pStyle w:val="Normal1"/>
              <w:jc w:val="both"/>
              <w:rPr>
                <w:sz w:val="24"/>
                <w:szCs w:val="24"/>
              </w:rPr>
            </w:pPr>
          </w:p>
        </w:tc>
        <w:tc>
          <w:tcPr>
            <w:tcW w:w="3822" w:type="dxa"/>
          </w:tcPr>
          <w:p w:rsidR="00314B92" w:rsidRDefault="00AD5F81">
            <w:pPr>
              <w:pStyle w:val="Normal1"/>
              <w:spacing w:after="240"/>
              <w:jc w:val="both"/>
              <w:rPr>
                <w:sz w:val="24"/>
                <w:szCs w:val="24"/>
              </w:rPr>
            </w:pPr>
            <w:r>
              <w:rPr>
                <w:sz w:val="24"/>
                <w:szCs w:val="24"/>
              </w:rPr>
              <w:t>La couverture en évacuation sanitaire augmente avec le niveau socio-économique. Les populations dans les zones rurales ont peu d’accès à ces commodités ainsi que celles ayant un niveau de vie de plus en plus bas. 83% de la population la moins défavorisée a une couverture de 83% tandis que la plus défavorisée a une couverture.</w:t>
            </w:r>
          </w:p>
        </w:tc>
      </w:tr>
      <w:tr w:rsidR="00314B92">
        <w:tc>
          <w:tcPr>
            <w:tcW w:w="4986" w:type="dxa"/>
          </w:tcPr>
          <w:p w:rsidR="00314B92" w:rsidRDefault="00AD5F81">
            <w:pPr>
              <w:pStyle w:val="Normal1"/>
              <w:jc w:val="both"/>
              <w:rPr>
                <w:b/>
                <w:sz w:val="20"/>
                <w:szCs w:val="20"/>
              </w:rPr>
            </w:pPr>
            <w:r>
              <w:rPr>
                <w:b/>
                <w:sz w:val="20"/>
                <w:szCs w:val="20"/>
              </w:rPr>
              <w:t>Figure 23 : Evacuation hygiénique des selles</w:t>
            </w:r>
            <w:r>
              <w:rPr>
                <w:b/>
                <w:sz w:val="20"/>
                <w:szCs w:val="20"/>
                <w:vertAlign w:val="superscript"/>
              </w:rPr>
              <w:footnoteReference w:id="99"/>
            </w:r>
          </w:p>
        </w:tc>
        <w:tc>
          <w:tcPr>
            <w:tcW w:w="254" w:type="dxa"/>
          </w:tcPr>
          <w:p w:rsidR="00314B92" w:rsidRDefault="00314B92">
            <w:pPr>
              <w:pStyle w:val="Normal1"/>
              <w:jc w:val="both"/>
              <w:rPr>
                <w:sz w:val="24"/>
                <w:szCs w:val="24"/>
              </w:rPr>
            </w:pPr>
          </w:p>
        </w:tc>
        <w:tc>
          <w:tcPr>
            <w:tcW w:w="3822" w:type="dxa"/>
          </w:tcPr>
          <w:p w:rsidR="00314B92" w:rsidRDefault="00314B92">
            <w:pPr>
              <w:pStyle w:val="Normal1"/>
              <w:jc w:val="both"/>
              <w:rPr>
                <w:sz w:val="24"/>
                <w:szCs w:val="24"/>
              </w:rPr>
            </w:pPr>
          </w:p>
        </w:tc>
      </w:tr>
    </w:tbl>
    <w:p w:rsidR="00314B92" w:rsidRDefault="00AD5F81">
      <w:pPr>
        <w:pStyle w:val="Normal1"/>
        <w:spacing w:after="240"/>
        <w:jc w:val="both"/>
        <w:rPr>
          <w:sz w:val="24"/>
          <w:szCs w:val="24"/>
        </w:rPr>
      </w:pPr>
      <w:r>
        <w:br w:type="page"/>
      </w:r>
    </w:p>
    <w:p w:rsidR="00314B92" w:rsidRDefault="00AD5F81" w:rsidP="005D02C3">
      <w:pPr>
        <w:pStyle w:val="Normal1"/>
        <w:numPr>
          <w:ilvl w:val="0"/>
          <w:numId w:val="120"/>
        </w:numPr>
        <w:pBdr>
          <w:top w:val="nil"/>
          <w:left w:val="nil"/>
          <w:bottom w:val="nil"/>
          <w:right w:val="nil"/>
          <w:between w:val="nil"/>
        </w:pBdr>
        <w:spacing w:after="0"/>
        <w:jc w:val="both"/>
        <w:rPr>
          <w:b/>
          <w:color w:val="000000"/>
          <w:sz w:val="28"/>
          <w:szCs w:val="28"/>
        </w:rPr>
      </w:pPr>
      <w:r>
        <w:rPr>
          <w:b/>
          <w:color w:val="000000"/>
          <w:sz w:val="28"/>
          <w:szCs w:val="28"/>
        </w:rPr>
        <w:t>ETAT CIVIL ET STATISTIQUES VITALES</w:t>
      </w:r>
    </w:p>
    <w:p w:rsidR="00314B92" w:rsidRDefault="00AD5F81" w:rsidP="005D02C3">
      <w:pPr>
        <w:pStyle w:val="Normal1"/>
        <w:numPr>
          <w:ilvl w:val="1"/>
          <w:numId w:val="120"/>
        </w:numPr>
        <w:pBdr>
          <w:top w:val="nil"/>
          <w:left w:val="nil"/>
          <w:bottom w:val="nil"/>
          <w:right w:val="nil"/>
          <w:between w:val="nil"/>
        </w:pBdr>
        <w:spacing w:after="0"/>
        <w:jc w:val="both"/>
        <w:rPr>
          <w:color w:val="000000"/>
          <w:sz w:val="24"/>
          <w:szCs w:val="24"/>
        </w:rPr>
      </w:pPr>
      <w:r>
        <w:rPr>
          <w:color w:val="000000"/>
          <w:sz w:val="24"/>
          <w:szCs w:val="24"/>
        </w:rPr>
        <w:t xml:space="preserve">SITUATION EN MATIERE D’ETAT CIVIL </w:t>
      </w:r>
    </w:p>
    <w:p w:rsidR="00314B92" w:rsidRPr="00314B92" w:rsidRDefault="009B5EB2">
      <w:pPr>
        <w:pStyle w:val="Normal1"/>
        <w:spacing w:after="0"/>
        <w:jc w:val="both"/>
        <w:rPr>
          <w:sz w:val="24"/>
          <w:szCs w:val="24"/>
        </w:rPr>
      </w:pPr>
      <w:r w:rsidRPr="009B5EB2">
        <w:rPr>
          <w:sz w:val="24"/>
          <w:szCs w:val="24"/>
        </w:rPr>
        <w:t xml:space="preserve">Au Burkina Faso, le système d’état civil a été institué par l’arrêté général n°4602/AP du 16 août 1950 réglementant l’état civil des personnes régies par les coutumes locales, ultérieurement connu sous le nom d’arrêté organisant « l’état civil indigène ». </w:t>
      </w:r>
    </w:p>
    <w:p w:rsidR="00314B92" w:rsidRPr="00314B92" w:rsidRDefault="009B5EB2">
      <w:pPr>
        <w:pStyle w:val="Normal1"/>
        <w:spacing w:after="0"/>
        <w:jc w:val="both"/>
        <w:rPr>
          <w:sz w:val="24"/>
          <w:szCs w:val="24"/>
        </w:rPr>
      </w:pPr>
      <w:r w:rsidRPr="009B5EB2">
        <w:rPr>
          <w:sz w:val="24"/>
          <w:szCs w:val="24"/>
        </w:rPr>
        <w:t xml:space="preserve">Après l’indépendance, des mises à jour ont été faites dans le dispositif légal avec le Code des personnes et de la famille qui entrera en vigueur le 4 août 1990, l’arrêté n°2006-009/MJ/SG/DACPS du 2 mars 2006 portant fixation des modèles d’actes d’état civil. </w:t>
      </w:r>
    </w:p>
    <w:p w:rsidR="00314B92" w:rsidRPr="00314B92" w:rsidRDefault="009B5EB2">
      <w:pPr>
        <w:pStyle w:val="Normal1"/>
        <w:spacing w:after="0"/>
        <w:jc w:val="both"/>
        <w:rPr>
          <w:sz w:val="24"/>
          <w:szCs w:val="24"/>
        </w:rPr>
      </w:pPr>
      <w:r w:rsidRPr="009B5EB2">
        <w:rPr>
          <w:sz w:val="24"/>
          <w:szCs w:val="24"/>
        </w:rPr>
        <w:t>Avec le 2</w:t>
      </w:r>
      <w:r w:rsidRPr="009B5EB2">
        <w:rPr>
          <w:sz w:val="24"/>
          <w:szCs w:val="24"/>
          <w:vertAlign w:val="superscript"/>
        </w:rPr>
        <w:t>e</w:t>
      </w:r>
      <w:r w:rsidRPr="009B5EB2">
        <w:rPr>
          <w:sz w:val="24"/>
          <w:szCs w:val="24"/>
        </w:rPr>
        <w:t xml:space="preserve"> Plan d’Action 2017-2021, le pays est passé de la promotion de l’état civil de 2012-2016 à l’étape de la modernisation. L’ambition du Gouvernement est d’aboutir à une gestion maîtrisée des faits d’état civil, pour bénéficier de données démographiques fiables.</w:t>
      </w:r>
    </w:p>
    <w:p w:rsidR="00314B92" w:rsidRPr="00314B92" w:rsidRDefault="009B5EB2" w:rsidP="00750AD2">
      <w:pPr>
        <w:pStyle w:val="Normal1"/>
        <w:spacing w:after="0"/>
        <w:jc w:val="both"/>
        <w:rPr>
          <w:sz w:val="24"/>
          <w:szCs w:val="24"/>
        </w:rPr>
      </w:pPr>
      <w:r w:rsidRPr="009B5EB2">
        <w:rPr>
          <w:sz w:val="24"/>
          <w:szCs w:val="24"/>
        </w:rPr>
        <w:t>En 2015, il y avait quatre cent six (406) centres d’état civil principaux et 987 centres secondaires</w:t>
      </w:r>
      <w:r w:rsidR="00AD5F81">
        <w:rPr>
          <w:sz w:val="23"/>
          <w:szCs w:val="23"/>
          <w:vertAlign w:val="superscript"/>
        </w:rPr>
        <w:footnoteReference w:id="100"/>
      </w:r>
      <w:r w:rsidRPr="009B5EB2">
        <w:rPr>
          <w:sz w:val="24"/>
          <w:szCs w:val="24"/>
        </w:rPr>
        <w:t xml:space="preserve">.  </w:t>
      </w:r>
    </w:p>
    <w:p w:rsidR="00314B92" w:rsidRDefault="00AD5F81" w:rsidP="005D02C3">
      <w:pPr>
        <w:pStyle w:val="Normal1"/>
        <w:numPr>
          <w:ilvl w:val="2"/>
          <w:numId w:val="120"/>
        </w:numPr>
        <w:pBdr>
          <w:top w:val="nil"/>
          <w:left w:val="nil"/>
          <w:bottom w:val="nil"/>
          <w:right w:val="nil"/>
          <w:between w:val="nil"/>
        </w:pBdr>
        <w:spacing w:after="0"/>
        <w:jc w:val="both"/>
        <w:rPr>
          <w:color w:val="000000"/>
          <w:sz w:val="24"/>
          <w:szCs w:val="24"/>
        </w:rPr>
      </w:pPr>
      <w:r>
        <w:rPr>
          <w:color w:val="000000"/>
          <w:sz w:val="24"/>
          <w:szCs w:val="24"/>
        </w:rPr>
        <w:t>ENREGISTREMENT DES NAISSANCES</w:t>
      </w:r>
    </w:p>
    <w:p w:rsidR="00314B92" w:rsidRPr="00314B92" w:rsidRDefault="009B5EB2">
      <w:pPr>
        <w:pStyle w:val="Normal1"/>
        <w:spacing w:after="0"/>
        <w:jc w:val="both"/>
        <w:rPr>
          <w:sz w:val="24"/>
          <w:szCs w:val="24"/>
        </w:rPr>
      </w:pPr>
      <w:r w:rsidRPr="009B5EB2">
        <w:rPr>
          <w:sz w:val="24"/>
          <w:szCs w:val="24"/>
        </w:rPr>
        <w:t>Toute naissance survenue sur le territoire burkinabè doit faire l’objet d’une déclaration à l’officier de l’état civil du lieu de naissance dans les deux mois à compter du jour de la naissance. En 2015</w:t>
      </w:r>
      <w:r w:rsidR="00AD5F81">
        <w:rPr>
          <w:sz w:val="23"/>
          <w:szCs w:val="23"/>
          <w:vertAlign w:val="superscript"/>
        </w:rPr>
        <w:footnoteReference w:id="101"/>
      </w:r>
      <w:r w:rsidRPr="009B5EB2">
        <w:rPr>
          <w:sz w:val="24"/>
          <w:szCs w:val="24"/>
        </w:rPr>
        <w:t xml:space="preserve">, environ 78 % des naissances sont enregistrées à l’Etat civil. Ce taux plutôt élevé cache des disparités géographiques avec un pourcentage de naissances enregistrées de 95% dans les régions du Centre et Centre-Sud, de 59.2% dans la région de l’Est et de 40.6% dans la région du Sahel (EMC-MDS, 2015). Les écarts sont considérables entre le milieu rural (62 %) et le milieu urbain (91 %) d’une part, et entre les enfants des ménages riches (91,4%) et ceux des ménages pauvres (49,3%) d’autre part. Soixante-six % des enfants enregistrés </w:t>
      </w:r>
      <w:r w:rsidR="00750AD2">
        <w:rPr>
          <w:sz w:val="24"/>
          <w:szCs w:val="24"/>
        </w:rPr>
        <w:t xml:space="preserve">à </w:t>
      </w:r>
      <w:r w:rsidRPr="009B5EB2">
        <w:rPr>
          <w:sz w:val="24"/>
          <w:szCs w:val="24"/>
        </w:rPr>
        <w:t xml:space="preserve">l’état civil étaient en possession d’un certificat de naissance. </w:t>
      </w:r>
    </w:p>
    <w:p w:rsidR="00314B92" w:rsidRPr="002E68A0" w:rsidRDefault="002E68A0" w:rsidP="002E68A0">
      <w:pPr>
        <w:pStyle w:val="Normal1"/>
        <w:numPr>
          <w:ilvl w:val="2"/>
          <w:numId w:val="120"/>
        </w:numPr>
        <w:pBdr>
          <w:top w:val="nil"/>
          <w:left w:val="nil"/>
          <w:bottom w:val="nil"/>
          <w:right w:val="nil"/>
          <w:between w:val="nil"/>
        </w:pBdr>
        <w:spacing w:after="0"/>
        <w:jc w:val="both"/>
        <w:rPr>
          <w:smallCaps/>
          <w:color w:val="000000"/>
          <w:sz w:val="24"/>
          <w:szCs w:val="24"/>
        </w:rPr>
      </w:pPr>
      <w:bookmarkStart w:id="19" w:name="_1y810tw" w:colFirst="0" w:colLast="0"/>
      <w:bookmarkEnd w:id="19"/>
      <w:r w:rsidRPr="002E68A0">
        <w:rPr>
          <w:smallCaps/>
          <w:color w:val="000000"/>
          <w:sz w:val="24"/>
          <w:szCs w:val="24"/>
        </w:rPr>
        <w:t>D</w:t>
      </w:r>
      <w:r w:rsidRPr="002E68A0">
        <w:rPr>
          <w:color w:val="000000"/>
          <w:sz w:val="24"/>
          <w:szCs w:val="24"/>
        </w:rPr>
        <w:t>ECLARATION DES MARIAGES ET DES DECES</w:t>
      </w:r>
    </w:p>
    <w:p w:rsidR="00314B92" w:rsidRPr="00314B92" w:rsidRDefault="009B5EB2" w:rsidP="00750AD2">
      <w:pPr>
        <w:pStyle w:val="Normal1"/>
        <w:spacing w:after="0"/>
        <w:jc w:val="both"/>
        <w:rPr>
          <w:sz w:val="24"/>
          <w:szCs w:val="24"/>
        </w:rPr>
      </w:pPr>
      <w:r w:rsidRPr="009B5EB2">
        <w:rPr>
          <w:sz w:val="24"/>
          <w:szCs w:val="24"/>
        </w:rPr>
        <w:t>Aux termes des articles 273 et suivants du CPF, le mariage est célébré publiquement par l’officier de l’état civil du lieu de la constitution du dossier de mariage en présence de deux (02) témoins majeurs. Aux termes des articles 116 et suivants du CPF, les décès doivent être déclarés, dans un délai de deux (02) mois à l’officier de l’état civil du lieu de décès, par le conjoint survivant, les ascendants ou descendants ou toute personne possédant les renseignements les plus exacts et les plus complets possibles sur l’état civil du défunt. Dans les centres urbains où il existe des dispensaires ou des hôpitaux, le décès d’une personne est constaté par un médecin ou un infirmier qui établit une constatation de décès. Aux vues de celle-ci, l’officier de l’état civil délivre un permis d’inhumer.</w:t>
      </w:r>
    </w:p>
    <w:p w:rsidR="00314B92" w:rsidRPr="00314B92" w:rsidRDefault="009B5EB2">
      <w:pPr>
        <w:pStyle w:val="Normal1"/>
        <w:spacing w:after="0"/>
        <w:jc w:val="both"/>
        <w:rPr>
          <w:sz w:val="24"/>
          <w:szCs w:val="24"/>
        </w:rPr>
      </w:pPr>
      <w:r w:rsidRPr="009B5EB2">
        <w:rPr>
          <w:b/>
          <w:sz w:val="24"/>
          <w:szCs w:val="24"/>
        </w:rPr>
        <w:t>Tableau 6 : Déclaration des mariages et décès (2000-2004)</w:t>
      </w:r>
      <w:r w:rsidR="00AD5F81">
        <w:rPr>
          <w:b/>
          <w:sz w:val="23"/>
          <w:szCs w:val="23"/>
          <w:vertAlign w:val="superscript"/>
        </w:rPr>
        <w:footnoteReference w:id="102"/>
      </w:r>
    </w:p>
    <w:tbl>
      <w:tblPr>
        <w:tblStyle w:val="af2"/>
        <w:tblW w:w="9047" w:type="dxa"/>
        <w:tblBorders>
          <w:top w:val="single" w:sz="4" w:space="0" w:color="000000"/>
          <w:left w:val="single" w:sz="4" w:space="0" w:color="000000"/>
          <w:bottom w:val="single" w:sz="4" w:space="0" w:color="000000"/>
          <w:right w:val="single" w:sz="4" w:space="0" w:color="000000"/>
          <w:insideH w:val="nil"/>
          <w:insideV w:val="nil"/>
        </w:tblBorders>
        <w:tblLayout w:type="fixed"/>
        <w:tblLook w:val="0400" w:firstRow="0" w:lastRow="0" w:firstColumn="0" w:lastColumn="0" w:noHBand="0" w:noVBand="1"/>
      </w:tblPr>
      <w:tblGrid>
        <w:gridCol w:w="3539"/>
        <w:gridCol w:w="1101"/>
        <w:gridCol w:w="1102"/>
        <w:gridCol w:w="1101"/>
        <w:gridCol w:w="1102"/>
        <w:gridCol w:w="1102"/>
      </w:tblGrid>
      <w:tr w:rsidR="00314B92">
        <w:tc>
          <w:tcPr>
            <w:tcW w:w="3539" w:type="dxa"/>
            <w:tcBorders>
              <w:top w:val="single" w:sz="4" w:space="0" w:color="000000"/>
              <w:bottom w:val="single" w:sz="4" w:space="0" w:color="000000"/>
            </w:tcBorders>
          </w:tcPr>
          <w:p w:rsidR="00314B92" w:rsidRDefault="00AD5F81">
            <w:pPr>
              <w:pStyle w:val="Normal1"/>
              <w:spacing w:line="276" w:lineRule="auto"/>
              <w:jc w:val="both"/>
              <w:rPr>
                <w:b/>
                <w:sz w:val="23"/>
                <w:szCs w:val="23"/>
              </w:rPr>
            </w:pPr>
            <w:r>
              <w:rPr>
                <w:b/>
                <w:sz w:val="23"/>
                <w:szCs w:val="23"/>
              </w:rPr>
              <w:t>Acte</w:t>
            </w:r>
          </w:p>
        </w:tc>
        <w:tc>
          <w:tcPr>
            <w:tcW w:w="1101" w:type="dxa"/>
            <w:tcBorders>
              <w:top w:val="single" w:sz="4" w:space="0" w:color="000000"/>
              <w:bottom w:val="single" w:sz="4" w:space="0" w:color="000000"/>
            </w:tcBorders>
          </w:tcPr>
          <w:p w:rsidR="00314B92" w:rsidRDefault="00AD5F81">
            <w:pPr>
              <w:pStyle w:val="Normal1"/>
              <w:spacing w:line="276" w:lineRule="auto"/>
              <w:jc w:val="both"/>
              <w:rPr>
                <w:b/>
                <w:sz w:val="23"/>
                <w:szCs w:val="23"/>
              </w:rPr>
            </w:pPr>
            <w:r>
              <w:rPr>
                <w:b/>
                <w:sz w:val="23"/>
                <w:szCs w:val="23"/>
              </w:rPr>
              <w:t>2000</w:t>
            </w:r>
          </w:p>
        </w:tc>
        <w:tc>
          <w:tcPr>
            <w:tcW w:w="1102" w:type="dxa"/>
            <w:tcBorders>
              <w:top w:val="single" w:sz="4" w:space="0" w:color="000000"/>
              <w:bottom w:val="single" w:sz="4" w:space="0" w:color="000000"/>
            </w:tcBorders>
          </w:tcPr>
          <w:p w:rsidR="00314B92" w:rsidRDefault="00AD5F81">
            <w:pPr>
              <w:pStyle w:val="Normal1"/>
              <w:spacing w:line="276" w:lineRule="auto"/>
              <w:jc w:val="both"/>
              <w:rPr>
                <w:b/>
                <w:sz w:val="23"/>
                <w:szCs w:val="23"/>
              </w:rPr>
            </w:pPr>
            <w:r>
              <w:rPr>
                <w:b/>
                <w:sz w:val="23"/>
                <w:szCs w:val="23"/>
              </w:rPr>
              <w:t>2001</w:t>
            </w:r>
          </w:p>
        </w:tc>
        <w:tc>
          <w:tcPr>
            <w:tcW w:w="1101" w:type="dxa"/>
            <w:tcBorders>
              <w:top w:val="single" w:sz="4" w:space="0" w:color="000000"/>
              <w:bottom w:val="single" w:sz="4" w:space="0" w:color="000000"/>
            </w:tcBorders>
          </w:tcPr>
          <w:p w:rsidR="00314B92" w:rsidRDefault="00AD5F81">
            <w:pPr>
              <w:pStyle w:val="Normal1"/>
              <w:spacing w:line="276" w:lineRule="auto"/>
              <w:jc w:val="both"/>
              <w:rPr>
                <w:b/>
                <w:sz w:val="23"/>
                <w:szCs w:val="23"/>
              </w:rPr>
            </w:pPr>
            <w:r>
              <w:rPr>
                <w:b/>
                <w:sz w:val="23"/>
                <w:szCs w:val="23"/>
              </w:rPr>
              <w:t>2002</w:t>
            </w:r>
          </w:p>
        </w:tc>
        <w:tc>
          <w:tcPr>
            <w:tcW w:w="1102" w:type="dxa"/>
            <w:tcBorders>
              <w:top w:val="single" w:sz="4" w:space="0" w:color="000000"/>
              <w:bottom w:val="single" w:sz="4" w:space="0" w:color="000000"/>
            </w:tcBorders>
          </w:tcPr>
          <w:p w:rsidR="00314B92" w:rsidRDefault="00AD5F81">
            <w:pPr>
              <w:pStyle w:val="Normal1"/>
              <w:spacing w:line="276" w:lineRule="auto"/>
              <w:jc w:val="both"/>
              <w:rPr>
                <w:b/>
                <w:sz w:val="23"/>
                <w:szCs w:val="23"/>
              </w:rPr>
            </w:pPr>
            <w:r>
              <w:rPr>
                <w:b/>
                <w:sz w:val="23"/>
                <w:szCs w:val="23"/>
              </w:rPr>
              <w:t>2003</w:t>
            </w:r>
          </w:p>
        </w:tc>
        <w:tc>
          <w:tcPr>
            <w:tcW w:w="1102" w:type="dxa"/>
            <w:tcBorders>
              <w:top w:val="single" w:sz="4" w:space="0" w:color="000000"/>
              <w:bottom w:val="single" w:sz="4" w:space="0" w:color="000000"/>
            </w:tcBorders>
          </w:tcPr>
          <w:p w:rsidR="00314B92" w:rsidRDefault="00AD5F81">
            <w:pPr>
              <w:pStyle w:val="Normal1"/>
              <w:spacing w:line="276" w:lineRule="auto"/>
              <w:jc w:val="both"/>
              <w:rPr>
                <w:b/>
                <w:sz w:val="23"/>
                <w:szCs w:val="23"/>
              </w:rPr>
            </w:pPr>
            <w:r>
              <w:rPr>
                <w:b/>
                <w:sz w:val="23"/>
                <w:szCs w:val="23"/>
              </w:rPr>
              <w:t>2004</w:t>
            </w:r>
          </w:p>
        </w:tc>
      </w:tr>
      <w:tr w:rsidR="00314B92">
        <w:tc>
          <w:tcPr>
            <w:tcW w:w="3539" w:type="dxa"/>
            <w:tcBorders>
              <w:top w:val="single" w:sz="4" w:space="0" w:color="000000"/>
            </w:tcBorders>
          </w:tcPr>
          <w:p w:rsidR="00314B92" w:rsidRDefault="00AD5F81">
            <w:pPr>
              <w:pStyle w:val="Normal1"/>
              <w:spacing w:line="276" w:lineRule="auto"/>
              <w:jc w:val="both"/>
              <w:rPr>
                <w:sz w:val="23"/>
                <w:szCs w:val="23"/>
              </w:rPr>
            </w:pPr>
            <w:r>
              <w:rPr>
                <w:sz w:val="23"/>
                <w:szCs w:val="23"/>
              </w:rPr>
              <w:t>Déclaration des mariages</w:t>
            </w:r>
          </w:p>
        </w:tc>
        <w:tc>
          <w:tcPr>
            <w:tcW w:w="1101" w:type="dxa"/>
            <w:tcBorders>
              <w:top w:val="single" w:sz="4" w:space="0" w:color="000000"/>
            </w:tcBorders>
          </w:tcPr>
          <w:p w:rsidR="00314B92" w:rsidRDefault="00AD5F81">
            <w:pPr>
              <w:pStyle w:val="Normal1"/>
              <w:spacing w:line="276" w:lineRule="auto"/>
              <w:jc w:val="both"/>
              <w:rPr>
                <w:sz w:val="23"/>
                <w:szCs w:val="23"/>
              </w:rPr>
            </w:pPr>
            <w:r>
              <w:rPr>
                <w:sz w:val="23"/>
                <w:szCs w:val="23"/>
              </w:rPr>
              <w:t>11173</w:t>
            </w:r>
          </w:p>
        </w:tc>
        <w:tc>
          <w:tcPr>
            <w:tcW w:w="1102" w:type="dxa"/>
            <w:tcBorders>
              <w:top w:val="single" w:sz="4" w:space="0" w:color="000000"/>
            </w:tcBorders>
          </w:tcPr>
          <w:p w:rsidR="00314B92" w:rsidRDefault="00AD5F81">
            <w:pPr>
              <w:pStyle w:val="Normal1"/>
              <w:spacing w:line="276" w:lineRule="auto"/>
              <w:jc w:val="both"/>
              <w:rPr>
                <w:sz w:val="23"/>
                <w:szCs w:val="23"/>
              </w:rPr>
            </w:pPr>
            <w:r>
              <w:rPr>
                <w:sz w:val="23"/>
                <w:szCs w:val="23"/>
              </w:rPr>
              <w:t>5678</w:t>
            </w:r>
          </w:p>
        </w:tc>
        <w:tc>
          <w:tcPr>
            <w:tcW w:w="1101" w:type="dxa"/>
            <w:tcBorders>
              <w:top w:val="single" w:sz="4" w:space="0" w:color="000000"/>
            </w:tcBorders>
          </w:tcPr>
          <w:p w:rsidR="00314B92" w:rsidRDefault="00AD5F81">
            <w:pPr>
              <w:pStyle w:val="Normal1"/>
              <w:spacing w:line="276" w:lineRule="auto"/>
              <w:jc w:val="both"/>
              <w:rPr>
                <w:sz w:val="23"/>
                <w:szCs w:val="23"/>
              </w:rPr>
            </w:pPr>
            <w:r>
              <w:rPr>
                <w:sz w:val="23"/>
                <w:szCs w:val="23"/>
              </w:rPr>
              <w:t>6374</w:t>
            </w:r>
          </w:p>
        </w:tc>
        <w:tc>
          <w:tcPr>
            <w:tcW w:w="1102" w:type="dxa"/>
            <w:tcBorders>
              <w:top w:val="single" w:sz="4" w:space="0" w:color="000000"/>
            </w:tcBorders>
          </w:tcPr>
          <w:p w:rsidR="00314B92" w:rsidRDefault="00AD5F81">
            <w:pPr>
              <w:pStyle w:val="Normal1"/>
              <w:spacing w:line="276" w:lineRule="auto"/>
              <w:jc w:val="both"/>
              <w:rPr>
                <w:sz w:val="23"/>
                <w:szCs w:val="23"/>
              </w:rPr>
            </w:pPr>
            <w:r>
              <w:rPr>
                <w:sz w:val="23"/>
                <w:szCs w:val="23"/>
              </w:rPr>
              <w:t>5702</w:t>
            </w:r>
          </w:p>
        </w:tc>
        <w:tc>
          <w:tcPr>
            <w:tcW w:w="1102" w:type="dxa"/>
            <w:tcBorders>
              <w:top w:val="single" w:sz="4" w:space="0" w:color="000000"/>
            </w:tcBorders>
          </w:tcPr>
          <w:p w:rsidR="00314B92" w:rsidRDefault="00AD5F81">
            <w:pPr>
              <w:pStyle w:val="Normal1"/>
              <w:spacing w:line="276" w:lineRule="auto"/>
              <w:jc w:val="both"/>
              <w:rPr>
                <w:sz w:val="23"/>
                <w:szCs w:val="23"/>
              </w:rPr>
            </w:pPr>
            <w:r>
              <w:rPr>
                <w:sz w:val="23"/>
                <w:szCs w:val="23"/>
              </w:rPr>
              <w:t>10054</w:t>
            </w:r>
          </w:p>
        </w:tc>
      </w:tr>
      <w:tr w:rsidR="00314B92">
        <w:tc>
          <w:tcPr>
            <w:tcW w:w="3539" w:type="dxa"/>
          </w:tcPr>
          <w:p w:rsidR="00314B92" w:rsidRDefault="00AD5F81">
            <w:pPr>
              <w:pStyle w:val="Normal1"/>
              <w:spacing w:line="276" w:lineRule="auto"/>
              <w:jc w:val="both"/>
              <w:rPr>
                <w:sz w:val="23"/>
                <w:szCs w:val="23"/>
              </w:rPr>
            </w:pPr>
            <w:r>
              <w:rPr>
                <w:sz w:val="23"/>
                <w:szCs w:val="23"/>
              </w:rPr>
              <w:t>Déclaration des décès</w:t>
            </w:r>
          </w:p>
        </w:tc>
        <w:tc>
          <w:tcPr>
            <w:tcW w:w="1101" w:type="dxa"/>
          </w:tcPr>
          <w:p w:rsidR="00314B92" w:rsidRDefault="00AD5F81">
            <w:pPr>
              <w:pStyle w:val="Normal1"/>
              <w:spacing w:line="276" w:lineRule="auto"/>
              <w:jc w:val="both"/>
              <w:rPr>
                <w:sz w:val="23"/>
                <w:szCs w:val="23"/>
              </w:rPr>
            </w:pPr>
            <w:r>
              <w:rPr>
                <w:sz w:val="23"/>
                <w:szCs w:val="23"/>
              </w:rPr>
              <w:t>5508</w:t>
            </w:r>
          </w:p>
        </w:tc>
        <w:tc>
          <w:tcPr>
            <w:tcW w:w="1102" w:type="dxa"/>
          </w:tcPr>
          <w:p w:rsidR="00314B92" w:rsidRDefault="00AD5F81">
            <w:pPr>
              <w:pStyle w:val="Normal1"/>
              <w:spacing w:line="276" w:lineRule="auto"/>
              <w:jc w:val="both"/>
              <w:rPr>
                <w:sz w:val="23"/>
                <w:szCs w:val="23"/>
              </w:rPr>
            </w:pPr>
            <w:r>
              <w:rPr>
                <w:sz w:val="23"/>
                <w:szCs w:val="23"/>
              </w:rPr>
              <w:t>2676</w:t>
            </w:r>
          </w:p>
        </w:tc>
        <w:tc>
          <w:tcPr>
            <w:tcW w:w="1101" w:type="dxa"/>
          </w:tcPr>
          <w:p w:rsidR="00314B92" w:rsidRDefault="00AD5F81">
            <w:pPr>
              <w:pStyle w:val="Normal1"/>
              <w:spacing w:line="276" w:lineRule="auto"/>
              <w:jc w:val="both"/>
              <w:rPr>
                <w:sz w:val="23"/>
                <w:szCs w:val="23"/>
              </w:rPr>
            </w:pPr>
            <w:r>
              <w:rPr>
                <w:sz w:val="23"/>
                <w:szCs w:val="23"/>
              </w:rPr>
              <w:t>3463</w:t>
            </w:r>
          </w:p>
        </w:tc>
        <w:tc>
          <w:tcPr>
            <w:tcW w:w="1102" w:type="dxa"/>
          </w:tcPr>
          <w:p w:rsidR="00314B92" w:rsidRDefault="00AD5F81">
            <w:pPr>
              <w:pStyle w:val="Normal1"/>
              <w:spacing w:line="276" w:lineRule="auto"/>
              <w:jc w:val="both"/>
              <w:rPr>
                <w:sz w:val="23"/>
                <w:szCs w:val="23"/>
              </w:rPr>
            </w:pPr>
            <w:r>
              <w:rPr>
                <w:sz w:val="23"/>
                <w:szCs w:val="23"/>
              </w:rPr>
              <w:t>3270</w:t>
            </w:r>
          </w:p>
        </w:tc>
        <w:tc>
          <w:tcPr>
            <w:tcW w:w="1102" w:type="dxa"/>
          </w:tcPr>
          <w:p w:rsidR="00314B92" w:rsidRDefault="00AD5F81">
            <w:pPr>
              <w:pStyle w:val="Normal1"/>
              <w:spacing w:line="276" w:lineRule="auto"/>
              <w:jc w:val="both"/>
              <w:rPr>
                <w:sz w:val="23"/>
                <w:szCs w:val="23"/>
              </w:rPr>
            </w:pPr>
            <w:r>
              <w:rPr>
                <w:sz w:val="23"/>
                <w:szCs w:val="23"/>
              </w:rPr>
              <w:t>3487</w:t>
            </w:r>
          </w:p>
        </w:tc>
      </w:tr>
    </w:tbl>
    <w:p w:rsidR="006D2860" w:rsidRDefault="006D2860">
      <w:pPr>
        <w:pStyle w:val="Normal1"/>
        <w:pBdr>
          <w:top w:val="nil"/>
          <w:left w:val="nil"/>
          <w:bottom w:val="nil"/>
          <w:right w:val="nil"/>
          <w:between w:val="nil"/>
        </w:pBdr>
        <w:spacing w:after="0" w:line="360" w:lineRule="auto"/>
        <w:ind w:hanging="720"/>
        <w:jc w:val="both"/>
        <w:rPr>
          <w:color w:val="000000"/>
        </w:rPr>
      </w:pPr>
    </w:p>
    <w:p w:rsidR="006D2860" w:rsidRDefault="009B5EB2" w:rsidP="005D02C3">
      <w:pPr>
        <w:pStyle w:val="Normal1"/>
        <w:numPr>
          <w:ilvl w:val="2"/>
          <w:numId w:val="120"/>
        </w:numPr>
        <w:pBdr>
          <w:top w:val="nil"/>
          <w:left w:val="nil"/>
          <w:bottom w:val="nil"/>
          <w:right w:val="nil"/>
          <w:between w:val="nil"/>
        </w:pBdr>
        <w:jc w:val="both"/>
        <w:rPr>
          <w:color w:val="000000"/>
          <w:sz w:val="24"/>
          <w:szCs w:val="24"/>
        </w:rPr>
      </w:pPr>
      <w:r w:rsidRPr="009B5EB2">
        <w:rPr>
          <w:color w:val="000000"/>
          <w:sz w:val="24"/>
          <w:szCs w:val="24"/>
        </w:rPr>
        <w:t>SITUATION EN MATIERE DE STATISTIQUES VITALES</w:t>
      </w:r>
    </w:p>
    <w:p w:rsidR="00314B92" w:rsidRDefault="00AD5F81">
      <w:pPr>
        <w:pStyle w:val="Normal1"/>
        <w:spacing w:after="0"/>
        <w:jc w:val="both"/>
        <w:rPr>
          <w:sz w:val="24"/>
          <w:szCs w:val="24"/>
        </w:rPr>
      </w:pPr>
      <w:r>
        <w:rPr>
          <w:sz w:val="24"/>
          <w:szCs w:val="24"/>
        </w:rPr>
        <w:t xml:space="preserve">Les statistiques de vie se définissent comme l’ensemble des renseignements caractérisant les individus et les événements faisant l’objet d’une déclaration à l’état civil. Elles sont établies à partir des informations sur la naissance vivante, le mariage, la mort fœtale, le divorce, l’annulation, le décès, la séparation de corps et de biens, l’adoption, la légitimation et la reconnaissance. </w:t>
      </w:r>
    </w:p>
    <w:p w:rsidR="00314B92" w:rsidRDefault="00AD5F81">
      <w:pPr>
        <w:pStyle w:val="Normal1"/>
        <w:spacing w:after="0"/>
        <w:jc w:val="both"/>
        <w:rPr>
          <w:sz w:val="24"/>
          <w:szCs w:val="24"/>
        </w:rPr>
      </w:pPr>
      <w:r>
        <w:rPr>
          <w:sz w:val="24"/>
          <w:szCs w:val="24"/>
        </w:rPr>
        <w:t xml:space="preserve">Les statistiques de vie sont des éléments essentiels de la planification du développement. </w:t>
      </w:r>
    </w:p>
    <w:p w:rsidR="00314B92" w:rsidRDefault="00AD5F81">
      <w:pPr>
        <w:pStyle w:val="Normal1"/>
        <w:spacing w:after="0"/>
        <w:jc w:val="both"/>
        <w:rPr>
          <w:sz w:val="24"/>
          <w:szCs w:val="24"/>
        </w:rPr>
      </w:pPr>
      <w:r>
        <w:rPr>
          <w:sz w:val="24"/>
          <w:szCs w:val="24"/>
        </w:rPr>
        <w:t>La première et seule expérience de collecte des statistiques de vie au niveau national remonte à l’année 2007. C’est au cours de cette année que la collecte des statistiques de vie concernant les naissances, les décès, les mariages ont véritablement débuté sur l’ensemble du territoire. Cette première collecte, considérée comme une phase pilote, a couvert une période de trois (03) ans (2005 - 2007) et devait se poursuivre par des collectes trimestrielles chaque année.</w:t>
      </w:r>
    </w:p>
    <w:p w:rsidR="00314B92" w:rsidRDefault="00AD5F81">
      <w:pPr>
        <w:pStyle w:val="Normal1"/>
        <w:spacing w:after="0"/>
        <w:jc w:val="both"/>
        <w:rPr>
          <w:sz w:val="24"/>
          <w:szCs w:val="24"/>
        </w:rPr>
      </w:pPr>
      <w:r>
        <w:rPr>
          <w:sz w:val="24"/>
          <w:szCs w:val="24"/>
        </w:rPr>
        <w:t xml:space="preserve"> </w:t>
      </w:r>
    </w:p>
    <w:p w:rsidR="00314B92" w:rsidRDefault="00AD5F81" w:rsidP="005D02C3">
      <w:pPr>
        <w:pStyle w:val="Normal1"/>
        <w:numPr>
          <w:ilvl w:val="2"/>
          <w:numId w:val="120"/>
        </w:numPr>
        <w:pBdr>
          <w:top w:val="nil"/>
          <w:left w:val="nil"/>
          <w:bottom w:val="nil"/>
          <w:right w:val="nil"/>
          <w:between w:val="nil"/>
        </w:pBdr>
        <w:spacing w:after="0"/>
        <w:jc w:val="both"/>
        <w:rPr>
          <w:b/>
          <w:color w:val="000000"/>
          <w:sz w:val="24"/>
          <w:szCs w:val="24"/>
        </w:rPr>
      </w:pPr>
      <w:r>
        <w:rPr>
          <w:color w:val="000000"/>
          <w:sz w:val="24"/>
          <w:szCs w:val="24"/>
        </w:rPr>
        <w:t>LES GOULOTS D’ETRANGLEMENT</w:t>
      </w:r>
    </w:p>
    <w:p w:rsidR="006D2860" w:rsidRDefault="00AD5F81" w:rsidP="005D02C3">
      <w:pPr>
        <w:pStyle w:val="Normal1"/>
        <w:numPr>
          <w:ilvl w:val="0"/>
          <w:numId w:val="81"/>
        </w:numPr>
        <w:pBdr>
          <w:top w:val="nil"/>
          <w:left w:val="nil"/>
          <w:bottom w:val="nil"/>
          <w:right w:val="nil"/>
          <w:between w:val="nil"/>
        </w:pBdr>
        <w:spacing w:before="120" w:after="0"/>
        <w:ind w:left="357" w:hanging="357"/>
        <w:jc w:val="both"/>
        <w:rPr>
          <w:color w:val="000000"/>
        </w:rPr>
      </w:pPr>
      <w:r>
        <w:rPr>
          <w:i/>
          <w:color w:val="000000"/>
          <w:sz w:val="24"/>
          <w:szCs w:val="24"/>
        </w:rPr>
        <w:t>L’information insuffisante de la population</w:t>
      </w:r>
      <w:r>
        <w:rPr>
          <w:color w:val="000000"/>
          <w:sz w:val="24"/>
          <w:szCs w:val="24"/>
        </w:rPr>
        <w:t xml:space="preserve"> sur l’importance de l’enregistrement des naissances, des avantages qu’il confère aux enfants et aux citoyens de manière générale et des conséquences que le non-enregistrement des naissances peut engendrer.</w:t>
      </w:r>
    </w:p>
    <w:p w:rsidR="006D2860" w:rsidRDefault="00AD5F81" w:rsidP="005D02C3">
      <w:pPr>
        <w:pStyle w:val="Normal1"/>
        <w:numPr>
          <w:ilvl w:val="0"/>
          <w:numId w:val="81"/>
        </w:numPr>
        <w:pBdr>
          <w:top w:val="nil"/>
          <w:left w:val="nil"/>
          <w:bottom w:val="nil"/>
          <w:right w:val="nil"/>
          <w:between w:val="nil"/>
        </w:pBdr>
        <w:spacing w:before="120" w:after="0"/>
        <w:ind w:left="357" w:hanging="357"/>
        <w:jc w:val="both"/>
        <w:rPr>
          <w:color w:val="000000"/>
        </w:rPr>
      </w:pPr>
      <w:r>
        <w:rPr>
          <w:i/>
          <w:color w:val="000000"/>
          <w:sz w:val="24"/>
          <w:szCs w:val="24"/>
        </w:rPr>
        <w:t>La faible disponibilité des services d’état civil</w:t>
      </w:r>
      <w:r>
        <w:rPr>
          <w:color w:val="000000"/>
          <w:sz w:val="24"/>
          <w:szCs w:val="24"/>
        </w:rPr>
        <w:t xml:space="preserve"> avec un rayon moyen d’action théorique qui va de 7,5 Km (Région du Centre) à 22 km 5Région de l’Est).</w:t>
      </w:r>
    </w:p>
    <w:p w:rsidR="006D2860" w:rsidRDefault="00AD5F81" w:rsidP="005D02C3">
      <w:pPr>
        <w:pStyle w:val="Normal1"/>
        <w:numPr>
          <w:ilvl w:val="0"/>
          <w:numId w:val="81"/>
        </w:numPr>
        <w:pBdr>
          <w:top w:val="nil"/>
          <w:left w:val="nil"/>
          <w:bottom w:val="nil"/>
          <w:right w:val="nil"/>
          <w:between w:val="nil"/>
        </w:pBdr>
        <w:spacing w:before="120" w:after="0"/>
        <w:ind w:left="357" w:hanging="357"/>
        <w:jc w:val="both"/>
        <w:rPr>
          <w:color w:val="000000"/>
        </w:rPr>
      </w:pPr>
      <w:r>
        <w:rPr>
          <w:i/>
          <w:color w:val="000000"/>
          <w:sz w:val="24"/>
          <w:szCs w:val="24"/>
        </w:rPr>
        <w:t xml:space="preserve">L’insuffisance de personnels formés comme agent de l’état civil. </w:t>
      </w:r>
    </w:p>
    <w:p w:rsidR="006D2860" w:rsidRDefault="00AD5F81" w:rsidP="005D02C3">
      <w:pPr>
        <w:pStyle w:val="Normal1"/>
        <w:numPr>
          <w:ilvl w:val="0"/>
          <w:numId w:val="81"/>
        </w:numPr>
        <w:pBdr>
          <w:top w:val="nil"/>
          <w:left w:val="nil"/>
          <w:bottom w:val="nil"/>
          <w:right w:val="nil"/>
          <w:between w:val="nil"/>
        </w:pBdr>
        <w:spacing w:before="120" w:after="0"/>
        <w:ind w:left="357" w:hanging="357"/>
        <w:jc w:val="both"/>
        <w:rPr>
          <w:color w:val="000000"/>
        </w:rPr>
      </w:pPr>
      <w:r>
        <w:rPr>
          <w:i/>
          <w:color w:val="000000"/>
          <w:sz w:val="24"/>
          <w:szCs w:val="24"/>
        </w:rPr>
        <w:t xml:space="preserve">La faible exploitation des technologies modernes (TIC) </w:t>
      </w:r>
    </w:p>
    <w:p w:rsidR="006D2860" w:rsidRDefault="00AD5F81" w:rsidP="005D02C3">
      <w:pPr>
        <w:pStyle w:val="Normal1"/>
        <w:numPr>
          <w:ilvl w:val="0"/>
          <w:numId w:val="81"/>
        </w:numPr>
        <w:pBdr>
          <w:top w:val="nil"/>
          <w:left w:val="nil"/>
          <w:bottom w:val="nil"/>
          <w:right w:val="nil"/>
          <w:between w:val="nil"/>
        </w:pBdr>
        <w:spacing w:before="120" w:after="0"/>
        <w:ind w:left="357" w:hanging="357"/>
        <w:jc w:val="both"/>
        <w:rPr>
          <w:color w:val="000000"/>
        </w:rPr>
      </w:pPr>
      <w:r>
        <w:rPr>
          <w:i/>
          <w:color w:val="000000"/>
          <w:sz w:val="24"/>
          <w:szCs w:val="24"/>
        </w:rPr>
        <w:t xml:space="preserve">Le mauvais archivage des registres </w:t>
      </w:r>
    </w:p>
    <w:p w:rsidR="006D2860" w:rsidRDefault="00AD5F81" w:rsidP="005D02C3">
      <w:pPr>
        <w:pStyle w:val="Normal1"/>
        <w:numPr>
          <w:ilvl w:val="0"/>
          <w:numId w:val="81"/>
        </w:numPr>
        <w:pBdr>
          <w:top w:val="nil"/>
          <w:left w:val="nil"/>
          <w:bottom w:val="nil"/>
          <w:right w:val="nil"/>
          <w:between w:val="nil"/>
        </w:pBdr>
        <w:spacing w:before="120" w:after="0"/>
        <w:ind w:left="357" w:hanging="357"/>
        <w:jc w:val="both"/>
        <w:rPr>
          <w:color w:val="000000"/>
        </w:rPr>
      </w:pPr>
      <w:r>
        <w:rPr>
          <w:i/>
          <w:color w:val="000000"/>
          <w:sz w:val="24"/>
          <w:szCs w:val="24"/>
        </w:rPr>
        <w:t xml:space="preserve">L’analphabétisme et le manque d’informations sur les droits de l’enfant et de la femme </w:t>
      </w:r>
    </w:p>
    <w:p w:rsidR="006D2860" w:rsidRDefault="00AD5F81" w:rsidP="005D02C3">
      <w:pPr>
        <w:pStyle w:val="Normal1"/>
        <w:numPr>
          <w:ilvl w:val="0"/>
          <w:numId w:val="81"/>
        </w:numPr>
        <w:pBdr>
          <w:top w:val="nil"/>
          <w:left w:val="nil"/>
          <w:bottom w:val="nil"/>
          <w:right w:val="nil"/>
          <w:between w:val="nil"/>
        </w:pBdr>
        <w:spacing w:before="120" w:after="0"/>
        <w:ind w:left="357" w:hanging="357"/>
        <w:jc w:val="both"/>
        <w:rPr>
          <w:color w:val="000000"/>
        </w:rPr>
      </w:pPr>
      <w:r>
        <w:rPr>
          <w:i/>
          <w:color w:val="000000"/>
          <w:sz w:val="24"/>
          <w:szCs w:val="24"/>
        </w:rPr>
        <w:t xml:space="preserve">La faiblesse des mécanismes de suivi-évaluation et de coordination des différents ministères impliqués. </w:t>
      </w:r>
    </w:p>
    <w:p w:rsidR="00314B92" w:rsidRDefault="00314B92">
      <w:pPr>
        <w:pStyle w:val="Normal1"/>
        <w:spacing w:after="0" w:line="360" w:lineRule="auto"/>
        <w:jc w:val="both"/>
        <w:rPr>
          <w:b/>
          <w:sz w:val="24"/>
          <w:szCs w:val="24"/>
        </w:rPr>
      </w:pPr>
    </w:p>
    <w:p w:rsidR="00314B92" w:rsidRDefault="00AD5F81">
      <w:pPr>
        <w:pStyle w:val="Normal1"/>
        <w:rPr>
          <w:sz w:val="23"/>
          <w:szCs w:val="23"/>
        </w:rPr>
      </w:pPr>
      <w:r>
        <w:br w:type="page"/>
      </w:r>
    </w:p>
    <w:p w:rsidR="00314B92" w:rsidRDefault="009B5EB2" w:rsidP="005D02C3">
      <w:pPr>
        <w:pStyle w:val="Normal1"/>
        <w:numPr>
          <w:ilvl w:val="0"/>
          <w:numId w:val="120"/>
        </w:numPr>
        <w:pBdr>
          <w:top w:val="nil"/>
          <w:left w:val="nil"/>
          <w:bottom w:val="nil"/>
          <w:right w:val="nil"/>
          <w:between w:val="nil"/>
        </w:pBdr>
        <w:spacing w:after="0"/>
        <w:ind w:left="426" w:hanging="426"/>
        <w:jc w:val="both"/>
        <w:rPr>
          <w:b/>
          <w:color w:val="000000"/>
          <w:sz w:val="32"/>
          <w:szCs w:val="32"/>
        </w:rPr>
      </w:pPr>
      <w:r w:rsidRPr="009B5EB2">
        <w:rPr>
          <w:b/>
          <w:color w:val="000000"/>
          <w:sz w:val="28"/>
          <w:szCs w:val="28"/>
        </w:rPr>
        <w:t>ANALYSE DES GOULOTS D’ETRANGLEMENT A LA MISE EN OEUVRE EFFECTIVE DES SERVICES DE LA SRMNEA</w:t>
      </w:r>
      <w:r w:rsidR="00FD6406">
        <w:rPr>
          <w:b/>
          <w:color w:val="000000"/>
          <w:sz w:val="28"/>
          <w:szCs w:val="28"/>
        </w:rPr>
        <w:t>N</w:t>
      </w:r>
      <w:r w:rsidRPr="009B5EB2">
        <w:rPr>
          <w:b/>
          <w:color w:val="000000"/>
          <w:sz w:val="28"/>
          <w:szCs w:val="28"/>
        </w:rPr>
        <w:t xml:space="preserve"> ET DE L’ECSV </w:t>
      </w:r>
    </w:p>
    <w:p w:rsidR="006D2860" w:rsidRDefault="006D2860">
      <w:pPr>
        <w:pStyle w:val="Normal1"/>
        <w:pBdr>
          <w:top w:val="nil"/>
          <w:left w:val="nil"/>
          <w:bottom w:val="nil"/>
          <w:right w:val="nil"/>
          <w:between w:val="nil"/>
        </w:pBdr>
        <w:spacing w:after="0"/>
        <w:ind w:hanging="720"/>
        <w:jc w:val="both"/>
        <w:rPr>
          <w:color w:val="000000"/>
        </w:rPr>
      </w:pPr>
    </w:p>
    <w:p w:rsidR="00314B92" w:rsidRDefault="00AD5F81" w:rsidP="005D02C3">
      <w:pPr>
        <w:pStyle w:val="Normal1"/>
        <w:numPr>
          <w:ilvl w:val="1"/>
          <w:numId w:val="120"/>
        </w:numPr>
        <w:pBdr>
          <w:top w:val="nil"/>
          <w:left w:val="nil"/>
          <w:bottom w:val="nil"/>
          <w:right w:val="nil"/>
          <w:between w:val="nil"/>
        </w:pBdr>
        <w:ind w:hanging="720"/>
        <w:jc w:val="both"/>
        <w:rPr>
          <w:color w:val="000000"/>
          <w:sz w:val="24"/>
          <w:szCs w:val="24"/>
        </w:rPr>
      </w:pPr>
      <w:r>
        <w:rPr>
          <w:color w:val="000000"/>
          <w:sz w:val="24"/>
          <w:szCs w:val="24"/>
        </w:rPr>
        <w:t>METHODOLOGIE</w:t>
      </w:r>
    </w:p>
    <w:p w:rsidR="00314B92" w:rsidRDefault="00AD5F81">
      <w:pPr>
        <w:pStyle w:val="Normal1"/>
        <w:spacing w:after="0"/>
        <w:jc w:val="both"/>
        <w:rPr>
          <w:sz w:val="24"/>
          <w:szCs w:val="24"/>
        </w:rPr>
      </w:pPr>
      <w:r>
        <w:rPr>
          <w:sz w:val="24"/>
          <w:szCs w:val="24"/>
        </w:rPr>
        <w:t xml:space="preserve">Cette analyse a été réalisée à l’aide de l’outil EQUIST qui permet de faire une analyse selon l’équité pour aboutir à des stratégies et à un impact coût-efficacité. </w:t>
      </w:r>
    </w:p>
    <w:p w:rsidR="00314B92" w:rsidRDefault="00AD5F81">
      <w:pPr>
        <w:pStyle w:val="Normal1"/>
        <w:jc w:val="both"/>
        <w:rPr>
          <w:sz w:val="24"/>
          <w:szCs w:val="24"/>
        </w:rPr>
      </w:pPr>
      <w:r>
        <w:rPr>
          <w:sz w:val="24"/>
          <w:szCs w:val="24"/>
        </w:rPr>
        <w:t>Cette analyse s’est faite selon les trois modes de prestations à savoir les pratiques familiales essentielles, les soins préventifs et les soins curatifs. Pour chacune des interventions composant le paquet, les sept déterminants de couverture ont été passés en revue en plus des conditions relatives à l’environnement de leur mise en œuvre. L’outil indique en rouge, le goulot qui entrave en particulier l’atteinte des résultats de couverture bien qu’il en existe d’autre.</w:t>
      </w:r>
    </w:p>
    <w:p w:rsidR="00314B92" w:rsidRDefault="00AD5F81" w:rsidP="005D02C3">
      <w:pPr>
        <w:pStyle w:val="Normal1"/>
        <w:numPr>
          <w:ilvl w:val="1"/>
          <w:numId w:val="120"/>
        </w:numPr>
        <w:pBdr>
          <w:top w:val="nil"/>
          <w:left w:val="nil"/>
          <w:bottom w:val="nil"/>
          <w:right w:val="nil"/>
          <w:between w:val="nil"/>
        </w:pBdr>
        <w:ind w:hanging="720"/>
        <w:jc w:val="both"/>
        <w:rPr>
          <w:color w:val="000000"/>
          <w:sz w:val="24"/>
          <w:szCs w:val="24"/>
        </w:rPr>
      </w:pPr>
      <w:r>
        <w:rPr>
          <w:color w:val="000000"/>
          <w:sz w:val="24"/>
          <w:szCs w:val="24"/>
        </w:rPr>
        <w:t>GOULOTS D’ETRANGLEMENT ET LEURS CAUSES POUR L’OFFRE DES PRATIQUES FAMILIALES</w:t>
      </w:r>
    </w:p>
    <w:p w:rsidR="00314B92" w:rsidRDefault="00AD5F81">
      <w:pPr>
        <w:pStyle w:val="Normal1"/>
        <w:spacing w:after="0"/>
        <w:rPr>
          <w:sz w:val="24"/>
          <w:szCs w:val="24"/>
        </w:rPr>
      </w:pPr>
      <w:r>
        <w:rPr>
          <w:sz w:val="24"/>
          <w:szCs w:val="24"/>
        </w:rPr>
        <w:t>L’offre analysée comprend WASH/Eau, Assainissement, Moustiquaire imprégnée d’insecticide, VIH-SIDA, Alimentation de la femme enceinte et allaitante, du nourrisson et de l’enfant.</w:t>
      </w:r>
    </w:p>
    <w:p w:rsidR="00314B92" w:rsidRDefault="00AD5F81">
      <w:pPr>
        <w:pStyle w:val="Normal1"/>
        <w:spacing w:after="0"/>
        <w:jc w:val="both"/>
        <w:rPr>
          <w:sz w:val="24"/>
          <w:szCs w:val="24"/>
        </w:rPr>
      </w:pPr>
      <w:r>
        <w:rPr>
          <w:sz w:val="24"/>
          <w:szCs w:val="24"/>
        </w:rPr>
        <w:t xml:space="preserve">Dans l’ensemble, on constate que la continuité et la qualité sont les principaux goulots dans la mise en œuvre des interventions communautaires. A leur suite viennent la faible disponibilité des ressources humaines, puis l’acceptabilité </w:t>
      </w:r>
      <w:r w:rsidR="00FD6406">
        <w:rPr>
          <w:sz w:val="24"/>
          <w:szCs w:val="24"/>
        </w:rPr>
        <w:t>socioculturelle</w:t>
      </w:r>
      <w:r>
        <w:rPr>
          <w:sz w:val="24"/>
          <w:szCs w:val="24"/>
        </w:rPr>
        <w:t>.</w:t>
      </w:r>
    </w:p>
    <w:p w:rsidR="00314B92" w:rsidRDefault="00314B92">
      <w:pPr>
        <w:pStyle w:val="Normal1"/>
        <w:spacing w:after="0"/>
        <w:jc w:val="both"/>
        <w:rPr>
          <w:sz w:val="24"/>
          <w:szCs w:val="24"/>
        </w:rPr>
      </w:pPr>
    </w:p>
    <w:p w:rsidR="00314B92" w:rsidRDefault="00AD5F81">
      <w:pPr>
        <w:pStyle w:val="Normal1"/>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color w:val="000000"/>
          <w:sz w:val="24"/>
          <w:szCs w:val="24"/>
        </w:rPr>
      </w:pPr>
      <w:r>
        <w:rPr>
          <w:color w:val="000000"/>
          <w:sz w:val="24"/>
          <w:szCs w:val="24"/>
        </w:rPr>
        <w:t xml:space="preserve">Certains facteurs expliquent la faible continuité dans les pratiques. En effet, l’insuffisance de communication et de campagnes pour le changement de comportement des ménages a pour conséquence la faible recherche rapide des soins et du suivi. Les barrières </w:t>
      </w:r>
      <w:r w:rsidR="00FD6406">
        <w:rPr>
          <w:color w:val="000000"/>
          <w:sz w:val="24"/>
          <w:szCs w:val="24"/>
        </w:rPr>
        <w:t>socioculturelles</w:t>
      </w:r>
      <w:r>
        <w:rPr>
          <w:color w:val="000000"/>
          <w:sz w:val="24"/>
          <w:szCs w:val="24"/>
        </w:rPr>
        <w:t xml:space="preserve"> (non implication des hommes, rôle des belles-mères dans la prise de décision), l’inégale répartition des structures de santé et les difficultés de transport influencent également négativement cette recherche des soins. Beaucoup d’occasions manquées (vaccination, consultations post-natales) comme porte d’entrée aux mères pour recevoir les informations en vue de la mise en œuvre des bonnes pratiques d’alimentation et de soins aux nouveau-nés sont liées à la faible intégration des services de soins.  </w:t>
      </w:r>
    </w:p>
    <w:p w:rsidR="00314B92" w:rsidRDefault="00AD5F81">
      <w:pPr>
        <w:pStyle w:val="Normal1"/>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color w:val="000000"/>
          <w:sz w:val="24"/>
          <w:szCs w:val="24"/>
        </w:rPr>
      </w:pPr>
      <w:r>
        <w:rPr>
          <w:color w:val="000000"/>
          <w:sz w:val="24"/>
          <w:szCs w:val="24"/>
        </w:rPr>
        <w:t xml:space="preserve">La qualité des soins au niveau communautaire souffre de la faible compétence des agents de santé communautaires, du manque de supervision formative et de motivation. L’intégration limitée des soins est également un obstacle à la qualité car il existe beaucoup d’occasions manquées. </w:t>
      </w:r>
    </w:p>
    <w:p w:rsidR="00314B92" w:rsidRDefault="00314B92">
      <w:pPr>
        <w:pStyle w:val="Normal1"/>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color w:val="000000"/>
        </w:rPr>
      </w:pPr>
    </w:p>
    <w:p w:rsidR="00314B92" w:rsidRDefault="00AD5F81">
      <w:pPr>
        <w:pStyle w:val="Normal1"/>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Courier New" w:eastAsia="Courier New" w:hAnsi="Courier New" w:cs="Courier New"/>
          <w:color w:val="000000"/>
          <w:sz w:val="20"/>
          <w:szCs w:val="20"/>
        </w:rPr>
      </w:pPr>
      <w:r>
        <w:rPr>
          <w:color w:val="000000"/>
        </w:rPr>
        <w:t>s</w:t>
      </w:r>
      <w:r>
        <w:rPr>
          <w:rFonts w:ascii="Courier New" w:eastAsia="Courier New" w:hAnsi="Courier New" w:cs="Courier New"/>
          <w:noProof/>
          <w:color w:val="000000"/>
          <w:sz w:val="20"/>
          <w:szCs w:val="20"/>
        </w:rPr>
        <w:drawing>
          <wp:inline distT="0" distB="0" distL="0" distR="0">
            <wp:extent cx="5797725" cy="2943981"/>
            <wp:effectExtent l="0" t="0" r="0" b="0"/>
            <wp:docPr id="45"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37" cstate="print"/>
                    <a:srcRect/>
                    <a:stretch>
                      <a:fillRect/>
                    </a:stretch>
                  </pic:blipFill>
                  <pic:spPr>
                    <a:xfrm>
                      <a:off x="0" y="0"/>
                      <a:ext cx="5797725" cy="2943981"/>
                    </a:xfrm>
                    <a:prstGeom prst="rect">
                      <a:avLst/>
                    </a:prstGeom>
                    <a:ln/>
                  </pic:spPr>
                </pic:pic>
              </a:graphicData>
            </a:graphic>
          </wp:inline>
        </w:drawing>
      </w:r>
    </w:p>
    <w:p w:rsidR="00314B92" w:rsidRDefault="00AD5F81">
      <w:pPr>
        <w:pStyle w:val="Normal1"/>
        <w:rPr>
          <w:b/>
          <w:sz w:val="20"/>
          <w:szCs w:val="20"/>
        </w:rPr>
      </w:pPr>
      <w:r>
        <w:rPr>
          <w:b/>
          <w:sz w:val="20"/>
          <w:szCs w:val="20"/>
        </w:rPr>
        <w:t xml:space="preserve">Figure 24 : Répartition des goulots selon les indicateurs de couverture du paquet communautaire. </w:t>
      </w:r>
      <w:r>
        <w:rPr>
          <w:sz w:val="16"/>
          <w:szCs w:val="16"/>
        </w:rPr>
        <w:t>Source Equist</w:t>
      </w:r>
    </w:p>
    <w:p w:rsidR="00314B92" w:rsidRDefault="00AD5F81" w:rsidP="005D02C3">
      <w:pPr>
        <w:pStyle w:val="Normal1"/>
        <w:numPr>
          <w:ilvl w:val="1"/>
          <w:numId w:val="120"/>
        </w:numPr>
        <w:pBdr>
          <w:top w:val="nil"/>
          <w:left w:val="nil"/>
          <w:bottom w:val="nil"/>
          <w:right w:val="nil"/>
          <w:between w:val="nil"/>
        </w:pBdr>
        <w:spacing w:after="0"/>
        <w:ind w:hanging="720"/>
        <w:jc w:val="both"/>
        <w:rPr>
          <w:color w:val="000000"/>
          <w:sz w:val="24"/>
          <w:szCs w:val="24"/>
        </w:rPr>
      </w:pPr>
      <w:r>
        <w:rPr>
          <w:color w:val="000000"/>
          <w:sz w:val="24"/>
          <w:szCs w:val="24"/>
        </w:rPr>
        <w:t>GOULOTS D’ETRANGLEMENT ET LEURS CAUSES POUR LE PAQUET DE SERVICES</w:t>
      </w:r>
    </w:p>
    <w:p w:rsidR="00314B92" w:rsidRDefault="00AD5F81">
      <w:pPr>
        <w:pStyle w:val="Normal1"/>
        <w:pBdr>
          <w:top w:val="nil"/>
          <w:left w:val="nil"/>
          <w:bottom w:val="nil"/>
          <w:right w:val="nil"/>
          <w:between w:val="nil"/>
        </w:pBdr>
        <w:ind w:left="720" w:hanging="720"/>
        <w:jc w:val="both"/>
        <w:rPr>
          <w:color w:val="000000"/>
          <w:sz w:val="24"/>
          <w:szCs w:val="24"/>
        </w:rPr>
      </w:pPr>
      <w:r>
        <w:rPr>
          <w:color w:val="000000"/>
          <w:sz w:val="24"/>
          <w:szCs w:val="24"/>
        </w:rPr>
        <w:t xml:space="preserve">             PREVENTIFS</w:t>
      </w:r>
    </w:p>
    <w:p w:rsidR="00314B92" w:rsidRDefault="00AD5F81">
      <w:pPr>
        <w:pStyle w:val="Normal1"/>
        <w:spacing w:after="0"/>
        <w:rPr>
          <w:sz w:val="24"/>
          <w:szCs w:val="24"/>
        </w:rPr>
      </w:pPr>
      <w:r>
        <w:rPr>
          <w:sz w:val="24"/>
          <w:szCs w:val="24"/>
        </w:rPr>
        <w:t>Le paquet analysé comprend la planification familiale, les soins prénatals et la vaccination de l’enfant.</w:t>
      </w:r>
    </w:p>
    <w:p w:rsidR="00314B92" w:rsidRDefault="00AD5F81">
      <w:pPr>
        <w:pStyle w:val="Normal1"/>
        <w:jc w:val="both"/>
        <w:rPr>
          <w:sz w:val="24"/>
          <w:szCs w:val="24"/>
        </w:rPr>
      </w:pPr>
      <w:r>
        <w:rPr>
          <w:sz w:val="24"/>
          <w:szCs w:val="24"/>
        </w:rPr>
        <w:t xml:space="preserve">La Faible acceptabilité </w:t>
      </w:r>
      <w:r w:rsidR="00FD6406">
        <w:rPr>
          <w:sz w:val="24"/>
          <w:szCs w:val="24"/>
        </w:rPr>
        <w:t>socioculturelle</w:t>
      </w:r>
      <w:r>
        <w:rPr>
          <w:sz w:val="24"/>
          <w:szCs w:val="24"/>
        </w:rPr>
        <w:t xml:space="preserve"> constitue un des goulots qui se retrouve au niveau de toutes les interventions du paquet de soins préventifs. Elle est liée à la faible capacité de la femme à prendre des décisions toute seule et au manque d’information sur la disponibilité et l’utilité des soins prénatals. </w:t>
      </w:r>
    </w:p>
    <w:p w:rsidR="00314B92" w:rsidRDefault="00AD5F81">
      <w:pPr>
        <w:pStyle w:val="Normal1"/>
        <w:pBdr>
          <w:top w:val="nil"/>
          <w:left w:val="nil"/>
          <w:bottom w:val="nil"/>
          <w:right w:val="nil"/>
          <w:between w:val="nil"/>
        </w:pBdr>
        <w:jc w:val="both"/>
        <w:rPr>
          <w:color w:val="000000"/>
          <w:sz w:val="24"/>
          <w:szCs w:val="24"/>
        </w:rPr>
      </w:pPr>
      <w:r>
        <w:rPr>
          <w:color w:val="000000"/>
          <w:sz w:val="24"/>
          <w:szCs w:val="24"/>
        </w:rPr>
        <w:t>La faible accessibilité aux ressources humaines formées en soins préventifs tels que la Consultation prénatale (46%), la prise en charge du diabète de la femme enceinte s’explique par l'insuffisance de délégation des taches, l'insuffisance de recrutement, l'inégale répartition des Ressources Humaines, la mobilité du personnel et l’insuffisance de formation.</w:t>
      </w:r>
    </w:p>
    <w:p w:rsidR="00314B92" w:rsidRDefault="00AD5F81">
      <w:pPr>
        <w:pStyle w:val="Normal1"/>
        <w:pBdr>
          <w:top w:val="nil"/>
          <w:left w:val="nil"/>
          <w:bottom w:val="nil"/>
          <w:right w:val="nil"/>
          <w:between w:val="nil"/>
        </w:pBdr>
        <w:jc w:val="both"/>
        <w:rPr>
          <w:color w:val="000000"/>
          <w:sz w:val="24"/>
          <w:szCs w:val="24"/>
        </w:rPr>
      </w:pPr>
      <w:r>
        <w:rPr>
          <w:color w:val="000000"/>
          <w:sz w:val="24"/>
          <w:szCs w:val="24"/>
        </w:rPr>
        <w:t>Pour ce qui concerne l’insuffisance de la qualité des prestations de la planification familiale, les causes qui expliquent cette situation sont : l’insuffisance de respect des normes et protocoles, de la sécurité du patient, de la gestion des déchets biomédicaux et des conditions de conservation et de stockage des produits.</w:t>
      </w:r>
    </w:p>
    <w:p w:rsidR="00314B92" w:rsidRDefault="00AD5F81">
      <w:pPr>
        <w:pStyle w:val="Normal1"/>
        <w:pBdr>
          <w:top w:val="nil"/>
          <w:left w:val="nil"/>
          <w:bottom w:val="nil"/>
          <w:right w:val="nil"/>
          <w:between w:val="nil"/>
        </w:pBdr>
        <w:jc w:val="both"/>
        <w:rPr>
          <w:color w:val="000000"/>
          <w:sz w:val="24"/>
          <w:szCs w:val="24"/>
        </w:rPr>
      </w:pPr>
      <w:r>
        <w:rPr>
          <w:color w:val="000000"/>
          <w:sz w:val="24"/>
          <w:szCs w:val="24"/>
        </w:rPr>
        <w:t>Dans le contexte de gratuité des soins, les paiements directs et indirects persistent entrainant une faible accessibilité financière aux soins pendant la grossesse.</w:t>
      </w:r>
    </w:p>
    <w:p w:rsidR="00314B92" w:rsidRDefault="00AD5F81">
      <w:pPr>
        <w:pStyle w:val="Normal1"/>
        <w:tabs>
          <w:tab w:val="left" w:pos="3030"/>
        </w:tabs>
        <w:spacing w:after="0" w:line="240" w:lineRule="auto"/>
      </w:pPr>
      <w:r>
        <w:rPr>
          <w:noProof/>
        </w:rPr>
        <w:drawing>
          <wp:inline distT="0" distB="0" distL="0" distR="0">
            <wp:extent cx="5760720" cy="3757930"/>
            <wp:effectExtent l="0" t="0" r="0" b="0"/>
            <wp:docPr id="46"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38" cstate="print"/>
                    <a:srcRect/>
                    <a:stretch>
                      <a:fillRect/>
                    </a:stretch>
                  </pic:blipFill>
                  <pic:spPr>
                    <a:xfrm>
                      <a:off x="0" y="0"/>
                      <a:ext cx="5760720" cy="3757930"/>
                    </a:xfrm>
                    <a:prstGeom prst="rect">
                      <a:avLst/>
                    </a:prstGeom>
                    <a:ln/>
                  </pic:spPr>
                </pic:pic>
              </a:graphicData>
            </a:graphic>
          </wp:inline>
        </w:drawing>
      </w:r>
    </w:p>
    <w:p w:rsidR="00314B92" w:rsidRPr="00314B92" w:rsidRDefault="009B5EB2">
      <w:pPr>
        <w:pStyle w:val="Normal1"/>
        <w:ind w:left="993" w:hanging="993"/>
        <w:jc w:val="both"/>
      </w:pPr>
      <w:r w:rsidRPr="009B5EB2">
        <w:rPr>
          <w:b/>
        </w:rPr>
        <w:t>Figure 25 : Répartition des goulots selon les indicateurs de couverture du paquet soins préventifs-</w:t>
      </w:r>
      <w:r w:rsidRPr="009B5EB2">
        <w:t>Source Equist</w:t>
      </w:r>
    </w:p>
    <w:p w:rsidR="006D2860" w:rsidRDefault="00AD5F81" w:rsidP="005D02C3">
      <w:pPr>
        <w:pStyle w:val="Normal1"/>
        <w:numPr>
          <w:ilvl w:val="1"/>
          <w:numId w:val="120"/>
        </w:numPr>
        <w:pBdr>
          <w:top w:val="nil"/>
          <w:left w:val="nil"/>
          <w:bottom w:val="nil"/>
          <w:right w:val="nil"/>
          <w:between w:val="nil"/>
        </w:pBdr>
        <w:ind w:hanging="720"/>
        <w:jc w:val="both"/>
      </w:pPr>
      <w:r>
        <w:rPr>
          <w:color w:val="000000"/>
          <w:sz w:val="24"/>
          <w:szCs w:val="24"/>
        </w:rPr>
        <w:t>ANALYSE D</w:t>
      </w:r>
      <w:r w:rsidR="00B51557">
        <w:rPr>
          <w:color w:val="000000"/>
          <w:sz w:val="24"/>
          <w:szCs w:val="24"/>
        </w:rPr>
        <w:t xml:space="preserve">ES GOULOTS D’ETRANGLEMENT ET </w:t>
      </w:r>
      <w:r>
        <w:rPr>
          <w:color w:val="000000"/>
          <w:sz w:val="24"/>
          <w:szCs w:val="24"/>
        </w:rPr>
        <w:t>LEURS CAUSES POUR LE PAQUET DE SERVICES CURATIFS</w:t>
      </w:r>
    </w:p>
    <w:p w:rsidR="00314B92" w:rsidRDefault="00AD5F81">
      <w:pPr>
        <w:pStyle w:val="Normal1"/>
        <w:spacing w:after="0"/>
        <w:rPr>
          <w:b/>
          <w:sz w:val="24"/>
          <w:szCs w:val="24"/>
        </w:rPr>
      </w:pPr>
      <w:r>
        <w:rPr>
          <w:sz w:val="24"/>
          <w:szCs w:val="24"/>
        </w:rPr>
        <w:t>Le paquet analysé comprend la Prise en charge intégrée des maladies néonatales et infantiles, l’accouchement assisté par un personnel qualifié et les soins obstétricaux et néonataux d’urgence (SONU).</w:t>
      </w:r>
    </w:p>
    <w:p w:rsidR="00314B92" w:rsidRDefault="00AD5F81">
      <w:pPr>
        <w:pStyle w:val="Normal1"/>
        <w:jc w:val="both"/>
        <w:rPr>
          <w:sz w:val="24"/>
          <w:szCs w:val="24"/>
        </w:rPr>
      </w:pPr>
      <w:r>
        <w:rPr>
          <w:sz w:val="24"/>
          <w:szCs w:val="24"/>
        </w:rPr>
        <w:t xml:space="preserve">Les goulots d’étranglement pour la mise en œuvre des interventions à haut impact sur la mortalité néo-natale se situent essentiellement au niveau de la disponibilité des intrants, de l’accessibilité géographique, de l’acceptabilité </w:t>
      </w:r>
      <w:r w:rsidR="00FD6406">
        <w:rPr>
          <w:sz w:val="24"/>
          <w:szCs w:val="24"/>
        </w:rPr>
        <w:t>socioculturelle</w:t>
      </w:r>
      <w:r>
        <w:rPr>
          <w:sz w:val="24"/>
          <w:szCs w:val="24"/>
        </w:rPr>
        <w:t xml:space="preserve"> et de la qualité.</w:t>
      </w:r>
    </w:p>
    <w:p w:rsidR="00314B92" w:rsidRDefault="00AD5F81">
      <w:pPr>
        <w:pStyle w:val="Normal1"/>
        <w:jc w:val="both"/>
        <w:rPr>
          <w:sz w:val="24"/>
          <w:szCs w:val="24"/>
        </w:rPr>
      </w:pPr>
      <w:r>
        <w:rPr>
          <w:sz w:val="24"/>
          <w:szCs w:val="24"/>
        </w:rPr>
        <w:t xml:space="preserve">La faible disponibilité des produits pour la mise en œuvre des différentes interventions relève des ruptures fréquentes des stocks liés à une défaillance dans le système d’approvisionnement et de gestion des stocks. </w:t>
      </w:r>
    </w:p>
    <w:p w:rsidR="006D2860" w:rsidRDefault="00AD5F81" w:rsidP="00F20185">
      <w:pPr>
        <w:pStyle w:val="Normal1"/>
        <w:numPr>
          <w:ilvl w:val="0"/>
          <w:numId w:val="26"/>
        </w:numPr>
        <w:spacing w:after="120"/>
        <w:ind w:left="357" w:hanging="357"/>
        <w:jc w:val="both"/>
      </w:pPr>
      <w:r>
        <w:rPr>
          <w:sz w:val="24"/>
          <w:szCs w:val="24"/>
        </w:rPr>
        <w:t>La faible accessibilité aux ressources humaines est liée au nombre insuffisant de prestataires formés en PCIMNI, SONU ou au fait des nouveau-affectés sortis des écoles de formation qui ne sont pas encore apte à poser tous les actes.</w:t>
      </w:r>
    </w:p>
    <w:p w:rsidR="006D2860" w:rsidRDefault="00AD5F81" w:rsidP="00F20185">
      <w:pPr>
        <w:pStyle w:val="Normal1"/>
        <w:numPr>
          <w:ilvl w:val="0"/>
          <w:numId w:val="26"/>
        </w:numPr>
        <w:spacing w:after="120"/>
        <w:ind w:left="357" w:hanging="357"/>
        <w:jc w:val="both"/>
      </w:pPr>
      <w:r>
        <w:rPr>
          <w:sz w:val="24"/>
          <w:szCs w:val="24"/>
        </w:rPr>
        <w:t>La faible accessibilité géographique réside dans l’inégale répartition des structures sanitaires et aux zones d’accès difficile.</w:t>
      </w:r>
    </w:p>
    <w:p w:rsidR="006D2860" w:rsidRDefault="00AD5F81" w:rsidP="00F20185">
      <w:pPr>
        <w:pStyle w:val="Normal1"/>
        <w:numPr>
          <w:ilvl w:val="0"/>
          <w:numId w:val="26"/>
        </w:numPr>
        <w:spacing w:after="120"/>
        <w:ind w:left="357" w:hanging="357"/>
        <w:jc w:val="both"/>
      </w:pPr>
      <w:r>
        <w:rPr>
          <w:sz w:val="24"/>
          <w:szCs w:val="24"/>
        </w:rPr>
        <w:t>Les paiements directs constituent la principale cause de l’insuffisante accessibilité financière aux soins curatifs compte tenu des difficultés rencontrées dans la gratuité ciblée</w:t>
      </w:r>
    </w:p>
    <w:p w:rsidR="006D2860" w:rsidRDefault="00AD5F81" w:rsidP="00F20185">
      <w:pPr>
        <w:pStyle w:val="Normal1"/>
        <w:numPr>
          <w:ilvl w:val="0"/>
          <w:numId w:val="26"/>
        </w:numPr>
        <w:spacing w:after="120"/>
        <w:ind w:left="357" w:hanging="357"/>
        <w:jc w:val="both"/>
      </w:pPr>
      <w:r>
        <w:rPr>
          <w:sz w:val="24"/>
          <w:szCs w:val="24"/>
        </w:rPr>
        <w:t xml:space="preserve">L’insuffisance de sensibilisation et les faibles compétences des prestataires en matière de communication interpersonnelles ainsi que les pesanteurs des normes traditionnelles sont à l’origine de l’insuffisante acceptabilité </w:t>
      </w:r>
      <w:r w:rsidR="00FD6406">
        <w:rPr>
          <w:sz w:val="24"/>
          <w:szCs w:val="24"/>
        </w:rPr>
        <w:t>socioculturelle</w:t>
      </w:r>
      <w:r>
        <w:rPr>
          <w:sz w:val="24"/>
          <w:szCs w:val="24"/>
        </w:rPr>
        <w:t xml:space="preserve"> des soins curatifs. </w:t>
      </w:r>
    </w:p>
    <w:p w:rsidR="00314B92" w:rsidRDefault="00AD5F81" w:rsidP="00F20185">
      <w:pPr>
        <w:pStyle w:val="Normal1"/>
        <w:numPr>
          <w:ilvl w:val="0"/>
          <w:numId w:val="26"/>
        </w:numPr>
        <w:jc w:val="both"/>
        <w:rPr>
          <w:sz w:val="24"/>
          <w:szCs w:val="24"/>
        </w:rPr>
      </w:pPr>
      <w:r>
        <w:rPr>
          <w:sz w:val="24"/>
          <w:szCs w:val="24"/>
        </w:rPr>
        <w:t>La qualité des soins souffre des compétences inadéquates des prestataires, de leur manque de motivation et des ruptures fréquents des intrants.</w:t>
      </w:r>
    </w:p>
    <w:p w:rsidR="006D2860" w:rsidRDefault="00AD5F81">
      <w:pPr>
        <w:pStyle w:val="Normal1"/>
        <w:spacing w:after="0"/>
        <w:jc w:val="both"/>
      </w:pPr>
      <w:r>
        <w:rPr>
          <w:sz w:val="24"/>
          <w:szCs w:val="24"/>
        </w:rPr>
        <w:t xml:space="preserve"> </w:t>
      </w:r>
    </w:p>
    <w:p w:rsidR="00314B92" w:rsidRDefault="00AD5F81">
      <w:pPr>
        <w:pStyle w:val="Normal1"/>
      </w:pPr>
      <w:r>
        <w:rPr>
          <w:noProof/>
        </w:rPr>
        <w:drawing>
          <wp:inline distT="0" distB="0" distL="0" distR="0">
            <wp:extent cx="5753100" cy="4686300"/>
            <wp:effectExtent l="0" t="0" r="0" b="0"/>
            <wp:docPr id="25"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39" cstate="print"/>
                    <a:srcRect/>
                    <a:stretch>
                      <a:fillRect/>
                    </a:stretch>
                  </pic:blipFill>
                  <pic:spPr>
                    <a:xfrm>
                      <a:off x="0" y="0"/>
                      <a:ext cx="5753100" cy="4686300"/>
                    </a:xfrm>
                    <a:prstGeom prst="rect">
                      <a:avLst/>
                    </a:prstGeom>
                    <a:ln/>
                  </pic:spPr>
                </pic:pic>
              </a:graphicData>
            </a:graphic>
          </wp:inline>
        </w:drawing>
      </w:r>
    </w:p>
    <w:p w:rsidR="00314B92" w:rsidRDefault="00AD5F81">
      <w:pPr>
        <w:pStyle w:val="Normal1"/>
      </w:pPr>
      <w:r>
        <w:rPr>
          <w:b/>
          <w:sz w:val="20"/>
          <w:szCs w:val="20"/>
        </w:rPr>
        <w:t>Figure 26 : Répartition des goulots selon les indicateurs de couverture du paquet de soins curatifs</w:t>
      </w:r>
      <w:r>
        <w:rPr>
          <w:sz w:val="20"/>
          <w:szCs w:val="20"/>
        </w:rPr>
        <w:t>-</w:t>
      </w:r>
      <w:r>
        <w:rPr>
          <w:sz w:val="16"/>
          <w:szCs w:val="16"/>
        </w:rPr>
        <w:t>Source Equist</w:t>
      </w:r>
    </w:p>
    <w:p w:rsidR="006D2860" w:rsidRDefault="006D2860">
      <w:pPr>
        <w:pStyle w:val="Normal1"/>
        <w:spacing w:after="0"/>
      </w:pPr>
    </w:p>
    <w:p w:rsidR="00314B92" w:rsidRDefault="00AD5F81" w:rsidP="00EF59CC">
      <w:pPr>
        <w:pStyle w:val="Normal1"/>
        <w:numPr>
          <w:ilvl w:val="1"/>
          <w:numId w:val="120"/>
        </w:numPr>
        <w:pBdr>
          <w:top w:val="nil"/>
          <w:left w:val="nil"/>
          <w:bottom w:val="nil"/>
          <w:right w:val="nil"/>
          <w:between w:val="nil"/>
        </w:pBdr>
        <w:spacing w:after="0"/>
        <w:ind w:hanging="720"/>
        <w:jc w:val="both"/>
        <w:rPr>
          <w:color w:val="000000"/>
          <w:sz w:val="24"/>
          <w:szCs w:val="24"/>
        </w:rPr>
      </w:pPr>
      <w:r>
        <w:rPr>
          <w:color w:val="000000"/>
          <w:sz w:val="24"/>
          <w:szCs w:val="24"/>
        </w:rPr>
        <w:t>LA LIMITE A L’EQUITE ET LIMITE OPERATIONNELLE</w:t>
      </w:r>
    </w:p>
    <w:p w:rsidR="00314B92" w:rsidRDefault="00AD5F81" w:rsidP="00EF59CC">
      <w:pPr>
        <w:pStyle w:val="Normal1"/>
        <w:spacing w:after="0"/>
        <w:jc w:val="both"/>
        <w:rPr>
          <w:sz w:val="24"/>
          <w:szCs w:val="24"/>
        </w:rPr>
      </w:pPr>
      <w:r>
        <w:rPr>
          <w:sz w:val="24"/>
          <w:szCs w:val="24"/>
        </w:rPr>
        <w:t>Sur la base du changement de couverture effective de chaque intervention résultant du scenario construit, EQUIST fonctionne à travers LIST pour estimer les décès qui auraient pu être évités.</w:t>
      </w:r>
    </w:p>
    <w:p w:rsidR="00314B92" w:rsidRDefault="00AD5F81">
      <w:pPr>
        <w:pStyle w:val="Normal1"/>
        <w:jc w:val="both"/>
        <w:rPr>
          <w:sz w:val="24"/>
          <w:szCs w:val="24"/>
        </w:rPr>
      </w:pPr>
      <w:r>
        <w:rPr>
          <w:sz w:val="24"/>
          <w:szCs w:val="24"/>
        </w:rPr>
        <w:t>Ainsi le graphique ci-dessous compare le nombre de décès évités dans notre scénario avec le nombre de décès à la limite de l’équité et à la limite opérationnelle. Pour la limite de l’équité, il s’agit de remonter les couvertures des interventions à haut impact des populations les plus défavorisées pour atteindre le même niveau que celles des populations les moins défavorisées du Burkina Faso. Pour la limite opérationnelle, il s’agit de mettre la couverture des interventions à haut impact du Burkina Faso au même niveau que celle des pays les plus performants pour éviter le maximum de décès.</w:t>
      </w:r>
    </w:p>
    <w:p w:rsidR="00314B92" w:rsidRDefault="00AD5F81">
      <w:pPr>
        <w:pStyle w:val="Normal1"/>
        <w:jc w:val="both"/>
        <w:rPr>
          <w:sz w:val="24"/>
          <w:szCs w:val="24"/>
        </w:rPr>
      </w:pPr>
      <w:r>
        <w:rPr>
          <w:sz w:val="24"/>
          <w:szCs w:val="24"/>
        </w:rPr>
        <w:t>Ainsi, pour la mortalité néo-natale, on constate que le nombre de décès évités dans notre scénario dépasse le double de décès évités à la limite de l’équité soit plus de quatre mille décès de nouveau-nés évités dans l’ensemble contre environ mille décès. Ce qui traduit que notre scénario est très équitable dans ce cas.</w:t>
      </w:r>
    </w:p>
    <w:p w:rsidR="00314B92" w:rsidRDefault="00AD5F81">
      <w:pPr>
        <w:pStyle w:val="Normal1"/>
        <w:tabs>
          <w:tab w:val="left" w:pos="2023"/>
        </w:tabs>
      </w:pPr>
      <w:r>
        <w:rPr>
          <w:noProof/>
          <w:sz w:val="24"/>
          <w:szCs w:val="24"/>
        </w:rPr>
        <w:drawing>
          <wp:inline distT="0" distB="0" distL="0" distR="0">
            <wp:extent cx="5753100" cy="4505325"/>
            <wp:effectExtent l="0" t="0" r="0" b="0"/>
            <wp:docPr id="26"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40" cstate="print"/>
                    <a:srcRect/>
                    <a:stretch>
                      <a:fillRect/>
                    </a:stretch>
                  </pic:blipFill>
                  <pic:spPr>
                    <a:xfrm>
                      <a:off x="0" y="0"/>
                      <a:ext cx="5753100" cy="4505325"/>
                    </a:xfrm>
                    <a:prstGeom prst="rect">
                      <a:avLst/>
                    </a:prstGeom>
                    <a:ln/>
                  </pic:spPr>
                </pic:pic>
              </a:graphicData>
            </a:graphic>
          </wp:inline>
        </w:drawing>
      </w:r>
    </w:p>
    <w:p w:rsidR="00314B92" w:rsidRDefault="00AD5F81" w:rsidP="000F1546">
      <w:pPr>
        <w:pStyle w:val="Normal1"/>
        <w:spacing w:after="0" w:line="240" w:lineRule="auto"/>
        <w:rPr>
          <w:b/>
          <w:color w:val="000000"/>
          <w:sz w:val="24"/>
          <w:szCs w:val="24"/>
        </w:rPr>
      </w:pPr>
      <w:r>
        <w:rPr>
          <w:b/>
          <w:color w:val="000000"/>
          <w:sz w:val="24"/>
          <w:szCs w:val="24"/>
        </w:rPr>
        <w:t>Figure 27 : Nombre de décès de nouveau-nés évités par cause</w:t>
      </w:r>
      <w:r>
        <w:rPr>
          <w:color w:val="000000"/>
          <w:sz w:val="24"/>
          <w:szCs w:val="24"/>
        </w:rPr>
        <w:t xml:space="preserve"> (Source Equist)</w:t>
      </w:r>
    </w:p>
    <w:p w:rsidR="000F1546" w:rsidRPr="000F1546" w:rsidRDefault="000F1546" w:rsidP="000F1546">
      <w:pPr>
        <w:pStyle w:val="Normal1"/>
        <w:spacing w:after="0" w:line="240" w:lineRule="auto"/>
        <w:rPr>
          <w:b/>
          <w:color w:val="000000"/>
          <w:sz w:val="24"/>
          <w:szCs w:val="24"/>
        </w:rPr>
      </w:pPr>
    </w:p>
    <w:p w:rsidR="00314B92" w:rsidRPr="00314B92" w:rsidRDefault="009B5EB2">
      <w:pPr>
        <w:pStyle w:val="Normal1"/>
        <w:tabs>
          <w:tab w:val="left" w:pos="2023"/>
        </w:tabs>
        <w:jc w:val="both"/>
        <w:rPr>
          <w:sz w:val="24"/>
          <w:szCs w:val="24"/>
        </w:rPr>
      </w:pPr>
      <w:r w:rsidRPr="009B5EB2">
        <w:rPr>
          <w:sz w:val="24"/>
          <w:szCs w:val="24"/>
        </w:rPr>
        <w:t>Concernant la mortalité des enfants de moins de cinq ans, dix mille décès sont évités dans notre scénario contre sept mille environ lorsque les couvertures sont mises au même niveau (limite équité).</w:t>
      </w:r>
    </w:p>
    <w:p w:rsidR="00314B92" w:rsidRDefault="00314B92">
      <w:pPr>
        <w:pStyle w:val="Normal1"/>
        <w:tabs>
          <w:tab w:val="left" w:pos="2023"/>
        </w:tabs>
      </w:pPr>
    </w:p>
    <w:p w:rsidR="00314B92" w:rsidRDefault="00314B92">
      <w:pPr>
        <w:pStyle w:val="Normal1"/>
        <w:tabs>
          <w:tab w:val="left" w:pos="2023"/>
        </w:tabs>
      </w:pPr>
    </w:p>
    <w:p w:rsidR="00314B92" w:rsidRDefault="00AD5F81">
      <w:pPr>
        <w:pStyle w:val="Normal1"/>
        <w:tabs>
          <w:tab w:val="left" w:pos="2023"/>
        </w:tabs>
      </w:pPr>
      <w:r>
        <w:rPr>
          <w:b/>
          <w:noProof/>
          <w:sz w:val="32"/>
          <w:szCs w:val="32"/>
          <w:u w:val="single"/>
        </w:rPr>
        <w:drawing>
          <wp:inline distT="0" distB="0" distL="0" distR="0">
            <wp:extent cx="5762625" cy="4502785"/>
            <wp:effectExtent l="6350" t="6350" r="6350" b="6350"/>
            <wp:docPr id="27"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cstate="print"/>
                    <a:srcRect b="-12"/>
                    <a:stretch>
                      <a:fillRect/>
                    </a:stretch>
                  </pic:blipFill>
                  <pic:spPr>
                    <a:xfrm>
                      <a:off x="0" y="0"/>
                      <a:ext cx="5762625" cy="4502785"/>
                    </a:xfrm>
                    <a:prstGeom prst="rect">
                      <a:avLst/>
                    </a:prstGeom>
                    <a:ln w="6350">
                      <a:solidFill>
                        <a:srgbClr val="000000"/>
                      </a:solidFill>
                      <a:prstDash val="solid"/>
                    </a:ln>
                  </pic:spPr>
                </pic:pic>
              </a:graphicData>
            </a:graphic>
          </wp:inline>
        </w:drawing>
      </w:r>
    </w:p>
    <w:p w:rsidR="00314B92" w:rsidRDefault="00AD5F81">
      <w:pPr>
        <w:pStyle w:val="Normal1"/>
        <w:spacing w:line="240" w:lineRule="auto"/>
        <w:rPr>
          <w:b/>
          <w:color w:val="000000"/>
        </w:rPr>
      </w:pPr>
      <w:r>
        <w:rPr>
          <w:b/>
          <w:color w:val="000000"/>
        </w:rPr>
        <w:t>Figure 28 : Nombre de décès des enfants de moins de cinq ans évités par cause</w:t>
      </w:r>
      <w:r>
        <w:rPr>
          <w:color w:val="000000"/>
        </w:rPr>
        <w:t xml:space="preserve"> (Source Equist)</w:t>
      </w:r>
    </w:p>
    <w:p w:rsidR="00314B92" w:rsidRDefault="00AD5F81">
      <w:pPr>
        <w:pStyle w:val="Normal1"/>
        <w:jc w:val="both"/>
        <w:rPr>
          <w:sz w:val="24"/>
          <w:szCs w:val="24"/>
        </w:rPr>
      </w:pPr>
      <w:r>
        <w:rPr>
          <w:sz w:val="24"/>
          <w:szCs w:val="24"/>
        </w:rPr>
        <w:t xml:space="preserve">Dans notre scénario, le nombre de décès d’enfants de moins de cinq ans évités par paquet d’intervention se résume ainsi : 2150 décès évités par les interventions SONUC, 2791 décès par la PCIMNI, 158 décès avec le les soins lors de l’accouchement assisté par un personnel qualifié, 3054 décès évités par les soins nouveau-né et infantile, 221 décès évités par les soins prénatals et 177 décès évités par Le paquet WASH. </w:t>
      </w:r>
    </w:p>
    <w:p w:rsidR="00314B92" w:rsidRDefault="00AD5F81">
      <w:pPr>
        <w:pStyle w:val="Normal1"/>
        <w:jc w:val="both"/>
        <w:rPr>
          <w:sz w:val="24"/>
          <w:szCs w:val="24"/>
        </w:rPr>
      </w:pPr>
      <w:r>
        <w:rPr>
          <w:sz w:val="24"/>
          <w:szCs w:val="24"/>
        </w:rPr>
        <w:t>Ces différents constats suggèrent que le focus soit mis dans les soins obstétricaux et néonataux d’urgence, la PCIMNI, les soins essentiels du Nouveau-né et infantile si l’on veut obtenir un impact important sur la mortalité des moins de cinq ans.</w:t>
      </w:r>
    </w:p>
    <w:p w:rsidR="00314B92" w:rsidRDefault="00314B92">
      <w:pPr>
        <w:pStyle w:val="Normal1"/>
        <w:jc w:val="both"/>
      </w:pPr>
    </w:p>
    <w:p w:rsidR="00314B92" w:rsidRDefault="00314B92">
      <w:pPr>
        <w:pStyle w:val="Normal1"/>
        <w:jc w:val="both"/>
      </w:pPr>
    </w:p>
    <w:p w:rsidR="00314B92" w:rsidRDefault="00314B92">
      <w:pPr>
        <w:pStyle w:val="Normal1"/>
        <w:jc w:val="both"/>
      </w:pPr>
    </w:p>
    <w:p w:rsidR="00314B92" w:rsidRDefault="00314B92">
      <w:pPr>
        <w:pStyle w:val="Normal1"/>
        <w:jc w:val="both"/>
      </w:pPr>
    </w:p>
    <w:p w:rsidR="00314B92" w:rsidRDefault="00314B92">
      <w:pPr>
        <w:pStyle w:val="Normal1"/>
        <w:jc w:val="both"/>
      </w:pPr>
    </w:p>
    <w:p w:rsidR="00314B92" w:rsidRDefault="00AD5F81">
      <w:pPr>
        <w:pStyle w:val="Normal1"/>
        <w:jc w:val="both"/>
      </w:pPr>
      <w:r>
        <w:rPr>
          <w:noProof/>
          <w:sz w:val="24"/>
          <w:szCs w:val="24"/>
        </w:rPr>
        <w:drawing>
          <wp:inline distT="0" distB="0" distL="0" distR="0">
            <wp:extent cx="5833296" cy="3603625"/>
            <wp:effectExtent l="19050" t="19050" r="15054" b="15875"/>
            <wp:docPr id="2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2" cstate="print"/>
                    <a:srcRect/>
                    <a:stretch>
                      <a:fillRect/>
                    </a:stretch>
                  </pic:blipFill>
                  <pic:spPr>
                    <a:xfrm>
                      <a:off x="0" y="0"/>
                      <a:ext cx="5838825" cy="3607041"/>
                    </a:xfrm>
                    <a:prstGeom prst="rect">
                      <a:avLst/>
                    </a:prstGeom>
                    <a:ln w="6350">
                      <a:solidFill>
                        <a:srgbClr val="000000"/>
                      </a:solidFill>
                      <a:prstDash val="solid"/>
                    </a:ln>
                  </pic:spPr>
                </pic:pic>
              </a:graphicData>
            </a:graphic>
          </wp:inline>
        </w:drawing>
      </w:r>
    </w:p>
    <w:p w:rsidR="00314B92" w:rsidRDefault="00AD5F81" w:rsidP="00EF59CC">
      <w:pPr>
        <w:pStyle w:val="Normal1"/>
        <w:spacing w:after="0" w:line="240" w:lineRule="auto"/>
        <w:rPr>
          <w:b/>
          <w:color w:val="000000"/>
          <w:sz w:val="24"/>
          <w:szCs w:val="24"/>
        </w:rPr>
      </w:pPr>
      <w:r>
        <w:rPr>
          <w:b/>
          <w:color w:val="000000"/>
          <w:sz w:val="20"/>
          <w:szCs w:val="20"/>
        </w:rPr>
        <w:t>Figure 29 : Nombre de décès des enfants de moins de cinq ans évités par paquet d’intervention</w:t>
      </w:r>
      <w:r>
        <w:rPr>
          <w:color w:val="000000"/>
          <w:sz w:val="24"/>
          <w:szCs w:val="24"/>
        </w:rPr>
        <w:t xml:space="preserve"> </w:t>
      </w:r>
      <w:r>
        <w:rPr>
          <w:color w:val="000000"/>
          <w:sz w:val="16"/>
          <w:szCs w:val="16"/>
        </w:rPr>
        <w:t>(Source Equist)</w:t>
      </w:r>
    </w:p>
    <w:p w:rsidR="00314B92" w:rsidRDefault="00AD5F81" w:rsidP="00EF59CC">
      <w:pPr>
        <w:pStyle w:val="Normal1"/>
        <w:numPr>
          <w:ilvl w:val="1"/>
          <w:numId w:val="120"/>
        </w:numPr>
        <w:pBdr>
          <w:top w:val="nil"/>
          <w:left w:val="nil"/>
          <w:bottom w:val="nil"/>
          <w:right w:val="nil"/>
          <w:between w:val="nil"/>
        </w:pBdr>
        <w:spacing w:after="0"/>
        <w:ind w:hanging="720"/>
        <w:jc w:val="both"/>
        <w:rPr>
          <w:color w:val="000000"/>
          <w:sz w:val="24"/>
          <w:szCs w:val="24"/>
        </w:rPr>
      </w:pPr>
      <w:r>
        <w:rPr>
          <w:color w:val="000000"/>
          <w:sz w:val="24"/>
          <w:szCs w:val="24"/>
        </w:rPr>
        <w:t>LES PRINCIPALES STRATEGIES A HAUT IMPACT</w:t>
      </w:r>
    </w:p>
    <w:p w:rsidR="00314B92" w:rsidRDefault="00AD5F81">
      <w:pPr>
        <w:pStyle w:val="Normal1"/>
        <w:tabs>
          <w:tab w:val="left" w:pos="3812"/>
        </w:tabs>
        <w:jc w:val="both"/>
        <w:rPr>
          <w:sz w:val="24"/>
          <w:szCs w:val="24"/>
        </w:rPr>
      </w:pPr>
      <w:r>
        <w:rPr>
          <w:sz w:val="24"/>
          <w:szCs w:val="24"/>
        </w:rPr>
        <w:t xml:space="preserve">Les principales stratégies à haut impact avec leur coût ont été générées sur la base des goulots et des causes identifiées. Le graphique ci-dessous présente les différentes stratégies avec leur coût. Elles serviront de base à la planification du dossier d’investissement. </w:t>
      </w:r>
      <w:r>
        <w:rPr>
          <w:sz w:val="24"/>
          <w:szCs w:val="24"/>
        </w:rPr>
        <w:tab/>
      </w:r>
    </w:p>
    <w:p w:rsidR="00314B92" w:rsidRDefault="00AD5F81">
      <w:pPr>
        <w:pStyle w:val="Normal1"/>
        <w:tabs>
          <w:tab w:val="left" w:pos="3812"/>
        </w:tabs>
      </w:pPr>
      <w:r>
        <w:rPr>
          <w:noProof/>
          <w:sz w:val="24"/>
          <w:szCs w:val="24"/>
        </w:rPr>
        <w:drawing>
          <wp:inline distT="0" distB="0" distL="0" distR="0">
            <wp:extent cx="5671946" cy="3498850"/>
            <wp:effectExtent l="19050" t="19050" r="24004" b="25400"/>
            <wp:docPr id="2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43" cstate="print"/>
                    <a:srcRect/>
                    <a:stretch>
                      <a:fillRect/>
                    </a:stretch>
                  </pic:blipFill>
                  <pic:spPr>
                    <a:xfrm>
                      <a:off x="0" y="0"/>
                      <a:ext cx="5676900" cy="3501906"/>
                    </a:xfrm>
                    <a:prstGeom prst="rect">
                      <a:avLst/>
                    </a:prstGeom>
                    <a:ln w="6350">
                      <a:solidFill>
                        <a:srgbClr val="000000"/>
                      </a:solidFill>
                      <a:prstDash val="solid"/>
                    </a:ln>
                  </pic:spPr>
                </pic:pic>
              </a:graphicData>
            </a:graphic>
          </wp:inline>
        </w:drawing>
      </w:r>
    </w:p>
    <w:p w:rsidR="00314B92" w:rsidRDefault="00AD5F81">
      <w:pPr>
        <w:pStyle w:val="Normal1"/>
        <w:tabs>
          <w:tab w:val="left" w:pos="3812"/>
        </w:tabs>
        <w:rPr>
          <w:b/>
          <w:color w:val="000000"/>
        </w:rPr>
      </w:pPr>
      <w:r>
        <w:rPr>
          <w:b/>
          <w:color w:val="000000"/>
        </w:rPr>
        <w:t>Figure 30 :  Coût total par stratégie (USD)</w:t>
      </w:r>
    </w:p>
    <w:p w:rsidR="00314B92" w:rsidRDefault="00AD5F81">
      <w:pPr>
        <w:pStyle w:val="Normal1"/>
        <w:widowControl w:val="0"/>
        <w:jc w:val="both"/>
        <w:rPr>
          <w:sz w:val="24"/>
          <w:szCs w:val="24"/>
        </w:rPr>
      </w:pPr>
      <w:r>
        <w:rPr>
          <w:sz w:val="24"/>
          <w:szCs w:val="24"/>
        </w:rPr>
        <w:t>Les graphiques ci-dessous présentent la rentabilité de notre scenario, à savoir, pour 1 million de dollars dépensé dans le cadre du scénario retenu, 188 vies sont sauvés et le coût par personne pour les stratégies retenues se chiffre à environ 3$ US par personne ce qui est rentable.</w:t>
      </w:r>
    </w:p>
    <w:p w:rsidR="00314B92" w:rsidRDefault="00AD5F81">
      <w:pPr>
        <w:pStyle w:val="Normal1"/>
        <w:pBdr>
          <w:top w:val="single" w:sz="4" w:space="1" w:color="000000"/>
          <w:left w:val="single" w:sz="4" w:space="0" w:color="000000"/>
          <w:bottom w:val="single" w:sz="4" w:space="1" w:color="000000"/>
          <w:right w:val="single" w:sz="4" w:space="4" w:color="000000"/>
        </w:pBdr>
      </w:pPr>
      <w:r>
        <w:t xml:space="preserve">    </w:t>
      </w:r>
      <w:r>
        <w:rPr>
          <w:noProof/>
        </w:rPr>
        <w:drawing>
          <wp:inline distT="0" distB="0" distL="0" distR="0">
            <wp:extent cx="2190750" cy="2943225"/>
            <wp:effectExtent l="0" t="0" r="0" b="0"/>
            <wp:docPr id="3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44" cstate="print"/>
                    <a:srcRect b="-14"/>
                    <a:stretch>
                      <a:fillRect/>
                    </a:stretch>
                  </pic:blipFill>
                  <pic:spPr>
                    <a:xfrm>
                      <a:off x="0" y="0"/>
                      <a:ext cx="2190750" cy="2943225"/>
                    </a:xfrm>
                    <a:prstGeom prst="rect">
                      <a:avLst/>
                    </a:prstGeom>
                    <a:ln/>
                  </pic:spPr>
                </pic:pic>
              </a:graphicData>
            </a:graphic>
          </wp:inline>
        </w:drawing>
      </w:r>
      <w:r>
        <w:t xml:space="preserve">                                </w:t>
      </w:r>
      <w:r>
        <w:rPr>
          <w:noProof/>
        </w:rPr>
        <w:drawing>
          <wp:inline distT="0" distB="0" distL="0" distR="0">
            <wp:extent cx="2000250" cy="2943225"/>
            <wp:effectExtent l="0" t="0" r="0" b="0"/>
            <wp:docPr id="3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5" cstate="print"/>
                    <a:srcRect/>
                    <a:stretch>
                      <a:fillRect/>
                    </a:stretch>
                  </pic:blipFill>
                  <pic:spPr>
                    <a:xfrm>
                      <a:off x="0" y="0"/>
                      <a:ext cx="2000250" cy="2943225"/>
                    </a:xfrm>
                    <a:prstGeom prst="rect">
                      <a:avLst/>
                    </a:prstGeom>
                    <a:ln/>
                  </pic:spPr>
                </pic:pic>
              </a:graphicData>
            </a:graphic>
          </wp:inline>
        </w:drawing>
      </w:r>
    </w:p>
    <w:p w:rsidR="00314B92" w:rsidRDefault="00AD5F81">
      <w:pPr>
        <w:pStyle w:val="Normal1"/>
        <w:widowControl w:val="0"/>
        <w:jc w:val="both"/>
        <w:rPr>
          <w:b/>
          <w:sz w:val="20"/>
          <w:szCs w:val="20"/>
        </w:rPr>
      </w:pPr>
      <w:r>
        <w:rPr>
          <w:b/>
          <w:sz w:val="24"/>
          <w:szCs w:val="24"/>
        </w:rPr>
        <w:t>Figure 31: Nombre de vie sauvées et Coût par personne</w:t>
      </w:r>
      <w:r>
        <w:rPr>
          <w:b/>
        </w:rPr>
        <w:t xml:space="preserve">    (Source EQUIST 2018)                        </w:t>
      </w:r>
    </w:p>
    <w:p w:rsidR="00314B92" w:rsidRDefault="00314B92">
      <w:pPr>
        <w:pStyle w:val="Normal1"/>
        <w:widowControl w:val="0"/>
        <w:jc w:val="both"/>
        <w:rPr>
          <w:b/>
          <w:sz w:val="20"/>
          <w:szCs w:val="20"/>
        </w:rPr>
      </w:pPr>
    </w:p>
    <w:p w:rsidR="00314B92" w:rsidRDefault="00314B92">
      <w:pPr>
        <w:pStyle w:val="Normal1"/>
        <w:spacing w:after="0"/>
        <w:jc w:val="both"/>
        <w:rPr>
          <w:sz w:val="24"/>
          <w:szCs w:val="24"/>
        </w:rPr>
      </w:pPr>
    </w:p>
    <w:p w:rsidR="00314B92" w:rsidRDefault="00AD5F81" w:rsidP="005D02C3">
      <w:pPr>
        <w:pStyle w:val="Normal1"/>
        <w:numPr>
          <w:ilvl w:val="0"/>
          <w:numId w:val="120"/>
        </w:numPr>
        <w:pBdr>
          <w:top w:val="nil"/>
          <w:left w:val="nil"/>
          <w:bottom w:val="nil"/>
          <w:right w:val="nil"/>
          <w:between w:val="nil"/>
        </w:pBdr>
        <w:ind w:left="426" w:hanging="568"/>
        <w:rPr>
          <w:b/>
          <w:color w:val="000000"/>
          <w:sz w:val="32"/>
          <w:szCs w:val="32"/>
        </w:rPr>
      </w:pPr>
      <w:r>
        <w:br w:type="page"/>
      </w:r>
      <w:r>
        <w:rPr>
          <w:b/>
          <w:color w:val="000000"/>
          <w:sz w:val="28"/>
          <w:szCs w:val="28"/>
        </w:rPr>
        <w:t>STRATEGIE D’AMELIORATION DE LA SANTE DE LA MERE, DE L’ENFANT ET DE L’ADOLESCENT/JEUNE, NUTRITION ET ETAT CIVIL.</w:t>
      </w:r>
    </w:p>
    <w:p w:rsidR="00314B92" w:rsidRDefault="00AD5F81" w:rsidP="005D02C3">
      <w:pPr>
        <w:pStyle w:val="Normal1"/>
        <w:numPr>
          <w:ilvl w:val="1"/>
          <w:numId w:val="120"/>
        </w:numPr>
        <w:pBdr>
          <w:top w:val="nil"/>
          <w:left w:val="nil"/>
          <w:bottom w:val="nil"/>
          <w:right w:val="nil"/>
          <w:between w:val="nil"/>
        </w:pBdr>
        <w:spacing w:after="0"/>
        <w:rPr>
          <w:color w:val="000000"/>
          <w:sz w:val="24"/>
          <w:szCs w:val="24"/>
        </w:rPr>
      </w:pPr>
      <w:r>
        <w:rPr>
          <w:color w:val="000000"/>
          <w:sz w:val="24"/>
          <w:szCs w:val="24"/>
        </w:rPr>
        <w:t>VISION</w:t>
      </w:r>
    </w:p>
    <w:p w:rsidR="00314B92" w:rsidRDefault="00AD5F81" w:rsidP="004B1B3F">
      <w:pPr>
        <w:pStyle w:val="Normal1"/>
        <w:widowControl w:val="0"/>
        <w:tabs>
          <w:tab w:val="left" w:pos="9498"/>
        </w:tabs>
        <w:spacing w:before="32" w:after="0"/>
        <w:ind w:left="-142"/>
        <w:jc w:val="both"/>
        <w:rPr>
          <w:sz w:val="24"/>
          <w:szCs w:val="24"/>
        </w:rPr>
      </w:pPr>
      <w:r>
        <w:rPr>
          <w:sz w:val="24"/>
          <w:szCs w:val="24"/>
        </w:rPr>
        <w:t>Cette vision dérive de celle du document de Politique National de Santé.</w:t>
      </w:r>
    </w:p>
    <w:p w:rsidR="00314B92" w:rsidRDefault="00AD5F81">
      <w:pPr>
        <w:pStyle w:val="Normal1"/>
        <w:widowControl w:val="0"/>
        <w:tabs>
          <w:tab w:val="left" w:pos="9498"/>
        </w:tabs>
        <w:spacing w:before="32" w:after="0"/>
        <w:ind w:left="-142"/>
        <w:jc w:val="both"/>
        <w:rPr>
          <w:b/>
          <w:i/>
          <w:sz w:val="24"/>
          <w:szCs w:val="24"/>
        </w:rPr>
      </w:pPr>
      <w:bookmarkStart w:id="20" w:name="_4i7ojhp" w:colFirst="0" w:colLast="0"/>
      <w:bookmarkEnd w:id="20"/>
      <w:r>
        <w:rPr>
          <w:b/>
          <w:i/>
          <w:sz w:val="24"/>
          <w:szCs w:val="24"/>
        </w:rPr>
        <w:t>Le Burkina Faso atteint le meilleur état de santé possible pour l’ensemble de la population, avec une attention particulière pour le Mère, le Nouveau-né, l’enfant, l’adolescent/jeune, à travers un système de santé national performant.</w:t>
      </w:r>
    </w:p>
    <w:p w:rsidR="00314B92" w:rsidRDefault="00314B92">
      <w:pPr>
        <w:pStyle w:val="Normal1"/>
        <w:widowControl w:val="0"/>
        <w:tabs>
          <w:tab w:val="left" w:pos="9498"/>
        </w:tabs>
        <w:spacing w:before="32" w:after="0"/>
        <w:ind w:left="-142"/>
        <w:jc w:val="both"/>
        <w:rPr>
          <w:b/>
          <w:i/>
          <w:sz w:val="24"/>
          <w:szCs w:val="24"/>
        </w:rPr>
      </w:pPr>
    </w:p>
    <w:p w:rsidR="00314B92" w:rsidRDefault="00AD5F81" w:rsidP="005D02C3">
      <w:pPr>
        <w:pStyle w:val="Normal1"/>
        <w:numPr>
          <w:ilvl w:val="1"/>
          <w:numId w:val="120"/>
        </w:numPr>
        <w:pBdr>
          <w:top w:val="nil"/>
          <w:left w:val="nil"/>
          <w:bottom w:val="nil"/>
          <w:right w:val="nil"/>
          <w:between w:val="nil"/>
        </w:pBdr>
        <w:spacing w:after="0"/>
        <w:rPr>
          <w:color w:val="000000"/>
          <w:sz w:val="24"/>
          <w:szCs w:val="24"/>
        </w:rPr>
      </w:pPr>
      <w:r>
        <w:rPr>
          <w:color w:val="000000"/>
          <w:sz w:val="24"/>
          <w:szCs w:val="24"/>
        </w:rPr>
        <w:t>PRINCIPES DIRECTEURS</w:t>
      </w:r>
    </w:p>
    <w:p w:rsidR="00314B92" w:rsidRDefault="00AD5F81" w:rsidP="001D189F">
      <w:pPr>
        <w:pStyle w:val="Normal1"/>
        <w:spacing w:after="0"/>
        <w:jc w:val="both"/>
        <w:rPr>
          <w:sz w:val="24"/>
          <w:szCs w:val="24"/>
        </w:rPr>
      </w:pPr>
      <w:r>
        <w:rPr>
          <w:sz w:val="24"/>
          <w:szCs w:val="24"/>
        </w:rPr>
        <w:t>Le dossier d’investissement va s’articuler autour des principes directeurs suivants :</w:t>
      </w:r>
    </w:p>
    <w:p w:rsidR="00314B92" w:rsidRDefault="00AD5F81" w:rsidP="005D02C3">
      <w:pPr>
        <w:pStyle w:val="Normal1"/>
        <w:numPr>
          <w:ilvl w:val="0"/>
          <w:numId w:val="78"/>
        </w:numPr>
        <w:pBdr>
          <w:top w:val="nil"/>
          <w:left w:val="nil"/>
          <w:bottom w:val="nil"/>
          <w:right w:val="nil"/>
          <w:between w:val="nil"/>
        </w:pBdr>
        <w:spacing w:after="0"/>
        <w:jc w:val="both"/>
        <w:rPr>
          <w:color w:val="000000"/>
          <w:sz w:val="24"/>
          <w:szCs w:val="24"/>
        </w:rPr>
      </w:pPr>
      <w:r>
        <w:rPr>
          <w:color w:val="000000"/>
          <w:sz w:val="24"/>
          <w:szCs w:val="24"/>
        </w:rPr>
        <w:t xml:space="preserve">Un leadership proactif pour améliorer la coordination intra sectorielle des acteurs dans un contexte de décentralisation et la collaboration intersectorielle en vue d’agir plus effacement sur les principaux déterminants de la santé ; </w:t>
      </w:r>
    </w:p>
    <w:p w:rsidR="00314B92" w:rsidRDefault="00AD5F81" w:rsidP="005D02C3">
      <w:pPr>
        <w:pStyle w:val="Normal1"/>
        <w:numPr>
          <w:ilvl w:val="0"/>
          <w:numId w:val="78"/>
        </w:numPr>
        <w:pBdr>
          <w:top w:val="nil"/>
          <w:left w:val="nil"/>
          <w:bottom w:val="nil"/>
          <w:right w:val="nil"/>
          <w:between w:val="nil"/>
        </w:pBdr>
        <w:spacing w:after="0"/>
        <w:jc w:val="both"/>
        <w:rPr>
          <w:color w:val="000000"/>
          <w:sz w:val="24"/>
          <w:szCs w:val="24"/>
        </w:rPr>
      </w:pPr>
      <w:r>
        <w:rPr>
          <w:color w:val="000000"/>
          <w:sz w:val="24"/>
          <w:szCs w:val="24"/>
        </w:rPr>
        <w:t>La gestion axée sur les résultats pour améliorer l’efficience des investissements ;</w:t>
      </w:r>
    </w:p>
    <w:p w:rsidR="00314B92" w:rsidRDefault="00AD5F81" w:rsidP="005D02C3">
      <w:pPr>
        <w:pStyle w:val="Normal1"/>
        <w:numPr>
          <w:ilvl w:val="0"/>
          <w:numId w:val="78"/>
        </w:numPr>
        <w:pBdr>
          <w:top w:val="nil"/>
          <w:left w:val="nil"/>
          <w:bottom w:val="nil"/>
          <w:right w:val="nil"/>
          <w:between w:val="nil"/>
        </w:pBdr>
        <w:spacing w:after="0"/>
        <w:jc w:val="both"/>
        <w:rPr>
          <w:color w:val="000000"/>
          <w:sz w:val="24"/>
          <w:szCs w:val="24"/>
        </w:rPr>
      </w:pPr>
      <w:r>
        <w:rPr>
          <w:color w:val="000000"/>
          <w:sz w:val="24"/>
          <w:szCs w:val="24"/>
        </w:rPr>
        <w:t>L’approche intégrée des prestations autour des étapes du cycle de vie pour éviter la fragmentation-duplication et améliorer la cohérence des interventions SRMNEA-N ;</w:t>
      </w:r>
    </w:p>
    <w:p w:rsidR="00314B92" w:rsidRDefault="00AD5F81" w:rsidP="005D02C3">
      <w:pPr>
        <w:pStyle w:val="Normal1"/>
        <w:widowControl w:val="0"/>
        <w:numPr>
          <w:ilvl w:val="0"/>
          <w:numId w:val="78"/>
        </w:numPr>
        <w:pBdr>
          <w:top w:val="nil"/>
          <w:left w:val="nil"/>
          <w:bottom w:val="nil"/>
          <w:right w:val="nil"/>
          <w:between w:val="nil"/>
        </w:pBdr>
        <w:tabs>
          <w:tab w:val="left" w:pos="9498"/>
        </w:tabs>
        <w:spacing w:after="0"/>
        <w:jc w:val="both"/>
        <w:rPr>
          <w:color w:val="000000"/>
          <w:sz w:val="24"/>
          <w:szCs w:val="24"/>
        </w:rPr>
      </w:pPr>
      <w:r>
        <w:rPr>
          <w:color w:val="000000"/>
          <w:sz w:val="24"/>
          <w:szCs w:val="24"/>
        </w:rPr>
        <w:t>L’équité, le genre et la prise en compte des besoins prioritaires et des ressources disponibles ;</w:t>
      </w:r>
    </w:p>
    <w:p w:rsidR="00314B92" w:rsidRDefault="00AD5F81" w:rsidP="005D02C3">
      <w:pPr>
        <w:pStyle w:val="Normal1"/>
        <w:numPr>
          <w:ilvl w:val="0"/>
          <w:numId w:val="78"/>
        </w:numPr>
        <w:pBdr>
          <w:top w:val="nil"/>
          <w:left w:val="nil"/>
          <w:bottom w:val="nil"/>
          <w:right w:val="nil"/>
          <w:between w:val="nil"/>
        </w:pBdr>
        <w:spacing w:after="0"/>
        <w:rPr>
          <w:color w:val="000000"/>
          <w:sz w:val="24"/>
          <w:szCs w:val="24"/>
        </w:rPr>
      </w:pPr>
      <w:r>
        <w:rPr>
          <w:color w:val="000000"/>
          <w:sz w:val="24"/>
          <w:szCs w:val="24"/>
        </w:rPr>
        <w:t>Le focus sur la mise en œuvre, le long terme et la redevabilité.</w:t>
      </w:r>
    </w:p>
    <w:p w:rsidR="00314B92" w:rsidRDefault="00314B92">
      <w:pPr>
        <w:pStyle w:val="Normal1"/>
        <w:pBdr>
          <w:top w:val="nil"/>
          <w:left w:val="nil"/>
          <w:bottom w:val="nil"/>
          <w:right w:val="nil"/>
          <w:between w:val="nil"/>
        </w:pBdr>
        <w:spacing w:after="0"/>
        <w:ind w:left="360" w:hanging="720"/>
        <w:rPr>
          <w:color w:val="000000"/>
          <w:sz w:val="24"/>
          <w:szCs w:val="24"/>
        </w:rPr>
      </w:pPr>
    </w:p>
    <w:p w:rsidR="00314B92" w:rsidRDefault="00AD5F81" w:rsidP="005D02C3">
      <w:pPr>
        <w:pStyle w:val="Normal1"/>
        <w:numPr>
          <w:ilvl w:val="1"/>
          <w:numId w:val="120"/>
        </w:numPr>
        <w:pBdr>
          <w:top w:val="nil"/>
          <w:left w:val="nil"/>
          <w:bottom w:val="nil"/>
          <w:right w:val="nil"/>
          <w:between w:val="nil"/>
        </w:pBdr>
        <w:spacing w:after="0"/>
        <w:rPr>
          <w:color w:val="000000"/>
          <w:sz w:val="24"/>
          <w:szCs w:val="24"/>
        </w:rPr>
      </w:pPr>
      <w:r>
        <w:rPr>
          <w:color w:val="000000"/>
          <w:sz w:val="24"/>
          <w:szCs w:val="24"/>
        </w:rPr>
        <w:t>LE RESULTAT ATTENDU</w:t>
      </w:r>
    </w:p>
    <w:p w:rsidR="00314B92" w:rsidRDefault="00AD5F81" w:rsidP="001D189F">
      <w:pPr>
        <w:pStyle w:val="Normal1"/>
        <w:jc w:val="both"/>
        <w:rPr>
          <w:sz w:val="24"/>
          <w:szCs w:val="24"/>
        </w:rPr>
      </w:pPr>
      <w:r>
        <w:rPr>
          <w:sz w:val="24"/>
          <w:szCs w:val="24"/>
        </w:rPr>
        <w:t xml:space="preserve">Le résultat attendu de la mise en œuvre de cette stratégie est une réduction significative de la mortalité maternelle, néo-natale et infanto-juvénile ainsi qu’une amélioration significative de </w:t>
      </w:r>
      <w:r w:rsidR="00897A44">
        <w:rPr>
          <w:sz w:val="24"/>
          <w:szCs w:val="24"/>
        </w:rPr>
        <w:t>la santé des adolescents/jeunes.</w:t>
      </w:r>
    </w:p>
    <w:p w:rsidR="00314B92" w:rsidRDefault="00D972C9" w:rsidP="00897A44">
      <w:pPr>
        <w:pStyle w:val="Normal1"/>
        <w:shd w:val="clear" w:color="auto" w:fill="C6D9F1"/>
        <w:jc w:val="both"/>
        <w:rPr>
          <w:sz w:val="24"/>
          <w:szCs w:val="24"/>
        </w:rPr>
      </w:pPr>
      <w:bookmarkStart w:id="21" w:name="_2xcytpi" w:colFirst="0" w:colLast="0"/>
      <w:bookmarkEnd w:id="21"/>
      <w:r>
        <w:rPr>
          <w:sz w:val="24"/>
          <w:szCs w:val="24"/>
        </w:rPr>
        <w:t>D’ici 2023, l</w:t>
      </w:r>
      <w:r w:rsidR="00AD5F81">
        <w:rPr>
          <w:sz w:val="24"/>
          <w:szCs w:val="24"/>
        </w:rPr>
        <w:t>e scénario choisi permettra principalement de réduir</w:t>
      </w:r>
      <w:r w:rsidR="009C428A">
        <w:rPr>
          <w:sz w:val="24"/>
          <w:szCs w:val="24"/>
        </w:rPr>
        <w:t>e la mortalité maternelle de 295,6 à 231,2</w:t>
      </w:r>
      <w:r w:rsidR="00AD5F81">
        <w:rPr>
          <w:sz w:val="24"/>
          <w:szCs w:val="24"/>
        </w:rPr>
        <w:t xml:space="preserve"> décès maternels/100 000 naissances vivante</w:t>
      </w:r>
      <w:r w:rsidR="009C428A">
        <w:rPr>
          <w:sz w:val="24"/>
          <w:szCs w:val="24"/>
        </w:rPr>
        <w:t>s, la mortalité néo-natale de 19,7 à 12,9</w:t>
      </w:r>
      <w:r w:rsidR="00AD5F81">
        <w:rPr>
          <w:sz w:val="24"/>
          <w:szCs w:val="24"/>
        </w:rPr>
        <w:t xml:space="preserve"> pour 1000</w:t>
      </w:r>
      <w:r w:rsidR="009C428A">
        <w:rPr>
          <w:sz w:val="24"/>
          <w:szCs w:val="24"/>
        </w:rPr>
        <w:t xml:space="preserve"> naissances vivantes</w:t>
      </w:r>
      <w:r w:rsidR="00AD5F81">
        <w:rPr>
          <w:sz w:val="24"/>
          <w:szCs w:val="24"/>
        </w:rPr>
        <w:t xml:space="preserve"> et la </w:t>
      </w:r>
      <w:r w:rsidR="009C428A">
        <w:rPr>
          <w:sz w:val="24"/>
          <w:szCs w:val="24"/>
        </w:rPr>
        <w:t>mortalité infanto-juvénile de 58,8 à 4</w:t>
      </w:r>
      <w:r w:rsidR="00AD5F81">
        <w:rPr>
          <w:sz w:val="24"/>
          <w:szCs w:val="24"/>
        </w:rPr>
        <w:t>1</w:t>
      </w:r>
      <w:r w:rsidR="009C428A">
        <w:rPr>
          <w:sz w:val="24"/>
          <w:szCs w:val="24"/>
        </w:rPr>
        <w:t>,6</w:t>
      </w:r>
      <w:r w:rsidR="00AD5F81">
        <w:rPr>
          <w:sz w:val="24"/>
          <w:szCs w:val="24"/>
        </w:rPr>
        <w:t xml:space="preserve"> pour 1000</w:t>
      </w:r>
      <w:r w:rsidR="009C428A">
        <w:rPr>
          <w:sz w:val="24"/>
          <w:szCs w:val="24"/>
        </w:rPr>
        <w:t xml:space="preserve"> naissances vivantes</w:t>
      </w:r>
      <w:r w:rsidR="00AD5F81">
        <w:rPr>
          <w:sz w:val="24"/>
          <w:szCs w:val="24"/>
        </w:rPr>
        <w:t>.</w:t>
      </w:r>
    </w:p>
    <w:p w:rsidR="00D4231F" w:rsidRDefault="0028298D" w:rsidP="005D02C3">
      <w:pPr>
        <w:pStyle w:val="Normal1"/>
        <w:numPr>
          <w:ilvl w:val="1"/>
          <w:numId w:val="120"/>
        </w:numPr>
        <w:pBdr>
          <w:top w:val="nil"/>
          <w:left w:val="nil"/>
          <w:bottom w:val="nil"/>
          <w:right w:val="nil"/>
          <w:between w:val="nil"/>
        </w:pBdr>
        <w:spacing w:after="0"/>
        <w:rPr>
          <w:color w:val="000000"/>
          <w:sz w:val="24"/>
          <w:szCs w:val="24"/>
        </w:rPr>
      </w:pPr>
      <w:r>
        <w:rPr>
          <w:color w:val="000000"/>
          <w:sz w:val="24"/>
          <w:szCs w:val="24"/>
        </w:rPr>
        <w:t xml:space="preserve">APPROCHE </w:t>
      </w:r>
      <w:r w:rsidR="00D4231F">
        <w:rPr>
          <w:color w:val="000000"/>
          <w:sz w:val="24"/>
          <w:szCs w:val="24"/>
        </w:rPr>
        <w:t>STRATEGI</w:t>
      </w:r>
      <w:r>
        <w:rPr>
          <w:color w:val="000000"/>
          <w:sz w:val="24"/>
          <w:szCs w:val="24"/>
        </w:rPr>
        <w:t>QU</w:t>
      </w:r>
      <w:r w:rsidR="00D4231F">
        <w:rPr>
          <w:color w:val="000000"/>
          <w:sz w:val="24"/>
          <w:szCs w:val="24"/>
        </w:rPr>
        <w:t xml:space="preserve">E </w:t>
      </w:r>
    </w:p>
    <w:p w:rsidR="00D4231F" w:rsidRDefault="00D4231F" w:rsidP="00785BAD">
      <w:pPr>
        <w:pStyle w:val="Normal1"/>
        <w:pBdr>
          <w:top w:val="nil"/>
          <w:left w:val="nil"/>
          <w:bottom w:val="nil"/>
          <w:right w:val="nil"/>
          <w:between w:val="nil"/>
        </w:pBdr>
        <w:spacing w:after="0"/>
        <w:jc w:val="both"/>
        <w:rPr>
          <w:color w:val="000000"/>
          <w:sz w:val="24"/>
          <w:szCs w:val="24"/>
        </w:rPr>
      </w:pPr>
      <w:r>
        <w:rPr>
          <w:color w:val="000000"/>
          <w:sz w:val="24"/>
          <w:szCs w:val="24"/>
        </w:rPr>
        <w:t>L’approche s</w:t>
      </w:r>
      <w:r w:rsidR="00785BAD">
        <w:rPr>
          <w:color w:val="000000"/>
          <w:sz w:val="24"/>
          <w:szCs w:val="24"/>
        </w:rPr>
        <w:t>era  basée sur quatre</w:t>
      </w:r>
      <w:r>
        <w:rPr>
          <w:color w:val="000000"/>
          <w:sz w:val="24"/>
          <w:szCs w:val="24"/>
        </w:rPr>
        <w:t xml:space="preserve"> principaux axes :</w:t>
      </w:r>
    </w:p>
    <w:p w:rsidR="0028298D" w:rsidRDefault="00D4231F" w:rsidP="00785BAD">
      <w:pPr>
        <w:pStyle w:val="Normal1"/>
        <w:numPr>
          <w:ilvl w:val="2"/>
          <w:numId w:val="120"/>
        </w:numPr>
        <w:pBdr>
          <w:top w:val="nil"/>
          <w:left w:val="nil"/>
          <w:bottom w:val="nil"/>
          <w:right w:val="nil"/>
          <w:between w:val="nil"/>
        </w:pBdr>
        <w:spacing w:after="0"/>
        <w:ind w:left="709" w:hanging="709"/>
        <w:jc w:val="both"/>
        <w:rPr>
          <w:color w:val="000000"/>
          <w:sz w:val="24"/>
          <w:szCs w:val="24"/>
        </w:rPr>
      </w:pPr>
      <w:r>
        <w:rPr>
          <w:color w:val="000000"/>
          <w:sz w:val="24"/>
          <w:szCs w:val="24"/>
        </w:rPr>
        <w:t xml:space="preserve">L’accroissement de l’utilisation des services </w:t>
      </w:r>
      <w:r w:rsidR="009C05BE">
        <w:rPr>
          <w:color w:val="000000"/>
          <w:sz w:val="24"/>
          <w:szCs w:val="24"/>
        </w:rPr>
        <w:t>de qualité à haut impact de santé sexuelle et reproductive, de santé de la mère, du nouveau-né, de l’enfant, de l’adolescent/jeune et de Nutrition à travers l’amélioration de l’offre et de la demande ainsi que de l’environnemen</w:t>
      </w:r>
      <w:r w:rsidR="005A14EB">
        <w:rPr>
          <w:color w:val="000000"/>
          <w:sz w:val="24"/>
          <w:szCs w:val="24"/>
        </w:rPr>
        <w:t>t systémique et intersectoriel</w:t>
      </w:r>
      <w:r w:rsidR="0028298D">
        <w:rPr>
          <w:color w:val="000000"/>
          <w:sz w:val="24"/>
          <w:szCs w:val="24"/>
        </w:rPr>
        <w:t xml:space="preserve">. </w:t>
      </w:r>
    </w:p>
    <w:p w:rsidR="00D4231F" w:rsidRDefault="0028298D" w:rsidP="00785BAD">
      <w:pPr>
        <w:pStyle w:val="Normal1"/>
        <w:numPr>
          <w:ilvl w:val="2"/>
          <w:numId w:val="120"/>
        </w:numPr>
        <w:pBdr>
          <w:top w:val="nil"/>
          <w:left w:val="nil"/>
          <w:bottom w:val="nil"/>
          <w:right w:val="nil"/>
          <w:between w:val="nil"/>
        </w:pBdr>
        <w:spacing w:after="0"/>
        <w:ind w:left="709" w:hanging="709"/>
        <w:jc w:val="both"/>
        <w:rPr>
          <w:color w:val="000000"/>
          <w:sz w:val="24"/>
          <w:szCs w:val="24"/>
        </w:rPr>
      </w:pPr>
      <w:r>
        <w:rPr>
          <w:color w:val="000000"/>
          <w:sz w:val="24"/>
          <w:szCs w:val="24"/>
        </w:rPr>
        <w:t xml:space="preserve">Un </w:t>
      </w:r>
      <w:r w:rsidR="00897A44">
        <w:rPr>
          <w:color w:val="000000"/>
          <w:sz w:val="24"/>
          <w:szCs w:val="24"/>
        </w:rPr>
        <w:t xml:space="preserve">investissement </w:t>
      </w:r>
      <w:r>
        <w:rPr>
          <w:color w:val="000000"/>
          <w:sz w:val="24"/>
          <w:szCs w:val="24"/>
        </w:rPr>
        <w:t>différentiel devra êtr</w:t>
      </w:r>
      <w:r w:rsidR="00897A44">
        <w:rPr>
          <w:color w:val="000000"/>
          <w:sz w:val="24"/>
          <w:szCs w:val="24"/>
        </w:rPr>
        <w:t xml:space="preserve">e fait  pour corriger les </w:t>
      </w:r>
      <w:r w:rsidR="005A14EB">
        <w:rPr>
          <w:color w:val="000000"/>
          <w:sz w:val="24"/>
          <w:szCs w:val="24"/>
        </w:rPr>
        <w:t>iniquités</w:t>
      </w:r>
      <w:r>
        <w:rPr>
          <w:color w:val="000000"/>
          <w:sz w:val="24"/>
          <w:szCs w:val="24"/>
        </w:rPr>
        <w:t xml:space="preserve"> observées. Cet effort spécial permettra aux régions de priorité 1 et les régions de priorité 2 de rattraper leur retard en termes de performances et de résultats.  Le maintien des performances atteintes dans les régions de priorité 3 ne doit pas être négligé. </w:t>
      </w:r>
    </w:p>
    <w:p w:rsidR="009C05BE" w:rsidRDefault="009C05BE" w:rsidP="00785BAD">
      <w:pPr>
        <w:pStyle w:val="Normal1"/>
        <w:numPr>
          <w:ilvl w:val="2"/>
          <w:numId w:val="120"/>
        </w:numPr>
        <w:pBdr>
          <w:top w:val="nil"/>
          <w:left w:val="nil"/>
          <w:bottom w:val="nil"/>
          <w:right w:val="nil"/>
          <w:between w:val="nil"/>
        </w:pBdr>
        <w:spacing w:after="0"/>
        <w:ind w:left="709" w:hanging="709"/>
        <w:jc w:val="both"/>
        <w:rPr>
          <w:color w:val="000000"/>
          <w:sz w:val="24"/>
          <w:szCs w:val="24"/>
        </w:rPr>
      </w:pPr>
      <w:r>
        <w:rPr>
          <w:color w:val="000000"/>
          <w:sz w:val="24"/>
          <w:szCs w:val="24"/>
        </w:rPr>
        <w:t>Le renforcement de la santé communautaire, conçue comme socle des soins de santé primaires pour aller vers la couverture sanitaire universelle. L’approche communautaire est également une approche qui permettra de couvrir un maximum de population et en particulier d’apporter les services du paquet d’interventions à haut impact relevant de la pratique communautaire aux populations des zones éloignées et des zones d’insécurité.</w:t>
      </w:r>
    </w:p>
    <w:p w:rsidR="009C05BE" w:rsidRDefault="009C05BE" w:rsidP="00785BAD">
      <w:pPr>
        <w:pStyle w:val="Normal1"/>
        <w:numPr>
          <w:ilvl w:val="2"/>
          <w:numId w:val="120"/>
        </w:numPr>
        <w:pBdr>
          <w:top w:val="nil"/>
          <w:left w:val="nil"/>
          <w:bottom w:val="nil"/>
          <w:right w:val="nil"/>
          <w:between w:val="nil"/>
        </w:pBdr>
        <w:spacing w:after="0"/>
        <w:ind w:left="709" w:hanging="709"/>
        <w:jc w:val="both"/>
        <w:rPr>
          <w:color w:val="000000"/>
          <w:sz w:val="24"/>
          <w:szCs w:val="24"/>
        </w:rPr>
      </w:pPr>
      <w:r>
        <w:rPr>
          <w:color w:val="000000"/>
          <w:sz w:val="24"/>
          <w:szCs w:val="24"/>
        </w:rPr>
        <w:t>Le renforcement des services de vaccination pour couvrir</w:t>
      </w:r>
      <w:r w:rsidR="00897A44" w:rsidRPr="00897A44">
        <w:rPr>
          <w:color w:val="000000"/>
          <w:sz w:val="24"/>
          <w:szCs w:val="24"/>
        </w:rPr>
        <w:t xml:space="preserve"> </w:t>
      </w:r>
      <w:r w:rsidR="00897A44">
        <w:rPr>
          <w:color w:val="000000"/>
          <w:sz w:val="24"/>
          <w:szCs w:val="24"/>
        </w:rPr>
        <w:t>les enfants de moins de cinq, les adolescents et les femmes enceintes</w:t>
      </w:r>
      <w:r w:rsidR="00A854CD">
        <w:rPr>
          <w:color w:val="000000"/>
          <w:sz w:val="24"/>
          <w:szCs w:val="24"/>
        </w:rPr>
        <w:t>. Des stratégies particulières seront mises en œuvre pour atteindre les populations marginalisées ou celles habitant</w:t>
      </w:r>
      <w:r w:rsidR="00897A44">
        <w:rPr>
          <w:color w:val="000000"/>
          <w:sz w:val="24"/>
          <w:szCs w:val="24"/>
        </w:rPr>
        <w:t>s</w:t>
      </w:r>
      <w:r w:rsidR="00A854CD">
        <w:rPr>
          <w:color w:val="000000"/>
          <w:sz w:val="24"/>
          <w:szCs w:val="24"/>
        </w:rPr>
        <w:t xml:space="preserve"> les zones d’insécurité.</w:t>
      </w:r>
    </w:p>
    <w:p w:rsidR="005A14EB" w:rsidRDefault="005A14EB" w:rsidP="00785BAD">
      <w:pPr>
        <w:pStyle w:val="Normal1"/>
        <w:numPr>
          <w:ilvl w:val="2"/>
          <w:numId w:val="120"/>
        </w:numPr>
        <w:pBdr>
          <w:top w:val="nil"/>
          <w:left w:val="nil"/>
          <w:bottom w:val="nil"/>
          <w:right w:val="nil"/>
          <w:between w:val="nil"/>
        </w:pBdr>
        <w:spacing w:after="0"/>
        <w:ind w:left="709" w:hanging="709"/>
        <w:jc w:val="both"/>
        <w:rPr>
          <w:color w:val="000000"/>
          <w:sz w:val="24"/>
          <w:szCs w:val="24"/>
        </w:rPr>
      </w:pPr>
      <w:r>
        <w:rPr>
          <w:color w:val="000000"/>
          <w:sz w:val="24"/>
          <w:szCs w:val="24"/>
        </w:rPr>
        <w:t>Le renforcement de l’approche multisectorielle devrait permettre de s’attaquer efficacement aux problèmes en relation avec les principaux déterminants de la santé.</w:t>
      </w:r>
    </w:p>
    <w:p w:rsidR="00A854CD" w:rsidRDefault="00A854CD" w:rsidP="00A854CD">
      <w:pPr>
        <w:pStyle w:val="Normal1"/>
        <w:pBdr>
          <w:top w:val="nil"/>
          <w:left w:val="nil"/>
          <w:bottom w:val="nil"/>
          <w:right w:val="nil"/>
          <w:between w:val="nil"/>
        </w:pBdr>
        <w:spacing w:after="0"/>
        <w:rPr>
          <w:color w:val="000000"/>
          <w:sz w:val="24"/>
          <w:szCs w:val="24"/>
        </w:rPr>
      </w:pPr>
    </w:p>
    <w:p w:rsidR="00314B92" w:rsidRDefault="000B7412" w:rsidP="005D02C3">
      <w:pPr>
        <w:pStyle w:val="Normal1"/>
        <w:numPr>
          <w:ilvl w:val="1"/>
          <w:numId w:val="120"/>
        </w:numPr>
        <w:pBdr>
          <w:top w:val="nil"/>
          <w:left w:val="nil"/>
          <w:bottom w:val="nil"/>
          <w:right w:val="nil"/>
          <w:between w:val="nil"/>
        </w:pBdr>
        <w:spacing w:after="0"/>
        <w:rPr>
          <w:color w:val="000000"/>
          <w:sz w:val="24"/>
          <w:szCs w:val="24"/>
        </w:rPr>
      </w:pPr>
      <w:r>
        <w:rPr>
          <w:color w:val="000000"/>
          <w:sz w:val="24"/>
          <w:szCs w:val="24"/>
        </w:rPr>
        <w:t xml:space="preserve">CHOIX DE LA </w:t>
      </w:r>
      <w:r w:rsidR="00AD5F81">
        <w:rPr>
          <w:color w:val="000000"/>
          <w:sz w:val="24"/>
          <w:szCs w:val="24"/>
        </w:rPr>
        <w:t>ZONE D’INTERVENTION</w:t>
      </w:r>
    </w:p>
    <w:p w:rsidR="003B6123" w:rsidRDefault="001D189F" w:rsidP="001D189F">
      <w:pPr>
        <w:pStyle w:val="Normal1"/>
        <w:widowControl w:val="0"/>
        <w:tabs>
          <w:tab w:val="left" w:pos="9498"/>
        </w:tabs>
        <w:spacing w:before="32" w:after="0"/>
        <w:jc w:val="both"/>
      </w:pPr>
      <w:r>
        <w:rPr>
          <w:sz w:val="24"/>
          <w:szCs w:val="24"/>
        </w:rPr>
        <w:t>Les régions du Pays ont été classées en fonction du score obtenu par rapport à l’analyse de leur performance par rapport à 20 indicateurs (18 indicateurs de résultats et 2 indicateurs d’impact).</w:t>
      </w:r>
      <w:r>
        <w:t xml:space="preserve"> </w:t>
      </w:r>
      <w:r w:rsidR="00372FF4">
        <w:t xml:space="preserve">Le score obtenu sur douze est rapporté après le nom de chaque région. </w:t>
      </w:r>
    </w:p>
    <w:p w:rsidR="001D189F" w:rsidRPr="001D189F" w:rsidRDefault="00372FF4" w:rsidP="001D189F">
      <w:pPr>
        <w:pStyle w:val="Normal1"/>
        <w:widowControl w:val="0"/>
        <w:tabs>
          <w:tab w:val="left" w:pos="9498"/>
        </w:tabs>
        <w:spacing w:before="32" w:after="0"/>
        <w:jc w:val="both"/>
      </w:pPr>
      <w:r>
        <w:rPr>
          <w:sz w:val="24"/>
          <w:szCs w:val="24"/>
        </w:rPr>
        <w:t xml:space="preserve">La </w:t>
      </w:r>
      <w:r w:rsidR="001D189F">
        <w:rPr>
          <w:sz w:val="24"/>
          <w:szCs w:val="24"/>
        </w:rPr>
        <w:t>mét</w:t>
      </w:r>
      <w:r>
        <w:rPr>
          <w:sz w:val="24"/>
          <w:szCs w:val="24"/>
        </w:rPr>
        <w:t>hodologie détaillée est décrite dans l’Annexe 2</w:t>
      </w:r>
      <w:r w:rsidR="003B6123">
        <w:rPr>
          <w:sz w:val="24"/>
          <w:szCs w:val="24"/>
        </w:rPr>
        <w:t>,</w:t>
      </w:r>
      <w:r w:rsidR="001D189F">
        <w:rPr>
          <w:sz w:val="24"/>
          <w:szCs w:val="24"/>
        </w:rPr>
        <w:t xml:space="preserve"> </w:t>
      </w:r>
      <w:r>
        <w:rPr>
          <w:sz w:val="24"/>
          <w:szCs w:val="24"/>
        </w:rPr>
        <w:t>page</w:t>
      </w:r>
      <w:r w:rsidR="003B6123">
        <w:rPr>
          <w:sz w:val="24"/>
          <w:szCs w:val="24"/>
        </w:rPr>
        <w:t xml:space="preserve"> 117.</w:t>
      </w:r>
    </w:p>
    <w:p w:rsidR="006D2860" w:rsidRDefault="00AD5F81" w:rsidP="001D189F">
      <w:pPr>
        <w:pStyle w:val="Normal1"/>
        <w:widowControl w:val="0"/>
        <w:tabs>
          <w:tab w:val="left" w:pos="9498"/>
        </w:tabs>
        <w:spacing w:before="32" w:after="0"/>
        <w:jc w:val="both"/>
      </w:pPr>
      <w:r>
        <w:rPr>
          <w:sz w:val="24"/>
          <w:szCs w:val="24"/>
        </w:rPr>
        <w:t xml:space="preserve">Le choix </w:t>
      </w:r>
      <w:r w:rsidR="00372FF4">
        <w:rPr>
          <w:sz w:val="24"/>
          <w:szCs w:val="24"/>
        </w:rPr>
        <w:t>est de couvrir tout le P</w:t>
      </w:r>
      <w:r>
        <w:rPr>
          <w:sz w:val="24"/>
          <w:szCs w:val="24"/>
        </w:rPr>
        <w:t xml:space="preserve">ays mais avec un effort différentiel sur les régions classées en priorité 1 d’abord et si les ressources le permettent sur les zones classées en priorité 2. Au niveau </w:t>
      </w:r>
      <w:r w:rsidR="001D189F">
        <w:rPr>
          <w:sz w:val="24"/>
          <w:szCs w:val="24"/>
        </w:rPr>
        <w:t>de chaque région prioritaire</w:t>
      </w:r>
      <w:r>
        <w:rPr>
          <w:sz w:val="24"/>
          <w:szCs w:val="24"/>
        </w:rPr>
        <w:t xml:space="preserve">, il s’agira également d’identifier les districts sanitaires défavorisés et de </w:t>
      </w:r>
      <w:r w:rsidR="001D189F">
        <w:rPr>
          <w:sz w:val="24"/>
          <w:szCs w:val="24"/>
        </w:rPr>
        <w:t xml:space="preserve">renforcer </w:t>
      </w:r>
      <w:r w:rsidR="00372FF4">
        <w:rPr>
          <w:sz w:val="24"/>
          <w:szCs w:val="24"/>
        </w:rPr>
        <w:t xml:space="preserve">spécifiquement </w:t>
      </w:r>
      <w:r w:rsidR="001D189F">
        <w:rPr>
          <w:sz w:val="24"/>
          <w:szCs w:val="24"/>
        </w:rPr>
        <w:t xml:space="preserve">les interventions </w:t>
      </w:r>
      <w:r w:rsidR="00372FF4">
        <w:rPr>
          <w:sz w:val="24"/>
          <w:szCs w:val="24"/>
        </w:rPr>
        <w:t xml:space="preserve">ciblées </w:t>
      </w:r>
      <w:r w:rsidR="001D189F">
        <w:rPr>
          <w:sz w:val="24"/>
          <w:szCs w:val="24"/>
        </w:rPr>
        <w:t xml:space="preserve">pour </w:t>
      </w:r>
      <w:r>
        <w:rPr>
          <w:sz w:val="24"/>
          <w:szCs w:val="24"/>
        </w:rPr>
        <w:t>rattraper le retard.</w:t>
      </w:r>
      <w:r w:rsidR="003F40E3">
        <w:t xml:space="preserve"> </w:t>
      </w:r>
    </w:p>
    <w:p w:rsidR="006D2860" w:rsidRDefault="006D2860">
      <w:pPr>
        <w:pStyle w:val="Normal1"/>
        <w:widowControl w:val="0"/>
        <w:tabs>
          <w:tab w:val="left" w:pos="9498"/>
        </w:tabs>
        <w:spacing w:before="32" w:after="0"/>
        <w:jc w:val="both"/>
      </w:pPr>
    </w:p>
    <w:tbl>
      <w:tblPr>
        <w:tblStyle w:val="Grilledutableau"/>
        <w:tblW w:w="0" w:type="auto"/>
        <w:tblLook w:val="04A0" w:firstRow="1" w:lastRow="0" w:firstColumn="1" w:lastColumn="0" w:noHBand="0" w:noVBand="1"/>
      </w:tblPr>
      <w:tblGrid>
        <w:gridCol w:w="7196"/>
        <w:gridCol w:w="2092"/>
      </w:tblGrid>
      <w:tr w:rsidR="00D962B3" w:rsidTr="00A61921">
        <w:tc>
          <w:tcPr>
            <w:tcW w:w="7196" w:type="dxa"/>
          </w:tcPr>
          <w:p w:rsidR="00D962B3" w:rsidRDefault="004B0495">
            <w:pPr>
              <w:pStyle w:val="Normal1"/>
              <w:widowControl w:val="0"/>
              <w:tabs>
                <w:tab w:val="left" w:pos="9498"/>
              </w:tabs>
              <w:jc w:val="both"/>
            </w:pPr>
            <w:r>
              <w:rPr>
                <w:noProof/>
              </w:rPr>
              <mc:AlternateContent>
                <mc:Choice Requires="wps">
                  <w:drawing>
                    <wp:anchor distT="0" distB="0" distL="114300" distR="114300" simplePos="0" relativeHeight="251627008" behindDoc="0" locked="0" layoutInCell="1" allowOverlap="1">
                      <wp:simplePos x="0" y="0"/>
                      <wp:positionH relativeFrom="column">
                        <wp:posOffset>1748155</wp:posOffset>
                      </wp:positionH>
                      <wp:positionV relativeFrom="paragraph">
                        <wp:posOffset>2494280</wp:posOffset>
                      </wp:positionV>
                      <wp:extent cx="1143000" cy="390525"/>
                      <wp:effectExtent l="5080" t="8255" r="4445" b="1270"/>
                      <wp:wrapNone/>
                      <wp:docPr id="209"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90525"/>
                              </a:xfrm>
                              <a:prstGeom prst="roundRect">
                                <a:avLst>
                                  <a:gd name="adj" fmla="val 16667"/>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11E16" w:rsidRPr="00A61921" w:rsidRDefault="00611E16">
                                  <w:pPr>
                                    <w:rPr>
                                      <w:sz w:val="16"/>
                                      <w:szCs w:val="16"/>
                                    </w:rPr>
                                  </w:pPr>
                                  <w:r w:rsidRPr="00A61921">
                                    <w:rPr>
                                      <w:noProof/>
                                      <w:sz w:val="16"/>
                                      <w:szCs w:val="16"/>
                                    </w:rPr>
                                    <w:drawing>
                                      <wp:inline distT="0" distB="0" distL="0" distR="0">
                                        <wp:extent cx="934720" cy="255481"/>
                                        <wp:effectExtent l="19050" t="0" r="0" b="0"/>
                                        <wp:docPr id="226" name="Image 1" descr="E:\Echelle carte.PNG"/>
                                        <wp:cNvGraphicFramePr/>
                                        <a:graphic xmlns:a="http://schemas.openxmlformats.org/drawingml/2006/main">
                                          <a:graphicData uri="http://schemas.openxmlformats.org/drawingml/2006/picture">
                                            <pic:pic xmlns:pic="http://schemas.openxmlformats.org/drawingml/2006/picture">
                                              <pic:nvPicPr>
                                                <pic:cNvPr id="2" name="Image 1" descr="E:\Echelle carte.PNG"/>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34720" cy="255481"/>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 o:spid="_x0000_s1038" style="position:absolute;left:0;text-align:left;margin-left:137.65pt;margin-top:196.4pt;width:90pt;height:30.7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" stroked="f">
                      <v:textbox>
                        <w:txbxContent>
                          <w:p w:rsidR="00611E16" w:rsidRPr="00A61921" w:rsidRDefault="00611E16">
                            <w:pPr>
                              <w:rPr>
                                <w:sz w:val="16"/>
                                <w:szCs w:val="16"/>
                              </w:rPr>
                            </w:pPr>
                            <w:r w:rsidRPr="00A61921">
                              <w:rPr>
                                <w:noProof/>
                                <w:sz w:val="16"/>
                                <w:szCs w:val="16"/>
                              </w:rPr>
                              <w:drawing>
                                <wp:inline distT="0" distB="0" distL="0" distR="0">
                                  <wp:extent cx="934720" cy="255481"/>
                                  <wp:effectExtent l="19050" t="0" r="0" b="0"/>
                                  <wp:docPr id="226" name="Image 1" descr="E:\Echelle carte.PNG"/>
                                  <wp:cNvGraphicFramePr/>
                                  <a:graphic xmlns:a="http://schemas.openxmlformats.org/drawingml/2006/main">
                                    <a:graphicData uri="http://schemas.openxmlformats.org/drawingml/2006/picture">
                                      <pic:pic xmlns:pic="http://schemas.openxmlformats.org/drawingml/2006/picture">
                                        <pic:nvPicPr>
                                          <pic:cNvPr id="2" name="Image 1" descr="E:\Echelle carte.PNG"/>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34720" cy="255481"/>
                                          </a:xfrm>
                                          <a:prstGeom prst="rect">
                                            <a:avLst/>
                                          </a:prstGeom>
                                          <a:noFill/>
                                          <a:ln>
                                            <a:noFill/>
                                          </a:ln>
                                        </pic:spPr>
                                      </pic:pic>
                                    </a:graphicData>
                                  </a:graphic>
                                </wp:inline>
                              </w:drawing>
                            </w:r>
                          </w:p>
                        </w:txbxContent>
                      </v:textbox>
                    </v:roundrect>
                  </w:pict>
                </mc:Fallback>
              </mc:AlternateContent>
            </w:r>
            <w:r>
              <w:rPr>
                <w:noProof/>
              </w:rPr>
              <mc:AlternateContent>
                <mc:Choice Requires="wps">
                  <w:drawing>
                    <wp:anchor distT="0" distB="0" distL="114300" distR="114300" simplePos="0" relativeHeight="251625984" behindDoc="0" locked="0" layoutInCell="1" allowOverlap="1">
                      <wp:simplePos x="0" y="0"/>
                      <wp:positionH relativeFrom="column">
                        <wp:posOffset>3024505</wp:posOffset>
                      </wp:positionH>
                      <wp:positionV relativeFrom="paragraph">
                        <wp:posOffset>2313305</wp:posOffset>
                      </wp:positionV>
                      <wp:extent cx="1285875" cy="800100"/>
                      <wp:effectExtent l="5080" t="8255" r="4445" b="1270"/>
                      <wp:wrapNone/>
                      <wp:docPr id="208"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800100"/>
                              </a:xfrm>
                              <a:prstGeom prst="roundRect">
                                <a:avLst>
                                  <a:gd name="adj" fmla="val 16667"/>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611E16" w:rsidRPr="00A61921" w:rsidRDefault="00611E16">
                                  <w:pPr>
                                    <w:rPr>
                                      <w:sz w:val="16"/>
                                      <w:szCs w:val="16"/>
                                    </w:rPr>
                                  </w:pPr>
                                  <w:r>
                                    <w:rPr>
                                      <w:noProof/>
                                      <w:sz w:val="16"/>
                                      <w:szCs w:val="16"/>
                                    </w:rPr>
                                    <w:drawing>
                                      <wp:inline distT="0" distB="0" distL="0" distR="0">
                                        <wp:extent cx="981075" cy="733425"/>
                                        <wp:effectExtent l="19050" t="0" r="9525" b="0"/>
                                        <wp:docPr id="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srcRect/>
                                                <a:stretch>
                                                  <a:fillRect/>
                                                </a:stretch>
                                              </pic:blipFill>
                                              <pic:spPr bwMode="auto">
                                                <a:xfrm>
                                                  <a:off x="0" y="0"/>
                                                  <a:ext cx="981075" cy="7334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 o:spid="_x0000_s1039" style="position:absolute;left:0;text-align:left;margin-left:238.15pt;margin-top:182.15pt;width:101.25pt;height:6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" stroked="f">
                      <v:textbox>
                        <w:txbxContent>
                          <w:p w:rsidR="00611E16" w:rsidRPr="00A61921" w:rsidRDefault="00611E16">
                            <w:pPr>
                              <w:rPr>
                                <w:sz w:val="16"/>
                                <w:szCs w:val="16"/>
                              </w:rPr>
                            </w:pPr>
                            <w:r>
                              <w:rPr>
                                <w:noProof/>
                                <w:sz w:val="16"/>
                                <w:szCs w:val="16"/>
                              </w:rPr>
                              <w:drawing>
                                <wp:inline distT="0" distB="0" distL="0" distR="0">
                                  <wp:extent cx="981075" cy="733425"/>
                                  <wp:effectExtent l="19050" t="0" r="9525" b="0"/>
                                  <wp:docPr id="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a:stretch>
                                            <a:fillRect/>
                                          </a:stretch>
                                        </pic:blipFill>
                                        <pic:spPr bwMode="auto">
                                          <a:xfrm>
                                            <a:off x="0" y="0"/>
                                            <a:ext cx="981075" cy="733425"/>
                                          </a:xfrm>
                                          <a:prstGeom prst="rect">
                                            <a:avLst/>
                                          </a:prstGeom>
                                          <a:noFill/>
                                          <a:ln w="9525">
                                            <a:noFill/>
                                            <a:miter lim="800000"/>
                                            <a:headEnd/>
                                            <a:tailEnd/>
                                          </a:ln>
                                        </pic:spPr>
                                      </pic:pic>
                                    </a:graphicData>
                                  </a:graphic>
                                </wp:inline>
                              </w:drawing>
                            </w:r>
                          </w:p>
                        </w:txbxContent>
                      </v:textbox>
                    </v:roundrect>
                  </w:pict>
                </mc:Fallback>
              </mc:AlternateContent>
            </w:r>
            <w:r w:rsidR="00D962B3" w:rsidRPr="00D962B3">
              <w:rPr>
                <w:noProof/>
              </w:rPr>
              <w:drawing>
                <wp:inline distT="0" distB="0" distL="0" distR="0">
                  <wp:extent cx="4362450" cy="3168517"/>
                  <wp:effectExtent l="19050" t="0" r="0" b="0"/>
                  <wp:docPr id="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368936" cy="3173228"/>
                          </a:xfrm>
                          <a:prstGeom prst="rect">
                            <a:avLst/>
                          </a:prstGeom>
                          <a:noFill/>
                          <a:ln>
                            <a:noFill/>
                          </a:ln>
                        </pic:spPr>
                      </pic:pic>
                    </a:graphicData>
                  </a:graphic>
                </wp:inline>
              </w:drawing>
            </w:r>
          </w:p>
          <w:p w:rsidR="00D962B3" w:rsidRDefault="00D962B3">
            <w:pPr>
              <w:pStyle w:val="Normal1"/>
              <w:widowControl w:val="0"/>
              <w:tabs>
                <w:tab w:val="left" w:pos="9498"/>
              </w:tabs>
              <w:jc w:val="both"/>
            </w:pPr>
          </w:p>
        </w:tc>
        <w:tc>
          <w:tcPr>
            <w:tcW w:w="2092" w:type="dxa"/>
          </w:tcPr>
          <w:p w:rsidR="00A61921" w:rsidRPr="00CD6F67" w:rsidRDefault="00D962B3" w:rsidP="00A61921">
            <w:pPr>
              <w:pStyle w:val="Normal1"/>
              <w:widowControl w:val="0"/>
              <w:shd w:val="clear" w:color="auto" w:fill="C2D69B" w:themeFill="accent3" w:themeFillTint="99"/>
              <w:tabs>
                <w:tab w:val="left" w:pos="9498"/>
              </w:tabs>
              <w:spacing w:before="32"/>
            </w:pPr>
            <w:r w:rsidRPr="00CD6F67">
              <w:t xml:space="preserve">PRIORITE 1 : </w:t>
            </w:r>
          </w:p>
          <w:p w:rsidR="00D962B3" w:rsidRPr="00CD6F67" w:rsidRDefault="00A61921" w:rsidP="00A61921">
            <w:pPr>
              <w:pStyle w:val="Normal1"/>
              <w:widowControl w:val="0"/>
              <w:shd w:val="clear" w:color="auto" w:fill="C2D69B" w:themeFill="accent3" w:themeFillTint="99"/>
              <w:tabs>
                <w:tab w:val="left" w:pos="9498"/>
              </w:tabs>
              <w:spacing w:before="32"/>
            </w:pPr>
            <w:r w:rsidRPr="00CD6F67">
              <w:t>Boucle du Mouhoun, Centre-Est, Centre-Sud, Est, Sahel</w:t>
            </w:r>
          </w:p>
          <w:p w:rsidR="00CD6F67" w:rsidRDefault="00CD6F67" w:rsidP="00A61921">
            <w:pPr>
              <w:pStyle w:val="Normal1"/>
              <w:widowControl w:val="0"/>
              <w:tabs>
                <w:tab w:val="left" w:pos="9498"/>
              </w:tabs>
              <w:spacing w:before="240"/>
              <w:rPr>
                <w:sz w:val="20"/>
                <w:szCs w:val="20"/>
              </w:rPr>
            </w:pPr>
          </w:p>
          <w:p w:rsidR="00D962B3" w:rsidRPr="00CD6F67" w:rsidRDefault="00A61921" w:rsidP="003B6123">
            <w:pPr>
              <w:pStyle w:val="Normal1"/>
              <w:widowControl w:val="0"/>
              <w:shd w:val="clear" w:color="auto" w:fill="FABF8F" w:themeFill="accent6" w:themeFillTint="99"/>
              <w:tabs>
                <w:tab w:val="left" w:pos="9498"/>
              </w:tabs>
            </w:pPr>
            <w:r w:rsidRPr="00CD6F67">
              <w:t>PRIORITE 2 : Cascades, Centre-Ouest, Hauts Bassins, Sud-Ouest</w:t>
            </w:r>
          </w:p>
          <w:p w:rsidR="00CD6F67" w:rsidRDefault="00CD6F67" w:rsidP="00A61921">
            <w:pPr>
              <w:pStyle w:val="Normal1"/>
              <w:widowControl w:val="0"/>
              <w:tabs>
                <w:tab w:val="left" w:pos="9498"/>
              </w:tabs>
              <w:rPr>
                <w:sz w:val="20"/>
                <w:szCs w:val="20"/>
              </w:rPr>
            </w:pPr>
          </w:p>
          <w:p w:rsidR="00A61921" w:rsidRPr="00CD6F67" w:rsidRDefault="00A61921" w:rsidP="003B6123">
            <w:pPr>
              <w:pStyle w:val="Normal1"/>
              <w:widowControl w:val="0"/>
              <w:shd w:val="clear" w:color="auto" w:fill="E36C0A" w:themeFill="accent6" w:themeFillShade="BF"/>
              <w:tabs>
                <w:tab w:val="left" w:pos="9498"/>
              </w:tabs>
              <w:spacing w:before="240"/>
            </w:pPr>
            <w:r w:rsidRPr="00CD6F67">
              <w:t xml:space="preserve">PRIORITE 3 : </w:t>
            </w:r>
          </w:p>
          <w:p w:rsidR="00D962B3" w:rsidRPr="00CD6F67" w:rsidRDefault="00A61921" w:rsidP="003B6123">
            <w:pPr>
              <w:pStyle w:val="Normal1"/>
              <w:widowControl w:val="0"/>
              <w:shd w:val="clear" w:color="auto" w:fill="E36C0A" w:themeFill="accent6" w:themeFillShade="BF"/>
              <w:tabs>
                <w:tab w:val="left" w:pos="9498"/>
              </w:tabs>
            </w:pPr>
            <w:r w:rsidRPr="00CD6F67">
              <w:t>Centre, Centre-Nord, Nord, Plateau Central</w:t>
            </w:r>
          </w:p>
          <w:p w:rsidR="00D962B3" w:rsidRPr="00A61921" w:rsidRDefault="00D962B3" w:rsidP="00D962B3">
            <w:pPr>
              <w:pStyle w:val="Normal1"/>
              <w:widowControl w:val="0"/>
              <w:tabs>
                <w:tab w:val="left" w:pos="9498"/>
              </w:tabs>
              <w:rPr>
                <w:sz w:val="20"/>
                <w:szCs w:val="20"/>
              </w:rPr>
            </w:pPr>
          </w:p>
        </w:tc>
      </w:tr>
      <w:tr w:rsidR="00CD6F67" w:rsidTr="003B6123">
        <w:tc>
          <w:tcPr>
            <w:tcW w:w="9288" w:type="dxa"/>
            <w:gridSpan w:val="2"/>
            <w:shd w:val="clear" w:color="auto" w:fill="auto"/>
          </w:tcPr>
          <w:p w:rsidR="00CD6F67" w:rsidRPr="00A61921" w:rsidRDefault="00CD6F67" w:rsidP="00A61921">
            <w:pPr>
              <w:pStyle w:val="Normal1"/>
              <w:widowControl w:val="0"/>
              <w:shd w:val="clear" w:color="auto" w:fill="C2D69B" w:themeFill="accent3" w:themeFillTint="99"/>
              <w:tabs>
                <w:tab w:val="left" w:pos="9498"/>
              </w:tabs>
              <w:spacing w:before="32"/>
              <w:rPr>
                <w:sz w:val="20"/>
                <w:szCs w:val="20"/>
              </w:rPr>
            </w:pPr>
            <w:r w:rsidRPr="003B6123">
              <w:rPr>
                <w:sz w:val="20"/>
                <w:szCs w:val="20"/>
              </w:rPr>
              <w:t xml:space="preserve">Figure 32 : Répartition des régions par </w:t>
            </w:r>
            <w:r w:rsidR="00EC1135">
              <w:rPr>
                <w:sz w:val="20"/>
                <w:szCs w:val="20"/>
              </w:rPr>
              <w:t>niveau de priorité (</w:t>
            </w:r>
            <w:r w:rsidRPr="003B6123">
              <w:rPr>
                <w:sz w:val="20"/>
                <w:szCs w:val="20"/>
              </w:rPr>
              <w:t>score obtenu sur 12</w:t>
            </w:r>
            <w:r w:rsidR="00EC1135">
              <w:rPr>
                <w:sz w:val="20"/>
                <w:szCs w:val="20"/>
              </w:rPr>
              <w:t>)</w:t>
            </w:r>
          </w:p>
        </w:tc>
      </w:tr>
    </w:tbl>
    <w:p w:rsidR="00D962B3" w:rsidRDefault="00D962B3">
      <w:pPr>
        <w:pStyle w:val="Normal1"/>
        <w:widowControl w:val="0"/>
        <w:tabs>
          <w:tab w:val="left" w:pos="9498"/>
        </w:tabs>
        <w:spacing w:after="0"/>
        <w:jc w:val="both"/>
      </w:pPr>
    </w:p>
    <w:p w:rsidR="006D2860" w:rsidRDefault="00AD5F81" w:rsidP="003F40E3">
      <w:pPr>
        <w:pStyle w:val="Normal1"/>
        <w:spacing w:after="0"/>
        <w:ind w:left="-142"/>
        <w:jc w:val="both"/>
        <w:rPr>
          <w:sz w:val="24"/>
          <w:szCs w:val="24"/>
        </w:rPr>
      </w:pPr>
      <w:r>
        <w:rPr>
          <w:sz w:val="24"/>
          <w:szCs w:val="24"/>
        </w:rPr>
        <w:t xml:space="preserve">Certaines interventions à haut impact sont déjà en cours de mise en œuvre </w:t>
      </w:r>
      <w:r w:rsidR="008047B7">
        <w:rPr>
          <w:sz w:val="24"/>
          <w:szCs w:val="24"/>
        </w:rPr>
        <w:t xml:space="preserve">ou devront être renforcées </w:t>
      </w:r>
      <w:r>
        <w:rPr>
          <w:sz w:val="24"/>
          <w:szCs w:val="24"/>
        </w:rPr>
        <w:t>dans toutes les régions du pays.</w:t>
      </w:r>
      <w:r w:rsidR="008047B7">
        <w:rPr>
          <w:sz w:val="24"/>
          <w:szCs w:val="24"/>
        </w:rPr>
        <w:t xml:space="preserve"> Il s’agit notamment de la gratuité de la planification familiale, de la mise en œuvre de soins maternels Kangourou, etc</w:t>
      </w:r>
      <w:r w:rsidR="00AF32CF">
        <w:rPr>
          <w:sz w:val="24"/>
          <w:szCs w:val="24"/>
        </w:rPr>
        <w:t>.</w:t>
      </w:r>
      <w:r w:rsidR="008047B7">
        <w:rPr>
          <w:sz w:val="24"/>
          <w:szCs w:val="24"/>
        </w:rPr>
        <w:t xml:space="preserve"> </w:t>
      </w:r>
      <w:r>
        <w:rPr>
          <w:sz w:val="24"/>
          <w:szCs w:val="24"/>
        </w:rPr>
        <w:t xml:space="preserve">La mise œuvre des actions contenues dans ce dossier d’investissement </w:t>
      </w:r>
      <w:r w:rsidR="00AF32CF">
        <w:rPr>
          <w:sz w:val="24"/>
          <w:szCs w:val="24"/>
        </w:rPr>
        <w:t xml:space="preserve">s’appuiera </w:t>
      </w:r>
      <w:r>
        <w:rPr>
          <w:sz w:val="24"/>
          <w:szCs w:val="24"/>
        </w:rPr>
        <w:t>sur la disponibilité permanente en quantité et en qualité des intrants de base (médicaments et consommables médicaux de qualité, matériels médicaux techniques minimums)</w:t>
      </w:r>
      <w:r w:rsidR="00AF32CF">
        <w:rPr>
          <w:sz w:val="24"/>
          <w:szCs w:val="24"/>
        </w:rPr>
        <w:t xml:space="preserve"> et sur un système de répartition et de recrutement équitable des ressources humaines en santé </w:t>
      </w:r>
      <w:r w:rsidR="004B1B3F">
        <w:rPr>
          <w:sz w:val="24"/>
          <w:szCs w:val="24"/>
        </w:rPr>
        <w:t>(W</w:t>
      </w:r>
      <w:r>
        <w:rPr>
          <w:sz w:val="24"/>
          <w:szCs w:val="24"/>
        </w:rPr>
        <w:t xml:space="preserve">orkload </w:t>
      </w:r>
      <w:r w:rsidR="004B1B3F">
        <w:rPr>
          <w:sz w:val="24"/>
          <w:szCs w:val="24"/>
        </w:rPr>
        <w:t>I</w:t>
      </w:r>
      <w:r>
        <w:rPr>
          <w:sz w:val="24"/>
          <w:szCs w:val="24"/>
        </w:rPr>
        <w:t>ndi</w:t>
      </w:r>
      <w:r w:rsidR="00AF32CF">
        <w:rPr>
          <w:sz w:val="24"/>
          <w:szCs w:val="24"/>
        </w:rPr>
        <w:t>cators Staffing Needed)</w:t>
      </w:r>
      <w:r>
        <w:rPr>
          <w:sz w:val="24"/>
          <w:szCs w:val="24"/>
        </w:rPr>
        <w:t xml:space="preserve">. </w:t>
      </w:r>
    </w:p>
    <w:p w:rsidR="00AF32CF" w:rsidRDefault="00AF32CF" w:rsidP="003F40E3">
      <w:pPr>
        <w:pStyle w:val="Normal1"/>
        <w:spacing w:after="0"/>
        <w:ind w:left="-142"/>
        <w:jc w:val="both"/>
        <w:rPr>
          <w:sz w:val="24"/>
          <w:szCs w:val="24"/>
        </w:rPr>
      </w:pPr>
    </w:p>
    <w:p w:rsidR="00AF32CF" w:rsidRDefault="00336BD2" w:rsidP="005D02C3">
      <w:pPr>
        <w:pStyle w:val="Normal1"/>
        <w:numPr>
          <w:ilvl w:val="1"/>
          <w:numId w:val="120"/>
        </w:numPr>
        <w:spacing w:after="0"/>
        <w:ind w:left="284" w:hanging="426"/>
        <w:jc w:val="both"/>
        <w:rPr>
          <w:sz w:val="28"/>
          <w:szCs w:val="28"/>
        </w:rPr>
      </w:pPr>
      <w:r>
        <w:rPr>
          <w:sz w:val="28"/>
          <w:szCs w:val="28"/>
        </w:rPr>
        <w:t xml:space="preserve"> </w:t>
      </w:r>
      <w:r w:rsidR="00AF32CF" w:rsidRPr="00AF32CF">
        <w:rPr>
          <w:sz w:val="28"/>
          <w:szCs w:val="28"/>
        </w:rPr>
        <w:t>LE PAQUET D’INTERVENTIONS A HAUT IMPACT</w:t>
      </w:r>
    </w:p>
    <w:p w:rsidR="00AF32CF" w:rsidRDefault="00AF32CF" w:rsidP="00AF32CF">
      <w:pPr>
        <w:pStyle w:val="Normal1"/>
        <w:spacing w:after="0"/>
        <w:ind w:left="-142"/>
        <w:jc w:val="both"/>
        <w:rPr>
          <w:sz w:val="24"/>
          <w:szCs w:val="24"/>
        </w:rPr>
      </w:pPr>
      <w:r w:rsidRPr="00AF32CF">
        <w:rPr>
          <w:sz w:val="24"/>
          <w:szCs w:val="24"/>
        </w:rPr>
        <w:t>Dans le cadre du DI, le Bu</w:t>
      </w:r>
      <w:r>
        <w:rPr>
          <w:sz w:val="24"/>
          <w:szCs w:val="24"/>
        </w:rPr>
        <w:t>rkina a défini un paquet d’intervention à haut en termes d’impact sur la réduction de la mortalité maternelle, néonatale et infanto-juvénile</w:t>
      </w:r>
      <w:r w:rsidR="00336BD2">
        <w:rPr>
          <w:sz w:val="24"/>
          <w:szCs w:val="24"/>
        </w:rPr>
        <w:t>.</w:t>
      </w:r>
    </w:p>
    <w:p w:rsidR="00336BD2" w:rsidRPr="00AF32CF" w:rsidRDefault="00336BD2" w:rsidP="00AF32CF">
      <w:pPr>
        <w:pStyle w:val="Normal1"/>
        <w:ind w:left="-142"/>
        <w:jc w:val="both"/>
        <w:rPr>
          <w:sz w:val="24"/>
          <w:szCs w:val="24"/>
        </w:rPr>
      </w:pPr>
      <w:r w:rsidRPr="00EF59CC">
        <w:rPr>
          <w:rFonts w:asciiTheme="minorHAnsi" w:eastAsiaTheme="minorHAnsi" w:hAnsiTheme="minorHAnsi" w:cstheme="minorBidi"/>
          <w:color w:val="000000"/>
          <w:lang w:eastAsia="en-US"/>
        </w:rPr>
        <w:t>Ce paquet</w:t>
      </w:r>
      <w:r w:rsidR="004C595F" w:rsidRPr="00EF59CC">
        <w:rPr>
          <w:rFonts w:asciiTheme="minorHAnsi" w:eastAsiaTheme="minorHAnsi" w:hAnsiTheme="minorHAnsi" w:cstheme="minorBidi"/>
          <w:color w:val="000000"/>
          <w:lang w:eastAsia="en-US"/>
        </w:rPr>
        <w:t xml:space="preserve"> </w:t>
      </w:r>
      <w:r w:rsidRPr="00EF59CC">
        <w:rPr>
          <w:rFonts w:asciiTheme="minorHAnsi" w:eastAsiaTheme="minorHAnsi" w:hAnsiTheme="minorHAnsi" w:cstheme="minorBidi"/>
          <w:color w:val="000000"/>
          <w:lang w:eastAsia="en-US"/>
        </w:rPr>
        <w:t>comprend des interventions promotionnelles, des interventions préventives et des</w:t>
      </w:r>
      <w:r>
        <w:rPr>
          <w:sz w:val="24"/>
          <w:szCs w:val="24"/>
        </w:rPr>
        <w:t xml:space="preserve"> interventions curatives. Ces interventions sont réparties par cible (Mère et nouveau-né, enfants de moins de 5 ans, adolescents et jeunes) et par niveau de prestations (Niveau communautaire, Niveau CSPS</w:t>
      </w:r>
      <w:r w:rsidR="003B6123">
        <w:rPr>
          <w:sz w:val="24"/>
          <w:szCs w:val="24"/>
        </w:rPr>
        <w:t>, Niveau CMA, HR, CHU). Annexe 3</w:t>
      </w:r>
      <w:r>
        <w:rPr>
          <w:sz w:val="24"/>
          <w:szCs w:val="24"/>
        </w:rPr>
        <w:t>, page</w:t>
      </w:r>
      <w:r w:rsidR="003B6123">
        <w:rPr>
          <w:sz w:val="24"/>
          <w:szCs w:val="24"/>
        </w:rPr>
        <w:t xml:space="preserve"> 119.</w:t>
      </w:r>
      <w:r>
        <w:rPr>
          <w:sz w:val="24"/>
          <w:szCs w:val="24"/>
        </w:rPr>
        <w:t xml:space="preserve"> </w:t>
      </w:r>
    </w:p>
    <w:p w:rsidR="006D2860" w:rsidRPr="00AF32CF" w:rsidRDefault="00A9124F" w:rsidP="005D02C3">
      <w:pPr>
        <w:pStyle w:val="Normal1"/>
        <w:numPr>
          <w:ilvl w:val="1"/>
          <w:numId w:val="120"/>
        </w:numPr>
        <w:ind w:left="284" w:hanging="426"/>
        <w:jc w:val="both"/>
      </w:pPr>
      <w:r w:rsidRPr="00AF32CF">
        <w:rPr>
          <w:sz w:val="28"/>
          <w:szCs w:val="28"/>
        </w:rPr>
        <w:t>LES PRIORITES</w:t>
      </w:r>
    </w:p>
    <w:tbl>
      <w:tblPr>
        <w:tblStyle w:val="Grilledutableau"/>
        <w:tblW w:w="0" w:type="auto"/>
        <w:shd w:val="clear" w:color="auto" w:fill="DAEEF3" w:themeFill="accent5" w:themeFillTint="33"/>
        <w:tblLook w:val="04A0" w:firstRow="1" w:lastRow="0" w:firstColumn="1" w:lastColumn="0" w:noHBand="0" w:noVBand="1"/>
      </w:tblPr>
      <w:tblGrid>
        <w:gridCol w:w="3652"/>
        <w:gridCol w:w="284"/>
        <w:gridCol w:w="5276"/>
      </w:tblGrid>
      <w:tr w:rsidR="006B3C6D" w:rsidTr="00BF0025">
        <w:tc>
          <w:tcPr>
            <w:tcW w:w="9212" w:type="dxa"/>
            <w:gridSpan w:val="3"/>
            <w:tcBorders>
              <w:bottom w:val="single" w:sz="4" w:space="0" w:color="auto"/>
            </w:tcBorders>
            <w:shd w:val="clear" w:color="auto" w:fill="DAEEF3" w:themeFill="accent5" w:themeFillTint="33"/>
          </w:tcPr>
          <w:p w:rsidR="006B3C6D" w:rsidRPr="00BF5820" w:rsidRDefault="00A961B1" w:rsidP="00740A84">
            <w:pPr>
              <w:spacing w:line="360" w:lineRule="auto"/>
              <w:rPr>
                <w:b/>
                <w:sz w:val="24"/>
                <w:szCs w:val="24"/>
              </w:rPr>
            </w:pPr>
            <w:r>
              <w:rPr>
                <w:b/>
                <w:sz w:val="24"/>
                <w:szCs w:val="24"/>
              </w:rPr>
              <w:t>Tableau n° 7</w:t>
            </w:r>
            <w:r w:rsidR="006B3C6D">
              <w:rPr>
                <w:b/>
                <w:sz w:val="24"/>
                <w:szCs w:val="24"/>
              </w:rPr>
              <w:t xml:space="preserve"> : </w:t>
            </w:r>
            <w:r w:rsidR="006B3C6D" w:rsidRPr="00BF5820">
              <w:rPr>
                <w:b/>
                <w:sz w:val="24"/>
                <w:szCs w:val="24"/>
              </w:rPr>
              <w:t>LES PRIORITES DI SRMNEAN-ECSV</w:t>
            </w:r>
          </w:p>
        </w:tc>
      </w:tr>
      <w:tr w:rsidR="006B3C6D" w:rsidRPr="006B3C6D" w:rsidTr="00BF0025">
        <w:tc>
          <w:tcPr>
            <w:tcW w:w="3652" w:type="dxa"/>
            <w:tcBorders>
              <w:bottom w:val="nil"/>
              <w:right w:val="nil"/>
            </w:tcBorders>
            <w:shd w:val="clear" w:color="auto" w:fill="DAEEF3" w:themeFill="accent5" w:themeFillTint="33"/>
          </w:tcPr>
          <w:p w:rsidR="006B3C6D" w:rsidRPr="006B3C6D" w:rsidRDefault="004B0495" w:rsidP="006B3C6D">
            <w:pPr>
              <w:spacing w:line="360" w:lineRule="auto"/>
              <w:jc w:val="center"/>
              <w:rPr>
                <w:b/>
              </w:rPr>
            </w:pPr>
            <w:r>
              <w:rPr>
                <w:noProof/>
              </w:rPr>
              <mc:AlternateContent>
                <mc:Choice Requires="wps">
                  <w:drawing>
                    <wp:anchor distT="0" distB="0" distL="114300" distR="114300" simplePos="0" relativeHeight="251614720" behindDoc="0" locked="0" layoutInCell="1" allowOverlap="1">
                      <wp:simplePos x="0" y="0"/>
                      <wp:positionH relativeFrom="column">
                        <wp:posOffset>-52070</wp:posOffset>
                      </wp:positionH>
                      <wp:positionV relativeFrom="paragraph">
                        <wp:posOffset>213995</wp:posOffset>
                      </wp:positionV>
                      <wp:extent cx="2371725" cy="990600"/>
                      <wp:effectExtent l="5080" t="13970" r="13970" b="5080"/>
                      <wp:wrapNone/>
                      <wp:docPr id="20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990600"/>
                              </a:xfrm>
                              <a:prstGeom prst="homePlate">
                                <a:avLst>
                                  <a:gd name="adj" fmla="val 22989"/>
                                </a:avLst>
                              </a:prstGeom>
                              <a:solidFill>
                                <a:schemeClr val="accent3">
                                  <a:lumMod val="20000"/>
                                  <a:lumOff val="80000"/>
                                </a:schemeClr>
                              </a:solidFill>
                              <a:ln w="9525">
                                <a:solidFill>
                                  <a:srgbClr val="000000"/>
                                </a:solidFill>
                                <a:miter lim="800000"/>
                                <a:headEnd/>
                                <a:tailEnd/>
                              </a:ln>
                            </wps:spPr>
                            <wps:txbx>
                              <w:txbxContent>
                                <w:p w:rsidR="00611E16" w:rsidRDefault="00611E16" w:rsidP="00750AD2">
                                  <w:pPr>
                                    <w:contextualSpacing/>
                                    <w:rPr>
                                      <w:sz w:val="20"/>
                                      <w:szCs w:val="20"/>
                                    </w:rPr>
                                  </w:pPr>
                                  <w:r w:rsidRPr="00717467">
                                    <w:rPr>
                                      <w:b/>
                                      <w:sz w:val="20"/>
                                      <w:szCs w:val="20"/>
                                    </w:rPr>
                                    <w:t xml:space="preserve">PRIORITE 1 : </w:t>
                                  </w:r>
                                  <w:r w:rsidRPr="00717467">
                                    <w:rPr>
                                      <w:sz w:val="20"/>
                                      <w:szCs w:val="20"/>
                                    </w:rPr>
                                    <w:t>AUGMENTER L’UTILISATION DU PAQUET INTEGRE D’INTERVENTIONS DE SRMNEAN A HAUT IMPACT.</w:t>
                                  </w:r>
                                </w:p>
                                <w:p w:rsidR="00611E16" w:rsidRPr="00DC22A4" w:rsidRDefault="00611E16" w:rsidP="00750AD2">
                                  <w:pPr>
                                    <w:contextualSpacing/>
                                    <w:rPr>
                                      <w:b/>
                                      <w:sz w:val="20"/>
                                      <w:szCs w:val="20"/>
                                    </w:rPr>
                                  </w:pPr>
                                  <w:r w:rsidRPr="00DC22A4">
                                    <w:rPr>
                                      <w:b/>
                                      <w:sz w:val="20"/>
                                      <w:szCs w:val="20"/>
                                    </w:rPr>
                                    <w:t>P03 : Prestations de services</w:t>
                                  </w:r>
                                  <w:r>
                                    <w:rPr>
                                      <w:b/>
                                      <w:sz w:val="20"/>
                                      <w:szCs w:val="20"/>
                                    </w:rPr>
                                    <w:t xml:space="preserve"> (056)</w:t>
                                  </w:r>
                                </w:p>
                                <w:p w:rsidR="00611E16" w:rsidRPr="00717467" w:rsidRDefault="00611E16" w:rsidP="00750AD2">
                                  <w:pPr>
                                    <w:contextualSpacing/>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2" o:spid="_x0000_s1040" type="#_x0000_t15" style="position:absolute;left:0;text-align:left;margin-left:-4.1pt;margin-top:16.85pt;width:186.75pt;height:78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" adj="19526" fillcolor="#eaf1dd [662]">
                      <v:textbox>
                        <w:txbxContent>
                          <w:p w:rsidR="00611E16" w:rsidRDefault="00611E16" w:rsidP="00750AD2">
                            <w:pPr>
                              <w:contextualSpacing/>
                              <w:rPr>
                                <w:sz w:val="20"/>
                                <w:szCs w:val="20"/>
                              </w:rPr>
                            </w:pPr>
                            <w:r w:rsidRPr="00717467">
                              <w:rPr>
                                <w:b/>
                                <w:sz w:val="20"/>
                                <w:szCs w:val="20"/>
                              </w:rPr>
                              <w:t xml:space="preserve">PRIORITE 1 : </w:t>
                            </w:r>
                            <w:r w:rsidRPr="00717467">
                              <w:rPr>
                                <w:sz w:val="20"/>
                                <w:szCs w:val="20"/>
                              </w:rPr>
                              <w:t>AUGMENTER L’UTILISATION DU PAQUET INTEGRE D’INTERVENTIONS DE SRMNEAN A HAUT IMPACT.</w:t>
                            </w:r>
                          </w:p>
                          <w:p w:rsidR="00611E16" w:rsidRPr="00DC22A4" w:rsidRDefault="00611E16" w:rsidP="00750AD2">
                            <w:pPr>
                              <w:contextualSpacing/>
                              <w:rPr>
                                <w:b/>
                                <w:sz w:val="20"/>
                                <w:szCs w:val="20"/>
                              </w:rPr>
                            </w:pPr>
                            <w:r w:rsidRPr="00DC22A4">
                              <w:rPr>
                                <w:b/>
                                <w:sz w:val="20"/>
                                <w:szCs w:val="20"/>
                              </w:rPr>
                              <w:t>P03 : Prestations de services</w:t>
                            </w:r>
                            <w:r>
                              <w:rPr>
                                <w:b/>
                                <w:sz w:val="20"/>
                                <w:szCs w:val="20"/>
                              </w:rPr>
                              <w:t xml:space="preserve"> (056)</w:t>
                            </w:r>
                          </w:p>
                          <w:p w:rsidR="00611E16" w:rsidRPr="00717467" w:rsidRDefault="00611E16" w:rsidP="00750AD2">
                            <w:pPr>
                              <w:contextualSpacing/>
                              <w:rPr>
                                <w:sz w:val="20"/>
                                <w:szCs w:val="20"/>
                              </w:rPr>
                            </w:pPr>
                          </w:p>
                        </w:txbxContent>
                      </v:textbox>
                    </v:shape>
                  </w:pict>
                </mc:Fallback>
              </mc:AlternateContent>
            </w:r>
            <w:r w:rsidR="006B3C6D" w:rsidRPr="006B3C6D">
              <w:rPr>
                <w:b/>
              </w:rPr>
              <w:t>PRIORITE</w:t>
            </w:r>
          </w:p>
        </w:tc>
        <w:tc>
          <w:tcPr>
            <w:tcW w:w="284" w:type="dxa"/>
            <w:tcBorders>
              <w:left w:val="nil"/>
              <w:bottom w:val="nil"/>
              <w:right w:val="nil"/>
            </w:tcBorders>
            <w:shd w:val="clear" w:color="auto" w:fill="DAEEF3" w:themeFill="accent5" w:themeFillTint="33"/>
          </w:tcPr>
          <w:p w:rsidR="006B3C6D" w:rsidRPr="006B3C6D" w:rsidRDefault="006B3C6D" w:rsidP="006B3C6D">
            <w:pPr>
              <w:spacing w:line="360" w:lineRule="auto"/>
              <w:jc w:val="center"/>
              <w:rPr>
                <w:b/>
              </w:rPr>
            </w:pPr>
          </w:p>
        </w:tc>
        <w:tc>
          <w:tcPr>
            <w:tcW w:w="5276" w:type="dxa"/>
            <w:tcBorders>
              <w:left w:val="nil"/>
              <w:bottom w:val="nil"/>
            </w:tcBorders>
            <w:shd w:val="clear" w:color="auto" w:fill="DAEEF3" w:themeFill="accent5" w:themeFillTint="33"/>
          </w:tcPr>
          <w:p w:rsidR="006B3C6D" w:rsidRPr="006B3C6D" w:rsidRDefault="006B3C6D" w:rsidP="006B3C6D">
            <w:pPr>
              <w:spacing w:line="360" w:lineRule="auto"/>
              <w:jc w:val="center"/>
              <w:rPr>
                <w:b/>
              </w:rPr>
            </w:pPr>
            <w:r w:rsidRPr="006B3C6D">
              <w:rPr>
                <w:b/>
              </w:rPr>
              <w:t>SOUS-PRIORITE</w:t>
            </w:r>
          </w:p>
        </w:tc>
      </w:tr>
      <w:tr w:rsidR="006B3C6D" w:rsidTr="00BF0025">
        <w:trPr>
          <w:trHeight w:val="1304"/>
        </w:trPr>
        <w:tc>
          <w:tcPr>
            <w:tcW w:w="3652" w:type="dxa"/>
            <w:tcBorders>
              <w:top w:val="nil"/>
              <w:bottom w:val="nil"/>
              <w:right w:val="nil"/>
            </w:tcBorders>
            <w:shd w:val="clear" w:color="auto" w:fill="DAEEF3" w:themeFill="accent5" w:themeFillTint="33"/>
          </w:tcPr>
          <w:p w:rsidR="006B3C6D" w:rsidRDefault="006B3C6D" w:rsidP="00996A29"/>
        </w:tc>
        <w:tc>
          <w:tcPr>
            <w:tcW w:w="284" w:type="dxa"/>
            <w:tcBorders>
              <w:top w:val="nil"/>
              <w:left w:val="nil"/>
              <w:bottom w:val="nil"/>
              <w:right w:val="nil"/>
            </w:tcBorders>
            <w:shd w:val="clear" w:color="auto" w:fill="DAEEF3" w:themeFill="accent5" w:themeFillTint="33"/>
          </w:tcPr>
          <w:p w:rsidR="006B3C6D" w:rsidRDefault="006B3C6D" w:rsidP="00996A29"/>
        </w:tc>
        <w:tc>
          <w:tcPr>
            <w:tcW w:w="5276" w:type="dxa"/>
            <w:tcBorders>
              <w:top w:val="nil"/>
              <w:left w:val="nil"/>
              <w:bottom w:val="nil"/>
            </w:tcBorders>
            <w:shd w:val="clear" w:color="auto" w:fill="EAF1DD" w:themeFill="accent3" w:themeFillTint="33"/>
          </w:tcPr>
          <w:p w:rsidR="006B3C6D" w:rsidRPr="00BF5820" w:rsidRDefault="006B3C6D" w:rsidP="00996A29"/>
          <w:p w:rsidR="006B3C6D" w:rsidRPr="00BF5820" w:rsidRDefault="0092644D" w:rsidP="00EF59CC">
            <w:pPr>
              <w:pStyle w:val="Normal1"/>
              <w:numPr>
                <w:ilvl w:val="1"/>
                <w:numId w:val="135"/>
              </w:numPr>
              <w:pBdr>
                <w:top w:val="nil"/>
                <w:left w:val="nil"/>
                <w:bottom w:val="nil"/>
                <w:right w:val="nil"/>
                <w:between w:val="nil"/>
              </w:pBdr>
              <w:ind w:left="459" w:hanging="426"/>
              <w:jc w:val="both"/>
              <w:rPr>
                <w:color w:val="000000"/>
              </w:rPr>
            </w:pPr>
            <w:r>
              <w:rPr>
                <w:color w:val="000000"/>
              </w:rPr>
              <w:t>A</w:t>
            </w:r>
            <w:r w:rsidR="006B3C6D" w:rsidRPr="00BF5820">
              <w:rPr>
                <w:color w:val="000000"/>
              </w:rPr>
              <w:t>méliorer l’offre de services du paquet SRMNEAN à haut impact, intégré et de qualité</w:t>
            </w:r>
            <w:r>
              <w:rPr>
                <w:color w:val="000000"/>
              </w:rPr>
              <w:t>.</w:t>
            </w:r>
          </w:p>
          <w:p w:rsidR="00571EAC" w:rsidRPr="00571EAC" w:rsidRDefault="0092644D" w:rsidP="00EF59CC">
            <w:pPr>
              <w:pStyle w:val="Normal1"/>
              <w:numPr>
                <w:ilvl w:val="1"/>
                <w:numId w:val="135"/>
              </w:numPr>
              <w:pBdr>
                <w:top w:val="nil"/>
                <w:left w:val="nil"/>
                <w:bottom w:val="nil"/>
                <w:right w:val="nil"/>
                <w:between w:val="nil"/>
              </w:pBdr>
              <w:ind w:left="459" w:hanging="426"/>
              <w:jc w:val="both"/>
              <w:rPr>
                <w:color w:val="000000"/>
              </w:rPr>
            </w:pPr>
            <w:r>
              <w:rPr>
                <w:color w:val="000000"/>
              </w:rPr>
              <w:t xml:space="preserve">Augmenter, de manière équitable la demande de </w:t>
            </w:r>
            <w:r w:rsidRPr="00B100DA">
              <w:rPr>
                <w:color w:val="000000"/>
                <w:shd w:val="clear" w:color="auto" w:fill="EAF1DD" w:themeFill="accent3" w:themeFillTint="33"/>
              </w:rPr>
              <w:t>services de SRMNEAN.</w:t>
            </w:r>
          </w:p>
        </w:tc>
      </w:tr>
      <w:tr w:rsidR="006B3C6D" w:rsidTr="00BF0025">
        <w:tc>
          <w:tcPr>
            <w:tcW w:w="3652" w:type="dxa"/>
            <w:tcBorders>
              <w:top w:val="nil"/>
              <w:bottom w:val="nil"/>
              <w:right w:val="nil"/>
            </w:tcBorders>
            <w:shd w:val="clear" w:color="auto" w:fill="DAEEF3" w:themeFill="accent5" w:themeFillTint="33"/>
          </w:tcPr>
          <w:p w:rsidR="006B3C6D" w:rsidRDefault="006B3C6D" w:rsidP="00996A29"/>
        </w:tc>
        <w:tc>
          <w:tcPr>
            <w:tcW w:w="284" w:type="dxa"/>
            <w:tcBorders>
              <w:top w:val="nil"/>
              <w:left w:val="nil"/>
              <w:bottom w:val="nil"/>
              <w:right w:val="nil"/>
            </w:tcBorders>
            <w:shd w:val="clear" w:color="auto" w:fill="DAEEF3" w:themeFill="accent5" w:themeFillTint="33"/>
          </w:tcPr>
          <w:p w:rsidR="006B3C6D" w:rsidRDefault="006B3C6D" w:rsidP="00996A29"/>
        </w:tc>
        <w:tc>
          <w:tcPr>
            <w:tcW w:w="5276" w:type="dxa"/>
            <w:tcBorders>
              <w:top w:val="nil"/>
              <w:left w:val="nil"/>
              <w:bottom w:val="nil"/>
            </w:tcBorders>
            <w:shd w:val="clear" w:color="auto" w:fill="DAEEF3" w:themeFill="accent5" w:themeFillTint="33"/>
          </w:tcPr>
          <w:p w:rsidR="006B3C6D" w:rsidRDefault="006B3C6D" w:rsidP="00996A29"/>
        </w:tc>
      </w:tr>
      <w:tr w:rsidR="006B3C6D" w:rsidTr="00BF0025">
        <w:tc>
          <w:tcPr>
            <w:tcW w:w="3652" w:type="dxa"/>
            <w:tcBorders>
              <w:top w:val="nil"/>
              <w:bottom w:val="nil"/>
              <w:right w:val="nil"/>
            </w:tcBorders>
            <w:shd w:val="clear" w:color="auto" w:fill="DAEEF3" w:themeFill="accent5" w:themeFillTint="33"/>
          </w:tcPr>
          <w:p w:rsidR="006B3C6D" w:rsidRDefault="004B0495" w:rsidP="00996A29">
            <w:r>
              <w:rPr>
                <w:noProof/>
              </w:rPr>
              <mc:AlternateContent>
                <mc:Choice Requires="wps">
                  <w:drawing>
                    <wp:anchor distT="0" distB="0" distL="114300" distR="114300" simplePos="0" relativeHeight="251615744" behindDoc="0" locked="0" layoutInCell="1" allowOverlap="1">
                      <wp:simplePos x="0" y="0"/>
                      <wp:positionH relativeFrom="column">
                        <wp:posOffset>-52070</wp:posOffset>
                      </wp:positionH>
                      <wp:positionV relativeFrom="paragraph">
                        <wp:posOffset>20955</wp:posOffset>
                      </wp:positionV>
                      <wp:extent cx="2371725" cy="1133475"/>
                      <wp:effectExtent l="5080" t="11430" r="13970" b="7620"/>
                      <wp:wrapNone/>
                      <wp:docPr id="20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1133475"/>
                              </a:xfrm>
                              <a:prstGeom prst="homePlate">
                                <a:avLst>
                                  <a:gd name="adj" fmla="val 20091"/>
                                </a:avLst>
                              </a:prstGeom>
                              <a:solidFill>
                                <a:schemeClr val="accent3">
                                  <a:lumMod val="40000"/>
                                  <a:lumOff val="60000"/>
                                </a:schemeClr>
                              </a:solidFill>
                              <a:ln w="9525">
                                <a:solidFill>
                                  <a:srgbClr val="000000"/>
                                </a:solidFill>
                                <a:miter lim="800000"/>
                                <a:headEnd/>
                                <a:tailEnd/>
                              </a:ln>
                            </wps:spPr>
                            <wps:txbx>
                              <w:txbxContent>
                                <w:p w:rsidR="00611E16" w:rsidRDefault="00611E16" w:rsidP="00750AD2">
                                  <w:pPr>
                                    <w:contextualSpacing/>
                                    <w:rPr>
                                      <w:sz w:val="20"/>
                                      <w:szCs w:val="20"/>
                                    </w:rPr>
                                  </w:pPr>
                                  <w:r>
                                    <w:rPr>
                                      <w:b/>
                                      <w:sz w:val="20"/>
                                      <w:szCs w:val="20"/>
                                    </w:rPr>
                                    <w:t xml:space="preserve">PRIORITE 2 : </w:t>
                                  </w:r>
                                  <w:r w:rsidRPr="0092644D">
                                    <w:rPr>
                                      <w:sz w:val="20"/>
                                      <w:szCs w:val="20"/>
                                    </w:rPr>
                                    <w:t>RENFORCER LE</w:t>
                                  </w:r>
                                  <w:r>
                                    <w:rPr>
                                      <w:sz w:val="20"/>
                                      <w:szCs w:val="20"/>
                                    </w:rPr>
                                    <w:t xml:space="preserve">S PILIERS </w:t>
                                  </w:r>
                                  <w:r w:rsidRPr="0092644D">
                                    <w:rPr>
                                      <w:sz w:val="20"/>
                                      <w:szCs w:val="20"/>
                                    </w:rPr>
                                    <w:t xml:space="preserve"> SYSTEME DE SANTE EN APPUI A L’OFFRE DU PAQUET INTE</w:t>
                                  </w:r>
                                  <w:r>
                                    <w:rPr>
                                      <w:sz w:val="20"/>
                                      <w:szCs w:val="20"/>
                                    </w:rPr>
                                    <w:t>GRE D’INTERVENTIONS DE SRMNEAN A</w:t>
                                  </w:r>
                                  <w:r w:rsidRPr="0092644D">
                                    <w:rPr>
                                      <w:sz w:val="20"/>
                                      <w:szCs w:val="20"/>
                                    </w:rPr>
                                    <w:t xml:space="preserve"> HAUT IMPACT.</w:t>
                                  </w:r>
                                </w:p>
                                <w:p w:rsidR="00611E16" w:rsidRPr="00B100DA" w:rsidRDefault="00611E16" w:rsidP="00750AD2">
                                  <w:pPr>
                                    <w:contextualSpacing/>
                                    <w:rPr>
                                      <w:b/>
                                    </w:rPr>
                                  </w:pPr>
                                  <w:r w:rsidRPr="00B100DA">
                                    <w:rPr>
                                      <w:b/>
                                      <w:sz w:val="20"/>
                                      <w:szCs w:val="20"/>
                                    </w:rPr>
                                    <w:t xml:space="preserve">P02 : Accès aux services de santé (055)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41" type="#_x0000_t15" style="position:absolute;margin-left:-4.1pt;margin-top:1.65pt;width:186.75pt;height:89.25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" adj="19526" fillcolor="#d6e3bc [1302]">
                      <v:textbox>
                        <w:txbxContent>
                          <w:p w:rsidR="00611E16" w:rsidRDefault="00611E16" w:rsidP="00750AD2">
                            <w:pPr>
                              <w:contextualSpacing/>
                              <w:rPr>
                                <w:sz w:val="20"/>
                                <w:szCs w:val="20"/>
                              </w:rPr>
                            </w:pPr>
                            <w:r>
                              <w:rPr>
                                <w:b/>
                                <w:sz w:val="20"/>
                                <w:szCs w:val="20"/>
                              </w:rPr>
                              <w:t xml:space="preserve">PRIORITE 2 : </w:t>
                            </w:r>
                            <w:r w:rsidRPr="0092644D">
                              <w:rPr>
                                <w:sz w:val="20"/>
                                <w:szCs w:val="20"/>
                              </w:rPr>
                              <w:t>RENFORCER LE</w:t>
                            </w:r>
                            <w:r>
                              <w:rPr>
                                <w:sz w:val="20"/>
                                <w:szCs w:val="20"/>
                              </w:rPr>
                              <w:t xml:space="preserve">S PILIERS </w:t>
                            </w:r>
                            <w:r w:rsidRPr="0092644D">
                              <w:rPr>
                                <w:sz w:val="20"/>
                                <w:szCs w:val="20"/>
                              </w:rPr>
                              <w:t xml:space="preserve"> SYSTEME DE SANTE EN APPUI A L’OFFRE DU PAQUET INTE</w:t>
                            </w:r>
                            <w:r>
                              <w:rPr>
                                <w:sz w:val="20"/>
                                <w:szCs w:val="20"/>
                              </w:rPr>
                              <w:t>GRE D’INTERVENTIONS DE SRMNEAN A</w:t>
                            </w:r>
                            <w:r w:rsidRPr="0092644D">
                              <w:rPr>
                                <w:sz w:val="20"/>
                                <w:szCs w:val="20"/>
                              </w:rPr>
                              <w:t xml:space="preserve"> HAUT IMPACT.</w:t>
                            </w:r>
                          </w:p>
                          <w:p w:rsidR="00611E16" w:rsidRPr="00B100DA" w:rsidRDefault="00611E16" w:rsidP="00750AD2">
                            <w:pPr>
                              <w:contextualSpacing/>
                              <w:rPr>
                                <w:b/>
                              </w:rPr>
                            </w:pPr>
                            <w:r w:rsidRPr="00B100DA">
                              <w:rPr>
                                <w:b/>
                                <w:sz w:val="20"/>
                                <w:szCs w:val="20"/>
                              </w:rPr>
                              <w:t xml:space="preserve">P02 : Accès aux services de santé (055) </w:t>
                            </w:r>
                          </w:p>
                        </w:txbxContent>
                      </v:textbox>
                    </v:shape>
                  </w:pict>
                </mc:Fallback>
              </mc:AlternateContent>
            </w:r>
          </w:p>
        </w:tc>
        <w:tc>
          <w:tcPr>
            <w:tcW w:w="284" w:type="dxa"/>
            <w:tcBorders>
              <w:top w:val="nil"/>
              <w:left w:val="nil"/>
              <w:bottom w:val="nil"/>
              <w:right w:val="nil"/>
            </w:tcBorders>
            <w:shd w:val="clear" w:color="auto" w:fill="DAEEF3" w:themeFill="accent5" w:themeFillTint="33"/>
          </w:tcPr>
          <w:p w:rsidR="006B3C6D" w:rsidRDefault="006B3C6D" w:rsidP="00996A29"/>
        </w:tc>
        <w:tc>
          <w:tcPr>
            <w:tcW w:w="5276" w:type="dxa"/>
            <w:tcBorders>
              <w:top w:val="nil"/>
              <w:left w:val="nil"/>
              <w:bottom w:val="nil"/>
            </w:tcBorders>
            <w:shd w:val="clear" w:color="auto" w:fill="D6E3BC" w:themeFill="accent3" w:themeFillTint="66"/>
          </w:tcPr>
          <w:p w:rsidR="006B3C6D" w:rsidRPr="00BF5820" w:rsidRDefault="0092644D" w:rsidP="00EF59CC">
            <w:pPr>
              <w:pStyle w:val="Normal1"/>
              <w:numPr>
                <w:ilvl w:val="1"/>
                <w:numId w:val="136"/>
              </w:numPr>
              <w:ind w:left="459" w:hanging="459"/>
              <w:jc w:val="both"/>
              <w:rPr>
                <w:color w:val="000000"/>
              </w:rPr>
            </w:pPr>
            <w:r>
              <w:rPr>
                <w:color w:val="000000"/>
              </w:rPr>
              <w:t>A</w:t>
            </w:r>
            <w:r w:rsidR="006B3C6D" w:rsidRPr="00BF5820">
              <w:rPr>
                <w:color w:val="000000"/>
              </w:rPr>
              <w:t>ssurer la disponibilité d’un personnel</w:t>
            </w:r>
            <w:r>
              <w:rPr>
                <w:color w:val="000000"/>
              </w:rPr>
              <w:t xml:space="preserve"> opérationnel, compétent, motivé</w:t>
            </w:r>
            <w:r w:rsidR="006B3C6D" w:rsidRPr="00BF5820">
              <w:rPr>
                <w:color w:val="000000"/>
              </w:rPr>
              <w:t xml:space="preserve"> et</w:t>
            </w:r>
            <w:r>
              <w:rPr>
                <w:color w:val="000000"/>
              </w:rPr>
              <w:t xml:space="preserve"> réparti équitablement.</w:t>
            </w:r>
          </w:p>
          <w:p w:rsidR="006B3C6D" w:rsidRPr="00B100DA" w:rsidRDefault="0092644D" w:rsidP="00EF59CC">
            <w:pPr>
              <w:pStyle w:val="Normal1"/>
              <w:numPr>
                <w:ilvl w:val="1"/>
                <w:numId w:val="136"/>
              </w:numPr>
              <w:ind w:left="459" w:hanging="459"/>
              <w:jc w:val="both"/>
              <w:rPr>
                <w:color w:val="000000"/>
              </w:rPr>
            </w:pPr>
            <w:r>
              <w:rPr>
                <w:color w:val="000000"/>
              </w:rPr>
              <w:t>A</w:t>
            </w:r>
            <w:r w:rsidR="006B3C6D" w:rsidRPr="00BF5820">
              <w:rPr>
                <w:color w:val="000000"/>
              </w:rPr>
              <w:t xml:space="preserve">ssurer la disponibilité des </w:t>
            </w:r>
            <w:r>
              <w:rPr>
                <w:color w:val="000000"/>
              </w:rPr>
              <w:t xml:space="preserve">infrastructures, équipements, </w:t>
            </w:r>
            <w:r w:rsidR="006B3C6D" w:rsidRPr="00BF5820">
              <w:rPr>
                <w:color w:val="000000"/>
              </w:rPr>
              <w:t>logistique</w:t>
            </w:r>
            <w:r>
              <w:rPr>
                <w:color w:val="000000"/>
              </w:rPr>
              <w:t xml:space="preserve"> et intrants </w:t>
            </w:r>
            <w:r w:rsidR="006B3C6D" w:rsidRPr="00BF5820">
              <w:rPr>
                <w:color w:val="000000"/>
              </w:rPr>
              <w:t xml:space="preserve"> pour l’offre des services SRMNEAN</w:t>
            </w:r>
            <w:r>
              <w:rPr>
                <w:color w:val="000000"/>
              </w:rPr>
              <w:t>.</w:t>
            </w:r>
          </w:p>
        </w:tc>
      </w:tr>
      <w:tr w:rsidR="006B3C6D" w:rsidTr="00BF0025">
        <w:trPr>
          <w:trHeight w:val="137"/>
        </w:trPr>
        <w:tc>
          <w:tcPr>
            <w:tcW w:w="3652" w:type="dxa"/>
            <w:tcBorders>
              <w:top w:val="nil"/>
              <w:bottom w:val="nil"/>
              <w:right w:val="nil"/>
            </w:tcBorders>
            <w:shd w:val="clear" w:color="auto" w:fill="DAEEF3" w:themeFill="accent5" w:themeFillTint="33"/>
          </w:tcPr>
          <w:p w:rsidR="006B3C6D" w:rsidRDefault="006B3C6D" w:rsidP="00996A29"/>
        </w:tc>
        <w:tc>
          <w:tcPr>
            <w:tcW w:w="284" w:type="dxa"/>
            <w:tcBorders>
              <w:top w:val="nil"/>
              <w:left w:val="nil"/>
              <w:bottom w:val="nil"/>
              <w:right w:val="nil"/>
            </w:tcBorders>
            <w:shd w:val="clear" w:color="auto" w:fill="DAEEF3" w:themeFill="accent5" w:themeFillTint="33"/>
          </w:tcPr>
          <w:p w:rsidR="006B3C6D" w:rsidRDefault="006B3C6D" w:rsidP="00996A29"/>
        </w:tc>
        <w:tc>
          <w:tcPr>
            <w:tcW w:w="5276" w:type="dxa"/>
            <w:tcBorders>
              <w:top w:val="nil"/>
              <w:left w:val="nil"/>
              <w:bottom w:val="nil"/>
            </w:tcBorders>
            <w:shd w:val="clear" w:color="auto" w:fill="DAEEF3" w:themeFill="accent5" w:themeFillTint="33"/>
          </w:tcPr>
          <w:p w:rsidR="006B3C6D" w:rsidRDefault="006B3C6D" w:rsidP="00996A29"/>
        </w:tc>
      </w:tr>
      <w:tr w:rsidR="006B3C6D" w:rsidTr="00BF0025">
        <w:trPr>
          <w:trHeight w:val="1280"/>
        </w:trPr>
        <w:tc>
          <w:tcPr>
            <w:tcW w:w="3652" w:type="dxa"/>
            <w:tcBorders>
              <w:top w:val="nil"/>
              <w:right w:val="nil"/>
            </w:tcBorders>
            <w:shd w:val="clear" w:color="auto" w:fill="DAEEF3" w:themeFill="accent5" w:themeFillTint="33"/>
          </w:tcPr>
          <w:p w:rsidR="006B3C6D" w:rsidRDefault="004B0495" w:rsidP="00996A29">
            <w:r>
              <w:rPr>
                <w:noProof/>
              </w:rPr>
              <mc:AlternateContent>
                <mc:Choice Requires="wps">
                  <w:drawing>
                    <wp:anchor distT="0" distB="0" distL="114300" distR="114300" simplePos="0" relativeHeight="251616768" behindDoc="0" locked="0" layoutInCell="1" allowOverlap="1">
                      <wp:simplePos x="0" y="0"/>
                      <wp:positionH relativeFrom="column">
                        <wp:posOffset>-52070</wp:posOffset>
                      </wp:positionH>
                      <wp:positionV relativeFrom="paragraph">
                        <wp:posOffset>127000</wp:posOffset>
                      </wp:positionV>
                      <wp:extent cx="2371725" cy="841375"/>
                      <wp:effectExtent l="5080" t="12700" r="13970" b="12700"/>
                      <wp:wrapNone/>
                      <wp:docPr id="20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841375"/>
                              </a:xfrm>
                              <a:prstGeom prst="homePlate">
                                <a:avLst>
                                  <a:gd name="adj" fmla="val 27066"/>
                                </a:avLst>
                              </a:prstGeom>
                              <a:solidFill>
                                <a:schemeClr val="accent3">
                                  <a:lumMod val="60000"/>
                                  <a:lumOff val="40000"/>
                                </a:schemeClr>
                              </a:solidFill>
                              <a:ln w="9525">
                                <a:solidFill>
                                  <a:srgbClr val="000000"/>
                                </a:solidFill>
                                <a:miter lim="800000"/>
                                <a:headEnd/>
                                <a:tailEnd/>
                              </a:ln>
                            </wps:spPr>
                            <wps:txbx>
                              <w:txbxContent>
                                <w:p w:rsidR="00611E16" w:rsidRDefault="00611E16" w:rsidP="00750AD2">
                                  <w:pPr>
                                    <w:pStyle w:val="Normal1"/>
                                    <w:contextualSpacing/>
                                    <w:jc w:val="both"/>
                                    <w:rPr>
                                      <w:sz w:val="20"/>
                                      <w:szCs w:val="20"/>
                                    </w:rPr>
                                  </w:pPr>
                                  <w:r>
                                    <w:rPr>
                                      <w:b/>
                                      <w:sz w:val="20"/>
                                      <w:szCs w:val="20"/>
                                    </w:rPr>
                                    <w:t xml:space="preserve">PRIORITE 3 : </w:t>
                                  </w:r>
                                  <w:r w:rsidRPr="0092644D">
                                    <w:rPr>
                                      <w:sz w:val="20"/>
                                      <w:szCs w:val="20"/>
                                    </w:rPr>
                                    <w:t>RENFORCER LE PILOTAGE DU SYSTEME DE SANTE</w:t>
                                  </w:r>
                                </w:p>
                                <w:p w:rsidR="00611E16" w:rsidRDefault="00611E16" w:rsidP="00750AD2">
                                  <w:pPr>
                                    <w:pStyle w:val="Normal1"/>
                                    <w:contextualSpacing/>
                                    <w:jc w:val="both"/>
                                    <w:rPr>
                                      <w:b/>
                                      <w:sz w:val="20"/>
                                      <w:szCs w:val="20"/>
                                    </w:rPr>
                                  </w:pPr>
                                  <w:r w:rsidRPr="00B100DA">
                                    <w:rPr>
                                      <w:b/>
                                      <w:sz w:val="20"/>
                                      <w:szCs w:val="20"/>
                                    </w:rPr>
                                    <w:t>P01 :</w:t>
                                  </w:r>
                                  <w:r w:rsidRPr="00B100DA">
                                    <w:rPr>
                                      <w:rFonts w:ascii="Arial" w:hAnsi="Arial" w:cs="Arial"/>
                                      <w:b/>
                                      <w:i/>
                                      <w:sz w:val="26"/>
                                      <w:szCs w:val="26"/>
                                    </w:rPr>
                                    <w:t xml:space="preserve"> </w:t>
                                  </w:r>
                                  <w:r>
                                    <w:rPr>
                                      <w:rFonts w:asciiTheme="majorHAnsi" w:hAnsiTheme="majorHAnsi" w:cstheme="majorHAnsi"/>
                                      <w:b/>
                                      <w:sz w:val="20"/>
                                      <w:szCs w:val="20"/>
                                    </w:rPr>
                                    <w:t>P</w:t>
                                  </w:r>
                                  <w:r w:rsidRPr="00B100DA">
                                    <w:rPr>
                                      <w:rFonts w:asciiTheme="majorHAnsi" w:hAnsiTheme="majorHAnsi" w:cstheme="majorHAnsi"/>
                                      <w:b/>
                                      <w:sz w:val="20"/>
                                      <w:szCs w:val="20"/>
                                    </w:rPr>
                                    <w:t>ilotage et soutien des services du Ministère</w:t>
                                  </w:r>
                                  <w:r w:rsidRPr="00B100DA">
                                    <w:rPr>
                                      <w:rFonts w:ascii="Arial" w:hAnsi="Arial" w:cs="Arial"/>
                                      <w:b/>
                                      <w:sz w:val="26"/>
                                      <w:szCs w:val="26"/>
                                    </w:rPr>
                                    <w:t xml:space="preserve"> </w:t>
                                  </w:r>
                                  <w:r w:rsidRPr="00B100DA">
                                    <w:rPr>
                                      <w:rFonts w:asciiTheme="majorHAnsi" w:hAnsiTheme="majorHAnsi" w:cstheme="majorHAnsi"/>
                                      <w:b/>
                                      <w:sz w:val="20"/>
                                      <w:szCs w:val="20"/>
                                    </w:rPr>
                                    <w:t>de la santé</w:t>
                                  </w:r>
                                  <w:r>
                                    <w:rPr>
                                      <w:rFonts w:asciiTheme="majorHAnsi" w:hAnsiTheme="majorHAnsi" w:cstheme="majorHAnsi"/>
                                      <w:b/>
                                      <w:sz w:val="20"/>
                                      <w:szCs w:val="20"/>
                                    </w:rPr>
                                    <w:t xml:space="preserve"> (057)</w:t>
                                  </w:r>
                                  <w:r>
                                    <w:rPr>
                                      <w:sz w:val="20"/>
                                      <w:szCs w:val="20"/>
                                    </w:rPr>
                                    <w:t xml:space="preserve"> </w:t>
                                  </w:r>
                                </w:p>
                                <w:p w:rsidR="00611E16" w:rsidRPr="009D7881" w:rsidRDefault="00611E16" w:rsidP="00750AD2">
                                  <w:pPr>
                                    <w:contextualSpacing/>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42" type="#_x0000_t15" style="position:absolute;margin-left:-4.1pt;margin-top:10pt;width:186.75pt;height:66.25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" adj="19526" fillcolor="#c2d69b [1942]">
                      <v:textbox>
                        <w:txbxContent>
                          <w:p w:rsidR="00611E16" w:rsidRDefault="00611E16" w:rsidP="00750AD2">
                            <w:pPr>
                              <w:pStyle w:val="Normal1"/>
                              <w:contextualSpacing/>
                              <w:jc w:val="both"/>
                              <w:rPr>
                                <w:sz w:val="20"/>
                                <w:szCs w:val="20"/>
                              </w:rPr>
                            </w:pPr>
                            <w:r>
                              <w:rPr>
                                <w:b/>
                                <w:sz w:val="20"/>
                                <w:szCs w:val="20"/>
                              </w:rPr>
                              <w:t xml:space="preserve">PRIORITE 3 : </w:t>
                            </w:r>
                            <w:r w:rsidRPr="0092644D">
                              <w:rPr>
                                <w:sz w:val="20"/>
                                <w:szCs w:val="20"/>
                              </w:rPr>
                              <w:t>RENFORCER LE PILOTAGE DU SYSTEME DE SANTE</w:t>
                            </w:r>
                          </w:p>
                          <w:p w:rsidR="00611E16" w:rsidRDefault="00611E16" w:rsidP="00750AD2">
                            <w:pPr>
                              <w:pStyle w:val="Normal1"/>
                              <w:contextualSpacing/>
                              <w:jc w:val="both"/>
                              <w:rPr>
                                <w:b/>
                                <w:sz w:val="20"/>
                                <w:szCs w:val="20"/>
                              </w:rPr>
                            </w:pPr>
                            <w:r w:rsidRPr="00B100DA">
                              <w:rPr>
                                <w:b/>
                                <w:sz w:val="20"/>
                                <w:szCs w:val="20"/>
                              </w:rPr>
                              <w:t>P01 :</w:t>
                            </w:r>
                            <w:r w:rsidRPr="00B100DA">
                              <w:rPr>
                                <w:rFonts w:ascii="Arial" w:hAnsi="Arial" w:cs="Arial"/>
                                <w:b/>
                                <w:i/>
                                <w:sz w:val="26"/>
                                <w:szCs w:val="26"/>
                              </w:rPr>
                              <w:t xml:space="preserve"> </w:t>
                            </w:r>
                            <w:r>
                              <w:rPr>
                                <w:rFonts w:asciiTheme="majorHAnsi" w:hAnsiTheme="majorHAnsi" w:cstheme="majorHAnsi"/>
                                <w:b/>
                                <w:sz w:val="20"/>
                                <w:szCs w:val="20"/>
                              </w:rPr>
                              <w:t>P</w:t>
                            </w:r>
                            <w:r w:rsidRPr="00B100DA">
                              <w:rPr>
                                <w:rFonts w:asciiTheme="majorHAnsi" w:hAnsiTheme="majorHAnsi" w:cstheme="majorHAnsi"/>
                                <w:b/>
                                <w:sz w:val="20"/>
                                <w:szCs w:val="20"/>
                              </w:rPr>
                              <w:t>ilotage et soutien des services du Ministère</w:t>
                            </w:r>
                            <w:r w:rsidRPr="00B100DA">
                              <w:rPr>
                                <w:rFonts w:ascii="Arial" w:hAnsi="Arial" w:cs="Arial"/>
                                <w:b/>
                                <w:sz w:val="26"/>
                                <w:szCs w:val="26"/>
                              </w:rPr>
                              <w:t xml:space="preserve"> </w:t>
                            </w:r>
                            <w:r w:rsidRPr="00B100DA">
                              <w:rPr>
                                <w:rFonts w:asciiTheme="majorHAnsi" w:hAnsiTheme="majorHAnsi" w:cstheme="majorHAnsi"/>
                                <w:b/>
                                <w:sz w:val="20"/>
                                <w:szCs w:val="20"/>
                              </w:rPr>
                              <w:t>de la santé</w:t>
                            </w:r>
                            <w:r>
                              <w:rPr>
                                <w:rFonts w:asciiTheme="majorHAnsi" w:hAnsiTheme="majorHAnsi" w:cstheme="majorHAnsi"/>
                                <w:b/>
                                <w:sz w:val="20"/>
                                <w:szCs w:val="20"/>
                              </w:rPr>
                              <w:t xml:space="preserve"> (057)</w:t>
                            </w:r>
                            <w:r>
                              <w:rPr>
                                <w:sz w:val="20"/>
                                <w:szCs w:val="20"/>
                              </w:rPr>
                              <w:t xml:space="preserve"> </w:t>
                            </w:r>
                          </w:p>
                          <w:p w:rsidR="00611E16" w:rsidRPr="009D7881" w:rsidRDefault="00611E16" w:rsidP="00750AD2">
                            <w:pPr>
                              <w:contextualSpacing/>
                              <w:rPr>
                                <w:sz w:val="16"/>
                                <w:szCs w:val="16"/>
                              </w:rPr>
                            </w:pPr>
                          </w:p>
                        </w:txbxContent>
                      </v:textbox>
                    </v:shape>
                  </w:pict>
                </mc:Fallback>
              </mc:AlternateContent>
            </w:r>
          </w:p>
        </w:tc>
        <w:tc>
          <w:tcPr>
            <w:tcW w:w="284" w:type="dxa"/>
            <w:tcBorders>
              <w:top w:val="nil"/>
              <w:left w:val="nil"/>
              <w:right w:val="nil"/>
            </w:tcBorders>
            <w:shd w:val="clear" w:color="auto" w:fill="DAEEF3" w:themeFill="accent5" w:themeFillTint="33"/>
          </w:tcPr>
          <w:p w:rsidR="006B3C6D" w:rsidRDefault="006B3C6D" w:rsidP="00996A29"/>
        </w:tc>
        <w:tc>
          <w:tcPr>
            <w:tcW w:w="5276" w:type="dxa"/>
            <w:tcBorders>
              <w:top w:val="nil"/>
              <w:left w:val="nil"/>
            </w:tcBorders>
            <w:shd w:val="clear" w:color="auto" w:fill="C2D69B" w:themeFill="accent3" w:themeFillTint="99"/>
          </w:tcPr>
          <w:p w:rsidR="00B100DA" w:rsidRDefault="00B100DA" w:rsidP="00E640E2">
            <w:pPr>
              <w:pStyle w:val="Normal1"/>
              <w:numPr>
                <w:ilvl w:val="1"/>
                <w:numId w:val="137"/>
              </w:numPr>
              <w:pBdr>
                <w:top w:val="nil"/>
                <w:left w:val="nil"/>
                <w:bottom w:val="nil"/>
                <w:right w:val="nil"/>
                <w:between w:val="nil"/>
              </w:pBdr>
              <w:spacing w:line="276" w:lineRule="auto"/>
              <w:ind w:left="459" w:hanging="459"/>
              <w:jc w:val="both"/>
              <w:rPr>
                <w:color w:val="000000"/>
              </w:rPr>
            </w:pPr>
            <w:r>
              <w:rPr>
                <w:color w:val="000000"/>
              </w:rPr>
              <w:t>Assurer le financement du DI-SRMNEAN-ECSV</w:t>
            </w:r>
          </w:p>
          <w:p w:rsidR="00E640E2" w:rsidRPr="0092644D" w:rsidRDefault="00E640E2" w:rsidP="00E640E2">
            <w:pPr>
              <w:pStyle w:val="Normal1"/>
              <w:numPr>
                <w:ilvl w:val="1"/>
                <w:numId w:val="137"/>
              </w:numPr>
              <w:pBdr>
                <w:top w:val="nil"/>
                <w:left w:val="nil"/>
                <w:bottom w:val="nil"/>
                <w:right w:val="nil"/>
                <w:between w:val="nil"/>
              </w:pBdr>
              <w:spacing w:line="276" w:lineRule="auto"/>
              <w:ind w:left="459" w:hanging="459"/>
              <w:jc w:val="both"/>
              <w:rPr>
                <w:color w:val="000000"/>
              </w:rPr>
            </w:pPr>
            <w:r>
              <w:rPr>
                <w:color w:val="000000"/>
              </w:rPr>
              <w:t>R</w:t>
            </w:r>
            <w:r w:rsidRPr="00BF5820">
              <w:rPr>
                <w:color w:val="000000"/>
              </w:rPr>
              <w:t>enfor</w:t>
            </w:r>
            <w:r>
              <w:rPr>
                <w:color w:val="000000"/>
              </w:rPr>
              <w:t>cer le système d’information sanitaire.</w:t>
            </w:r>
            <w:r w:rsidRPr="00BF5820">
              <w:rPr>
                <w:color w:val="000000"/>
              </w:rPr>
              <w:t xml:space="preserve"> </w:t>
            </w:r>
          </w:p>
          <w:p w:rsidR="00E640E2" w:rsidRDefault="00E640E2" w:rsidP="00E640E2">
            <w:pPr>
              <w:pStyle w:val="Normal1"/>
              <w:numPr>
                <w:ilvl w:val="1"/>
                <w:numId w:val="10"/>
              </w:numPr>
              <w:pBdr>
                <w:top w:val="nil"/>
                <w:left w:val="nil"/>
                <w:bottom w:val="nil"/>
                <w:right w:val="nil"/>
                <w:between w:val="nil"/>
              </w:pBdr>
              <w:spacing w:line="276" w:lineRule="auto"/>
              <w:jc w:val="both"/>
              <w:rPr>
                <w:color w:val="000000"/>
              </w:rPr>
            </w:pPr>
            <w:r>
              <w:rPr>
                <w:color w:val="000000"/>
              </w:rPr>
              <w:t>R</w:t>
            </w:r>
            <w:r w:rsidRPr="00BF5820">
              <w:rPr>
                <w:color w:val="000000"/>
              </w:rPr>
              <w:t xml:space="preserve">enforcer la </w:t>
            </w:r>
            <w:r>
              <w:rPr>
                <w:color w:val="000000"/>
              </w:rPr>
              <w:t xml:space="preserve">coordination intra sectorielle et la </w:t>
            </w:r>
            <w:r w:rsidRPr="00BF5820">
              <w:rPr>
                <w:color w:val="000000"/>
              </w:rPr>
              <w:t xml:space="preserve">collaboration intersectorielle </w:t>
            </w:r>
          </w:p>
          <w:p w:rsidR="006B3C6D" w:rsidRPr="00E640E2" w:rsidRDefault="00E640E2" w:rsidP="00E640E2">
            <w:pPr>
              <w:pStyle w:val="Normal1"/>
              <w:numPr>
                <w:ilvl w:val="1"/>
                <w:numId w:val="10"/>
              </w:numPr>
              <w:pBdr>
                <w:top w:val="nil"/>
                <w:left w:val="nil"/>
                <w:bottom w:val="nil"/>
                <w:right w:val="nil"/>
                <w:between w:val="nil"/>
              </w:pBdr>
              <w:spacing w:line="276" w:lineRule="auto"/>
              <w:jc w:val="both"/>
              <w:rPr>
                <w:color w:val="000000"/>
              </w:rPr>
            </w:pPr>
            <w:r>
              <w:rPr>
                <w:color w:val="000000"/>
              </w:rPr>
              <w:t>Améliorer l’enregistrement des faits d’Etat civil et la production des statistiques vitales</w:t>
            </w:r>
          </w:p>
        </w:tc>
      </w:tr>
    </w:tbl>
    <w:p w:rsidR="007B7592" w:rsidRDefault="007B7592"/>
    <w:p w:rsidR="00E640E2" w:rsidRDefault="00E640E2">
      <w:r>
        <w:t xml:space="preserve">Le tableau 7 indique les trois priorités du DI-SRMNEAN-ECSV ainsi que les sous-priorités qui les soutiennent. Chaque  Priorité est rapportée  à l’un des trois programmes du Budget-programme du secteur santé. </w:t>
      </w:r>
    </w:p>
    <w:p w:rsidR="004C595F" w:rsidRPr="009434FB" w:rsidRDefault="002F683C" w:rsidP="00E640E2">
      <w:pPr>
        <w:pStyle w:val="Normal1"/>
        <w:numPr>
          <w:ilvl w:val="1"/>
          <w:numId w:val="120"/>
        </w:numPr>
        <w:spacing w:after="0"/>
        <w:ind w:left="284" w:hanging="426"/>
        <w:jc w:val="both"/>
        <w:rPr>
          <w:rFonts w:asciiTheme="majorHAnsi" w:hAnsiTheme="majorHAnsi" w:cstheme="majorHAnsi"/>
          <w:sz w:val="24"/>
          <w:szCs w:val="24"/>
        </w:rPr>
      </w:pPr>
      <w:r>
        <w:rPr>
          <w:rFonts w:asciiTheme="majorHAnsi" w:hAnsiTheme="majorHAnsi" w:cstheme="majorHAnsi"/>
          <w:sz w:val="24"/>
          <w:szCs w:val="24"/>
        </w:rPr>
        <w:t>CHAINE DES RESULTATS</w:t>
      </w:r>
    </w:p>
    <w:p w:rsidR="004C595F" w:rsidRPr="009434FB" w:rsidRDefault="004C595F" w:rsidP="00E640E2">
      <w:pPr>
        <w:spacing w:after="0"/>
        <w:jc w:val="both"/>
        <w:rPr>
          <w:rFonts w:asciiTheme="majorHAnsi" w:hAnsiTheme="majorHAnsi" w:cstheme="majorHAnsi"/>
          <w:sz w:val="24"/>
          <w:szCs w:val="24"/>
        </w:rPr>
      </w:pPr>
      <w:r w:rsidRPr="009434FB">
        <w:rPr>
          <w:rFonts w:asciiTheme="majorHAnsi" w:hAnsiTheme="majorHAnsi" w:cstheme="majorHAnsi"/>
          <w:sz w:val="24"/>
          <w:szCs w:val="24"/>
        </w:rPr>
        <w:t xml:space="preserve">Le tableau 9 </w:t>
      </w:r>
      <w:r w:rsidR="00D73AF1" w:rsidRPr="009434FB">
        <w:rPr>
          <w:rFonts w:asciiTheme="majorHAnsi" w:hAnsiTheme="majorHAnsi" w:cstheme="majorHAnsi"/>
          <w:sz w:val="24"/>
          <w:szCs w:val="24"/>
        </w:rPr>
        <w:t>indique les principaux résultats attendu</w:t>
      </w:r>
      <w:r w:rsidR="00E640E2">
        <w:rPr>
          <w:rFonts w:asciiTheme="majorHAnsi" w:hAnsiTheme="majorHAnsi" w:cstheme="majorHAnsi"/>
          <w:sz w:val="24"/>
          <w:szCs w:val="24"/>
        </w:rPr>
        <w:t>s</w:t>
      </w:r>
      <w:r w:rsidR="00D73AF1" w:rsidRPr="009434FB">
        <w:rPr>
          <w:rFonts w:asciiTheme="majorHAnsi" w:hAnsiTheme="majorHAnsi" w:cstheme="majorHAnsi"/>
          <w:sz w:val="24"/>
          <w:szCs w:val="24"/>
        </w:rPr>
        <w:t xml:space="preserve"> de la mise en œuvre du Dossier d’Investissement.</w:t>
      </w:r>
    </w:p>
    <w:p w:rsidR="00D73AF1" w:rsidRPr="009434FB" w:rsidRDefault="009434FB" w:rsidP="009434FB">
      <w:pPr>
        <w:spacing w:after="0"/>
        <w:jc w:val="both"/>
        <w:rPr>
          <w:rFonts w:asciiTheme="majorHAnsi" w:hAnsiTheme="majorHAnsi" w:cstheme="majorHAnsi"/>
          <w:sz w:val="24"/>
          <w:szCs w:val="24"/>
        </w:rPr>
      </w:pPr>
      <w:r>
        <w:rPr>
          <w:rFonts w:asciiTheme="majorHAnsi" w:hAnsiTheme="majorHAnsi" w:cstheme="majorHAnsi"/>
          <w:sz w:val="24"/>
          <w:szCs w:val="24"/>
        </w:rPr>
        <w:t>Il s’agit de dou</w:t>
      </w:r>
      <w:r w:rsidR="00D73AF1" w:rsidRPr="009434FB">
        <w:rPr>
          <w:rFonts w:asciiTheme="majorHAnsi" w:hAnsiTheme="majorHAnsi" w:cstheme="majorHAnsi"/>
          <w:sz w:val="24"/>
          <w:szCs w:val="24"/>
        </w:rPr>
        <w:t>ze produits, deux effets et un résultat d’impact.</w:t>
      </w:r>
    </w:p>
    <w:p w:rsidR="00D73AF1" w:rsidRPr="00E640E2" w:rsidRDefault="00D73AF1" w:rsidP="00E640E2">
      <w:pPr>
        <w:pStyle w:val="Paragraphedeliste"/>
        <w:numPr>
          <w:ilvl w:val="2"/>
          <w:numId w:val="120"/>
        </w:numPr>
        <w:jc w:val="both"/>
        <w:rPr>
          <w:rFonts w:asciiTheme="majorHAnsi" w:hAnsiTheme="majorHAnsi" w:cstheme="majorHAnsi"/>
          <w:b/>
          <w:sz w:val="24"/>
          <w:szCs w:val="24"/>
        </w:rPr>
      </w:pPr>
      <w:r w:rsidRPr="00E640E2">
        <w:rPr>
          <w:rFonts w:asciiTheme="majorHAnsi" w:hAnsiTheme="majorHAnsi" w:cstheme="majorHAnsi"/>
          <w:b/>
          <w:sz w:val="24"/>
          <w:szCs w:val="24"/>
        </w:rPr>
        <w:t>Les produits</w:t>
      </w:r>
    </w:p>
    <w:p w:rsidR="00D73AF1" w:rsidRPr="009434FB" w:rsidRDefault="00D73AF1" w:rsidP="009434FB">
      <w:pPr>
        <w:spacing w:after="0"/>
        <w:jc w:val="both"/>
        <w:rPr>
          <w:rFonts w:asciiTheme="majorHAnsi" w:hAnsiTheme="majorHAnsi" w:cstheme="majorHAnsi"/>
          <w:b/>
          <w:sz w:val="24"/>
          <w:szCs w:val="24"/>
        </w:rPr>
      </w:pPr>
      <w:r w:rsidRPr="009434FB">
        <w:rPr>
          <w:rFonts w:asciiTheme="majorHAnsi" w:hAnsiTheme="majorHAnsi" w:cstheme="majorHAnsi"/>
          <w:b/>
          <w:sz w:val="24"/>
          <w:szCs w:val="24"/>
        </w:rPr>
        <w:t>Six produits rattachés à la priorité 1 :</w:t>
      </w:r>
    </w:p>
    <w:p w:rsidR="009434FB" w:rsidRPr="009434FB" w:rsidRDefault="009434FB"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color w:val="000000"/>
          <w:sz w:val="24"/>
          <w:szCs w:val="24"/>
        </w:rPr>
        <w:t>La couverture par le paquet  intégré d’interventions de SRMNEAN à haut impact, de qualité est améliorée.</w:t>
      </w:r>
    </w:p>
    <w:p w:rsidR="009434FB" w:rsidRDefault="009434FB"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sz w:val="24"/>
          <w:szCs w:val="24"/>
        </w:rPr>
        <w:t>La qualité des services, centrés sur la personne et la sécurité du patient, est  renforcée.</w:t>
      </w:r>
    </w:p>
    <w:p w:rsidR="00B56150" w:rsidRPr="00B56150" w:rsidRDefault="00B56150" w:rsidP="00B56150">
      <w:pPr>
        <w:pStyle w:val="Paragraphedeliste"/>
        <w:numPr>
          <w:ilvl w:val="0"/>
          <w:numId w:val="63"/>
        </w:numPr>
        <w:spacing w:line="240" w:lineRule="auto"/>
        <w:ind w:left="1134" w:hanging="425"/>
        <w:jc w:val="both"/>
        <w:rPr>
          <w:rFonts w:asciiTheme="majorHAnsi" w:hAnsiTheme="majorHAnsi" w:cstheme="majorHAnsi"/>
          <w:sz w:val="24"/>
          <w:szCs w:val="24"/>
        </w:rPr>
      </w:pPr>
      <w:r w:rsidRPr="00B56150">
        <w:rPr>
          <w:color w:val="000000"/>
        </w:rPr>
        <w:t xml:space="preserve">La disponibilité des services de vaccination est améliorée, surtout  pour  les populations </w:t>
      </w:r>
      <w:r>
        <w:rPr>
          <w:color w:val="000000"/>
        </w:rPr>
        <w:t>vivant</w:t>
      </w:r>
      <w:r w:rsidRPr="00B56150">
        <w:rPr>
          <w:color w:val="000000"/>
        </w:rPr>
        <w:t xml:space="preserve"> en zones d’accès difficile.</w:t>
      </w:r>
    </w:p>
    <w:p w:rsidR="009434FB" w:rsidRPr="009434FB" w:rsidRDefault="009434FB"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CB3263">
        <w:rPr>
          <w:rFonts w:asciiTheme="majorHAnsi" w:hAnsiTheme="majorHAnsi" w:cstheme="majorHAnsi"/>
          <w:color w:val="000000"/>
          <w:sz w:val="24"/>
          <w:szCs w:val="24"/>
        </w:rPr>
        <w:t>L’approche communautaire</w:t>
      </w:r>
      <w:r w:rsidRPr="009434FB">
        <w:rPr>
          <w:rFonts w:asciiTheme="majorHAnsi" w:hAnsiTheme="majorHAnsi" w:cstheme="majorHAnsi"/>
          <w:color w:val="000000"/>
          <w:sz w:val="24"/>
          <w:szCs w:val="24"/>
        </w:rPr>
        <w:t xml:space="preserve"> est renforcée pour délivrer les interventions de SRMNEAN,  en particulier dans les zones éloignées ou d’accès difficile.</w:t>
      </w:r>
    </w:p>
    <w:p w:rsidR="009434FB" w:rsidRPr="009434FB" w:rsidRDefault="009434FB"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sz w:val="24"/>
          <w:szCs w:val="24"/>
        </w:rPr>
        <w:t>Une demande équitable de services SRMNEAN à haut impact est assurée.</w:t>
      </w:r>
    </w:p>
    <w:p w:rsidR="00D73AF1" w:rsidRPr="009434FB" w:rsidRDefault="00D73AF1" w:rsidP="009434FB">
      <w:pPr>
        <w:spacing w:before="240" w:after="0"/>
        <w:jc w:val="both"/>
        <w:rPr>
          <w:rFonts w:asciiTheme="majorHAnsi" w:hAnsiTheme="majorHAnsi" w:cstheme="majorHAnsi"/>
          <w:b/>
          <w:sz w:val="24"/>
          <w:szCs w:val="24"/>
        </w:rPr>
      </w:pPr>
      <w:r w:rsidRPr="009434FB">
        <w:rPr>
          <w:rFonts w:asciiTheme="majorHAnsi" w:hAnsiTheme="majorHAnsi" w:cstheme="majorHAnsi"/>
          <w:b/>
          <w:sz w:val="24"/>
          <w:szCs w:val="24"/>
        </w:rPr>
        <w:t>Quatre produits rattachés à la priorité 2 :</w:t>
      </w:r>
    </w:p>
    <w:p w:rsidR="009434FB" w:rsidRDefault="009434FB"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sz w:val="24"/>
          <w:szCs w:val="24"/>
        </w:rPr>
        <w:t>La disponibilité d’un personnel opérationnel,  compétent, motivé et réparti équitablement est assurée.</w:t>
      </w:r>
    </w:p>
    <w:p w:rsidR="00DE2AE6" w:rsidRPr="00DE2AE6" w:rsidRDefault="00DE2AE6" w:rsidP="00DE2AE6">
      <w:pPr>
        <w:pStyle w:val="Paragraphedeliste"/>
        <w:numPr>
          <w:ilvl w:val="0"/>
          <w:numId w:val="63"/>
        </w:numPr>
        <w:spacing w:line="240" w:lineRule="auto"/>
        <w:ind w:left="1134" w:hanging="425"/>
        <w:jc w:val="both"/>
        <w:rPr>
          <w:rFonts w:asciiTheme="majorHAnsi" w:hAnsiTheme="majorHAnsi" w:cstheme="majorHAnsi"/>
          <w:sz w:val="24"/>
          <w:szCs w:val="24"/>
        </w:rPr>
      </w:pPr>
      <w:r w:rsidRPr="00DE2AE6">
        <w:rPr>
          <w:rFonts w:cstheme="minorHAnsi"/>
        </w:rPr>
        <w:t>La disponibilité des infrastructures, des équipements et de  la logistique pour l’offre des services  SRMNEAN est améliorée.</w:t>
      </w:r>
    </w:p>
    <w:p w:rsidR="00DE2AE6" w:rsidRPr="00DE2AE6" w:rsidRDefault="00DE2AE6" w:rsidP="00DE2AE6">
      <w:pPr>
        <w:pStyle w:val="Paragraphedeliste"/>
        <w:numPr>
          <w:ilvl w:val="0"/>
          <w:numId w:val="63"/>
        </w:numPr>
        <w:spacing w:after="240" w:line="240" w:lineRule="auto"/>
        <w:ind w:left="1134" w:hanging="425"/>
        <w:jc w:val="both"/>
        <w:rPr>
          <w:rFonts w:asciiTheme="majorHAnsi" w:hAnsiTheme="majorHAnsi" w:cstheme="majorHAnsi"/>
          <w:sz w:val="24"/>
          <w:szCs w:val="24"/>
        </w:rPr>
      </w:pPr>
      <w:r w:rsidRPr="00DE2AE6">
        <w:rPr>
          <w:rFonts w:asciiTheme="majorHAnsi" w:hAnsiTheme="majorHAnsi" w:cstheme="majorHAnsi"/>
        </w:rPr>
        <w:t xml:space="preserve">La disponibilité continue des intrants de SRMNEAN est améliorée.  </w:t>
      </w:r>
    </w:p>
    <w:p w:rsidR="00D73AF1" w:rsidRPr="00DE2AE6" w:rsidRDefault="00D73AF1" w:rsidP="00DE2AE6">
      <w:pPr>
        <w:spacing w:after="0" w:line="240" w:lineRule="auto"/>
        <w:jc w:val="both"/>
        <w:rPr>
          <w:rFonts w:asciiTheme="majorHAnsi" w:hAnsiTheme="majorHAnsi" w:cstheme="majorHAnsi"/>
          <w:sz w:val="24"/>
          <w:szCs w:val="24"/>
        </w:rPr>
      </w:pPr>
      <w:r w:rsidRPr="00DE2AE6">
        <w:rPr>
          <w:rFonts w:asciiTheme="majorHAnsi" w:hAnsiTheme="majorHAnsi" w:cstheme="majorHAnsi"/>
          <w:b/>
          <w:sz w:val="24"/>
          <w:szCs w:val="24"/>
        </w:rPr>
        <w:t>Trois produits rattachés à la priorité 3 :</w:t>
      </w:r>
    </w:p>
    <w:p w:rsidR="00B100DA" w:rsidRPr="00B100DA" w:rsidRDefault="00B100DA"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sz w:val="24"/>
          <w:szCs w:val="24"/>
        </w:rPr>
        <w:t>Le financement de la santé en général  et le financement du DI-SRMNEAN-ECSV sont assurés</w:t>
      </w:r>
    </w:p>
    <w:p w:rsidR="006E384B" w:rsidRPr="009434FB" w:rsidRDefault="006E384B"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sz w:val="24"/>
          <w:szCs w:val="24"/>
        </w:rPr>
        <w:t>L’information sanitaire est renforcée pour une meilleure prise de décision</w:t>
      </w:r>
    </w:p>
    <w:p w:rsidR="00BD6891" w:rsidRPr="009434FB" w:rsidRDefault="00BD6891"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sz w:val="24"/>
          <w:szCs w:val="24"/>
        </w:rPr>
        <w:t>La coordination des actions intra et intersectorielles en faveur de la santé et de ses déterminants est améliorée.</w:t>
      </w:r>
    </w:p>
    <w:p w:rsidR="009434FB" w:rsidRPr="009434FB" w:rsidRDefault="009434FB" w:rsidP="005D02C3">
      <w:pPr>
        <w:pStyle w:val="Paragraphedeliste"/>
        <w:numPr>
          <w:ilvl w:val="0"/>
          <w:numId w:val="63"/>
        </w:numPr>
        <w:spacing w:line="240" w:lineRule="auto"/>
        <w:ind w:left="1134" w:hanging="425"/>
        <w:jc w:val="both"/>
        <w:rPr>
          <w:rFonts w:asciiTheme="majorHAnsi" w:hAnsiTheme="majorHAnsi" w:cstheme="majorHAnsi"/>
          <w:sz w:val="24"/>
          <w:szCs w:val="24"/>
        </w:rPr>
      </w:pPr>
      <w:r w:rsidRPr="009434FB">
        <w:rPr>
          <w:rFonts w:asciiTheme="majorHAnsi" w:hAnsiTheme="majorHAnsi" w:cstheme="majorHAnsi"/>
          <w:sz w:val="24"/>
          <w:szCs w:val="24"/>
        </w:rPr>
        <w:t>L’enregistrement des faits d’état civil et la production des statistiques vitales sont améliorés.</w:t>
      </w:r>
    </w:p>
    <w:p w:rsidR="00D73AF1" w:rsidRPr="009434FB" w:rsidRDefault="00D73AF1" w:rsidP="00E640E2">
      <w:pPr>
        <w:pStyle w:val="Paragraphedeliste"/>
        <w:numPr>
          <w:ilvl w:val="2"/>
          <w:numId w:val="120"/>
        </w:numPr>
        <w:ind w:left="851" w:hanging="851"/>
        <w:jc w:val="both"/>
        <w:rPr>
          <w:rFonts w:asciiTheme="majorHAnsi" w:hAnsiTheme="majorHAnsi" w:cstheme="majorHAnsi"/>
          <w:b/>
          <w:sz w:val="24"/>
          <w:szCs w:val="24"/>
        </w:rPr>
      </w:pPr>
      <w:r w:rsidRPr="009434FB">
        <w:rPr>
          <w:rFonts w:asciiTheme="majorHAnsi" w:hAnsiTheme="majorHAnsi" w:cstheme="majorHAnsi"/>
          <w:b/>
          <w:sz w:val="24"/>
          <w:szCs w:val="24"/>
        </w:rPr>
        <w:t>Les effets</w:t>
      </w:r>
    </w:p>
    <w:p w:rsidR="006E384B" w:rsidRPr="009434FB" w:rsidRDefault="006E384B" w:rsidP="005D02C3">
      <w:pPr>
        <w:pStyle w:val="Paragraphedeliste"/>
        <w:numPr>
          <w:ilvl w:val="2"/>
          <w:numId w:val="103"/>
        </w:numPr>
        <w:ind w:hanging="371"/>
        <w:jc w:val="both"/>
        <w:rPr>
          <w:rFonts w:asciiTheme="majorHAnsi" w:hAnsiTheme="majorHAnsi" w:cstheme="majorHAnsi"/>
          <w:b/>
          <w:sz w:val="24"/>
          <w:szCs w:val="24"/>
        </w:rPr>
      </w:pPr>
      <w:r w:rsidRPr="009434FB">
        <w:rPr>
          <w:rFonts w:asciiTheme="majorHAnsi" w:hAnsiTheme="majorHAnsi" w:cstheme="majorHAnsi"/>
          <w:sz w:val="24"/>
          <w:szCs w:val="24"/>
        </w:rPr>
        <w:t>L'utilisation des services essentiels de SRMNEAN de qualité et à haut impact par la mère, le nouveau-né l’enfant de moins de cinq ans, l’adolescent et le jeune augmente.</w:t>
      </w:r>
    </w:p>
    <w:p w:rsidR="00BD6891" w:rsidRPr="009434FB" w:rsidRDefault="00BD6891" w:rsidP="005D02C3">
      <w:pPr>
        <w:pStyle w:val="Paragraphedeliste"/>
        <w:numPr>
          <w:ilvl w:val="2"/>
          <w:numId w:val="103"/>
        </w:numPr>
        <w:ind w:hanging="371"/>
        <w:jc w:val="both"/>
        <w:rPr>
          <w:rFonts w:asciiTheme="majorHAnsi" w:hAnsiTheme="majorHAnsi" w:cstheme="majorHAnsi"/>
          <w:sz w:val="24"/>
          <w:szCs w:val="24"/>
        </w:rPr>
      </w:pPr>
      <w:r w:rsidRPr="009434FB">
        <w:rPr>
          <w:rFonts w:asciiTheme="majorHAnsi" w:hAnsiTheme="majorHAnsi" w:cstheme="majorHAnsi"/>
          <w:sz w:val="24"/>
          <w:szCs w:val="24"/>
        </w:rPr>
        <w:t xml:space="preserve">L’accès à l’eau potable, à l’hygiène et assainissement et </w:t>
      </w:r>
      <w:r w:rsidR="00590C99">
        <w:rPr>
          <w:rFonts w:asciiTheme="majorHAnsi" w:hAnsiTheme="majorHAnsi" w:cstheme="majorHAnsi"/>
          <w:sz w:val="24"/>
          <w:szCs w:val="24"/>
        </w:rPr>
        <w:t xml:space="preserve">à </w:t>
      </w:r>
      <w:r w:rsidRPr="009434FB">
        <w:rPr>
          <w:rFonts w:asciiTheme="majorHAnsi" w:hAnsiTheme="majorHAnsi" w:cstheme="majorHAnsi"/>
          <w:sz w:val="24"/>
          <w:szCs w:val="24"/>
        </w:rPr>
        <w:t>une alimenta</w:t>
      </w:r>
      <w:r w:rsidR="009434FB" w:rsidRPr="009434FB">
        <w:rPr>
          <w:rFonts w:asciiTheme="majorHAnsi" w:hAnsiTheme="majorHAnsi" w:cstheme="majorHAnsi"/>
          <w:sz w:val="24"/>
          <w:szCs w:val="24"/>
        </w:rPr>
        <w:t>tion saine et sécurisée s’améliore.</w:t>
      </w:r>
    </w:p>
    <w:p w:rsidR="00D73AF1" w:rsidRPr="009434FB" w:rsidRDefault="00D73AF1" w:rsidP="00E640E2">
      <w:pPr>
        <w:pStyle w:val="Paragraphedeliste"/>
        <w:numPr>
          <w:ilvl w:val="2"/>
          <w:numId w:val="120"/>
        </w:numPr>
        <w:ind w:left="851" w:hanging="851"/>
        <w:jc w:val="both"/>
        <w:rPr>
          <w:rFonts w:asciiTheme="majorHAnsi" w:hAnsiTheme="majorHAnsi" w:cstheme="majorHAnsi"/>
          <w:b/>
          <w:sz w:val="24"/>
          <w:szCs w:val="24"/>
        </w:rPr>
      </w:pPr>
      <w:r w:rsidRPr="009434FB">
        <w:rPr>
          <w:rFonts w:asciiTheme="majorHAnsi" w:hAnsiTheme="majorHAnsi" w:cstheme="majorHAnsi"/>
          <w:b/>
          <w:sz w:val="24"/>
          <w:szCs w:val="24"/>
        </w:rPr>
        <w:t>L’impact</w:t>
      </w:r>
    </w:p>
    <w:p w:rsidR="00D73AF1" w:rsidRPr="009434FB" w:rsidRDefault="00BD6891" w:rsidP="009434FB">
      <w:pPr>
        <w:pStyle w:val="Paragraphedeliste"/>
        <w:ind w:left="851"/>
        <w:jc w:val="both"/>
        <w:rPr>
          <w:rFonts w:asciiTheme="majorHAnsi" w:hAnsiTheme="majorHAnsi" w:cstheme="majorHAnsi"/>
          <w:sz w:val="24"/>
          <w:szCs w:val="24"/>
        </w:rPr>
      </w:pPr>
      <w:r w:rsidRPr="009434FB">
        <w:rPr>
          <w:rFonts w:asciiTheme="majorHAnsi" w:hAnsiTheme="majorHAnsi" w:cstheme="majorHAnsi"/>
          <w:sz w:val="24"/>
          <w:szCs w:val="24"/>
        </w:rPr>
        <w:t>La</w:t>
      </w:r>
      <w:r w:rsidR="006E384B" w:rsidRPr="009434FB">
        <w:rPr>
          <w:rFonts w:asciiTheme="majorHAnsi" w:hAnsiTheme="majorHAnsi" w:cstheme="majorHAnsi"/>
          <w:sz w:val="24"/>
          <w:szCs w:val="24"/>
        </w:rPr>
        <w:t xml:space="preserve"> mortalité maternelle, né</w:t>
      </w:r>
      <w:r w:rsidRPr="009434FB">
        <w:rPr>
          <w:rFonts w:asciiTheme="majorHAnsi" w:hAnsiTheme="majorHAnsi" w:cstheme="majorHAnsi"/>
          <w:sz w:val="24"/>
          <w:szCs w:val="24"/>
        </w:rPr>
        <w:t>onatale et infanto- juvénile est réduite</w:t>
      </w:r>
      <w:r w:rsidR="006E384B" w:rsidRPr="009434FB">
        <w:rPr>
          <w:rFonts w:asciiTheme="majorHAnsi" w:hAnsiTheme="majorHAnsi" w:cstheme="majorHAnsi"/>
          <w:sz w:val="24"/>
          <w:szCs w:val="24"/>
        </w:rPr>
        <w:t>.</w:t>
      </w:r>
    </w:p>
    <w:p w:rsidR="005A5579" w:rsidRDefault="005A5579" w:rsidP="00336BD2">
      <w:pPr>
        <w:pStyle w:val="Normal1"/>
        <w:widowControl w:val="0"/>
        <w:pBdr>
          <w:top w:val="nil"/>
          <w:left w:val="nil"/>
          <w:bottom w:val="nil"/>
          <w:right w:val="nil"/>
          <w:between w:val="nil"/>
        </w:pBdr>
        <w:spacing w:after="0"/>
      </w:pPr>
    </w:p>
    <w:p w:rsidR="005A5579" w:rsidRDefault="005A5579" w:rsidP="00336BD2">
      <w:pPr>
        <w:pStyle w:val="Normal1"/>
        <w:widowControl w:val="0"/>
        <w:pBdr>
          <w:top w:val="nil"/>
          <w:left w:val="nil"/>
          <w:bottom w:val="nil"/>
          <w:right w:val="nil"/>
          <w:between w:val="nil"/>
        </w:pBdr>
        <w:spacing w:after="0"/>
      </w:pPr>
    </w:p>
    <w:p w:rsidR="005A5579" w:rsidRDefault="005A5579">
      <w:pPr>
        <w:pStyle w:val="Normal1"/>
        <w:widowControl w:val="0"/>
        <w:pBdr>
          <w:top w:val="nil"/>
          <w:left w:val="nil"/>
          <w:bottom w:val="nil"/>
          <w:right w:val="nil"/>
          <w:between w:val="nil"/>
        </w:pBdr>
        <w:spacing w:after="0"/>
        <w:sectPr w:rsidR="005A5579" w:rsidSect="00D62CA0">
          <w:footerReference w:type="default" r:id="rId51"/>
          <w:pgSz w:w="11906" w:h="16838"/>
          <w:pgMar w:top="1417" w:right="1417" w:bottom="1417" w:left="1417" w:header="708" w:footer="708" w:gutter="0"/>
          <w:pgBorders w:display="firstPage" w:offsetFrom="page">
            <w:top w:val="dashDotStroked" w:sz="24" w:space="24" w:color="auto"/>
            <w:left w:val="dashDotStroked" w:sz="24" w:space="24" w:color="auto"/>
            <w:bottom w:val="dashDotStroked" w:sz="24" w:space="24" w:color="auto"/>
            <w:right w:val="dashDotStroked" w:sz="24" w:space="24" w:color="auto"/>
          </w:pgBorders>
          <w:cols w:space="720"/>
        </w:sectPr>
      </w:pPr>
    </w:p>
    <w:tbl>
      <w:tblP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09"/>
      </w:tblGrid>
      <w:tr w:rsidR="005A5579" w:rsidTr="00F12A68">
        <w:tc>
          <w:tcPr>
            <w:tcW w:w="14709" w:type="dxa"/>
            <w:tcBorders>
              <w:top w:val="single" w:sz="4" w:space="0" w:color="000000"/>
              <w:left w:val="single" w:sz="4" w:space="0" w:color="000000"/>
              <w:bottom w:val="single" w:sz="4" w:space="0" w:color="000000"/>
              <w:right w:val="single" w:sz="4" w:space="0" w:color="000000"/>
            </w:tcBorders>
            <w:shd w:val="clear" w:color="auto" w:fill="FFFFFF"/>
          </w:tcPr>
          <w:p w:rsidR="005A5579" w:rsidRPr="005A5579" w:rsidRDefault="00A961B1" w:rsidP="005A5579">
            <w:pPr>
              <w:pStyle w:val="Normal1"/>
              <w:jc w:val="both"/>
              <w:rPr>
                <w:b/>
                <w:sz w:val="24"/>
                <w:szCs w:val="24"/>
              </w:rPr>
            </w:pPr>
            <w:r>
              <w:rPr>
                <w:b/>
                <w:sz w:val="24"/>
                <w:szCs w:val="24"/>
              </w:rPr>
              <w:t>Tableau 8</w:t>
            </w:r>
            <w:r w:rsidR="005A5579" w:rsidRPr="005A5579">
              <w:rPr>
                <w:b/>
                <w:sz w:val="24"/>
                <w:szCs w:val="24"/>
              </w:rPr>
              <w:t> </w:t>
            </w:r>
            <w:r w:rsidR="007A6B31" w:rsidRPr="005A5579">
              <w:rPr>
                <w:b/>
                <w:sz w:val="24"/>
                <w:szCs w:val="24"/>
              </w:rPr>
              <w:t>: CHAINE</w:t>
            </w:r>
            <w:r w:rsidR="005A5579" w:rsidRPr="005A5579">
              <w:rPr>
                <w:b/>
                <w:sz w:val="24"/>
                <w:szCs w:val="24"/>
              </w:rPr>
              <w:t xml:space="preserve"> DES RESULTATS</w:t>
            </w:r>
          </w:p>
        </w:tc>
      </w:tr>
    </w:tbl>
    <w:tbl>
      <w:tblPr>
        <w:tblStyle w:val="Grilledutableau"/>
        <w:tblW w:w="14709" w:type="dxa"/>
        <w:tblLayout w:type="fixed"/>
        <w:tblLook w:val="04A0" w:firstRow="1" w:lastRow="0" w:firstColumn="1" w:lastColumn="0" w:noHBand="0" w:noVBand="1"/>
      </w:tblPr>
      <w:tblGrid>
        <w:gridCol w:w="1366"/>
        <w:gridCol w:w="236"/>
        <w:gridCol w:w="5003"/>
        <w:gridCol w:w="24"/>
        <w:gridCol w:w="260"/>
        <w:gridCol w:w="23"/>
        <w:gridCol w:w="3686"/>
        <w:gridCol w:w="260"/>
        <w:gridCol w:w="23"/>
        <w:gridCol w:w="260"/>
        <w:gridCol w:w="3568"/>
      </w:tblGrid>
      <w:tr w:rsidR="005A5579" w:rsidRPr="005A5579" w:rsidTr="005A5579">
        <w:tc>
          <w:tcPr>
            <w:tcW w:w="1366" w:type="dxa"/>
            <w:tcBorders>
              <w:bottom w:val="single" w:sz="4" w:space="0" w:color="auto"/>
            </w:tcBorders>
            <w:shd w:val="clear" w:color="auto" w:fill="76923C" w:themeFill="accent3" w:themeFillShade="BF"/>
          </w:tcPr>
          <w:p w:rsidR="005A5579" w:rsidRPr="005A5579" w:rsidRDefault="005A5579" w:rsidP="004B1B3F">
            <w:pPr>
              <w:spacing w:line="276" w:lineRule="auto"/>
              <w:rPr>
                <w:rFonts w:ascii="Calibri" w:hAnsi="Calibri" w:cs="Calibri"/>
                <w:b/>
                <w:color w:val="FFFFFF" w:themeColor="background1"/>
              </w:rPr>
            </w:pPr>
            <w:r w:rsidRPr="005A5579">
              <w:rPr>
                <w:rFonts w:ascii="Calibri" w:hAnsi="Calibri" w:cs="Calibri"/>
                <w:b/>
                <w:color w:val="FFFFFF" w:themeColor="background1"/>
              </w:rPr>
              <w:t>VISION</w:t>
            </w:r>
          </w:p>
        </w:tc>
        <w:tc>
          <w:tcPr>
            <w:tcW w:w="236" w:type="dxa"/>
            <w:tcBorders>
              <w:top w:val="nil"/>
              <w:bottom w:val="nil"/>
            </w:tcBorders>
            <w:shd w:val="clear" w:color="auto" w:fill="FFFFFF" w:themeFill="background1"/>
          </w:tcPr>
          <w:p w:rsidR="005A5579" w:rsidRPr="005A5579" w:rsidRDefault="005A5579" w:rsidP="004B1B3F">
            <w:pPr>
              <w:spacing w:line="276" w:lineRule="auto"/>
              <w:rPr>
                <w:rFonts w:ascii="Calibri" w:hAnsi="Calibri" w:cs="Calibri"/>
                <w:b/>
                <w:color w:val="FFFFFF" w:themeColor="background1"/>
              </w:rPr>
            </w:pPr>
          </w:p>
        </w:tc>
        <w:tc>
          <w:tcPr>
            <w:tcW w:w="13107" w:type="dxa"/>
            <w:gridSpan w:val="9"/>
            <w:tcBorders>
              <w:bottom w:val="single" w:sz="4" w:space="0" w:color="auto"/>
            </w:tcBorders>
            <w:shd w:val="clear" w:color="auto" w:fill="76923C" w:themeFill="accent3" w:themeFillShade="BF"/>
          </w:tcPr>
          <w:p w:rsidR="005A5579" w:rsidRPr="005A5579" w:rsidRDefault="005A5579" w:rsidP="004B1B3F">
            <w:pPr>
              <w:pStyle w:val="Normal1"/>
              <w:widowControl w:val="0"/>
              <w:tabs>
                <w:tab w:val="left" w:pos="9498"/>
              </w:tabs>
              <w:spacing w:before="32"/>
              <w:ind w:left="176"/>
              <w:jc w:val="both"/>
              <w:rPr>
                <w:rFonts w:ascii="Calibri" w:hAnsi="Calibri" w:cs="Calibri"/>
                <w:b/>
                <w:i/>
                <w:color w:val="FFFFFF" w:themeColor="background1"/>
                <w:sz w:val="24"/>
                <w:szCs w:val="24"/>
              </w:rPr>
            </w:pPr>
            <w:r w:rsidRPr="005A5579">
              <w:rPr>
                <w:rFonts w:ascii="Calibri" w:hAnsi="Calibri" w:cs="Calibri"/>
                <w:b/>
                <w:i/>
                <w:color w:val="FFFFFF" w:themeColor="background1"/>
                <w:sz w:val="24"/>
                <w:szCs w:val="24"/>
              </w:rPr>
              <w:t>Le Burkina Faso atteint le meilleur état de santé possible pour l’ensemble de la population, avec une attention particulière pour le Mère, le Nouveau-né, l’enfant, l’adolescent/jeune, à travers un système de santé national performant.</w:t>
            </w:r>
          </w:p>
        </w:tc>
      </w:tr>
      <w:tr w:rsidR="005A5579" w:rsidTr="004B1B3F">
        <w:tc>
          <w:tcPr>
            <w:tcW w:w="1366" w:type="dxa"/>
            <w:tcBorders>
              <w:left w:val="nil"/>
              <w:right w:val="nil"/>
            </w:tcBorders>
          </w:tcPr>
          <w:p w:rsidR="005A5579" w:rsidRDefault="005A5579" w:rsidP="004B1B3F">
            <w:pPr>
              <w:spacing w:line="276" w:lineRule="auto"/>
              <w:rPr>
                <w:rFonts w:ascii="Cambria" w:hAnsi="Cambria" w:cs="Cambria"/>
                <w:b/>
                <w:color w:val="000000"/>
              </w:rPr>
            </w:pPr>
          </w:p>
        </w:tc>
        <w:tc>
          <w:tcPr>
            <w:tcW w:w="236" w:type="dxa"/>
            <w:tcBorders>
              <w:top w:val="nil"/>
              <w:left w:val="nil"/>
              <w:bottom w:val="nil"/>
              <w:right w:val="nil"/>
            </w:tcBorders>
          </w:tcPr>
          <w:p w:rsidR="005A5579" w:rsidRDefault="005A5579" w:rsidP="004B1B3F">
            <w:pPr>
              <w:spacing w:line="276" w:lineRule="auto"/>
              <w:rPr>
                <w:rFonts w:ascii="Cambria" w:hAnsi="Cambria" w:cs="Cambria"/>
                <w:b/>
                <w:color w:val="000000"/>
              </w:rPr>
            </w:pPr>
          </w:p>
        </w:tc>
        <w:tc>
          <w:tcPr>
            <w:tcW w:w="5003" w:type="dxa"/>
            <w:tcBorders>
              <w:left w:val="nil"/>
              <w:right w:val="nil"/>
            </w:tcBorders>
          </w:tcPr>
          <w:p w:rsidR="005A5579" w:rsidRDefault="005A5579" w:rsidP="004B1B3F">
            <w:pPr>
              <w:spacing w:line="276" w:lineRule="auto"/>
              <w:rPr>
                <w:rFonts w:ascii="Cambria" w:hAnsi="Cambria" w:cs="Cambria"/>
                <w:b/>
                <w:color w:val="000000"/>
              </w:rPr>
            </w:pPr>
          </w:p>
        </w:tc>
        <w:tc>
          <w:tcPr>
            <w:tcW w:w="284" w:type="dxa"/>
            <w:gridSpan w:val="2"/>
            <w:tcBorders>
              <w:left w:val="nil"/>
              <w:right w:val="nil"/>
            </w:tcBorders>
          </w:tcPr>
          <w:p w:rsidR="005A5579" w:rsidRDefault="005A5579" w:rsidP="004B1B3F">
            <w:pPr>
              <w:spacing w:line="276" w:lineRule="auto"/>
              <w:rPr>
                <w:rFonts w:ascii="Cambria" w:hAnsi="Cambria" w:cs="Cambria"/>
                <w:b/>
                <w:color w:val="000000"/>
              </w:rPr>
            </w:pPr>
          </w:p>
        </w:tc>
        <w:tc>
          <w:tcPr>
            <w:tcW w:w="3969" w:type="dxa"/>
            <w:gridSpan w:val="3"/>
            <w:tcBorders>
              <w:left w:val="nil"/>
              <w:right w:val="nil"/>
            </w:tcBorders>
          </w:tcPr>
          <w:p w:rsidR="005A5579" w:rsidRDefault="005A5579" w:rsidP="004B1B3F">
            <w:pPr>
              <w:spacing w:line="276" w:lineRule="auto"/>
              <w:rPr>
                <w:rFonts w:ascii="Cambria" w:hAnsi="Cambria" w:cs="Cambria"/>
                <w:b/>
                <w:color w:val="000000"/>
              </w:rPr>
            </w:pPr>
          </w:p>
        </w:tc>
        <w:tc>
          <w:tcPr>
            <w:tcW w:w="283" w:type="dxa"/>
            <w:gridSpan w:val="2"/>
            <w:tcBorders>
              <w:left w:val="nil"/>
              <w:right w:val="nil"/>
            </w:tcBorders>
          </w:tcPr>
          <w:p w:rsidR="005A5579" w:rsidRDefault="005A5579" w:rsidP="004B1B3F">
            <w:pPr>
              <w:spacing w:line="276" w:lineRule="auto"/>
              <w:rPr>
                <w:rFonts w:ascii="Cambria" w:hAnsi="Cambria" w:cs="Cambria"/>
                <w:b/>
                <w:color w:val="000000"/>
              </w:rPr>
            </w:pPr>
          </w:p>
        </w:tc>
        <w:tc>
          <w:tcPr>
            <w:tcW w:w="3568" w:type="dxa"/>
            <w:tcBorders>
              <w:left w:val="nil"/>
              <w:right w:val="nil"/>
            </w:tcBorders>
          </w:tcPr>
          <w:p w:rsidR="005A5579" w:rsidRDefault="005A5579" w:rsidP="004B1B3F">
            <w:pPr>
              <w:spacing w:line="276" w:lineRule="auto"/>
              <w:rPr>
                <w:rFonts w:ascii="Cambria" w:hAnsi="Cambria" w:cs="Cambria"/>
                <w:b/>
                <w:color w:val="000000"/>
              </w:rPr>
            </w:pPr>
          </w:p>
        </w:tc>
      </w:tr>
      <w:tr w:rsidR="005A5579" w:rsidTr="005A5579">
        <w:tc>
          <w:tcPr>
            <w:tcW w:w="1366" w:type="dxa"/>
            <w:tcBorders>
              <w:bottom w:val="single" w:sz="4" w:space="0" w:color="auto"/>
            </w:tcBorders>
            <w:shd w:val="clear" w:color="auto" w:fill="C2D69B" w:themeFill="accent3" w:themeFillTint="99"/>
          </w:tcPr>
          <w:p w:rsidR="005A5579" w:rsidRDefault="005A5579" w:rsidP="004B1B3F">
            <w:pPr>
              <w:spacing w:line="276" w:lineRule="auto"/>
              <w:rPr>
                <w:rFonts w:ascii="Cambria" w:hAnsi="Cambria" w:cs="Cambria"/>
                <w:b/>
                <w:color w:val="000000"/>
              </w:rPr>
            </w:pPr>
            <w:r>
              <w:rPr>
                <w:rFonts w:ascii="Cambria" w:hAnsi="Cambria" w:cs="Cambria"/>
                <w:b/>
                <w:color w:val="000000"/>
              </w:rPr>
              <w:t>IMPACT</w:t>
            </w:r>
          </w:p>
        </w:tc>
        <w:tc>
          <w:tcPr>
            <w:tcW w:w="236" w:type="dxa"/>
            <w:tcBorders>
              <w:top w:val="nil"/>
              <w:bottom w:val="nil"/>
            </w:tcBorders>
            <w:shd w:val="clear" w:color="auto" w:fill="FFFFFF" w:themeFill="background1"/>
          </w:tcPr>
          <w:p w:rsidR="005A5579" w:rsidRDefault="005A5579" w:rsidP="004B1B3F">
            <w:pPr>
              <w:spacing w:line="276" w:lineRule="auto"/>
              <w:rPr>
                <w:rFonts w:ascii="Cambria" w:hAnsi="Cambria" w:cs="Cambria"/>
                <w:b/>
                <w:color w:val="000000"/>
              </w:rPr>
            </w:pPr>
          </w:p>
        </w:tc>
        <w:tc>
          <w:tcPr>
            <w:tcW w:w="13107" w:type="dxa"/>
            <w:gridSpan w:val="9"/>
            <w:tcBorders>
              <w:bottom w:val="single" w:sz="4" w:space="0" w:color="auto"/>
            </w:tcBorders>
            <w:shd w:val="clear" w:color="auto" w:fill="C2D69B" w:themeFill="accent3" w:themeFillTint="99"/>
          </w:tcPr>
          <w:p w:rsidR="005A5579" w:rsidRPr="00206DEB" w:rsidRDefault="00BD6891" w:rsidP="004B1B3F">
            <w:pPr>
              <w:spacing w:line="276" w:lineRule="auto"/>
              <w:jc w:val="center"/>
              <w:rPr>
                <w:rFonts w:ascii="Cambria" w:hAnsi="Cambria" w:cs="Cambria"/>
                <w:b/>
                <w:color w:val="000000"/>
                <w:sz w:val="24"/>
                <w:szCs w:val="24"/>
              </w:rPr>
            </w:pPr>
            <w:r>
              <w:rPr>
                <w:rFonts w:cstheme="minorHAnsi"/>
                <w:b/>
                <w:sz w:val="24"/>
                <w:szCs w:val="24"/>
              </w:rPr>
              <w:t>LA</w:t>
            </w:r>
            <w:r w:rsidR="005A5579" w:rsidRPr="00206DEB">
              <w:rPr>
                <w:rFonts w:cstheme="minorHAnsi"/>
                <w:b/>
                <w:sz w:val="24"/>
                <w:szCs w:val="24"/>
              </w:rPr>
              <w:t xml:space="preserve"> MORTALITE MATERNELLE, NE</w:t>
            </w:r>
            <w:r w:rsidR="00D972C9">
              <w:rPr>
                <w:rFonts w:cstheme="minorHAnsi"/>
                <w:b/>
                <w:sz w:val="24"/>
                <w:szCs w:val="24"/>
              </w:rPr>
              <w:t>ONATALE ET INFANTO- JUVENILE ES</w:t>
            </w:r>
            <w:r w:rsidR="005A5579" w:rsidRPr="00206DEB">
              <w:rPr>
                <w:rFonts w:cstheme="minorHAnsi"/>
                <w:b/>
                <w:sz w:val="24"/>
                <w:szCs w:val="24"/>
              </w:rPr>
              <w:t>T REDUITE</w:t>
            </w:r>
            <w:r w:rsidR="00D972C9">
              <w:rPr>
                <w:rFonts w:cstheme="minorHAnsi"/>
                <w:b/>
                <w:sz w:val="24"/>
                <w:szCs w:val="24"/>
              </w:rPr>
              <w:t>.</w:t>
            </w:r>
          </w:p>
        </w:tc>
      </w:tr>
      <w:tr w:rsidR="005A5579" w:rsidTr="00BF0025">
        <w:tc>
          <w:tcPr>
            <w:tcW w:w="1366" w:type="dxa"/>
            <w:tcBorders>
              <w:left w:val="nil"/>
              <w:right w:val="nil"/>
            </w:tcBorders>
          </w:tcPr>
          <w:p w:rsidR="005A5579" w:rsidRDefault="005A5579" w:rsidP="004B1B3F">
            <w:pPr>
              <w:spacing w:line="276" w:lineRule="auto"/>
              <w:rPr>
                <w:rFonts w:ascii="Cambria" w:hAnsi="Cambria" w:cs="Cambria"/>
                <w:b/>
                <w:color w:val="000000"/>
              </w:rPr>
            </w:pPr>
          </w:p>
        </w:tc>
        <w:tc>
          <w:tcPr>
            <w:tcW w:w="236" w:type="dxa"/>
            <w:tcBorders>
              <w:top w:val="nil"/>
              <w:left w:val="nil"/>
              <w:bottom w:val="nil"/>
              <w:right w:val="nil"/>
            </w:tcBorders>
          </w:tcPr>
          <w:p w:rsidR="005A5579" w:rsidRDefault="005A5579" w:rsidP="004B1B3F">
            <w:pPr>
              <w:spacing w:line="276" w:lineRule="auto"/>
              <w:rPr>
                <w:rFonts w:ascii="Cambria" w:hAnsi="Cambria" w:cs="Cambria"/>
                <w:b/>
                <w:color w:val="000000"/>
              </w:rPr>
            </w:pPr>
          </w:p>
        </w:tc>
        <w:tc>
          <w:tcPr>
            <w:tcW w:w="8996" w:type="dxa"/>
            <w:gridSpan w:val="5"/>
            <w:tcBorders>
              <w:left w:val="nil"/>
              <w:right w:val="nil"/>
            </w:tcBorders>
          </w:tcPr>
          <w:p w:rsidR="005A5579" w:rsidRDefault="004B0495" w:rsidP="004B1B3F">
            <w:pPr>
              <w:spacing w:line="276" w:lineRule="auto"/>
              <w:rPr>
                <w:rFonts w:ascii="Cambria" w:hAnsi="Cambria" w:cs="Cambria"/>
                <w:b/>
                <w:color w:val="000000"/>
              </w:rPr>
            </w:pPr>
            <w:r>
              <w:rPr>
                <w:rFonts w:ascii="Cambria" w:hAnsi="Cambria" w:cs="Cambria"/>
                <w:b/>
                <w:noProof/>
                <w:color w:val="000000"/>
              </w:rPr>
              <mc:AlternateContent>
                <mc:Choice Requires="wps">
                  <w:drawing>
                    <wp:anchor distT="0" distB="0" distL="114300" distR="114300" simplePos="0" relativeHeight="251620864" behindDoc="0" locked="0" layoutInCell="1" allowOverlap="1">
                      <wp:simplePos x="0" y="0"/>
                      <wp:positionH relativeFrom="column">
                        <wp:posOffset>3002280</wp:posOffset>
                      </wp:positionH>
                      <wp:positionV relativeFrom="paragraph">
                        <wp:posOffset>5080</wp:posOffset>
                      </wp:positionV>
                      <wp:extent cx="90805" cy="171450"/>
                      <wp:effectExtent l="20955" t="14605" r="21590" b="13970"/>
                      <wp:wrapNone/>
                      <wp:docPr id="204"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C1B2B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9" o:spid="_x0000_s1026" type="#_x0000_t68" style="position:absolute;margin-left:236.4pt;margin-top:.4pt;width:7.15pt;height:13.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" fillcolor="#4f81bd [3204]" strokecolor="#4f81bd [3204]">
                      <v:textbox style="layout-flow:vertical-ideographic"/>
                    </v:shape>
                  </w:pict>
                </mc:Fallback>
              </mc:AlternateContent>
            </w:r>
          </w:p>
        </w:tc>
        <w:tc>
          <w:tcPr>
            <w:tcW w:w="283" w:type="dxa"/>
            <w:gridSpan w:val="2"/>
            <w:tcBorders>
              <w:left w:val="nil"/>
              <w:bottom w:val="nil"/>
              <w:right w:val="nil"/>
            </w:tcBorders>
          </w:tcPr>
          <w:p w:rsidR="005A5579" w:rsidRDefault="005A5579" w:rsidP="004B1B3F">
            <w:pPr>
              <w:spacing w:line="276" w:lineRule="auto"/>
              <w:rPr>
                <w:rFonts w:ascii="Cambria" w:hAnsi="Cambria" w:cs="Cambria"/>
                <w:b/>
                <w:color w:val="000000"/>
              </w:rPr>
            </w:pPr>
          </w:p>
        </w:tc>
        <w:tc>
          <w:tcPr>
            <w:tcW w:w="3828" w:type="dxa"/>
            <w:gridSpan w:val="2"/>
            <w:tcBorders>
              <w:left w:val="nil"/>
              <w:right w:val="nil"/>
            </w:tcBorders>
          </w:tcPr>
          <w:p w:rsidR="005A5579" w:rsidRDefault="004B0495" w:rsidP="004B1B3F">
            <w:pPr>
              <w:spacing w:line="276" w:lineRule="auto"/>
              <w:rPr>
                <w:rFonts w:ascii="Cambria" w:hAnsi="Cambria" w:cs="Cambria"/>
                <w:b/>
                <w:color w:val="000000"/>
              </w:rPr>
            </w:pPr>
            <w:r>
              <w:rPr>
                <w:rFonts w:ascii="Cambria" w:hAnsi="Cambria" w:cs="Cambria"/>
                <w:b/>
                <w:noProof/>
                <w:color w:val="000000"/>
              </w:rPr>
              <mc:AlternateContent>
                <mc:Choice Requires="wps">
                  <w:drawing>
                    <wp:anchor distT="0" distB="0" distL="114300" distR="114300" simplePos="0" relativeHeight="251621888" behindDoc="0" locked="0" layoutInCell="1" allowOverlap="1">
                      <wp:simplePos x="0" y="0"/>
                      <wp:positionH relativeFrom="column">
                        <wp:posOffset>994410</wp:posOffset>
                      </wp:positionH>
                      <wp:positionV relativeFrom="paragraph">
                        <wp:posOffset>5080</wp:posOffset>
                      </wp:positionV>
                      <wp:extent cx="90805" cy="171450"/>
                      <wp:effectExtent l="22860" t="14605" r="19685" b="13970"/>
                      <wp:wrapNone/>
                      <wp:docPr id="203"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E8CA44" id="AutoShape 10" o:spid="_x0000_s1026" type="#_x0000_t68" style="position:absolute;margin-left:78.3pt;margin-top:.4pt;width:7.15pt;height:13.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" fillcolor="#4f81bd [3204]" strokecolor="#4f81bd [3204]">
                      <v:textbox style="layout-flow:vertical-ideographic"/>
                    </v:shape>
                  </w:pict>
                </mc:Fallback>
              </mc:AlternateContent>
            </w:r>
          </w:p>
        </w:tc>
      </w:tr>
      <w:tr w:rsidR="005A5579" w:rsidRPr="0049797C" w:rsidTr="00BF0025">
        <w:tc>
          <w:tcPr>
            <w:tcW w:w="1366" w:type="dxa"/>
            <w:tcBorders>
              <w:bottom w:val="single" w:sz="4" w:space="0" w:color="auto"/>
            </w:tcBorders>
            <w:shd w:val="clear" w:color="auto" w:fill="D6E3BC" w:themeFill="accent3" w:themeFillTint="66"/>
          </w:tcPr>
          <w:p w:rsidR="005A5579" w:rsidRPr="0049797C" w:rsidRDefault="005A5579" w:rsidP="004B1B3F">
            <w:pPr>
              <w:rPr>
                <w:rFonts w:ascii="Calibri" w:hAnsi="Calibri" w:cs="Calibri"/>
                <w:b/>
                <w:color w:val="000000"/>
                <w:sz w:val="24"/>
                <w:szCs w:val="24"/>
              </w:rPr>
            </w:pPr>
            <w:r w:rsidRPr="0049797C">
              <w:rPr>
                <w:rFonts w:ascii="Calibri" w:hAnsi="Calibri" w:cs="Calibri"/>
                <w:b/>
                <w:color w:val="000000"/>
                <w:sz w:val="24"/>
                <w:szCs w:val="24"/>
              </w:rPr>
              <w:t>EFFETS</w:t>
            </w:r>
          </w:p>
        </w:tc>
        <w:tc>
          <w:tcPr>
            <w:tcW w:w="236" w:type="dxa"/>
            <w:tcBorders>
              <w:top w:val="nil"/>
              <w:bottom w:val="nil"/>
            </w:tcBorders>
            <w:shd w:val="clear" w:color="auto" w:fill="FFFFFF" w:themeFill="background1"/>
          </w:tcPr>
          <w:p w:rsidR="005A5579" w:rsidRPr="0049797C" w:rsidRDefault="005A5579" w:rsidP="004B1B3F">
            <w:pPr>
              <w:rPr>
                <w:rFonts w:ascii="Calibri" w:hAnsi="Calibri" w:cs="Calibri"/>
                <w:b/>
                <w:color w:val="000000"/>
                <w:sz w:val="24"/>
                <w:szCs w:val="24"/>
              </w:rPr>
            </w:pPr>
          </w:p>
        </w:tc>
        <w:tc>
          <w:tcPr>
            <w:tcW w:w="8996" w:type="dxa"/>
            <w:gridSpan w:val="5"/>
            <w:tcBorders>
              <w:bottom w:val="single" w:sz="4" w:space="0" w:color="auto"/>
            </w:tcBorders>
            <w:shd w:val="clear" w:color="auto" w:fill="D6E3BC" w:themeFill="accent3" w:themeFillTint="66"/>
          </w:tcPr>
          <w:p w:rsidR="005A5579" w:rsidRPr="0049797C" w:rsidRDefault="005A5579" w:rsidP="005D02C3">
            <w:pPr>
              <w:pStyle w:val="Paragraphedeliste"/>
              <w:numPr>
                <w:ilvl w:val="0"/>
                <w:numId w:val="92"/>
              </w:numPr>
              <w:spacing w:line="240" w:lineRule="auto"/>
              <w:rPr>
                <w:rFonts w:ascii="Calibri" w:hAnsi="Calibri" w:cs="Calibri"/>
                <w:b/>
                <w:color w:val="000000"/>
                <w:sz w:val="24"/>
                <w:szCs w:val="24"/>
              </w:rPr>
            </w:pPr>
            <w:r w:rsidRPr="0049797C">
              <w:rPr>
                <w:rFonts w:ascii="Calibri" w:hAnsi="Calibri" w:cs="Calibri"/>
                <w:sz w:val="24"/>
                <w:szCs w:val="24"/>
              </w:rPr>
              <w:t>L'utilisation des ser</w:t>
            </w:r>
            <w:r w:rsidR="00F15D8C" w:rsidRPr="0049797C">
              <w:rPr>
                <w:rFonts w:ascii="Calibri" w:hAnsi="Calibri" w:cs="Calibri"/>
                <w:sz w:val="24"/>
                <w:szCs w:val="24"/>
              </w:rPr>
              <w:t>vices essentiels de SRMNEAN</w:t>
            </w:r>
            <w:r w:rsidRPr="0049797C">
              <w:rPr>
                <w:rFonts w:ascii="Calibri" w:hAnsi="Calibri" w:cs="Calibri"/>
                <w:sz w:val="24"/>
                <w:szCs w:val="24"/>
              </w:rPr>
              <w:t xml:space="preserve"> de qualité </w:t>
            </w:r>
            <w:r w:rsidR="00F15D8C" w:rsidRPr="0049797C">
              <w:rPr>
                <w:rFonts w:ascii="Calibri" w:hAnsi="Calibri" w:cs="Calibri"/>
                <w:sz w:val="24"/>
                <w:szCs w:val="24"/>
              </w:rPr>
              <w:t xml:space="preserve">et </w:t>
            </w:r>
            <w:r w:rsidRPr="0049797C">
              <w:rPr>
                <w:rFonts w:ascii="Calibri" w:hAnsi="Calibri" w:cs="Calibri"/>
                <w:sz w:val="24"/>
                <w:szCs w:val="24"/>
              </w:rPr>
              <w:t>à haut impac</w:t>
            </w:r>
            <w:r w:rsidR="00F15D8C" w:rsidRPr="0049797C">
              <w:rPr>
                <w:rFonts w:ascii="Calibri" w:hAnsi="Calibri" w:cs="Calibri"/>
                <w:sz w:val="24"/>
                <w:szCs w:val="24"/>
              </w:rPr>
              <w:t xml:space="preserve">t par la mère, le nouveau-né </w:t>
            </w:r>
            <w:r w:rsidRPr="0049797C">
              <w:rPr>
                <w:rFonts w:ascii="Calibri" w:hAnsi="Calibri" w:cs="Calibri"/>
                <w:sz w:val="24"/>
                <w:szCs w:val="24"/>
              </w:rPr>
              <w:t>l’enfant de moins de cinq ans, l’adolescent et le jeune augmente</w:t>
            </w:r>
            <w:r w:rsidR="00F15D8C" w:rsidRPr="0049797C">
              <w:rPr>
                <w:rFonts w:ascii="Calibri" w:hAnsi="Calibri" w:cs="Calibri"/>
                <w:sz w:val="24"/>
                <w:szCs w:val="24"/>
              </w:rPr>
              <w:t>.</w:t>
            </w:r>
          </w:p>
        </w:tc>
        <w:tc>
          <w:tcPr>
            <w:tcW w:w="283" w:type="dxa"/>
            <w:gridSpan w:val="2"/>
            <w:tcBorders>
              <w:top w:val="nil"/>
              <w:bottom w:val="nil"/>
            </w:tcBorders>
            <w:shd w:val="clear" w:color="auto" w:fill="FFFFFF" w:themeFill="background1"/>
          </w:tcPr>
          <w:p w:rsidR="005A5579" w:rsidRPr="0049797C" w:rsidRDefault="005A5579" w:rsidP="004B1B3F">
            <w:pPr>
              <w:rPr>
                <w:rFonts w:ascii="Calibri" w:hAnsi="Calibri" w:cs="Calibri"/>
                <w:b/>
                <w:color w:val="000000"/>
                <w:sz w:val="24"/>
                <w:szCs w:val="24"/>
              </w:rPr>
            </w:pPr>
          </w:p>
        </w:tc>
        <w:tc>
          <w:tcPr>
            <w:tcW w:w="3828" w:type="dxa"/>
            <w:gridSpan w:val="2"/>
            <w:tcBorders>
              <w:bottom w:val="single" w:sz="4" w:space="0" w:color="auto"/>
            </w:tcBorders>
            <w:shd w:val="clear" w:color="auto" w:fill="D6E3BC" w:themeFill="accent3" w:themeFillTint="66"/>
          </w:tcPr>
          <w:p w:rsidR="005A5579" w:rsidRPr="00457047" w:rsidRDefault="00457047" w:rsidP="005D02C3">
            <w:pPr>
              <w:pStyle w:val="Paragraphedeliste"/>
              <w:numPr>
                <w:ilvl w:val="0"/>
                <w:numId w:val="92"/>
              </w:numPr>
              <w:spacing w:line="240" w:lineRule="auto"/>
              <w:rPr>
                <w:rFonts w:asciiTheme="majorHAnsi" w:hAnsiTheme="majorHAnsi" w:cstheme="majorHAnsi"/>
                <w:sz w:val="24"/>
                <w:szCs w:val="24"/>
              </w:rPr>
            </w:pPr>
            <w:r w:rsidRPr="00457047">
              <w:rPr>
                <w:rFonts w:asciiTheme="majorHAnsi" w:hAnsiTheme="majorHAnsi" w:cstheme="majorHAnsi"/>
                <w:sz w:val="24"/>
                <w:szCs w:val="24"/>
              </w:rPr>
              <w:t>L’accès à l’eau potable, à l’hygiène et assainissement et une alimentation saine et sécurisée augmente</w:t>
            </w:r>
            <w:r>
              <w:rPr>
                <w:rFonts w:asciiTheme="majorHAnsi" w:hAnsiTheme="majorHAnsi" w:cstheme="majorHAnsi"/>
                <w:sz w:val="24"/>
                <w:szCs w:val="24"/>
              </w:rPr>
              <w:t>.</w:t>
            </w:r>
            <w:r w:rsidRPr="00457047">
              <w:rPr>
                <w:rFonts w:ascii="Calibri" w:hAnsi="Calibri" w:cs="Calibri"/>
                <w:sz w:val="24"/>
                <w:szCs w:val="24"/>
              </w:rPr>
              <w:t xml:space="preserve"> </w:t>
            </w:r>
          </w:p>
        </w:tc>
      </w:tr>
      <w:tr w:rsidR="005A5579" w:rsidTr="00BF0025">
        <w:tc>
          <w:tcPr>
            <w:tcW w:w="1366" w:type="dxa"/>
            <w:tcBorders>
              <w:left w:val="nil"/>
              <w:right w:val="nil"/>
            </w:tcBorders>
          </w:tcPr>
          <w:p w:rsidR="005A5579" w:rsidRDefault="005A5579" w:rsidP="004B1B3F">
            <w:pPr>
              <w:spacing w:line="276" w:lineRule="auto"/>
              <w:rPr>
                <w:rFonts w:ascii="Cambria" w:hAnsi="Cambria" w:cs="Cambria"/>
                <w:b/>
                <w:color w:val="000000"/>
              </w:rPr>
            </w:pPr>
          </w:p>
        </w:tc>
        <w:tc>
          <w:tcPr>
            <w:tcW w:w="236" w:type="dxa"/>
            <w:tcBorders>
              <w:top w:val="nil"/>
              <w:left w:val="nil"/>
              <w:bottom w:val="nil"/>
              <w:right w:val="nil"/>
            </w:tcBorders>
          </w:tcPr>
          <w:p w:rsidR="005A5579" w:rsidRDefault="005A5579" w:rsidP="004B1B3F">
            <w:pPr>
              <w:spacing w:line="276" w:lineRule="auto"/>
              <w:rPr>
                <w:rFonts w:ascii="Cambria" w:hAnsi="Cambria" w:cs="Cambria"/>
                <w:b/>
                <w:color w:val="000000"/>
              </w:rPr>
            </w:pPr>
          </w:p>
        </w:tc>
        <w:tc>
          <w:tcPr>
            <w:tcW w:w="5027" w:type="dxa"/>
            <w:gridSpan w:val="2"/>
            <w:tcBorders>
              <w:left w:val="nil"/>
              <w:right w:val="nil"/>
            </w:tcBorders>
          </w:tcPr>
          <w:p w:rsidR="005A5579" w:rsidRDefault="004B0495" w:rsidP="004B1B3F">
            <w:pPr>
              <w:spacing w:line="276" w:lineRule="auto"/>
              <w:rPr>
                <w:rFonts w:ascii="Cambria" w:hAnsi="Cambria" w:cs="Cambria"/>
                <w:b/>
                <w:color w:val="000000"/>
              </w:rPr>
            </w:pPr>
            <w:r>
              <w:rPr>
                <w:rFonts w:ascii="Cambria" w:hAnsi="Cambria" w:cs="Cambria"/>
                <w:b/>
                <w:noProof/>
                <w:color w:val="000000"/>
              </w:rPr>
              <mc:AlternateContent>
                <mc:Choice Requires="wps">
                  <w:drawing>
                    <wp:anchor distT="0" distB="0" distL="114300" distR="114300" simplePos="0" relativeHeight="251617792" behindDoc="0" locked="0" layoutInCell="1" allowOverlap="1">
                      <wp:simplePos x="0" y="0"/>
                      <wp:positionH relativeFrom="column">
                        <wp:posOffset>1545590</wp:posOffset>
                      </wp:positionH>
                      <wp:positionV relativeFrom="paragraph">
                        <wp:posOffset>-6350</wp:posOffset>
                      </wp:positionV>
                      <wp:extent cx="90805" cy="171450"/>
                      <wp:effectExtent l="21590" t="12700" r="20955" b="6350"/>
                      <wp:wrapNone/>
                      <wp:docPr id="202"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DDF93" id="AutoShape 6" o:spid="_x0000_s1026" type="#_x0000_t68" style="position:absolute;margin-left:121.7pt;margin-top:-.5pt;width:7.15pt;height:13.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" fillcolor="#4f81bd [3204]" strokecolor="#4f81bd [3204]">
                      <v:textbox style="layout-flow:vertical-ideographic"/>
                    </v:shape>
                  </w:pict>
                </mc:Fallback>
              </mc:AlternateContent>
            </w:r>
          </w:p>
        </w:tc>
        <w:tc>
          <w:tcPr>
            <w:tcW w:w="283" w:type="dxa"/>
            <w:gridSpan w:val="2"/>
            <w:tcBorders>
              <w:left w:val="nil"/>
              <w:bottom w:val="nil"/>
              <w:right w:val="nil"/>
            </w:tcBorders>
          </w:tcPr>
          <w:p w:rsidR="005A5579" w:rsidRDefault="005A5579" w:rsidP="004B1B3F">
            <w:pPr>
              <w:spacing w:line="276" w:lineRule="auto"/>
              <w:rPr>
                <w:rFonts w:ascii="Cambria" w:hAnsi="Cambria" w:cs="Cambria"/>
                <w:b/>
                <w:color w:val="000000"/>
              </w:rPr>
            </w:pPr>
          </w:p>
        </w:tc>
        <w:tc>
          <w:tcPr>
            <w:tcW w:w="3686" w:type="dxa"/>
            <w:tcBorders>
              <w:left w:val="nil"/>
              <w:right w:val="nil"/>
            </w:tcBorders>
          </w:tcPr>
          <w:p w:rsidR="005A5579" w:rsidRDefault="004B0495" w:rsidP="004B1B3F">
            <w:pPr>
              <w:spacing w:line="276" w:lineRule="auto"/>
              <w:rPr>
                <w:rFonts w:ascii="Cambria" w:hAnsi="Cambria" w:cs="Cambria"/>
                <w:b/>
                <w:color w:val="000000"/>
              </w:rPr>
            </w:pPr>
            <w:r>
              <w:rPr>
                <w:rFonts w:ascii="Cambria" w:hAnsi="Cambria" w:cs="Cambria"/>
                <w:b/>
                <w:noProof/>
                <w:color w:val="000000"/>
              </w:rPr>
              <mc:AlternateContent>
                <mc:Choice Requires="wps">
                  <w:drawing>
                    <wp:anchor distT="0" distB="0" distL="114300" distR="114300" simplePos="0" relativeHeight="251618816" behindDoc="0" locked="0" layoutInCell="1" allowOverlap="1">
                      <wp:simplePos x="0" y="0"/>
                      <wp:positionH relativeFrom="column">
                        <wp:posOffset>1036955</wp:posOffset>
                      </wp:positionH>
                      <wp:positionV relativeFrom="paragraph">
                        <wp:posOffset>-6350</wp:posOffset>
                      </wp:positionV>
                      <wp:extent cx="90805" cy="171450"/>
                      <wp:effectExtent l="17780" t="12700" r="24765" b="6350"/>
                      <wp:wrapNone/>
                      <wp:docPr id="20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143145" id="AutoShape 7" o:spid="_x0000_s1026" type="#_x0000_t68" style="position:absolute;margin-left:81.65pt;margin-top:-.5pt;width:7.15pt;height:13.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" fillcolor="#4f81bd [3204]" strokecolor="#4f81bd [3204]">
                      <v:textbox style="layout-flow:vertical-ideographic"/>
                    </v:shape>
                  </w:pict>
                </mc:Fallback>
              </mc:AlternateContent>
            </w:r>
          </w:p>
        </w:tc>
        <w:tc>
          <w:tcPr>
            <w:tcW w:w="283" w:type="dxa"/>
            <w:gridSpan w:val="2"/>
            <w:tcBorders>
              <w:top w:val="nil"/>
              <w:left w:val="nil"/>
              <w:bottom w:val="nil"/>
              <w:right w:val="nil"/>
            </w:tcBorders>
          </w:tcPr>
          <w:p w:rsidR="005A5579" w:rsidRDefault="005A5579" w:rsidP="004B1B3F">
            <w:pPr>
              <w:spacing w:line="276" w:lineRule="auto"/>
              <w:rPr>
                <w:rFonts w:ascii="Cambria" w:hAnsi="Cambria" w:cs="Cambria"/>
                <w:b/>
                <w:color w:val="000000"/>
              </w:rPr>
            </w:pPr>
          </w:p>
        </w:tc>
        <w:tc>
          <w:tcPr>
            <w:tcW w:w="3828" w:type="dxa"/>
            <w:gridSpan w:val="2"/>
            <w:tcBorders>
              <w:left w:val="nil"/>
              <w:right w:val="nil"/>
            </w:tcBorders>
          </w:tcPr>
          <w:p w:rsidR="005A5579" w:rsidRDefault="004B0495" w:rsidP="004B1B3F">
            <w:pPr>
              <w:spacing w:line="276" w:lineRule="auto"/>
              <w:rPr>
                <w:rFonts w:ascii="Cambria" w:hAnsi="Cambria" w:cs="Cambria"/>
                <w:b/>
                <w:color w:val="000000"/>
              </w:rPr>
            </w:pPr>
            <w:r>
              <w:rPr>
                <w:rFonts w:ascii="Cambria" w:hAnsi="Cambria" w:cs="Cambria"/>
                <w:b/>
                <w:noProof/>
                <w:color w:val="000000"/>
              </w:rPr>
              <mc:AlternateContent>
                <mc:Choice Requires="wps">
                  <w:drawing>
                    <wp:anchor distT="0" distB="0" distL="114300" distR="114300" simplePos="0" relativeHeight="251619840" behindDoc="0" locked="0" layoutInCell="1" allowOverlap="1">
                      <wp:simplePos x="0" y="0"/>
                      <wp:positionH relativeFrom="column">
                        <wp:posOffset>994410</wp:posOffset>
                      </wp:positionH>
                      <wp:positionV relativeFrom="paragraph">
                        <wp:posOffset>-6350</wp:posOffset>
                      </wp:positionV>
                      <wp:extent cx="90805" cy="171450"/>
                      <wp:effectExtent l="22860" t="12700" r="19685" b="6350"/>
                      <wp:wrapNone/>
                      <wp:docPr id="200"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99456" id="AutoShape 8" o:spid="_x0000_s1026" type="#_x0000_t68" style="position:absolute;margin-left:78.3pt;margin-top:-.5pt;width:7.15pt;height:13.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" fillcolor="#4f81bd [3204]" strokecolor="#4f81bd [3204]">
                      <v:textbox style="layout-flow:vertical-ideographic"/>
                    </v:shape>
                  </w:pict>
                </mc:Fallback>
              </mc:AlternateContent>
            </w:r>
          </w:p>
        </w:tc>
      </w:tr>
      <w:tr w:rsidR="005A5579" w:rsidRPr="00F15D8C" w:rsidTr="00BF0025">
        <w:tc>
          <w:tcPr>
            <w:tcW w:w="1366" w:type="dxa"/>
            <w:vMerge w:val="restart"/>
            <w:shd w:val="clear" w:color="auto" w:fill="EAF1DD" w:themeFill="accent3" w:themeFillTint="33"/>
          </w:tcPr>
          <w:p w:rsidR="005A5579" w:rsidRPr="00F15D8C" w:rsidRDefault="005A5579" w:rsidP="004B1B3F">
            <w:pPr>
              <w:rPr>
                <w:rFonts w:ascii="Calibri" w:hAnsi="Calibri" w:cs="Calibri"/>
                <w:b/>
                <w:color w:val="000000"/>
              </w:rPr>
            </w:pPr>
            <w:r w:rsidRPr="00F15D8C">
              <w:rPr>
                <w:rFonts w:ascii="Calibri" w:hAnsi="Calibri" w:cs="Calibri"/>
                <w:b/>
                <w:color w:val="000000"/>
              </w:rPr>
              <w:t>PRODUITS</w:t>
            </w:r>
          </w:p>
        </w:tc>
        <w:tc>
          <w:tcPr>
            <w:tcW w:w="236" w:type="dxa"/>
            <w:vMerge w:val="restart"/>
            <w:tcBorders>
              <w:top w:val="nil"/>
              <w:bottom w:val="nil"/>
            </w:tcBorders>
            <w:shd w:val="clear" w:color="auto" w:fill="FFFFFF" w:themeFill="background1"/>
          </w:tcPr>
          <w:p w:rsidR="005A5579" w:rsidRPr="00F15D8C" w:rsidRDefault="005A5579" w:rsidP="004B1B3F">
            <w:pPr>
              <w:rPr>
                <w:rFonts w:ascii="Calibri" w:hAnsi="Calibri" w:cs="Calibri"/>
                <w:b/>
                <w:color w:val="000000"/>
              </w:rPr>
            </w:pPr>
          </w:p>
        </w:tc>
        <w:tc>
          <w:tcPr>
            <w:tcW w:w="5027" w:type="dxa"/>
            <w:gridSpan w:val="2"/>
            <w:vMerge w:val="restart"/>
            <w:shd w:val="clear" w:color="auto" w:fill="EAF1DD" w:themeFill="accent3" w:themeFillTint="33"/>
          </w:tcPr>
          <w:p w:rsidR="000C53E2" w:rsidRPr="00571EAC" w:rsidRDefault="000C53E2" w:rsidP="005D02C3">
            <w:pPr>
              <w:pStyle w:val="Paragraphedeliste"/>
              <w:numPr>
                <w:ilvl w:val="3"/>
                <w:numId w:val="119"/>
              </w:numPr>
              <w:spacing w:line="240" w:lineRule="auto"/>
              <w:ind w:left="383" w:hanging="383"/>
              <w:rPr>
                <w:color w:val="000000"/>
              </w:rPr>
            </w:pPr>
            <w:r w:rsidRPr="00571EAC">
              <w:rPr>
                <w:color w:val="000000"/>
              </w:rPr>
              <w:t xml:space="preserve">La couverture par le paquet  intégré </w:t>
            </w:r>
            <w:r w:rsidR="00590C99">
              <w:rPr>
                <w:color w:val="000000"/>
              </w:rPr>
              <w:t xml:space="preserve">et </w:t>
            </w:r>
            <w:r w:rsidR="00590C99" w:rsidRPr="00571EAC">
              <w:rPr>
                <w:color w:val="000000"/>
              </w:rPr>
              <w:t xml:space="preserve">de qualité </w:t>
            </w:r>
            <w:r w:rsidRPr="00571EAC">
              <w:rPr>
                <w:color w:val="000000"/>
              </w:rPr>
              <w:t>d’interve</w:t>
            </w:r>
            <w:r w:rsidR="00590C99">
              <w:rPr>
                <w:color w:val="000000"/>
              </w:rPr>
              <w:t xml:space="preserve">ntions de SRMNEAN à haut impact </w:t>
            </w:r>
            <w:r w:rsidRPr="00571EAC">
              <w:rPr>
                <w:color w:val="000000"/>
              </w:rPr>
              <w:t>est améliorée.</w:t>
            </w:r>
          </w:p>
          <w:p w:rsidR="00875AEC" w:rsidRPr="00571EAC" w:rsidRDefault="00875AEC" w:rsidP="005D02C3">
            <w:pPr>
              <w:pStyle w:val="Paragraphedeliste"/>
              <w:numPr>
                <w:ilvl w:val="3"/>
                <w:numId w:val="119"/>
              </w:numPr>
              <w:spacing w:line="240" w:lineRule="auto"/>
              <w:ind w:left="383" w:hanging="383"/>
              <w:rPr>
                <w:color w:val="000000"/>
              </w:rPr>
            </w:pPr>
            <w:r w:rsidRPr="00571EAC">
              <w:rPr>
                <w:color w:val="000000"/>
              </w:rPr>
              <w:t>La qualité des services, centrés sur la personne et la sécurité du patient, est  renforcée.</w:t>
            </w:r>
          </w:p>
          <w:p w:rsidR="00875AEC" w:rsidRPr="00571EAC" w:rsidRDefault="00875AEC" w:rsidP="005D02C3">
            <w:pPr>
              <w:pStyle w:val="Paragraphedeliste"/>
              <w:numPr>
                <w:ilvl w:val="3"/>
                <w:numId w:val="119"/>
              </w:numPr>
              <w:spacing w:line="240" w:lineRule="auto"/>
              <w:ind w:left="383" w:hanging="383"/>
              <w:rPr>
                <w:color w:val="000000"/>
              </w:rPr>
            </w:pPr>
            <w:r w:rsidRPr="00571EAC">
              <w:rPr>
                <w:color w:val="000000"/>
              </w:rPr>
              <w:t>L</w:t>
            </w:r>
            <w:r w:rsidR="00CB3263">
              <w:rPr>
                <w:color w:val="000000"/>
              </w:rPr>
              <w:t>a disponibilité d</w:t>
            </w:r>
            <w:r w:rsidR="00B56150">
              <w:rPr>
                <w:color w:val="000000"/>
              </w:rPr>
              <w:t xml:space="preserve">es services de vaccination </w:t>
            </w:r>
            <w:r w:rsidR="00CB3263">
              <w:rPr>
                <w:color w:val="000000"/>
              </w:rPr>
              <w:t>est améliorée</w:t>
            </w:r>
            <w:r w:rsidR="00B56150">
              <w:rPr>
                <w:color w:val="000000"/>
              </w:rPr>
              <w:t xml:space="preserve">, surtout  </w:t>
            </w:r>
            <w:r w:rsidR="00B56150" w:rsidRPr="00571EAC">
              <w:rPr>
                <w:color w:val="000000"/>
              </w:rPr>
              <w:t xml:space="preserve">pour  les populations </w:t>
            </w:r>
            <w:r w:rsidR="00B56150">
              <w:rPr>
                <w:color w:val="000000"/>
              </w:rPr>
              <w:t xml:space="preserve">vivants en zones </w:t>
            </w:r>
            <w:r w:rsidR="00B56150" w:rsidRPr="00571EAC">
              <w:rPr>
                <w:color w:val="000000"/>
              </w:rPr>
              <w:t>d’accès difficile</w:t>
            </w:r>
            <w:r w:rsidR="00CB3263">
              <w:rPr>
                <w:color w:val="000000"/>
              </w:rPr>
              <w:t>.</w:t>
            </w:r>
          </w:p>
          <w:p w:rsidR="00F07B2E" w:rsidRPr="00571EAC" w:rsidRDefault="00F07B2E" w:rsidP="005D02C3">
            <w:pPr>
              <w:pStyle w:val="Paragraphedeliste"/>
              <w:numPr>
                <w:ilvl w:val="3"/>
                <w:numId w:val="119"/>
              </w:numPr>
              <w:spacing w:line="240" w:lineRule="auto"/>
              <w:ind w:left="383" w:hanging="383"/>
              <w:rPr>
                <w:color w:val="000000"/>
              </w:rPr>
            </w:pPr>
            <w:r w:rsidRPr="00571EAC">
              <w:rPr>
                <w:color w:val="000000"/>
              </w:rPr>
              <w:t>L’approche communautaire est renforcée pour délivrer les interventions de SRMNEAN,  en particul</w:t>
            </w:r>
            <w:r w:rsidR="00BF0025">
              <w:rPr>
                <w:color w:val="000000"/>
              </w:rPr>
              <w:t xml:space="preserve">ier dans les zones </w:t>
            </w:r>
            <w:r w:rsidRPr="00571EAC">
              <w:rPr>
                <w:color w:val="000000"/>
              </w:rPr>
              <w:t>d’accès difficile.</w:t>
            </w:r>
          </w:p>
          <w:p w:rsidR="00F6456A" w:rsidRPr="00571EAC" w:rsidRDefault="00875AEC" w:rsidP="005D02C3">
            <w:pPr>
              <w:pStyle w:val="Paragraphedeliste"/>
              <w:numPr>
                <w:ilvl w:val="3"/>
                <w:numId w:val="119"/>
              </w:numPr>
              <w:spacing w:line="240" w:lineRule="auto"/>
              <w:ind w:left="383" w:hanging="383"/>
              <w:rPr>
                <w:color w:val="000000"/>
              </w:rPr>
            </w:pPr>
            <w:r w:rsidRPr="00571EAC">
              <w:rPr>
                <w:color w:val="000000"/>
              </w:rPr>
              <w:t>Une demande équitable de services SRMNEAN à haut impact est assurée.</w:t>
            </w:r>
          </w:p>
        </w:tc>
        <w:tc>
          <w:tcPr>
            <w:tcW w:w="283" w:type="dxa"/>
            <w:gridSpan w:val="2"/>
            <w:vMerge w:val="restart"/>
            <w:tcBorders>
              <w:top w:val="nil"/>
              <w:bottom w:val="nil"/>
            </w:tcBorders>
            <w:shd w:val="clear" w:color="auto" w:fill="FFFFFF" w:themeFill="background1"/>
          </w:tcPr>
          <w:p w:rsidR="005A5579" w:rsidRPr="00F15D8C" w:rsidRDefault="005A5579" w:rsidP="004B1B3F">
            <w:pPr>
              <w:rPr>
                <w:rFonts w:ascii="Calibri" w:hAnsi="Calibri" w:cs="Calibri"/>
                <w:b/>
                <w:color w:val="000000"/>
              </w:rPr>
            </w:pPr>
          </w:p>
        </w:tc>
        <w:tc>
          <w:tcPr>
            <w:tcW w:w="3686" w:type="dxa"/>
            <w:vMerge w:val="restart"/>
            <w:shd w:val="clear" w:color="auto" w:fill="EAF1DD" w:themeFill="accent3" w:themeFillTint="33"/>
          </w:tcPr>
          <w:p w:rsidR="00E77ABA" w:rsidRDefault="00E77ABA" w:rsidP="005D02C3">
            <w:pPr>
              <w:pStyle w:val="Paragraphedeliste"/>
              <w:numPr>
                <w:ilvl w:val="3"/>
                <w:numId w:val="119"/>
              </w:numPr>
              <w:spacing w:line="240" w:lineRule="auto"/>
              <w:ind w:left="383" w:hanging="383"/>
              <w:rPr>
                <w:rFonts w:cstheme="minorHAnsi"/>
                <w:sz w:val="24"/>
                <w:szCs w:val="24"/>
              </w:rPr>
            </w:pPr>
            <w:r w:rsidRPr="00E77ABA">
              <w:rPr>
                <w:rFonts w:cstheme="minorHAnsi"/>
                <w:sz w:val="24"/>
                <w:szCs w:val="24"/>
              </w:rPr>
              <w:t>La disponibilité d’un personnel opérationnel,  compétent, motivé et réparti équitablement est assurée.</w:t>
            </w:r>
          </w:p>
          <w:p w:rsidR="00DE2AE6" w:rsidRPr="00DE2AE6" w:rsidRDefault="00DE2AE6" w:rsidP="00DE2AE6">
            <w:pPr>
              <w:pStyle w:val="Paragraphedeliste"/>
              <w:numPr>
                <w:ilvl w:val="3"/>
                <w:numId w:val="119"/>
              </w:numPr>
              <w:spacing w:line="240" w:lineRule="auto"/>
              <w:ind w:left="383" w:hanging="383"/>
              <w:rPr>
                <w:rFonts w:cstheme="minorHAnsi"/>
              </w:rPr>
            </w:pPr>
            <w:r w:rsidRPr="00DE2AE6">
              <w:rPr>
                <w:rFonts w:cstheme="minorHAnsi"/>
              </w:rPr>
              <w:t>La disponibilité des infrastructures, des équipements et de  la logistique pour l’offre des services  SRMNEAN est améliorée.</w:t>
            </w:r>
          </w:p>
          <w:p w:rsidR="005A5579" w:rsidRPr="00DE2AE6" w:rsidRDefault="00875AEC" w:rsidP="00DE2AE6">
            <w:pPr>
              <w:pStyle w:val="Paragraphedeliste"/>
              <w:numPr>
                <w:ilvl w:val="3"/>
                <w:numId w:val="119"/>
              </w:numPr>
              <w:spacing w:line="240" w:lineRule="auto"/>
              <w:ind w:left="383" w:hanging="383"/>
              <w:rPr>
                <w:rFonts w:asciiTheme="majorHAnsi" w:hAnsiTheme="majorHAnsi" w:cstheme="majorHAnsi"/>
                <w:sz w:val="24"/>
                <w:szCs w:val="24"/>
              </w:rPr>
            </w:pPr>
            <w:r w:rsidRPr="00875AEC">
              <w:rPr>
                <w:rFonts w:asciiTheme="majorHAnsi" w:hAnsiTheme="majorHAnsi" w:cstheme="majorHAnsi"/>
              </w:rPr>
              <w:t>L</w:t>
            </w:r>
            <w:r w:rsidR="00DE2AE6">
              <w:rPr>
                <w:rFonts w:asciiTheme="majorHAnsi" w:hAnsiTheme="majorHAnsi" w:cstheme="majorHAnsi"/>
              </w:rPr>
              <w:t>a disponibilité continue des intrants de SRMNEAN es</w:t>
            </w:r>
            <w:r w:rsidRPr="00875AEC">
              <w:rPr>
                <w:rFonts w:asciiTheme="majorHAnsi" w:hAnsiTheme="majorHAnsi" w:cstheme="majorHAnsi"/>
              </w:rPr>
              <w:t>t</w:t>
            </w:r>
            <w:r w:rsidR="00DE2AE6">
              <w:rPr>
                <w:rFonts w:asciiTheme="majorHAnsi" w:hAnsiTheme="majorHAnsi" w:cstheme="majorHAnsi"/>
              </w:rPr>
              <w:t xml:space="preserve"> améliorée. </w:t>
            </w:r>
            <w:r w:rsidRPr="00875AEC">
              <w:rPr>
                <w:rFonts w:asciiTheme="majorHAnsi" w:hAnsiTheme="majorHAnsi" w:cstheme="majorHAnsi"/>
              </w:rPr>
              <w:t xml:space="preserve"> </w:t>
            </w:r>
          </w:p>
        </w:tc>
        <w:tc>
          <w:tcPr>
            <w:tcW w:w="283" w:type="dxa"/>
            <w:gridSpan w:val="2"/>
            <w:tcBorders>
              <w:top w:val="nil"/>
              <w:bottom w:val="nil"/>
            </w:tcBorders>
            <w:shd w:val="clear" w:color="auto" w:fill="FFFFFF" w:themeFill="background1"/>
          </w:tcPr>
          <w:p w:rsidR="005A5579" w:rsidRPr="00F15D8C" w:rsidRDefault="005A5579" w:rsidP="004B1B3F">
            <w:pPr>
              <w:rPr>
                <w:rFonts w:ascii="Calibri" w:hAnsi="Calibri" w:cs="Calibri"/>
                <w:b/>
                <w:color w:val="000000"/>
              </w:rPr>
            </w:pPr>
          </w:p>
        </w:tc>
        <w:tc>
          <w:tcPr>
            <w:tcW w:w="3828" w:type="dxa"/>
            <w:gridSpan w:val="2"/>
            <w:vMerge w:val="restart"/>
            <w:shd w:val="clear" w:color="auto" w:fill="EAF1DD" w:themeFill="accent3" w:themeFillTint="33"/>
          </w:tcPr>
          <w:p w:rsidR="00BF0025" w:rsidRDefault="00BF0025" w:rsidP="005D02C3">
            <w:pPr>
              <w:pStyle w:val="Paragraphedeliste"/>
              <w:numPr>
                <w:ilvl w:val="3"/>
                <w:numId w:val="119"/>
              </w:numPr>
              <w:spacing w:line="240" w:lineRule="auto"/>
              <w:ind w:left="383" w:hanging="383"/>
              <w:rPr>
                <w:rFonts w:ascii="Calibri" w:hAnsi="Calibri" w:cs="Calibri"/>
              </w:rPr>
            </w:pPr>
            <w:r w:rsidRPr="002C7E36">
              <w:rPr>
                <w:rFonts w:ascii="Calibri" w:hAnsi="Calibri" w:cs="Calibri"/>
              </w:rPr>
              <w:t xml:space="preserve">Le financement de la santé en </w:t>
            </w:r>
            <w:r w:rsidRPr="006E384B">
              <w:t>général  et le financement du DI-SRMNEAN-ECSV sont assurés</w:t>
            </w:r>
          </w:p>
          <w:p w:rsidR="005A5579" w:rsidRPr="00F15D8C" w:rsidRDefault="005A5579" w:rsidP="005D02C3">
            <w:pPr>
              <w:pStyle w:val="Paragraphedeliste"/>
              <w:numPr>
                <w:ilvl w:val="3"/>
                <w:numId w:val="119"/>
              </w:numPr>
              <w:spacing w:line="240" w:lineRule="auto"/>
              <w:ind w:left="383" w:hanging="383"/>
              <w:rPr>
                <w:rFonts w:ascii="Calibri" w:hAnsi="Calibri" w:cs="Calibri"/>
              </w:rPr>
            </w:pPr>
            <w:r w:rsidRPr="00F15D8C">
              <w:rPr>
                <w:rFonts w:ascii="Calibri" w:hAnsi="Calibri" w:cs="Calibri"/>
              </w:rPr>
              <w:t>L’information sanitaire est renforcée pour une meilleure prise de décision</w:t>
            </w:r>
          </w:p>
          <w:p w:rsidR="005A5579" w:rsidRPr="00352012" w:rsidRDefault="005A5579" w:rsidP="005D02C3">
            <w:pPr>
              <w:pStyle w:val="Paragraphedeliste"/>
              <w:numPr>
                <w:ilvl w:val="3"/>
                <w:numId w:val="119"/>
              </w:numPr>
              <w:spacing w:line="240" w:lineRule="auto"/>
              <w:ind w:left="383" w:hanging="383"/>
              <w:rPr>
                <w:rFonts w:ascii="Calibri" w:hAnsi="Calibri" w:cs="Calibri"/>
                <w:b/>
                <w:color w:val="000000"/>
              </w:rPr>
            </w:pPr>
            <w:r w:rsidRPr="00F15D8C">
              <w:rPr>
                <w:rFonts w:ascii="Calibri" w:hAnsi="Calibri" w:cs="Calibri"/>
              </w:rPr>
              <w:t>L’enregistrement des faits d’état civil et la production des statistiques vitales sont améliorés.</w:t>
            </w:r>
          </w:p>
          <w:p w:rsidR="0046579B" w:rsidRPr="00BF0025" w:rsidRDefault="00352012" w:rsidP="005D02C3">
            <w:pPr>
              <w:pStyle w:val="Paragraphedeliste"/>
              <w:numPr>
                <w:ilvl w:val="3"/>
                <w:numId w:val="119"/>
              </w:numPr>
              <w:spacing w:line="240" w:lineRule="auto"/>
              <w:ind w:left="383" w:hanging="383"/>
              <w:rPr>
                <w:rFonts w:ascii="Calibri" w:hAnsi="Calibri" w:cs="Calibri"/>
                <w:b/>
                <w:color w:val="000000"/>
              </w:rPr>
            </w:pPr>
            <w:r w:rsidRPr="00352012">
              <w:rPr>
                <w:rFonts w:asciiTheme="majorHAnsi" w:hAnsiTheme="majorHAnsi" w:cstheme="majorHAnsi"/>
                <w:color w:val="000000"/>
                <w:sz w:val="24"/>
                <w:szCs w:val="24"/>
              </w:rPr>
              <w:t>La coordination des actions intra et intersectorielles en faveur de la santé et de ses déterminants</w:t>
            </w:r>
            <w:r w:rsidRPr="00352012">
              <w:rPr>
                <w:rFonts w:asciiTheme="majorHAnsi" w:hAnsiTheme="majorHAnsi" w:cstheme="majorHAnsi"/>
                <w:sz w:val="24"/>
                <w:szCs w:val="24"/>
              </w:rPr>
              <w:t xml:space="preserve"> est améliorée.</w:t>
            </w:r>
          </w:p>
        </w:tc>
      </w:tr>
      <w:tr w:rsidR="005A5579" w:rsidTr="00BF0025">
        <w:tc>
          <w:tcPr>
            <w:tcW w:w="1366" w:type="dxa"/>
            <w:vMerge/>
            <w:shd w:val="clear" w:color="auto" w:fill="FDE9D9" w:themeFill="accent6" w:themeFillTint="33"/>
          </w:tcPr>
          <w:p w:rsidR="005A5579" w:rsidRDefault="005A5579" w:rsidP="004B1B3F">
            <w:pPr>
              <w:rPr>
                <w:rFonts w:ascii="Cambria" w:hAnsi="Cambria" w:cs="Cambria"/>
                <w:b/>
                <w:color w:val="000000"/>
              </w:rPr>
            </w:pPr>
          </w:p>
        </w:tc>
        <w:tc>
          <w:tcPr>
            <w:tcW w:w="236" w:type="dxa"/>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5027" w:type="dxa"/>
            <w:gridSpan w:val="2"/>
            <w:vMerge/>
            <w:shd w:val="clear" w:color="auto" w:fill="FDE9D9" w:themeFill="accent6" w:themeFillTint="33"/>
          </w:tcPr>
          <w:p w:rsidR="005A5579" w:rsidRPr="006A0E19" w:rsidRDefault="005A5579" w:rsidP="005D02C3">
            <w:pPr>
              <w:pStyle w:val="Paragraphedeliste"/>
              <w:numPr>
                <w:ilvl w:val="0"/>
                <w:numId w:val="90"/>
              </w:numPr>
              <w:spacing w:line="240" w:lineRule="auto"/>
              <w:rPr>
                <w:rFonts w:cstheme="minorHAnsi"/>
                <w:sz w:val="24"/>
                <w:szCs w:val="24"/>
              </w:rPr>
            </w:pPr>
          </w:p>
        </w:tc>
        <w:tc>
          <w:tcPr>
            <w:tcW w:w="283" w:type="dxa"/>
            <w:gridSpan w:val="2"/>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3686" w:type="dxa"/>
            <w:vMerge/>
            <w:shd w:val="clear" w:color="auto" w:fill="FDE9D9" w:themeFill="accent6" w:themeFillTint="33"/>
          </w:tcPr>
          <w:p w:rsidR="005A5579" w:rsidRDefault="005A5579" w:rsidP="004B1B3F">
            <w:pPr>
              <w:rPr>
                <w:rFonts w:ascii="Cambria" w:hAnsi="Cambria" w:cs="Cambria"/>
                <w:b/>
                <w:color w:val="000000"/>
              </w:rPr>
            </w:pPr>
          </w:p>
        </w:tc>
        <w:tc>
          <w:tcPr>
            <w:tcW w:w="283" w:type="dxa"/>
            <w:gridSpan w:val="2"/>
            <w:tcBorders>
              <w:top w:val="nil"/>
              <w:bottom w:val="nil"/>
            </w:tcBorders>
          </w:tcPr>
          <w:p w:rsidR="005A5579" w:rsidRDefault="005A5579" w:rsidP="004B1B3F">
            <w:pPr>
              <w:rPr>
                <w:rFonts w:ascii="Cambria" w:hAnsi="Cambria" w:cs="Cambria"/>
                <w:b/>
                <w:color w:val="000000"/>
              </w:rPr>
            </w:pPr>
          </w:p>
        </w:tc>
        <w:tc>
          <w:tcPr>
            <w:tcW w:w="3828" w:type="dxa"/>
            <w:gridSpan w:val="2"/>
            <w:vMerge/>
            <w:shd w:val="clear" w:color="auto" w:fill="FDE9D9" w:themeFill="accent6" w:themeFillTint="33"/>
          </w:tcPr>
          <w:p w:rsidR="005A5579" w:rsidRDefault="005A5579" w:rsidP="005D02C3">
            <w:pPr>
              <w:pStyle w:val="Paragraphedeliste"/>
              <w:numPr>
                <w:ilvl w:val="0"/>
                <w:numId w:val="90"/>
              </w:numPr>
              <w:spacing w:line="240" w:lineRule="auto"/>
              <w:rPr>
                <w:rFonts w:ascii="Cambria" w:hAnsi="Cambria" w:cs="Cambria"/>
                <w:b/>
                <w:color w:val="000000"/>
              </w:rPr>
            </w:pPr>
          </w:p>
        </w:tc>
      </w:tr>
      <w:tr w:rsidR="005A5579" w:rsidTr="00BF0025">
        <w:tc>
          <w:tcPr>
            <w:tcW w:w="1366" w:type="dxa"/>
            <w:vMerge/>
            <w:shd w:val="clear" w:color="auto" w:fill="FDE9D9" w:themeFill="accent6" w:themeFillTint="33"/>
          </w:tcPr>
          <w:p w:rsidR="005A5579" w:rsidRDefault="005A5579" w:rsidP="004B1B3F">
            <w:pPr>
              <w:rPr>
                <w:rFonts w:ascii="Cambria" w:hAnsi="Cambria" w:cs="Cambria"/>
                <w:b/>
                <w:color w:val="000000"/>
              </w:rPr>
            </w:pPr>
          </w:p>
        </w:tc>
        <w:tc>
          <w:tcPr>
            <w:tcW w:w="236" w:type="dxa"/>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5027" w:type="dxa"/>
            <w:gridSpan w:val="2"/>
            <w:vMerge/>
            <w:shd w:val="clear" w:color="auto" w:fill="FDE9D9" w:themeFill="accent6" w:themeFillTint="33"/>
          </w:tcPr>
          <w:p w:rsidR="005A5579" w:rsidRPr="006A0E19" w:rsidRDefault="005A5579" w:rsidP="005D02C3">
            <w:pPr>
              <w:pStyle w:val="Paragraphedeliste"/>
              <w:numPr>
                <w:ilvl w:val="0"/>
                <w:numId w:val="90"/>
              </w:numPr>
              <w:spacing w:line="240" w:lineRule="auto"/>
              <w:rPr>
                <w:rFonts w:cstheme="minorHAnsi"/>
                <w:sz w:val="24"/>
                <w:szCs w:val="24"/>
              </w:rPr>
            </w:pPr>
          </w:p>
        </w:tc>
        <w:tc>
          <w:tcPr>
            <w:tcW w:w="283" w:type="dxa"/>
            <w:gridSpan w:val="2"/>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3686" w:type="dxa"/>
            <w:vMerge/>
            <w:shd w:val="clear" w:color="auto" w:fill="FDE9D9" w:themeFill="accent6" w:themeFillTint="33"/>
          </w:tcPr>
          <w:p w:rsidR="005A5579" w:rsidRDefault="005A5579" w:rsidP="004B1B3F">
            <w:pPr>
              <w:rPr>
                <w:rFonts w:ascii="Cambria" w:hAnsi="Cambria" w:cs="Cambria"/>
                <w:b/>
                <w:color w:val="000000"/>
              </w:rPr>
            </w:pPr>
          </w:p>
        </w:tc>
        <w:tc>
          <w:tcPr>
            <w:tcW w:w="283" w:type="dxa"/>
            <w:gridSpan w:val="2"/>
            <w:tcBorders>
              <w:top w:val="nil"/>
              <w:bottom w:val="nil"/>
            </w:tcBorders>
          </w:tcPr>
          <w:p w:rsidR="005A5579" w:rsidRDefault="005A5579" w:rsidP="004B1B3F">
            <w:pPr>
              <w:rPr>
                <w:rFonts w:ascii="Cambria" w:hAnsi="Cambria" w:cs="Cambria"/>
                <w:b/>
                <w:color w:val="000000"/>
              </w:rPr>
            </w:pPr>
          </w:p>
        </w:tc>
        <w:tc>
          <w:tcPr>
            <w:tcW w:w="3828" w:type="dxa"/>
            <w:gridSpan w:val="2"/>
            <w:vMerge/>
            <w:shd w:val="clear" w:color="auto" w:fill="FDE9D9" w:themeFill="accent6" w:themeFillTint="33"/>
          </w:tcPr>
          <w:p w:rsidR="005A5579" w:rsidRPr="008711A6" w:rsidRDefault="005A5579" w:rsidP="005D02C3">
            <w:pPr>
              <w:pStyle w:val="Paragraphedeliste"/>
              <w:numPr>
                <w:ilvl w:val="0"/>
                <w:numId w:val="90"/>
              </w:numPr>
              <w:spacing w:line="240" w:lineRule="auto"/>
              <w:rPr>
                <w:rFonts w:ascii="Cambria" w:hAnsi="Cambria" w:cs="Cambria"/>
                <w:b/>
                <w:color w:val="000000"/>
              </w:rPr>
            </w:pPr>
          </w:p>
        </w:tc>
      </w:tr>
      <w:tr w:rsidR="005A5579" w:rsidTr="00BF0025">
        <w:tc>
          <w:tcPr>
            <w:tcW w:w="1366" w:type="dxa"/>
            <w:vMerge/>
            <w:shd w:val="clear" w:color="auto" w:fill="FDE9D9" w:themeFill="accent6" w:themeFillTint="33"/>
          </w:tcPr>
          <w:p w:rsidR="005A5579" w:rsidRDefault="005A5579" w:rsidP="004B1B3F">
            <w:pPr>
              <w:rPr>
                <w:rFonts w:ascii="Cambria" w:hAnsi="Cambria" w:cs="Cambria"/>
                <w:b/>
                <w:color w:val="000000"/>
              </w:rPr>
            </w:pPr>
          </w:p>
        </w:tc>
        <w:tc>
          <w:tcPr>
            <w:tcW w:w="236" w:type="dxa"/>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5027" w:type="dxa"/>
            <w:gridSpan w:val="2"/>
            <w:vMerge/>
            <w:shd w:val="clear" w:color="auto" w:fill="FDE9D9" w:themeFill="accent6" w:themeFillTint="33"/>
          </w:tcPr>
          <w:p w:rsidR="005A5579" w:rsidRPr="006A0E19" w:rsidRDefault="005A5579" w:rsidP="005D02C3">
            <w:pPr>
              <w:pStyle w:val="Paragraphedeliste"/>
              <w:numPr>
                <w:ilvl w:val="0"/>
                <w:numId w:val="90"/>
              </w:numPr>
              <w:spacing w:line="240" w:lineRule="auto"/>
              <w:rPr>
                <w:rFonts w:cstheme="minorHAnsi"/>
                <w:sz w:val="24"/>
                <w:szCs w:val="24"/>
              </w:rPr>
            </w:pPr>
          </w:p>
        </w:tc>
        <w:tc>
          <w:tcPr>
            <w:tcW w:w="283" w:type="dxa"/>
            <w:gridSpan w:val="2"/>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3686" w:type="dxa"/>
            <w:vMerge/>
            <w:shd w:val="clear" w:color="auto" w:fill="FDE9D9" w:themeFill="accent6" w:themeFillTint="33"/>
          </w:tcPr>
          <w:p w:rsidR="005A5579" w:rsidRDefault="005A5579" w:rsidP="004B1B3F">
            <w:pPr>
              <w:rPr>
                <w:rFonts w:ascii="Cambria" w:hAnsi="Cambria" w:cs="Cambria"/>
                <w:b/>
                <w:color w:val="000000"/>
              </w:rPr>
            </w:pPr>
          </w:p>
        </w:tc>
        <w:tc>
          <w:tcPr>
            <w:tcW w:w="283" w:type="dxa"/>
            <w:gridSpan w:val="2"/>
            <w:tcBorders>
              <w:top w:val="nil"/>
              <w:bottom w:val="nil"/>
            </w:tcBorders>
          </w:tcPr>
          <w:p w:rsidR="005A5579" w:rsidRDefault="005A5579" w:rsidP="004B1B3F">
            <w:pPr>
              <w:rPr>
                <w:rFonts w:ascii="Cambria" w:hAnsi="Cambria" w:cs="Cambria"/>
                <w:b/>
                <w:color w:val="000000"/>
              </w:rPr>
            </w:pPr>
          </w:p>
        </w:tc>
        <w:tc>
          <w:tcPr>
            <w:tcW w:w="3828" w:type="dxa"/>
            <w:gridSpan w:val="2"/>
            <w:vMerge/>
            <w:shd w:val="clear" w:color="auto" w:fill="FDE9D9" w:themeFill="accent6" w:themeFillTint="33"/>
          </w:tcPr>
          <w:p w:rsidR="005A5579" w:rsidRDefault="005A5579" w:rsidP="004B1B3F">
            <w:pPr>
              <w:rPr>
                <w:rFonts w:ascii="Cambria" w:hAnsi="Cambria" w:cs="Cambria"/>
                <w:b/>
                <w:color w:val="000000"/>
              </w:rPr>
            </w:pPr>
          </w:p>
        </w:tc>
      </w:tr>
      <w:tr w:rsidR="005A5579" w:rsidTr="00BF0025">
        <w:tc>
          <w:tcPr>
            <w:tcW w:w="1366" w:type="dxa"/>
            <w:vMerge/>
            <w:tcBorders>
              <w:bottom w:val="single" w:sz="4" w:space="0" w:color="auto"/>
            </w:tcBorders>
            <w:shd w:val="clear" w:color="auto" w:fill="FDE9D9" w:themeFill="accent6" w:themeFillTint="33"/>
          </w:tcPr>
          <w:p w:rsidR="005A5579" w:rsidRDefault="005A5579" w:rsidP="004B1B3F">
            <w:pPr>
              <w:rPr>
                <w:rFonts w:ascii="Cambria" w:hAnsi="Cambria" w:cs="Cambria"/>
                <w:b/>
                <w:color w:val="000000"/>
              </w:rPr>
            </w:pPr>
          </w:p>
        </w:tc>
        <w:tc>
          <w:tcPr>
            <w:tcW w:w="236" w:type="dxa"/>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5027" w:type="dxa"/>
            <w:gridSpan w:val="2"/>
            <w:vMerge/>
            <w:shd w:val="clear" w:color="auto" w:fill="FDE9D9" w:themeFill="accent6" w:themeFillTint="33"/>
          </w:tcPr>
          <w:p w:rsidR="005A5579" w:rsidRPr="006A0E19" w:rsidRDefault="005A5579" w:rsidP="005D02C3">
            <w:pPr>
              <w:pStyle w:val="Paragraphedeliste"/>
              <w:numPr>
                <w:ilvl w:val="0"/>
                <w:numId w:val="90"/>
              </w:numPr>
              <w:spacing w:line="240" w:lineRule="auto"/>
              <w:rPr>
                <w:rFonts w:cstheme="minorHAnsi"/>
                <w:sz w:val="24"/>
                <w:szCs w:val="24"/>
              </w:rPr>
            </w:pPr>
          </w:p>
        </w:tc>
        <w:tc>
          <w:tcPr>
            <w:tcW w:w="283" w:type="dxa"/>
            <w:gridSpan w:val="2"/>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3686" w:type="dxa"/>
            <w:vMerge/>
            <w:shd w:val="clear" w:color="auto" w:fill="FDE9D9" w:themeFill="accent6" w:themeFillTint="33"/>
          </w:tcPr>
          <w:p w:rsidR="005A5579" w:rsidRDefault="005A5579" w:rsidP="004B1B3F">
            <w:pPr>
              <w:rPr>
                <w:rFonts w:ascii="Cambria" w:hAnsi="Cambria" w:cs="Cambria"/>
                <w:b/>
                <w:color w:val="000000"/>
              </w:rPr>
            </w:pPr>
          </w:p>
        </w:tc>
        <w:tc>
          <w:tcPr>
            <w:tcW w:w="283" w:type="dxa"/>
            <w:gridSpan w:val="2"/>
            <w:tcBorders>
              <w:top w:val="nil"/>
              <w:bottom w:val="nil"/>
            </w:tcBorders>
          </w:tcPr>
          <w:p w:rsidR="005A5579" w:rsidRDefault="005A5579" w:rsidP="004B1B3F">
            <w:pPr>
              <w:rPr>
                <w:rFonts w:ascii="Cambria" w:hAnsi="Cambria" w:cs="Cambria"/>
                <w:b/>
                <w:color w:val="000000"/>
              </w:rPr>
            </w:pPr>
          </w:p>
        </w:tc>
        <w:tc>
          <w:tcPr>
            <w:tcW w:w="3828" w:type="dxa"/>
            <w:gridSpan w:val="2"/>
            <w:vMerge/>
            <w:shd w:val="clear" w:color="auto" w:fill="FDE9D9" w:themeFill="accent6" w:themeFillTint="33"/>
          </w:tcPr>
          <w:p w:rsidR="005A5579" w:rsidRDefault="005A5579" w:rsidP="004B1B3F">
            <w:pPr>
              <w:rPr>
                <w:rFonts w:ascii="Cambria" w:hAnsi="Cambria" w:cs="Cambria"/>
                <w:b/>
                <w:color w:val="000000"/>
              </w:rPr>
            </w:pPr>
          </w:p>
        </w:tc>
      </w:tr>
      <w:tr w:rsidR="005A5579" w:rsidTr="00BF0025">
        <w:tc>
          <w:tcPr>
            <w:tcW w:w="1366" w:type="dxa"/>
            <w:tcBorders>
              <w:left w:val="nil"/>
              <w:bottom w:val="single" w:sz="4" w:space="0" w:color="auto"/>
              <w:right w:val="nil"/>
            </w:tcBorders>
            <w:shd w:val="clear" w:color="auto" w:fill="FFFFFF" w:themeFill="background1"/>
          </w:tcPr>
          <w:p w:rsidR="005A5579" w:rsidRDefault="005A5579" w:rsidP="004B1B3F">
            <w:pPr>
              <w:rPr>
                <w:rFonts w:ascii="Cambria" w:hAnsi="Cambria" w:cs="Cambria"/>
                <w:b/>
                <w:color w:val="000000"/>
              </w:rPr>
            </w:pPr>
          </w:p>
        </w:tc>
        <w:tc>
          <w:tcPr>
            <w:tcW w:w="236" w:type="dxa"/>
            <w:tcBorders>
              <w:top w:val="nil"/>
              <w:left w:val="nil"/>
              <w:bottom w:val="nil"/>
              <w:right w:val="nil"/>
            </w:tcBorders>
            <w:shd w:val="clear" w:color="auto" w:fill="FFFFFF" w:themeFill="background1"/>
          </w:tcPr>
          <w:p w:rsidR="005A5579" w:rsidRDefault="005A5579" w:rsidP="004B1B3F">
            <w:pPr>
              <w:rPr>
                <w:rFonts w:ascii="Cambria" w:hAnsi="Cambria" w:cs="Cambria"/>
                <w:b/>
                <w:color w:val="000000"/>
              </w:rPr>
            </w:pPr>
          </w:p>
        </w:tc>
        <w:tc>
          <w:tcPr>
            <w:tcW w:w="5027" w:type="dxa"/>
            <w:gridSpan w:val="2"/>
            <w:tcBorders>
              <w:left w:val="nil"/>
              <w:bottom w:val="single" w:sz="4" w:space="0" w:color="auto"/>
              <w:right w:val="nil"/>
            </w:tcBorders>
            <w:shd w:val="clear" w:color="auto" w:fill="FFFFFF" w:themeFill="background1"/>
          </w:tcPr>
          <w:p w:rsidR="005A5579" w:rsidRPr="00206DEB" w:rsidRDefault="004B0495" w:rsidP="004B1B3F">
            <w:pPr>
              <w:pStyle w:val="Paragraphedeliste"/>
              <w:ind w:left="360"/>
              <w:rPr>
                <w:rFonts w:cstheme="minorHAnsi"/>
                <w:sz w:val="24"/>
                <w:szCs w:val="24"/>
              </w:rPr>
            </w:pPr>
            <w:r>
              <w:rPr>
                <w:rFonts w:cstheme="minorHAnsi"/>
                <w:noProof/>
                <w:sz w:val="24"/>
                <w:szCs w:val="24"/>
                <w:lang w:eastAsia="fr-FR"/>
              </w:rPr>
              <mc:AlternateContent>
                <mc:Choice Requires="wps">
                  <w:drawing>
                    <wp:anchor distT="0" distB="0" distL="114300" distR="114300" simplePos="0" relativeHeight="251622912" behindDoc="0" locked="0" layoutInCell="1" allowOverlap="1">
                      <wp:simplePos x="0" y="0"/>
                      <wp:positionH relativeFrom="column">
                        <wp:posOffset>1454785</wp:posOffset>
                      </wp:positionH>
                      <wp:positionV relativeFrom="paragraph">
                        <wp:posOffset>12065</wp:posOffset>
                      </wp:positionV>
                      <wp:extent cx="90805" cy="171450"/>
                      <wp:effectExtent l="26035" t="12065" r="26035" b="6985"/>
                      <wp:wrapNone/>
                      <wp:docPr id="19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38285E" id="AutoShape 11" o:spid="_x0000_s1026" type="#_x0000_t68" style="position:absolute;margin-left:114.55pt;margin-top:.95pt;width:7.15pt;height:13.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" fillcolor="#4f81bd [3204]" strokecolor="#4f81bd [3204]">
                      <v:textbox style="layout-flow:vertical-ideographic"/>
                    </v:shape>
                  </w:pict>
                </mc:Fallback>
              </mc:AlternateContent>
            </w:r>
          </w:p>
        </w:tc>
        <w:tc>
          <w:tcPr>
            <w:tcW w:w="283" w:type="dxa"/>
            <w:gridSpan w:val="2"/>
            <w:vMerge/>
            <w:tcBorders>
              <w:left w:val="nil"/>
              <w:bottom w:val="nil"/>
              <w:right w:val="nil"/>
            </w:tcBorders>
            <w:shd w:val="clear" w:color="auto" w:fill="FFFFFF" w:themeFill="background1"/>
          </w:tcPr>
          <w:p w:rsidR="005A5579" w:rsidRDefault="005A5579" w:rsidP="004B1B3F">
            <w:pPr>
              <w:rPr>
                <w:rFonts w:ascii="Cambria" w:hAnsi="Cambria" w:cs="Cambria"/>
                <w:b/>
                <w:color w:val="000000"/>
              </w:rPr>
            </w:pPr>
          </w:p>
        </w:tc>
        <w:tc>
          <w:tcPr>
            <w:tcW w:w="3686" w:type="dxa"/>
            <w:tcBorders>
              <w:left w:val="nil"/>
              <w:bottom w:val="single" w:sz="4" w:space="0" w:color="auto"/>
              <w:right w:val="nil"/>
            </w:tcBorders>
            <w:shd w:val="clear" w:color="auto" w:fill="FFFFFF" w:themeFill="background1"/>
          </w:tcPr>
          <w:p w:rsidR="005A5579" w:rsidRPr="00206DEB" w:rsidRDefault="004B0495" w:rsidP="004B1B3F">
            <w:pPr>
              <w:pStyle w:val="Paragraphedeliste"/>
              <w:ind w:left="360"/>
              <w:rPr>
                <w:rFonts w:cstheme="minorHAnsi"/>
                <w:sz w:val="24"/>
                <w:szCs w:val="24"/>
              </w:rPr>
            </w:pPr>
            <w:r>
              <w:rPr>
                <w:rFonts w:cstheme="minorHAnsi"/>
                <w:noProof/>
                <w:sz w:val="24"/>
                <w:szCs w:val="24"/>
                <w:lang w:eastAsia="fr-FR"/>
              </w:rPr>
              <mc:AlternateContent>
                <mc:Choice Requires="wps">
                  <w:drawing>
                    <wp:anchor distT="0" distB="0" distL="114300" distR="114300" simplePos="0" relativeHeight="251623936" behindDoc="0" locked="0" layoutInCell="1" allowOverlap="1">
                      <wp:simplePos x="0" y="0"/>
                      <wp:positionH relativeFrom="column">
                        <wp:posOffset>1036955</wp:posOffset>
                      </wp:positionH>
                      <wp:positionV relativeFrom="paragraph">
                        <wp:posOffset>12065</wp:posOffset>
                      </wp:positionV>
                      <wp:extent cx="90805" cy="171450"/>
                      <wp:effectExtent l="17780" t="12065" r="24765" b="6985"/>
                      <wp:wrapNone/>
                      <wp:docPr id="19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F1330" id="AutoShape 12" o:spid="_x0000_s1026" type="#_x0000_t68" style="position:absolute;margin-left:81.65pt;margin-top:.95pt;width:7.15pt;height:13.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" fillcolor="#4f81bd [3204]" strokecolor="#4f81bd [3204]">
                      <v:textbox style="layout-flow:vertical-ideographic"/>
                    </v:shape>
                  </w:pict>
                </mc:Fallback>
              </mc:AlternateContent>
            </w:r>
          </w:p>
        </w:tc>
        <w:tc>
          <w:tcPr>
            <w:tcW w:w="283" w:type="dxa"/>
            <w:gridSpan w:val="2"/>
            <w:tcBorders>
              <w:top w:val="nil"/>
              <w:left w:val="nil"/>
              <w:bottom w:val="nil"/>
              <w:right w:val="nil"/>
            </w:tcBorders>
            <w:shd w:val="clear" w:color="auto" w:fill="FFFFFF" w:themeFill="background1"/>
          </w:tcPr>
          <w:p w:rsidR="005A5579" w:rsidRDefault="005A5579" w:rsidP="004B1B3F">
            <w:pPr>
              <w:rPr>
                <w:rFonts w:ascii="Cambria" w:hAnsi="Cambria" w:cs="Cambria"/>
                <w:b/>
                <w:color w:val="000000"/>
              </w:rPr>
            </w:pPr>
          </w:p>
        </w:tc>
        <w:tc>
          <w:tcPr>
            <w:tcW w:w="3828" w:type="dxa"/>
            <w:gridSpan w:val="2"/>
            <w:tcBorders>
              <w:left w:val="nil"/>
              <w:bottom w:val="single" w:sz="4" w:space="0" w:color="auto"/>
            </w:tcBorders>
            <w:shd w:val="clear" w:color="auto" w:fill="FFFFFF" w:themeFill="background1"/>
          </w:tcPr>
          <w:p w:rsidR="005A5579" w:rsidRPr="00206DEB" w:rsidRDefault="004B0495" w:rsidP="004B1B3F">
            <w:pPr>
              <w:pStyle w:val="Paragraphedeliste"/>
              <w:ind w:left="360"/>
              <w:rPr>
                <w:rFonts w:cstheme="minorHAnsi"/>
                <w:sz w:val="24"/>
                <w:szCs w:val="24"/>
              </w:rPr>
            </w:pPr>
            <w:r>
              <w:rPr>
                <w:rFonts w:cstheme="minorHAnsi"/>
                <w:noProof/>
                <w:sz w:val="24"/>
                <w:szCs w:val="24"/>
                <w:lang w:eastAsia="fr-FR"/>
              </w:rPr>
              <mc:AlternateContent>
                <mc:Choice Requires="wps">
                  <w:drawing>
                    <wp:anchor distT="0" distB="0" distL="114300" distR="114300" simplePos="0" relativeHeight="251624960" behindDoc="0" locked="0" layoutInCell="1" allowOverlap="1">
                      <wp:simplePos x="0" y="0"/>
                      <wp:positionH relativeFrom="column">
                        <wp:posOffset>994410</wp:posOffset>
                      </wp:positionH>
                      <wp:positionV relativeFrom="paragraph">
                        <wp:posOffset>12065</wp:posOffset>
                      </wp:positionV>
                      <wp:extent cx="90805" cy="171450"/>
                      <wp:effectExtent l="22860" t="12065" r="19685" b="6985"/>
                      <wp:wrapNone/>
                      <wp:docPr id="197"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71450"/>
                              </a:xfrm>
                              <a:prstGeom prst="upArrow">
                                <a:avLst>
                                  <a:gd name="adj1" fmla="val 50000"/>
                                  <a:gd name="adj2" fmla="val 47203"/>
                                </a:avLst>
                              </a:prstGeom>
                              <a:solidFill>
                                <a:schemeClr val="accent1">
                                  <a:lumMod val="100000"/>
                                  <a:lumOff val="0"/>
                                </a:schemeClr>
                              </a:solidFill>
                              <a:ln w="9525">
                                <a:solidFill>
                                  <a:schemeClr val="accent1">
                                    <a:lumMod val="100000"/>
                                    <a:lumOff val="0"/>
                                  </a:schemeClr>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BB5C76" id="AutoShape 13" o:spid="_x0000_s1026" type="#_x0000_t68" style="position:absolute;margin-left:78.3pt;margin-top:.95pt;width:7.15pt;height:13.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" fillcolor="#4f81bd [3204]" strokecolor="#4f81bd [3204]">
                      <v:textbox style="layout-flow:vertical-ideographic"/>
                    </v:shape>
                  </w:pict>
                </mc:Fallback>
              </mc:AlternateContent>
            </w:r>
          </w:p>
        </w:tc>
      </w:tr>
      <w:tr w:rsidR="005A5579" w:rsidTr="00BF0025">
        <w:tc>
          <w:tcPr>
            <w:tcW w:w="1366" w:type="dxa"/>
            <w:tcBorders>
              <w:bottom w:val="single" w:sz="4" w:space="0" w:color="auto"/>
            </w:tcBorders>
            <w:shd w:val="clear" w:color="auto" w:fill="DAEEF3" w:themeFill="accent5" w:themeFillTint="33"/>
          </w:tcPr>
          <w:p w:rsidR="005A5579" w:rsidRPr="00244266" w:rsidRDefault="005A5579" w:rsidP="004B1B3F">
            <w:pPr>
              <w:rPr>
                <w:rFonts w:ascii="Cambria" w:hAnsi="Cambria" w:cs="Cambria"/>
                <w:b/>
                <w:color w:val="000000"/>
                <w:sz w:val="20"/>
                <w:szCs w:val="20"/>
              </w:rPr>
            </w:pPr>
            <w:r w:rsidRPr="00244266">
              <w:rPr>
                <w:rFonts w:ascii="Cambria" w:hAnsi="Cambria" w:cs="Cambria"/>
                <w:b/>
                <w:color w:val="000000"/>
                <w:sz w:val="20"/>
                <w:szCs w:val="20"/>
              </w:rPr>
              <w:t>PRIORITES</w:t>
            </w:r>
          </w:p>
        </w:tc>
        <w:tc>
          <w:tcPr>
            <w:tcW w:w="236" w:type="dxa"/>
            <w:tcBorders>
              <w:top w:val="nil"/>
              <w:bottom w:val="nil"/>
            </w:tcBorders>
            <w:shd w:val="clear" w:color="auto" w:fill="FFFFFF" w:themeFill="background1"/>
          </w:tcPr>
          <w:p w:rsidR="005A5579" w:rsidRDefault="005A5579" w:rsidP="004B1B3F">
            <w:pPr>
              <w:rPr>
                <w:rFonts w:ascii="Cambria" w:hAnsi="Cambria" w:cs="Cambria"/>
                <w:b/>
                <w:color w:val="000000"/>
              </w:rPr>
            </w:pPr>
          </w:p>
        </w:tc>
        <w:tc>
          <w:tcPr>
            <w:tcW w:w="5027" w:type="dxa"/>
            <w:gridSpan w:val="2"/>
            <w:tcBorders>
              <w:bottom w:val="single" w:sz="4" w:space="0" w:color="auto"/>
            </w:tcBorders>
            <w:shd w:val="clear" w:color="auto" w:fill="DAEEF3" w:themeFill="accent5" w:themeFillTint="33"/>
          </w:tcPr>
          <w:p w:rsidR="005A5579" w:rsidRPr="00BF0025" w:rsidRDefault="00571EAC" w:rsidP="005D02C3">
            <w:pPr>
              <w:pStyle w:val="Paragraphedeliste"/>
              <w:numPr>
                <w:ilvl w:val="0"/>
                <w:numId w:val="91"/>
              </w:numPr>
              <w:spacing w:line="240" w:lineRule="auto"/>
              <w:rPr>
                <w:rFonts w:ascii="Cambria" w:hAnsi="Cambria" w:cs="Cambria"/>
                <w:b/>
                <w:color w:val="000000"/>
              </w:rPr>
            </w:pPr>
            <w:r w:rsidRPr="00717467">
              <w:rPr>
                <w:sz w:val="20"/>
                <w:szCs w:val="20"/>
              </w:rPr>
              <w:t>AUGMENTER L’UTILISATION DU PAQUET INTEGRE D’INTERVENTIONS DE SRMNEAN A HAUT IMPACT.</w:t>
            </w:r>
          </w:p>
          <w:p w:rsidR="00BF0025" w:rsidRDefault="00BF0025" w:rsidP="00BF0025">
            <w:pPr>
              <w:rPr>
                <w:rFonts w:ascii="Cambria" w:hAnsi="Cambria" w:cs="Cambria"/>
                <w:b/>
                <w:color w:val="000000"/>
              </w:rPr>
            </w:pPr>
          </w:p>
          <w:p w:rsidR="00BF0025" w:rsidRDefault="00BF0025" w:rsidP="00BF0025">
            <w:pPr>
              <w:rPr>
                <w:rFonts w:ascii="Cambria" w:hAnsi="Cambria" w:cs="Cambria"/>
                <w:b/>
                <w:color w:val="000000"/>
              </w:rPr>
            </w:pPr>
          </w:p>
          <w:p w:rsidR="00BF0025" w:rsidRPr="00BF0025" w:rsidRDefault="00BF0025" w:rsidP="00BF0025">
            <w:pPr>
              <w:rPr>
                <w:b/>
                <w:sz w:val="20"/>
                <w:szCs w:val="20"/>
              </w:rPr>
            </w:pPr>
            <w:r w:rsidRPr="00DC22A4">
              <w:rPr>
                <w:b/>
                <w:sz w:val="20"/>
                <w:szCs w:val="20"/>
              </w:rPr>
              <w:t>P03 : Prestations de services</w:t>
            </w:r>
            <w:r>
              <w:rPr>
                <w:b/>
                <w:sz w:val="20"/>
                <w:szCs w:val="20"/>
              </w:rPr>
              <w:t xml:space="preserve"> (056)</w:t>
            </w:r>
          </w:p>
        </w:tc>
        <w:tc>
          <w:tcPr>
            <w:tcW w:w="283" w:type="dxa"/>
            <w:gridSpan w:val="2"/>
            <w:vMerge/>
            <w:tcBorders>
              <w:bottom w:val="nil"/>
            </w:tcBorders>
            <w:shd w:val="clear" w:color="auto" w:fill="FFFFFF" w:themeFill="background1"/>
          </w:tcPr>
          <w:p w:rsidR="005A5579" w:rsidRDefault="005A5579" w:rsidP="004B1B3F">
            <w:pPr>
              <w:rPr>
                <w:rFonts w:ascii="Cambria" w:hAnsi="Cambria" w:cs="Cambria"/>
                <w:b/>
                <w:color w:val="000000"/>
              </w:rPr>
            </w:pPr>
          </w:p>
        </w:tc>
        <w:tc>
          <w:tcPr>
            <w:tcW w:w="3686" w:type="dxa"/>
            <w:tcBorders>
              <w:bottom w:val="single" w:sz="4" w:space="0" w:color="auto"/>
            </w:tcBorders>
            <w:shd w:val="clear" w:color="auto" w:fill="DAEEF3" w:themeFill="accent5" w:themeFillTint="33"/>
          </w:tcPr>
          <w:p w:rsidR="005A5579" w:rsidRPr="00BF0025" w:rsidRDefault="00571EAC" w:rsidP="005D02C3">
            <w:pPr>
              <w:pStyle w:val="Paragraphedeliste"/>
              <w:numPr>
                <w:ilvl w:val="0"/>
                <w:numId w:val="91"/>
              </w:numPr>
              <w:spacing w:line="240" w:lineRule="auto"/>
              <w:rPr>
                <w:rFonts w:ascii="Cambria" w:hAnsi="Cambria" w:cs="Cambria"/>
                <w:b/>
                <w:color w:val="000000"/>
              </w:rPr>
            </w:pPr>
            <w:r w:rsidRPr="0092644D">
              <w:rPr>
                <w:sz w:val="20"/>
                <w:szCs w:val="20"/>
              </w:rPr>
              <w:t>RENFORCER LE</w:t>
            </w:r>
            <w:r w:rsidR="00BF0025">
              <w:rPr>
                <w:sz w:val="20"/>
                <w:szCs w:val="20"/>
              </w:rPr>
              <w:t xml:space="preserve"> SYSTEME EN APPUI A L’OFFRE DU PAQUET INTEGRE </w:t>
            </w:r>
            <w:r w:rsidRPr="0092644D">
              <w:rPr>
                <w:sz w:val="20"/>
                <w:szCs w:val="20"/>
              </w:rPr>
              <w:t>D’INTERVENTIONS DE SRMNEAN A HAUT IMPACT.</w:t>
            </w:r>
          </w:p>
          <w:p w:rsidR="00DA29DA" w:rsidRDefault="00BF0025" w:rsidP="00BF0025">
            <w:pPr>
              <w:rPr>
                <w:b/>
                <w:sz w:val="20"/>
                <w:szCs w:val="20"/>
              </w:rPr>
            </w:pPr>
            <w:r w:rsidRPr="00B100DA">
              <w:rPr>
                <w:b/>
                <w:sz w:val="20"/>
                <w:szCs w:val="20"/>
              </w:rPr>
              <w:t>P02:</w:t>
            </w:r>
            <w:r w:rsidR="00DA29DA">
              <w:rPr>
                <w:b/>
                <w:sz w:val="20"/>
                <w:szCs w:val="20"/>
              </w:rPr>
              <w:t xml:space="preserve"> Accès aux services de santé </w:t>
            </w:r>
          </w:p>
          <w:p w:rsidR="00BF0025" w:rsidRPr="00BF0025" w:rsidRDefault="00DA29DA" w:rsidP="00BF0025">
            <w:pPr>
              <w:rPr>
                <w:b/>
              </w:rPr>
            </w:pPr>
            <w:r>
              <w:rPr>
                <w:b/>
                <w:sz w:val="20"/>
                <w:szCs w:val="20"/>
              </w:rPr>
              <w:t xml:space="preserve">          </w:t>
            </w:r>
            <w:r w:rsidR="00BF0025" w:rsidRPr="00B100DA">
              <w:rPr>
                <w:b/>
                <w:sz w:val="20"/>
                <w:szCs w:val="20"/>
              </w:rPr>
              <w:t xml:space="preserve">(055) </w:t>
            </w:r>
          </w:p>
        </w:tc>
        <w:tc>
          <w:tcPr>
            <w:tcW w:w="283" w:type="dxa"/>
            <w:gridSpan w:val="2"/>
            <w:tcBorders>
              <w:top w:val="nil"/>
              <w:bottom w:val="nil"/>
            </w:tcBorders>
            <w:shd w:val="clear" w:color="auto" w:fill="FFFFFF" w:themeFill="background1"/>
          </w:tcPr>
          <w:p w:rsidR="005A5579" w:rsidRDefault="005A5579" w:rsidP="004B1B3F">
            <w:pPr>
              <w:rPr>
                <w:rFonts w:ascii="Cambria" w:hAnsi="Cambria" w:cs="Cambria"/>
                <w:b/>
                <w:color w:val="000000"/>
              </w:rPr>
            </w:pPr>
          </w:p>
        </w:tc>
        <w:tc>
          <w:tcPr>
            <w:tcW w:w="3828" w:type="dxa"/>
            <w:gridSpan w:val="2"/>
            <w:tcBorders>
              <w:bottom w:val="single" w:sz="4" w:space="0" w:color="auto"/>
            </w:tcBorders>
            <w:shd w:val="clear" w:color="auto" w:fill="DAEEF3" w:themeFill="accent5" w:themeFillTint="33"/>
          </w:tcPr>
          <w:p w:rsidR="00BF0025" w:rsidRPr="00BF0025" w:rsidRDefault="007A6B31" w:rsidP="005D02C3">
            <w:pPr>
              <w:pStyle w:val="Paragraphedeliste"/>
              <w:numPr>
                <w:ilvl w:val="0"/>
                <w:numId w:val="91"/>
              </w:numPr>
              <w:spacing w:line="240" w:lineRule="auto"/>
              <w:rPr>
                <w:rFonts w:ascii="Cambria" w:hAnsi="Cambria" w:cs="Cambria"/>
                <w:b/>
                <w:color w:val="000000"/>
              </w:rPr>
            </w:pPr>
            <w:r w:rsidRPr="0092644D">
              <w:rPr>
                <w:sz w:val="20"/>
                <w:szCs w:val="20"/>
              </w:rPr>
              <w:t>RENFORCER LE PILOTAGE DU SYSTEME DE SANTE</w:t>
            </w:r>
            <w:r w:rsidR="00BF0025">
              <w:rPr>
                <w:sz w:val="20"/>
                <w:szCs w:val="20"/>
              </w:rPr>
              <w:t>.</w:t>
            </w:r>
          </w:p>
          <w:p w:rsidR="00BF0025" w:rsidRDefault="00BF0025" w:rsidP="00BF0025">
            <w:pPr>
              <w:pStyle w:val="Normal1"/>
              <w:jc w:val="both"/>
              <w:rPr>
                <w:b/>
                <w:sz w:val="20"/>
                <w:szCs w:val="20"/>
              </w:rPr>
            </w:pPr>
          </w:p>
          <w:p w:rsidR="00BF0025" w:rsidRPr="00BF0025" w:rsidRDefault="00BF0025" w:rsidP="00BF0025">
            <w:pPr>
              <w:pStyle w:val="Normal1"/>
              <w:jc w:val="both"/>
              <w:rPr>
                <w:b/>
                <w:sz w:val="20"/>
                <w:szCs w:val="20"/>
              </w:rPr>
            </w:pPr>
            <w:r w:rsidRPr="00B100DA">
              <w:rPr>
                <w:b/>
                <w:sz w:val="20"/>
                <w:szCs w:val="20"/>
              </w:rPr>
              <w:t>P01 :</w:t>
            </w:r>
            <w:r w:rsidRPr="00B100DA">
              <w:rPr>
                <w:rFonts w:ascii="Arial" w:hAnsi="Arial" w:cs="Arial"/>
                <w:b/>
                <w:i/>
                <w:sz w:val="26"/>
                <w:szCs w:val="26"/>
              </w:rPr>
              <w:t xml:space="preserve"> </w:t>
            </w:r>
            <w:r>
              <w:rPr>
                <w:rFonts w:asciiTheme="majorHAnsi" w:hAnsiTheme="majorHAnsi" w:cstheme="majorHAnsi"/>
                <w:b/>
                <w:sz w:val="20"/>
                <w:szCs w:val="20"/>
              </w:rPr>
              <w:t>P</w:t>
            </w:r>
            <w:r w:rsidRPr="00B100DA">
              <w:rPr>
                <w:rFonts w:asciiTheme="majorHAnsi" w:hAnsiTheme="majorHAnsi" w:cstheme="majorHAnsi"/>
                <w:b/>
                <w:sz w:val="20"/>
                <w:szCs w:val="20"/>
              </w:rPr>
              <w:t>ilotage et soutien des services du Ministère</w:t>
            </w:r>
            <w:r w:rsidRPr="00B100DA">
              <w:rPr>
                <w:rFonts w:ascii="Arial" w:hAnsi="Arial" w:cs="Arial"/>
                <w:b/>
                <w:sz w:val="26"/>
                <w:szCs w:val="26"/>
              </w:rPr>
              <w:t xml:space="preserve"> </w:t>
            </w:r>
            <w:r w:rsidRPr="00B100DA">
              <w:rPr>
                <w:rFonts w:asciiTheme="majorHAnsi" w:hAnsiTheme="majorHAnsi" w:cstheme="majorHAnsi"/>
                <w:b/>
                <w:sz w:val="20"/>
                <w:szCs w:val="20"/>
              </w:rPr>
              <w:t>de la santé</w:t>
            </w:r>
            <w:r>
              <w:rPr>
                <w:rFonts w:asciiTheme="majorHAnsi" w:hAnsiTheme="majorHAnsi" w:cstheme="majorHAnsi"/>
                <w:b/>
                <w:sz w:val="20"/>
                <w:szCs w:val="20"/>
              </w:rPr>
              <w:t xml:space="preserve"> (057)</w:t>
            </w:r>
            <w:r>
              <w:rPr>
                <w:sz w:val="20"/>
                <w:szCs w:val="20"/>
              </w:rPr>
              <w:t xml:space="preserve"> </w:t>
            </w:r>
          </w:p>
        </w:tc>
      </w:tr>
    </w:tbl>
    <w:p w:rsidR="00E845EA" w:rsidRDefault="00E845EA">
      <w:pPr>
        <w:sectPr w:rsidR="00E845EA" w:rsidSect="00402547">
          <w:pgSz w:w="16838" w:h="11906" w:orient="landscape"/>
          <w:pgMar w:top="1417" w:right="1417" w:bottom="1417" w:left="1417" w:header="708" w:footer="708" w:gutter="0"/>
          <w:cols w:space="720"/>
          <w:docGrid w:linePitch="299"/>
        </w:sectPr>
      </w:pPr>
    </w:p>
    <w:p w:rsidR="00287AA8" w:rsidRPr="002F683C" w:rsidRDefault="00FD5086" w:rsidP="00E640E2">
      <w:pPr>
        <w:pStyle w:val="Paragraphedeliste"/>
        <w:numPr>
          <w:ilvl w:val="1"/>
          <w:numId w:val="120"/>
        </w:numPr>
        <w:spacing w:after="240"/>
        <w:ind w:left="567" w:hanging="709"/>
        <w:rPr>
          <w:sz w:val="24"/>
          <w:szCs w:val="24"/>
        </w:rPr>
      </w:pPr>
      <w:r w:rsidRPr="002F683C">
        <w:rPr>
          <w:sz w:val="24"/>
          <w:szCs w:val="24"/>
        </w:rPr>
        <w:t xml:space="preserve">THEORIE DU CHANGEMENT  </w:t>
      </w:r>
    </w:p>
    <w:p w:rsidR="00FD5086" w:rsidRDefault="00FD5086" w:rsidP="008C289F">
      <w:pPr>
        <w:pStyle w:val="Normal1"/>
        <w:widowControl w:val="0"/>
        <w:tabs>
          <w:tab w:val="left" w:pos="9498"/>
        </w:tabs>
        <w:ind w:left="-142"/>
        <w:jc w:val="both"/>
        <w:rPr>
          <w:i/>
          <w:sz w:val="24"/>
          <w:szCs w:val="24"/>
        </w:rPr>
      </w:pPr>
      <w:r w:rsidRPr="002F7B43">
        <w:rPr>
          <w:sz w:val="24"/>
          <w:szCs w:val="24"/>
        </w:rPr>
        <w:t>La vision du Burkina Faso en matière de santé de la mère, du Nouveau-né, de l’enfant,  de l’adolescent/jeune et de la nutrition est :</w:t>
      </w:r>
      <w:r w:rsidR="008C289F">
        <w:rPr>
          <w:sz w:val="24"/>
          <w:szCs w:val="24"/>
        </w:rPr>
        <w:t xml:space="preserve"> </w:t>
      </w:r>
      <w:r w:rsidRPr="00356E7D">
        <w:rPr>
          <w:b/>
          <w:i/>
          <w:sz w:val="24"/>
          <w:szCs w:val="24"/>
        </w:rPr>
        <w:t>Le Burkina Faso atteint le meilleur état de santé possible pour l’ensemble de la population, avec une attention particulière pour le Mère, le Nouveau-né, l’enfant, l’adolescent/jeune, à travers un système de santé national performant.</w:t>
      </w:r>
    </w:p>
    <w:p w:rsidR="005E75A7" w:rsidRPr="00356E7D" w:rsidRDefault="008C289F" w:rsidP="005E75A7">
      <w:pPr>
        <w:pStyle w:val="Normal1"/>
        <w:widowControl w:val="0"/>
        <w:tabs>
          <w:tab w:val="left" w:pos="9498"/>
        </w:tabs>
        <w:ind w:left="-142"/>
        <w:jc w:val="both"/>
        <w:rPr>
          <w:i/>
          <w:sz w:val="24"/>
          <w:szCs w:val="24"/>
        </w:rPr>
      </w:pPr>
      <w:r w:rsidRPr="00356E7D">
        <w:rPr>
          <w:i/>
          <w:sz w:val="24"/>
          <w:szCs w:val="24"/>
        </w:rPr>
        <w:t>L’élaboration de cette théorie du changement était un processus participatif qui a impliqué les membres de l’Equi</w:t>
      </w:r>
      <w:r w:rsidR="00356E7D" w:rsidRPr="00356E7D">
        <w:rPr>
          <w:i/>
          <w:sz w:val="24"/>
          <w:szCs w:val="24"/>
        </w:rPr>
        <w:t>pe Fonctionnelle (EF) 7 mandatés</w:t>
      </w:r>
      <w:r w:rsidRPr="00356E7D">
        <w:rPr>
          <w:i/>
          <w:sz w:val="24"/>
          <w:szCs w:val="24"/>
        </w:rPr>
        <w:t xml:space="preserve"> pour rédiger le DI-SRMNEAN-ECSV du Burkina Faso. Dans la dernière réunion de validation du DI, l’EF 7, parmi plusieurs proposi</w:t>
      </w:r>
      <w:r w:rsidR="005E75A7" w:rsidRPr="00356E7D">
        <w:rPr>
          <w:i/>
          <w:sz w:val="24"/>
          <w:szCs w:val="24"/>
        </w:rPr>
        <w:t xml:space="preserve">tions de théories du changement, </w:t>
      </w:r>
      <w:r w:rsidRPr="00356E7D">
        <w:rPr>
          <w:i/>
          <w:sz w:val="24"/>
          <w:szCs w:val="24"/>
        </w:rPr>
        <w:t xml:space="preserve">a fait le choix </w:t>
      </w:r>
      <w:r w:rsidR="005E75A7" w:rsidRPr="00356E7D">
        <w:rPr>
          <w:i/>
          <w:sz w:val="24"/>
          <w:szCs w:val="24"/>
        </w:rPr>
        <w:t>d’une seule th</w:t>
      </w:r>
      <w:r w:rsidR="00356E7D" w:rsidRPr="00356E7D">
        <w:rPr>
          <w:i/>
          <w:sz w:val="24"/>
          <w:szCs w:val="24"/>
        </w:rPr>
        <w:t>éorie du changement pour respecter l’approche</w:t>
      </w:r>
      <w:r w:rsidR="005E75A7" w:rsidRPr="00356E7D">
        <w:rPr>
          <w:i/>
          <w:sz w:val="24"/>
          <w:szCs w:val="24"/>
        </w:rPr>
        <w:t xml:space="preserve"> intégré</w:t>
      </w:r>
      <w:r w:rsidR="00356E7D" w:rsidRPr="00356E7D">
        <w:rPr>
          <w:i/>
          <w:sz w:val="24"/>
          <w:szCs w:val="24"/>
        </w:rPr>
        <w:t>e adoptée comme principe</w:t>
      </w:r>
      <w:r w:rsidR="005E75A7" w:rsidRPr="00356E7D">
        <w:rPr>
          <w:i/>
          <w:sz w:val="24"/>
          <w:szCs w:val="24"/>
        </w:rPr>
        <w:t xml:space="preserve"> et la nécessité de créer plus de synergies.</w:t>
      </w:r>
      <w:r w:rsidR="00356E7D" w:rsidRPr="00356E7D">
        <w:rPr>
          <w:i/>
          <w:sz w:val="24"/>
          <w:szCs w:val="24"/>
        </w:rPr>
        <w:t xml:space="preserve"> Des théories de changement plus spécifiques à chaque cible ou impact seront élaborées au sein des directions techniques chargées de la mise en œuvre.</w:t>
      </w:r>
    </w:p>
    <w:p w:rsidR="005E75A7" w:rsidRPr="00287AA8" w:rsidRDefault="005E75A7" w:rsidP="00E640E2">
      <w:pPr>
        <w:pStyle w:val="Paragraphedeliste"/>
        <w:numPr>
          <w:ilvl w:val="2"/>
          <w:numId w:val="120"/>
        </w:numPr>
        <w:spacing w:before="240"/>
        <w:ind w:left="567" w:hanging="709"/>
        <w:rPr>
          <w:b/>
          <w:sz w:val="24"/>
          <w:szCs w:val="24"/>
        </w:rPr>
      </w:pPr>
      <w:r>
        <w:rPr>
          <w:b/>
          <w:sz w:val="24"/>
          <w:szCs w:val="24"/>
        </w:rPr>
        <w:t xml:space="preserve">Formulation de la </w:t>
      </w:r>
      <w:r w:rsidRPr="00287AA8">
        <w:rPr>
          <w:b/>
          <w:sz w:val="24"/>
          <w:szCs w:val="24"/>
        </w:rPr>
        <w:t>Théorie du changement - Narratif</w:t>
      </w:r>
    </w:p>
    <w:p w:rsidR="0049797C" w:rsidRPr="001A1670" w:rsidRDefault="00D50606" w:rsidP="008C289F">
      <w:pPr>
        <w:pStyle w:val="Normal1"/>
        <w:widowControl w:val="0"/>
        <w:tabs>
          <w:tab w:val="left" w:pos="9498"/>
        </w:tabs>
        <w:spacing w:before="32" w:after="0"/>
        <w:ind w:left="-142"/>
        <w:jc w:val="both"/>
        <w:rPr>
          <w:sz w:val="24"/>
          <w:szCs w:val="24"/>
        </w:rPr>
      </w:pPr>
      <w:r>
        <w:rPr>
          <w:sz w:val="24"/>
          <w:szCs w:val="24"/>
        </w:rPr>
        <w:t>Le changement souhaité, à savoir « </w:t>
      </w:r>
      <w:r w:rsidR="0049797C">
        <w:rPr>
          <w:sz w:val="24"/>
          <w:szCs w:val="24"/>
        </w:rPr>
        <w:t>Une réduction significative de l</w:t>
      </w:r>
      <w:r w:rsidR="0049797C" w:rsidRPr="000F73EB">
        <w:rPr>
          <w:sz w:val="24"/>
          <w:szCs w:val="24"/>
        </w:rPr>
        <w:t>a mortalité maternelle, néonatale</w:t>
      </w:r>
      <w:r w:rsidR="0049797C">
        <w:rPr>
          <w:sz w:val="24"/>
          <w:szCs w:val="24"/>
        </w:rPr>
        <w:t xml:space="preserve"> et </w:t>
      </w:r>
      <w:r w:rsidR="0049797C" w:rsidRPr="000F73EB">
        <w:rPr>
          <w:sz w:val="24"/>
          <w:szCs w:val="24"/>
        </w:rPr>
        <w:t xml:space="preserve"> infanto-juvénile</w:t>
      </w:r>
      <w:r>
        <w:rPr>
          <w:sz w:val="24"/>
          <w:szCs w:val="24"/>
        </w:rPr>
        <w:t> »</w:t>
      </w:r>
      <w:r w:rsidR="0049797C">
        <w:rPr>
          <w:sz w:val="24"/>
          <w:szCs w:val="24"/>
        </w:rPr>
        <w:t xml:space="preserve"> sera observée</w:t>
      </w:r>
    </w:p>
    <w:p w:rsidR="00FD5086" w:rsidRDefault="00FD5086" w:rsidP="008C289F">
      <w:pPr>
        <w:spacing w:after="0"/>
        <w:ind w:left="-142"/>
        <w:jc w:val="both"/>
        <w:rPr>
          <w:sz w:val="24"/>
          <w:szCs w:val="24"/>
        </w:rPr>
      </w:pPr>
      <w:r w:rsidRPr="001A1670">
        <w:rPr>
          <w:b/>
          <w:sz w:val="24"/>
          <w:szCs w:val="24"/>
        </w:rPr>
        <w:t>Si,</w:t>
      </w:r>
      <w:r w:rsidRPr="001A1670">
        <w:rPr>
          <w:sz w:val="24"/>
          <w:szCs w:val="24"/>
        </w:rPr>
        <w:t xml:space="preserve"> l'utilisation des services essentiels </w:t>
      </w:r>
      <w:r w:rsidR="00287AA8">
        <w:rPr>
          <w:sz w:val="24"/>
          <w:szCs w:val="24"/>
        </w:rPr>
        <w:t xml:space="preserve">de SRMNEAN </w:t>
      </w:r>
      <w:r w:rsidRPr="001A1670">
        <w:rPr>
          <w:sz w:val="24"/>
          <w:szCs w:val="24"/>
        </w:rPr>
        <w:t xml:space="preserve">de qualité </w:t>
      </w:r>
      <w:r w:rsidR="00287AA8">
        <w:rPr>
          <w:sz w:val="24"/>
          <w:szCs w:val="24"/>
        </w:rPr>
        <w:t xml:space="preserve">et à haut impact par la mère et le  nouveau-né, l’enfant de moins de cinq ans, l’enfant, l’adolescent et le jeune </w:t>
      </w:r>
      <w:r w:rsidRPr="001A1670">
        <w:rPr>
          <w:sz w:val="24"/>
          <w:szCs w:val="24"/>
        </w:rPr>
        <w:t>augmente</w:t>
      </w:r>
      <w:r w:rsidR="00287AA8">
        <w:rPr>
          <w:sz w:val="24"/>
          <w:szCs w:val="24"/>
        </w:rPr>
        <w:t> </w:t>
      </w:r>
      <w:r w:rsidRPr="001A1670">
        <w:rPr>
          <w:sz w:val="24"/>
          <w:szCs w:val="24"/>
        </w:rPr>
        <w:t xml:space="preserve"> surtout dans les zones </w:t>
      </w:r>
      <w:r w:rsidR="00287AA8">
        <w:rPr>
          <w:sz w:val="24"/>
          <w:szCs w:val="24"/>
        </w:rPr>
        <w:t xml:space="preserve">prioritaires ; </w:t>
      </w:r>
    </w:p>
    <w:p w:rsidR="0049797C" w:rsidRPr="001A1670" w:rsidRDefault="0049797C" w:rsidP="008C289F">
      <w:pPr>
        <w:spacing w:after="0"/>
        <w:ind w:left="-142"/>
        <w:jc w:val="both"/>
        <w:rPr>
          <w:sz w:val="24"/>
          <w:szCs w:val="24"/>
        </w:rPr>
      </w:pPr>
      <w:r>
        <w:rPr>
          <w:b/>
          <w:sz w:val="24"/>
          <w:szCs w:val="24"/>
        </w:rPr>
        <w:t xml:space="preserve">Si, </w:t>
      </w:r>
      <w:r>
        <w:rPr>
          <w:sz w:val="24"/>
          <w:szCs w:val="24"/>
        </w:rPr>
        <w:t>l</w:t>
      </w:r>
      <w:r w:rsidRPr="0049797C">
        <w:rPr>
          <w:sz w:val="24"/>
          <w:szCs w:val="24"/>
        </w:rPr>
        <w:t xml:space="preserve">’efficience des investissements dans la santé et </w:t>
      </w:r>
      <w:r>
        <w:rPr>
          <w:sz w:val="24"/>
          <w:szCs w:val="24"/>
        </w:rPr>
        <w:t>s</w:t>
      </w:r>
      <w:r w:rsidRPr="0049797C">
        <w:rPr>
          <w:sz w:val="24"/>
          <w:szCs w:val="24"/>
        </w:rPr>
        <w:t xml:space="preserve">es </w:t>
      </w:r>
      <w:r>
        <w:rPr>
          <w:sz w:val="24"/>
          <w:szCs w:val="24"/>
        </w:rPr>
        <w:t xml:space="preserve">principaux </w:t>
      </w:r>
      <w:r w:rsidRPr="0049797C">
        <w:rPr>
          <w:sz w:val="24"/>
          <w:szCs w:val="24"/>
        </w:rPr>
        <w:t xml:space="preserve">déterminants </w:t>
      </w:r>
      <w:r>
        <w:rPr>
          <w:sz w:val="24"/>
          <w:szCs w:val="24"/>
        </w:rPr>
        <w:t>s’accroît</w:t>
      </w:r>
      <w:r w:rsidRPr="0049797C">
        <w:rPr>
          <w:sz w:val="24"/>
          <w:szCs w:val="24"/>
        </w:rPr>
        <w:t>.</w:t>
      </w:r>
    </w:p>
    <w:p w:rsidR="00FD5086" w:rsidRDefault="00FD5086" w:rsidP="008C289F">
      <w:pPr>
        <w:spacing w:after="0"/>
        <w:ind w:left="-142"/>
        <w:jc w:val="both"/>
        <w:rPr>
          <w:sz w:val="24"/>
          <w:szCs w:val="24"/>
        </w:rPr>
      </w:pPr>
      <w:r w:rsidRPr="001A1670">
        <w:rPr>
          <w:b/>
          <w:sz w:val="24"/>
          <w:szCs w:val="24"/>
        </w:rPr>
        <w:t>Si,</w:t>
      </w:r>
      <w:r w:rsidRPr="001A1670">
        <w:rPr>
          <w:sz w:val="24"/>
          <w:szCs w:val="24"/>
        </w:rPr>
        <w:t xml:space="preserve"> </w:t>
      </w:r>
      <w:r w:rsidR="00287AA8">
        <w:rPr>
          <w:sz w:val="24"/>
          <w:szCs w:val="24"/>
        </w:rPr>
        <w:t>le renforcement de la santé communautair</w:t>
      </w:r>
      <w:r w:rsidR="00B669F3">
        <w:rPr>
          <w:sz w:val="24"/>
          <w:szCs w:val="24"/>
        </w:rPr>
        <w:t>e permet de mieux couvrir avec d</w:t>
      </w:r>
      <w:r w:rsidR="00287AA8">
        <w:rPr>
          <w:sz w:val="24"/>
          <w:szCs w:val="24"/>
        </w:rPr>
        <w:t xml:space="preserve">es </w:t>
      </w:r>
      <w:r w:rsidR="00B669F3">
        <w:rPr>
          <w:sz w:val="24"/>
          <w:szCs w:val="24"/>
        </w:rPr>
        <w:t xml:space="preserve">interventions </w:t>
      </w:r>
      <w:r w:rsidR="00287AA8">
        <w:rPr>
          <w:sz w:val="24"/>
          <w:szCs w:val="24"/>
        </w:rPr>
        <w:t xml:space="preserve">de SRMNEAN </w:t>
      </w:r>
      <w:r w:rsidR="00B669F3">
        <w:rPr>
          <w:sz w:val="24"/>
          <w:szCs w:val="24"/>
        </w:rPr>
        <w:t xml:space="preserve">de qualité et à haut impact les zones </w:t>
      </w:r>
      <w:r w:rsidR="00B669F3" w:rsidRPr="009D40C7">
        <w:rPr>
          <w:sz w:val="24"/>
          <w:szCs w:val="24"/>
        </w:rPr>
        <w:t>d’accès difficiles du fait de leur éloignement des formations sanita</w:t>
      </w:r>
      <w:r w:rsidR="00B669F3">
        <w:rPr>
          <w:sz w:val="24"/>
          <w:szCs w:val="24"/>
        </w:rPr>
        <w:t>ires ou du fait de l’insécurité;</w:t>
      </w:r>
    </w:p>
    <w:p w:rsidR="00FD5086" w:rsidRDefault="00FD5086" w:rsidP="008C289F">
      <w:pPr>
        <w:spacing w:after="0"/>
        <w:ind w:left="-142"/>
        <w:jc w:val="both"/>
        <w:rPr>
          <w:sz w:val="24"/>
          <w:szCs w:val="24"/>
        </w:rPr>
      </w:pPr>
      <w:r>
        <w:rPr>
          <w:b/>
          <w:sz w:val="24"/>
          <w:szCs w:val="24"/>
        </w:rPr>
        <w:t xml:space="preserve">Si, </w:t>
      </w:r>
      <w:r w:rsidR="00B669F3">
        <w:rPr>
          <w:sz w:val="24"/>
          <w:szCs w:val="24"/>
        </w:rPr>
        <w:t xml:space="preserve">la stratégie </w:t>
      </w:r>
      <w:r w:rsidRPr="009D40C7">
        <w:rPr>
          <w:sz w:val="24"/>
          <w:szCs w:val="24"/>
        </w:rPr>
        <w:t xml:space="preserve">de vaccination, </w:t>
      </w:r>
      <w:r w:rsidR="00B669F3">
        <w:rPr>
          <w:sz w:val="24"/>
          <w:szCs w:val="24"/>
        </w:rPr>
        <w:t xml:space="preserve">permet d’atteindre </w:t>
      </w:r>
      <w:r>
        <w:rPr>
          <w:sz w:val="24"/>
          <w:szCs w:val="24"/>
        </w:rPr>
        <w:t>les populations des zones marginal</w:t>
      </w:r>
      <w:r w:rsidR="00B669F3">
        <w:rPr>
          <w:sz w:val="24"/>
          <w:szCs w:val="24"/>
        </w:rPr>
        <w:t>isées ou des zones d’insécurité ;</w:t>
      </w:r>
    </w:p>
    <w:p w:rsidR="00FD5086" w:rsidRDefault="00FD5086" w:rsidP="00B669F3">
      <w:pPr>
        <w:spacing w:after="0"/>
        <w:ind w:left="-142"/>
        <w:jc w:val="both"/>
        <w:rPr>
          <w:sz w:val="24"/>
          <w:szCs w:val="24"/>
        </w:rPr>
      </w:pPr>
      <w:r>
        <w:rPr>
          <w:sz w:val="24"/>
          <w:szCs w:val="24"/>
        </w:rPr>
        <w:t xml:space="preserve">Les </w:t>
      </w:r>
      <w:r w:rsidR="00D50606">
        <w:rPr>
          <w:sz w:val="24"/>
          <w:szCs w:val="24"/>
        </w:rPr>
        <w:t xml:space="preserve">principaux </w:t>
      </w:r>
      <w:r>
        <w:rPr>
          <w:sz w:val="24"/>
          <w:szCs w:val="24"/>
        </w:rPr>
        <w:t xml:space="preserve">effets </w:t>
      </w:r>
      <w:r w:rsidR="00B669F3">
        <w:rPr>
          <w:sz w:val="24"/>
          <w:szCs w:val="24"/>
        </w:rPr>
        <w:t>attendus</w:t>
      </w:r>
      <w:r w:rsidR="00BD5886">
        <w:rPr>
          <w:sz w:val="24"/>
          <w:szCs w:val="24"/>
        </w:rPr>
        <w:t>,</w:t>
      </w:r>
      <w:r w:rsidR="00B669F3">
        <w:rPr>
          <w:sz w:val="24"/>
          <w:szCs w:val="24"/>
        </w:rPr>
        <w:t xml:space="preserve"> </w:t>
      </w:r>
      <w:r>
        <w:rPr>
          <w:sz w:val="24"/>
          <w:szCs w:val="24"/>
        </w:rPr>
        <w:t>qui conduiront au changement souhaité</w:t>
      </w:r>
      <w:r w:rsidR="00BD5886">
        <w:rPr>
          <w:sz w:val="24"/>
          <w:szCs w:val="24"/>
        </w:rPr>
        <w:t>,</w:t>
      </w:r>
      <w:r w:rsidR="00D50606">
        <w:rPr>
          <w:sz w:val="24"/>
          <w:szCs w:val="24"/>
        </w:rPr>
        <w:t xml:space="preserve"> seront donc</w:t>
      </w:r>
      <w:r w:rsidR="00C846DF">
        <w:rPr>
          <w:sz w:val="24"/>
          <w:szCs w:val="24"/>
        </w:rPr>
        <w:t> :</w:t>
      </w:r>
    </w:p>
    <w:p w:rsidR="00FD5086" w:rsidRPr="00E2396E" w:rsidRDefault="00C846DF" w:rsidP="005D02C3">
      <w:pPr>
        <w:pStyle w:val="Paragraphedeliste"/>
        <w:numPr>
          <w:ilvl w:val="0"/>
          <w:numId w:val="104"/>
        </w:numPr>
        <w:spacing w:after="160" w:line="276" w:lineRule="auto"/>
        <w:jc w:val="both"/>
        <w:rPr>
          <w:rFonts w:ascii="Calibri" w:eastAsia="Calibri" w:hAnsi="Calibri" w:cs="Calibri"/>
          <w:sz w:val="24"/>
          <w:szCs w:val="24"/>
          <w:lang w:eastAsia="fr-FR"/>
        </w:rPr>
      </w:pPr>
      <w:r w:rsidRPr="00E2396E">
        <w:rPr>
          <w:rFonts w:ascii="Calibri" w:hAnsi="Calibri" w:cs="Calibri"/>
          <w:sz w:val="24"/>
          <w:szCs w:val="24"/>
        </w:rPr>
        <w:t>L'augmentation de l’utilisation des services essentiels de SRMNEAN de qualité et à haut impact par la mère, le nouveau-né l’enfant de moins de cinq ans, l’adolescent et le jeune.</w:t>
      </w:r>
    </w:p>
    <w:p w:rsidR="00E2396E" w:rsidRPr="00457047" w:rsidRDefault="00457047" w:rsidP="005D02C3">
      <w:pPr>
        <w:pStyle w:val="Paragraphedeliste"/>
        <w:numPr>
          <w:ilvl w:val="0"/>
          <w:numId w:val="104"/>
        </w:numPr>
        <w:rPr>
          <w:rFonts w:asciiTheme="majorHAnsi" w:hAnsiTheme="majorHAnsi" w:cstheme="majorHAnsi"/>
          <w:sz w:val="24"/>
          <w:szCs w:val="24"/>
        </w:rPr>
      </w:pPr>
      <w:r w:rsidRPr="00457047">
        <w:rPr>
          <w:rFonts w:asciiTheme="majorHAnsi" w:hAnsiTheme="majorHAnsi" w:cstheme="majorHAnsi"/>
          <w:sz w:val="24"/>
          <w:szCs w:val="24"/>
        </w:rPr>
        <w:t>L’accès à l’eau potable, à l’hygiène et assainissement et une alimentation saine et sécurisée augmente</w:t>
      </w:r>
      <w:r>
        <w:rPr>
          <w:rFonts w:asciiTheme="majorHAnsi" w:hAnsiTheme="majorHAnsi" w:cstheme="majorHAnsi"/>
          <w:sz w:val="24"/>
          <w:szCs w:val="24"/>
        </w:rPr>
        <w:t>.</w:t>
      </w:r>
      <w:r w:rsidR="00E2396E" w:rsidRPr="00457047">
        <w:rPr>
          <w:rFonts w:ascii="Calibri" w:hAnsi="Calibri" w:cs="Calibri"/>
          <w:sz w:val="24"/>
          <w:szCs w:val="24"/>
        </w:rPr>
        <w:t xml:space="preserve"> </w:t>
      </w:r>
    </w:p>
    <w:p w:rsidR="00EE3BC8" w:rsidRPr="00D54437" w:rsidRDefault="00FD5086" w:rsidP="005E75A7">
      <w:pPr>
        <w:spacing w:after="0"/>
        <w:jc w:val="both"/>
        <w:rPr>
          <w:sz w:val="24"/>
          <w:szCs w:val="24"/>
        </w:rPr>
      </w:pPr>
      <w:r w:rsidRPr="00D54437">
        <w:rPr>
          <w:sz w:val="24"/>
          <w:szCs w:val="24"/>
        </w:rPr>
        <w:t xml:space="preserve">Pour réaliser </w:t>
      </w:r>
      <w:r w:rsidR="00BD5886" w:rsidRPr="00D54437">
        <w:rPr>
          <w:sz w:val="24"/>
          <w:szCs w:val="24"/>
        </w:rPr>
        <w:t>le premier effet,</w:t>
      </w:r>
      <w:r w:rsidR="00284BB5" w:rsidRPr="00D54437">
        <w:rPr>
          <w:sz w:val="24"/>
          <w:szCs w:val="24"/>
        </w:rPr>
        <w:t xml:space="preserve"> il s’agira de mener des actions pour lever les goulots d’étranglement au niveau de l’offre et de la demande ainsi qu’au niveau de l’environnement de prestation des services à haut impact de SRMNEAN. Les principales causes de goulots d’étranglement, mis en évidence par l’analyse EQUIST, étaient principalement (i) la faible couverture, (ii) la continuité, (iii) la qualité des services, (iv) la faible disponibilité de personnels qualifiés, (v) la faible acceptabilité socioculturelle de certaines interventions, (vi) </w:t>
      </w:r>
      <w:r w:rsidR="00EE3BC8" w:rsidRPr="00D54437">
        <w:rPr>
          <w:sz w:val="24"/>
          <w:szCs w:val="24"/>
        </w:rPr>
        <w:t>les barrières géographiques et financières et (vii) la disponibilité des intrants.</w:t>
      </w:r>
    </w:p>
    <w:p w:rsidR="00FD5086" w:rsidRPr="00D54437" w:rsidRDefault="00EE3BC8" w:rsidP="005E75A7">
      <w:pPr>
        <w:spacing w:after="0"/>
        <w:jc w:val="both"/>
        <w:rPr>
          <w:sz w:val="24"/>
          <w:szCs w:val="24"/>
        </w:rPr>
      </w:pPr>
      <w:r w:rsidRPr="00D54437">
        <w:rPr>
          <w:sz w:val="24"/>
          <w:szCs w:val="24"/>
        </w:rPr>
        <w:t>La levée de ces goulots d’étranglement ou causes de goulots ne sera possible que des actions spécifiques sont réalisées</w:t>
      </w:r>
      <w:r w:rsidR="005C6052" w:rsidRPr="00D54437">
        <w:rPr>
          <w:sz w:val="24"/>
          <w:szCs w:val="24"/>
        </w:rPr>
        <w:t xml:space="preserve">. La liste des produits ainsi que celle des activités nécessaires pour arriver à chaque produit est reproduites ci-après : </w:t>
      </w:r>
      <w:r w:rsidRPr="00D54437">
        <w:rPr>
          <w:sz w:val="24"/>
          <w:szCs w:val="24"/>
        </w:rPr>
        <w:t xml:space="preserve"> </w:t>
      </w:r>
    </w:p>
    <w:p w:rsidR="00590C99" w:rsidRDefault="005C6052" w:rsidP="00343FFE">
      <w:pPr>
        <w:spacing w:after="0" w:line="240" w:lineRule="auto"/>
        <w:rPr>
          <w:b/>
          <w:i/>
          <w:color w:val="000000"/>
          <w:sz w:val="24"/>
          <w:szCs w:val="24"/>
        </w:rPr>
      </w:pPr>
      <w:r w:rsidRPr="00343FFE">
        <w:rPr>
          <w:rFonts w:cstheme="minorHAnsi"/>
          <w:b/>
          <w:i/>
          <w:sz w:val="24"/>
          <w:szCs w:val="24"/>
        </w:rPr>
        <w:t xml:space="preserve">Produit 1. : </w:t>
      </w:r>
      <w:r w:rsidR="00343FFE" w:rsidRPr="00343FFE">
        <w:rPr>
          <w:b/>
          <w:i/>
          <w:color w:val="000000"/>
          <w:sz w:val="24"/>
          <w:szCs w:val="24"/>
        </w:rPr>
        <w:t xml:space="preserve">La couverture par le paquet  intégré </w:t>
      </w:r>
      <w:r w:rsidR="00590C99">
        <w:rPr>
          <w:b/>
          <w:i/>
          <w:color w:val="000000"/>
          <w:sz w:val="24"/>
          <w:szCs w:val="24"/>
        </w:rPr>
        <w:t xml:space="preserve">et </w:t>
      </w:r>
      <w:r w:rsidR="00590C99" w:rsidRPr="00343FFE">
        <w:rPr>
          <w:b/>
          <w:i/>
          <w:color w:val="000000"/>
          <w:sz w:val="24"/>
          <w:szCs w:val="24"/>
        </w:rPr>
        <w:t xml:space="preserve">de qualité </w:t>
      </w:r>
      <w:r w:rsidR="00343FFE" w:rsidRPr="00343FFE">
        <w:rPr>
          <w:b/>
          <w:i/>
          <w:color w:val="000000"/>
          <w:sz w:val="24"/>
          <w:szCs w:val="24"/>
        </w:rPr>
        <w:t>d’</w:t>
      </w:r>
      <w:r w:rsidR="00343FFE">
        <w:rPr>
          <w:b/>
          <w:i/>
          <w:color w:val="000000"/>
          <w:sz w:val="24"/>
          <w:szCs w:val="24"/>
        </w:rPr>
        <w:t>interventions de SRMNEAN</w:t>
      </w:r>
    </w:p>
    <w:p w:rsidR="00343FFE" w:rsidRPr="00590C99" w:rsidRDefault="00590C99" w:rsidP="00343FFE">
      <w:pPr>
        <w:spacing w:after="0" w:line="240" w:lineRule="auto"/>
        <w:rPr>
          <w:b/>
          <w:i/>
          <w:color w:val="000000"/>
          <w:sz w:val="24"/>
          <w:szCs w:val="24"/>
        </w:rPr>
      </w:pPr>
      <w:r>
        <w:rPr>
          <w:b/>
          <w:i/>
          <w:color w:val="000000"/>
          <w:sz w:val="24"/>
          <w:szCs w:val="24"/>
        </w:rPr>
        <w:t xml:space="preserve">                     </w:t>
      </w:r>
      <w:r w:rsidR="00343FFE">
        <w:rPr>
          <w:b/>
          <w:i/>
          <w:color w:val="000000"/>
          <w:sz w:val="24"/>
          <w:szCs w:val="24"/>
        </w:rPr>
        <w:t>à haut</w:t>
      </w:r>
      <w:r>
        <w:rPr>
          <w:b/>
          <w:i/>
          <w:color w:val="000000"/>
          <w:sz w:val="24"/>
          <w:szCs w:val="24"/>
        </w:rPr>
        <w:t xml:space="preserve"> impact</w:t>
      </w:r>
      <w:r w:rsidR="00343FFE" w:rsidRPr="00343FFE">
        <w:rPr>
          <w:b/>
          <w:i/>
          <w:color w:val="000000"/>
          <w:sz w:val="24"/>
          <w:szCs w:val="24"/>
        </w:rPr>
        <w:t xml:space="preserve"> est améliorée.</w:t>
      </w:r>
    </w:p>
    <w:p w:rsidR="00CF0185" w:rsidRPr="00343FFE" w:rsidRDefault="00CF0185" w:rsidP="005D02C3">
      <w:pPr>
        <w:pStyle w:val="Paragraphedeliste"/>
        <w:numPr>
          <w:ilvl w:val="0"/>
          <w:numId w:val="105"/>
        </w:numPr>
        <w:rPr>
          <w:rFonts w:cstheme="minorHAnsi"/>
          <w:sz w:val="24"/>
          <w:szCs w:val="24"/>
        </w:rPr>
      </w:pPr>
      <w:r w:rsidRPr="00343FFE">
        <w:rPr>
          <w:color w:val="000000"/>
          <w:sz w:val="24"/>
          <w:szCs w:val="24"/>
        </w:rPr>
        <w:t>Améliorer la disponibilité  du paq</w:t>
      </w:r>
      <w:r w:rsidR="00343FFE">
        <w:rPr>
          <w:color w:val="000000"/>
          <w:sz w:val="24"/>
          <w:szCs w:val="24"/>
        </w:rPr>
        <w:t xml:space="preserve">uet intégré et à de haut impact </w:t>
      </w:r>
      <w:r w:rsidRPr="00343FFE">
        <w:rPr>
          <w:color w:val="000000"/>
          <w:sz w:val="24"/>
          <w:szCs w:val="24"/>
        </w:rPr>
        <w:t>d’interventions de SRMNEAN  dans les structures publiques.</w:t>
      </w:r>
    </w:p>
    <w:p w:rsidR="00CF0185" w:rsidRPr="005C6052" w:rsidRDefault="00CF0185" w:rsidP="005D02C3">
      <w:pPr>
        <w:pStyle w:val="Paragraphedeliste"/>
        <w:numPr>
          <w:ilvl w:val="0"/>
          <w:numId w:val="105"/>
        </w:numPr>
        <w:rPr>
          <w:rFonts w:cstheme="minorHAnsi"/>
          <w:sz w:val="24"/>
          <w:szCs w:val="24"/>
        </w:rPr>
      </w:pPr>
      <w:r w:rsidRPr="005C6052">
        <w:rPr>
          <w:color w:val="000000"/>
          <w:sz w:val="24"/>
          <w:szCs w:val="24"/>
        </w:rPr>
        <w:t>Améliorer la qualité de l’offre de services à haut impact de SRMNEAN.</w:t>
      </w:r>
    </w:p>
    <w:p w:rsidR="00CF0185" w:rsidRDefault="00CF0185" w:rsidP="005D02C3">
      <w:pPr>
        <w:pStyle w:val="Paragraphedeliste"/>
        <w:numPr>
          <w:ilvl w:val="0"/>
          <w:numId w:val="105"/>
        </w:numPr>
        <w:jc w:val="both"/>
        <w:rPr>
          <w:sz w:val="24"/>
          <w:szCs w:val="24"/>
        </w:rPr>
      </w:pPr>
      <w:r w:rsidRPr="005C6052">
        <w:rPr>
          <w:sz w:val="24"/>
          <w:szCs w:val="24"/>
        </w:rPr>
        <w:t>Augmenter le nombre de formations sanitaires du sous secteur-privé qui offrent des services de SRMNEAN.</w:t>
      </w:r>
    </w:p>
    <w:p w:rsidR="005C6052" w:rsidRDefault="005C6052" w:rsidP="00356E7D">
      <w:pPr>
        <w:spacing w:after="0"/>
        <w:jc w:val="both"/>
        <w:rPr>
          <w:rFonts w:cstheme="minorHAnsi"/>
          <w:b/>
          <w:i/>
          <w:sz w:val="24"/>
          <w:szCs w:val="24"/>
        </w:rPr>
      </w:pPr>
      <w:r w:rsidRPr="005C6052">
        <w:rPr>
          <w:b/>
          <w:i/>
          <w:sz w:val="24"/>
          <w:szCs w:val="24"/>
        </w:rPr>
        <w:t>Produit 2.</w:t>
      </w:r>
      <w:r>
        <w:rPr>
          <w:b/>
          <w:i/>
          <w:sz w:val="24"/>
          <w:szCs w:val="24"/>
        </w:rPr>
        <w:t xml:space="preserve"> : </w:t>
      </w:r>
      <w:r w:rsidR="00CF0185" w:rsidRPr="005C6052">
        <w:rPr>
          <w:rFonts w:cstheme="minorHAnsi"/>
          <w:b/>
          <w:i/>
          <w:sz w:val="24"/>
          <w:szCs w:val="24"/>
        </w:rPr>
        <w:t>La qualité des services, centrée sur la personne et la sécurité du patient, est</w:t>
      </w:r>
    </w:p>
    <w:p w:rsidR="00CF0185" w:rsidRPr="005C6052" w:rsidRDefault="005C6052" w:rsidP="005C6052">
      <w:pPr>
        <w:spacing w:after="0"/>
        <w:jc w:val="both"/>
        <w:rPr>
          <w:b/>
          <w:i/>
          <w:sz w:val="24"/>
          <w:szCs w:val="24"/>
        </w:rPr>
      </w:pPr>
      <w:r>
        <w:rPr>
          <w:rFonts w:cstheme="minorHAnsi"/>
          <w:b/>
          <w:i/>
          <w:sz w:val="24"/>
          <w:szCs w:val="24"/>
        </w:rPr>
        <w:t xml:space="preserve">                  </w:t>
      </w:r>
      <w:r w:rsidR="00CF0185" w:rsidRPr="005C6052">
        <w:rPr>
          <w:rFonts w:cstheme="minorHAnsi"/>
          <w:b/>
          <w:i/>
          <w:sz w:val="24"/>
          <w:szCs w:val="24"/>
        </w:rPr>
        <w:t xml:space="preserve"> renforcée.</w:t>
      </w:r>
    </w:p>
    <w:p w:rsidR="00CF0185" w:rsidRPr="005C6052" w:rsidRDefault="00CF0185" w:rsidP="005D02C3">
      <w:pPr>
        <w:pStyle w:val="Paragraphedeliste"/>
        <w:numPr>
          <w:ilvl w:val="0"/>
          <w:numId w:val="106"/>
        </w:numPr>
        <w:jc w:val="both"/>
        <w:rPr>
          <w:sz w:val="24"/>
          <w:szCs w:val="24"/>
        </w:rPr>
      </w:pPr>
      <w:r w:rsidRPr="005C6052">
        <w:rPr>
          <w:color w:val="000000"/>
          <w:sz w:val="24"/>
          <w:szCs w:val="24"/>
        </w:rPr>
        <w:t xml:space="preserve">Mettre en œuvre une démarche qualité effective, centrée sur les personnes et la sécurité des patients dans l’organisation de l’offre de soins </w:t>
      </w:r>
      <w:r w:rsidR="00B56150">
        <w:rPr>
          <w:color w:val="000000"/>
          <w:sz w:val="24"/>
          <w:szCs w:val="24"/>
        </w:rPr>
        <w:t>et de services rendus de SRMNEA</w:t>
      </w:r>
      <w:r w:rsidRPr="005C6052">
        <w:rPr>
          <w:color w:val="000000"/>
          <w:sz w:val="24"/>
          <w:szCs w:val="24"/>
        </w:rPr>
        <w:t>N</w:t>
      </w:r>
    </w:p>
    <w:p w:rsidR="00CF0185" w:rsidRPr="005C6052" w:rsidRDefault="00CF0185" w:rsidP="005D02C3">
      <w:pPr>
        <w:pStyle w:val="Paragraphedeliste"/>
        <w:numPr>
          <w:ilvl w:val="0"/>
          <w:numId w:val="106"/>
        </w:numPr>
        <w:jc w:val="both"/>
        <w:rPr>
          <w:sz w:val="24"/>
          <w:szCs w:val="24"/>
        </w:rPr>
      </w:pPr>
      <w:r w:rsidRPr="005C6052">
        <w:rPr>
          <w:color w:val="000000"/>
          <w:sz w:val="24"/>
          <w:szCs w:val="24"/>
        </w:rPr>
        <w:t>Appliquer les normes, protocoles et directives relatives à l’offre de prestations de SRMNEAN</w:t>
      </w:r>
    </w:p>
    <w:p w:rsidR="00CF0185" w:rsidRPr="005C6052" w:rsidRDefault="00CF0185" w:rsidP="005D02C3">
      <w:pPr>
        <w:pStyle w:val="Paragraphedeliste"/>
        <w:numPr>
          <w:ilvl w:val="0"/>
          <w:numId w:val="106"/>
        </w:numPr>
        <w:jc w:val="both"/>
        <w:rPr>
          <w:sz w:val="24"/>
          <w:szCs w:val="24"/>
        </w:rPr>
      </w:pPr>
      <w:r w:rsidRPr="005C6052">
        <w:rPr>
          <w:color w:val="000000"/>
          <w:sz w:val="24"/>
          <w:szCs w:val="24"/>
        </w:rPr>
        <w:t>Renforcer les activités pour contrôler les infections associées aux soins</w:t>
      </w:r>
    </w:p>
    <w:p w:rsidR="00CF0185" w:rsidRPr="005C6052" w:rsidRDefault="00CF0185" w:rsidP="005D02C3">
      <w:pPr>
        <w:pStyle w:val="Paragraphedeliste"/>
        <w:numPr>
          <w:ilvl w:val="0"/>
          <w:numId w:val="106"/>
        </w:numPr>
        <w:jc w:val="both"/>
        <w:rPr>
          <w:color w:val="000000"/>
          <w:sz w:val="24"/>
          <w:szCs w:val="24"/>
        </w:rPr>
      </w:pPr>
      <w:r w:rsidRPr="005C6052">
        <w:rPr>
          <w:color w:val="000000"/>
          <w:sz w:val="24"/>
          <w:szCs w:val="24"/>
        </w:rPr>
        <w:t>Protéger les utilisateurs des services de santé contre les préjudices liés aux activités de soins </w:t>
      </w:r>
    </w:p>
    <w:p w:rsidR="00B56150" w:rsidRDefault="005C6052" w:rsidP="00B56150">
      <w:pPr>
        <w:spacing w:after="0" w:line="240" w:lineRule="auto"/>
        <w:jc w:val="both"/>
        <w:rPr>
          <w:rFonts w:asciiTheme="majorHAnsi" w:hAnsiTheme="majorHAnsi" w:cstheme="majorHAnsi"/>
          <w:b/>
          <w:i/>
          <w:color w:val="000000"/>
          <w:sz w:val="24"/>
          <w:szCs w:val="24"/>
        </w:rPr>
      </w:pPr>
      <w:r w:rsidRPr="00E83B4F">
        <w:rPr>
          <w:rFonts w:cstheme="minorHAnsi"/>
          <w:b/>
          <w:i/>
          <w:sz w:val="24"/>
          <w:szCs w:val="24"/>
        </w:rPr>
        <w:t xml:space="preserve">Produit 3 : </w:t>
      </w:r>
      <w:r w:rsidR="00E83B4F" w:rsidRPr="00E83B4F">
        <w:rPr>
          <w:rFonts w:asciiTheme="majorHAnsi" w:hAnsiTheme="majorHAnsi" w:cstheme="majorHAnsi"/>
          <w:b/>
          <w:i/>
          <w:color w:val="000000"/>
          <w:sz w:val="24"/>
          <w:szCs w:val="24"/>
        </w:rPr>
        <w:t>La disponibilité des services de vaccination</w:t>
      </w:r>
      <w:r w:rsidR="00B56150">
        <w:rPr>
          <w:rFonts w:asciiTheme="majorHAnsi" w:hAnsiTheme="majorHAnsi" w:cstheme="majorHAnsi"/>
          <w:b/>
          <w:i/>
          <w:color w:val="000000"/>
          <w:sz w:val="24"/>
          <w:szCs w:val="24"/>
        </w:rPr>
        <w:t xml:space="preserve"> </w:t>
      </w:r>
      <w:r w:rsidR="00E83B4F" w:rsidRPr="00E83B4F">
        <w:rPr>
          <w:rFonts w:asciiTheme="majorHAnsi" w:hAnsiTheme="majorHAnsi" w:cstheme="majorHAnsi"/>
          <w:b/>
          <w:i/>
          <w:color w:val="000000"/>
          <w:sz w:val="24"/>
          <w:szCs w:val="24"/>
        </w:rPr>
        <w:t>est améliorée</w:t>
      </w:r>
      <w:r w:rsidR="00B56150">
        <w:rPr>
          <w:rFonts w:asciiTheme="majorHAnsi" w:hAnsiTheme="majorHAnsi" w:cstheme="majorHAnsi"/>
          <w:b/>
          <w:i/>
          <w:color w:val="000000"/>
          <w:sz w:val="24"/>
          <w:szCs w:val="24"/>
        </w:rPr>
        <w:t xml:space="preserve">, surtout </w:t>
      </w:r>
      <w:r w:rsidR="00B56150" w:rsidRPr="00E83B4F">
        <w:rPr>
          <w:rFonts w:asciiTheme="majorHAnsi" w:hAnsiTheme="majorHAnsi" w:cstheme="majorHAnsi"/>
          <w:b/>
          <w:i/>
          <w:color w:val="000000"/>
          <w:sz w:val="24"/>
          <w:szCs w:val="24"/>
        </w:rPr>
        <w:t xml:space="preserve">pour  les </w:t>
      </w:r>
    </w:p>
    <w:p w:rsidR="00CF0185" w:rsidRPr="00B56150" w:rsidRDefault="00B56150" w:rsidP="00B56150">
      <w:pPr>
        <w:spacing w:after="0" w:line="240" w:lineRule="auto"/>
        <w:jc w:val="both"/>
        <w:rPr>
          <w:rFonts w:asciiTheme="majorHAnsi" w:hAnsiTheme="majorHAnsi" w:cstheme="majorHAnsi"/>
          <w:b/>
          <w:i/>
          <w:color w:val="000000"/>
          <w:sz w:val="24"/>
          <w:szCs w:val="24"/>
        </w:rPr>
      </w:pPr>
      <w:r>
        <w:rPr>
          <w:rFonts w:asciiTheme="majorHAnsi" w:hAnsiTheme="majorHAnsi" w:cstheme="majorHAnsi"/>
          <w:b/>
          <w:i/>
          <w:color w:val="000000"/>
          <w:sz w:val="24"/>
          <w:szCs w:val="24"/>
        </w:rPr>
        <w:t xml:space="preserve">                  </w:t>
      </w:r>
      <w:r w:rsidRPr="00E83B4F">
        <w:rPr>
          <w:rFonts w:asciiTheme="majorHAnsi" w:hAnsiTheme="majorHAnsi" w:cstheme="majorHAnsi"/>
          <w:b/>
          <w:i/>
          <w:color w:val="000000"/>
          <w:sz w:val="24"/>
          <w:szCs w:val="24"/>
        </w:rPr>
        <w:t xml:space="preserve">populations </w:t>
      </w:r>
      <w:r>
        <w:rPr>
          <w:rFonts w:asciiTheme="majorHAnsi" w:hAnsiTheme="majorHAnsi" w:cstheme="majorHAnsi"/>
          <w:b/>
          <w:i/>
          <w:color w:val="000000"/>
          <w:sz w:val="24"/>
          <w:szCs w:val="24"/>
        </w:rPr>
        <w:t>vivan</w:t>
      </w:r>
      <w:r w:rsidR="00D561B6">
        <w:rPr>
          <w:rFonts w:asciiTheme="majorHAnsi" w:hAnsiTheme="majorHAnsi" w:cstheme="majorHAnsi"/>
          <w:b/>
          <w:i/>
          <w:color w:val="000000"/>
          <w:sz w:val="24"/>
          <w:szCs w:val="24"/>
        </w:rPr>
        <w:t xml:space="preserve">t </w:t>
      </w:r>
      <w:r>
        <w:rPr>
          <w:rFonts w:asciiTheme="majorHAnsi" w:hAnsiTheme="majorHAnsi" w:cstheme="majorHAnsi"/>
          <w:b/>
          <w:i/>
          <w:color w:val="000000"/>
          <w:sz w:val="24"/>
          <w:szCs w:val="24"/>
        </w:rPr>
        <w:t xml:space="preserve">en zones </w:t>
      </w:r>
      <w:r w:rsidRPr="00E83B4F">
        <w:rPr>
          <w:rFonts w:asciiTheme="majorHAnsi" w:hAnsiTheme="majorHAnsi" w:cstheme="majorHAnsi"/>
          <w:b/>
          <w:i/>
          <w:color w:val="000000"/>
          <w:sz w:val="24"/>
          <w:szCs w:val="24"/>
        </w:rPr>
        <w:t xml:space="preserve">d’accès </w:t>
      </w:r>
      <w:r>
        <w:rPr>
          <w:rFonts w:asciiTheme="majorHAnsi" w:hAnsiTheme="majorHAnsi" w:cstheme="majorHAnsi"/>
          <w:b/>
          <w:i/>
          <w:color w:val="000000"/>
          <w:sz w:val="24"/>
          <w:szCs w:val="24"/>
        </w:rPr>
        <w:t>difficile</w:t>
      </w:r>
      <w:r w:rsidR="00E83B4F" w:rsidRPr="00E83B4F">
        <w:rPr>
          <w:rFonts w:asciiTheme="majorHAnsi" w:hAnsiTheme="majorHAnsi" w:cstheme="majorHAnsi"/>
          <w:b/>
          <w:i/>
          <w:color w:val="000000"/>
          <w:sz w:val="24"/>
          <w:szCs w:val="24"/>
        </w:rPr>
        <w:t>.</w:t>
      </w:r>
    </w:p>
    <w:p w:rsidR="00CF0185" w:rsidRPr="005C6052" w:rsidRDefault="00CF0185" w:rsidP="005D02C3">
      <w:pPr>
        <w:pStyle w:val="Paragraphedeliste"/>
        <w:numPr>
          <w:ilvl w:val="0"/>
          <w:numId w:val="107"/>
        </w:numPr>
        <w:rPr>
          <w:sz w:val="24"/>
          <w:szCs w:val="24"/>
        </w:rPr>
      </w:pPr>
      <w:r w:rsidRPr="005C6052">
        <w:rPr>
          <w:color w:val="000000"/>
          <w:sz w:val="24"/>
          <w:szCs w:val="24"/>
        </w:rPr>
        <w:t>Renforcer les activités de vaccination dans les  zones périurbaines.</w:t>
      </w:r>
    </w:p>
    <w:p w:rsidR="00CF0185" w:rsidRPr="005C6052" w:rsidRDefault="00CF0185" w:rsidP="005D02C3">
      <w:pPr>
        <w:pStyle w:val="Paragraphedeliste"/>
        <w:numPr>
          <w:ilvl w:val="0"/>
          <w:numId w:val="107"/>
        </w:numPr>
        <w:jc w:val="both"/>
        <w:rPr>
          <w:color w:val="000000"/>
          <w:sz w:val="24"/>
          <w:szCs w:val="24"/>
        </w:rPr>
      </w:pPr>
      <w:r w:rsidRPr="005C6052">
        <w:rPr>
          <w:color w:val="000000"/>
          <w:sz w:val="24"/>
          <w:szCs w:val="24"/>
        </w:rPr>
        <w:t>Renforcer les activités de vaccination dans les zones touchées par l’insécurité.</w:t>
      </w:r>
    </w:p>
    <w:p w:rsidR="00B76E51" w:rsidRDefault="00F27A75" w:rsidP="00F07B2E">
      <w:pPr>
        <w:spacing w:after="0" w:line="240" w:lineRule="auto"/>
        <w:rPr>
          <w:rFonts w:cstheme="minorHAnsi"/>
          <w:b/>
          <w:i/>
          <w:color w:val="000000"/>
          <w:sz w:val="24"/>
          <w:szCs w:val="24"/>
        </w:rPr>
      </w:pPr>
      <w:r w:rsidRPr="00F27A75">
        <w:rPr>
          <w:rFonts w:cstheme="minorHAnsi"/>
          <w:b/>
          <w:i/>
          <w:sz w:val="24"/>
          <w:szCs w:val="24"/>
        </w:rPr>
        <w:t xml:space="preserve">Produit 4 : </w:t>
      </w:r>
      <w:r w:rsidR="00F07B2E" w:rsidRPr="00F07B2E">
        <w:rPr>
          <w:rFonts w:cstheme="minorHAnsi"/>
          <w:b/>
          <w:i/>
          <w:color w:val="000000"/>
          <w:sz w:val="24"/>
          <w:szCs w:val="24"/>
        </w:rPr>
        <w:t xml:space="preserve">L’approche </w:t>
      </w:r>
      <w:r w:rsidR="00B76E51">
        <w:rPr>
          <w:rFonts w:cstheme="minorHAnsi"/>
          <w:b/>
          <w:i/>
          <w:color w:val="000000"/>
          <w:sz w:val="24"/>
          <w:szCs w:val="24"/>
        </w:rPr>
        <w:t xml:space="preserve">santé </w:t>
      </w:r>
      <w:r w:rsidR="00F07B2E" w:rsidRPr="00F07B2E">
        <w:rPr>
          <w:rFonts w:cstheme="minorHAnsi"/>
          <w:b/>
          <w:i/>
          <w:color w:val="000000"/>
          <w:sz w:val="24"/>
          <w:szCs w:val="24"/>
        </w:rPr>
        <w:t xml:space="preserve">communautaire est renforcée pour délivrer les interventions </w:t>
      </w:r>
    </w:p>
    <w:p w:rsidR="00CF0185" w:rsidRPr="00B76E51" w:rsidRDefault="00B76E51" w:rsidP="00F07B2E">
      <w:pPr>
        <w:spacing w:after="0" w:line="240" w:lineRule="auto"/>
        <w:rPr>
          <w:rFonts w:cstheme="minorHAnsi"/>
          <w:b/>
          <w:i/>
          <w:color w:val="000000"/>
          <w:sz w:val="24"/>
          <w:szCs w:val="24"/>
        </w:rPr>
      </w:pPr>
      <w:r>
        <w:rPr>
          <w:rFonts w:cstheme="minorHAnsi"/>
          <w:b/>
          <w:i/>
          <w:color w:val="000000"/>
          <w:sz w:val="24"/>
          <w:szCs w:val="24"/>
        </w:rPr>
        <w:t xml:space="preserve">                    d</w:t>
      </w:r>
      <w:r w:rsidR="00F07B2E">
        <w:rPr>
          <w:rFonts w:cstheme="minorHAnsi"/>
          <w:b/>
          <w:i/>
          <w:color w:val="000000"/>
          <w:sz w:val="24"/>
          <w:szCs w:val="24"/>
        </w:rPr>
        <w:t>e</w:t>
      </w:r>
      <w:r>
        <w:rPr>
          <w:rFonts w:cstheme="minorHAnsi"/>
          <w:b/>
          <w:i/>
          <w:color w:val="000000"/>
          <w:sz w:val="24"/>
          <w:szCs w:val="24"/>
        </w:rPr>
        <w:t xml:space="preserve"> </w:t>
      </w:r>
      <w:r w:rsidR="00F07B2E" w:rsidRPr="00F07B2E">
        <w:rPr>
          <w:rFonts w:cstheme="minorHAnsi"/>
          <w:b/>
          <w:i/>
          <w:color w:val="000000"/>
          <w:sz w:val="24"/>
          <w:szCs w:val="24"/>
        </w:rPr>
        <w:t>SRMNEAN,  en particulier dans les zones éloignées ou d’accès difficile.</w:t>
      </w:r>
    </w:p>
    <w:p w:rsidR="00CF0185" w:rsidRPr="00F27A75" w:rsidRDefault="00CF0185" w:rsidP="005D02C3">
      <w:pPr>
        <w:pStyle w:val="Paragraphedeliste"/>
        <w:numPr>
          <w:ilvl w:val="0"/>
          <w:numId w:val="108"/>
        </w:numPr>
        <w:rPr>
          <w:rFonts w:cstheme="minorHAnsi"/>
          <w:sz w:val="24"/>
          <w:szCs w:val="24"/>
        </w:rPr>
      </w:pPr>
      <w:r w:rsidRPr="00F27A75">
        <w:rPr>
          <w:rFonts w:cstheme="minorHAnsi"/>
          <w:color w:val="000000"/>
          <w:sz w:val="24"/>
          <w:szCs w:val="24"/>
        </w:rPr>
        <w:t>Renforcer la capacité de la santé communautaire.</w:t>
      </w:r>
    </w:p>
    <w:p w:rsidR="00CF0185" w:rsidRPr="00F27A75" w:rsidRDefault="00CF0185" w:rsidP="005D02C3">
      <w:pPr>
        <w:pStyle w:val="Paragraphedeliste"/>
        <w:numPr>
          <w:ilvl w:val="0"/>
          <w:numId w:val="108"/>
        </w:numPr>
        <w:jc w:val="both"/>
        <w:rPr>
          <w:rFonts w:cstheme="minorHAnsi"/>
          <w:sz w:val="24"/>
          <w:szCs w:val="24"/>
        </w:rPr>
      </w:pPr>
      <w:r w:rsidRPr="00F27A75">
        <w:rPr>
          <w:rFonts w:cstheme="minorHAnsi"/>
          <w:sz w:val="24"/>
          <w:szCs w:val="24"/>
        </w:rPr>
        <w:t>Améliorer la disponibilité des interventions à haut impact relevant de la santé communautaire sur tout le territoire national et surtout dans les zones d’accès difficile, soit de par leur éloignement par rapport à l’infrastructure sanitaire ou pur des raisons d’insécurité.</w:t>
      </w:r>
    </w:p>
    <w:p w:rsidR="00CF0185" w:rsidRPr="00F27A75" w:rsidRDefault="00F27A75" w:rsidP="00F27A75">
      <w:pPr>
        <w:spacing w:after="0"/>
        <w:jc w:val="both"/>
        <w:rPr>
          <w:rFonts w:cstheme="minorHAnsi"/>
          <w:b/>
          <w:i/>
          <w:sz w:val="24"/>
          <w:szCs w:val="24"/>
        </w:rPr>
      </w:pPr>
      <w:r w:rsidRPr="00F27A75">
        <w:rPr>
          <w:rFonts w:cstheme="minorHAnsi"/>
          <w:b/>
          <w:i/>
          <w:sz w:val="24"/>
          <w:szCs w:val="24"/>
        </w:rPr>
        <w:t xml:space="preserve">Produit 5 : </w:t>
      </w:r>
      <w:r w:rsidR="00CF0185" w:rsidRPr="00F27A75">
        <w:rPr>
          <w:rFonts w:cstheme="minorHAnsi"/>
          <w:b/>
          <w:i/>
          <w:sz w:val="24"/>
          <w:szCs w:val="24"/>
        </w:rPr>
        <w:t>Une demande équitable de services SRMNEAN à haut impact est assurée</w:t>
      </w:r>
    </w:p>
    <w:p w:rsidR="00CF0185" w:rsidRPr="00F27A75" w:rsidRDefault="00CF0185" w:rsidP="005D02C3">
      <w:pPr>
        <w:pStyle w:val="Paragraphedeliste"/>
        <w:numPr>
          <w:ilvl w:val="0"/>
          <w:numId w:val="109"/>
        </w:numPr>
        <w:rPr>
          <w:rFonts w:cstheme="minorHAnsi"/>
          <w:sz w:val="24"/>
          <w:szCs w:val="24"/>
        </w:rPr>
      </w:pPr>
      <w:r w:rsidRPr="00F27A75">
        <w:rPr>
          <w:rFonts w:cstheme="minorHAnsi"/>
          <w:color w:val="000000"/>
          <w:sz w:val="24"/>
          <w:szCs w:val="24"/>
        </w:rPr>
        <w:t>Renforcer la communication pour le changement</w:t>
      </w:r>
      <w:r w:rsidR="00D561B6">
        <w:rPr>
          <w:rFonts w:cstheme="minorHAnsi"/>
          <w:color w:val="000000"/>
          <w:sz w:val="24"/>
          <w:szCs w:val="24"/>
        </w:rPr>
        <w:t xml:space="preserve"> social de comportement</w:t>
      </w:r>
      <w:r w:rsidRPr="00F27A75">
        <w:rPr>
          <w:rFonts w:cstheme="minorHAnsi"/>
          <w:color w:val="000000"/>
          <w:sz w:val="24"/>
          <w:szCs w:val="24"/>
        </w:rPr>
        <w:t>.</w:t>
      </w:r>
    </w:p>
    <w:p w:rsidR="00CF0185" w:rsidRPr="00F27A75" w:rsidRDefault="00CF0185" w:rsidP="005D02C3">
      <w:pPr>
        <w:pStyle w:val="Paragraphedeliste"/>
        <w:numPr>
          <w:ilvl w:val="0"/>
          <w:numId w:val="109"/>
        </w:numPr>
        <w:jc w:val="both"/>
        <w:rPr>
          <w:color w:val="000000"/>
          <w:sz w:val="24"/>
          <w:szCs w:val="24"/>
        </w:rPr>
      </w:pPr>
      <w:r w:rsidRPr="00F27A75">
        <w:rPr>
          <w:color w:val="000000"/>
          <w:sz w:val="24"/>
          <w:szCs w:val="24"/>
        </w:rPr>
        <w:t>Réduire les barrières financières à l’accès aux services de SRMNEAN.</w:t>
      </w:r>
    </w:p>
    <w:p w:rsidR="007D2E3B" w:rsidRDefault="00F27A75" w:rsidP="00356E7D">
      <w:pPr>
        <w:spacing w:after="0" w:line="240" w:lineRule="auto"/>
        <w:rPr>
          <w:rFonts w:asciiTheme="minorHAnsi" w:hAnsiTheme="minorHAnsi" w:cstheme="minorHAnsi"/>
          <w:b/>
          <w:i/>
          <w:sz w:val="24"/>
          <w:szCs w:val="24"/>
        </w:rPr>
      </w:pPr>
      <w:r w:rsidRPr="00F27A75">
        <w:rPr>
          <w:rFonts w:cstheme="minorHAnsi"/>
          <w:b/>
          <w:i/>
          <w:sz w:val="24"/>
          <w:szCs w:val="24"/>
        </w:rPr>
        <w:t xml:space="preserve">Produit 6 : </w:t>
      </w:r>
      <w:r w:rsidR="007D2E3B">
        <w:rPr>
          <w:rFonts w:cstheme="minorHAnsi"/>
          <w:b/>
          <w:i/>
          <w:sz w:val="24"/>
          <w:szCs w:val="24"/>
        </w:rPr>
        <w:t>L</w:t>
      </w:r>
      <w:r w:rsidR="00CE09AC">
        <w:rPr>
          <w:rFonts w:cstheme="minorHAnsi"/>
          <w:b/>
          <w:i/>
          <w:sz w:val="24"/>
          <w:szCs w:val="24"/>
        </w:rPr>
        <w:t>a disponibilité d’u</w:t>
      </w:r>
      <w:r w:rsidR="00CE09AC" w:rsidRPr="00F27A75">
        <w:rPr>
          <w:rFonts w:cstheme="minorHAnsi"/>
          <w:b/>
          <w:i/>
          <w:sz w:val="24"/>
          <w:szCs w:val="24"/>
        </w:rPr>
        <w:t>n personnel opérationnel,  compétent</w:t>
      </w:r>
      <w:r w:rsidR="007D2E3B">
        <w:rPr>
          <w:rFonts w:cstheme="minorHAnsi"/>
          <w:b/>
          <w:i/>
          <w:sz w:val="24"/>
          <w:szCs w:val="24"/>
        </w:rPr>
        <w:t>,</w:t>
      </w:r>
      <w:r w:rsidR="00CE09AC" w:rsidRPr="00F27A75">
        <w:rPr>
          <w:rFonts w:cstheme="minorHAnsi"/>
          <w:b/>
          <w:i/>
          <w:sz w:val="24"/>
          <w:szCs w:val="24"/>
        </w:rPr>
        <w:t xml:space="preserve"> </w:t>
      </w:r>
      <w:r w:rsidR="00CE09AC" w:rsidRPr="00F27A75">
        <w:rPr>
          <w:rFonts w:asciiTheme="minorHAnsi" w:hAnsiTheme="minorHAnsi" w:cstheme="minorHAnsi"/>
          <w:b/>
          <w:i/>
          <w:sz w:val="24"/>
          <w:szCs w:val="24"/>
        </w:rPr>
        <w:t xml:space="preserve">motivé </w:t>
      </w:r>
      <w:r w:rsidR="00CE09AC">
        <w:rPr>
          <w:rFonts w:asciiTheme="minorHAnsi" w:hAnsiTheme="minorHAnsi" w:cstheme="minorHAnsi"/>
          <w:b/>
          <w:i/>
          <w:sz w:val="24"/>
          <w:szCs w:val="24"/>
        </w:rPr>
        <w:t xml:space="preserve">et réparti </w:t>
      </w:r>
    </w:p>
    <w:p w:rsidR="00CF0185" w:rsidRPr="00F27A75" w:rsidRDefault="007D2E3B" w:rsidP="00F27A75">
      <w:pPr>
        <w:spacing w:after="0" w:line="240" w:lineRule="auto"/>
        <w:rPr>
          <w:rFonts w:cstheme="minorHAnsi"/>
          <w:b/>
          <w:i/>
          <w:sz w:val="24"/>
          <w:szCs w:val="24"/>
        </w:rPr>
      </w:pPr>
      <w:r>
        <w:rPr>
          <w:rFonts w:asciiTheme="minorHAnsi" w:hAnsiTheme="minorHAnsi" w:cstheme="minorHAnsi"/>
          <w:b/>
          <w:i/>
          <w:sz w:val="24"/>
          <w:szCs w:val="24"/>
        </w:rPr>
        <w:t xml:space="preserve">                    </w:t>
      </w:r>
      <w:r w:rsidR="00CE09AC">
        <w:rPr>
          <w:rFonts w:asciiTheme="minorHAnsi" w:hAnsiTheme="minorHAnsi" w:cstheme="minorHAnsi"/>
          <w:b/>
          <w:i/>
          <w:sz w:val="24"/>
          <w:szCs w:val="24"/>
        </w:rPr>
        <w:t>équitablement</w:t>
      </w:r>
      <w:r>
        <w:rPr>
          <w:rFonts w:asciiTheme="minorHAnsi" w:hAnsiTheme="minorHAnsi" w:cstheme="minorHAnsi"/>
          <w:b/>
          <w:i/>
          <w:sz w:val="24"/>
          <w:szCs w:val="24"/>
        </w:rPr>
        <w:t xml:space="preserve"> est assurée.</w:t>
      </w:r>
    </w:p>
    <w:p w:rsidR="00CF0185" w:rsidRPr="00F27A75" w:rsidRDefault="00CF0185" w:rsidP="005D02C3">
      <w:pPr>
        <w:pStyle w:val="Paragraphedeliste"/>
        <w:numPr>
          <w:ilvl w:val="0"/>
          <w:numId w:val="110"/>
        </w:numPr>
        <w:rPr>
          <w:rFonts w:cstheme="minorHAnsi"/>
          <w:sz w:val="24"/>
          <w:szCs w:val="24"/>
        </w:rPr>
      </w:pPr>
      <w:r w:rsidRPr="00F27A75">
        <w:rPr>
          <w:rFonts w:cstheme="minorHAnsi"/>
          <w:color w:val="000000"/>
          <w:sz w:val="24"/>
          <w:szCs w:val="24"/>
        </w:rPr>
        <w:t>En  formation initiale</w:t>
      </w:r>
      <w:r w:rsidR="00D561B6">
        <w:rPr>
          <w:rFonts w:cstheme="minorHAnsi"/>
          <w:color w:val="000000"/>
          <w:sz w:val="24"/>
          <w:szCs w:val="24"/>
        </w:rPr>
        <w:t xml:space="preserve"> et continue</w:t>
      </w:r>
      <w:r w:rsidRPr="00F27A75">
        <w:rPr>
          <w:rFonts w:cstheme="minorHAnsi"/>
          <w:color w:val="000000"/>
          <w:sz w:val="24"/>
          <w:szCs w:val="24"/>
        </w:rPr>
        <w:t>, former des professionnels compétents dès leur sortie d’école et aptes à répondre aux besoins en matière de SRMNEAN</w:t>
      </w:r>
    </w:p>
    <w:p w:rsidR="00CF0185" w:rsidRPr="00F27A75" w:rsidRDefault="00CF0185" w:rsidP="005D02C3">
      <w:pPr>
        <w:pStyle w:val="Paragraphedeliste"/>
        <w:numPr>
          <w:ilvl w:val="0"/>
          <w:numId w:val="110"/>
        </w:numPr>
        <w:rPr>
          <w:rFonts w:cstheme="minorHAnsi"/>
          <w:sz w:val="24"/>
          <w:szCs w:val="24"/>
        </w:rPr>
      </w:pPr>
      <w:r w:rsidRPr="00F27A75">
        <w:rPr>
          <w:rFonts w:cstheme="minorHAnsi"/>
          <w:color w:val="000000"/>
          <w:sz w:val="24"/>
          <w:szCs w:val="24"/>
        </w:rPr>
        <w:t>Organiser le renforcement de capacités spécifiques en cours d’emploi e utilisant les méthodes les plus efficaces</w:t>
      </w:r>
    </w:p>
    <w:p w:rsidR="005C6052" w:rsidRPr="00356E7D" w:rsidRDefault="00CF0185" w:rsidP="005D02C3">
      <w:pPr>
        <w:pStyle w:val="Paragraphedeliste"/>
        <w:numPr>
          <w:ilvl w:val="0"/>
          <w:numId w:val="110"/>
        </w:numPr>
        <w:spacing w:line="240" w:lineRule="auto"/>
        <w:rPr>
          <w:color w:val="000000"/>
          <w:sz w:val="24"/>
          <w:szCs w:val="24"/>
        </w:rPr>
      </w:pPr>
      <w:r w:rsidRPr="00F27A75">
        <w:rPr>
          <w:color w:val="000000"/>
          <w:sz w:val="24"/>
          <w:szCs w:val="24"/>
        </w:rPr>
        <w:t>Assurer une gestion  équitable et efficiente des ressources humaines</w:t>
      </w:r>
    </w:p>
    <w:p w:rsidR="00DE2AE6" w:rsidRDefault="00F27A75" w:rsidP="00F27A75">
      <w:pPr>
        <w:spacing w:after="0" w:line="240" w:lineRule="auto"/>
        <w:rPr>
          <w:rFonts w:cstheme="minorHAnsi"/>
          <w:b/>
          <w:i/>
          <w:sz w:val="24"/>
          <w:szCs w:val="24"/>
        </w:rPr>
      </w:pPr>
      <w:r w:rsidRPr="00F27A75">
        <w:rPr>
          <w:rFonts w:cstheme="minorHAnsi"/>
          <w:b/>
          <w:i/>
          <w:sz w:val="24"/>
          <w:szCs w:val="24"/>
        </w:rPr>
        <w:t>Produit 7 : L</w:t>
      </w:r>
      <w:r w:rsidR="00DE2AE6">
        <w:rPr>
          <w:rFonts w:cstheme="minorHAnsi"/>
          <w:b/>
          <w:i/>
          <w:sz w:val="24"/>
          <w:szCs w:val="24"/>
        </w:rPr>
        <w:t>a disponibilité d</w:t>
      </w:r>
      <w:r w:rsidR="005C6052" w:rsidRPr="00F27A75">
        <w:rPr>
          <w:rFonts w:cstheme="minorHAnsi"/>
          <w:b/>
          <w:i/>
          <w:sz w:val="24"/>
          <w:szCs w:val="24"/>
        </w:rPr>
        <w:t xml:space="preserve">es infrastructures, </w:t>
      </w:r>
      <w:r w:rsidR="00DE2AE6">
        <w:rPr>
          <w:rFonts w:cstheme="minorHAnsi"/>
          <w:b/>
          <w:i/>
          <w:sz w:val="24"/>
          <w:szCs w:val="24"/>
        </w:rPr>
        <w:t>d</w:t>
      </w:r>
      <w:r w:rsidRPr="00F27A75">
        <w:rPr>
          <w:rFonts w:cstheme="minorHAnsi"/>
          <w:b/>
          <w:i/>
          <w:sz w:val="24"/>
          <w:szCs w:val="24"/>
        </w:rPr>
        <w:t>es équipements et</w:t>
      </w:r>
      <w:r w:rsidR="00DE2AE6">
        <w:rPr>
          <w:rFonts w:cstheme="minorHAnsi"/>
          <w:b/>
          <w:i/>
          <w:sz w:val="24"/>
          <w:szCs w:val="24"/>
        </w:rPr>
        <w:t xml:space="preserve"> de </w:t>
      </w:r>
      <w:r w:rsidRPr="00F27A75">
        <w:rPr>
          <w:rFonts w:cstheme="minorHAnsi"/>
          <w:b/>
          <w:i/>
          <w:sz w:val="24"/>
          <w:szCs w:val="24"/>
        </w:rPr>
        <w:t xml:space="preserve"> </w:t>
      </w:r>
      <w:r w:rsidR="005C6052" w:rsidRPr="00F27A75">
        <w:rPr>
          <w:rFonts w:cstheme="minorHAnsi"/>
          <w:b/>
          <w:i/>
          <w:sz w:val="24"/>
          <w:szCs w:val="24"/>
        </w:rPr>
        <w:t>la logistique pour</w:t>
      </w:r>
    </w:p>
    <w:p w:rsidR="005C6052" w:rsidRPr="00F27A75" w:rsidRDefault="00DE2AE6" w:rsidP="00F27A75">
      <w:pPr>
        <w:spacing w:after="0" w:line="240" w:lineRule="auto"/>
        <w:rPr>
          <w:rFonts w:cstheme="minorHAnsi"/>
          <w:b/>
          <w:i/>
          <w:sz w:val="24"/>
          <w:szCs w:val="24"/>
        </w:rPr>
      </w:pPr>
      <w:r>
        <w:rPr>
          <w:rFonts w:cstheme="minorHAnsi"/>
          <w:b/>
          <w:i/>
          <w:sz w:val="24"/>
          <w:szCs w:val="24"/>
        </w:rPr>
        <w:t xml:space="preserve">                  </w:t>
      </w:r>
      <w:r w:rsidR="005C6052" w:rsidRPr="00F27A75">
        <w:rPr>
          <w:rFonts w:cstheme="minorHAnsi"/>
          <w:b/>
          <w:i/>
          <w:sz w:val="24"/>
          <w:szCs w:val="24"/>
        </w:rPr>
        <w:t xml:space="preserve"> l’offre des service</w:t>
      </w:r>
      <w:r>
        <w:rPr>
          <w:rFonts w:cstheme="minorHAnsi"/>
          <w:b/>
          <w:i/>
          <w:sz w:val="24"/>
          <w:szCs w:val="24"/>
        </w:rPr>
        <w:t xml:space="preserve">s </w:t>
      </w:r>
      <w:r w:rsidR="005C6052" w:rsidRPr="00F27A75">
        <w:rPr>
          <w:rFonts w:cstheme="minorHAnsi"/>
          <w:b/>
          <w:i/>
          <w:sz w:val="24"/>
          <w:szCs w:val="24"/>
        </w:rPr>
        <w:t xml:space="preserve"> SRMNEAN </w:t>
      </w:r>
      <w:r>
        <w:rPr>
          <w:rFonts w:cstheme="minorHAnsi"/>
          <w:b/>
          <w:i/>
          <w:sz w:val="24"/>
          <w:szCs w:val="24"/>
        </w:rPr>
        <w:t>est améliorée.</w:t>
      </w:r>
    </w:p>
    <w:p w:rsidR="005C6052" w:rsidRPr="00F27A75" w:rsidRDefault="005C6052" w:rsidP="005D02C3">
      <w:pPr>
        <w:pStyle w:val="Paragraphedeliste"/>
        <w:numPr>
          <w:ilvl w:val="0"/>
          <w:numId w:val="111"/>
        </w:numPr>
        <w:rPr>
          <w:rFonts w:cstheme="minorHAnsi"/>
          <w:sz w:val="24"/>
          <w:szCs w:val="24"/>
        </w:rPr>
      </w:pPr>
      <w:r w:rsidRPr="00F27A75">
        <w:rPr>
          <w:rFonts w:cstheme="minorHAnsi"/>
          <w:color w:val="000000"/>
          <w:sz w:val="24"/>
          <w:szCs w:val="24"/>
        </w:rPr>
        <w:t>Améliorer la capacité d’accueil des maternités.</w:t>
      </w:r>
    </w:p>
    <w:p w:rsidR="005C6052" w:rsidRPr="00F27A75" w:rsidRDefault="005C6052" w:rsidP="005D02C3">
      <w:pPr>
        <w:pStyle w:val="Paragraphedeliste"/>
        <w:numPr>
          <w:ilvl w:val="0"/>
          <w:numId w:val="111"/>
        </w:numPr>
        <w:spacing w:line="240" w:lineRule="auto"/>
        <w:rPr>
          <w:rFonts w:cstheme="minorHAnsi"/>
          <w:color w:val="000000"/>
          <w:sz w:val="24"/>
          <w:szCs w:val="24"/>
        </w:rPr>
      </w:pPr>
      <w:r w:rsidRPr="00F27A75">
        <w:rPr>
          <w:rFonts w:cstheme="minorHAnsi"/>
          <w:color w:val="000000"/>
          <w:sz w:val="24"/>
          <w:szCs w:val="24"/>
        </w:rPr>
        <w:t>Renforcer les moyens d’évacuation vers les FS de référence.</w:t>
      </w:r>
    </w:p>
    <w:p w:rsidR="005C6052" w:rsidRPr="00F27A75" w:rsidRDefault="00F27A75" w:rsidP="00F27A75">
      <w:pPr>
        <w:spacing w:after="0" w:line="240" w:lineRule="auto"/>
        <w:rPr>
          <w:rFonts w:cstheme="minorHAnsi"/>
          <w:b/>
          <w:i/>
          <w:sz w:val="24"/>
          <w:szCs w:val="24"/>
        </w:rPr>
      </w:pPr>
      <w:r w:rsidRPr="00F27A75">
        <w:rPr>
          <w:rFonts w:cstheme="minorHAnsi"/>
          <w:b/>
          <w:i/>
          <w:sz w:val="24"/>
          <w:szCs w:val="24"/>
        </w:rPr>
        <w:t>Produit 8 : L</w:t>
      </w:r>
      <w:r w:rsidR="00E83B4F">
        <w:rPr>
          <w:rFonts w:cstheme="minorHAnsi"/>
          <w:b/>
          <w:i/>
          <w:sz w:val="24"/>
          <w:szCs w:val="24"/>
        </w:rPr>
        <w:t>a disponibilité continue d</w:t>
      </w:r>
      <w:r w:rsidR="005C6052" w:rsidRPr="00F27A75">
        <w:rPr>
          <w:rFonts w:cstheme="minorHAnsi"/>
          <w:b/>
          <w:i/>
          <w:sz w:val="24"/>
          <w:szCs w:val="24"/>
        </w:rPr>
        <w:t>es int</w:t>
      </w:r>
      <w:r w:rsidR="00E83B4F">
        <w:rPr>
          <w:rFonts w:cstheme="minorHAnsi"/>
          <w:b/>
          <w:i/>
          <w:sz w:val="24"/>
          <w:szCs w:val="24"/>
        </w:rPr>
        <w:t>rants de SRMNEAN est améliorée</w:t>
      </w:r>
      <w:r w:rsidR="005C6052" w:rsidRPr="00F27A75">
        <w:rPr>
          <w:rFonts w:cstheme="minorHAnsi"/>
          <w:b/>
          <w:i/>
          <w:sz w:val="24"/>
          <w:szCs w:val="24"/>
        </w:rPr>
        <w:t>.</w:t>
      </w:r>
    </w:p>
    <w:p w:rsidR="005C6052" w:rsidRPr="00F27A75" w:rsidRDefault="005C6052" w:rsidP="005D02C3">
      <w:pPr>
        <w:pStyle w:val="Paragraphedeliste"/>
        <w:numPr>
          <w:ilvl w:val="0"/>
          <w:numId w:val="112"/>
        </w:numPr>
        <w:rPr>
          <w:rFonts w:cstheme="minorHAnsi"/>
          <w:sz w:val="24"/>
          <w:szCs w:val="24"/>
        </w:rPr>
      </w:pPr>
      <w:r w:rsidRPr="00F27A75">
        <w:rPr>
          <w:rFonts w:cstheme="minorHAnsi"/>
          <w:color w:val="000000"/>
          <w:sz w:val="24"/>
          <w:szCs w:val="24"/>
        </w:rPr>
        <w:t>Assurer la disponibilité continue des intrants pour la nutrition.</w:t>
      </w:r>
    </w:p>
    <w:p w:rsidR="005C6052" w:rsidRPr="00F27A75" w:rsidRDefault="005C6052" w:rsidP="005D02C3">
      <w:pPr>
        <w:pStyle w:val="Paragraphedeliste"/>
        <w:numPr>
          <w:ilvl w:val="0"/>
          <w:numId w:val="112"/>
        </w:numPr>
        <w:spacing w:line="240" w:lineRule="auto"/>
        <w:rPr>
          <w:rFonts w:cstheme="minorHAnsi"/>
          <w:color w:val="000000"/>
          <w:sz w:val="24"/>
          <w:szCs w:val="24"/>
        </w:rPr>
      </w:pPr>
      <w:r w:rsidRPr="00F27A75">
        <w:rPr>
          <w:rFonts w:cstheme="minorHAnsi"/>
          <w:color w:val="000000"/>
          <w:sz w:val="24"/>
          <w:szCs w:val="24"/>
        </w:rPr>
        <w:t>Assurer le fonctionnement continue du  matériel médico-technique.</w:t>
      </w:r>
    </w:p>
    <w:p w:rsidR="00F27A75" w:rsidRDefault="00F27A75" w:rsidP="00356E7D">
      <w:pPr>
        <w:spacing w:after="0" w:line="240" w:lineRule="auto"/>
        <w:rPr>
          <w:rFonts w:cstheme="minorHAnsi"/>
          <w:b/>
          <w:i/>
          <w:sz w:val="24"/>
          <w:szCs w:val="24"/>
        </w:rPr>
      </w:pPr>
      <w:r w:rsidRPr="00F27A75">
        <w:rPr>
          <w:rFonts w:cstheme="minorHAnsi"/>
          <w:b/>
          <w:i/>
          <w:sz w:val="24"/>
          <w:szCs w:val="24"/>
        </w:rPr>
        <w:t xml:space="preserve">Produit </w:t>
      </w:r>
      <w:r>
        <w:rPr>
          <w:rFonts w:cstheme="minorHAnsi"/>
          <w:b/>
          <w:i/>
          <w:sz w:val="24"/>
          <w:szCs w:val="24"/>
        </w:rPr>
        <w:t>9</w:t>
      </w:r>
      <w:r w:rsidRPr="00F27A75">
        <w:rPr>
          <w:rFonts w:cstheme="minorHAnsi"/>
          <w:b/>
          <w:i/>
          <w:sz w:val="24"/>
          <w:szCs w:val="24"/>
        </w:rPr>
        <w:t xml:space="preserve"> : </w:t>
      </w:r>
      <w:r w:rsidR="005C6052" w:rsidRPr="00F27A75">
        <w:rPr>
          <w:rFonts w:cstheme="minorHAnsi"/>
          <w:b/>
          <w:i/>
          <w:sz w:val="24"/>
          <w:szCs w:val="24"/>
        </w:rPr>
        <w:t xml:space="preserve">Le financement de la santé en général  et le financement du DI-SRMNEAN-ECSV </w:t>
      </w:r>
    </w:p>
    <w:p w:rsidR="005C6052" w:rsidRPr="00F27A75" w:rsidRDefault="00F27A75" w:rsidP="00F27A75">
      <w:pPr>
        <w:spacing w:after="0" w:line="240" w:lineRule="auto"/>
        <w:rPr>
          <w:rFonts w:cstheme="minorHAnsi"/>
          <w:b/>
          <w:i/>
          <w:sz w:val="24"/>
          <w:szCs w:val="24"/>
        </w:rPr>
      </w:pPr>
      <w:r>
        <w:rPr>
          <w:rFonts w:cstheme="minorHAnsi"/>
          <w:b/>
          <w:i/>
          <w:sz w:val="24"/>
          <w:szCs w:val="24"/>
        </w:rPr>
        <w:t xml:space="preserve">                   </w:t>
      </w:r>
      <w:r w:rsidR="005C6052" w:rsidRPr="00F27A75">
        <w:rPr>
          <w:rFonts w:cstheme="minorHAnsi"/>
          <w:b/>
          <w:i/>
          <w:sz w:val="24"/>
          <w:szCs w:val="24"/>
        </w:rPr>
        <w:t>sont assurés</w:t>
      </w:r>
    </w:p>
    <w:p w:rsidR="005C6052" w:rsidRPr="00F27A75" w:rsidRDefault="005C6052" w:rsidP="005D02C3">
      <w:pPr>
        <w:pStyle w:val="Paragraphedeliste"/>
        <w:numPr>
          <w:ilvl w:val="0"/>
          <w:numId w:val="113"/>
        </w:numPr>
        <w:rPr>
          <w:rFonts w:cstheme="minorHAnsi"/>
          <w:sz w:val="24"/>
          <w:szCs w:val="24"/>
        </w:rPr>
      </w:pPr>
      <w:r w:rsidRPr="00F27A75">
        <w:rPr>
          <w:rFonts w:cstheme="minorHAnsi"/>
          <w:color w:val="000000"/>
          <w:sz w:val="24"/>
          <w:szCs w:val="24"/>
        </w:rPr>
        <w:t>Augmenter le volume des ressources financières pour financer le DI</w:t>
      </w:r>
    </w:p>
    <w:p w:rsidR="005C6052" w:rsidRPr="00F27A75" w:rsidRDefault="005C6052" w:rsidP="005D02C3">
      <w:pPr>
        <w:pStyle w:val="Paragraphedeliste"/>
        <w:numPr>
          <w:ilvl w:val="0"/>
          <w:numId w:val="113"/>
        </w:numPr>
        <w:rPr>
          <w:rFonts w:cstheme="minorHAnsi"/>
          <w:color w:val="000000"/>
          <w:sz w:val="24"/>
          <w:szCs w:val="24"/>
        </w:rPr>
      </w:pPr>
      <w:r w:rsidRPr="00F27A75">
        <w:rPr>
          <w:rFonts w:cstheme="minorHAnsi"/>
          <w:color w:val="000000"/>
          <w:sz w:val="24"/>
          <w:szCs w:val="24"/>
        </w:rPr>
        <w:t>Améliorer l’efficience dans la gestion des ressources</w:t>
      </w:r>
    </w:p>
    <w:p w:rsidR="005C6052" w:rsidRPr="00053060" w:rsidRDefault="005C6052" w:rsidP="005D02C3">
      <w:pPr>
        <w:pStyle w:val="Paragraphedeliste"/>
        <w:numPr>
          <w:ilvl w:val="0"/>
          <w:numId w:val="113"/>
        </w:numPr>
        <w:spacing w:after="240" w:line="240" w:lineRule="auto"/>
        <w:rPr>
          <w:rFonts w:cstheme="minorHAnsi"/>
          <w:color w:val="000000"/>
          <w:sz w:val="24"/>
          <w:szCs w:val="24"/>
        </w:rPr>
      </w:pPr>
      <w:r w:rsidRPr="00F27A75">
        <w:rPr>
          <w:rFonts w:cstheme="minorHAnsi"/>
          <w:color w:val="000000"/>
          <w:sz w:val="24"/>
          <w:szCs w:val="24"/>
        </w:rPr>
        <w:t>Accélérer l’extension de l’AMU</w:t>
      </w:r>
    </w:p>
    <w:p w:rsidR="00F27A75" w:rsidRPr="00E640E2" w:rsidRDefault="00F27A75" w:rsidP="00FD6406">
      <w:pPr>
        <w:pStyle w:val="Normal1"/>
        <w:ind w:left="284"/>
        <w:jc w:val="both"/>
        <w:rPr>
          <w:rFonts w:asciiTheme="majorHAnsi" w:hAnsiTheme="majorHAnsi" w:cstheme="majorHAnsi"/>
          <w:sz w:val="24"/>
          <w:szCs w:val="24"/>
        </w:rPr>
      </w:pPr>
      <w:r w:rsidRPr="00E640E2">
        <w:rPr>
          <w:rFonts w:asciiTheme="majorHAnsi" w:hAnsiTheme="majorHAnsi" w:cstheme="majorHAnsi"/>
          <w:sz w:val="24"/>
          <w:szCs w:val="24"/>
        </w:rPr>
        <w:t>Pour réaliser le deuxième effet, il s’agira de mener des actions pour lever les goulots d’étranglement au niveau du pilotage du secteur.  Les principales causes de goulots d’étranglement, mis en évidence par l’analyse EQUIST, étaient principalement</w:t>
      </w:r>
      <w:r w:rsidR="00356E7D" w:rsidRPr="00E640E2">
        <w:rPr>
          <w:rFonts w:asciiTheme="majorHAnsi" w:hAnsiTheme="majorHAnsi" w:cstheme="majorHAnsi"/>
          <w:sz w:val="24"/>
          <w:szCs w:val="24"/>
        </w:rPr>
        <w:t> :</w:t>
      </w:r>
    </w:p>
    <w:p w:rsidR="005C6052" w:rsidRPr="00FD6406" w:rsidRDefault="00F27A75" w:rsidP="00FD6406">
      <w:pPr>
        <w:pStyle w:val="Normal1"/>
        <w:spacing w:after="0"/>
        <w:ind w:left="284"/>
        <w:jc w:val="both"/>
        <w:rPr>
          <w:rFonts w:asciiTheme="majorHAnsi" w:hAnsiTheme="majorHAnsi" w:cstheme="majorHAnsi"/>
          <w:b/>
          <w:i/>
          <w:sz w:val="24"/>
          <w:szCs w:val="24"/>
        </w:rPr>
      </w:pPr>
      <w:r w:rsidRPr="00FD6406">
        <w:rPr>
          <w:rFonts w:asciiTheme="majorHAnsi" w:hAnsiTheme="majorHAnsi" w:cstheme="majorHAnsi"/>
          <w:b/>
          <w:i/>
          <w:sz w:val="24"/>
          <w:szCs w:val="24"/>
        </w:rPr>
        <w:t xml:space="preserve">Produit 10 : </w:t>
      </w:r>
      <w:r w:rsidR="005C6052" w:rsidRPr="00FD6406">
        <w:rPr>
          <w:rFonts w:asciiTheme="majorHAnsi" w:hAnsiTheme="majorHAnsi" w:cstheme="majorHAnsi"/>
          <w:b/>
          <w:i/>
          <w:sz w:val="24"/>
          <w:szCs w:val="24"/>
        </w:rPr>
        <w:t>L’information sanitaire est renforcée pour une meilleure prise de décision</w:t>
      </w:r>
    </w:p>
    <w:p w:rsidR="005C6052" w:rsidRPr="00E640E2" w:rsidRDefault="005C6052" w:rsidP="00FD6406">
      <w:pPr>
        <w:pStyle w:val="Normal1"/>
        <w:numPr>
          <w:ilvl w:val="0"/>
          <w:numId w:val="138"/>
        </w:numPr>
        <w:spacing w:after="0"/>
        <w:jc w:val="both"/>
        <w:rPr>
          <w:rFonts w:asciiTheme="majorHAnsi" w:hAnsiTheme="majorHAnsi" w:cstheme="majorHAnsi"/>
          <w:sz w:val="24"/>
          <w:szCs w:val="24"/>
        </w:rPr>
      </w:pPr>
      <w:r w:rsidRPr="00E640E2">
        <w:rPr>
          <w:rFonts w:asciiTheme="majorHAnsi" w:hAnsiTheme="majorHAnsi" w:cstheme="majorHAnsi"/>
          <w:sz w:val="24"/>
          <w:szCs w:val="24"/>
        </w:rPr>
        <w:t>Améliorer la production et la diffusion de l’information sanitaire par le SNIS</w:t>
      </w:r>
    </w:p>
    <w:p w:rsidR="005C6052" w:rsidRPr="00E640E2" w:rsidRDefault="005C6052" w:rsidP="00FD6406">
      <w:pPr>
        <w:pStyle w:val="Normal1"/>
        <w:numPr>
          <w:ilvl w:val="0"/>
          <w:numId w:val="138"/>
        </w:numPr>
        <w:spacing w:after="0"/>
        <w:jc w:val="both"/>
        <w:rPr>
          <w:rFonts w:asciiTheme="majorHAnsi" w:hAnsiTheme="majorHAnsi" w:cstheme="majorHAnsi"/>
          <w:sz w:val="24"/>
          <w:szCs w:val="24"/>
        </w:rPr>
      </w:pPr>
      <w:r w:rsidRPr="00E640E2">
        <w:rPr>
          <w:rFonts w:asciiTheme="majorHAnsi" w:hAnsiTheme="majorHAnsi" w:cstheme="majorHAnsi"/>
          <w:sz w:val="24"/>
          <w:szCs w:val="24"/>
        </w:rPr>
        <w:t>Renforcer la recherche pour la santé</w:t>
      </w:r>
    </w:p>
    <w:p w:rsidR="00F27A75" w:rsidRPr="005E75A7" w:rsidRDefault="00F27A75" w:rsidP="00356E7D">
      <w:pPr>
        <w:spacing w:after="0" w:line="240" w:lineRule="auto"/>
        <w:rPr>
          <w:rFonts w:asciiTheme="majorHAnsi" w:hAnsiTheme="majorHAnsi" w:cstheme="majorHAnsi"/>
          <w:b/>
          <w:i/>
          <w:sz w:val="24"/>
          <w:szCs w:val="24"/>
        </w:rPr>
      </w:pPr>
      <w:r w:rsidRPr="005E75A7">
        <w:rPr>
          <w:rFonts w:asciiTheme="majorHAnsi" w:hAnsiTheme="majorHAnsi" w:cstheme="majorHAnsi"/>
          <w:b/>
          <w:i/>
          <w:sz w:val="24"/>
          <w:szCs w:val="24"/>
        </w:rPr>
        <w:t xml:space="preserve">Produit 11 : </w:t>
      </w:r>
      <w:r w:rsidR="005C6052" w:rsidRPr="005E75A7">
        <w:rPr>
          <w:rFonts w:asciiTheme="majorHAnsi" w:hAnsiTheme="majorHAnsi" w:cstheme="majorHAnsi"/>
          <w:b/>
          <w:i/>
          <w:sz w:val="24"/>
          <w:szCs w:val="24"/>
        </w:rPr>
        <w:t>L’enregistrement des faits d’état civil et la production des statistiques vitales</w:t>
      </w:r>
    </w:p>
    <w:p w:rsidR="005C6052" w:rsidRPr="005E75A7" w:rsidRDefault="00F27A75" w:rsidP="00F27A75">
      <w:pPr>
        <w:spacing w:after="0" w:line="240" w:lineRule="auto"/>
        <w:rPr>
          <w:rFonts w:asciiTheme="majorHAnsi" w:hAnsiTheme="majorHAnsi" w:cstheme="majorHAnsi"/>
          <w:b/>
          <w:i/>
          <w:sz w:val="24"/>
          <w:szCs w:val="24"/>
        </w:rPr>
      </w:pPr>
      <w:r w:rsidRPr="005E75A7">
        <w:rPr>
          <w:rFonts w:asciiTheme="majorHAnsi" w:hAnsiTheme="majorHAnsi" w:cstheme="majorHAnsi"/>
          <w:b/>
          <w:i/>
          <w:sz w:val="24"/>
          <w:szCs w:val="24"/>
        </w:rPr>
        <w:t xml:space="preserve">                  </w:t>
      </w:r>
      <w:r w:rsidR="005C6052" w:rsidRPr="005E75A7">
        <w:rPr>
          <w:rFonts w:asciiTheme="majorHAnsi" w:hAnsiTheme="majorHAnsi" w:cstheme="majorHAnsi"/>
          <w:b/>
          <w:i/>
          <w:sz w:val="24"/>
          <w:szCs w:val="24"/>
        </w:rPr>
        <w:t xml:space="preserve"> </w:t>
      </w:r>
      <w:r w:rsidRPr="005E75A7">
        <w:rPr>
          <w:rFonts w:asciiTheme="majorHAnsi" w:hAnsiTheme="majorHAnsi" w:cstheme="majorHAnsi"/>
          <w:b/>
          <w:i/>
          <w:sz w:val="24"/>
          <w:szCs w:val="24"/>
        </w:rPr>
        <w:t xml:space="preserve">  </w:t>
      </w:r>
      <w:r w:rsidR="005C6052" w:rsidRPr="005E75A7">
        <w:rPr>
          <w:rFonts w:asciiTheme="majorHAnsi" w:hAnsiTheme="majorHAnsi" w:cstheme="majorHAnsi"/>
          <w:b/>
          <w:i/>
          <w:sz w:val="24"/>
          <w:szCs w:val="24"/>
        </w:rPr>
        <w:t>sont améliorés.</w:t>
      </w:r>
    </w:p>
    <w:p w:rsidR="005C6052" w:rsidRPr="005E75A7" w:rsidRDefault="005C6052" w:rsidP="005D02C3">
      <w:pPr>
        <w:pStyle w:val="Paragraphedeliste"/>
        <w:numPr>
          <w:ilvl w:val="0"/>
          <w:numId w:val="115"/>
        </w:numPr>
        <w:rPr>
          <w:rFonts w:asciiTheme="majorHAnsi" w:hAnsiTheme="majorHAnsi" w:cstheme="majorHAnsi"/>
          <w:sz w:val="24"/>
          <w:szCs w:val="24"/>
        </w:rPr>
      </w:pPr>
      <w:r w:rsidRPr="005E75A7">
        <w:rPr>
          <w:rFonts w:asciiTheme="majorHAnsi" w:hAnsiTheme="majorHAnsi" w:cstheme="majorHAnsi"/>
          <w:color w:val="000000"/>
          <w:sz w:val="24"/>
          <w:szCs w:val="24"/>
        </w:rPr>
        <w:t>Renforcer la capacité des centres d’enregistrement de l’EC </w:t>
      </w:r>
    </w:p>
    <w:p w:rsidR="005C6052" w:rsidRPr="005E75A7" w:rsidRDefault="005C6052" w:rsidP="005D02C3">
      <w:pPr>
        <w:pStyle w:val="Paragraphedeliste"/>
        <w:numPr>
          <w:ilvl w:val="0"/>
          <w:numId w:val="115"/>
        </w:numPr>
        <w:rPr>
          <w:rFonts w:asciiTheme="majorHAnsi" w:hAnsiTheme="majorHAnsi" w:cstheme="majorHAnsi"/>
          <w:sz w:val="24"/>
          <w:szCs w:val="24"/>
        </w:rPr>
      </w:pPr>
      <w:r w:rsidRPr="005E75A7">
        <w:rPr>
          <w:rFonts w:asciiTheme="majorHAnsi" w:hAnsiTheme="majorHAnsi" w:cstheme="majorHAnsi"/>
          <w:color w:val="000000"/>
          <w:sz w:val="24"/>
          <w:szCs w:val="24"/>
        </w:rPr>
        <w:t>Améliorer la coordination</w:t>
      </w:r>
    </w:p>
    <w:p w:rsidR="005C6052" w:rsidRPr="005E75A7" w:rsidRDefault="005C6052" w:rsidP="005D02C3">
      <w:pPr>
        <w:pStyle w:val="Paragraphedeliste"/>
        <w:numPr>
          <w:ilvl w:val="0"/>
          <w:numId w:val="115"/>
        </w:numPr>
        <w:spacing w:line="240" w:lineRule="auto"/>
        <w:rPr>
          <w:rFonts w:asciiTheme="majorHAnsi" w:hAnsiTheme="majorHAnsi" w:cstheme="majorHAnsi"/>
          <w:color w:val="000000"/>
          <w:sz w:val="24"/>
          <w:szCs w:val="24"/>
        </w:rPr>
      </w:pPr>
      <w:r w:rsidRPr="005E75A7">
        <w:rPr>
          <w:rFonts w:asciiTheme="majorHAnsi" w:hAnsiTheme="majorHAnsi" w:cstheme="majorHAnsi"/>
          <w:color w:val="000000"/>
          <w:sz w:val="24"/>
          <w:szCs w:val="24"/>
        </w:rPr>
        <w:t>Assurer la promotion de l’utilisation des services d’état civil et statistiques vitales</w:t>
      </w:r>
    </w:p>
    <w:p w:rsidR="00457047" w:rsidRDefault="00053060" w:rsidP="00356E7D">
      <w:pPr>
        <w:tabs>
          <w:tab w:val="left" w:pos="383"/>
        </w:tabs>
        <w:spacing w:after="0" w:line="240" w:lineRule="auto"/>
        <w:rPr>
          <w:rFonts w:asciiTheme="majorHAnsi" w:hAnsiTheme="majorHAnsi" w:cstheme="majorHAnsi"/>
          <w:b/>
          <w:i/>
          <w:color w:val="000000"/>
          <w:sz w:val="24"/>
          <w:szCs w:val="24"/>
        </w:rPr>
      </w:pPr>
      <w:r w:rsidRPr="00457047">
        <w:rPr>
          <w:rFonts w:asciiTheme="majorHAnsi" w:hAnsiTheme="majorHAnsi" w:cstheme="majorHAnsi"/>
          <w:b/>
          <w:i/>
          <w:sz w:val="24"/>
          <w:szCs w:val="24"/>
        </w:rPr>
        <w:t>Produit 12</w:t>
      </w:r>
      <w:r w:rsidR="00F27A75" w:rsidRPr="00457047">
        <w:rPr>
          <w:rFonts w:asciiTheme="majorHAnsi" w:hAnsiTheme="majorHAnsi" w:cstheme="majorHAnsi"/>
          <w:b/>
          <w:i/>
          <w:sz w:val="24"/>
          <w:szCs w:val="24"/>
        </w:rPr>
        <w:t xml:space="preserve"> : </w:t>
      </w:r>
      <w:r w:rsidR="00457047" w:rsidRPr="00457047">
        <w:rPr>
          <w:rFonts w:asciiTheme="majorHAnsi" w:hAnsiTheme="majorHAnsi" w:cstheme="majorHAnsi"/>
          <w:b/>
          <w:i/>
          <w:color w:val="000000"/>
          <w:sz w:val="24"/>
          <w:szCs w:val="24"/>
        </w:rPr>
        <w:t xml:space="preserve">La coordination des actions intra et intersectorielles en faveur de la santé et de </w:t>
      </w:r>
    </w:p>
    <w:p w:rsidR="00457047" w:rsidRPr="00457047" w:rsidRDefault="00457047" w:rsidP="00457047">
      <w:pPr>
        <w:tabs>
          <w:tab w:val="left" w:pos="383"/>
        </w:tabs>
        <w:spacing w:after="0" w:line="240" w:lineRule="auto"/>
        <w:rPr>
          <w:b/>
          <w:color w:val="000000"/>
        </w:rPr>
      </w:pPr>
      <w:r>
        <w:rPr>
          <w:rFonts w:asciiTheme="majorHAnsi" w:hAnsiTheme="majorHAnsi" w:cstheme="majorHAnsi"/>
          <w:b/>
          <w:i/>
          <w:color w:val="000000"/>
          <w:sz w:val="24"/>
          <w:szCs w:val="24"/>
        </w:rPr>
        <w:t xml:space="preserve">                     </w:t>
      </w:r>
      <w:r w:rsidRPr="00457047">
        <w:rPr>
          <w:rFonts w:asciiTheme="majorHAnsi" w:hAnsiTheme="majorHAnsi" w:cstheme="majorHAnsi"/>
          <w:b/>
          <w:i/>
          <w:color w:val="000000"/>
          <w:sz w:val="24"/>
          <w:szCs w:val="24"/>
        </w:rPr>
        <w:t>ses déterminants</w:t>
      </w:r>
      <w:r w:rsidRPr="00457047">
        <w:rPr>
          <w:rFonts w:asciiTheme="majorHAnsi" w:hAnsiTheme="majorHAnsi" w:cstheme="majorHAnsi"/>
          <w:b/>
          <w:i/>
          <w:sz w:val="24"/>
          <w:szCs w:val="24"/>
        </w:rPr>
        <w:t xml:space="preserve"> est améliorée.</w:t>
      </w:r>
    </w:p>
    <w:p w:rsidR="00457047" w:rsidRPr="00457047" w:rsidRDefault="00457047" w:rsidP="005D02C3">
      <w:pPr>
        <w:pStyle w:val="Paragraphedeliste"/>
        <w:numPr>
          <w:ilvl w:val="0"/>
          <w:numId w:val="117"/>
        </w:numPr>
        <w:spacing w:line="240" w:lineRule="auto"/>
        <w:rPr>
          <w:rFonts w:asciiTheme="majorHAnsi" w:hAnsiTheme="majorHAnsi" w:cstheme="majorHAnsi"/>
          <w:sz w:val="24"/>
          <w:szCs w:val="24"/>
        </w:rPr>
      </w:pPr>
      <w:r w:rsidRPr="00457047">
        <w:rPr>
          <w:rFonts w:asciiTheme="majorHAnsi" w:hAnsiTheme="majorHAnsi" w:cstheme="majorHAnsi"/>
          <w:color w:val="000000"/>
          <w:sz w:val="24"/>
          <w:szCs w:val="24"/>
        </w:rPr>
        <w:t>Améliorer la coordination des acteurs de la SRMNEAN</w:t>
      </w:r>
    </w:p>
    <w:p w:rsidR="00457047" w:rsidRPr="00457047" w:rsidRDefault="00457047" w:rsidP="005D02C3">
      <w:pPr>
        <w:pStyle w:val="Paragraphedeliste"/>
        <w:numPr>
          <w:ilvl w:val="0"/>
          <w:numId w:val="117"/>
        </w:numPr>
        <w:spacing w:line="240" w:lineRule="auto"/>
        <w:rPr>
          <w:rFonts w:asciiTheme="majorHAnsi" w:hAnsiTheme="majorHAnsi" w:cstheme="majorHAnsi"/>
          <w:sz w:val="24"/>
          <w:szCs w:val="24"/>
        </w:rPr>
      </w:pPr>
      <w:r w:rsidRPr="00457047">
        <w:rPr>
          <w:rFonts w:asciiTheme="majorHAnsi" w:hAnsiTheme="majorHAnsi" w:cstheme="majorHAnsi"/>
          <w:color w:val="000000"/>
          <w:sz w:val="24"/>
          <w:szCs w:val="24"/>
        </w:rPr>
        <w:t>Renforcer les activités WASH</w:t>
      </w:r>
    </w:p>
    <w:p w:rsidR="00457047" w:rsidRPr="00457047" w:rsidRDefault="00457047" w:rsidP="005D02C3">
      <w:pPr>
        <w:pStyle w:val="Paragraphedeliste"/>
        <w:numPr>
          <w:ilvl w:val="0"/>
          <w:numId w:val="116"/>
        </w:numPr>
        <w:spacing w:line="240" w:lineRule="auto"/>
        <w:rPr>
          <w:rFonts w:asciiTheme="majorHAnsi" w:hAnsiTheme="majorHAnsi" w:cstheme="majorHAnsi"/>
          <w:sz w:val="24"/>
          <w:szCs w:val="24"/>
        </w:rPr>
      </w:pPr>
      <w:r w:rsidRPr="00457047">
        <w:rPr>
          <w:rFonts w:asciiTheme="majorHAnsi" w:hAnsiTheme="majorHAnsi" w:cstheme="majorHAnsi"/>
          <w:color w:val="000000"/>
          <w:sz w:val="24"/>
          <w:szCs w:val="24"/>
        </w:rPr>
        <w:t>Renforcer les activités intersectorielles en faveur de la nutrition.</w:t>
      </w:r>
    </w:p>
    <w:p w:rsidR="005C6052" w:rsidRDefault="005C6052" w:rsidP="005C6052">
      <w:pPr>
        <w:spacing w:after="0" w:line="240" w:lineRule="auto"/>
        <w:rPr>
          <w:rFonts w:cstheme="minorHAnsi"/>
          <w:sz w:val="24"/>
          <w:szCs w:val="24"/>
        </w:rPr>
      </w:pPr>
    </w:p>
    <w:p w:rsidR="00B852A4" w:rsidRDefault="00590B8F" w:rsidP="000A21AA">
      <w:pPr>
        <w:spacing w:after="0"/>
        <w:jc w:val="both"/>
        <w:rPr>
          <w:rFonts w:cstheme="minorHAnsi"/>
          <w:sz w:val="24"/>
          <w:szCs w:val="24"/>
        </w:rPr>
      </w:pPr>
      <w:r>
        <w:rPr>
          <w:rFonts w:cstheme="minorHAnsi"/>
          <w:sz w:val="24"/>
          <w:szCs w:val="24"/>
        </w:rPr>
        <w:t>L</w:t>
      </w:r>
      <w:r w:rsidR="00D54437">
        <w:rPr>
          <w:rFonts w:cstheme="minorHAnsi"/>
          <w:sz w:val="24"/>
          <w:szCs w:val="24"/>
        </w:rPr>
        <w:t>a description du processus de changement à travers la figure</w:t>
      </w:r>
      <w:r>
        <w:rPr>
          <w:rFonts w:cstheme="minorHAnsi"/>
          <w:sz w:val="24"/>
          <w:szCs w:val="24"/>
        </w:rPr>
        <w:t xml:space="preserve"> 33 met en évidence</w:t>
      </w:r>
      <w:r w:rsidR="00D54437">
        <w:rPr>
          <w:rFonts w:cstheme="minorHAnsi"/>
          <w:sz w:val="24"/>
          <w:szCs w:val="24"/>
        </w:rPr>
        <w:t xml:space="preserve"> des relations complexes entre les 12 produits</w:t>
      </w:r>
      <w:r w:rsidR="00B852A4">
        <w:rPr>
          <w:rFonts w:cstheme="minorHAnsi"/>
          <w:sz w:val="24"/>
          <w:szCs w:val="24"/>
        </w:rPr>
        <w:t>.</w:t>
      </w:r>
    </w:p>
    <w:p w:rsidR="00D54437" w:rsidRDefault="00B852A4" w:rsidP="000A21AA">
      <w:pPr>
        <w:spacing w:after="0"/>
        <w:jc w:val="both"/>
        <w:rPr>
          <w:rFonts w:cstheme="minorHAnsi"/>
          <w:sz w:val="24"/>
          <w:szCs w:val="24"/>
        </w:rPr>
      </w:pPr>
      <w:r>
        <w:rPr>
          <w:rFonts w:cstheme="minorHAnsi"/>
          <w:sz w:val="24"/>
          <w:szCs w:val="24"/>
        </w:rPr>
        <w:t xml:space="preserve">Le financement du DI-SRMNEAN-ECSV et la disponibilité du personnel qualifié </w:t>
      </w:r>
      <w:r w:rsidR="00590B8F">
        <w:rPr>
          <w:rFonts w:cstheme="minorHAnsi"/>
          <w:sz w:val="24"/>
          <w:szCs w:val="24"/>
        </w:rPr>
        <w:t xml:space="preserve">sont en amont dans le processus parce que ces 2 produits </w:t>
      </w:r>
      <w:r>
        <w:rPr>
          <w:rFonts w:cstheme="minorHAnsi"/>
          <w:sz w:val="24"/>
          <w:szCs w:val="24"/>
        </w:rPr>
        <w:t>apparaissent comme deux conditions pour la réalisation de tous les autres produits.</w:t>
      </w:r>
      <w:r w:rsidR="00D54437">
        <w:rPr>
          <w:rFonts w:cstheme="minorHAnsi"/>
          <w:sz w:val="24"/>
          <w:szCs w:val="24"/>
        </w:rPr>
        <w:t xml:space="preserve"> </w:t>
      </w:r>
    </w:p>
    <w:p w:rsidR="00590B8F" w:rsidRDefault="00590B8F" w:rsidP="007639AF">
      <w:pPr>
        <w:spacing w:after="0"/>
        <w:jc w:val="both"/>
        <w:rPr>
          <w:rFonts w:cstheme="minorHAnsi"/>
          <w:sz w:val="24"/>
          <w:szCs w:val="24"/>
        </w:rPr>
      </w:pPr>
      <w:r w:rsidRPr="000A21AA">
        <w:rPr>
          <w:rFonts w:cstheme="minorHAnsi"/>
          <w:sz w:val="24"/>
          <w:szCs w:val="24"/>
        </w:rPr>
        <w:t>La disponibilité d</w:t>
      </w:r>
      <w:r w:rsidR="00481D7F" w:rsidRPr="000A21AA">
        <w:rPr>
          <w:rFonts w:cstheme="minorHAnsi"/>
          <w:sz w:val="24"/>
          <w:szCs w:val="24"/>
        </w:rPr>
        <w:t>es infrastructures, équipements et de la logistique pour l’offre des services SRMNEAN</w:t>
      </w:r>
      <w:r w:rsidRPr="000A21AA">
        <w:rPr>
          <w:rFonts w:cstheme="minorHAnsi"/>
          <w:sz w:val="24"/>
          <w:szCs w:val="24"/>
        </w:rPr>
        <w:t xml:space="preserve"> et la disponibilité continue des intrants de SRMNEAN </w:t>
      </w:r>
      <w:r w:rsidR="000A21AA" w:rsidRPr="000A21AA">
        <w:rPr>
          <w:rFonts w:cstheme="minorHAnsi"/>
          <w:sz w:val="24"/>
          <w:szCs w:val="24"/>
        </w:rPr>
        <w:t xml:space="preserve">sont des conditions pour </w:t>
      </w:r>
      <w:r w:rsidR="000A21AA">
        <w:rPr>
          <w:rFonts w:cstheme="minorHAnsi"/>
          <w:sz w:val="24"/>
          <w:szCs w:val="24"/>
        </w:rPr>
        <w:t xml:space="preserve">la réalisation de trois produits : </w:t>
      </w:r>
      <w:r w:rsidR="000A21AA" w:rsidRPr="000A21AA">
        <w:rPr>
          <w:rFonts w:cstheme="minorHAnsi"/>
          <w:sz w:val="24"/>
          <w:szCs w:val="24"/>
        </w:rPr>
        <w:t>la disponibilité d</w:t>
      </w:r>
      <w:r w:rsidRPr="000A21AA">
        <w:rPr>
          <w:rFonts w:cstheme="minorHAnsi"/>
          <w:sz w:val="24"/>
          <w:szCs w:val="24"/>
        </w:rPr>
        <w:t>es services de vaccination même pour les populatio</w:t>
      </w:r>
      <w:r w:rsidR="000A21AA" w:rsidRPr="000A21AA">
        <w:rPr>
          <w:rFonts w:cstheme="minorHAnsi"/>
          <w:sz w:val="24"/>
          <w:szCs w:val="24"/>
        </w:rPr>
        <w:t>ns des zones  d’accès difficile, le renforcement de l’approche santé communautaire et l</w:t>
      </w:r>
      <w:r w:rsidRPr="000A21AA">
        <w:rPr>
          <w:rFonts w:cstheme="minorHAnsi"/>
          <w:sz w:val="24"/>
          <w:szCs w:val="24"/>
        </w:rPr>
        <w:t>a qualité des services de SRMNEAN, centrée sur la personne et la sécurité du patient.</w:t>
      </w:r>
    </w:p>
    <w:p w:rsidR="000A21AA" w:rsidRPr="000A21AA" w:rsidRDefault="000A21AA" w:rsidP="007639AF">
      <w:pPr>
        <w:spacing w:after="0"/>
        <w:jc w:val="both"/>
        <w:rPr>
          <w:rFonts w:cstheme="minorHAnsi"/>
          <w:sz w:val="24"/>
          <w:szCs w:val="24"/>
        </w:rPr>
      </w:pPr>
      <w:r w:rsidRPr="000A21AA">
        <w:rPr>
          <w:rFonts w:cstheme="minorHAnsi"/>
          <w:sz w:val="24"/>
          <w:szCs w:val="24"/>
        </w:rPr>
        <w:t>Ces trois produits sont des conditions pour réaliser l’amélioration de la  couverture de l’offre intégrée et de qualité du paquet de services SRMNEAN à haut impact  et l’accroissement de la demande équitable de services de SRMNEAN.</w:t>
      </w:r>
      <w:r>
        <w:rPr>
          <w:rFonts w:cstheme="minorHAnsi"/>
          <w:sz w:val="24"/>
          <w:szCs w:val="24"/>
        </w:rPr>
        <w:t xml:space="preserve"> C’est la conjugaison d’une meilleure couverture par les services de SRMNEAN et d’un accroissement de la demande qui conduiront à l’effet 1 à savoir une plus grande utilisation des services de SRMNEAN.</w:t>
      </w:r>
      <w:r w:rsidRPr="000A21AA">
        <w:rPr>
          <w:rFonts w:cstheme="minorHAnsi"/>
          <w:sz w:val="24"/>
          <w:szCs w:val="24"/>
        </w:rPr>
        <w:t xml:space="preserve"> </w:t>
      </w:r>
    </w:p>
    <w:p w:rsidR="008C289F" w:rsidRDefault="000A21AA" w:rsidP="00FD5086">
      <w:pPr>
        <w:jc w:val="both"/>
        <w:rPr>
          <w:rFonts w:cstheme="minorHAnsi"/>
          <w:sz w:val="24"/>
          <w:szCs w:val="24"/>
        </w:rPr>
        <w:sectPr w:rsidR="008C289F" w:rsidSect="003339F3">
          <w:pgSz w:w="11906" w:h="16838"/>
          <w:pgMar w:top="1417" w:right="1417" w:bottom="1417" w:left="1417" w:header="708" w:footer="708" w:gutter="0"/>
          <w:cols w:space="708"/>
          <w:docGrid w:linePitch="360"/>
        </w:sectPr>
      </w:pPr>
      <w:r>
        <w:rPr>
          <w:rFonts w:cstheme="minorHAnsi"/>
          <w:sz w:val="24"/>
          <w:szCs w:val="24"/>
        </w:rPr>
        <w:t xml:space="preserve"> </w:t>
      </w:r>
    </w:p>
    <w:tbl>
      <w:tblPr>
        <w:tblStyle w:val="Grilledutableau"/>
        <w:tblW w:w="14567" w:type="dxa"/>
        <w:tblLayout w:type="fixed"/>
        <w:tblLook w:val="04A0" w:firstRow="1" w:lastRow="0" w:firstColumn="1" w:lastColumn="0" w:noHBand="0" w:noVBand="1"/>
      </w:tblPr>
      <w:tblGrid>
        <w:gridCol w:w="10031"/>
        <w:gridCol w:w="425"/>
        <w:gridCol w:w="1985"/>
        <w:gridCol w:w="425"/>
        <w:gridCol w:w="1701"/>
      </w:tblGrid>
      <w:tr w:rsidR="008C289F" w:rsidRPr="0055420C" w:rsidTr="00671B58">
        <w:tc>
          <w:tcPr>
            <w:tcW w:w="10031" w:type="dxa"/>
            <w:tcBorders>
              <w:right w:val="nil"/>
            </w:tcBorders>
            <w:shd w:val="clear" w:color="auto" w:fill="EAF1DD" w:themeFill="accent3" w:themeFillTint="33"/>
          </w:tcPr>
          <w:p w:rsidR="008C289F" w:rsidRPr="0055420C" w:rsidRDefault="004B0495" w:rsidP="00671B58">
            <w:pPr>
              <w:jc w:val="center"/>
              <w:rPr>
                <w:rFonts w:cstheme="minorHAnsi"/>
                <w:b/>
                <w:color w:val="000000" w:themeColor="text1"/>
                <w:sz w:val="24"/>
                <w:szCs w:val="24"/>
              </w:rPr>
            </w:pPr>
            <w:r>
              <w:rPr>
                <w:rFonts w:cstheme="minorHAnsi"/>
                <w:b/>
                <w:noProof/>
                <w:color w:val="000000" w:themeColor="text1"/>
                <w:sz w:val="24"/>
                <w:szCs w:val="24"/>
              </w:rPr>
              <mc:AlternateContent>
                <mc:Choice Requires="wps">
                  <w:drawing>
                    <wp:anchor distT="0" distB="0" distL="114300" distR="114300" simplePos="0" relativeHeight="251701760" behindDoc="0" locked="0" layoutInCell="1" allowOverlap="1">
                      <wp:simplePos x="0" y="0"/>
                      <wp:positionH relativeFrom="column">
                        <wp:posOffset>-90170</wp:posOffset>
                      </wp:positionH>
                      <wp:positionV relativeFrom="paragraph">
                        <wp:posOffset>-315595</wp:posOffset>
                      </wp:positionV>
                      <wp:extent cx="9258300" cy="266700"/>
                      <wp:effectExtent l="5080" t="8255" r="13970" b="10795"/>
                      <wp:wrapNone/>
                      <wp:docPr id="196" name="AutoShap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58300" cy="266700"/>
                              </a:xfrm>
                              <a:prstGeom prst="roundRect">
                                <a:avLst>
                                  <a:gd name="adj" fmla="val 16667"/>
                                </a:avLst>
                              </a:prstGeom>
                              <a:solidFill>
                                <a:schemeClr val="accent1">
                                  <a:lumMod val="20000"/>
                                  <a:lumOff val="80000"/>
                                </a:schemeClr>
                              </a:solidFill>
                              <a:ln w="9525">
                                <a:solidFill>
                                  <a:srgbClr val="000000"/>
                                </a:solidFill>
                                <a:round/>
                                <a:headEnd/>
                                <a:tailEnd/>
                              </a:ln>
                            </wps:spPr>
                            <wps:txbx>
                              <w:txbxContent>
                                <w:p w:rsidR="00611E16" w:rsidRPr="00AB0552" w:rsidRDefault="00611E16" w:rsidP="008C289F">
                                  <w:pPr>
                                    <w:rPr>
                                      <w:b/>
                                    </w:rPr>
                                  </w:pPr>
                                  <w:r>
                                    <w:rPr>
                                      <w:b/>
                                    </w:rPr>
                                    <w:t>Figure 33</w:t>
                                  </w:r>
                                  <w:r w:rsidRPr="00AB0552">
                                    <w:rPr>
                                      <w:b/>
                                    </w:rPr>
                                    <w:t> : THEORIE DU CHANGEMENT (SCHEMA) – DI SRMNEAN-ECSV BURKINA FASO</w:t>
                                  </w:r>
                                </w:p>
                                <w:p w:rsidR="00611E16" w:rsidRPr="0055420C" w:rsidRDefault="00611E16" w:rsidP="008C289F">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99" o:spid="_x0000_s1043" style="position:absolute;left:0;text-align:left;margin-left:-7.1pt;margin-top:-24.85pt;width:729pt;height:21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" fillcolor="#dbe5f1 [660]">
                      <v:textbox>
                        <w:txbxContent>
                          <w:p w:rsidR="00611E16" w:rsidRPr="00AB0552" w:rsidRDefault="00611E16" w:rsidP="008C289F">
                            <w:pPr>
                              <w:rPr>
                                <w:b/>
                              </w:rPr>
                            </w:pPr>
                            <w:r>
                              <w:rPr>
                                <w:b/>
                              </w:rPr>
                              <w:t>Figure 33</w:t>
                            </w:r>
                            <w:r w:rsidRPr="00AB0552">
                              <w:rPr>
                                <w:b/>
                              </w:rPr>
                              <w:t> : THEORIE DU CHANGEMENT (SCHEMA) – DI SRMNEAN-ECSV BURKINA FASO</w:t>
                            </w:r>
                          </w:p>
                          <w:p w:rsidR="00611E16" w:rsidRPr="0055420C" w:rsidRDefault="00611E16" w:rsidP="008C289F">
                            <w:pPr>
                              <w:rPr>
                                <w:sz w:val="20"/>
                                <w:szCs w:val="20"/>
                              </w:rPr>
                            </w:pPr>
                          </w:p>
                        </w:txbxContent>
                      </v:textbox>
                    </v:roundrect>
                  </w:pict>
                </mc:Fallback>
              </mc:AlternateContent>
            </w:r>
            <w:r w:rsidR="008C289F" w:rsidRPr="0055420C">
              <w:rPr>
                <w:rFonts w:cstheme="minorHAnsi"/>
                <w:b/>
                <w:color w:val="000000" w:themeColor="text1"/>
                <w:sz w:val="24"/>
                <w:szCs w:val="24"/>
              </w:rPr>
              <w:t>PRODUITS</w:t>
            </w:r>
          </w:p>
        </w:tc>
        <w:tc>
          <w:tcPr>
            <w:tcW w:w="425" w:type="dxa"/>
            <w:tcBorders>
              <w:left w:val="nil"/>
              <w:right w:val="nil"/>
            </w:tcBorders>
            <w:shd w:val="clear" w:color="auto" w:fill="DBE5F1" w:themeFill="accent1" w:themeFillTint="33"/>
          </w:tcPr>
          <w:p w:rsidR="008C289F" w:rsidRPr="0055420C" w:rsidRDefault="008C289F" w:rsidP="00671B58">
            <w:pPr>
              <w:rPr>
                <w:rFonts w:cstheme="minorHAnsi"/>
                <w:b/>
                <w:color w:val="000000" w:themeColor="text1"/>
                <w:sz w:val="24"/>
                <w:szCs w:val="24"/>
              </w:rPr>
            </w:pPr>
          </w:p>
        </w:tc>
        <w:tc>
          <w:tcPr>
            <w:tcW w:w="1985" w:type="dxa"/>
            <w:tcBorders>
              <w:left w:val="nil"/>
              <w:right w:val="nil"/>
            </w:tcBorders>
            <w:shd w:val="clear" w:color="auto" w:fill="C2D69B" w:themeFill="accent3" w:themeFillTint="99"/>
          </w:tcPr>
          <w:p w:rsidR="008C289F" w:rsidRPr="0055420C" w:rsidRDefault="008C289F" w:rsidP="00671B58">
            <w:pPr>
              <w:jc w:val="center"/>
              <w:rPr>
                <w:rFonts w:cstheme="minorHAnsi"/>
                <w:b/>
                <w:color w:val="000000" w:themeColor="text1"/>
                <w:sz w:val="24"/>
                <w:szCs w:val="24"/>
              </w:rPr>
            </w:pPr>
            <w:r w:rsidRPr="0055420C">
              <w:rPr>
                <w:rFonts w:cstheme="minorHAnsi"/>
                <w:b/>
                <w:color w:val="000000" w:themeColor="text1"/>
                <w:sz w:val="24"/>
                <w:szCs w:val="24"/>
              </w:rPr>
              <w:t>EFFETS</w:t>
            </w:r>
          </w:p>
        </w:tc>
        <w:tc>
          <w:tcPr>
            <w:tcW w:w="425" w:type="dxa"/>
            <w:tcBorders>
              <w:left w:val="nil"/>
              <w:right w:val="nil"/>
            </w:tcBorders>
            <w:shd w:val="clear" w:color="auto" w:fill="DBE5F1" w:themeFill="accent1" w:themeFillTint="33"/>
          </w:tcPr>
          <w:p w:rsidR="008C289F" w:rsidRPr="0055420C" w:rsidRDefault="008C289F" w:rsidP="00671B58">
            <w:pPr>
              <w:rPr>
                <w:rFonts w:cstheme="minorHAnsi"/>
                <w:b/>
                <w:color w:val="000000" w:themeColor="text1"/>
                <w:sz w:val="24"/>
                <w:szCs w:val="24"/>
              </w:rPr>
            </w:pPr>
          </w:p>
        </w:tc>
        <w:tc>
          <w:tcPr>
            <w:tcW w:w="1701" w:type="dxa"/>
            <w:tcBorders>
              <w:left w:val="nil"/>
            </w:tcBorders>
            <w:shd w:val="clear" w:color="auto" w:fill="FFC000"/>
          </w:tcPr>
          <w:p w:rsidR="008C289F" w:rsidRPr="0055420C" w:rsidRDefault="008C289F" w:rsidP="00671B58">
            <w:pPr>
              <w:jc w:val="center"/>
              <w:rPr>
                <w:rFonts w:cstheme="minorHAnsi"/>
                <w:b/>
                <w:color w:val="000000" w:themeColor="text1"/>
                <w:sz w:val="24"/>
                <w:szCs w:val="24"/>
              </w:rPr>
            </w:pPr>
            <w:r w:rsidRPr="0055420C">
              <w:rPr>
                <w:rFonts w:cstheme="minorHAnsi"/>
                <w:b/>
                <w:color w:val="000000" w:themeColor="text1"/>
                <w:sz w:val="24"/>
                <w:szCs w:val="24"/>
              </w:rPr>
              <w:t>IMPACT</w:t>
            </w:r>
          </w:p>
        </w:tc>
      </w:tr>
      <w:tr w:rsidR="008C289F" w:rsidTr="00671B58">
        <w:trPr>
          <w:trHeight w:val="8481"/>
        </w:trPr>
        <w:tc>
          <w:tcPr>
            <w:tcW w:w="14567" w:type="dxa"/>
            <w:gridSpan w:val="5"/>
            <w:shd w:val="clear" w:color="auto" w:fill="DBE5F1" w:themeFill="accent1" w:themeFillTint="33"/>
          </w:tcPr>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5200" behindDoc="0" locked="0" layoutInCell="1" allowOverlap="1">
                      <wp:simplePos x="0" y="0"/>
                      <wp:positionH relativeFrom="column">
                        <wp:posOffset>3300730</wp:posOffset>
                      </wp:positionH>
                      <wp:positionV relativeFrom="paragraph">
                        <wp:posOffset>104140</wp:posOffset>
                      </wp:positionV>
                      <wp:extent cx="1504950" cy="1243330"/>
                      <wp:effectExtent l="5080" t="8890" r="13970" b="5080"/>
                      <wp:wrapNone/>
                      <wp:docPr id="195" name="AutoShap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1243330"/>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A21A97" w:rsidRDefault="00611E16" w:rsidP="00E83B4F">
                                  <w:pPr>
                                    <w:jc w:val="both"/>
                                    <w:rPr>
                                      <w:rFonts w:cstheme="minorHAnsi"/>
                                      <w:color w:val="000000"/>
                                      <w:sz w:val="20"/>
                                      <w:szCs w:val="20"/>
                                    </w:rPr>
                                  </w:pPr>
                                  <w:r w:rsidRPr="00A21A97">
                                    <w:rPr>
                                      <w:rFonts w:asciiTheme="minorHAnsi" w:hAnsiTheme="minorHAnsi" w:cstheme="minorHAnsi"/>
                                      <w:color w:val="000000"/>
                                      <w:sz w:val="20"/>
                                      <w:szCs w:val="20"/>
                                    </w:rPr>
                                    <w:t>La disponibilité des services de vaccination, même pour  les populations d’accès difficile, est améliorée.</w:t>
                                  </w:r>
                                </w:p>
                                <w:p w:rsidR="00611E16" w:rsidRPr="00E83B4F" w:rsidRDefault="00611E16" w:rsidP="00E83B4F">
                                  <w:pPr>
                                    <w:rPr>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4" o:spid="_x0000_s1044" style="position:absolute;margin-left:259.9pt;margin-top:8.2pt;width:118.5pt;height:97.9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" fillcolor="#eaf1dd [662]">
                      <v:textbox>
                        <w:txbxContent>
                          <w:p w:rsidR="00611E16" w:rsidRPr="00A21A97" w:rsidRDefault="00611E16" w:rsidP="00E83B4F">
                            <w:pPr>
                              <w:jc w:val="both"/>
                              <w:rPr>
                                <w:rFonts w:cstheme="minorHAnsi"/>
                                <w:color w:val="000000"/>
                                <w:sz w:val="20"/>
                                <w:szCs w:val="20"/>
                              </w:rPr>
                            </w:pPr>
                            <w:r w:rsidRPr="00A21A97">
                              <w:rPr>
                                <w:rFonts w:asciiTheme="minorHAnsi" w:hAnsiTheme="minorHAnsi" w:cstheme="minorHAnsi"/>
                                <w:color w:val="000000"/>
                                <w:sz w:val="20"/>
                                <w:szCs w:val="20"/>
                              </w:rPr>
                              <w:t>La disponibilité des services de vaccination, même pour  les populations d’accès difficile, est améliorée.</w:t>
                            </w:r>
                          </w:p>
                          <w:p w:rsidR="00611E16" w:rsidRPr="00E83B4F" w:rsidRDefault="00611E16" w:rsidP="00E83B4F">
                            <w:pPr>
                              <w:rPr>
                                <w:szCs w:val="20"/>
                              </w:rPr>
                            </w:pP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38272" behindDoc="0" locked="0" layoutInCell="1" allowOverlap="1">
                      <wp:simplePos x="0" y="0"/>
                      <wp:positionH relativeFrom="column">
                        <wp:posOffset>5224780</wp:posOffset>
                      </wp:positionH>
                      <wp:positionV relativeFrom="paragraph">
                        <wp:posOffset>166370</wp:posOffset>
                      </wp:positionV>
                      <wp:extent cx="1047750" cy="1961515"/>
                      <wp:effectExtent l="5080" t="13970" r="13970" b="5715"/>
                      <wp:wrapNone/>
                      <wp:docPr id="194" name="Auto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196151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3D32C4" w:rsidRDefault="00611E16" w:rsidP="008C289F">
                                  <w:pPr>
                                    <w:rPr>
                                      <w:sz w:val="20"/>
                                      <w:szCs w:val="20"/>
                                    </w:rPr>
                                  </w:pPr>
                                  <w:r w:rsidRPr="003D32C4">
                                    <w:rPr>
                                      <w:rFonts w:cstheme="minorHAnsi"/>
                                      <w:sz w:val="20"/>
                                      <w:szCs w:val="20"/>
                                    </w:rPr>
                                    <w:t xml:space="preserve">La couverture </w:t>
                                  </w:r>
                                  <w:r>
                                    <w:rPr>
                                      <w:rFonts w:cstheme="minorHAnsi"/>
                                      <w:sz w:val="20"/>
                                      <w:szCs w:val="20"/>
                                    </w:rPr>
                                    <w:t xml:space="preserve">du paquet </w:t>
                                  </w:r>
                                  <w:r w:rsidRPr="003D32C4">
                                    <w:rPr>
                                      <w:rFonts w:cstheme="minorHAnsi"/>
                                      <w:sz w:val="20"/>
                                      <w:szCs w:val="20"/>
                                    </w:rPr>
                                    <w:t>intégrée et de qualité de services SRMNEAN à haut impact est améliorée.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7" o:spid="_x0000_s1045" style="position:absolute;margin-left:411.4pt;margin-top:13.1pt;width:82.5pt;height:154.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" fillcolor="#eaf1dd [662]">
                      <v:textbox>
                        <w:txbxContent>
                          <w:p w:rsidR="00611E16" w:rsidRPr="003D32C4" w:rsidRDefault="00611E16" w:rsidP="008C289F">
                            <w:pPr>
                              <w:rPr>
                                <w:sz w:val="20"/>
                                <w:szCs w:val="20"/>
                              </w:rPr>
                            </w:pPr>
                            <w:r w:rsidRPr="003D32C4">
                              <w:rPr>
                                <w:rFonts w:cstheme="minorHAnsi"/>
                                <w:sz w:val="20"/>
                                <w:szCs w:val="20"/>
                              </w:rPr>
                              <w:t xml:space="preserve">La couverture </w:t>
                            </w:r>
                            <w:r>
                              <w:rPr>
                                <w:rFonts w:cstheme="minorHAnsi"/>
                                <w:sz w:val="20"/>
                                <w:szCs w:val="20"/>
                              </w:rPr>
                              <w:t xml:space="preserve">du paquet </w:t>
                            </w:r>
                            <w:r w:rsidRPr="003D32C4">
                              <w:rPr>
                                <w:rFonts w:cstheme="minorHAnsi"/>
                                <w:sz w:val="20"/>
                                <w:szCs w:val="20"/>
                              </w:rPr>
                              <w:t>intégrée et de qualité de services SRMNEAN à haut impact est améliorée.</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29056" behindDoc="0" locked="0" layoutInCell="1" allowOverlap="1">
                      <wp:simplePos x="0" y="0"/>
                      <wp:positionH relativeFrom="column">
                        <wp:posOffset>414655</wp:posOffset>
                      </wp:positionH>
                      <wp:positionV relativeFrom="paragraph">
                        <wp:posOffset>22860</wp:posOffset>
                      </wp:positionV>
                      <wp:extent cx="2133600" cy="723900"/>
                      <wp:effectExtent l="5080" t="13335" r="13970" b="5715"/>
                      <wp:wrapNone/>
                      <wp:docPr id="193" name="AutoShap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723900"/>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A21A97" w:rsidRDefault="00611E16" w:rsidP="00E83B4F">
                                  <w:pPr>
                                    <w:rPr>
                                      <w:rFonts w:cstheme="minorHAnsi"/>
                                      <w:sz w:val="20"/>
                                      <w:szCs w:val="20"/>
                                    </w:rPr>
                                  </w:pPr>
                                  <w:r w:rsidRPr="00A21A97">
                                    <w:rPr>
                                      <w:rFonts w:asciiTheme="minorHAnsi" w:hAnsiTheme="minorHAnsi" w:cstheme="minorHAnsi"/>
                                      <w:sz w:val="20"/>
                                      <w:szCs w:val="20"/>
                                    </w:rPr>
                                    <w:t>La disponibilité des infrastructures, des équipements et de  la logistique pour l’offre des services  SRMNEAN est améliorée.</w:t>
                                  </w:r>
                                </w:p>
                                <w:p w:rsidR="00611E16" w:rsidRPr="00E83B4F" w:rsidRDefault="00611E16" w:rsidP="00E83B4F">
                                  <w:pPr>
                                    <w:rPr>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8" o:spid="_x0000_s1046" style="position:absolute;margin-left:32.65pt;margin-top:1.8pt;width:168pt;height:57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" fillcolor="#eaf1dd [662]">
                      <v:textbox>
                        <w:txbxContent>
                          <w:p w:rsidR="00611E16" w:rsidRPr="00A21A97" w:rsidRDefault="00611E16" w:rsidP="00E83B4F">
                            <w:pPr>
                              <w:rPr>
                                <w:rFonts w:cstheme="minorHAnsi"/>
                                <w:sz w:val="20"/>
                                <w:szCs w:val="20"/>
                              </w:rPr>
                            </w:pPr>
                            <w:r w:rsidRPr="00A21A97">
                              <w:rPr>
                                <w:rFonts w:asciiTheme="minorHAnsi" w:hAnsiTheme="minorHAnsi" w:cstheme="minorHAnsi"/>
                                <w:sz w:val="20"/>
                                <w:szCs w:val="20"/>
                              </w:rPr>
                              <w:t>La disponibilité des infrastructures, des équipements et de  la logistique pour l’offre des services  SRMNEAN est améliorée.</w:t>
                            </w:r>
                          </w:p>
                          <w:p w:rsidR="00611E16" w:rsidRPr="00E83B4F" w:rsidRDefault="00611E16" w:rsidP="00E83B4F">
                            <w:pPr>
                              <w:rPr>
                                <w:szCs w:val="20"/>
                              </w:rPr>
                            </w:pPr>
                          </w:p>
                        </w:txbxContent>
                      </v:textbox>
                    </v:roundrect>
                  </w:pict>
                </mc:Fallback>
              </mc:AlternateContent>
            </w:r>
          </w:p>
          <w:p w:rsidR="008C289F" w:rsidRDefault="008C289F" w:rsidP="00671B58">
            <w:pPr>
              <w:rPr>
                <w:rFonts w:cstheme="minorHAnsi"/>
                <w:color w:val="000000" w:themeColor="text1"/>
                <w:sz w:val="24"/>
                <w:szCs w:val="24"/>
              </w:rPr>
            </w:pP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67968" behindDoc="0" locked="0" layoutInCell="1" allowOverlap="1">
                      <wp:simplePos x="0" y="0"/>
                      <wp:positionH relativeFrom="column">
                        <wp:posOffset>3024505</wp:posOffset>
                      </wp:positionH>
                      <wp:positionV relativeFrom="paragraph">
                        <wp:posOffset>104140</wp:posOffset>
                      </wp:positionV>
                      <wp:extent cx="0" cy="2352675"/>
                      <wp:effectExtent l="14605" t="18415" r="23495" b="19685"/>
                      <wp:wrapNone/>
                      <wp:docPr id="192" name="AutoShap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52675"/>
                              </a:xfrm>
                              <a:prstGeom prst="straightConnector1">
                                <a:avLst/>
                              </a:prstGeom>
                              <a:noFill/>
                              <a:ln w="2857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593E1B" id="AutoShape 166" o:spid="_x0000_s1026" type="#_x0000_t32" style="position:absolute;margin-left:238.15pt;margin-top:8.2pt;width:0;height:185.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" strokecolor="#00b0f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66944" behindDoc="0" locked="0" layoutInCell="1" allowOverlap="1">
                      <wp:simplePos x="0" y="0"/>
                      <wp:positionH relativeFrom="column">
                        <wp:posOffset>2548255</wp:posOffset>
                      </wp:positionH>
                      <wp:positionV relativeFrom="paragraph">
                        <wp:posOffset>104140</wp:posOffset>
                      </wp:positionV>
                      <wp:extent cx="476250" cy="0"/>
                      <wp:effectExtent l="14605" t="18415" r="23495" b="19685"/>
                      <wp:wrapNone/>
                      <wp:docPr id="127" name="Auto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0"/>
                              </a:xfrm>
                              <a:prstGeom prst="straightConnector1">
                                <a:avLst/>
                              </a:prstGeom>
                              <a:noFill/>
                              <a:ln w="2857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D08AA6" id="AutoShape 165" o:spid="_x0000_s1026" type="#_x0000_t32" style="position:absolute;margin-left:200.65pt;margin-top:8.2pt;width:37.5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" strokecolor="#00b0f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71040" behindDoc="0" locked="0" layoutInCell="1" allowOverlap="1">
                      <wp:simplePos x="0" y="0"/>
                      <wp:positionH relativeFrom="column">
                        <wp:posOffset>3024505</wp:posOffset>
                      </wp:positionH>
                      <wp:positionV relativeFrom="paragraph">
                        <wp:posOffset>104140</wp:posOffset>
                      </wp:positionV>
                      <wp:extent cx="285750" cy="0"/>
                      <wp:effectExtent l="14605" t="75565" r="33020" b="67310"/>
                      <wp:wrapNone/>
                      <wp:docPr id="126" name="Auto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2857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B43491" id="AutoShape 169" o:spid="_x0000_s1026" type="#_x0000_t32" style="position:absolute;margin-left:238.15pt;margin-top:8.2pt;width:22.5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" strokecolor="#00b0f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50560" behindDoc="0" locked="0" layoutInCell="1" allowOverlap="1">
                      <wp:simplePos x="0" y="0"/>
                      <wp:positionH relativeFrom="column">
                        <wp:posOffset>-33020</wp:posOffset>
                      </wp:positionH>
                      <wp:positionV relativeFrom="paragraph">
                        <wp:posOffset>0</wp:posOffset>
                      </wp:positionV>
                      <wp:extent cx="447675" cy="0"/>
                      <wp:effectExtent l="14605" t="66675" r="33020" b="66675"/>
                      <wp:wrapNone/>
                      <wp:docPr id="125" name="Auto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 cy="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9BE41C" id="AutoShape 149" o:spid="_x0000_s1026" type="#_x0000_t32" style="position:absolute;margin-left:-2.6pt;margin-top:0;width:35.25pt;height:0;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" strokecolor="#ffc00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49536" behindDoc="0" locked="0" layoutInCell="1" allowOverlap="1">
                      <wp:simplePos x="0" y="0"/>
                      <wp:positionH relativeFrom="column">
                        <wp:posOffset>-33020</wp:posOffset>
                      </wp:positionH>
                      <wp:positionV relativeFrom="paragraph">
                        <wp:posOffset>0</wp:posOffset>
                      </wp:positionV>
                      <wp:extent cx="0" cy="1409700"/>
                      <wp:effectExtent l="14605" t="19050" r="23495" b="19050"/>
                      <wp:wrapNone/>
                      <wp:docPr id="124" name="AutoShap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09700"/>
                              </a:xfrm>
                              <a:prstGeom prst="straightConnector1">
                                <a:avLst/>
                              </a:prstGeom>
                              <a:noFill/>
                              <a:ln w="28575">
                                <a:solidFill>
                                  <a:srgbClr val="FFC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6FB80C" id="AutoShape 148" o:spid="_x0000_s1026" type="#_x0000_t32" style="position:absolute;margin-left:-2.6pt;margin-top:0;width:0;height:111pt;flip:y;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" strokecolor="#ffc000" strokeweight="2.25pt"/>
                  </w:pict>
                </mc:Fallback>
              </mc:AlternateContent>
            </w:r>
          </w:p>
          <w:p w:rsidR="008C289F" w:rsidRDefault="004B0495" w:rsidP="00671B58">
            <w:pPr>
              <w:tabs>
                <w:tab w:val="left" w:pos="3075"/>
              </w:tabs>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9296" behindDoc="0" locked="0" layoutInCell="1" allowOverlap="1">
                      <wp:simplePos x="0" y="0"/>
                      <wp:positionH relativeFrom="column">
                        <wp:posOffset>6548755</wp:posOffset>
                      </wp:positionH>
                      <wp:positionV relativeFrom="paragraph">
                        <wp:posOffset>100965</wp:posOffset>
                      </wp:positionV>
                      <wp:extent cx="1228725" cy="1658620"/>
                      <wp:effectExtent l="5080" t="5715" r="13970" b="12065"/>
                      <wp:wrapNone/>
                      <wp:docPr id="123" name="Auto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1658620"/>
                              </a:xfrm>
                              <a:prstGeom prst="roundRect">
                                <a:avLst>
                                  <a:gd name="adj" fmla="val 16667"/>
                                </a:avLst>
                              </a:prstGeom>
                              <a:solidFill>
                                <a:schemeClr val="accent3">
                                  <a:lumMod val="60000"/>
                                  <a:lumOff val="40000"/>
                                </a:schemeClr>
                              </a:solidFill>
                              <a:ln w="9525">
                                <a:solidFill>
                                  <a:srgbClr val="000000"/>
                                </a:solidFill>
                                <a:round/>
                                <a:headEnd/>
                                <a:tailEnd/>
                              </a:ln>
                            </wps:spPr>
                            <wps:txbx>
                              <w:txbxContent>
                                <w:p w:rsidR="00611E16" w:rsidRPr="003D32C4" w:rsidRDefault="00611E16" w:rsidP="008C289F">
                                  <w:pPr>
                                    <w:spacing w:after="160"/>
                                    <w:jc w:val="both"/>
                                  </w:pPr>
                                  <w:r w:rsidRPr="003D32C4">
                                    <w:t>L’utilisation des services essentiels de SRMNEAN de qualité et à haut impact augmente</w:t>
                                  </w:r>
                                </w:p>
                                <w:p w:rsidR="00611E16" w:rsidRPr="003D32C4" w:rsidRDefault="00611E16" w:rsidP="008C28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8" o:spid="_x0000_s1047" style="position:absolute;margin-left:515.65pt;margin-top:7.95pt;width:96.75pt;height:130.6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" fillcolor="#c2d69b [1942]">
                      <v:textbox>
                        <w:txbxContent>
                          <w:p w:rsidR="00611E16" w:rsidRPr="003D32C4" w:rsidRDefault="00611E16" w:rsidP="008C289F">
                            <w:pPr>
                              <w:spacing w:after="160"/>
                              <w:jc w:val="both"/>
                            </w:pPr>
                            <w:r w:rsidRPr="003D32C4">
                              <w:t>L’utilisation des services essentiels de SRMNEAN de qualité et à haut impact augmente</w:t>
                            </w:r>
                          </w:p>
                          <w:p w:rsidR="00611E16" w:rsidRPr="003D32C4" w:rsidRDefault="00611E16" w:rsidP="008C289F"/>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90496" behindDoc="0" locked="0" layoutInCell="1" allowOverlap="1">
                      <wp:simplePos x="0" y="0"/>
                      <wp:positionH relativeFrom="column">
                        <wp:posOffset>4815205</wp:posOffset>
                      </wp:positionH>
                      <wp:positionV relativeFrom="paragraph">
                        <wp:posOffset>100965</wp:posOffset>
                      </wp:positionV>
                      <wp:extent cx="438150" cy="1786890"/>
                      <wp:effectExtent l="14605" t="15240" r="71120" b="36195"/>
                      <wp:wrapNone/>
                      <wp:docPr id="122" name="AutoShap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 cy="1786890"/>
                              </a:xfrm>
                              <a:prstGeom prst="straightConnector1">
                                <a:avLst/>
                              </a:prstGeom>
                              <a:noFill/>
                              <a:ln w="2857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AD1830" id="AutoShape 188" o:spid="_x0000_s1026" type="#_x0000_t32" style="position:absolute;margin-left:379.15pt;margin-top:7.95pt;width:34.5pt;height:140.7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" strokecolor="#0070c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89472" behindDoc="0" locked="0" layoutInCell="1" allowOverlap="1">
                      <wp:simplePos x="0" y="0"/>
                      <wp:positionH relativeFrom="column">
                        <wp:posOffset>4815205</wp:posOffset>
                      </wp:positionH>
                      <wp:positionV relativeFrom="paragraph">
                        <wp:posOffset>100965</wp:posOffset>
                      </wp:positionV>
                      <wp:extent cx="409575" cy="0"/>
                      <wp:effectExtent l="14605" t="72390" r="33020" b="70485"/>
                      <wp:wrapNone/>
                      <wp:docPr id="121" name="AutoShap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575" cy="0"/>
                              </a:xfrm>
                              <a:prstGeom prst="straightConnector1">
                                <a:avLst/>
                              </a:prstGeom>
                              <a:noFill/>
                              <a:ln w="2857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01E7AF" id="AutoShape 187" o:spid="_x0000_s1026" type="#_x0000_t32" style="position:absolute;margin-left:379.15pt;margin-top:7.95pt;width:32.25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" strokecolor="#0070c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58752" behindDoc="0" locked="0" layoutInCell="1" allowOverlap="1">
                      <wp:simplePos x="0" y="0"/>
                      <wp:positionH relativeFrom="column">
                        <wp:posOffset>52705</wp:posOffset>
                      </wp:positionH>
                      <wp:positionV relativeFrom="paragraph">
                        <wp:posOffset>-7620</wp:posOffset>
                      </wp:positionV>
                      <wp:extent cx="361950" cy="0"/>
                      <wp:effectExtent l="14605" t="68580" r="33020" b="74295"/>
                      <wp:wrapNone/>
                      <wp:docPr id="120" name="Auto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9823D7" id="AutoShape 157" o:spid="_x0000_s1026" type="#_x0000_t32" style="position:absolute;margin-left:4.15pt;margin-top:-.6pt;width:28.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" strokecolor="#7030a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57728" behindDoc="0" locked="0" layoutInCell="1" allowOverlap="1">
                      <wp:simplePos x="0" y="0"/>
                      <wp:positionH relativeFrom="column">
                        <wp:posOffset>52705</wp:posOffset>
                      </wp:positionH>
                      <wp:positionV relativeFrom="paragraph">
                        <wp:posOffset>-7620</wp:posOffset>
                      </wp:positionV>
                      <wp:extent cx="0" cy="1885950"/>
                      <wp:effectExtent l="14605" t="20955" r="23495" b="17145"/>
                      <wp:wrapNone/>
                      <wp:docPr id="119" name="Auto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885950"/>
                              </a:xfrm>
                              <a:prstGeom prst="straightConnector1">
                                <a:avLst/>
                              </a:prstGeom>
                              <a:noFill/>
                              <a:ln w="2857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AB3348" id="AutoShape 156" o:spid="_x0000_s1026" type="#_x0000_t32" style="position:absolute;margin-left:4.15pt;margin-top:-.6pt;width:0;height:148.5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" strokecolor="#7030a0" strokeweight="2.25pt"/>
                  </w:pict>
                </mc:Fallback>
              </mc:AlternateContent>
            </w:r>
            <w:r w:rsidR="008C289F">
              <w:rPr>
                <w:rFonts w:cstheme="minorHAnsi"/>
                <w:color w:val="000000" w:themeColor="text1"/>
                <w:sz w:val="24"/>
                <w:szCs w:val="24"/>
              </w:rPr>
              <w:tab/>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0080" behindDoc="0" locked="0" layoutInCell="1" allowOverlap="1">
                      <wp:simplePos x="0" y="0"/>
                      <wp:positionH relativeFrom="column">
                        <wp:posOffset>414655</wp:posOffset>
                      </wp:positionH>
                      <wp:positionV relativeFrom="paragraph">
                        <wp:posOffset>45085</wp:posOffset>
                      </wp:positionV>
                      <wp:extent cx="2133600" cy="587375"/>
                      <wp:effectExtent l="5080" t="6985" r="13970" b="5715"/>
                      <wp:wrapNone/>
                      <wp:docPr id="118" name="AutoShap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58737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A21A97" w:rsidRDefault="00611E16" w:rsidP="00E83B4F">
                                  <w:pPr>
                                    <w:rPr>
                                      <w:rFonts w:cstheme="minorHAnsi"/>
                                      <w:sz w:val="20"/>
                                      <w:szCs w:val="20"/>
                                    </w:rPr>
                                  </w:pPr>
                                  <w:r w:rsidRPr="00A21A97">
                                    <w:rPr>
                                      <w:rFonts w:asciiTheme="minorHAnsi" w:hAnsiTheme="minorHAnsi" w:cstheme="minorHAnsi"/>
                                      <w:sz w:val="20"/>
                                      <w:szCs w:val="20"/>
                                    </w:rPr>
                                    <w:t>La disponibilité continue des intrants de SRMNEAN est améliorée.</w:t>
                                  </w:r>
                                </w:p>
                                <w:p w:rsidR="00611E16" w:rsidRPr="00E83B4F" w:rsidRDefault="00611E16" w:rsidP="00E83B4F">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9" o:spid="_x0000_s1048" style="position:absolute;margin-left:32.65pt;margin-top:3.55pt;width:168pt;height:46.2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" fillcolor="#eaf1dd [662]">
                      <v:textbox>
                        <w:txbxContent>
                          <w:p w:rsidR="00611E16" w:rsidRPr="00A21A97" w:rsidRDefault="00611E16" w:rsidP="00E83B4F">
                            <w:pPr>
                              <w:rPr>
                                <w:rFonts w:cstheme="minorHAnsi"/>
                                <w:sz w:val="20"/>
                                <w:szCs w:val="20"/>
                              </w:rPr>
                            </w:pPr>
                            <w:r w:rsidRPr="00A21A97">
                              <w:rPr>
                                <w:rFonts w:asciiTheme="minorHAnsi" w:hAnsiTheme="minorHAnsi" w:cstheme="minorHAnsi"/>
                                <w:sz w:val="20"/>
                                <w:szCs w:val="20"/>
                              </w:rPr>
                              <w:t>La disponibilité continue des intrants de SRMNEAN est améliorée.</w:t>
                            </w:r>
                          </w:p>
                          <w:p w:rsidR="00611E16" w:rsidRPr="00E83B4F" w:rsidRDefault="00611E16" w:rsidP="00E83B4F">
                            <w:pPr>
                              <w:rPr>
                                <w:szCs w:val="16"/>
                              </w:rPr>
                            </w:pP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73088" behindDoc="0" locked="0" layoutInCell="1" allowOverlap="1">
                      <wp:simplePos x="0" y="0"/>
                      <wp:positionH relativeFrom="column">
                        <wp:posOffset>2929255</wp:posOffset>
                      </wp:positionH>
                      <wp:positionV relativeFrom="paragraph">
                        <wp:posOffset>163830</wp:posOffset>
                      </wp:positionV>
                      <wp:extent cx="0" cy="2022475"/>
                      <wp:effectExtent l="14605" t="20955" r="23495" b="23495"/>
                      <wp:wrapNone/>
                      <wp:docPr id="117" name="AutoShap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22475"/>
                              </a:xfrm>
                              <a:prstGeom prst="straightConnector1">
                                <a:avLst/>
                              </a:prstGeom>
                              <a:noFill/>
                              <a:ln w="28575">
                                <a:solidFill>
                                  <a:srgbClr val="00B05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9C8365" id="AutoShape 171" o:spid="_x0000_s1026" type="#_x0000_t32" style="position:absolute;margin-left:230.65pt;margin-top:12.9pt;width:0;height:159.2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" strokecolor="#00b05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76160" behindDoc="0" locked="0" layoutInCell="1" allowOverlap="1">
                      <wp:simplePos x="0" y="0"/>
                      <wp:positionH relativeFrom="column">
                        <wp:posOffset>2929255</wp:posOffset>
                      </wp:positionH>
                      <wp:positionV relativeFrom="paragraph">
                        <wp:posOffset>149225</wp:posOffset>
                      </wp:positionV>
                      <wp:extent cx="371475" cy="0"/>
                      <wp:effectExtent l="14605" t="73025" r="33020" b="69850"/>
                      <wp:wrapNone/>
                      <wp:docPr id="116" name="Auto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6C2351" id="AutoShape 174" o:spid="_x0000_s1026" type="#_x0000_t32" style="position:absolute;margin-left:230.65pt;margin-top:11.75pt;width:29.25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" strokecolor="#00b05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72064" behindDoc="0" locked="0" layoutInCell="1" allowOverlap="1">
                      <wp:simplePos x="0" y="0"/>
                      <wp:positionH relativeFrom="column">
                        <wp:posOffset>2548255</wp:posOffset>
                      </wp:positionH>
                      <wp:positionV relativeFrom="paragraph">
                        <wp:posOffset>148590</wp:posOffset>
                      </wp:positionV>
                      <wp:extent cx="390525" cy="1905"/>
                      <wp:effectExtent l="14605" t="15240" r="23495" b="20955"/>
                      <wp:wrapNone/>
                      <wp:docPr id="115" name="Auto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0525" cy="1905"/>
                              </a:xfrm>
                              <a:prstGeom prst="straightConnector1">
                                <a:avLst/>
                              </a:prstGeom>
                              <a:noFill/>
                              <a:ln w="28575">
                                <a:solidFill>
                                  <a:srgbClr val="00B05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2225DC" id="AutoShape 170" o:spid="_x0000_s1026" type="#_x0000_t32" style="position:absolute;margin-left:200.65pt;margin-top:11.7pt;width:30.75pt;height:.1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" strokecolor="#00b050" strokeweight="2.25pt"/>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51584" behindDoc="0" locked="0" layoutInCell="1" allowOverlap="1">
                      <wp:simplePos x="0" y="0"/>
                      <wp:positionH relativeFrom="column">
                        <wp:posOffset>-33020</wp:posOffset>
                      </wp:positionH>
                      <wp:positionV relativeFrom="paragraph">
                        <wp:posOffset>111125</wp:posOffset>
                      </wp:positionV>
                      <wp:extent cx="447675" cy="0"/>
                      <wp:effectExtent l="14605" t="73025" r="33020" b="69850"/>
                      <wp:wrapNone/>
                      <wp:docPr id="114" name="Auto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 cy="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2963BC" id="AutoShape 150" o:spid="_x0000_s1026" type="#_x0000_t32" style="position:absolute;margin-left:-2.6pt;margin-top:8.75pt;width:35.25pt;height:0;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" strokecolor="#ffc00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82304" behindDoc="0" locked="0" layoutInCell="1" allowOverlap="1">
                      <wp:simplePos x="0" y="0"/>
                      <wp:positionH relativeFrom="column">
                        <wp:posOffset>2786380</wp:posOffset>
                      </wp:positionH>
                      <wp:positionV relativeFrom="paragraph">
                        <wp:posOffset>13970</wp:posOffset>
                      </wp:positionV>
                      <wp:extent cx="523875" cy="0"/>
                      <wp:effectExtent l="14605" t="71120" r="33020" b="71755"/>
                      <wp:wrapNone/>
                      <wp:docPr id="113" name="Auto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 cy="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81B07D" id="AutoShape 180" o:spid="_x0000_s1026" type="#_x0000_t32" style="position:absolute;margin-left:219.4pt;margin-top:1.1pt;width:41.25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" strokecolor="#ffc00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78208" behindDoc="0" locked="0" layoutInCell="1" allowOverlap="1">
                      <wp:simplePos x="0" y="0"/>
                      <wp:positionH relativeFrom="column">
                        <wp:posOffset>2786380</wp:posOffset>
                      </wp:positionH>
                      <wp:positionV relativeFrom="paragraph">
                        <wp:posOffset>13335</wp:posOffset>
                      </wp:positionV>
                      <wp:extent cx="0" cy="807085"/>
                      <wp:effectExtent l="14605" t="22860" r="23495" b="17780"/>
                      <wp:wrapNone/>
                      <wp:docPr id="112" name="Auto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07085"/>
                              </a:xfrm>
                              <a:prstGeom prst="straightConnector1">
                                <a:avLst/>
                              </a:prstGeom>
                              <a:noFill/>
                              <a:ln w="28575">
                                <a:solidFill>
                                  <a:srgbClr val="FFC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AB18D2" id="AutoShape 176" o:spid="_x0000_s1026" type="#_x0000_t32" style="position:absolute;margin-left:219.4pt;margin-top:1.05pt;width:0;height:63.55pt;flip:y;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" strokecolor="#ffc00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59776" behindDoc="0" locked="0" layoutInCell="1" allowOverlap="1">
                      <wp:simplePos x="0" y="0"/>
                      <wp:positionH relativeFrom="column">
                        <wp:posOffset>62230</wp:posOffset>
                      </wp:positionH>
                      <wp:positionV relativeFrom="paragraph">
                        <wp:posOffset>12700</wp:posOffset>
                      </wp:positionV>
                      <wp:extent cx="361950" cy="0"/>
                      <wp:effectExtent l="14605" t="69850" r="33020" b="73025"/>
                      <wp:wrapNone/>
                      <wp:docPr id="111" name="Auto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DF4EDE" id="AutoShape 158" o:spid="_x0000_s1026" type="#_x0000_t32" style="position:absolute;margin-left:4.9pt;margin-top:1pt;width:28.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" strokecolor="#7030a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1104" behindDoc="0" locked="0" layoutInCell="1" allowOverlap="1">
                      <wp:simplePos x="0" y="0"/>
                      <wp:positionH relativeFrom="column">
                        <wp:posOffset>176530</wp:posOffset>
                      </wp:positionH>
                      <wp:positionV relativeFrom="paragraph">
                        <wp:posOffset>144145</wp:posOffset>
                      </wp:positionV>
                      <wp:extent cx="2047875" cy="780415"/>
                      <wp:effectExtent l="5080" t="10795" r="13970" b="8890"/>
                      <wp:wrapNone/>
                      <wp:docPr id="110" name="AutoShap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78041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3D32C4" w:rsidRDefault="00611E16" w:rsidP="00E83B4F">
                                  <w:pPr>
                                    <w:rPr>
                                      <w:sz w:val="20"/>
                                      <w:szCs w:val="20"/>
                                    </w:rPr>
                                  </w:pPr>
                                  <w:r>
                                    <w:rPr>
                                      <w:rFonts w:cstheme="minorHAnsi"/>
                                      <w:sz w:val="20"/>
                                      <w:szCs w:val="20"/>
                                    </w:rPr>
                                    <w:t xml:space="preserve">Le financement </w:t>
                                  </w:r>
                                  <w:r w:rsidRPr="003D32C4">
                                    <w:rPr>
                                      <w:rFonts w:cstheme="minorHAnsi"/>
                                      <w:sz w:val="20"/>
                                      <w:szCs w:val="20"/>
                                    </w:rPr>
                                    <w:t xml:space="preserve">du DI-SRMNEAN-ECSV </w:t>
                                  </w:r>
                                  <w:r>
                                    <w:rPr>
                                      <w:rFonts w:cstheme="minorHAnsi"/>
                                      <w:sz w:val="20"/>
                                      <w:szCs w:val="20"/>
                                    </w:rPr>
                                    <w:t xml:space="preserve">et en particulier de la gratuité des services de SRMNEAN </w:t>
                                  </w:r>
                                  <w:r w:rsidRPr="003D32C4">
                                    <w:rPr>
                                      <w:rFonts w:cstheme="minorHAnsi"/>
                                      <w:sz w:val="20"/>
                                      <w:szCs w:val="20"/>
                                    </w:rPr>
                                    <w:t>sont assurés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0" o:spid="_x0000_s1049" style="position:absolute;margin-left:13.9pt;margin-top:11.35pt;width:161.25pt;height:61.4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" fillcolor="#eaf1dd [662]">
                      <v:textbox>
                        <w:txbxContent>
                          <w:p w:rsidR="00611E16" w:rsidRPr="003D32C4" w:rsidRDefault="00611E16" w:rsidP="00E83B4F">
                            <w:pPr>
                              <w:rPr>
                                <w:sz w:val="20"/>
                                <w:szCs w:val="20"/>
                              </w:rPr>
                            </w:pPr>
                            <w:r>
                              <w:rPr>
                                <w:rFonts w:cstheme="minorHAnsi"/>
                                <w:sz w:val="20"/>
                                <w:szCs w:val="20"/>
                              </w:rPr>
                              <w:t xml:space="preserve">Le financement </w:t>
                            </w:r>
                            <w:r w:rsidRPr="003D32C4">
                              <w:rPr>
                                <w:rFonts w:cstheme="minorHAnsi"/>
                                <w:sz w:val="20"/>
                                <w:szCs w:val="20"/>
                              </w:rPr>
                              <w:t xml:space="preserve">du DI-SRMNEAN-ECSV </w:t>
                            </w:r>
                            <w:r>
                              <w:rPr>
                                <w:rFonts w:cstheme="minorHAnsi"/>
                                <w:sz w:val="20"/>
                                <w:szCs w:val="20"/>
                              </w:rPr>
                              <w:t xml:space="preserve">et en particulier de la gratuité des services de SRMNEAN </w:t>
                            </w:r>
                            <w:r w:rsidRPr="003D32C4">
                              <w:rPr>
                                <w:rFonts w:cstheme="minorHAnsi"/>
                                <w:sz w:val="20"/>
                                <w:szCs w:val="20"/>
                              </w:rPr>
                              <w:t>sont assurés</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85376" behindDoc="0" locked="0" layoutInCell="1" allowOverlap="1">
                      <wp:simplePos x="0" y="0"/>
                      <wp:positionH relativeFrom="column">
                        <wp:posOffset>2548255</wp:posOffset>
                      </wp:positionH>
                      <wp:positionV relativeFrom="paragraph">
                        <wp:posOffset>-6350</wp:posOffset>
                      </wp:positionV>
                      <wp:extent cx="0" cy="1361440"/>
                      <wp:effectExtent l="14605" t="22225" r="23495" b="16510"/>
                      <wp:wrapNone/>
                      <wp:docPr id="109" name="Auto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361440"/>
                              </a:xfrm>
                              <a:prstGeom prst="straightConnector1">
                                <a:avLst/>
                              </a:prstGeom>
                              <a:noFill/>
                              <a:ln w="2857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BC2FF7" id="AutoShape 183" o:spid="_x0000_s1026" type="#_x0000_t32" style="position:absolute;margin-left:200.65pt;margin-top:-.5pt;width:0;height:107.2pt;flip:y;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" strokecolor="#7030a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88448" behindDoc="0" locked="0" layoutInCell="1" allowOverlap="1">
                      <wp:simplePos x="0" y="0"/>
                      <wp:positionH relativeFrom="column">
                        <wp:posOffset>2538730</wp:posOffset>
                      </wp:positionH>
                      <wp:positionV relativeFrom="paragraph">
                        <wp:posOffset>-6350</wp:posOffset>
                      </wp:positionV>
                      <wp:extent cx="762000" cy="0"/>
                      <wp:effectExtent l="14605" t="69850" r="33020" b="73025"/>
                      <wp:wrapNone/>
                      <wp:docPr id="108" name="Auto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DFE4D1" id="AutoShape 186" o:spid="_x0000_s1026" type="#_x0000_t32" style="position:absolute;margin-left:199.9pt;margin-top:-.5pt;width:60pt;height:0;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" strokecolor="#7030a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28032" behindDoc="0" locked="0" layoutInCell="1" allowOverlap="1">
                      <wp:simplePos x="0" y="0"/>
                      <wp:positionH relativeFrom="column">
                        <wp:posOffset>3310255</wp:posOffset>
                      </wp:positionH>
                      <wp:positionV relativeFrom="paragraph">
                        <wp:posOffset>144145</wp:posOffset>
                      </wp:positionV>
                      <wp:extent cx="1504950" cy="1210310"/>
                      <wp:effectExtent l="5080" t="10795" r="13970" b="7620"/>
                      <wp:wrapNone/>
                      <wp:docPr id="107" name="AutoShap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1210310"/>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EF46BD" w:rsidRDefault="00611E16" w:rsidP="00EF46BD">
                                  <w:pPr>
                                    <w:rPr>
                                      <w:sz w:val="18"/>
                                      <w:szCs w:val="18"/>
                                    </w:rPr>
                                  </w:pPr>
                                  <w:r w:rsidRPr="00EF46BD">
                                    <w:rPr>
                                      <w:rFonts w:cstheme="minorHAnsi"/>
                                      <w:color w:val="000000"/>
                                      <w:sz w:val="18"/>
                                      <w:szCs w:val="18"/>
                                    </w:rPr>
                                    <w:t xml:space="preserve">L’approche communautaire est renforcée pour délivrer les interventions </w:t>
                                  </w:r>
                                  <w:r>
                                    <w:rPr>
                                      <w:rFonts w:cstheme="minorHAnsi"/>
                                      <w:color w:val="000000"/>
                                      <w:sz w:val="18"/>
                                      <w:szCs w:val="18"/>
                                    </w:rPr>
                                    <w:t xml:space="preserve">de SRMNEAN, </w:t>
                                  </w:r>
                                  <w:r w:rsidRPr="00EF46BD">
                                    <w:rPr>
                                      <w:rFonts w:cstheme="minorHAnsi"/>
                                      <w:color w:val="000000"/>
                                      <w:sz w:val="18"/>
                                      <w:szCs w:val="18"/>
                                    </w:rPr>
                                    <w:t xml:space="preserve"> en particulier d</w:t>
                                  </w:r>
                                  <w:r>
                                    <w:rPr>
                                      <w:rFonts w:cstheme="minorHAnsi"/>
                                      <w:color w:val="000000"/>
                                      <w:sz w:val="18"/>
                                      <w:szCs w:val="18"/>
                                    </w:rPr>
                                    <w:t>ans l</w:t>
                                  </w:r>
                                  <w:r w:rsidRPr="00EF46BD">
                                    <w:rPr>
                                      <w:rFonts w:cstheme="minorHAnsi"/>
                                      <w:color w:val="000000"/>
                                      <w:sz w:val="18"/>
                                      <w:szCs w:val="18"/>
                                    </w:rPr>
                                    <w:t>es zones éloignées ou d’accès difficile.</w:t>
                                  </w:r>
                                </w:p>
                                <w:p w:rsidR="00611E16" w:rsidRPr="00EF46BD" w:rsidRDefault="00611E16" w:rsidP="00EF46BD">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7" o:spid="_x0000_s1050" style="position:absolute;margin-left:260.65pt;margin-top:11.35pt;width:118.5pt;height:95.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" fillcolor="#eaf1dd [662]">
                      <v:textbox>
                        <w:txbxContent>
                          <w:p w:rsidR="00611E16" w:rsidRPr="00EF46BD" w:rsidRDefault="00611E16" w:rsidP="00EF46BD">
                            <w:pPr>
                              <w:rPr>
                                <w:sz w:val="18"/>
                                <w:szCs w:val="18"/>
                              </w:rPr>
                            </w:pPr>
                            <w:r w:rsidRPr="00EF46BD">
                              <w:rPr>
                                <w:rFonts w:cstheme="minorHAnsi"/>
                                <w:color w:val="000000"/>
                                <w:sz w:val="18"/>
                                <w:szCs w:val="18"/>
                              </w:rPr>
                              <w:t xml:space="preserve">L’approche communautaire est renforcée pour délivrer les interventions </w:t>
                            </w:r>
                            <w:r>
                              <w:rPr>
                                <w:rFonts w:cstheme="minorHAnsi"/>
                                <w:color w:val="000000"/>
                                <w:sz w:val="18"/>
                                <w:szCs w:val="18"/>
                              </w:rPr>
                              <w:t xml:space="preserve">de SRMNEAN, </w:t>
                            </w:r>
                            <w:r w:rsidRPr="00EF46BD">
                              <w:rPr>
                                <w:rFonts w:cstheme="minorHAnsi"/>
                                <w:color w:val="000000"/>
                                <w:sz w:val="18"/>
                                <w:szCs w:val="18"/>
                              </w:rPr>
                              <w:t xml:space="preserve"> en particulier d</w:t>
                            </w:r>
                            <w:r>
                              <w:rPr>
                                <w:rFonts w:cstheme="minorHAnsi"/>
                                <w:color w:val="000000"/>
                                <w:sz w:val="18"/>
                                <w:szCs w:val="18"/>
                              </w:rPr>
                              <w:t>ans l</w:t>
                            </w:r>
                            <w:r w:rsidRPr="00EF46BD">
                              <w:rPr>
                                <w:rFonts w:cstheme="minorHAnsi"/>
                                <w:color w:val="000000"/>
                                <w:sz w:val="18"/>
                                <w:szCs w:val="18"/>
                              </w:rPr>
                              <w:t>es zones éloignées ou d’accès difficile.</w:t>
                            </w:r>
                          </w:p>
                          <w:p w:rsidR="00611E16" w:rsidRPr="00EF46BD" w:rsidRDefault="00611E16" w:rsidP="00EF46BD">
                            <w:pPr>
                              <w:rPr>
                                <w:sz w:val="18"/>
                                <w:szCs w:val="18"/>
                              </w:rPr>
                            </w:pP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97664" behindDoc="0" locked="0" layoutInCell="1" allowOverlap="1">
                      <wp:simplePos x="0" y="0"/>
                      <wp:positionH relativeFrom="column">
                        <wp:posOffset>6272530</wp:posOffset>
                      </wp:positionH>
                      <wp:positionV relativeFrom="paragraph">
                        <wp:posOffset>41275</wp:posOffset>
                      </wp:positionV>
                      <wp:extent cx="276225" cy="0"/>
                      <wp:effectExtent l="33655" t="127000" r="42545" b="130175"/>
                      <wp:wrapNone/>
                      <wp:docPr id="106" name="AutoShap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0"/>
                              </a:xfrm>
                              <a:prstGeom prst="straightConnector1">
                                <a:avLst/>
                              </a:prstGeom>
                              <a:noFill/>
                              <a:ln w="57150">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C47BD7" id="AutoShape 195" o:spid="_x0000_s1026" type="#_x0000_t32" style="position:absolute;margin-left:493.9pt;margin-top:3.25pt;width:21.75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" strokecolor="#7030a0" strokeweight="4.5pt">
                      <v:stroke endarrow="block"/>
                    </v:shape>
                  </w:pict>
                </mc:Fallback>
              </mc:AlternateContent>
            </w:r>
          </w:p>
          <w:p w:rsidR="008C289F" w:rsidRDefault="008C289F" w:rsidP="00671B58">
            <w:pPr>
              <w:rPr>
                <w:rFonts w:cstheme="minorHAnsi"/>
                <w:color w:val="000000" w:themeColor="text1"/>
                <w:sz w:val="24"/>
                <w:szCs w:val="24"/>
              </w:rPr>
            </w:pP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41344" behindDoc="0" locked="0" layoutInCell="1" allowOverlap="1">
                      <wp:simplePos x="0" y="0"/>
                      <wp:positionH relativeFrom="column">
                        <wp:posOffset>8082280</wp:posOffset>
                      </wp:positionH>
                      <wp:positionV relativeFrom="paragraph">
                        <wp:posOffset>160655</wp:posOffset>
                      </wp:positionV>
                      <wp:extent cx="1019175" cy="2048510"/>
                      <wp:effectExtent l="5080" t="8255" r="13970" b="10160"/>
                      <wp:wrapNone/>
                      <wp:docPr id="105" name="Auto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2048510"/>
                              </a:xfrm>
                              <a:prstGeom prst="roundRect">
                                <a:avLst>
                                  <a:gd name="adj" fmla="val 16667"/>
                                </a:avLst>
                              </a:prstGeom>
                              <a:solidFill>
                                <a:srgbClr val="FFC000"/>
                              </a:solidFill>
                              <a:ln w="9525">
                                <a:solidFill>
                                  <a:srgbClr val="000000"/>
                                </a:solidFill>
                                <a:round/>
                                <a:headEnd/>
                                <a:tailEnd/>
                              </a:ln>
                            </wps:spPr>
                            <wps:txbx>
                              <w:txbxContent>
                                <w:p w:rsidR="00611E16" w:rsidRPr="003D32C4" w:rsidRDefault="00611E16" w:rsidP="008C289F">
                                  <w:pPr>
                                    <w:rPr>
                                      <w:sz w:val="24"/>
                                      <w:szCs w:val="24"/>
                                    </w:rPr>
                                  </w:pPr>
                                  <w:r w:rsidRPr="003D32C4">
                                    <w:rPr>
                                      <w:sz w:val="24"/>
                                      <w:szCs w:val="24"/>
                                    </w:rPr>
                                    <w:t>La mortalité maternelle, néonatale et  infanto-juvénile est réduite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0" o:spid="_x0000_s1051" style="position:absolute;margin-left:636.4pt;margin-top:12.65pt;width:80.25pt;height:161.3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" fillcolor="#ffc000">
                      <v:textbox>
                        <w:txbxContent>
                          <w:p w:rsidR="00611E16" w:rsidRPr="003D32C4" w:rsidRDefault="00611E16" w:rsidP="008C289F">
                            <w:pPr>
                              <w:rPr>
                                <w:sz w:val="24"/>
                                <w:szCs w:val="24"/>
                              </w:rPr>
                            </w:pPr>
                            <w:r w:rsidRPr="003D32C4">
                              <w:rPr>
                                <w:sz w:val="24"/>
                                <w:szCs w:val="24"/>
                              </w:rPr>
                              <w:t>La mortalité maternelle, néonatale et  infanto-juvénile est réduite</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70016" behindDoc="0" locked="0" layoutInCell="1" allowOverlap="1">
                      <wp:simplePos x="0" y="0"/>
                      <wp:positionH relativeFrom="column">
                        <wp:posOffset>3024505</wp:posOffset>
                      </wp:positionH>
                      <wp:positionV relativeFrom="paragraph">
                        <wp:posOffset>17145</wp:posOffset>
                      </wp:positionV>
                      <wp:extent cx="285750" cy="0"/>
                      <wp:effectExtent l="14605" t="74295" r="33020" b="68580"/>
                      <wp:wrapNone/>
                      <wp:docPr id="104" name="Auto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2857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F719D4" id="AutoShape 168" o:spid="_x0000_s1026" type="#_x0000_t32" style="position:absolute;margin-left:238.15pt;margin-top:1.35pt;width:22.5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" strokecolor="#00b0f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43392" behindDoc="0" locked="0" layoutInCell="1" allowOverlap="1">
                      <wp:simplePos x="0" y="0"/>
                      <wp:positionH relativeFrom="column">
                        <wp:posOffset>-33020</wp:posOffset>
                      </wp:positionH>
                      <wp:positionV relativeFrom="paragraph">
                        <wp:posOffset>159385</wp:posOffset>
                      </wp:positionV>
                      <wp:extent cx="209550" cy="0"/>
                      <wp:effectExtent l="14605" t="16510" r="23495" b="21590"/>
                      <wp:wrapNone/>
                      <wp:docPr id="103" name="Auto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9550" cy="0"/>
                              </a:xfrm>
                              <a:prstGeom prst="straightConnector1">
                                <a:avLst/>
                              </a:prstGeom>
                              <a:noFill/>
                              <a:ln w="28575">
                                <a:solidFill>
                                  <a:srgbClr val="FFC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5F0F56" id="AutoShape 142" o:spid="_x0000_s1026" type="#_x0000_t32" style="position:absolute;margin-left:-2.6pt;margin-top:12.55pt;width:16.5pt;height:0;flip:x;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" strokecolor="#ffc00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75136" behindDoc="0" locked="0" layoutInCell="1" allowOverlap="1">
                      <wp:simplePos x="0" y="0"/>
                      <wp:positionH relativeFrom="column">
                        <wp:posOffset>2929255</wp:posOffset>
                      </wp:positionH>
                      <wp:positionV relativeFrom="paragraph">
                        <wp:posOffset>159385</wp:posOffset>
                      </wp:positionV>
                      <wp:extent cx="371475" cy="0"/>
                      <wp:effectExtent l="14605" t="73660" r="33020" b="69215"/>
                      <wp:wrapNone/>
                      <wp:docPr id="102" name="Auto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AB903D" id="AutoShape 173" o:spid="_x0000_s1026" type="#_x0000_t32" style="position:absolute;margin-left:230.65pt;margin-top:12.55pt;width:29.25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" strokecolor="#00b05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44416" behindDoc="0" locked="0" layoutInCell="1" allowOverlap="1">
                      <wp:simplePos x="0" y="0"/>
                      <wp:positionH relativeFrom="column">
                        <wp:posOffset>-33020</wp:posOffset>
                      </wp:positionH>
                      <wp:positionV relativeFrom="paragraph">
                        <wp:posOffset>160020</wp:posOffset>
                      </wp:positionV>
                      <wp:extent cx="0" cy="3180080"/>
                      <wp:effectExtent l="14605" t="17145" r="23495" b="22225"/>
                      <wp:wrapNone/>
                      <wp:docPr id="101" name="Auto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80080"/>
                              </a:xfrm>
                              <a:prstGeom prst="straightConnector1">
                                <a:avLst/>
                              </a:prstGeom>
                              <a:noFill/>
                              <a:ln w="28575">
                                <a:solidFill>
                                  <a:srgbClr val="FFC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5B6A69" id="AutoShape 143" o:spid="_x0000_s1026" type="#_x0000_t32" style="position:absolute;margin-left:-2.6pt;margin-top:12.6pt;width:0;height:250.4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" strokecolor="#ffc000" strokeweight="2.25pt"/>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79232" behindDoc="0" locked="0" layoutInCell="1" allowOverlap="1">
                      <wp:simplePos x="0" y="0"/>
                      <wp:positionH relativeFrom="column">
                        <wp:posOffset>2786380</wp:posOffset>
                      </wp:positionH>
                      <wp:positionV relativeFrom="paragraph">
                        <wp:posOffset>106045</wp:posOffset>
                      </wp:positionV>
                      <wp:extent cx="0" cy="1148715"/>
                      <wp:effectExtent l="14605" t="20320" r="23495" b="21590"/>
                      <wp:wrapNone/>
                      <wp:docPr id="100" name="Auto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8715"/>
                              </a:xfrm>
                              <a:prstGeom prst="straightConnector1">
                                <a:avLst/>
                              </a:prstGeom>
                              <a:noFill/>
                              <a:ln w="28575">
                                <a:solidFill>
                                  <a:srgbClr val="FFC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6712F0" id="AutoShape 177" o:spid="_x0000_s1026" type="#_x0000_t32" style="position:absolute;margin-left:219.4pt;margin-top:8.35pt;width:0;height:90.4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" strokecolor="#ffc00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92544" behindDoc="0" locked="0" layoutInCell="1" allowOverlap="1">
                      <wp:simplePos x="0" y="0"/>
                      <wp:positionH relativeFrom="column">
                        <wp:posOffset>4815205</wp:posOffset>
                      </wp:positionH>
                      <wp:positionV relativeFrom="paragraph">
                        <wp:posOffset>46355</wp:posOffset>
                      </wp:positionV>
                      <wp:extent cx="438150" cy="990600"/>
                      <wp:effectExtent l="14605" t="17780" r="71120" b="48895"/>
                      <wp:wrapNone/>
                      <wp:docPr id="99" name="Auto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 cy="990600"/>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9ACEFB" id="AutoShape 190" o:spid="_x0000_s1026" type="#_x0000_t32" style="position:absolute;margin-left:379.15pt;margin-top:3.65pt;width:34.5pt;height:78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" strokecolor="#00b05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91520" behindDoc="0" locked="0" layoutInCell="1" allowOverlap="1">
                      <wp:simplePos x="0" y="0"/>
                      <wp:positionH relativeFrom="column">
                        <wp:posOffset>4815205</wp:posOffset>
                      </wp:positionH>
                      <wp:positionV relativeFrom="paragraph">
                        <wp:posOffset>36830</wp:posOffset>
                      </wp:positionV>
                      <wp:extent cx="409575" cy="9525"/>
                      <wp:effectExtent l="14605" t="65405" r="33020" b="67945"/>
                      <wp:wrapNone/>
                      <wp:docPr id="98" name="Auto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575" cy="9525"/>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F657DF" id="AutoShape 189" o:spid="_x0000_s1026" type="#_x0000_t32" style="position:absolute;margin-left:379.15pt;margin-top:2.9pt;width:32.25pt;height:.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" strokecolor="#00b05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81280" behindDoc="0" locked="0" layoutInCell="1" allowOverlap="1">
                      <wp:simplePos x="0" y="0"/>
                      <wp:positionH relativeFrom="column">
                        <wp:posOffset>2776855</wp:posOffset>
                      </wp:positionH>
                      <wp:positionV relativeFrom="paragraph">
                        <wp:posOffset>104140</wp:posOffset>
                      </wp:positionV>
                      <wp:extent cx="523875" cy="0"/>
                      <wp:effectExtent l="14605" t="75565" r="33020" b="67310"/>
                      <wp:wrapNone/>
                      <wp:docPr id="97" name="Auto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 cy="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401F0F" id="AutoShape 179" o:spid="_x0000_s1026" type="#_x0000_t32" style="position:absolute;margin-left:218.65pt;margin-top:8.2pt;width:41.25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" strokecolor="#ffc00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77184" behindDoc="0" locked="0" layoutInCell="1" allowOverlap="1">
                      <wp:simplePos x="0" y="0"/>
                      <wp:positionH relativeFrom="column">
                        <wp:posOffset>2224405</wp:posOffset>
                      </wp:positionH>
                      <wp:positionV relativeFrom="paragraph">
                        <wp:posOffset>104140</wp:posOffset>
                      </wp:positionV>
                      <wp:extent cx="561975" cy="1270"/>
                      <wp:effectExtent l="14605" t="18415" r="23495" b="18415"/>
                      <wp:wrapNone/>
                      <wp:docPr id="96" name="Auto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1270"/>
                              </a:xfrm>
                              <a:prstGeom prst="straightConnector1">
                                <a:avLst/>
                              </a:prstGeom>
                              <a:noFill/>
                              <a:ln w="28575">
                                <a:solidFill>
                                  <a:srgbClr val="FFC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23128D" id="AutoShape 175" o:spid="_x0000_s1026" type="#_x0000_t32" style="position:absolute;margin-left:175.15pt;margin-top:8.2pt;width:44.25pt;height:.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" strokecolor="#ffc000" strokeweight="2.25pt"/>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99712" behindDoc="0" locked="0" layoutInCell="1" allowOverlap="1">
                      <wp:simplePos x="0" y="0"/>
                      <wp:positionH relativeFrom="column">
                        <wp:posOffset>7777480</wp:posOffset>
                      </wp:positionH>
                      <wp:positionV relativeFrom="paragraph">
                        <wp:posOffset>86995</wp:posOffset>
                      </wp:positionV>
                      <wp:extent cx="304800" cy="0"/>
                      <wp:effectExtent l="33655" t="125095" r="42545" b="132080"/>
                      <wp:wrapNone/>
                      <wp:docPr id="95" name="Auto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0" cy="0"/>
                              </a:xfrm>
                              <a:prstGeom prst="straightConnector1">
                                <a:avLst/>
                              </a:prstGeom>
                              <a:noFill/>
                              <a:ln w="57150">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79710D" id="AutoShape 197" o:spid="_x0000_s1026" type="#_x0000_t32" style="position:absolute;margin-left:612.4pt;margin-top:6.85pt;width:24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" strokecolor="#7030a0" strokeweight="4.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98688" behindDoc="0" locked="0" layoutInCell="1" allowOverlap="1">
                      <wp:simplePos x="0" y="0"/>
                      <wp:positionH relativeFrom="column">
                        <wp:posOffset>6272530</wp:posOffset>
                      </wp:positionH>
                      <wp:positionV relativeFrom="paragraph">
                        <wp:posOffset>162560</wp:posOffset>
                      </wp:positionV>
                      <wp:extent cx="276225" cy="391795"/>
                      <wp:effectExtent l="33655" t="95885" r="118745" b="36195"/>
                      <wp:wrapNone/>
                      <wp:docPr id="94" name="Auto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76225" cy="391795"/>
                              </a:xfrm>
                              <a:prstGeom prst="straightConnector1">
                                <a:avLst/>
                              </a:prstGeom>
                              <a:noFill/>
                              <a:ln w="57150">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2959BC" id="AutoShape 196" o:spid="_x0000_s1026" type="#_x0000_t32" style="position:absolute;margin-left:493.9pt;margin-top:12.8pt;width:21.75pt;height:30.85pt;flip:y;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" strokecolor="#7030a0" strokeweight="4.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96640" behindDoc="0" locked="0" layoutInCell="1" allowOverlap="1">
                      <wp:simplePos x="0" y="0"/>
                      <wp:positionH relativeFrom="column">
                        <wp:posOffset>5596255</wp:posOffset>
                      </wp:positionH>
                      <wp:positionV relativeFrom="paragraph">
                        <wp:posOffset>162560</wp:posOffset>
                      </wp:positionV>
                      <wp:extent cx="90805" cy="227965"/>
                      <wp:effectExtent l="24130" t="19685" r="18415" b="9525"/>
                      <wp:wrapNone/>
                      <wp:docPr id="93" name="AutoShap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227965"/>
                              </a:xfrm>
                              <a:prstGeom prst="upArrow">
                                <a:avLst>
                                  <a:gd name="adj1" fmla="val 50000"/>
                                  <a:gd name="adj2" fmla="val 62762"/>
                                </a:avLst>
                              </a:prstGeom>
                              <a:solidFill>
                                <a:srgbClr val="7030A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96A01D" id="AutoShape 194" o:spid="_x0000_s1026" type="#_x0000_t68" style="position:absolute;margin-left:440.65pt;margin-top:12.8pt;width:7.15pt;height:17.9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" fillcolor="#7030a0">
                      <v:textbox style="layout-flow:vertical-ideographic"/>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95616" behindDoc="0" locked="0" layoutInCell="1" allowOverlap="1">
                      <wp:simplePos x="0" y="0"/>
                      <wp:positionH relativeFrom="column">
                        <wp:posOffset>5772150</wp:posOffset>
                      </wp:positionH>
                      <wp:positionV relativeFrom="paragraph">
                        <wp:posOffset>162560</wp:posOffset>
                      </wp:positionV>
                      <wp:extent cx="90805" cy="227965"/>
                      <wp:effectExtent l="19050" t="10160" r="23495" b="19050"/>
                      <wp:wrapNone/>
                      <wp:docPr id="92" name="AutoShap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227965"/>
                              </a:xfrm>
                              <a:prstGeom prst="downArrow">
                                <a:avLst>
                                  <a:gd name="adj1" fmla="val 50000"/>
                                  <a:gd name="adj2" fmla="val 62762"/>
                                </a:avLst>
                              </a:prstGeom>
                              <a:solidFill>
                                <a:srgbClr val="7030A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761859" id="AutoShape 193" o:spid="_x0000_s1026" type="#_x0000_t67" style="position:absolute;margin-left:454.5pt;margin-top:12.8pt;width:7.15pt;height:17.9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" fillcolor="#7030a0">
                      <v:textbox style="layout-flow:vertical-ideographic"/>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93568" behindDoc="0" locked="0" layoutInCell="1" allowOverlap="1">
                      <wp:simplePos x="0" y="0"/>
                      <wp:positionH relativeFrom="column">
                        <wp:posOffset>4815205</wp:posOffset>
                      </wp:positionH>
                      <wp:positionV relativeFrom="paragraph">
                        <wp:posOffset>86995</wp:posOffset>
                      </wp:positionV>
                      <wp:extent cx="438150" cy="848360"/>
                      <wp:effectExtent l="14605" t="48895" r="71120" b="17145"/>
                      <wp:wrapNone/>
                      <wp:docPr id="91" name="Auto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150" cy="84836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033DC3" id="AutoShape 191" o:spid="_x0000_s1026" type="#_x0000_t32" style="position:absolute;margin-left:379.15pt;margin-top:6.85pt;width:34.5pt;height:66.8pt;flip:y;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" strokecolor="#ffc00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87424" behindDoc="0" locked="0" layoutInCell="1" allowOverlap="1">
                      <wp:simplePos x="0" y="0"/>
                      <wp:positionH relativeFrom="column">
                        <wp:posOffset>2548255</wp:posOffset>
                      </wp:positionH>
                      <wp:positionV relativeFrom="paragraph">
                        <wp:posOffset>162560</wp:posOffset>
                      </wp:positionV>
                      <wp:extent cx="762000" cy="0"/>
                      <wp:effectExtent l="14605" t="67310" r="33020" b="75565"/>
                      <wp:wrapNone/>
                      <wp:docPr id="90" name="Auto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5D0C89" id="AutoShape 185" o:spid="_x0000_s1026" type="#_x0000_t32" style="position:absolute;margin-left:200.65pt;margin-top:12.8pt;width:60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" strokecolor="#7030a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6224" behindDoc="0" locked="0" layoutInCell="1" allowOverlap="1">
                      <wp:simplePos x="0" y="0"/>
                      <wp:positionH relativeFrom="column">
                        <wp:posOffset>176530</wp:posOffset>
                      </wp:positionH>
                      <wp:positionV relativeFrom="paragraph">
                        <wp:posOffset>41910</wp:posOffset>
                      </wp:positionV>
                      <wp:extent cx="2047875" cy="770890"/>
                      <wp:effectExtent l="5080" t="13335" r="13970" b="6350"/>
                      <wp:wrapNone/>
                      <wp:docPr id="89" name="Auto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770890"/>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7D2E3B" w:rsidRDefault="00611E16" w:rsidP="00E83B4F">
                                  <w:pPr>
                                    <w:rPr>
                                      <w:rFonts w:cstheme="minorHAnsi"/>
                                      <w:sz w:val="20"/>
                                      <w:szCs w:val="20"/>
                                    </w:rPr>
                                  </w:pPr>
                                  <w:r w:rsidRPr="007D2E3B">
                                    <w:rPr>
                                      <w:rFonts w:cstheme="minorHAnsi"/>
                                      <w:sz w:val="20"/>
                                      <w:szCs w:val="20"/>
                                    </w:rPr>
                                    <w:t xml:space="preserve">La disponibilité d’un personnel opérationnel,  compétent, </w:t>
                                  </w:r>
                                  <w:r w:rsidRPr="007D2E3B">
                                    <w:rPr>
                                      <w:rFonts w:asciiTheme="minorHAnsi" w:hAnsiTheme="minorHAnsi" w:cstheme="minorHAnsi"/>
                                      <w:sz w:val="20"/>
                                      <w:szCs w:val="20"/>
                                    </w:rPr>
                                    <w:t>motivé et réparti équitablement est assurée.</w:t>
                                  </w:r>
                                </w:p>
                                <w:p w:rsidR="00611E16" w:rsidRPr="007D2E3B" w:rsidRDefault="00611E16" w:rsidP="007D2E3B">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5" o:spid="_x0000_s1052" style="position:absolute;margin-left:13.9pt;margin-top:3.3pt;width:161.25pt;height:60.7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" fillcolor="#eaf1dd [662]">
                      <v:textbox>
                        <w:txbxContent>
                          <w:p w:rsidR="00611E16" w:rsidRPr="007D2E3B" w:rsidRDefault="00611E16" w:rsidP="00E83B4F">
                            <w:pPr>
                              <w:rPr>
                                <w:rFonts w:cstheme="minorHAnsi"/>
                                <w:sz w:val="20"/>
                                <w:szCs w:val="20"/>
                              </w:rPr>
                            </w:pPr>
                            <w:r w:rsidRPr="007D2E3B">
                              <w:rPr>
                                <w:rFonts w:cstheme="minorHAnsi"/>
                                <w:sz w:val="20"/>
                                <w:szCs w:val="20"/>
                              </w:rPr>
                              <w:t xml:space="preserve">La disponibilité d’un personnel opérationnel,  compétent, </w:t>
                            </w:r>
                            <w:r w:rsidRPr="007D2E3B">
                              <w:rPr>
                                <w:rFonts w:asciiTheme="minorHAnsi" w:hAnsiTheme="minorHAnsi" w:cstheme="minorHAnsi"/>
                                <w:sz w:val="20"/>
                                <w:szCs w:val="20"/>
                              </w:rPr>
                              <w:t>motivé et réparti équitablement est assurée.</w:t>
                            </w:r>
                          </w:p>
                          <w:p w:rsidR="00611E16" w:rsidRPr="007D2E3B" w:rsidRDefault="00611E16" w:rsidP="007D2E3B">
                            <w:pPr>
                              <w:rPr>
                                <w:sz w:val="20"/>
                                <w:szCs w:val="20"/>
                              </w:rPr>
                            </w:pPr>
                          </w:p>
                        </w:txbxContent>
                      </v:textbox>
                    </v:roundrect>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42368" behindDoc="0" locked="0" layoutInCell="1" allowOverlap="1">
                      <wp:simplePos x="0" y="0"/>
                      <wp:positionH relativeFrom="column">
                        <wp:posOffset>5253355</wp:posOffset>
                      </wp:positionH>
                      <wp:positionV relativeFrom="paragraph">
                        <wp:posOffset>33020</wp:posOffset>
                      </wp:positionV>
                      <wp:extent cx="1019175" cy="1378585"/>
                      <wp:effectExtent l="5080" t="13970" r="13970" b="7620"/>
                      <wp:wrapNone/>
                      <wp:docPr id="88" name="Auto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37858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3D32C4" w:rsidRDefault="00611E16" w:rsidP="008C289F">
                                  <w:pPr>
                                    <w:rPr>
                                      <w:sz w:val="20"/>
                                      <w:szCs w:val="20"/>
                                    </w:rPr>
                                  </w:pPr>
                                  <w:r w:rsidRPr="003D32C4">
                                    <w:rPr>
                                      <w:rFonts w:cstheme="minorHAnsi"/>
                                      <w:sz w:val="20"/>
                                      <w:szCs w:val="20"/>
                                    </w:rPr>
                                    <w:t>Une demande équitable de services SRMNEAN à haut impact est assurée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1" o:spid="_x0000_s1053" style="position:absolute;margin-left:413.65pt;margin-top:2.6pt;width:80.25pt;height:108.5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" fillcolor="#eaf1dd [662]">
                      <v:textbox>
                        <w:txbxContent>
                          <w:p w:rsidR="00611E16" w:rsidRPr="003D32C4" w:rsidRDefault="00611E16" w:rsidP="008C289F">
                            <w:pPr>
                              <w:rPr>
                                <w:sz w:val="20"/>
                                <w:szCs w:val="20"/>
                              </w:rPr>
                            </w:pPr>
                            <w:r w:rsidRPr="003D32C4">
                              <w:rPr>
                                <w:rFonts w:cstheme="minorHAnsi"/>
                                <w:sz w:val="20"/>
                                <w:szCs w:val="20"/>
                              </w:rPr>
                              <w:t>Une demande équitable de services SRMNEAN à haut impact est assurée</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53632" behindDoc="0" locked="0" layoutInCell="1" allowOverlap="1">
                      <wp:simplePos x="0" y="0"/>
                      <wp:positionH relativeFrom="column">
                        <wp:posOffset>52705</wp:posOffset>
                      </wp:positionH>
                      <wp:positionV relativeFrom="paragraph">
                        <wp:posOffset>100965</wp:posOffset>
                      </wp:positionV>
                      <wp:extent cx="0" cy="2333625"/>
                      <wp:effectExtent l="14605" t="15240" r="23495" b="22860"/>
                      <wp:wrapNone/>
                      <wp:docPr id="87" name="Auto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3625"/>
                              </a:xfrm>
                              <a:prstGeom prst="straightConnector1">
                                <a:avLst/>
                              </a:prstGeom>
                              <a:noFill/>
                              <a:ln w="2857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5D5C7A" id="AutoShape 152" o:spid="_x0000_s1026" type="#_x0000_t32" style="position:absolute;margin-left:4.15pt;margin-top:7.95pt;width:0;height:183.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" strokecolor="#7030a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52608" behindDoc="0" locked="0" layoutInCell="1" allowOverlap="1">
                      <wp:simplePos x="0" y="0"/>
                      <wp:positionH relativeFrom="column">
                        <wp:posOffset>52705</wp:posOffset>
                      </wp:positionH>
                      <wp:positionV relativeFrom="paragraph">
                        <wp:posOffset>91440</wp:posOffset>
                      </wp:positionV>
                      <wp:extent cx="123825" cy="9525"/>
                      <wp:effectExtent l="14605" t="15240" r="23495" b="22860"/>
                      <wp:wrapNone/>
                      <wp:docPr id="86" name="Auto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3825" cy="9525"/>
                              </a:xfrm>
                              <a:prstGeom prst="straightConnector1">
                                <a:avLst/>
                              </a:prstGeom>
                              <a:noFill/>
                              <a:ln w="2857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CAF88F" id="AutoShape 151" o:spid="_x0000_s1026" type="#_x0000_t32" style="position:absolute;margin-left:4.15pt;margin-top:7.2pt;width:9.75pt;height:.75pt;flip:x 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" strokecolor="#7030a0" strokeweight="2.25pt"/>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7248" behindDoc="0" locked="0" layoutInCell="1" allowOverlap="1">
                      <wp:simplePos x="0" y="0"/>
                      <wp:positionH relativeFrom="column">
                        <wp:posOffset>3310255</wp:posOffset>
                      </wp:positionH>
                      <wp:positionV relativeFrom="paragraph">
                        <wp:posOffset>109220</wp:posOffset>
                      </wp:positionV>
                      <wp:extent cx="1504950" cy="1063625"/>
                      <wp:effectExtent l="5080" t="13970" r="13970" b="8255"/>
                      <wp:wrapNone/>
                      <wp:docPr id="85" name="AutoShap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106362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3D32C4" w:rsidRDefault="00611E16" w:rsidP="008C289F">
                                  <w:pPr>
                                    <w:rPr>
                                      <w:sz w:val="20"/>
                                      <w:szCs w:val="20"/>
                                    </w:rPr>
                                  </w:pPr>
                                  <w:r w:rsidRPr="003D32C4">
                                    <w:rPr>
                                      <w:rFonts w:cstheme="minorHAnsi"/>
                                      <w:sz w:val="20"/>
                                      <w:szCs w:val="20"/>
                                    </w:rPr>
                                    <w:t>La qualité des services de SRMNEAN, centrée sur la personne et la sécurité du patient, est renforcée.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6" o:spid="_x0000_s1054" style="position:absolute;margin-left:260.65pt;margin-top:8.6pt;width:118.5pt;height:83.7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" fillcolor="#eaf1dd [662]">
                      <v:textbox>
                        <w:txbxContent>
                          <w:p w:rsidR="00611E16" w:rsidRPr="003D32C4" w:rsidRDefault="00611E16" w:rsidP="008C289F">
                            <w:pPr>
                              <w:rPr>
                                <w:sz w:val="20"/>
                                <w:szCs w:val="20"/>
                              </w:rPr>
                            </w:pPr>
                            <w:r w:rsidRPr="003D32C4">
                              <w:rPr>
                                <w:rFonts w:cstheme="minorHAnsi"/>
                                <w:sz w:val="20"/>
                                <w:szCs w:val="20"/>
                              </w:rPr>
                              <w:t>La qualité des services de SRMNEAN, centrée sur la personne et la sécurité du patient, est renforcée.</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84352" behindDoc="0" locked="0" layoutInCell="1" allowOverlap="1">
                      <wp:simplePos x="0" y="0"/>
                      <wp:positionH relativeFrom="column">
                        <wp:posOffset>2548255</wp:posOffset>
                      </wp:positionH>
                      <wp:positionV relativeFrom="paragraph">
                        <wp:posOffset>104140</wp:posOffset>
                      </wp:positionV>
                      <wp:extent cx="0" cy="570865"/>
                      <wp:effectExtent l="14605" t="18415" r="23495" b="20320"/>
                      <wp:wrapNone/>
                      <wp:docPr id="84" name="Auto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0865"/>
                              </a:xfrm>
                              <a:prstGeom prst="straightConnector1">
                                <a:avLst/>
                              </a:prstGeom>
                              <a:noFill/>
                              <a:ln w="2857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F8395" id="AutoShape 182" o:spid="_x0000_s1026" type="#_x0000_t32" style="position:absolute;margin-left:200.65pt;margin-top:8.2pt;width:0;height:44.9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" strokecolor="#7030a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83328" behindDoc="0" locked="0" layoutInCell="1" allowOverlap="1">
                      <wp:simplePos x="0" y="0"/>
                      <wp:positionH relativeFrom="column">
                        <wp:posOffset>2224405</wp:posOffset>
                      </wp:positionH>
                      <wp:positionV relativeFrom="paragraph">
                        <wp:posOffset>103505</wp:posOffset>
                      </wp:positionV>
                      <wp:extent cx="323850" cy="0"/>
                      <wp:effectExtent l="14605" t="17780" r="23495" b="20320"/>
                      <wp:wrapNone/>
                      <wp:docPr id="83" name="Auto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2857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455021" id="AutoShape 181" o:spid="_x0000_s1026" type="#_x0000_t32" style="position:absolute;margin-left:175.15pt;margin-top:8.15pt;width:25.5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" strokecolor="#7030a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45440" behindDoc="0" locked="0" layoutInCell="1" allowOverlap="1">
                      <wp:simplePos x="0" y="0"/>
                      <wp:positionH relativeFrom="column">
                        <wp:posOffset>-33020</wp:posOffset>
                      </wp:positionH>
                      <wp:positionV relativeFrom="paragraph">
                        <wp:posOffset>17780</wp:posOffset>
                      </wp:positionV>
                      <wp:extent cx="209550" cy="9525"/>
                      <wp:effectExtent l="14605" t="65405" r="33020" b="67945"/>
                      <wp:wrapNone/>
                      <wp:docPr id="82" name="Auto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9525"/>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1AF360" id="AutoShape 144" o:spid="_x0000_s1026" type="#_x0000_t32" style="position:absolute;margin-left:-2.6pt;margin-top:1.4pt;width:16.5pt;height:.7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" strokecolor="#ffc00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68992" behindDoc="0" locked="0" layoutInCell="1" allowOverlap="1">
                      <wp:simplePos x="0" y="0"/>
                      <wp:positionH relativeFrom="column">
                        <wp:posOffset>3014980</wp:posOffset>
                      </wp:positionH>
                      <wp:positionV relativeFrom="paragraph">
                        <wp:posOffset>133985</wp:posOffset>
                      </wp:positionV>
                      <wp:extent cx="285750" cy="0"/>
                      <wp:effectExtent l="14605" t="67310" r="33020" b="75565"/>
                      <wp:wrapNone/>
                      <wp:docPr id="81" name="Auto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2857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F9C9DB" id="AutoShape 167" o:spid="_x0000_s1026" type="#_x0000_t32" style="position:absolute;margin-left:237.4pt;margin-top:10.55pt;width:22.5pt;height: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" strokecolor="#00b0f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40320" behindDoc="0" locked="0" layoutInCell="1" allowOverlap="1">
                      <wp:simplePos x="0" y="0"/>
                      <wp:positionH relativeFrom="column">
                        <wp:posOffset>6548755</wp:posOffset>
                      </wp:positionH>
                      <wp:positionV relativeFrom="paragraph">
                        <wp:posOffset>41275</wp:posOffset>
                      </wp:positionV>
                      <wp:extent cx="1228725" cy="1409065"/>
                      <wp:effectExtent l="5080" t="12700" r="13970" b="6985"/>
                      <wp:wrapNone/>
                      <wp:docPr id="80" name="Auto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1409065"/>
                              </a:xfrm>
                              <a:prstGeom prst="roundRect">
                                <a:avLst>
                                  <a:gd name="adj" fmla="val 16667"/>
                                </a:avLst>
                              </a:prstGeom>
                              <a:solidFill>
                                <a:schemeClr val="accent3">
                                  <a:lumMod val="60000"/>
                                  <a:lumOff val="40000"/>
                                </a:schemeClr>
                              </a:solidFill>
                              <a:ln w="9525">
                                <a:solidFill>
                                  <a:srgbClr val="000000"/>
                                </a:solidFill>
                                <a:round/>
                                <a:headEnd/>
                                <a:tailEnd/>
                              </a:ln>
                            </wps:spPr>
                            <wps:txbx>
                              <w:txbxContent>
                                <w:p w:rsidR="00611E16" w:rsidRPr="00E2396E" w:rsidRDefault="00611E16" w:rsidP="00E2396E">
                                  <w:pPr>
                                    <w:rPr>
                                      <w:sz w:val="20"/>
                                      <w:szCs w:val="20"/>
                                    </w:rPr>
                                  </w:pPr>
                                  <w:r>
                                    <w:rPr>
                                      <w:sz w:val="20"/>
                                      <w:szCs w:val="20"/>
                                    </w:rPr>
                                    <w:t>L’accès à l’eau potable, à l’hygiène et assainissement et une alimentation saine et sécurisée augmente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9" o:spid="_x0000_s1055" style="position:absolute;margin-left:515.65pt;margin-top:3.25pt;width:96.75pt;height:110.9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" fillcolor="#c2d69b [1942]">
                      <v:textbox>
                        <w:txbxContent>
                          <w:p w:rsidR="00611E16" w:rsidRPr="00E2396E" w:rsidRDefault="00611E16" w:rsidP="00E2396E">
                            <w:pPr>
                              <w:rPr>
                                <w:sz w:val="20"/>
                                <w:szCs w:val="20"/>
                              </w:rPr>
                            </w:pPr>
                            <w:r>
                              <w:rPr>
                                <w:sz w:val="20"/>
                                <w:szCs w:val="20"/>
                              </w:rPr>
                              <w:t>L’accès à l’eau potable, à l’hygiène et assainissement et une alimentation saine et sécurisée augmente</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74112" behindDoc="0" locked="0" layoutInCell="1" allowOverlap="1">
                      <wp:simplePos x="0" y="0"/>
                      <wp:positionH relativeFrom="column">
                        <wp:posOffset>2929255</wp:posOffset>
                      </wp:positionH>
                      <wp:positionV relativeFrom="paragraph">
                        <wp:posOffset>41910</wp:posOffset>
                      </wp:positionV>
                      <wp:extent cx="371475" cy="0"/>
                      <wp:effectExtent l="14605" t="70485" r="33020" b="72390"/>
                      <wp:wrapNone/>
                      <wp:docPr id="79" name="Auto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F01FB4" id="AutoShape 172" o:spid="_x0000_s1026" type="#_x0000_t32" style="position:absolute;margin-left:230.65pt;margin-top:3.3pt;width:29.2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" strokecolor="#00b05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94592" behindDoc="0" locked="0" layoutInCell="1" allowOverlap="1">
                      <wp:simplePos x="0" y="0"/>
                      <wp:positionH relativeFrom="column">
                        <wp:posOffset>4815205</wp:posOffset>
                      </wp:positionH>
                      <wp:positionV relativeFrom="paragraph">
                        <wp:posOffset>41275</wp:posOffset>
                      </wp:positionV>
                      <wp:extent cx="438150" cy="171450"/>
                      <wp:effectExtent l="14605" t="22225" r="42545" b="73025"/>
                      <wp:wrapNone/>
                      <wp:docPr id="78" name="Auto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 cy="17145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6D160C" id="AutoShape 192" o:spid="_x0000_s1026" type="#_x0000_t32" style="position:absolute;margin-left:379.15pt;margin-top:3.25pt;width:34.5pt;height:13.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" strokecolor="#ffc00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2128" behindDoc="0" locked="0" layoutInCell="1" allowOverlap="1">
                      <wp:simplePos x="0" y="0"/>
                      <wp:positionH relativeFrom="column">
                        <wp:posOffset>414655</wp:posOffset>
                      </wp:positionH>
                      <wp:positionV relativeFrom="paragraph">
                        <wp:posOffset>4445</wp:posOffset>
                      </wp:positionV>
                      <wp:extent cx="2047875" cy="632460"/>
                      <wp:effectExtent l="5080" t="13970" r="13970" b="10795"/>
                      <wp:wrapNone/>
                      <wp:docPr id="77" name="AutoShap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632460"/>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3D32C4" w:rsidRDefault="00611E16" w:rsidP="00E83B4F">
                                  <w:pPr>
                                    <w:rPr>
                                      <w:sz w:val="20"/>
                                      <w:szCs w:val="20"/>
                                    </w:rPr>
                                  </w:pPr>
                                  <w:r w:rsidRPr="003D32C4">
                                    <w:rPr>
                                      <w:rFonts w:cstheme="minorHAnsi"/>
                                      <w:sz w:val="20"/>
                                      <w:szCs w:val="20"/>
                                    </w:rPr>
                                    <w:t>L’information sanitaire est renforcée pour une meilleure prise de décision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1" o:spid="_x0000_s1056" style="position:absolute;margin-left:32.65pt;margin-top:.35pt;width:161.25pt;height:49.8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" fillcolor="#eaf1dd [662]">
                      <v:textbox>
                        <w:txbxContent>
                          <w:p w:rsidR="00611E16" w:rsidRPr="003D32C4" w:rsidRDefault="00611E16" w:rsidP="00E83B4F">
                            <w:pPr>
                              <w:rPr>
                                <w:sz w:val="20"/>
                                <w:szCs w:val="20"/>
                              </w:rPr>
                            </w:pPr>
                            <w:r w:rsidRPr="003D32C4">
                              <w:rPr>
                                <w:rFonts w:cstheme="minorHAnsi"/>
                                <w:sz w:val="20"/>
                                <w:szCs w:val="20"/>
                              </w:rPr>
                              <w:t>L’information sanitaire est renforcée pour une meilleure prise de décision</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80256" behindDoc="0" locked="0" layoutInCell="1" allowOverlap="1">
                      <wp:simplePos x="0" y="0"/>
                      <wp:positionH relativeFrom="column">
                        <wp:posOffset>2776855</wp:posOffset>
                      </wp:positionH>
                      <wp:positionV relativeFrom="paragraph">
                        <wp:posOffset>4445</wp:posOffset>
                      </wp:positionV>
                      <wp:extent cx="523875" cy="0"/>
                      <wp:effectExtent l="14605" t="71120" r="33020" b="71755"/>
                      <wp:wrapNone/>
                      <wp:docPr id="76" name="Auto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 cy="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68DAE8" id="AutoShape 178" o:spid="_x0000_s1026" type="#_x0000_t32" style="position:absolute;margin-left:218.65pt;margin-top:.35pt;width:41.25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" strokecolor="#ffc00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86400" behindDoc="0" locked="0" layoutInCell="1" allowOverlap="1">
                      <wp:simplePos x="0" y="0"/>
                      <wp:positionH relativeFrom="column">
                        <wp:posOffset>2548255</wp:posOffset>
                      </wp:positionH>
                      <wp:positionV relativeFrom="paragraph">
                        <wp:posOffset>139700</wp:posOffset>
                      </wp:positionV>
                      <wp:extent cx="762000" cy="0"/>
                      <wp:effectExtent l="14605" t="73025" r="33020" b="69850"/>
                      <wp:wrapNone/>
                      <wp:docPr id="75" name="Auto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6DC0C7" id="AutoShape 184" o:spid="_x0000_s1026" type="#_x0000_t32" style="position:absolute;margin-left:200.65pt;margin-top:11pt;width:60pt;height:0;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" strokecolor="#7030a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700736" behindDoc="0" locked="0" layoutInCell="1" allowOverlap="1">
                      <wp:simplePos x="0" y="0"/>
                      <wp:positionH relativeFrom="column">
                        <wp:posOffset>7777480</wp:posOffset>
                      </wp:positionH>
                      <wp:positionV relativeFrom="paragraph">
                        <wp:posOffset>64135</wp:posOffset>
                      </wp:positionV>
                      <wp:extent cx="304800" cy="10160"/>
                      <wp:effectExtent l="33655" t="130810" r="42545" b="116205"/>
                      <wp:wrapNone/>
                      <wp:docPr id="74" name="Auto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10160"/>
                              </a:xfrm>
                              <a:prstGeom prst="straightConnector1">
                                <a:avLst/>
                              </a:prstGeom>
                              <a:noFill/>
                              <a:ln w="57150">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C06C84" id="AutoShape 198" o:spid="_x0000_s1026" type="#_x0000_t32" style="position:absolute;margin-left:612.4pt;margin-top:5.05pt;width:24pt;height:.8pt;flip:y;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" strokecolor="#7030a0" strokeweight="4.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46464" behindDoc="0" locked="0" layoutInCell="1" allowOverlap="1">
                      <wp:simplePos x="0" y="0"/>
                      <wp:positionH relativeFrom="column">
                        <wp:posOffset>-33020</wp:posOffset>
                      </wp:positionH>
                      <wp:positionV relativeFrom="paragraph">
                        <wp:posOffset>74295</wp:posOffset>
                      </wp:positionV>
                      <wp:extent cx="447675" cy="0"/>
                      <wp:effectExtent l="14605" t="74295" r="33020" b="68580"/>
                      <wp:wrapNone/>
                      <wp:docPr id="73" name="Auto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 cy="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7F3AC5" id="AutoShape 145" o:spid="_x0000_s1026" type="#_x0000_t32" style="position:absolute;margin-left:-2.6pt;margin-top:5.85pt;width:35.25pt;height:0;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" strokecolor="#ffc00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62848" behindDoc="0" locked="0" layoutInCell="1" allowOverlap="1">
                      <wp:simplePos x="0" y="0"/>
                      <wp:positionH relativeFrom="column">
                        <wp:posOffset>2462530</wp:posOffset>
                      </wp:positionH>
                      <wp:positionV relativeFrom="paragraph">
                        <wp:posOffset>95885</wp:posOffset>
                      </wp:positionV>
                      <wp:extent cx="152400" cy="0"/>
                      <wp:effectExtent l="24130" t="67310" r="23495" b="75565"/>
                      <wp:wrapNone/>
                      <wp:docPr id="72" name="Auto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2400" cy="0"/>
                              </a:xfrm>
                              <a:prstGeom prst="straightConnector1">
                                <a:avLst/>
                              </a:prstGeom>
                              <a:noFill/>
                              <a:ln w="2857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4C376" id="AutoShape 161" o:spid="_x0000_s1026" type="#_x0000_t32" style="position:absolute;margin-left:193.9pt;margin-top:7.55pt;width:12pt;height:0;flip:x;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" strokecolor="#00b0f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61824" behindDoc="0" locked="0" layoutInCell="1" allowOverlap="1">
                      <wp:simplePos x="0" y="0"/>
                      <wp:positionH relativeFrom="column">
                        <wp:posOffset>2614930</wp:posOffset>
                      </wp:positionH>
                      <wp:positionV relativeFrom="paragraph">
                        <wp:posOffset>95885</wp:posOffset>
                      </wp:positionV>
                      <wp:extent cx="0" cy="433705"/>
                      <wp:effectExtent l="14605" t="19685" r="23495" b="22860"/>
                      <wp:wrapNone/>
                      <wp:docPr id="67" name="Auto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33705"/>
                              </a:xfrm>
                              <a:prstGeom prst="straightConnector1">
                                <a:avLst/>
                              </a:prstGeom>
                              <a:noFill/>
                              <a:ln w="2857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8F068B" id="AutoShape 160" o:spid="_x0000_s1026" type="#_x0000_t32" style="position:absolute;margin-left:205.9pt;margin-top:7.55pt;width:0;height:34.15pt;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" strokecolor="#00b0f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56704" behindDoc="0" locked="0" layoutInCell="1" allowOverlap="1">
                      <wp:simplePos x="0" y="0"/>
                      <wp:positionH relativeFrom="column">
                        <wp:posOffset>62230</wp:posOffset>
                      </wp:positionH>
                      <wp:positionV relativeFrom="paragraph">
                        <wp:posOffset>635</wp:posOffset>
                      </wp:positionV>
                      <wp:extent cx="361950" cy="0"/>
                      <wp:effectExtent l="14605" t="67310" r="33020" b="75565"/>
                      <wp:wrapNone/>
                      <wp:docPr id="66" name="Auto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AF4D0E" id="AutoShape 155" o:spid="_x0000_s1026" type="#_x0000_t32" style="position:absolute;margin-left:4.9pt;margin-top:.05pt;width:28.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" strokecolor="#7030a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3152" behindDoc="0" locked="0" layoutInCell="1" allowOverlap="1">
                      <wp:simplePos x="0" y="0"/>
                      <wp:positionH relativeFrom="column">
                        <wp:posOffset>424180</wp:posOffset>
                      </wp:positionH>
                      <wp:positionV relativeFrom="paragraph">
                        <wp:posOffset>161925</wp:posOffset>
                      </wp:positionV>
                      <wp:extent cx="2047875" cy="676275"/>
                      <wp:effectExtent l="5080" t="9525" r="13970" b="9525"/>
                      <wp:wrapNone/>
                      <wp:docPr id="65" name="AutoShap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676275"/>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3D32C4" w:rsidRDefault="00611E16" w:rsidP="00E83B4F">
                                  <w:pPr>
                                    <w:rPr>
                                      <w:sz w:val="20"/>
                                      <w:szCs w:val="20"/>
                                    </w:rPr>
                                  </w:pPr>
                                  <w:r w:rsidRPr="003D32C4">
                                    <w:rPr>
                                      <w:rFonts w:cstheme="minorHAnsi"/>
                                      <w:sz w:val="20"/>
                                      <w:szCs w:val="20"/>
                                    </w:rPr>
                                    <w:t>L’enregistrement des faits d’état civil et la production des statistiques vitales sont améliorés.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2" o:spid="_x0000_s1057" style="position:absolute;margin-left:33.4pt;margin-top:12.75pt;width:161.25pt;height:53.2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" fillcolor="#eaf1dd [662]">
                      <v:textbox>
                        <w:txbxContent>
                          <w:p w:rsidR="00611E16" w:rsidRPr="003D32C4" w:rsidRDefault="00611E16" w:rsidP="00E83B4F">
                            <w:pPr>
                              <w:rPr>
                                <w:sz w:val="20"/>
                                <w:szCs w:val="20"/>
                              </w:rPr>
                            </w:pPr>
                            <w:r w:rsidRPr="003D32C4">
                              <w:rPr>
                                <w:rFonts w:cstheme="minorHAnsi"/>
                                <w:sz w:val="20"/>
                                <w:szCs w:val="20"/>
                              </w:rPr>
                              <w:t>L’enregistrement des faits d’état civil et la production des statistiques vitales sont améliorés.</w:t>
                            </w:r>
                          </w:p>
                        </w:txbxContent>
                      </v:textbox>
                    </v:roundrect>
                  </w:pict>
                </mc:Fallback>
              </mc:AlternateContent>
            </w:r>
            <w:r>
              <w:rPr>
                <w:rFonts w:cstheme="minorHAnsi"/>
                <w:noProof/>
                <w:color w:val="000000" w:themeColor="text1"/>
                <w:sz w:val="24"/>
                <w:szCs w:val="24"/>
              </w:rPr>
              <mc:AlternateContent>
                <mc:Choice Requires="wps">
                  <w:drawing>
                    <wp:anchor distT="0" distB="0" distL="114300" distR="114300" simplePos="0" relativeHeight="251663872" behindDoc="0" locked="0" layoutInCell="1" allowOverlap="1">
                      <wp:simplePos x="0" y="0"/>
                      <wp:positionH relativeFrom="column">
                        <wp:posOffset>2414905</wp:posOffset>
                      </wp:positionH>
                      <wp:positionV relativeFrom="paragraph">
                        <wp:posOffset>100330</wp:posOffset>
                      </wp:positionV>
                      <wp:extent cx="4086225" cy="231775"/>
                      <wp:effectExtent l="14605" t="14605" r="33020" b="67945"/>
                      <wp:wrapNone/>
                      <wp:docPr id="37" name="Auto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86225" cy="231775"/>
                              </a:xfrm>
                              <a:prstGeom prst="straightConnector1">
                                <a:avLst/>
                              </a:prstGeom>
                              <a:noFill/>
                              <a:ln w="2857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6925F8" id="AutoShape 162" o:spid="_x0000_s1026" type="#_x0000_t32" style="position:absolute;margin-left:190.15pt;margin-top:7.9pt;width:321.75pt;height:18.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" strokecolor="#00b0f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64896" behindDoc="0" locked="0" layoutInCell="1" allowOverlap="1">
                      <wp:simplePos x="0" y="0"/>
                      <wp:positionH relativeFrom="column">
                        <wp:posOffset>2462530</wp:posOffset>
                      </wp:positionH>
                      <wp:positionV relativeFrom="paragraph">
                        <wp:posOffset>161290</wp:posOffset>
                      </wp:positionV>
                      <wp:extent cx="4086225" cy="225425"/>
                      <wp:effectExtent l="14605" t="75565" r="33020" b="22860"/>
                      <wp:wrapNone/>
                      <wp:docPr id="34" name="Auto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86225" cy="225425"/>
                              </a:xfrm>
                              <a:prstGeom prst="straightConnector1">
                                <a:avLst/>
                              </a:prstGeom>
                              <a:noFill/>
                              <a:ln w="2857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402B8" id="AutoShape 163" o:spid="_x0000_s1026" type="#_x0000_t32" style="position:absolute;margin-left:193.9pt;margin-top:12.7pt;width:321.75pt;height:17.75pt;flip: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" strokecolor="#00b0f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65920" behindDoc="0" locked="0" layoutInCell="1" allowOverlap="1">
                      <wp:simplePos x="0" y="0"/>
                      <wp:positionH relativeFrom="column">
                        <wp:posOffset>2462530</wp:posOffset>
                      </wp:positionH>
                      <wp:positionV relativeFrom="paragraph">
                        <wp:posOffset>112395</wp:posOffset>
                      </wp:positionV>
                      <wp:extent cx="4086225" cy="833755"/>
                      <wp:effectExtent l="14605" t="74295" r="42545" b="15875"/>
                      <wp:wrapNone/>
                      <wp:docPr id="33" name="Auto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86225" cy="833755"/>
                              </a:xfrm>
                              <a:prstGeom prst="straightConnector1">
                                <a:avLst/>
                              </a:prstGeom>
                              <a:noFill/>
                              <a:ln w="2857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06555D" id="AutoShape 164" o:spid="_x0000_s1026" type="#_x0000_t32" style="position:absolute;margin-left:193.9pt;margin-top:8.85pt;width:321.75pt;height:65.65pt;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" strokecolor="#00b0f0" strokeweight="2.25pt">
                      <v:stroke endarrow="block"/>
                    </v:shape>
                  </w:pict>
                </mc:Fallback>
              </mc:AlternateContent>
            </w:r>
            <w:r>
              <w:rPr>
                <w:rFonts w:cstheme="minorHAnsi"/>
                <w:noProof/>
                <w:color w:val="000000" w:themeColor="text1"/>
                <w:sz w:val="24"/>
                <w:szCs w:val="24"/>
              </w:rPr>
              <mc:AlternateContent>
                <mc:Choice Requires="wps">
                  <w:drawing>
                    <wp:anchor distT="0" distB="0" distL="114300" distR="114300" simplePos="0" relativeHeight="251660800" behindDoc="0" locked="0" layoutInCell="1" allowOverlap="1">
                      <wp:simplePos x="0" y="0"/>
                      <wp:positionH relativeFrom="column">
                        <wp:posOffset>2462530</wp:posOffset>
                      </wp:positionH>
                      <wp:positionV relativeFrom="paragraph">
                        <wp:posOffset>-6350</wp:posOffset>
                      </wp:positionV>
                      <wp:extent cx="152400" cy="0"/>
                      <wp:effectExtent l="14605" t="22225" r="23495" b="15875"/>
                      <wp:wrapNone/>
                      <wp:docPr id="32" name="Auto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2857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222AF8" id="AutoShape 159" o:spid="_x0000_s1026" type="#_x0000_t32" style="position:absolute;margin-left:193.9pt;margin-top:-.5pt;width:12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" strokecolor="#00b0f0" strokeweight="2.25pt"/>
                  </w:pict>
                </mc:Fallback>
              </mc:AlternateContent>
            </w:r>
            <w:r>
              <w:rPr>
                <w:rFonts w:cstheme="minorHAnsi"/>
                <w:noProof/>
                <w:color w:val="000000" w:themeColor="text1"/>
                <w:sz w:val="24"/>
                <w:szCs w:val="24"/>
              </w:rPr>
              <mc:AlternateContent>
                <mc:Choice Requires="wps">
                  <w:drawing>
                    <wp:anchor distT="0" distB="0" distL="114300" distR="114300" simplePos="0" relativeHeight="251647488" behindDoc="0" locked="0" layoutInCell="1" allowOverlap="1">
                      <wp:simplePos x="0" y="0"/>
                      <wp:positionH relativeFrom="column">
                        <wp:posOffset>-33020</wp:posOffset>
                      </wp:positionH>
                      <wp:positionV relativeFrom="paragraph">
                        <wp:posOffset>112395</wp:posOffset>
                      </wp:positionV>
                      <wp:extent cx="447675" cy="0"/>
                      <wp:effectExtent l="14605" t="74295" r="33020" b="68580"/>
                      <wp:wrapNone/>
                      <wp:docPr id="11" name="Auto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 cy="0"/>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895C8F" id="AutoShape 146" o:spid="_x0000_s1026" type="#_x0000_t32" style="position:absolute;margin-left:-2.6pt;margin-top:8.85pt;width:35.25pt;height:0;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" strokecolor="#ffc00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55680" behindDoc="0" locked="0" layoutInCell="1" allowOverlap="1">
                      <wp:simplePos x="0" y="0"/>
                      <wp:positionH relativeFrom="column">
                        <wp:posOffset>62230</wp:posOffset>
                      </wp:positionH>
                      <wp:positionV relativeFrom="paragraph">
                        <wp:posOffset>29210</wp:posOffset>
                      </wp:positionV>
                      <wp:extent cx="361950" cy="0"/>
                      <wp:effectExtent l="14605" t="67310" r="33020" b="75565"/>
                      <wp:wrapNone/>
                      <wp:docPr id="10" name="Auto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18A54E" id="AutoShape 154" o:spid="_x0000_s1026" type="#_x0000_t32" style="position:absolute;margin-left:4.9pt;margin-top:2.3pt;width:28.5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" strokecolor="#7030a0" strokeweight="2.25pt">
                      <v:stroke endarrow="block"/>
                    </v:shape>
                  </w:pict>
                </mc:Fallback>
              </mc:AlternateContent>
            </w:r>
          </w:p>
          <w:p w:rsidR="008C289F" w:rsidRDefault="008C289F" w:rsidP="00671B58">
            <w:pPr>
              <w:rPr>
                <w:rFonts w:cstheme="minorHAnsi"/>
                <w:color w:val="000000" w:themeColor="text1"/>
                <w:sz w:val="24"/>
                <w:szCs w:val="24"/>
              </w:rPr>
            </w:pP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34176" behindDoc="0" locked="0" layoutInCell="1" allowOverlap="1">
                      <wp:simplePos x="0" y="0"/>
                      <wp:positionH relativeFrom="column">
                        <wp:posOffset>424180</wp:posOffset>
                      </wp:positionH>
                      <wp:positionV relativeFrom="paragraph">
                        <wp:posOffset>24130</wp:posOffset>
                      </wp:positionV>
                      <wp:extent cx="2047875" cy="855980"/>
                      <wp:effectExtent l="5080" t="5080" r="13970" b="5715"/>
                      <wp:wrapNone/>
                      <wp:docPr id="9"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855980"/>
                              </a:xfrm>
                              <a:prstGeom prst="roundRect">
                                <a:avLst>
                                  <a:gd name="adj" fmla="val 16667"/>
                                </a:avLst>
                              </a:prstGeom>
                              <a:solidFill>
                                <a:schemeClr val="accent3">
                                  <a:lumMod val="20000"/>
                                  <a:lumOff val="80000"/>
                                </a:schemeClr>
                              </a:solidFill>
                              <a:ln w="9525">
                                <a:solidFill>
                                  <a:srgbClr val="000000"/>
                                </a:solidFill>
                                <a:round/>
                                <a:headEnd/>
                                <a:tailEnd/>
                              </a:ln>
                            </wps:spPr>
                            <wps:txbx>
                              <w:txbxContent>
                                <w:p w:rsidR="00611E16" w:rsidRPr="00352012" w:rsidRDefault="00611E16" w:rsidP="00E83B4F">
                                  <w:pPr>
                                    <w:rPr>
                                      <w:rFonts w:asciiTheme="majorHAnsi" w:hAnsiTheme="majorHAnsi" w:cstheme="majorHAnsi"/>
                                      <w:color w:val="000000"/>
                                      <w:sz w:val="20"/>
                                      <w:szCs w:val="20"/>
                                    </w:rPr>
                                  </w:pPr>
                                  <w:r w:rsidRPr="00352012">
                                    <w:rPr>
                                      <w:rFonts w:asciiTheme="majorHAnsi" w:hAnsiTheme="majorHAnsi" w:cstheme="majorHAnsi"/>
                                      <w:color w:val="000000"/>
                                      <w:sz w:val="20"/>
                                      <w:szCs w:val="20"/>
                                    </w:rPr>
                                    <w:t xml:space="preserve">La coordination des actions intra et intersectorielles en faveur de </w:t>
                                  </w:r>
                                  <w:r>
                                    <w:rPr>
                                      <w:rFonts w:asciiTheme="majorHAnsi" w:hAnsiTheme="majorHAnsi" w:cstheme="majorHAnsi"/>
                                      <w:color w:val="000000"/>
                                      <w:sz w:val="20"/>
                                      <w:szCs w:val="20"/>
                                    </w:rPr>
                                    <w:t>la santé et de</w:t>
                                  </w:r>
                                  <w:r w:rsidRPr="00352012">
                                    <w:rPr>
                                      <w:rFonts w:asciiTheme="majorHAnsi" w:hAnsiTheme="majorHAnsi" w:cstheme="majorHAnsi"/>
                                      <w:color w:val="000000"/>
                                      <w:sz w:val="20"/>
                                      <w:szCs w:val="20"/>
                                    </w:rPr>
                                    <w:t xml:space="preserve"> ses déterminants</w:t>
                                  </w:r>
                                  <w:r w:rsidRPr="00352012">
                                    <w:rPr>
                                      <w:rFonts w:asciiTheme="majorHAnsi" w:hAnsiTheme="majorHAnsi" w:cstheme="majorHAnsi"/>
                                      <w:sz w:val="20"/>
                                      <w:szCs w:val="20"/>
                                    </w:rPr>
                                    <w:t xml:space="preserve"> est améliorée.</w:t>
                                  </w:r>
                                </w:p>
                                <w:p w:rsidR="00611E16" w:rsidRPr="00352012" w:rsidRDefault="00611E16" w:rsidP="00352012">
                                  <w:pPr>
                                    <w:rPr>
                                      <w:rFonts w:asciiTheme="majorHAnsi" w:hAnsiTheme="majorHAnsi" w:cstheme="majorHAnsi"/>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3" o:spid="_x0000_s1058" style="position:absolute;margin-left:33.4pt;margin-top:1.9pt;width:161.25pt;height:67.4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" fillcolor="#eaf1dd [662]">
                      <v:textbox>
                        <w:txbxContent>
                          <w:p w:rsidR="00611E16" w:rsidRPr="00352012" w:rsidRDefault="00611E16" w:rsidP="00E83B4F">
                            <w:pPr>
                              <w:rPr>
                                <w:rFonts w:asciiTheme="majorHAnsi" w:hAnsiTheme="majorHAnsi" w:cstheme="majorHAnsi"/>
                                <w:color w:val="000000"/>
                                <w:sz w:val="20"/>
                                <w:szCs w:val="20"/>
                              </w:rPr>
                            </w:pPr>
                            <w:r w:rsidRPr="00352012">
                              <w:rPr>
                                <w:rFonts w:asciiTheme="majorHAnsi" w:hAnsiTheme="majorHAnsi" w:cstheme="majorHAnsi"/>
                                <w:color w:val="000000"/>
                                <w:sz w:val="20"/>
                                <w:szCs w:val="20"/>
                              </w:rPr>
                              <w:t xml:space="preserve">La coordination des actions intra et intersectorielles en faveur de </w:t>
                            </w:r>
                            <w:r>
                              <w:rPr>
                                <w:rFonts w:asciiTheme="majorHAnsi" w:hAnsiTheme="majorHAnsi" w:cstheme="majorHAnsi"/>
                                <w:color w:val="000000"/>
                                <w:sz w:val="20"/>
                                <w:szCs w:val="20"/>
                              </w:rPr>
                              <w:t>la santé et de</w:t>
                            </w:r>
                            <w:r w:rsidRPr="00352012">
                              <w:rPr>
                                <w:rFonts w:asciiTheme="majorHAnsi" w:hAnsiTheme="majorHAnsi" w:cstheme="majorHAnsi"/>
                                <w:color w:val="000000"/>
                                <w:sz w:val="20"/>
                                <w:szCs w:val="20"/>
                              </w:rPr>
                              <w:t xml:space="preserve"> ses déterminants</w:t>
                            </w:r>
                            <w:r w:rsidRPr="00352012">
                              <w:rPr>
                                <w:rFonts w:asciiTheme="majorHAnsi" w:hAnsiTheme="majorHAnsi" w:cstheme="majorHAnsi"/>
                                <w:sz w:val="20"/>
                                <w:szCs w:val="20"/>
                              </w:rPr>
                              <w:t xml:space="preserve"> est améliorée.</w:t>
                            </w:r>
                          </w:p>
                          <w:p w:rsidR="00611E16" w:rsidRPr="00352012" w:rsidRDefault="00611E16" w:rsidP="00352012">
                            <w:pPr>
                              <w:rPr>
                                <w:rFonts w:asciiTheme="majorHAnsi" w:hAnsiTheme="majorHAnsi" w:cstheme="majorHAnsi"/>
                                <w:sz w:val="20"/>
                                <w:szCs w:val="20"/>
                              </w:rPr>
                            </w:pPr>
                          </w:p>
                        </w:txbxContent>
                      </v:textbox>
                    </v:roundrect>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54656" behindDoc="0" locked="0" layoutInCell="1" allowOverlap="1">
                      <wp:simplePos x="0" y="0"/>
                      <wp:positionH relativeFrom="column">
                        <wp:posOffset>52705</wp:posOffset>
                      </wp:positionH>
                      <wp:positionV relativeFrom="paragraph">
                        <wp:posOffset>112395</wp:posOffset>
                      </wp:positionV>
                      <wp:extent cx="361950" cy="0"/>
                      <wp:effectExtent l="14605" t="74295" r="33020" b="68580"/>
                      <wp:wrapNone/>
                      <wp:docPr id="7" name="Auto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28575">
                                <a:solidFill>
                                  <a:srgbClr val="7030A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8FAA0" id="AutoShape 153" o:spid="_x0000_s1026" type="#_x0000_t32" style="position:absolute;margin-left:4.15pt;margin-top:8.85pt;width:28.5pt;height: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" strokecolor="#7030a0" strokeweight="2.25pt">
                      <v:stroke endarrow="block"/>
                    </v:shape>
                  </w:pict>
                </mc:Fallback>
              </mc:AlternateContent>
            </w:r>
          </w:p>
          <w:p w:rsidR="008C289F" w:rsidRDefault="004B0495" w:rsidP="00671B58">
            <w:pPr>
              <w:rPr>
                <w:rFonts w:cstheme="minorHAnsi"/>
                <w:color w:val="000000" w:themeColor="text1"/>
                <w:sz w:val="24"/>
                <w:szCs w:val="24"/>
              </w:rPr>
            </w:pPr>
            <w:r>
              <w:rPr>
                <w:rFonts w:cstheme="minorHAnsi"/>
                <w:noProof/>
                <w:color w:val="000000" w:themeColor="text1"/>
                <w:sz w:val="24"/>
                <w:szCs w:val="24"/>
              </w:rPr>
              <mc:AlternateContent>
                <mc:Choice Requires="wps">
                  <w:drawing>
                    <wp:anchor distT="0" distB="0" distL="114300" distR="114300" simplePos="0" relativeHeight="251648512" behindDoc="0" locked="0" layoutInCell="1" allowOverlap="1">
                      <wp:simplePos x="0" y="0"/>
                      <wp:positionH relativeFrom="column">
                        <wp:posOffset>-33020</wp:posOffset>
                      </wp:positionH>
                      <wp:positionV relativeFrom="paragraph">
                        <wp:posOffset>123825</wp:posOffset>
                      </wp:positionV>
                      <wp:extent cx="447675" cy="635"/>
                      <wp:effectExtent l="14605" t="66675" r="33020" b="75565"/>
                      <wp:wrapNone/>
                      <wp:docPr id="6"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 cy="635"/>
                              </a:xfrm>
                              <a:prstGeom prst="straightConnector1">
                                <a:avLst/>
                              </a:prstGeom>
                              <a:noFill/>
                              <a:ln w="28575">
                                <a:solidFill>
                                  <a:srgbClr val="FFC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636CA6" id="AutoShape 147" o:spid="_x0000_s1026" type="#_x0000_t32" style="position:absolute;margin-left:-2.6pt;margin-top:9.75pt;width:35.25pt;height:.0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" strokecolor="#ffc000" strokeweight="2.25pt">
                      <v:stroke endarrow="block"/>
                    </v:shape>
                  </w:pict>
                </mc:Fallback>
              </mc:AlternateContent>
            </w:r>
          </w:p>
          <w:p w:rsidR="008C289F" w:rsidRDefault="008C289F" w:rsidP="00671B58">
            <w:pPr>
              <w:rPr>
                <w:rFonts w:cstheme="minorHAnsi"/>
                <w:color w:val="000000" w:themeColor="text1"/>
                <w:sz w:val="24"/>
                <w:szCs w:val="24"/>
              </w:rPr>
            </w:pPr>
          </w:p>
        </w:tc>
      </w:tr>
    </w:tbl>
    <w:p w:rsidR="008C289F" w:rsidRDefault="008C289F" w:rsidP="00FD5086">
      <w:pPr>
        <w:jc w:val="both"/>
        <w:rPr>
          <w:color w:val="000000"/>
          <w:sz w:val="24"/>
          <w:szCs w:val="24"/>
        </w:rPr>
        <w:sectPr w:rsidR="008C289F" w:rsidSect="008C289F">
          <w:pgSz w:w="16838" w:h="11906" w:orient="landscape"/>
          <w:pgMar w:top="1417" w:right="1417" w:bottom="1417" w:left="1417" w:header="708" w:footer="708" w:gutter="0"/>
          <w:cols w:space="708"/>
          <w:docGrid w:linePitch="360"/>
        </w:sectPr>
      </w:pPr>
    </w:p>
    <w:p w:rsidR="00FD5086" w:rsidRPr="005E75A7" w:rsidRDefault="00FD5086" w:rsidP="00E640E2">
      <w:pPr>
        <w:pStyle w:val="Paragraphedeliste"/>
        <w:numPr>
          <w:ilvl w:val="2"/>
          <w:numId w:val="120"/>
        </w:numPr>
        <w:spacing w:before="240"/>
        <w:ind w:left="567" w:hanging="709"/>
        <w:rPr>
          <w:rFonts w:cstheme="minorHAnsi"/>
          <w:b/>
          <w:sz w:val="24"/>
          <w:szCs w:val="24"/>
        </w:rPr>
      </w:pPr>
      <w:r w:rsidRPr="005E75A7">
        <w:rPr>
          <w:b/>
          <w:color w:val="000000"/>
          <w:sz w:val="24"/>
          <w:szCs w:val="24"/>
        </w:rPr>
        <w:t>R</w:t>
      </w:r>
      <w:r w:rsidR="005E75A7" w:rsidRPr="005E75A7">
        <w:rPr>
          <w:b/>
          <w:sz w:val="24"/>
          <w:szCs w:val="24"/>
        </w:rPr>
        <w:t>isques externes au système, hypothèses  et mesures d’atténuation</w:t>
      </w:r>
      <w:r w:rsidR="005E75A7">
        <w:rPr>
          <w:b/>
          <w:sz w:val="24"/>
          <w:szCs w:val="24"/>
        </w:rPr>
        <w:t>.</w:t>
      </w:r>
    </w:p>
    <w:p w:rsidR="00FD5086" w:rsidRPr="009D4B82" w:rsidRDefault="00FD5086" w:rsidP="005E75A7">
      <w:pPr>
        <w:spacing w:after="0"/>
        <w:jc w:val="both"/>
        <w:rPr>
          <w:rFonts w:cstheme="minorHAnsi"/>
          <w:color w:val="000000" w:themeColor="text1"/>
          <w:sz w:val="24"/>
          <w:szCs w:val="24"/>
        </w:rPr>
      </w:pPr>
      <w:r w:rsidRPr="009D4B82">
        <w:rPr>
          <w:rFonts w:cstheme="minorHAnsi"/>
          <w:color w:val="000000" w:themeColor="text1"/>
          <w:sz w:val="24"/>
          <w:szCs w:val="24"/>
        </w:rPr>
        <w:t xml:space="preserve">Ils existent quelques risques externes, pour lesquels il convient de discuter des mesures d’atténuation : </w:t>
      </w:r>
    </w:p>
    <w:p w:rsidR="00FD5086" w:rsidRPr="00EA7794" w:rsidRDefault="00FD5086" w:rsidP="005D02C3">
      <w:pPr>
        <w:numPr>
          <w:ilvl w:val="0"/>
          <w:numId w:val="84"/>
        </w:numPr>
        <w:spacing w:after="0"/>
        <w:ind w:right="-29"/>
        <w:jc w:val="both"/>
        <w:rPr>
          <w:rFonts w:cstheme="minorHAnsi"/>
          <w:b/>
          <w:color w:val="000000" w:themeColor="text1"/>
          <w:sz w:val="24"/>
          <w:szCs w:val="24"/>
        </w:rPr>
      </w:pPr>
      <w:r w:rsidRPr="00EA7794">
        <w:rPr>
          <w:rFonts w:cstheme="minorHAnsi"/>
          <w:b/>
          <w:color w:val="000000" w:themeColor="text1"/>
          <w:sz w:val="24"/>
          <w:szCs w:val="24"/>
        </w:rPr>
        <w:t xml:space="preserve">Les crises politico-sociales: </w:t>
      </w:r>
    </w:p>
    <w:p w:rsidR="00FD5086" w:rsidRPr="009D4B82" w:rsidRDefault="00FD5086" w:rsidP="005E75A7">
      <w:pPr>
        <w:spacing w:after="0"/>
        <w:ind w:left="450" w:right="-29"/>
        <w:jc w:val="both"/>
        <w:rPr>
          <w:rFonts w:cstheme="minorHAnsi"/>
          <w:color w:val="000000" w:themeColor="text1"/>
          <w:sz w:val="24"/>
          <w:szCs w:val="24"/>
        </w:rPr>
      </w:pPr>
      <w:r w:rsidRPr="009D4B82">
        <w:rPr>
          <w:rFonts w:cstheme="minorHAnsi"/>
          <w:color w:val="000000" w:themeColor="text1"/>
          <w:sz w:val="24"/>
          <w:szCs w:val="24"/>
        </w:rPr>
        <w:t xml:space="preserve">Au cours de cette décennie, plusieurs crises politico-sociales sont venues perturber les programmes de développement du pays dont celui du développement sanitaire. Pour réduire l’impact des troubles sur la </w:t>
      </w:r>
      <w:r>
        <w:rPr>
          <w:rFonts w:cstheme="minorHAnsi"/>
          <w:color w:val="000000" w:themeColor="text1"/>
          <w:sz w:val="24"/>
          <w:szCs w:val="24"/>
        </w:rPr>
        <w:t>mise en œuvre du DI-SRMNEAN-ECSV</w:t>
      </w:r>
      <w:r w:rsidRPr="009D4B82">
        <w:rPr>
          <w:rFonts w:cstheme="minorHAnsi"/>
          <w:color w:val="000000" w:themeColor="text1"/>
          <w:sz w:val="24"/>
          <w:szCs w:val="24"/>
        </w:rPr>
        <w:t xml:space="preserve">, </w:t>
      </w:r>
      <w:r>
        <w:rPr>
          <w:rFonts w:cstheme="minorHAnsi"/>
          <w:color w:val="000000" w:themeColor="text1"/>
          <w:sz w:val="24"/>
          <w:szCs w:val="24"/>
        </w:rPr>
        <w:t xml:space="preserve">une planification opérationnelle réaliste de type glissant devrait permettre de reporter sur les années suivantes les activités qui ont été retardées. </w:t>
      </w:r>
    </w:p>
    <w:p w:rsidR="00FD5086" w:rsidRPr="00EA7794" w:rsidRDefault="00FD5086" w:rsidP="005D02C3">
      <w:pPr>
        <w:numPr>
          <w:ilvl w:val="0"/>
          <w:numId w:val="84"/>
        </w:numPr>
        <w:autoSpaceDE w:val="0"/>
        <w:autoSpaceDN w:val="0"/>
        <w:adjustRightInd w:val="0"/>
        <w:spacing w:after="0"/>
        <w:ind w:right="-29"/>
        <w:jc w:val="both"/>
        <w:rPr>
          <w:rFonts w:cstheme="minorHAnsi"/>
          <w:b/>
          <w:color w:val="000000" w:themeColor="text1"/>
          <w:sz w:val="24"/>
          <w:szCs w:val="24"/>
        </w:rPr>
      </w:pPr>
      <w:r w:rsidRPr="00EA7794">
        <w:rPr>
          <w:rFonts w:cstheme="minorHAnsi"/>
          <w:b/>
          <w:color w:val="000000" w:themeColor="text1"/>
          <w:sz w:val="24"/>
          <w:szCs w:val="24"/>
        </w:rPr>
        <w:t xml:space="preserve">Les catastrophes naturelles </w:t>
      </w:r>
    </w:p>
    <w:p w:rsidR="00FD5086" w:rsidRDefault="00FD5086" w:rsidP="005E75A7">
      <w:pPr>
        <w:autoSpaceDE w:val="0"/>
        <w:autoSpaceDN w:val="0"/>
        <w:adjustRightInd w:val="0"/>
        <w:spacing w:after="0"/>
        <w:ind w:left="450" w:right="-29"/>
        <w:jc w:val="both"/>
        <w:rPr>
          <w:rFonts w:cstheme="minorHAnsi"/>
          <w:color w:val="000000" w:themeColor="text1"/>
          <w:sz w:val="24"/>
          <w:szCs w:val="24"/>
        </w:rPr>
      </w:pPr>
      <w:r>
        <w:rPr>
          <w:rFonts w:cstheme="minorHAnsi"/>
          <w:color w:val="000000" w:themeColor="text1"/>
          <w:sz w:val="24"/>
          <w:szCs w:val="24"/>
        </w:rPr>
        <w:t xml:space="preserve">Le </w:t>
      </w:r>
      <w:r w:rsidRPr="009D4B82">
        <w:rPr>
          <w:rFonts w:cstheme="minorHAnsi"/>
          <w:color w:val="000000" w:themeColor="text1"/>
          <w:sz w:val="24"/>
          <w:szCs w:val="24"/>
        </w:rPr>
        <w:t>Burkina Faso</w:t>
      </w:r>
      <w:r>
        <w:rPr>
          <w:rFonts w:cstheme="minorHAnsi"/>
          <w:color w:val="000000" w:themeColor="text1"/>
          <w:sz w:val="24"/>
          <w:szCs w:val="24"/>
        </w:rPr>
        <w:t xml:space="preserve"> est exposé, de manière de plus en récurrente</w:t>
      </w:r>
      <w:r w:rsidRPr="009D4B82">
        <w:rPr>
          <w:rFonts w:cstheme="minorHAnsi"/>
          <w:color w:val="000000" w:themeColor="text1"/>
          <w:sz w:val="24"/>
          <w:szCs w:val="24"/>
        </w:rPr>
        <w:t xml:space="preserve">, </w:t>
      </w:r>
      <w:r>
        <w:rPr>
          <w:rFonts w:cstheme="minorHAnsi"/>
          <w:color w:val="000000" w:themeColor="text1"/>
          <w:sz w:val="24"/>
          <w:szCs w:val="24"/>
        </w:rPr>
        <w:t>à des catastrophes naturelles dont les épidémies (M</w:t>
      </w:r>
      <w:r w:rsidRPr="009D4B82">
        <w:rPr>
          <w:rFonts w:cstheme="minorHAnsi"/>
          <w:color w:val="000000" w:themeColor="text1"/>
          <w:sz w:val="24"/>
          <w:szCs w:val="24"/>
        </w:rPr>
        <w:t>énin</w:t>
      </w:r>
      <w:r>
        <w:rPr>
          <w:rFonts w:cstheme="minorHAnsi"/>
          <w:color w:val="000000" w:themeColor="text1"/>
          <w:sz w:val="24"/>
          <w:szCs w:val="24"/>
        </w:rPr>
        <w:t>gite, Grippe aviaire),</w:t>
      </w:r>
      <w:r w:rsidRPr="009D4B82">
        <w:rPr>
          <w:rFonts w:cstheme="minorHAnsi"/>
          <w:color w:val="000000" w:themeColor="text1"/>
          <w:sz w:val="24"/>
          <w:szCs w:val="24"/>
        </w:rPr>
        <w:t xml:space="preserve"> les sécheresses, les inondations, les invasi</w:t>
      </w:r>
      <w:r>
        <w:rPr>
          <w:rFonts w:cstheme="minorHAnsi"/>
          <w:color w:val="000000" w:themeColor="text1"/>
          <w:sz w:val="24"/>
          <w:szCs w:val="24"/>
        </w:rPr>
        <w:t xml:space="preserve">ons acridiennes et les déplacements massifs de populations.  </w:t>
      </w:r>
    </w:p>
    <w:p w:rsidR="00FD5086" w:rsidRPr="009D4B82" w:rsidRDefault="00FD5086" w:rsidP="005E75A7">
      <w:pPr>
        <w:autoSpaceDE w:val="0"/>
        <w:autoSpaceDN w:val="0"/>
        <w:adjustRightInd w:val="0"/>
        <w:spacing w:after="0"/>
        <w:ind w:left="450" w:right="-29"/>
        <w:jc w:val="both"/>
        <w:rPr>
          <w:rFonts w:cstheme="minorHAnsi"/>
          <w:color w:val="000000" w:themeColor="text1"/>
          <w:sz w:val="24"/>
          <w:szCs w:val="24"/>
        </w:rPr>
      </w:pPr>
      <w:r>
        <w:rPr>
          <w:rFonts w:cstheme="minorHAnsi"/>
          <w:color w:val="000000" w:themeColor="text1"/>
          <w:sz w:val="24"/>
          <w:szCs w:val="24"/>
        </w:rPr>
        <w:t>Pour a</w:t>
      </w:r>
      <w:r w:rsidRPr="009D4B82">
        <w:rPr>
          <w:rFonts w:cstheme="minorHAnsi"/>
          <w:color w:val="000000" w:themeColor="text1"/>
          <w:sz w:val="24"/>
          <w:szCs w:val="24"/>
        </w:rPr>
        <w:t>méliorer l’état de santé des populations affectées et prévenir une détérioration de la santé des populations affectées</w:t>
      </w:r>
      <w:r>
        <w:rPr>
          <w:rFonts w:cstheme="minorHAnsi"/>
          <w:color w:val="000000" w:themeColor="text1"/>
          <w:sz w:val="24"/>
          <w:szCs w:val="24"/>
        </w:rPr>
        <w:t xml:space="preserve"> par les catastrophes naturelles, l</w:t>
      </w:r>
      <w:r w:rsidRPr="009D4B82">
        <w:rPr>
          <w:rFonts w:cstheme="minorHAnsi"/>
          <w:color w:val="000000" w:themeColor="text1"/>
          <w:sz w:val="24"/>
          <w:szCs w:val="24"/>
        </w:rPr>
        <w:t xml:space="preserve">e Plan National Multirisque de Préparation et de Réponse aux Catastrophes Naturelles et aux Crises Humanitaires </w:t>
      </w:r>
      <w:r>
        <w:rPr>
          <w:rFonts w:cstheme="minorHAnsi"/>
          <w:color w:val="000000" w:themeColor="text1"/>
          <w:sz w:val="24"/>
          <w:szCs w:val="24"/>
        </w:rPr>
        <w:t xml:space="preserve"> a été élaboré de manière intersectorielle et inclusive. D</w:t>
      </w:r>
      <w:r w:rsidRPr="009D4B82">
        <w:rPr>
          <w:rFonts w:cstheme="minorHAnsi"/>
          <w:color w:val="000000" w:themeColor="text1"/>
          <w:sz w:val="24"/>
          <w:szCs w:val="24"/>
        </w:rPr>
        <w:t xml:space="preserve">ans le domaine </w:t>
      </w:r>
      <w:r>
        <w:rPr>
          <w:rFonts w:cstheme="minorHAnsi"/>
          <w:color w:val="000000" w:themeColor="text1"/>
          <w:sz w:val="24"/>
          <w:szCs w:val="24"/>
        </w:rPr>
        <w:t xml:space="preserve">spécifique </w:t>
      </w:r>
      <w:r w:rsidRPr="009D4B82">
        <w:rPr>
          <w:rFonts w:cstheme="minorHAnsi"/>
          <w:color w:val="000000" w:themeColor="text1"/>
          <w:sz w:val="24"/>
          <w:szCs w:val="24"/>
        </w:rPr>
        <w:t xml:space="preserve">de la santé, </w:t>
      </w:r>
      <w:r>
        <w:rPr>
          <w:rFonts w:cstheme="minorHAnsi"/>
          <w:color w:val="000000" w:themeColor="text1"/>
          <w:sz w:val="24"/>
          <w:szCs w:val="24"/>
        </w:rPr>
        <w:t>ce plan permettra de rendre disponible un minimum de</w:t>
      </w:r>
      <w:r w:rsidRPr="009D4B82">
        <w:rPr>
          <w:rFonts w:cstheme="minorHAnsi"/>
          <w:color w:val="000000" w:themeColor="text1"/>
          <w:sz w:val="24"/>
          <w:szCs w:val="24"/>
        </w:rPr>
        <w:t xml:space="preserve"> ressources et d’intrants </w:t>
      </w:r>
      <w:r>
        <w:rPr>
          <w:rFonts w:cstheme="minorHAnsi"/>
          <w:color w:val="000000" w:themeColor="text1"/>
          <w:sz w:val="24"/>
          <w:szCs w:val="24"/>
        </w:rPr>
        <w:t xml:space="preserve">pour assurer les </w:t>
      </w:r>
      <w:r w:rsidRPr="009D4B82">
        <w:rPr>
          <w:rFonts w:cstheme="minorHAnsi"/>
          <w:color w:val="000000" w:themeColor="text1"/>
          <w:sz w:val="24"/>
          <w:szCs w:val="24"/>
        </w:rPr>
        <w:t xml:space="preserve">interventions d’urgence pour la prise en charge médicale des malades </w:t>
      </w:r>
      <w:r>
        <w:rPr>
          <w:rFonts w:cstheme="minorHAnsi"/>
          <w:color w:val="000000" w:themeColor="text1"/>
          <w:sz w:val="24"/>
          <w:szCs w:val="24"/>
        </w:rPr>
        <w:t xml:space="preserve">avec en priorité </w:t>
      </w:r>
      <w:r w:rsidRPr="009D4B82">
        <w:rPr>
          <w:rFonts w:cstheme="minorHAnsi"/>
          <w:color w:val="000000" w:themeColor="text1"/>
          <w:sz w:val="24"/>
          <w:szCs w:val="24"/>
        </w:rPr>
        <w:t>les femmes et les enfants de moins de cinq ans</w:t>
      </w:r>
      <w:r>
        <w:rPr>
          <w:rFonts w:cstheme="minorHAnsi"/>
          <w:color w:val="000000" w:themeColor="text1"/>
          <w:sz w:val="24"/>
          <w:szCs w:val="24"/>
        </w:rPr>
        <w:t xml:space="preserve">. Ces interventions d’urgence comprennent notamment </w:t>
      </w:r>
      <w:r w:rsidRPr="009D4B82">
        <w:rPr>
          <w:rFonts w:cstheme="minorHAnsi"/>
          <w:color w:val="000000" w:themeColor="text1"/>
          <w:sz w:val="24"/>
          <w:szCs w:val="24"/>
        </w:rPr>
        <w:t xml:space="preserve">la prise en charge des cas d’IST et </w:t>
      </w:r>
      <w:r>
        <w:rPr>
          <w:rFonts w:cstheme="minorHAnsi"/>
          <w:color w:val="000000" w:themeColor="text1"/>
          <w:sz w:val="24"/>
          <w:szCs w:val="24"/>
        </w:rPr>
        <w:t>de VIH/SIDA</w:t>
      </w:r>
      <w:r w:rsidRPr="009D4B82">
        <w:rPr>
          <w:rFonts w:cstheme="minorHAnsi"/>
          <w:color w:val="000000" w:themeColor="text1"/>
          <w:sz w:val="24"/>
          <w:szCs w:val="24"/>
        </w:rPr>
        <w:t>, la prévention de la transmission du VIH, la prévention de la survenue d’épidémies dans les communautés et la vaccination des populations cibles.</w:t>
      </w:r>
    </w:p>
    <w:p w:rsidR="00FD5086" w:rsidRPr="00EA7794" w:rsidRDefault="00FD5086" w:rsidP="005D02C3">
      <w:pPr>
        <w:numPr>
          <w:ilvl w:val="0"/>
          <w:numId w:val="84"/>
        </w:numPr>
        <w:autoSpaceDE w:val="0"/>
        <w:autoSpaceDN w:val="0"/>
        <w:adjustRightInd w:val="0"/>
        <w:spacing w:after="0"/>
        <w:ind w:right="-29"/>
        <w:jc w:val="both"/>
        <w:rPr>
          <w:rFonts w:cstheme="minorHAnsi"/>
          <w:b/>
          <w:color w:val="000000" w:themeColor="text1"/>
          <w:sz w:val="24"/>
          <w:szCs w:val="24"/>
        </w:rPr>
      </w:pPr>
      <w:r w:rsidRPr="00EA7794">
        <w:rPr>
          <w:rFonts w:cstheme="minorHAnsi"/>
          <w:b/>
          <w:color w:val="000000" w:themeColor="text1"/>
          <w:sz w:val="24"/>
          <w:szCs w:val="24"/>
        </w:rPr>
        <w:t xml:space="preserve">Le ralentissement de la croissance économique  </w:t>
      </w:r>
    </w:p>
    <w:p w:rsidR="00FD5086" w:rsidRPr="009D4B82" w:rsidRDefault="00FD5086" w:rsidP="00FD5086">
      <w:pPr>
        <w:autoSpaceDE w:val="0"/>
        <w:autoSpaceDN w:val="0"/>
        <w:adjustRightInd w:val="0"/>
        <w:ind w:left="450" w:right="-29"/>
        <w:jc w:val="both"/>
        <w:rPr>
          <w:rFonts w:cstheme="minorHAnsi"/>
          <w:color w:val="000000" w:themeColor="text1"/>
          <w:sz w:val="24"/>
          <w:szCs w:val="24"/>
        </w:rPr>
      </w:pPr>
      <w:r w:rsidRPr="001F5F42">
        <w:rPr>
          <w:rFonts w:cstheme="minorHAnsi"/>
          <w:color w:val="000000" w:themeColor="text1"/>
          <w:sz w:val="24"/>
          <w:szCs w:val="24"/>
        </w:rPr>
        <w:t xml:space="preserve">Le ralentissement de la croissance </w:t>
      </w:r>
      <w:r>
        <w:rPr>
          <w:rFonts w:cstheme="minorHAnsi"/>
          <w:color w:val="000000" w:themeColor="text1"/>
          <w:sz w:val="24"/>
          <w:szCs w:val="24"/>
        </w:rPr>
        <w:t xml:space="preserve">et à fortiori une crise </w:t>
      </w:r>
      <w:r w:rsidRPr="001F5F42">
        <w:rPr>
          <w:rFonts w:cstheme="minorHAnsi"/>
          <w:color w:val="000000" w:themeColor="text1"/>
          <w:sz w:val="24"/>
          <w:szCs w:val="24"/>
        </w:rPr>
        <w:t>économique</w:t>
      </w:r>
      <w:r w:rsidRPr="009D4B82">
        <w:rPr>
          <w:rFonts w:cstheme="minorHAnsi"/>
          <w:color w:val="000000" w:themeColor="text1"/>
          <w:sz w:val="24"/>
          <w:szCs w:val="24"/>
        </w:rPr>
        <w:t> </w:t>
      </w:r>
      <w:r>
        <w:rPr>
          <w:rFonts w:cstheme="minorHAnsi"/>
          <w:color w:val="000000" w:themeColor="text1"/>
          <w:sz w:val="24"/>
          <w:szCs w:val="24"/>
        </w:rPr>
        <w:t>affecterait le volume des ressources extérieurs et des ressources intérieures pour le financement de la mise en œuvre du DI-SRMNEAN-ECSC. Le choix stratégique en faveur du renforcement de la Santé communautaire et des soins de santé primaires, pour toucher une plus grande partie de la population,  permettra d’améliorer le coût-efficacité des interventions. L</w:t>
      </w:r>
      <w:r w:rsidRPr="009D4B82">
        <w:rPr>
          <w:rFonts w:cstheme="minorHAnsi"/>
          <w:color w:val="000000" w:themeColor="text1"/>
          <w:sz w:val="24"/>
          <w:szCs w:val="24"/>
        </w:rPr>
        <w:t>a recherc</w:t>
      </w:r>
      <w:r>
        <w:rPr>
          <w:rFonts w:cstheme="minorHAnsi"/>
          <w:color w:val="000000" w:themeColor="text1"/>
          <w:sz w:val="24"/>
          <w:szCs w:val="24"/>
        </w:rPr>
        <w:t>he de financements innovants ou en provenance du secteur permettra de compenser la baisse des allocations du Gouvernement et de l’aide extérieure</w:t>
      </w:r>
      <w:r w:rsidRPr="009D4B82">
        <w:rPr>
          <w:rFonts w:cstheme="minorHAnsi"/>
          <w:color w:val="000000" w:themeColor="text1"/>
          <w:sz w:val="24"/>
          <w:szCs w:val="24"/>
        </w:rPr>
        <w:t>.</w:t>
      </w:r>
    </w:p>
    <w:p w:rsidR="00FD5086" w:rsidRPr="00EA7794" w:rsidRDefault="00FD5086" w:rsidP="005D02C3">
      <w:pPr>
        <w:numPr>
          <w:ilvl w:val="0"/>
          <w:numId w:val="84"/>
        </w:numPr>
        <w:spacing w:after="0"/>
        <w:ind w:right="-29"/>
        <w:jc w:val="both"/>
        <w:rPr>
          <w:rFonts w:cstheme="minorHAnsi"/>
          <w:b/>
          <w:color w:val="000000" w:themeColor="text1"/>
          <w:sz w:val="24"/>
          <w:szCs w:val="24"/>
        </w:rPr>
      </w:pPr>
      <w:r w:rsidRPr="00EA7794">
        <w:rPr>
          <w:rFonts w:cstheme="minorHAnsi"/>
          <w:b/>
          <w:color w:val="000000" w:themeColor="text1"/>
          <w:sz w:val="24"/>
          <w:szCs w:val="24"/>
        </w:rPr>
        <w:t xml:space="preserve">L’insécurité grandissante </w:t>
      </w:r>
    </w:p>
    <w:p w:rsidR="00FD5086" w:rsidRPr="009D4B82" w:rsidRDefault="00FD5086" w:rsidP="00FD5086">
      <w:pPr>
        <w:ind w:left="450" w:right="-29"/>
        <w:jc w:val="both"/>
        <w:rPr>
          <w:rFonts w:cstheme="minorHAnsi"/>
          <w:color w:val="000000" w:themeColor="text1"/>
          <w:sz w:val="24"/>
          <w:szCs w:val="24"/>
        </w:rPr>
      </w:pPr>
      <w:r w:rsidRPr="006B7E03">
        <w:rPr>
          <w:rFonts w:cstheme="minorHAnsi"/>
          <w:color w:val="000000" w:themeColor="text1"/>
          <w:sz w:val="24"/>
          <w:szCs w:val="24"/>
        </w:rPr>
        <w:t>L’insécurité grandissante dans plusieurs zones du pays</w:t>
      </w:r>
      <w:r w:rsidR="00B852A4">
        <w:rPr>
          <w:rFonts w:cstheme="minorHAnsi"/>
          <w:color w:val="000000" w:themeColor="text1"/>
          <w:sz w:val="24"/>
          <w:szCs w:val="24"/>
        </w:rPr>
        <w:t xml:space="preserve">, </w:t>
      </w:r>
      <w:r w:rsidRPr="009D4B82">
        <w:rPr>
          <w:rFonts w:cstheme="minorHAnsi"/>
          <w:color w:val="000000" w:themeColor="text1"/>
          <w:sz w:val="24"/>
          <w:szCs w:val="24"/>
        </w:rPr>
        <w:t>est un</w:t>
      </w:r>
      <w:r>
        <w:rPr>
          <w:rFonts w:cstheme="minorHAnsi"/>
          <w:color w:val="000000" w:themeColor="text1"/>
          <w:sz w:val="24"/>
          <w:szCs w:val="24"/>
        </w:rPr>
        <w:t>e entrave aux activités de santé (destruction de l’infrastructure et des équipements, fuite ou limitation de déplacement du personnel soignant). Les conséquences sont déjà visibles sur certaines activités comme la</w:t>
      </w:r>
      <w:r w:rsidRPr="009D4B82">
        <w:rPr>
          <w:rFonts w:cstheme="minorHAnsi"/>
          <w:color w:val="000000" w:themeColor="text1"/>
          <w:sz w:val="24"/>
          <w:szCs w:val="24"/>
        </w:rPr>
        <w:t xml:space="preserve"> vaccinat</w:t>
      </w:r>
      <w:r>
        <w:rPr>
          <w:rFonts w:cstheme="minorHAnsi"/>
          <w:color w:val="000000" w:themeColor="text1"/>
          <w:sz w:val="24"/>
          <w:szCs w:val="24"/>
        </w:rPr>
        <w:t>ion et</w:t>
      </w:r>
      <w:r w:rsidRPr="009D4B82">
        <w:rPr>
          <w:rFonts w:cstheme="minorHAnsi"/>
          <w:color w:val="000000" w:themeColor="text1"/>
          <w:sz w:val="24"/>
          <w:szCs w:val="24"/>
        </w:rPr>
        <w:t xml:space="preserve"> les sorties de supervision du personnel de santé et des ASBC. Cela engendre parfois le refus du personnel de travailler dans certaines zones. Pour mitiger ce risque, le plaidoyer sera fait auprès des autorités locales et du Gouvernement pour la prise de mesures de sécurité </w:t>
      </w:r>
      <w:r>
        <w:rPr>
          <w:rFonts w:cstheme="minorHAnsi"/>
          <w:color w:val="000000" w:themeColor="text1"/>
          <w:sz w:val="24"/>
          <w:szCs w:val="24"/>
        </w:rPr>
        <w:t>les plus appropriées pour la mise en œuvre des activités du DI-SRMNEAN-ECSV  et pour la protection de l’infrastructure et des équipements</w:t>
      </w:r>
      <w:r w:rsidRPr="009D4B82">
        <w:rPr>
          <w:rFonts w:cstheme="minorHAnsi"/>
          <w:color w:val="000000" w:themeColor="text1"/>
          <w:sz w:val="24"/>
          <w:szCs w:val="24"/>
        </w:rPr>
        <w:t>.</w:t>
      </w:r>
      <w:r>
        <w:rPr>
          <w:rFonts w:cstheme="minorHAnsi"/>
          <w:color w:val="000000" w:themeColor="text1"/>
          <w:sz w:val="24"/>
          <w:szCs w:val="24"/>
        </w:rPr>
        <w:t xml:space="preserve"> D’autre part l’approche communautaire avec utilisation de personnels endogènes, le recours aux potentialités de la télémédecine devrait permettre la couverture en services essentiels</w:t>
      </w:r>
      <w:r w:rsidRPr="009D4B82">
        <w:rPr>
          <w:rFonts w:cstheme="minorHAnsi"/>
          <w:color w:val="000000" w:themeColor="text1"/>
          <w:sz w:val="24"/>
          <w:szCs w:val="24"/>
        </w:rPr>
        <w:t xml:space="preserve"> </w:t>
      </w:r>
      <w:r>
        <w:rPr>
          <w:rFonts w:cstheme="minorHAnsi"/>
          <w:color w:val="000000" w:themeColor="text1"/>
          <w:sz w:val="24"/>
          <w:szCs w:val="24"/>
        </w:rPr>
        <w:t>des populations en zones de grande insécurité.</w:t>
      </w:r>
    </w:p>
    <w:p w:rsidR="00FD5086" w:rsidRPr="00EA7794" w:rsidRDefault="00D561B6" w:rsidP="005D02C3">
      <w:pPr>
        <w:pStyle w:val="Paragraphedeliste"/>
        <w:numPr>
          <w:ilvl w:val="0"/>
          <w:numId w:val="85"/>
        </w:numPr>
        <w:spacing w:line="276" w:lineRule="auto"/>
        <w:ind w:right="-29"/>
        <w:jc w:val="both"/>
        <w:rPr>
          <w:rFonts w:cstheme="minorHAnsi"/>
          <w:b/>
          <w:color w:val="000000" w:themeColor="text1"/>
          <w:sz w:val="24"/>
          <w:szCs w:val="24"/>
        </w:rPr>
      </w:pPr>
      <w:r>
        <w:rPr>
          <w:rFonts w:cstheme="minorHAnsi"/>
          <w:b/>
          <w:color w:val="000000" w:themeColor="text1"/>
          <w:sz w:val="24"/>
          <w:szCs w:val="24"/>
        </w:rPr>
        <w:t>La réticence</w:t>
      </w:r>
      <w:r w:rsidR="00053060">
        <w:rPr>
          <w:rFonts w:cstheme="minorHAnsi"/>
          <w:b/>
          <w:color w:val="000000" w:themeColor="text1"/>
          <w:sz w:val="24"/>
          <w:szCs w:val="24"/>
        </w:rPr>
        <w:t xml:space="preserve"> ou le </w:t>
      </w:r>
      <w:r w:rsidR="00FD5086" w:rsidRPr="00EA7794">
        <w:rPr>
          <w:rFonts w:cstheme="minorHAnsi"/>
          <w:b/>
          <w:color w:val="000000" w:themeColor="text1"/>
          <w:sz w:val="24"/>
          <w:szCs w:val="24"/>
        </w:rPr>
        <w:t xml:space="preserve">refus de certaines </w:t>
      </w:r>
      <w:r w:rsidR="00053060">
        <w:rPr>
          <w:rFonts w:cstheme="minorHAnsi"/>
          <w:b/>
          <w:color w:val="000000" w:themeColor="text1"/>
          <w:sz w:val="24"/>
          <w:szCs w:val="24"/>
        </w:rPr>
        <w:t xml:space="preserve">communautés pour accepter des interventions. </w:t>
      </w:r>
    </w:p>
    <w:p w:rsidR="008669CE" w:rsidRDefault="00FD5086" w:rsidP="003D786D">
      <w:pPr>
        <w:ind w:left="450" w:right="-29"/>
        <w:jc w:val="both"/>
        <w:rPr>
          <w:rFonts w:cstheme="minorHAnsi"/>
          <w:color w:val="000000" w:themeColor="text1"/>
          <w:sz w:val="24"/>
          <w:szCs w:val="24"/>
        </w:rPr>
      </w:pPr>
      <w:r>
        <w:rPr>
          <w:rFonts w:cstheme="minorHAnsi"/>
          <w:color w:val="000000" w:themeColor="text1"/>
          <w:sz w:val="24"/>
          <w:szCs w:val="24"/>
        </w:rPr>
        <w:t>L</w:t>
      </w:r>
      <w:r w:rsidRPr="009D4B82">
        <w:rPr>
          <w:rFonts w:cstheme="minorHAnsi"/>
          <w:color w:val="000000" w:themeColor="text1"/>
          <w:sz w:val="24"/>
          <w:szCs w:val="24"/>
        </w:rPr>
        <w:t xml:space="preserve">’utilisation effective </w:t>
      </w:r>
      <w:r>
        <w:rPr>
          <w:rFonts w:cstheme="minorHAnsi"/>
          <w:color w:val="000000" w:themeColor="text1"/>
          <w:sz w:val="24"/>
          <w:szCs w:val="24"/>
        </w:rPr>
        <w:t xml:space="preserve">de certains </w:t>
      </w:r>
      <w:r w:rsidRPr="009D4B82">
        <w:rPr>
          <w:rFonts w:cstheme="minorHAnsi"/>
          <w:color w:val="000000" w:themeColor="text1"/>
          <w:sz w:val="24"/>
          <w:szCs w:val="24"/>
        </w:rPr>
        <w:t xml:space="preserve">services </w:t>
      </w:r>
      <w:r>
        <w:rPr>
          <w:rFonts w:cstheme="minorHAnsi"/>
          <w:color w:val="000000" w:themeColor="text1"/>
          <w:sz w:val="24"/>
          <w:szCs w:val="24"/>
        </w:rPr>
        <w:t xml:space="preserve">comme la </w:t>
      </w:r>
      <w:r w:rsidRPr="009D4B82">
        <w:rPr>
          <w:rFonts w:cstheme="minorHAnsi"/>
          <w:color w:val="000000" w:themeColor="text1"/>
          <w:sz w:val="24"/>
          <w:szCs w:val="24"/>
        </w:rPr>
        <w:t xml:space="preserve">vaccination, </w:t>
      </w:r>
      <w:r w:rsidR="00D561B6">
        <w:rPr>
          <w:rFonts w:cstheme="minorHAnsi"/>
          <w:color w:val="000000" w:themeColor="text1"/>
          <w:sz w:val="24"/>
          <w:szCs w:val="24"/>
        </w:rPr>
        <w:t xml:space="preserve">la planification familiale, les </w:t>
      </w:r>
      <w:r w:rsidRPr="009D4B82">
        <w:rPr>
          <w:rFonts w:cstheme="minorHAnsi"/>
          <w:color w:val="000000" w:themeColor="text1"/>
          <w:sz w:val="24"/>
          <w:szCs w:val="24"/>
        </w:rPr>
        <w:t xml:space="preserve">accouchements assistés, </w:t>
      </w:r>
      <w:r w:rsidR="00D561B6">
        <w:rPr>
          <w:rFonts w:cstheme="minorHAnsi"/>
          <w:color w:val="000000" w:themeColor="text1"/>
          <w:sz w:val="24"/>
          <w:szCs w:val="24"/>
        </w:rPr>
        <w:t xml:space="preserve">les </w:t>
      </w:r>
      <w:r w:rsidRPr="009D4B82">
        <w:rPr>
          <w:rFonts w:cstheme="minorHAnsi"/>
          <w:color w:val="000000" w:themeColor="text1"/>
          <w:sz w:val="24"/>
          <w:szCs w:val="24"/>
        </w:rPr>
        <w:t xml:space="preserve">soins curatifs des enfants, </w:t>
      </w:r>
      <w:r w:rsidR="00D561B6">
        <w:rPr>
          <w:rFonts w:cstheme="minorHAnsi"/>
          <w:color w:val="000000" w:themeColor="text1"/>
          <w:sz w:val="24"/>
          <w:szCs w:val="24"/>
        </w:rPr>
        <w:t xml:space="preserve">la </w:t>
      </w:r>
      <w:r w:rsidRPr="009D4B82">
        <w:rPr>
          <w:rFonts w:cstheme="minorHAnsi"/>
          <w:color w:val="000000" w:themeColor="text1"/>
          <w:sz w:val="24"/>
          <w:szCs w:val="24"/>
        </w:rPr>
        <w:t xml:space="preserve">prévention </w:t>
      </w:r>
      <w:r>
        <w:rPr>
          <w:rFonts w:cstheme="minorHAnsi"/>
          <w:color w:val="000000" w:themeColor="text1"/>
          <w:sz w:val="24"/>
          <w:szCs w:val="24"/>
        </w:rPr>
        <w:t xml:space="preserve">du VIH et </w:t>
      </w:r>
      <w:r w:rsidR="00D561B6">
        <w:rPr>
          <w:rFonts w:cstheme="minorHAnsi"/>
          <w:color w:val="000000" w:themeColor="text1"/>
          <w:sz w:val="24"/>
          <w:szCs w:val="24"/>
        </w:rPr>
        <w:t xml:space="preserve">la </w:t>
      </w:r>
      <w:r>
        <w:rPr>
          <w:rFonts w:cstheme="minorHAnsi"/>
          <w:color w:val="000000" w:themeColor="text1"/>
          <w:sz w:val="24"/>
          <w:szCs w:val="24"/>
        </w:rPr>
        <w:t>santé des adolescents est entravée par la non demande par manque d’information ou par une information erronée ainsi que la persistance de comportements nuisibles à la santé. L’approche communautaire et la Communication pour le changement social de comportement devraient permettre d’amener les populations à adopter des comportements favorables à la santé.</w:t>
      </w:r>
    </w:p>
    <w:p w:rsidR="003D786D" w:rsidRDefault="003D786D" w:rsidP="00FD6406">
      <w:pPr>
        <w:pStyle w:val="Paragraphedeliste"/>
        <w:numPr>
          <w:ilvl w:val="1"/>
          <w:numId w:val="120"/>
        </w:numPr>
        <w:spacing w:after="200"/>
        <w:ind w:right="-29"/>
        <w:jc w:val="both"/>
        <w:rPr>
          <w:rFonts w:cstheme="minorHAnsi"/>
          <w:color w:val="000000" w:themeColor="text1"/>
          <w:sz w:val="24"/>
          <w:szCs w:val="24"/>
        </w:rPr>
      </w:pPr>
      <w:r>
        <w:rPr>
          <w:rFonts w:cstheme="minorHAnsi"/>
          <w:color w:val="000000" w:themeColor="text1"/>
          <w:sz w:val="24"/>
          <w:szCs w:val="24"/>
        </w:rPr>
        <w:t xml:space="preserve">CADRE PROGRAMMATIQUE </w:t>
      </w:r>
    </w:p>
    <w:p w:rsidR="003D786D" w:rsidRDefault="003D786D" w:rsidP="003D786D">
      <w:pPr>
        <w:pStyle w:val="Paragraphedeliste"/>
        <w:spacing w:line="276" w:lineRule="auto"/>
        <w:ind w:left="360" w:right="-29"/>
        <w:jc w:val="both"/>
        <w:rPr>
          <w:rFonts w:cstheme="minorHAnsi"/>
          <w:color w:val="000000" w:themeColor="text1"/>
          <w:sz w:val="24"/>
          <w:szCs w:val="24"/>
        </w:rPr>
      </w:pPr>
      <w:r>
        <w:rPr>
          <w:rFonts w:cstheme="minorHAnsi"/>
          <w:color w:val="000000" w:themeColor="text1"/>
          <w:sz w:val="24"/>
          <w:szCs w:val="24"/>
        </w:rPr>
        <w:t>Il s’agit d’un plan opérationnel reprenant les produits qui conduisent à la réalisation d’un effet par programme du Budget-Programme (Tableau 9).</w:t>
      </w:r>
    </w:p>
    <w:p w:rsidR="003D786D" w:rsidRDefault="003D786D" w:rsidP="003D786D">
      <w:pPr>
        <w:pStyle w:val="Paragraphedeliste"/>
        <w:spacing w:line="276" w:lineRule="auto"/>
        <w:ind w:left="360" w:right="-29"/>
        <w:jc w:val="both"/>
        <w:rPr>
          <w:rFonts w:cstheme="minorHAnsi"/>
          <w:color w:val="000000" w:themeColor="text1"/>
          <w:sz w:val="24"/>
          <w:szCs w:val="24"/>
        </w:rPr>
      </w:pPr>
      <w:r>
        <w:rPr>
          <w:rFonts w:cstheme="minorHAnsi"/>
          <w:color w:val="000000" w:themeColor="text1"/>
          <w:sz w:val="24"/>
          <w:szCs w:val="24"/>
        </w:rPr>
        <w:t>Ce plan détaille pour chaque produit les actions prioritaires ainsi que les activités.</w:t>
      </w:r>
    </w:p>
    <w:p w:rsidR="003D786D" w:rsidRDefault="003D786D" w:rsidP="003D786D">
      <w:pPr>
        <w:pStyle w:val="Paragraphedeliste"/>
        <w:spacing w:line="276" w:lineRule="auto"/>
        <w:ind w:left="360" w:right="-29"/>
        <w:jc w:val="both"/>
        <w:rPr>
          <w:rFonts w:cstheme="minorHAnsi"/>
          <w:color w:val="000000" w:themeColor="text1"/>
          <w:sz w:val="24"/>
          <w:szCs w:val="24"/>
        </w:rPr>
      </w:pPr>
      <w:r>
        <w:rPr>
          <w:rFonts w:cstheme="minorHAnsi"/>
          <w:color w:val="000000" w:themeColor="text1"/>
          <w:sz w:val="24"/>
          <w:szCs w:val="24"/>
        </w:rPr>
        <w:t>A partir de ce plan chaque Programme ou chaque direction pourra développer un plan triennal et des plans opérationnels annuels avec un chronogramme précis pour chaque activité.</w:t>
      </w:r>
    </w:p>
    <w:p w:rsidR="003D786D" w:rsidRDefault="003D786D" w:rsidP="003D786D">
      <w:pPr>
        <w:pStyle w:val="Paragraphedeliste"/>
        <w:ind w:left="360" w:right="-29"/>
        <w:jc w:val="both"/>
        <w:rPr>
          <w:rFonts w:cstheme="minorHAnsi"/>
          <w:color w:val="000000" w:themeColor="text1"/>
          <w:sz w:val="24"/>
          <w:szCs w:val="24"/>
        </w:rPr>
      </w:pPr>
    </w:p>
    <w:p w:rsidR="00356E7D" w:rsidRPr="00356E7D" w:rsidRDefault="00356E7D" w:rsidP="003D786D">
      <w:pPr>
        <w:ind w:right="-29"/>
        <w:jc w:val="both"/>
        <w:rPr>
          <w:rFonts w:cstheme="minorHAnsi"/>
          <w:color w:val="000000" w:themeColor="text1"/>
          <w:sz w:val="24"/>
          <w:szCs w:val="24"/>
        </w:rPr>
      </w:pPr>
    </w:p>
    <w:p w:rsidR="008669CE" w:rsidRDefault="008669CE" w:rsidP="00FD5086">
      <w:pPr>
        <w:ind w:left="450" w:right="-29"/>
        <w:jc w:val="both"/>
        <w:rPr>
          <w:rFonts w:cstheme="minorHAnsi"/>
          <w:color w:val="000000" w:themeColor="text1"/>
          <w:sz w:val="24"/>
          <w:szCs w:val="24"/>
        </w:rPr>
      </w:pPr>
    </w:p>
    <w:p w:rsidR="00BC72EA" w:rsidRDefault="00BC72EA" w:rsidP="00FD5086">
      <w:pPr>
        <w:ind w:left="450" w:right="-29"/>
        <w:jc w:val="both"/>
        <w:rPr>
          <w:rFonts w:cstheme="minorHAnsi"/>
          <w:color w:val="000000" w:themeColor="text1"/>
          <w:sz w:val="24"/>
          <w:szCs w:val="24"/>
        </w:rPr>
      </w:pPr>
    </w:p>
    <w:p w:rsidR="00BC72EA" w:rsidRDefault="00BC72EA" w:rsidP="00FD5086">
      <w:pPr>
        <w:ind w:left="450" w:right="-29"/>
        <w:jc w:val="both"/>
        <w:rPr>
          <w:rFonts w:cstheme="minorHAnsi"/>
          <w:color w:val="000000" w:themeColor="text1"/>
          <w:sz w:val="24"/>
          <w:szCs w:val="24"/>
        </w:rPr>
      </w:pPr>
    </w:p>
    <w:p w:rsidR="00BC72EA" w:rsidRDefault="00BC72EA" w:rsidP="00FD5086">
      <w:pPr>
        <w:ind w:left="450" w:right="-29"/>
        <w:jc w:val="both"/>
        <w:rPr>
          <w:rFonts w:cstheme="minorHAnsi"/>
          <w:color w:val="000000" w:themeColor="text1"/>
          <w:sz w:val="24"/>
          <w:szCs w:val="24"/>
        </w:rPr>
      </w:pPr>
    </w:p>
    <w:p w:rsidR="00BC72EA" w:rsidRDefault="00BC72EA" w:rsidP="00FD5086">
      <w:pPr>
        <w:ind w:left="450" w:right="-29"/>
        <w:jc w:val="both"/>
        <w:rPr>
          <w:rFonts w:cstheme="minorHAnsi"/>
          <w:color w:val="000000" w:themeColor="text1"/>
          <w:sz w:val="24"/>
          <w:szCs w:val="24"/>
        </w:rPr>
      </w:pPr>
    </w:p>
    <w:p w:rsidR="00BC72EA" w:rsidRDefault="00BC72EA" w:rsidP="00FD5086">
      <w:pPr>
        <w:ind w:left="450" w:right="-29"/>
        <w:jc w:val="both"/>
        <w:rPr>
          <w:rFonts w:cstheme="minorHAnsi"/>
          <w:color w:val="000000" w:themeColor="text1"/>
          <w:sz w:val="24"/>
          <w:szCs w:val="24"/>
        </w:rPr>
        <w:sectPr w:rsidR="00BC72EA" w:rsidSect="003339F3">
          <w:pgSz w:w="11906" w:h="16838"/>
          <w:pgMar w:top="1417" w:right="1417" w:bottom="1417" w:left="1417" w:header="708" w:footer="708" w:gutter="0"/>
          <w:cols w:space="708"/>
          <w:docGrid w:linePitch="360"/>
        </w:sectPr>
      </w:pPr>
    </w:p>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3260"/>
        <w:gridCol w:w="8221"/>
      </w:tblGrid>
      <w:tr w:rsidR="003373DE" w:rsidTr="003373DE">
        <w:tc>
          <w:tcPr>
            <w:tcW w:w="14283" w:type="dxa"/>
            <w:gridSpan w:val="3"/>
            <w:shd w:val="clear" w:color="auto" w:fill="FFFFFF"/>
          </w:tcPr>
          <w:p w:rsidR="003373DE" w:rsidRDefault="003373DE" w:rsidP="003373DE">
            <w:pPr>
              <w:pStyle w:val="Normal1"/>
              <w:jc w:val="both"/>
              <w:rPr>
                <w:b/>
                <w:sz w:val="24"/>
                <w:szCs w:val="24"/>
              </w:rPr>
            </w:pPr>
            <w:r>
              <w:rPr>
                <w:b/>
                <w:sz w:val="24"/>
                <w:szCs w:val="24"/>
              </w:rPr>
              <w:t>Tableau 9 : CADRE PROGRAMMATIQUE</w:t>
            </w:r>
          </w:p>
        </w:tc>
      </w:tr>
      <w:tr w:rsidR="003373DE" w:rsidRPr="00315516" w:rsidTr="003373DE">
        <w:tc>
          <w:tcPr>
            <w:tcW w:w="14283" w:type="dxa"/>
            <w:gridSpan w:val="3"/>
            <w:shd w:val="clear" w:color="auto" w:fill="FFFFFF"/>
          </w:tcPr>
          <w:p w:rsidR="003373DE" w:rsidRDefault="003373DE" w:rsidP="003373DE">
            <w:pPr>
              <w:pStyle w:val="Normal1"/>
              <w:spacing w:after="0"/>
              <w:jc w:val="both"/>
              <w:rPr>
                <w:b/>
                <w:i/>
                <w:sz w:val="24"/>
                <w:szCs w:val="24"/>
              </w:rPr>
            </w:pPr>
            <w:r>
              <w:rPr>
                <w:b/>
                <w:sz w:val="24"/>
                <w:szCs w:val="24"/>
              </w:rPr>
              <w:t xml:space="preserve">VISION : </w:t>
            </w:r>
            <w:r>
              <w:rPr>
                <w:b/>
                <w:i/>
                <w:sz w:val="24"/>
                <w:szCs w:val="24"/>
              </w:rPr>
              <w:t>Le Burkina Faso atteint le meilleur état de santé possible pour l’ensemble de la population, avec une attention particulière pour le</w:t>
            </w:r>
          </w:p>
          <w:p w:rsidR="003373DE" w:rsidRPr="00315516" w:rsidRDefault="003373DE" w:rsidP="003373DE">
            <w:pPr>
              <w:pStyle w:val="Normal1"/>
              <w:spacing w:after="0"/>
              <w:ind w:left="142"/>
              <w:jc w:val="both"/>
              <w:rPr>
                <w:b/>
                <w:sz w:val="24"/>
                <w:szCs w:val="24"/>
              </w:rPr>
            </w:pPr>
            <w:r>
              <w:rPr>
                <w:b/>
                <w:sz w:val="24"/>
                <w:szCs w:val="24"/>
              </w:rPr>
              <w:t xml:space="preserve">              </w:t>
            </w:r>
            <w:r>
              <w:rPr>
                <w:b/>
                <w:i/>
                <w:sz w:val="24"/>
                <w:szCs w:val="24"/>
              </w:rPr>
              <w:t xml:space="preserve"> Mère, le Nouveau-né, l’enfant, l’adolescent/jeune, à travers un système de santé national performant.</w:t>
            </w:r>
          </w:p>
        </w:tc>
      </w:tr>
      <w:tr w:rsidR="003373DE" w:rsidRPr="002E76DF" w:rsidTr="003373DE">
        <w:tc>
          <w:tcPr>
            <w:tcW w:w="14283" w:type="dxa"/>
            <w:gridSpan w:val="3"/>
            <w:shd w:val="clear" w:color="auto" w:fill="FFFFFF" w:themeFill="background1"/>
          </w:tcPr>
          <w:p w:rsidR="003373DE" w:rsidRPr="002E76DF" w:rsidRDefault="003373DE" w:rsidP="003373DE">
            <w:pPr>
              <w:pStyle w:val="Normal1"/>
              <w:shd w:val="clear" w:color="auto" w:fill="C6D9F1"/>
              <w:spacing w:after="0"/>
              <w:jc w:val="both"/>
            </w:pPr>
            <w:r w:rsidRPr="002E76DF">
              <w:rPr>
                <w:b/>
              </w:rPr>
              <w:t>OBJECTIF GENERAL : D’ici 2023, la mortalité maternelle est réduite de 295,6 à 231,2 décès maternels/100 000 naissances vivantes, la mortalité néo-natale de 19,7 à 12,9 pour 1000 naissances vivantes et la mortalité infanto-juvénile de 58,8 à 41,6 pour 1000 naissances vivantes.</w:t>
            </w:r>
          </w:p>
        </w:tc>
      </w:tr>
      <w:tr w:rsidR="003373DE" w:rsidRPr="002E76DF" w:rsidTr="003373DE">
        <w:tc>
          <w:tcPr>
            <w:tcW w:w="14283" w:type="dxa"/>
            <w:gridSpan w:val="3"/>
            <w:shd w:val="clear" w:color="auto" w:fill="FFFFFF"/>
          </w:tcPr>
          <w:p w:rsidR="003373DE" w:rsidRPr="002E76DF" w:rsidRDefault="003373DE" w:rsidP="003373DE">
            <w:pPr>
              <w:pStyle w:val="Normal1"/>
              <w:spacing w:after="0"/>
              <w:jc w:val="both"/>
              <w:rPr>
                <w:b/>
                <w:sz w:val="24"/>
                <w:szCs w:val="24"/>
              </w:rPr>
            </w:pPr>
            <w:r w:rsidRPr="002E76DF">
              <w:rPr>
                <w:b/>
                <w:sz w:val="24"/>
                <w:szCs w:val="24"/>
              </w:rPr>
              <w:t>EFFET 1 : L’UTILISATION DU PAQUET INTEGRE D’INTERVENTIONS DE SRMNEAN A HAUT IMPACT AUGMENTE</w:t>
            </w:r>
          </w:p>
          <w:p w:rsidR="003373DE" w:rsidRPr="002E76DF" w:rsidRDefault="003373DE" w:rsidP="003373DE">
            <w:pPr>
              <w:pStyle w:val="Normal1"/>
              <w:spacing w:after="0"/>
              <w:jc w:val="both"/>
              <w:rPr>
                <w:b/>
                <w:sz w:val="24"/>
                <w:szCs w:val="24"/>
              </w:rPr>
            </w:pPr>
            <w:r w:rsidRPr="002E76DF">
              <w:rPr>
                <w:b/>
                <w:sz w:val="24"/>
                <w:szCs w:val="24"/>
              </w:rPr>
              <w:t>PROGRAMME 03 : Prestations de services (056)</w:t>
            </w:r>
          </w:p>
        </w:tc>
      </w:tr>
      <w:tr w:rsidR="003373DE" w:rsidTr="003373DE">
        <w:trPr>
          <w:trHeight w:val="147"/>
        </w:trPr>
        <w:tc>
          <w:tcPr>
            <w:tcW w:w="2802" w:type="dxa"/>
            <w:shd w:val="clear" w:color="auto" w:fill="FFFFFF"/>
          </w:tcPr>
          <w:p w:rsidR="003373DE" w:rsidRDefault="003373DE" w:rsidP="003373DE">
            <w:pPr>
              <w:pStyle w:val="Normal1"/>
              <w:pBdr>
                <w:top w:val="nil"/>
                <w:left w:val="nil"/>
                <w:bottom w:val="nil"/>
                <w:right w:val="nil"/>
                <w:between w:val="nil"/>
              </w:pBdr>
              <w:spacing w:after="0" w:line="240" w:lineRule="auto"/>
              <w:ind w:left="720"/>
              <w:jc w:val="both"/>
              <w:rPr>
                <w:color w:val="000000"/>
                <w:sz w:val="20"/>
                <w:szCs w:val="20"/>
              </w:rPr>
            </w:pPr>
            <w:r>
              <w:rPr>
                <w:color w:val="000000"/>
                <w:sz w:val="20"/>
                <w:szCs w:val="20"/>
              </w:rPr>
              <w:t>PRODUITS</w:t>
            </w:r>
          </w:p>
        </w:tc>
        <w:tc>
          <w:tcPr>
            <w:tcW w:w="3260" w:type="dxa"/>
            <w:shd w:val="clear" w:color="auto" w:fill="FFFFFF"/>
          </w:tcPr>
          <w:p w:rsidR="003373DE" w:rsidRDefault="003373DE" w:rsidP="003373DE">
            <w:pPr>
              <w:pStyle w:val="Normal1"/>
              <w:pBdr>
                <w:top w:val="nil"/>
                <w:left w:val="nil"/>
                <w:bottom w:val="nil"/>
                <w:right w:val="nil"/>
                <w:between w:val="nil"/>
              </w:pBdr>
              <w:spacing w:after="0" w:line="240" w:lineRule="auto"/>
              <w:ind w:left="720"/>
              <w:jc w:val="both"/>
              <w:rPr>
                <w:color w:val="000000"/>
                <w:sz w:val="20"/>
                <w:szCs w:val="20"/>
              </w:rPr>
            </w:pPr>
            <w:r>
              <w:rPr>
                <w:color w:val="000000"/>
                <w:sz w:val="20"/>
                <w:szCs w:val="20"/>
              </w:rPr>
              <w:t>ACTIONS PRINCIPALES</w:t>
            </w:r>
          </w:p>
        </w:tc>
        <w:tc>
          <w:tcPr>
            <w:tcW w:w="8221" w:type="dxa"/>
            <w:shd w:val="clear" w:color="auto" w:fill="FFFFFF"/>
          </w:tcPr>
          <w:p w:rsidR="003373DE" w:rsidRPr="00263531" w:rsidRDefault="003373DE" w:rsidP="003373DE">
            <w:pPr>
              <w:pStyle w:val="Normal1"/>
              <w:pBdr>
                <w:top w:val="nil"/>
                <w:left w:val="nil"/>
                <w:bottom w:val="nil"/>
                <w:right w:val="nil"/>
                <w:between w:val="nil"/>
              </w:pBdr>
              <w:spacing w:after="0" w:line="240" w:lineRule="auto"/>
              <w:ind w:left="885"/>
              <w:jc w:val="both"/>
              <w:rPr>
                <w:rFonts w:cs="Arial"/>
                <w:sz w:val="20"/>
                <w:szCs w:val="20"/>
              </w:rPr>
            </w:pPr>
            <w:r w:rsidRPr="00263531">
              <w:rPr>
                <w:rFonts w:cs="Arial"/>
                <w:sz w:val="20"/>
                <w:szCs w:val="20"/>
              </w:rPr>
              <w:t xml:space="preserve">ACTIVITES </w:t>
            </w:r>
          </w:p>
        </w:tc>
      </w:tr>
      <w:tr w:rsidR="003373DE" w:rsidTr="003373DE">
        <w:trPr>
          <w:trHeight w:val="147"/>
        </w:trPr>
        <w:tc>
          <w:tcPr>
            <w:tcW w:w="2802" w:type="dxa"/>
            <w:vMerge w:val="restart"/>
            <w:shd w:val="clear" w:color="auto" w:fill="FFFFFF"/>
          </w:tcPr>
          <w:p w:rsidR="003373DE" w:rsidRPr="002E76DF" w:rsidRDefault="003373DE" w:rsidP="003373DE">
            <w:pPr>
              <w:pStyle w:val="Paragraphedeliste"/>
              <w:numPr>
                <w:ilvl w:val="1"/>
                <w:numId w:val="118"/>
              </w:numPr>
              <w:spacing w:line="240" w:lineRule="auto"/>
              <w:rPr>
                <w:b/>
                <w:i/>
                <w:color w:val="000000"/>
                <w:sz w:val="20"/>
                <w:szCs w:val="20"/>
              </w:rPr>
            </w:pPr>
            <w:r w:rsidRPr="002E76DF">
              <w:rPr>
                <w:b/>
                <w:i/>
                <w:color w:val="000000"/>
                <w:sz w:val="20"/>
                <w:szCs w:val="20"/>
              </w:rPr>
              <w:t>La couverture par le paquet  intégré et de qualité d’interventions de SRMNEAN à haut impact est améliorée.</w:t>
            </w:r>
          </w:p>
          <w:p w:rsidR="003373DE" w:rsidRPr="00F318F7" w:rsidRDefault="003373DE" w:rsidP="003373DE">
            <w:pPr>
              <w:pStyle w:val="Normal1"/>
              <w:pBdr>
                <w:top w:val="nil"/>
                <w:left w:val="nil"/>
                <w:bottom w:val="nil"/>
                <w:right w:val="nil"/>
                <w:between w:val="nil"/>
              </w:pBdr>
              <w:spacing w:after="0" w:line="240" w:lineRule="auto"/>
              <w:ind w:left="720"/>
              <w:jc w:val="both"/>
              <w:rPr>
                <w:color w:val="000000"/>
              </w:rPr>
            </w:pPr>
          </w:p>
        </w:tc>
        <w:tc>
          <w:tcPr>
            <w:tcW w:w="3260" w:type="dxa"/>
            <w:vMerge w:val="restart"/>
            <w:shd w:val="clear" w:color="auto" w:fill="FFFFFF"/>
          </w:tcPr>
          <w:p w:rsidR="003373DE" w:rsidRPr="00502F30" w:rsidRDefault="003373DE" w:rsidP="003373DE">
            <w:pPr>
              <w:pStyle w:val="Normal1"/>
              <w:numPr>
                <w:ilvl w:val="2"/>
                <w:numId w:val="118"/>
              </w:numPr>
              <w:pBdr>
                <w:top w:val="nil"/>
                <w:left w:val="nil"/>
                <w:bottom w:val="nil"/>
                <w:right w:val="nil"/>
                <w:between w:val="nil"/>
              </w:pBdr>
              <w:spacing w:after="0" w:line="240" w:lineRule="auto"/>
              <w:jc w:val="both"/>
              <w:rPr>
                <w:color w:val="000000"/>
                <w:sz w:val="18"/>
                <w:szCs w:val="18"/>
              </w:rPr>
            </w:pPr>
            <w:r w:rsidRPr="00502F30">
              <w:rPr>
                <w:color w:val="000000"/>
                <w:sz w:val="18"/>
                <w:szCs w:val="18"/>
              </w:rPr>
              <w:t xml:space="preserve">Améliorer la disponibilité   du paquet intégré de services de SRMNEAN à haut impact </w:t>
            </w: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color w:val="000000"/>
                <w:sz w:val="18"/>
                <w:szCs w:val="18"/>
              </w:rPr>
            </w:pPr>
            <w:r w:rsidRPr="00123AB3">
              <w:rPr>
                <w:rFonts w:asciiTheme="majorHAnsi" w:hAnsiTheme="majorHAnsi" w:cstheme="majorHAnsi"/>
                <w:sz w:val="18"/>
                <w:szCs w:val="18"/>
              </w:rPr>
              <w:t>Améliorer le cadre et les conditions d’offre des SONUB et SONUC</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Augmenter l’utilisation de la planification familiale</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Mettre en œuvre les soins prénatals selon les recommandations de l’OMS.</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Augmenter l’utilisation des soins post-nataux et des soins post-avortement</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Renforcer la prévention de la transmission mère-enfant du VIH notamment le renforcement du dépistage VIH chez les femmes en âge de procréer utilisatrices des services PF.</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Renforcer la surveillance des décès maternels et néonatals et riposte (SDMNR)</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740A84"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Pr>
                <w:rFonts w:asciiTheme="majorHAnsi" w:hAnsiTheme="majorHAnsi" w:cstheme="majorHAnsi"/>
                <w:sz w:val="18"/>
                <w:szCs w:val="18"/>
              </w:rPr>
              <w:t xml:space="preserve">Assurer les </w:t>
            </w:r>
            <w:r w:rsidR="003373DE" w:rsidRPr="00C84106">
              <w:rPr>
                <w:rFonts w:asciiTheme="majorHAnsi" w:hAnsiTheme="majorHAnsi" w:cstheme="majorHAnsi"/>
                <w:sz w:val="18"/>
                <w:szCs w:val="18"/>
              </w:rPr>
              <w:t>Soins Essentiels au Nouveau-né et des soins maternels Kangourou (SMK)</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Prévenir la survenue de la FO et améliorer la qualité de vie des FVFO en assurant la prise en charge</w:t>
            </w:r>
            <w:r w:rsidR="00740A84">
              <w:rPr>
                <w:rFonts w:asciiTheme="majorHAnsi" w:hAnsiTheme="majorHAnsi" w:cstheme="majorHAnsi"/>
                <w:sz w:val="18"/>
                <w:szCs w:val="18"/>
              </w:rPr>
              <w:t xml:space="preserve"> médicale, psychologique et  </w:t>
            </w:r>
            <w:r w:rsidRPr="00123AB3">
              <w:rPr>
                <w:rFonts w:asciiTheme="majorHAnsi" w:hAnsiTheme="majorHAnsi" w:cstheme="majorHAnsi"/>
                <w:sz w:val="18"/>
                <w:szCs w:val="18"/>
              </w:rPr>
              <w:t>la réinsertion dans la société</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Déceler précocement et prendre en charge les lésions précancéreuses et les cancers du col de l’utérus et du sein</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 xml:space="preserve">Renforcer la </w:t>
            </w:r>
            <w:r w:rsidRPr="00C84106">
              <w:rPr>
                <w:rFonts w:asciiTheme="majorHAnsi" w:hAnsiTheme="majorHAnsi" w:cstheme="majorHAnsi"/>
                <w:sz w:val="18"/>
                <w:szCs w:val="18"/>
              </w:rPr>
              <w:t>Réalisation des audits des décès maternels et néonatals</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Renforcer la prise en charge intégrée des maladies de l’enfant et l’utilisation du registre électronique de consultation</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Renforcer la stratégie Tri-Evaluation et Traitement des urgences</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Améliorer la prise  en charge des infections bactériennes graves chez les jeunes nourrissons malades (0-59 jours) lorsque la référence n’est pas possible</w:t>
            </w:r>
          </w:p>
        </w:tc>
      </w:tr>
      <w:tr w:rsidR="003373DE" w:rsidTr="003373DE">
        <w:trPr>
          <w:trHeight w:val="147"/>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C84106">
              <w:rPr>
                <w:rFonts w:asciiTheme="majorHAnsi" w:hAnsiTheme="majorHAnsi" w:cstheme="majorHAnsi"/>
                <w:sz w:val="18"/>
                <w:szCs w:val="18"/>
              </w:rPr>
              <w:t>Améliorer la détection précoce des handicaps</w:t>
            </w:r>
          </w:p>
        </w:tc>
      </w:tr>
      <w:tr w:rsidR="003373DE" w:rsidTr="003373DE">
        <w:trPr>
          <w:trHeight w:val="165"/>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jc w:val="both"/>
              <w:rPr>
                <w:color w:val="000000"/>
                <w:sz w:val="20"/>
                <w:szCs w:val="20"/>
              </w:rPr>
            </w:pPr>
          </w:p>
        </w:tc>
        <w:tc>
          <w:tcPr>
            <w:tcW w:w="8221" w:type="dxa"/>
            <w:shd w:val="clear" w:color="auto" w:fill="FFFFFF"/>
          </w:tcPr>
          <w:p w:rsidR="003373DE" w:rsidRPr="00C84106"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Promouvoir les pratiques optimales d’Alimentation de la mère, du nouveau-né et du Jeune Enfant à travers les plateformes SPN, accouchement, SEEN, CPON, CNS/vaccination, et consultation curative</w:t>
            </w:r>
          </w:p>
        </w:tc>
      </w:tr>
      <w:tr w:rsidR="003373DE" w:rsidTr="003373DE">
        <w:trPr>
          <w:trHeight w:val="162"/>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Renforcer la couverture et la qualité de la prise en charge de la malnutrition aigüe</w:t>
            </w:r>
          </w:p>
        </w:tc>
      </w:tr>
      <w:tr w:rsidR="003373DE" w:rsidTr="003373DE">
        <w:trPr>
          <w:trHeight w:val="162"/>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jc w:val="both"/>
              <w:rPr>
                <w:color w:val="000000"/>
                <w:sz w:val="20"/>
                <w:szCs w:val="20"/>
              </w:rPr>
            </w:pPr>
          </w:p>
        </w:tc>
        <w:tc>
          <w:tcPr>
            <w:tcW w:w="8221" w:type="dxa"/>
            <w:shd w:val="clear" w:color="auto" w:fill="FFFFFF"/>
          </w:tcPr>
          <w:p w:rsidR="003373DE" w:rsidRPr="00123AB3" w:rsidRDefault="003373DE" w:rsidP="00740A84">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Réduire les carences en vitamine</w:t>
            </w:r>
            <w:r w:rsidR="00740A84">
              <w:rPr>
                <w:rFonts w:asciiTheme="majorHAnsi" w:hAnsiTheme="majorHAnsi" w:cstheme="majorHAnsi"/>
                <w:sz w:val="18"/>
                <w:szCs w:val="18"/>
              </w:rPr>
              <w:t xml:space="preserve">s et micronutriments. </w:t>
            </w:r>
          </w:p>
        </w:tc>
      </w:tr>
      <w:tr w:rsidR="003373DE" w:rsidTr="003373DE">
        <w:trPr>
          <w:trHeight w:val="162"/>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Réduire la prévalence de l’anémie chez les femmes en âges de procréer, les enfants de moins de cinq ans et d’âge scolaire </w:t>
            </w:r>
          </w:p>
        </w:tc>
      </w:tr>
      <w:tr w:rsidR="003373DE" w:rsidTr="003373DE">
        <w:trPr>
          <w:trHeight w:val="162"/>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Promouvoir les bonnes pratiques nutritionnelles et les modes de vie sains</w:t>
            </w:r>
          </w:p>
        </w:tc>
      </w:tr>
      <w:tr w:rsidR="003373DE" w:rsidTr="003373DE">
        <w:trPr>
          <w:trHeight w:val="162"/>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Améliorer l’’offre de soins de qualité dans la prise en charge des maladies chroniques non transmissibles liées à la nutrition </w:t>
            </w:r>
          </w:p>
        </w:tc>
      </w:tr>
      <w:tr w:rsidR="003373DE" w:rsidTr="003373DE">
        <w:trPr>
          <w:trHeight w:val="162"/>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720"/>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Renforcer la sécurité sanitaire des aliments  </w:t>
            </w:r>
          </w:p>
        </w:tc>
      </w:tr>
      <w:tr w:rsidR="003373DE" w:rsidTr="003373DE">
        <w:trPr>
          <w:trHeight w:val="162"/>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720"/>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sz w:val="18"/>
                <w:szCs w:val="18"/>
              </w:rPr>
            </w:pPr>
            <w:r w:rsidRPr="00123AB3">
              <w:rPr>
                <w:rFonts w:asciiTheme="majorHAnsi" w:hAnsiTheme="majorHAnsi" w:cstheme="majorHAnsi"/>
                <w:sz w:val="18"/>
                <w:szCs w:val="18"/>
              </w:rPr>
              <w:t>Améliorer la gouvernance en matière de nutrition</w:t>
            </w:r>
          </w:p>
        </w:tc>
      </w:tr>
      <w:tr w:rsidR="003373DE" w:rsidTr="003373DE">
        <w:trPr>
          <w:trHeight w:val="105"/>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val="restart"/>
            <w:shd w:val="clear" w:color="auto" w:fill="FFFFFF"/>
          </w:tcPr>
          <w:p w:rsidR="003373DE" w:rsidRPr="00502F30" w:rsidRDefault="003373DE" w:rsidP="003373DE">
            <w:pPr>
              <w:pStyle w:val="Normal1"/>
              <w:numPr>
                <w:ilvl w:val="2"/>
                <w:numId w:val="118"/>
              </w:numPr>
              <w:pBdr>
                <w:top w:val="nil"/>
                <w:left w:val="nil"/>
                <w:bottom w:val="nil"/>
                <w:right w:val="nil"/>
                <w:between w:val="nil"/>
              </w:pBdr>
              <w:spacing w:after="0" w:line="240" w:lineRule="auto"/>
              <w:jc w:val="both"/>
              <w:rPr>
                <w:color w:val="000000"/>
                <w:sz w:val="18"/>
                <w:szCs w:val="18"/>
              </w:rPr>
            </w:pPr>
            <w:r w:rsidRPr="00502F30">
              <w:rPr>
                <w:color w:val="000000"/>
                <w:sz w:val="18"/>
                <w:szCs w:val="18"/>
              </w:rPr>
              <w:t>Améliorer l’offre du paquet de services intégrés et adaptés aux besoins des adolescents/ jeunes.</w:t>
            </w: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Renforcer </w:t>
            </w:r>
            <w:r w:rsidRPr="00123AB3">
              <w:rPr>
                <w:rFonts w:asciiTheme="majorHAnsi" w:hAnsiTheme="majorHAnsi" w:cstheme="majorHAnsi"/>
                <w:sz w:val="18"/>
                <w:szCs w:val="18"/>
              </w:rPr>
              <w:t>la communication pour le changement social, sanitaire et comportemental des adolescent(e)s/ jeunes et l’adoption de comportements favorables à la santé et responsables </w:t>
            </w:r>
          </w:p>
        </w:tc>
      </w:tr>
      <w:tr w:rsidR="003373DE" w:rsidTr="003373DE">
        <w:trPr>
          <w:trHeight w:val="105"/>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Passer à l’échelle la plateforme QG Jeune ; U-report</w:t>
            </w:r>
          </w:p>
        </w:tc>
      </w:tr>
      <w:tr w:rsidR="003373DE" w:rsidTr="003373DE">
        <w:trPr>
          <w:trHeight w:val="105"/>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capacité et la fonctionnalité des espaces dédiées facilitant l’accès aux services adaptés </w:t>
            </w:r>
          </w:p>
        </w:tc>
      </w:tr>
      <w:tr w:rsidR="003373DE" w:rsidTr="003373DE">
        <w:trPr>
          <w:trHeight w:val="105"/>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compétences des prestataires en communication amicale jeune</w:t>
            </w:r>
          </w:p>
        </w:tc>
      </w:tr>
      <w:tr w:rsidR="003373DE" w:rsidTr="003373DE">
        <w:trPr>
          <w:trHeight w:val="105"/>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prévention de la malnutrition (surtout en termes de surpoids/obésité) ou des pathologies liées à la nutrition</w:t>
            </w:r>
          </w:p>
        </w:tc>
      </w:tr>
      <w:tr w:rsidR="003373DE" w:rsidTr="003373DE">
        <w:trPr>
          <w:trHeight w:val="105"/>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0" w:hanging="708"/>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884" w:hanging="884"/>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Faire la promotion de la vaccination contre le HPV (Human Papilloma Virus)</w:t>
            </w:r>
          </w:p>
        </w:tc>
      </w:tr>
      <w:tr w:rsidR="003373DE" w:rsidTr="003373DE">
        <w:trPr>
          <w:trHeight w:val="420"/>
        </w:trPr>
        <w:tc>
          <w:tcPr>
            <w:tcW w:w="2802" w:type="dxa"/>
            <w:vMerge w:val="restart"/>
            <w:shd w:val="clear" w:color="auto" w:fill="FFFFFF"/>
          </w:tcPr>
          <w:p w:rsidR="003373DE" w:rsidRPr="005E0C71" w:rsidRDefault="003373DE" w:rsidP="003373DE">
            <w:pPr>
              <w:pStyle w:val="Normal1"/>
              <w:pBdr>
                <w:top w:val="nil"/>
                <w:left w:val="nil"/>
                <w:bottom w:val="nil"/>
                <w:right w:val="nil"/>
                <w:between w:val="nil"/>
              </w:pBdr>
              <w:spacing w:after="0" w:line="240" w:lineRule="auto"/>
              <w:ind w:left="720"/>
              <w:jc w:val="both"/>
              <w:rPr>
                <w:color w:val="000000"/>
                <w:sz w:val="20"/>
                <w:szCs w:val="20"/>
              </w:rPr>
            </w:pPr>
          </w:p>
        </w:tc>
        <w:tc>
          <w:tcPr>
            <w:tcW w:w="3260" w:type="dxa"/>
            <w:vMerge w:val="restart"/>
            <w:shd w:val="clear" w:color="auto" w:fill="FFFFFF"/>
          </w:tcPr>
          <w:p w:rsidR="003373DE" w:rsidRPr="00502F30" w:rsidRDefault="003373DE" w:rsidP="003373DE">
            <w:pPr>
              <w:pStyle w:val="Normal1"/>
              <w:numPr>
                <w:ilvl w:val="2"/>
                <w:numId w:val="118"/>
              </w:numPr>
              <w:pBdr>
                <w:top w:val="nil"/>
                <w:left w:val="nil"/>
                <w:bottom w:val="nil"/>
                <w:right w:val="nil"/>
                <w:between w:val="nil"/>
              </w:pBdr>
              <w:spacing w:after="0" w:line="240" w:lineRule="auto"/>
              <w:jc w:val="both"/>
              <w:rPr>
                <w:sz w:val="18"/>
                <w:szCs w:val="18"/>
              </w:rPr>
            </w:pPr>
            <w:r w:rsidRPr="00502F30">
              <w:rPr>
                <w:sz w:val="18"/>
                <w:szCs w:val="18"/>
              </w:rPr>
              <w:t>Augmenter le nombre de formations sanitaires du sous secteur-privé qui offrent des services de SRMNEAN.</w:t>
            </w:r>
          </w:p>
        </w:tc>
        <w:tc>
          <w:tcPr>
            <w:tcW w:w="8221" w:type="dxa"/>
            <w:shd w:val="clear" w:color="auto" w:fill="FFFFFF"/>
          </w:tcPr>
          <w:p w:rsidR="003373DE" w:rsidRPr="00123AB3" w:rsidRDefault="003373DE" w:rsidP="00A2547F">
            <w:pPr>
              <w:pStyle w:val="Normal10"/>
              <w:numPr>
                <w:ilvl w:val="3"/>
                <w:numId w:val="118"/>
              </w:numPr>
              <w:pBdr>
                <w:top w:val="nil"/>
                <w:left w:val="nil"/>
                <w:bottom w:val="nil"/>
                <w:right w:val="nil"/>
                <w:between w:val="nil"/>
              </w:pBdr>
              <w:spacing w:after="0"/>
              <w:ind w:left="884" w:hanging="850"/>
              <w:jc w:val="both"/>
              <w:rPr>
                <w:rFonts w:asciiTheme="majorHAnsi" w:hAnsiTheme="majorHAnsi" w:cstheme="majorHAnsi"/>
                <w:color w:val="000000"/>
                <w:sz w:val="18"/>
                <w:szCs w:val="18"/>
              </w:rPr>
            </w:pPr>
            <w:r w:rsidRPr="00123AB3">
              <w:rPr>
                <w:rFonts w:asciiTheme="majorHAnsi" w:hAnsiTheme="majorHAnsi" w:cstheme="majorHAnsi"/>
                <w:sz w:val="18"/>
                <w:szCs w:val="18"/>
              </w:rPr>
              <w:t>Passer des contrats avec le secteur privé pour la prestation de services</w:t>
            </w:r>
            <w:r w:rsidR="00A2547F">
              <w:rPr>
                <w:rFonts w:asciiTheme="majorHAnsi" w:hAnsiTheme="majorHAnsi" w:cstheme="majorHAnsi"/>
                <w:sz w:val="18"/>
                <w:szCs w:val="18"/>
              </w:rPr>
              <w:t xml:space="preserve"> de SRMNEAN</w:t>
            </w:r>
          </w:p>
        </w:tc>
      </w:tr>
      <w:tr w:rsidR="003373DE" w:rsidTr="003373DE">
        <w:trPr>
          <w:trHeight w:val="420"/>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600" w:hanging="708"/>
              <w:jc w:val="both"/>
              <w:rPr>
                <w:sz w:val="20"/>
                <w:szCs w:val="20"/>
              </w:rPr>
            </w:pPr>
          </w:p>
        </w:tc>
        <w:tc>
          <w:tcPr>
            <w:tcW w:w="8221" w:type="dxa"/>
            <w:shd w:val="clear" w:color="auto" w:fill="FFFFFF"/>
          </w:tcPr>
          <w:p w:rsidR="003373DE" w:rsidRPr="00C84106" w:rsidRDefault="003373DE" w:rsidP="003373DE">
            <w:pPr>
              <w:pStyle w:val="Normal10"/>
              <w:numPr>
                <w:ilvl w:val="3"/>
                <w:numId w:val="118"/>
              </w:numPr>
              <w:pBdr>
                <w:top w:val="nil"/>
                <w:left w:val="nil"/>
                <w:bottom w:val="nil"/>
                <w:right w:val="nil"/>
                <w:between w:val="nil"/>
              </w:pBdr>
              <w:spacing w:after="0"/>
              <w:ind w:left="884" w:hanging="850"/>
              <w:jc w:val="both"/>
              <w:rPr>
                <w:rFonts w:asciiTheme="majorHAnsi" w:hAnsiTheme="majorHAnsi" w:cstheme="majorHAnsi"/>
                <w:sz w:val="18"/>
                <w:szCs w:val="18"/>
              </w:rPr>
            </w:pPr>
            <w:r w:rsidRPr="00123AB3">
              <w:rPr>
                <w:rFonts w:asciiTheme="majorHAnsi" w:hAnsiTheme="majorHAnsi" w:cstheme="majorHAnsi"/>
                <w:sz w:val="18"/>
                <w:szCs w:val="18"/>
              </w:rPr>
              <w:t>Etendre l’achat stratégique de services ciblés au secteur privé</w:t>
            </w:r>
          </w:p>
        </w:tc>
      </w:tr>
      <w:tr w:rsidR="003373DE" w:rsidTr="003373DE">
        <w:trPr>
          <w:trHeight w:val="420"/>
        </w:trPr>
        <w:tc>
          <w:tcPr>
            <w:tcW w:w="2802" w:type="dxa"/>
            <w:vMerge w:val="restart"/>
            <w:shd w:val="clear" w:color="auto" w:fill="FFFFFF"/>
          </w:tcPr>
          <w:p w:rsidR="003373DE" w:rsidRPr="002E76DF" w:rsidRDefault="003373DE" w:rsidP="003373DE">
            <w:pPr>
              <w:pStyle w:val="Paragraphedeliste"/>
              <w:numPr>
                <w:ilvl w:val="1"/>
                <w:numId w:val="118"/>
              </w:numPr>
              <w:jc w:val="both"/>
              <w:rPr>
                <w:rFonts w:cstheme="minorHAnsi"/>
                <w:b/>
                <w:i/>
                <w:sz w:val="20"/>
                <w:szCs w:val="20"/>
              </w:rPr>
            </w:pPr>
            <w:r w:rsidRPr="002E76DF">
              <w:rPr>
                <w:rFonts w:cstheme="minorHAnsi"/>
                <w:b/>
                <w:i/>
                <w:sz w:val="20"/>
                <w:szCs w:val="20"/>
              </w:rPr>
              <w:t>La qualité des services, centrée sur la personne et la sécurité du patient, est renforcée.</w:t>
            </w:r>
          </w:p>
          <w:p w:rsidR="003373DE" w:rsidRPr="003D2C96"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rPr>
            </w:pPr>
          </w:p>
        </w:tc>
        <w:tc>
          <w:tcPr>
            <w:tcW w:w="3260" w:type="dxa"/>
            <w:vMerge w:val="restart"/>
            <w:shd w:val="clear" w:color="auto" w:fill="FFFFFF"/>
          </w:tcPr>
          <w:p w:rsidR="003373DE" w:rsidRPr="00502F30" w:rsidRDefault="003373DE" w:rsidP="003373DE">
            <w:pPr>
              <w:pStyle w:val="Normal1"/>
              <w:numPr>
                <w:ilvl w:val="2"/>
                <w:numId w:val="118"/>
              </w:numPr>
              <w:pBdr>
                <w:top w:val="nil"/>
                <w:left w:val="nil"/>
                <w:bottom w:val="nil"/>
                <w:right w:val="nil"/>
                <w:between w:val="nil"/>
              </w:pBdr>
              <w:spacing w:after="0" w:line="240" w:lineRule="auto"/>
              <w:jc w:val="both"/>
              <w:rPr>
                <w:rFonts w:asciiTheme="majorHAnsi" w:hAnsiTheme="majorHAnsi" w:cstheme="majorHAnsi"/>
                <w:sz w:val="18"/>
                <w:szCs w:val="18"/>
              </w:rPr>
            </w:pPr>
            <w:r w:rsidRPr="00502F30">
              <w:rPr>
                <w:rFonts w:asciiTheme="majorHAnsi" w:hAnsiTheme="majorHAnsi" w:cstheme="majorHAnsi"/>
                <w:sz w:val="18"/>
                <w:szCs w:val="18"/>
              </w:rPr>
              <w:t>Améliorer la qualité de l’offre de soins intégrés, centrés sur les personnes et sécurisés ainsi que les services rendus.</w:t>
            </w: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884" w:hanging="850"/>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Former et mobiliser les acteurs du système de santé à s’approprier et s’engager dans la dynamique du management de la qualité des soins de SRMNEAN</w:t>
            </w:r>
          </w:p>
        </w:tc>
      </w:tr>
      <w:tr w:rsidR="003373DE" w:rsidTr="003373DE">
        <w:trPr>
          <w:trHeight w:val="420"/>
        </w:trPr>
        <w:tc>
          <w:tcPr>
            <w:tcW w:w="2802" w:type="dxa"/>
            <w:vMerge/>
            <w:shd w:val="clear" w:color="auto" w:fill="FFFFFF"/>
          </w:tcPr>
          <w:p w:rsidR="003373DE" w:rsidRPr="003D2C96" w:rsidRDefault="003373DE" w:rsidP="003373DE">
            <w:pPr>
              <w:pStyle w:val="Normal1"/>
              <w:pBdr>
                <w:top w:val="nil"/>
                <w:left w:val="nil"/>
                <w:bottom w:val="nil"/>
                <w:right w:val="nil"/>
                <w:between w:val="nil"/>
              </w:pBdr>
              <w:spacing w:after="0" w:line="240" w:lineRule="auto"/>
              <w:ind w:left="720"/>
              <w:jc w:val="both"/>
              <w:rPr>
                <w:rFonts w:asciiTheme="majorHAnsi" w:hAnsiTheme="majorHAnsi" w:cstheme="majorHAnsi"/>
                <w:color w:val="000000"/>
              </w:rPr>
            </w:pPr>
          </w:p>
        </w:tc>
        <w:tc>
          <w:tcPr>
            <w:tcW w:w="3260" w:type="dxa"/>
            <w:vMerge/>
            <w:shd w:val="clear" w:color="auto" w:fill="FFFFFF"/>
          </w:tcPr>
          <w:p w:rsidR="003373DE" w:rsidRPr="00502F30" w:rsidRDefault="003373DE" w:rsidP="003373DE">
            <w:pPr>
              <w:pStyle w:val="Normal1"/>
              <w:pBdr>
                <w:top w:val="nil"/>
                <w:left w:val="nil"/>
                <w:bottom w:val="nil"/>
                <w:right w:val="nil"/>
                <w:between w:val="nil"/>
              </w:pBdr>
              <w:spacing w:after="0" w:line="240" w:lineRule="auto"/>
              <w:ind w:left="600" w:hanging="708"/>
              <w:jc w:val="both"/>
              <w:rPr>
                <w:rFonts w:asciiTheme="majorHAnsi" w:hAnsiTheme="majorHAnsi" w:cstheme="majorHAnsi"/>
                <w:sz w:val="18"/>
                <w:szCs w:val="18"/>
              </w:rPr>
            </w:pP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884" w:hanging="850"/>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Mettre en œuvre une démarche qualité effective, centrée sur les personnes et la sécurité des patients dans l’organisation de l’offre de soins et de services rendus de SRMNEAN</w:t>
            </w:r>
          </w:p>
        </w:tc>
      </w:tr>
      <w:tr w:rsidR="003373DE" w:rsidTr="003373DE">
        <w:trPr>
          <w:trHeight w:val="420"/>
        </w:trPr>
        <w:tc>
          <w:tcPr>
            <w:tcW w:w="2802" w:type="dxa"/>
            <w:vMerge/>
            <w:shd w:val="clear" w:color="auto" w:fill="FFFFFF"/>
          </w:tcPr>
          <w:p w:rsidR="003373DE" w:rsidRPr="003D2C96" w:rsidRDefault="003373DE" w:rsidP="003373DE">
            <w:pPr>
              <w:pStyle w:val="Normal1"/>
              <w:pBdr>
                <w:top w:val="nil"/>
                <w:left w:val="nil"/>
                <w:bottom w:val="nil"/>
                <w:right w:val="nil"/>
                <w:between w:val="nil"/>
              </w:pBdr>
              <w:spacing w:after="0" w:line="240" w:lineRule="auto"/>
              <w:ind w:left="720"/>
              <w:jc w:val="both"/>
              <w:rPr>
                <w:rFonts w:asciiTheme="majorHAnsi" w:hAnsiTheme="majorHAnsi" w:cstheme="majorHAnsi"/>
                <w:color w:val="000000"/>
              </w:rPr>
            </w:pPr>
          </w:p>
        </w:tc>
        <w:tc>
          <w:tcPr>
            <w:tcW w:w="3260" w:type="dxa"/>
            <w:vMerge w:val="restart"/>
            <w:shd w:val="clear" w:color="auto" w:fill="FFFFFF"/>
          </w:tcPr>
          <w:p w:rsidR="003373DE" w:rsidRPr="00502F30" w:rsidRDefault="003373DE" w:rsidP="003373DE">
            <w:pPr>
              <w:pStyle w:val="Normal1"/>
              <w:numPr>
                <w:ilvl w:val="2"/>
                <w:numId w:val="118"/>
              </w:numPr>
              <w:pBdr>
                <w:top w:val="nil"/>
                <w:left w:val="nil"/>
                <w:bottom w:val="nil"/>
                <w:right w:val="nil"/>
                <w:between w:val="nil"/>
              </w:pBdr>
              <w:spacing w:after="0" w:line="240" w:lineRule="auto"/>
              <w:jc w:val="both"/>
              <w:rPr>
                <w:rFonts w:asciiTheme="majorHAnsi" w:hAnsiTheme="majorHAnsi" w:cstheme="majorHAnsi"/>
                <w:sz w:val="18"/>
                <w:szCs w:val="18"/>
              </w:rPr>
            </w:pPr>
            <w:r w:rsidRPr="00502F30">
              <w:rPr>
                <w:rFonts w:asciiTheme="majorHAnsi" w:hAnsiTheme="majorHAnsi" w:cstheme="majorHAnsi"/>
                <w:sz w:val="18"/>
                <w:szCs w:val="18"/>
              </w:rPr>
              <w:t>Offrir aux populations bénéficiaires des soins intégrés centrés sur les personnes et sécurisés, ainsi que des services de qualité. </w:t>
            </w: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884" w:hanging="850"/>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Offrir à la population des soins sécurisés et services de qualité en SRMNEAN</w:t>
            </w:r>
          </w:p>
        </w:tc>
      </w:tr>
      <w:tr w:rsidR="003373DE" w:rsidTr="003373DE">
        <w:trPr>
          <w:trHeight w:val="420"/>
        </w:trPr>
        <w:tc>
          <w:tcPr>
            <w:tcW w:w="2802" w:type="dxa"/>
            <w:vMerge/>
            <w:shd w:val="clear" w:color="auto" w:fill="FFFFFF"/>
          </w:tcPr>
          <w:p w:rsidR="003373DE" w:rsidRPr="003D2C96" w:rsidRDefault="003373DE" w:rsidP="003373DE">
            <w:pPr>
              <w:pStyle w:val="Normal1"/>
              <w:pBdr>
                <w:top w:val="nil"/>
                <w:left w:val="nil"/>
                <w:bottom w:val="nil"/>
                <w:right w:val="nil"/>
                <w:between w:val="nil"/>
              </w:pBdr>
              <w:spacing w:after="0" w:line="240" w:lineRule="auto"/>
              <w:ind w:left="720"/>
              <w:jc w:val="both"/>
              <w:rPr>
                <w:rFonts w:asciiTheme="majorHAnsi" w:hAnsiTheme="majorHAnsi" w:cstheme="majorHAnsi"/>
                <w:color w:val="000000"/>
              </w:rPr>
            </w:pPr>
          </w:p>
        </w:tc>
        <w:tc>
          <w:tcPr>
            <w:tcW w:w="3260" w:type="dxa"/>
            <w:vMerge/>
            <w:shd w:val="clear" w:color="auto" w:fill="FFFFFF"/>
          </w:tcPr>
          <w:p w:rsidR="003373DE" w:rsidRPr="00502F30" w:rsidRDefault="003373DE" w:rsidP="003373DE">
            <w:pPr>
              <w:pStyle w:val="Normal1"/>
              <w:pBdr>
                <w:top w:val="nil"/>
                <w:left w:val="nil"/>
                <w:bottom w:val="nil"/>
                <w:right w:val="nil"/>
                <w:between w:val="nil"/>
              </w:pBdr>
              <w:spacing w:after="0" w:line="240" w:lineRule="auto"/>
              <w:ind w:left="600" w:hanging="708"/>
              <w:jc w:val="both"/>
              <w:rPr>
                <w:rFonts w:asciiTheme="majorHAnsi" w:hAnsiTheme="majorHAnsi" w:cstheme="majorHAnsi"/>
                <w:sz w:val="18"/>
                <w:szCs w:val="18"/>
              </w:rPr>
            </w:pP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884" w:hanging="850"/>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Respecter la conformité aux normes, aux protocoles et aux directives relatives à l’offre de prestations de SRMNEAN</w:t>
            </w:r>
          </w:p>
        </w:tc>
      </w:tr>
      <w:tr w:rsidR="003373DE" w:rsidTr="003373DE">
        <w:trPr>
          <w:trHeight w:val="420"/>
        </w:trPr>
        <w:tc>
          <w:tcPr>
            <w:tcW w:w="2802" w:type="dxa"/>
            <w:vMerge/>
            <w:shd w:val="clear" w:color="auto" w:fill="FFFFFF"/>
          </w:tcPr>
          <w:p w:rsidR="003373DE" w:rsidRPr="003D2C96" w:rsidRDefault="003373DE" w:rsidP="003373DE">
            <w:pPr>
              <w:pStyle w:val="Normal1"/>
              <w:pBdr>
                <w:top w:val="nil"/>
                <w:left w:val="nil"/>
                <w:bottom w:val="nil"/>
                <w:right w:val="nil"/>
                <w:between w:val="nil"/>
              </w:pBdr>
              <w:spacing w:after="0" w:line="240" w:lineRule="auto"/>
              <w:ind w:left="720"/>
              <w:jc w:val="both"/>
              <w:rPr>
                <w:rFonts w:asciiTheme="majorHAnsi" w:hAnsiTheme="majorHAnsi" w:cstheme="majorHAnsi"/>
                <w:color w:val="000000"/>
              </w:rPr>
            </w:pPr>
          </w:p>
        </w:tc>
        <w:tc>
          <w:tcPr>
            <w:tcW w:w="3260" w:type="dxa"/>
            <w:vMerge w:val="restart"/>
            <w:shd w:val="clear" w:color="auto" w:fill="FFFFFF"/>
          </w:tcPr>
          <w:p w:rsidR="003373DE" w:rsidRPr="00502F30" w:rsidRDefault="003373DE" w:rsidP="003373DE">
            <w:pPr>
              <w:pStyle w:val="Normal1"/>
              <w:numPr>
                <w:ilvl w:val="2"/>
                <w:numId w:val="118"/>
              </w:numPr>
              <w:spacing w:after="0" w:line="240" w:lineRule="auto"/>
              <w:jc w:val="both"/>
              <w:rPr>
                <w:rFonts w:asciiTheme="majorHAnsi" w:hAnsiTheme="majorHAnsi" w:cstheme="majorHAnsi"/>
                <w:sz w:val="18"/>
                <w:szCs w:val="18"/>
              </w:rPr>
            </w:pPr>
            <w:r w:rsidRPr="00502F30">
              <w:rPr>
                <w:rFonts w:asciiTheme="majorHAnsi" w:hAnsiTheme="majorHAnsi" w:cstheme="majorHAnsi"/>
                <w:sz w:val="18"/>
                <w:szCs w:val="18"/>
              </w:rPr>
              <w:t>Protéger les utilisateurs des services de santé contre les préjudices liés aux activités de soins intégrés centrés sur les personnes et la sécurité du patient, ainsi que des services reçus.</w:t>
            </w: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884" w:hanging="850"/>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Renforcer les activités pour contrôler les infections associées aux soins </w:t>
            </w:r>
          </w:p>
        </w:tc>
      </w:tr>
      <w:tr w:rsidR="003373DE" w:rsidTr="003373DE">
        <w:trPr>
          <w:trHeight w:val="420"/>
        </w:trPr>
        <w:tc>
          <w:tcPr>
            <w:tcW w:w="2802" w:type="dxa"/>
            <w:vMerge/>
            <w:shd w:val="clear" w:color="auto" w:fill="FFFFFF"/>
          </w:tcPr>
          <w:p w:rsidR="003373DE" w:rsidRDefault="003373DE" w:rsidP="003373DE">
            <w:pPr>
              <w:pStyle w:val="Normal1"/>
              <w:pBdr>
                <w:top w:val="nil"/>
                <w:left w:val="nil"/>
                <w:bottom w:val="nil"/>
                <w:right w:val="nil"/>
                <w:between w:val="nil"/>
              </w:pBdr>
              <w:spacing w:after="0" w:line="240" w:lineRule="auto"/>
              <w:ind w:left="720"/>
              <w:jc w:val="both"/>
              <w:rPr>
                <w:color w:val="000000"/>
                <w:sz w:val="20"/>
                <w:szCs w:val="2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720"/>
              <w:jc w:val="both"/>
              <w:rPr>
                <w:sz w:val="20"/>
                <w:szCs w:val="20"/>
              </w:rPr>
            </w:pP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884" w:hanging="850"/>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Protéger les utilisateurs des services de santé contre les préjudices liés aux activités de soins </w:t>
            </w:r>
          </w:p>
        </w:tc>
      </w:tr>
    </w:tbl>
    <w:p w:rsidR="003373DE" w:rsidRDefault="003373DE" w:rsidP="003373DE"/>
    <w:p w:rsidR="003373DE" w:rsidRDefault="003373DE" w:rsidP="003373DE"/>
    <w:p w:rsidR="003373DE" w:rsidRDefault="003373DE" w:rsidP="003373DE"/>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3260"/>
        <w:gridCol w:w="8221"/>
      </w:tblGrid>
      <w:tr w:rsidR="003373DE" w:rsidRPr="00EF46BD" w:rsidTr="003373DE">
        <w:trPr>
          <w:trHeight w:val="283"/>
        </w:trPr>
        <w:tc>
          <w:tcPr>
            <w:tcW w:w="2802" w:type="dxa"/>
            <w:shd w:val="clear" w:color="auto" w:fill="FFFFFF"/>
          </w:tcPr>
          <w:p w:rsidR="003373DE" w:rsidRDefault="003373DE" w:rsidP="003373DE">
            <w:pPr>
              <w:pStyle w:val="Normal1"/>
              <w:pBdr>
                <w:top w:val="nil"/>
                <w:left w:val="nil"/>
                <w:bottom w:val="nil"/>
                <w:right w:val="nil"/>
                <w:between w:val="nil"/>
              </w:pBdr>
              <w:spacing w:after="0" w:line="240" w:lineRule="auto"/>
              <w:ind w:left="720"/>
              <w:jc w:val="both"/>
              <w:rPr>
                <w:color w:val="000000"/>
                <w:sz w:val="20"/>
                <w:szCs w:val="20"/>
              </w:rPr>
            </w:pPr>
            <w:r>
              <w:rPr>
                <w:color w:val="000000"/>
                <w:sz w:val="20"/>
                <w:szCs w:val="20"/>
              </w:rPr>
              <w:t>PRODUITS</w:t>
            </w:r>
          </w:p>
        </w:tc>
        <w:tc>
          <w:tcPr>
            <w:tcW w:w="3260" w:type="dxa"/>
            <w:shd w:val="clear" w:color="auto" w:fill="FFFFFF"/>
          </w:tcPr>
          <w:p w:rsidR="003373DE" w:rsidRDefault="003373DE" w:rsidP="003373DE">
            <w:pPr>
              <w:pStyle w:val="Normal1"/>
              <w:pBdr>
                <w:top w:val="nil"/>
                <w:left w:val="nil"/>
                <w:bottom w:val="nil"/>
                <w:right w:val="nil"/>
                <w:between w:val="nil"/>
              </w:pBdr>
              <w:spacing w:after="0" w:line="240" w:lineRule="auto"/>
              <w:ind w:left="720"/>
              <w:jc w:val="both"/>
              <w:rPr>
                <w:color w:val="000000"/>
                <w:sz w:val="20"/>
                <w:szCs w:val="20"/>
              </w:rPr>
            </w:pPr>
            <w:r>
              <w:rPr>
                <w:color w:val="000000"/>
                <w:sz w:val="20"/>
                <w:szCs w:val="20"/>
              </w:rPr>
              <w:t>ACTIONS PRINCIPALES</w:t>
            </w:r>
          </w:p>
        </w:tc>
        <w:tc>
          <w:tcPr>
            <w:tcW w:w="8221" w:type="dxa"/>
            <w:shd w:val="clear" w:color="auto" w:fill="FFFFFF"/>
          </w:tcPr>
          <w:p w:rsidR="003373DE" w:rsidRPr="00263531" w:rsidRDefault="003373DE" w:rsidP="003373DE">
            <w:pPr>
              <w:pStyle w:val="Normal1"/>
              <w:pBdr>
                <w:top w:val="nil"/>
                <w:left w:val="nil"/>
                <w:bottom w:val="nil"/>
                <w:right w:val="nil"/>
                <w:between w:val="nil"/>
              </w:pBdr>
              <w:spacing w:after="0" w:line="240" w:lineRule="auto"/>
              <w:ind w:left="885"/>
              <w:jc w:val="both"/>
              <w:rPr>
                <w:rFonts w:cs="Arial"/>
                <w:sz w:val="20"/>
                <w:szCs w:val="20"/>
              </w:rPr>
            </w:pPr>
            <w:r w:rsidRPr="00263531">
              <w:rPr>
                <w:rFonts w:cs="Arial"/>
                <w:sz w:val="20"/>
                <w:szCs w:val="20"/>
              </w:rPr>
              <w:t xml:space="preserve">ACTIVITES </w:t>
            </w:r>
          </w:p>
        </w:tc>
      </w:tr>
      <w:tr w:rsidR="003373DE" w:rsidRPr="00EF46BD" w:rsidTr="003373DE">
        <w:trPr>
          <w:trHeight w:val="259"/>
        </w:trPr>
        <w:tc>
          <w:tcPr>
            <w:tcW w:w="2802" w:type="dxa"/>
            <w:vMerge w:val="restart"/>
            <w:shd w:val="clear" w:color="auto" w:fill="FFFFFF"/>
          </w:tcPr>
          <w:p w:rsidR="003373DE" w:rsidRPr="002E76DF" w:rsidRDefault="003373DE" w:rsidP="00740A84">
            <w:pPr>
              <w:pStyle w:val="Paragraphedeliste"/>
              <w:numPr>
                <w:ilvl w:val="1"/>
                <w:numId w:val="118"/>
              </w:numPr>
              <w:spacing w:line="240" w:lineRule="auto"/>
              <w:rPr>
                <w:b/>
                <w:i/>
                <w:color w:val="000000"/>
                <w:sz w:val="20"/>
                <w:szCs w:val="20"/>
              </w:rPr>
            </w:pPr>
            <w:r w:rsidRPr="002E76DF">
              <w:rPr>
                <w:b/>
                <w:i/>
                <w:color w:val="000000"/>
                <w:sz w:val="20"/>
                <w:szCs w:val="20"/>
              </w:rPr>
              <w:t>La disponibilité d</w:t>
            </w:r>
            <w:r w:rsidR="00740A84">
              <w:rPr>
                <w:b/>
                <w:i/>
                <w:color w:val="000000"/>
                <w:sz w:val="20"/>
                <w:szCs w:val="20"/>
              </w:rPr>
              <w:t xml:space="preserve">es services de vaccination </w:t>
            </w:r>
            <w:r w:rsidRPr="002E76DF">
              <w:rPr>
                <w:b/>
                <w:i/>
                <w:color w:val="000000"/>
                <w:sz w:val="20"/>
                <w:szCs w:val="20"/>
              </w:rPr>
              <w:t>est améliorée</w:t>
            </w:r>
            <w:r w:rsidR="00740A84">
              <w:rPr>
                <w:b/>
                <w:i/>
                <w:color w:val="000000"/>
                <w:sz w:val="20"/>
                <w:szCs w:val="20"/>
              </w:rPr>
              <w:t xml:space="preserve"> surtout </w:t>
            </w:r>
            <w:r w:rsidR="00740A84" w:rsidRPr="002E76DF">
              <w:rPr>
                <w:b/>
                <w:i/>
                <w:color w:val="000000"/>
                <w:sz w:val="20"/>
                <w:szCs w:val="20"/>
              </w:rPr>
              <w:t xml:space="preserve"> pour  les populations </w:t>
            </w:r>
            <w:r w:rsidR="00740A84">
              <w:rPr>
                <w:b/>
                <w:i/>
                <w:color w:val="000000"/>
                <w:sz w:val="20"/>
                <w:szCs w:val="20"/>
              </w:rPr>
              <w:t xml:space="preserve">vivant en zones </w:t>
            </w:r>
            <w:r w:rsidR="00A2547F">
              <w:rPr>
                <w:b/>
                <w:i/>
                <w:color w:val="000000"/>
                <w:sz w:val="20"/>
                <w:szCs w:val="20"/>
              </w:rPr>
              <w:t xml:space="preserve">d’accès </w:t>
            </w:r>
            <w:r w:rsidR="00BA2D88">
              <w:rPr>
                <w:b/>
                <w:i/>
                <w:color w:val="000000"/>
                <w:sz w:val="20"/>
                <w:szCs w:val="20"/>
              </w:rPr>
              <w:t>difficile.</w:t>
            </w:r>
          </w:p>
        </w:tc>
        <w:tc>
          <w:tcPr>
            <w:tcW w:w="3260" w:type="dxa"/>
            <w:vMerge w:val="restart"/>
            <w:shd w:val="clear" w:color="auto" w:fill="FFFFFF"/>
          </w:tcPr>
          <w:p w:rsidR="003373DE" w:rsidRPr="00502F30" w:rsidRDefault="003373DE" w:rsidP="003373DE">
            <w:pPr>
              <w:pStyle w:val="Normal1"/>
              <w:numPr>
                <w:ilvl w:val="2"/>
                <w:numId w:val="118"/>
              </w:numPr>
              <w:pBdr>
                <w:top w:val="nil"/>
                <w:left w:val="nil"/>
                <w:bottom w:val="nil"/>
                <w:right w:val="nil"/>
                <w:between w:val="nil"/>
              </w:pBdr>
              <w:spacing w:after="0" w:line="240" w:lineRule="auto"/>
              <w:jc w:val="both"/>
              <w:rPr>
                <w:sz w:val="18"/>
                <w:szCs w:val="18"/>
              </w:rPr>
            </w:pPr>
            <w:r w:rsidRPr="00502F30">
              <w:rPr>
                <w:color w:val="000000"/>
                <w:sz w:val="18"/>
                <w:szCs w:val="18"/>
              </w:rPr>
              <w:t>Renforcer les activités de vaccination dans les  zones d’accès difficile</w:t>
            </w: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activités de vaccination dans les  zones périurbaines.</w:t>
            </w:r>
          </w:p>
        </w:tc>
      </w:tr>
      <w:tr w:rsidR="003373DE" w:rsidRPr="00EF46BD" w:rsidTr="003373DE">
        <w:trPr>
          <w:trHeight w:val="277"/>
        </w:trPr>
        <w:tc>
          <w:tcPr>
            <w:tcW w:w="2802" w:type="dxa"/>
            <w:vMerge/>
            <w:shd w:val="clear" w:color="auto" w:fill="FFFFFF"/>
          </w:tcPr>
          <w:p w:rsidR="003373DE" w:rsidRPr="00EF46BD" w:rsidRDefault="003373DE" w:rsidP="003373DE">
            <w:pPr>
              <w:pStyle w:val="Normal1"/>
              <w:pBdr>
                <w:top w:val="nil"/>
                <w:left w:val="nil"/>
                <w:bottom w:val="nil"/>
                <w:right w:val="nil"/>
                <w:between w:val="nil"/>
              </w:pBdr>
              <w:spacing w:after="0" w:line="240" w:lineRule="auto"/>
              <w:ind w:left="720"/>
              <w:jc w:val="both"/>
              <w:rPr>
                <w:color w:val="000000"/>
              </w:rPr>
            </w:pPr>
          </w:p>
        </w:tc>
        <w:tc>
          <w:tcPr>
            <w:tcW w:w="3260" w:type="dxa"/>
            <w:vMerge/>
            <w:shd w:val="clear" w:color="auto" w:fill="FFFFFF"/>
          </w:tcPr>
          <w:p w:rsidR="003373DE" w:rsidRPr="00502F30" w:rsidRDefault="003373DE" w:rsidP="003373DE">
            <w:pPr>
              <w:pStyle w:val="Normal1"/>
              <w:pBdr>
                <w:top w:val="nil"/>
                <w:left w:val="nil"/>
                <w:bottom w:val="nil"/>
                <w:right w:val="nil"/>
                <w:between w:val="nil"/>
              </w:pBdr>
              <w:spacing w:after="0" w:line="240" w:lineRule="auto"/>
              <w:ind w:left="600" w:hanging="708"/>
              <w:jc w:val="both"/>
              <w:rPr>
                <w:sz w:val="18"/>
                <w:szCs w:val="18"/>
              </w:rPr>
            </w:pP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activités de vaccination dans les zones touchées par l’insécurité.</w:t>
            </w:r>
          </w:p>
        </w:tc>
      </w:tr>
      <w:tr w:rsidR="003373DE" w:rsidRPr="00EF46BD" w:rsidTr="003373DE">
        <w:trPr>
          <w:trHeight w:val="297"/>
        </w:trPr>
        <w:tc>
          <w:tcPr>
            <w:tcW w:w="2802" w:type="dxa"/>
            <w:vMerge/>
            <w:shd w:val="clear" w:color="auto" w:fill="FFFFFF"/>
          </w:tcPr>
          <w:p w:rsidR="003373DE" w:rsidRPr="00EF46BD" w:rsidRDefault="003373DE" w:rsidP="003373DE">
            <w:pPr>
              <w:pStyle w:val="Normal1"/>
              <w:pBdr>
                <w:top w:val="nil"/>
                <w:left w:val="nil"/>
                <w:bottom w:val="nil"/>
                <w:right w:val="nil"/>
                <w:between w:val="nil"/>
              </w:pBdr>
              <w:spacing w:after="0" w:line="240" w:lineRule="auto"/>
              <w:ind w:left="720"/>
              <w:jc w:val="both"/>
              <w:rPr>
                <w:color w:val="000000"/>
              </w:rPr>
            </w:pPr>
          </w:p>
        </w:tc>
        <w:tc>
          <w:tcPr>
            <w:tcW w:w="3260" w:type="dxa"/>
            <w:vMerge w:val="restart"/>
            <w:shd w:val="clear" w:color="auto" w:fill="FFFFFF"/>
          </w:tcPr>
          <w:p w:rsidR="003373DE" w:rsidRPr="00502F30" w:rsidRDefault="003373DE" w:rsidP="003373DE">
            <w:pPr>
              <w:pStyle w:val="Normal1"/>
              <w:numPr>
                <w:ilvl w:val="2"/>
                <w:numId w:val="118"/>
              </w:numPr>
              <w:pBdr>
                <w:top w:val="nil"/>
                <w:left w:val="nil"/>
                <w:bottom w:val="nil"/>
                <w:right w:val="nil"/>
                <w:between w:val="nil"/>
              </w:pBdr>
              <w:spacing w:after="0" w:line="240" w:lineRule="auto"/>
              <w:jc w:val="both"/>
              <w:rPr>
                <w:sz w:val="18"/>
                <w:szCs w:val="18"/>
              </w:rPr>
            </w:pPr>
            <w:r w:rsidRPr="00502F30">
              <w:rPr>
                <w:sz w:val="18"/>
                <w:szCs w:val="18"/>
              </w:rPr>
              <w:t xml:space="preserve">Renforcer la logistique de la vaccination </w:t>
            </w: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chaîne de froid</w:t>
            </w:r>
          </w:p>
        </w:tc>
      </w:tr>
      <w:tr w:rsidR="003373DE" w:rsidRPr="00EF46BD" w:rsidTr="003373DE">
        <w:trPr>
          <w:trHeight w:val="248"/>
        </w:trPr>
        <w:tc>
          <w:tcPr>
            <w:tcW w:w="2802" w:type="dxa"/>
            <w:vMerge/>
            <w:shd w:val="clear" w:color="auto" w:fill="FFFFFF"/>
          </w:tcPr>
          <w:p w:rsidR="003373DE" w:rsidRPr="00EF46BD" w:rsidRDefault="003373DE" w:rsidP="003373DE">
            <w:pPr>
              <w:pStyle w:val="Normal1"/>
              <w:pBdr>
                <w:top w:val="nil"/>
                <w:left w:val="nil"/>
                <w:bottom w:val="nil"/>
                <w:right w:val="nil"/>
                <w:between w:val="nil"/>
              </w:pBdr>
              <w:spacing w:after="0" w:line="240" w:lineRule="auto"/>
              <w:ind w:left="720"/>
              <w:jc w:val="both"/>
              <w:rPr>
                <w:color w:val="00000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720"/>
              <w:jc w:val="both"/>
              <w:rPr>
                <w:sz w:val="20"/>
                <w:szCs w:val="20"/>
              </w:rPr>
            </w:pPr>
          </w:p>
        </w:tc>
        <w:tc>
          <w:tcPr>
            <w:tcW w:w="8221" w:type="dxa"/>
            <w:shd w:val="clear" w:color="auto" w:fill="FFFFFF"/>
          </w:tcPr>
          <w:p w:rsidR="003373DE" w:rsidRPr="00123AB3" w:rsidRDefault="003373DE" w:rsidP="003373DE">
            <w:pPr>
              <w:pStyle w:val="Normal10"/>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logistique pour la stratégie avancée</w:t>
            </w:r>
          </w:p>
        </w:tc>
      </w:tr>
      <w:tr w:rsidR="003373DE" w:rsidRPr="00F318F7" w:rsidTr="003373DE">
        <w:trPr>
          <w:trHeight w:val="248"/>
        </w:trPr>
        <w:tc>
          <w:tcPr>
            <w:tcW w:w="2802" w:type="dxa"/>
            <w:vMerge w:val="restart"/>
            <w:shd w:val="clear" w:color="auto" w:fill="FFFFFF"/>
          </w:tcPr>
          <w:p w:rsidR="003373DE" w:rsidRPr="002E76DF" w:rsidRDefault="003373DE" w:rsidP="003373DE">
            <w:pPr>
              <w:pStyle w:val="Paragraphedeliste"/>
              <w:numPr>
                <w:ilvl w:val="1"/>
                <w:numId w:val="118"/>
              </w:numPr>
              <w:spacing w:line="240" w:lineRule="auto"/>
              <w:rPr>
                <w:rFonts w:cstheme="minorHAnsi"/>
                <w:b/>
                <w:i/>
                <w:color w:val="000000"/>
                <w:sz w:val="20"/>
                <w:szCs w:val="20"/>
              </w:rPr>
            </w:pPr>
            <w:r w:rsidRPr="002E76DF">
              <w:rPr>
                <w:rFonts w:cstheme="minorHAnsi"/>
                <w:b/>
                <w:i/>
                <w:color w:val="000000"/>
                <w:sz w:val="20"/>
                <w:szCs w:val="20"/>
              </w:rPr>
              <w:t>L’approche santé communautaire est renforcée pour délivrer les interventions  de SRMNEAN,  en particulier dans les zones d’accès difficile.</w:t>
            </w:r>
          </w:p>
        </w:tc>
        <w:tc>
          <w:tcPr>
            <w:tcW w:w="3260" w:type="dxa"/>
            <w:vMerge w:val="restart"/>
            <w:shd w:val="clear" w:color="auto" w:fill="FFFFFF"/>
          </w:tcPr>
          <w:p w:rsidR="003373DE" w:rsidRPr="00A2547F" w:rsidRDefault="00A2547F" w:rsidP="003373DE">
            <w:pPr>
              <w:pStyle w:val="Normal1"/>
              <w:numPr>
                <w:ilvl w:val="2"/>
                <w:numId w:val="118"/>
              </w:numPr>
              <w:pBdr>
                <w:top w:val="nil"/>
                <w:left w:val="nil"/>
                <w:bottom w:val="nil"/>
                <w:right w:val="nil"/>
                <w:between w:val="nil"/>
              </w:pBdr>
              <w:spacing w:after="0" w:line="240" w:lineRule="auto"/>
              <w:jc w:val="both"/>
              <w:rPr>
                <w:color w:val="000000"/>
                <w:sz w:val="18"/>
                <w:szCs w:val="18"/>
              </w:rPr>
            </w:pPr>
            <w:r w:rsidRPr="00A2547F">
              <w:rPr>
                <w:color w:val="000000"/>
                <w:sz w:val="18"/>
                <w:szCs w:val="18"/>
              </w:rPr>
              <w:t>Renforcer le dispositif pour la mise en œuvre de  la santé communautaire.</w:t>
            </w: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ind w:left="742" w:hanging="708"/>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Construire et équiper les postes de santé communautaire </w:t>
            </w:r>
          </w:p>
        </w:tc>
      </w:tr>
      <w:tr w:rsidR="003373DE" w:rsidRPr="00F318F7" w:rsidTr="003373DE">
        <w:trPr>
          <w:trHeight w:val="247"/>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color w:val="00000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601" w:hanging="709"/>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ind w:left="742" w:hanging="708"/>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capacité des agents de santé communautaire</w:t>
            </w:r>
          </w:p>
        </w:tc>
      </w:tr>
      <w:tr w:rsidR="003373DE" w:rsidRPr="00F318F7" w:rsidTr="003373DE">
        <w:trPr>
          <w:trHeight w:val="247"/>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color w:val="00000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ind w:left="742" w:hanging="708"/>
              <w:jc w:val="both"/>
              <w:rPr>
                <w:rFonts w:asciiTheme="majorHAnsi" w:hAnsiTheme="majorHAnsi" w:cstheme="majorHAnsi"/>
                <w:sz w:val="18"/>
                <w:szCs w:val="18"/>
              </w:rPr>
            </w:pPr>
            <w:r w:rsidRPr="00123AB3">
              <w:rPr>
                <w:rFonts w:asciiTheme="majorHAnsi" w:hAnsiTheme="majorHAnsi" w:cstheme="majorHAnsi"/>
                <w:sz w:val="18"/>
                <w:szCs w:val="18"/>
              </w:rPr>
              <w:t>Mettre en place des clubs de santé Communautaire</w:t>
            </w:r>
          </w:p>
        </w:tc>
      </w:tr>
      <w:tr w:rsidR="003373DE" w:rsidRPr="00F318F7" w:rsidTr="003373DE">
        <w:trPr>
          <w:trHeight w:val="247"/>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color w:val="00000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ind w:left="742" w:hanging="708"/>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capacités de Communication pour le changement de Comportement des acteurs communautaires</w:t>
            </w:r>
          </w:p>
        </w:tc>
      </w:tr>
      <w:tr w:rsidR="003373DE" w:rsidRPr="00F318F7" w:rsidTr="003373DE">
        <w:trPr>
          <w:trHeight w:val="247"/>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color w:val="00000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ind w:left="742" w:hanging="708"/>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participation communautaire</w:t>
            </w:r>
          </w:p>
        </w:tc>
      </w:tr>
      <w:tr w:rsidR="003373DE" w:rsidRPr="00F318F7" w:rsidTr="003373DE">
        <w:trPr>
          <w:trHeight w:val="99"/>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rPr>
            </w:pPr>
          </w:p>
        </w:tc>
        <w:tc>
          <w:tcPr>
            <w:tcW w:w="3260" w:type="dxa"/>
            <w:vMerge w:val="restart"/>
            <w:shd w:val="clear" w:color="auto" w:fill="FFFFFF"/>
          </w:tcPr>
          <w:p w:rsidR="003373DE" w:rsidRPr="002E76DF" w:rsidRDefault="003373DE" w:rsidP="003373DE">
            <w:pPr>
              <w:pStyle w:val="Normal1"/>
              <w:numPr>
                <w:ilvl w:val="2"/>
                <w:numId w:val="118"/>
              </w:numPr>
              <w:pBdr>
                <w:top w:val="nil"/>
                <w:left w:val="nil"/>
                <w:bottom w:val="nil"/>
                <w:right w:val="nil"/>
                <w:between w:val="nil"/>
              </w:pBdr>
              <w:spacing w:after="0" w:line="240" w:lineRule="auto"/>
              <w:jc w:val="both"/>
              <w:rPr>
                <w:rFonts w:asciiTheme="minorHAnsi" w:hAnsiTheme="minorHAnsi" w:cstheme="minorHAnsi"/>
                <w:sz w:val="18"/>
                <w:szCs w:val="18"/>
              </w:rPr>
            </w:pPr>
            <w:r w:rsidRPr="002E76DF">
              <w:rPr>
                <w:rFonts w:asciiTheme="minorHAnsi" w:hAnsiTheme="minorHAnsi" w:cstheme="minorHAnsi"/>
                <w:sz w:val="18"/>
                <w:szCs w:val="18"/>
              </w:rPr>
              <w:t xml:space="preserve">Mettre en œuvre les interventions à haut impact relevant de la santé communautaire. </w:t>
            </w: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sz w:val="18"/>
                <w:szCs w:val="18"/>
              </w:rPr>
            </w:pPr>
            <w:r w:rsidRPr="00123AB3">
              <w:rPr>
                <w:rFonts w:asciiTheme="majorHAnsi" w:hAnsiTheme="majorHAnsi" w:cstheme="majorHAnsi"/>
                <w:sz w:val="18"/>
                <w:szCs w:val="18"/>
              </w:rPr>
              <w:t>Mettre en œuvre les Soins de la mère, du nouveau-né et de l’enfant à domicile </w:t>
            </w:r>
          </w:p>
        </w:tc>
      </w:tr>
      <w:tr w:rsidR="003373DE" w:rsidRPr="00F318F7" w:rsidTr="003373DE">
        <w:trPr>
          <w:trHeight w:val="99"/>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rPr>
            </w:pPr>
          </w:p>
        </w:tc>
        <w:tc>
          <w:tcPr>
            <w:tcW w:w="3260" w:type="dxa"/>
            <w:vMerge/>
            <w:shd w:val="clear" w:color="auto" w:fill="FFFFFF"/>
          </w:tcPr>
          <w:p w:rsidR="003373DE" w:rsidRPr="002E76DF" w:rsidRDefault="003373DE" w:rsidP="003373DE">
            <w:pPr>
              <w:pStyle w:val="Normal1"/>
              <w:numPr>
                <w:ilvl w:val="3"/>
                <w:numId w:val="118"/>
              </w:numPr>
              <w:pBdr>
                <w:top w:val="nil"/>
                <w:left w:val="nil"/>
                <w:bottom w:val="nil"/>
                <w:right w:val="nil"/>
                <w:between w:val="nil"/>
              </w:pBdr>
              <w:spacing w:after="0" w:line="240" w:lineRule="auto"/>
              <w:ind w:left="601" w:hanging="709"/>
              <w:jc w:val="both"/>
              <w:rPr>
                <w:rFonts w:asciiTheme="minorHAnsi" w:hAnsiTheme="minorHAnsi" w:cstheme="minorHAnsi"/>
                <w:sz w:val="18"/>
                <w:szCs w:val="18"/>
              </w:rPr>
            </w:pPr>
          </w:p>
        </w:tc>
        <w:tc>
          <w:tcPr>
            <w:tcW w:w="8221" w:type="dxa"/>
            <w:shd w:val="clear" w:color="auto" w:fill="FFFFFF"/>
          </w:tcPr>
          <w:p w:rsidR="003373DE" w:rsidRPr="00123AB3" w:rsidRDefault="003373DE" w:rsidP="00A2547F">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sz w:val="18"/>
                <w:szCs w:val="18"/>
              </w:rPr>
            </w:pPr>
            <w:r w:rsidRPr="00123AB3">
              <w:rPr>
                <w:rFonts w:asciiTheme="majorHAnsi" w:hAnsiTheme="majorHAnsi" w:cstheme="majorHAnsi"/>
                <w:sz w:val="18"/>
                <w:szCs w:val="18"/>
              </w:rPr>
              <w:t>Assurer la Distribution à domicile de médicaments, de contraceptifs, de micronutriments, de MILDA</w:t>
            </w:r>
            <w:r w:rsidR="00A2547F">
              <w:rPr>
                <w:rFonts w:asciiTheme="majorHAnsi" w:hAnsiTheme="majorHAnsi" w:cstheme="majorHAnsi"/>
                <w:sz w:val="18"/>
                <w:szCs w:val="18"/>
              </w:rPr>
              <w:t xml:space="preserve"> et </w:t>
            </w:r>
            <w:r w:rsidRPr="00123AB3">
              <w:rPr>
                <w:rFonts w:asciiTheme="majorHAnsi" w:hAnsiTheme="majorHAnsi" w:cstheme="majorHAnsi"/>
                <w:sz w:val="18"/>
                <w:szCs w:val="18"/>
              </w:rPr>
              <w:t>des aliments de supplément pour améliorer l’ANJE.</w:t>
            </w:r>
          </w:p>
        </w:tc>
      </w:tr>
      <w:tr w:rsidR="003373DE" w:rsidRPr="00F318F7" w:rsidTr="003373DE">
        <w:trPr>
          <w:trHeight w:val="99"/>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rPr>
            </w:pPr>
          </w:p>
        </w:tc>
        <w:tc>
          <w:tcPr>
            <w:tcW w:w="3260" w:type="dxa"/>
            <w:vMerge/>
            <w:shd w:val="clear" w:color="auto" w:fill="FFFFFF"/>
          </w:tcPr>
          <w:p w:rsidR="003373DE" w:rsidRPr="002E76DF" w:rsidRDefault="003373DE" w:rsidP="003373DE">
            <w:pPr>
              <w:pStyle w:val="Normal1"/>
              <w:numPr>
                <w:ilvl w:val="3"/>
                <w:numId w:val="118"/>
              </w:numPr>
              <w:pBdr>
                <w:top w:val="nil"/>
                <w:left w:val="nil"/>
                <w:bottom w:val="nil"/>
                <w:right w:val="nil"/>
                <w:between w:val="nil"/>
              </w:pBdr>
              <w:spacing w:after="0" w:line="240" w:lineRule="auto"/>
              <w:ind w:left="601" w:hanging="709"/>
              <w:jc w:val="both"/>
              <w:rPr>
                <w:rFonts w:asciiTheme="minorHAnsi" w:hAnsiTheme="minorHAnsi" w:cstheme="minorHAnsi"/>
                <w:sz w:val="18"/>
                <w:szCs w:val="18"/>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sz w:val="18"/>
                <w:szCs w:val="18"/>
              </w:rPr>
            </w:pPr>
            <w:r w:rsidRPr="00123AB3">
              <w:rPr>
                <w:rFonts w:asciiTheme="majorHAnsi" w:hAnsiTheme="majorHAnsi" w:cstheme="majorHAnsi"/>
                <w:sz w:val="18"/>
                <w:szCs w:val="18"/>
              </w:rPr>
              <w:t>Faire la Promotion des comportements favorables à l’amélioration de l’hygiène et de l’assainissement, et à la santé en général</w:t>
            </w:r>
          </w:p>
        </w:tc>
      </w:tr>
      <w:tr w:rsidR="003373DE" w:rsidRPr="00F318F7" w:rsidTr="003373DE">
        <w:trPr>
          <w:trHeight w:val="99"/>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ind w:left="567" w:hanging="567"/>
              <w:jc w:val="both"/>
              <w:rPr>
                <w:rFonts w:asciiTheme="minorHAnsi" w:hAnsiTheme="minorHAnsi" w:cstheme="minorHAnsi"/>
              </w:rPr>
            </w:pPr>
          </w:p>
        </w:tc>
        <w:tc>
          <w:tcPr>
            <w:tcW w:w="3260" w:type="dxa"/>
            <w:vMerge/>
            <w:shd w:val="clear" w:color="auto" w:fill="FFFFFF"/>
          </w:tcPr>
          <w:p w:rsidR="003373DE" w:rsidRPr="002E76DF" w:rsidRDefault="003373DE" w:rsidP="003373DE">
            <w:pPr>
              <w:pStyle w:val="Normal1"/>
              <w:numPr>
                <w:ilvl w:val="3"/>
                <w:numId w:val="118"/>
              </w:numPr>
              <w:pBdr>
                <w:top w:val="nil"/>
                <w:left w:val="nil"/>
                <w:bottom w:val="nil"/>
                <w:right w:val="nil"/>
                <w:between w:val="nil"/>
              </w:pBdr>
              <w:spacing w:after="0" w:line="240" w:lineRule="auto"/>
              <w:ind w:left="601" w:hanging="709"/>
              <w:jc w:val="both"/>
              <w:rPr>
                <w:rFonts w:asciiTheme="minorHAnsi" w:hAnsiTheme="minorHAnsi" w:cstheme="minorHAnsi"/>
                <w:sz w:val="18"/>
                <w:szCs w:val="18"/>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sz w:val="18"/>
                <w:szCs w:val="18"/>
              </w:rPr>
            </w:pPr>
            <w:r w:rsidRPr="00123AB3">
              <w:rPr>
                <w:rFonts w:asciiTheme="majorHAnsi" w:hAnsiTheme="majorHAnsi" w:cstheme="majorHAnsi"/>
                <w:sz w:val="18"/>
                <w:szCs w:val="18"/>
              </w:rPr>
              <w:t xml:space="preserve">Faire la Promotion de la nutrition maternelle et d’ANJE à travers les clubs de santé communautaire anciennement appelé GASPA </w:t>
            </w:r>
          </w:p>
        </w:tc>
      </w:tr>
      <w:tr w:rsidR="003373DE" w:rsidRPr="00F318F7" w:rsidTr="003373DE">
        <w:trPr>
          <w:trHeight w:val="186"/>
        </w:trPr>
        <w:tc>
          <w:tcPr>
            <w:tcW w:w="2802" w:type="dxa"/>
            <w:vMerge w:val="restart"/>
            <w:shd w:val="clear" w:color="auto" w:fill="FFFFFF"/>
          </w:tcPr>
          <w:p w:rsidR="003373DE" w:rsidRPr="002E76DF" w:rsidRDefault="003373DE" w:rsidP="003373DE">
            <w:pPr>
              <w:pStyle w:val="Normal1"/>
              <w:numPr>
                <w:ilvl w:val="1"/>
                <w:numId w:val="118"/>
              </w:numPr>
              <w:pBdr>
                <w:top w:val="nil"/>
                <w:left w:val="nil"/>
                <w:bottom w:val="nil"/>
                <w:right w:val="nil"/>
                <w:between w:val="nil"/>
              </w:pBdr>
              <w:spacing w:after="0" w:line="240" w:lineRule="auto"/>
              <w:jc w:val="both"/>
              <w:rPr>
                <w:rFonts w:asciiTheme="minorHAnsi" w:hAnsiTheme="minorHAnsi" w:cstheme="minorHAnsi"/>
                <w:color w:val="000000"/>
                <w:sz w:val="20"/>
                <w:szCs w:val="20"/>
              </w:rPr>
            </w:pPr>
            <w:r w:rsidRPr="002E76DF">
              <w:rPr>
                <w:rFonts w:cstheme="minorHAnsi"/>
                <w:b/>
                <w:i/>
                <w:sz w:val="20"/>
                <w:szCs w:val="20"/>
              </w:rPr>
              <w:t>Une demande équitable de services SRMNEAN à haut impact est assurée</w:t>
            </w:r>
          </w:p>
        </w:tc>
        <w:tc>
          <w:tcPr>
            <w:tcW w:w="3260" w:type="dxa"/>
            <w:vMerge w:val="restart"/>
            <w:shd w:val="clear" w:color="auto" w:fill="FFFFFF"/>
          </w:tcPr>
          <w:p w:rsidR="003373DE" w:rsidRPr="002E76DF" w:rsidRDefault="003373DE" w:rsidP="003373DE">
            <w:pPr>
              <w:pStyle w:val="Normal1"/>
              <w:numPr>
                <w:ilvl w:val="2"/>
                <w:numId w:val="118"/>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 xml:space="preserve">Renforcer la communication pour le changement en faveur d’une plus grande utilisation des </w:t>
            </w:r>
            <w:r w:rsidR="00A2547F">
              <w:rPr>
                <w:rFonts w:asciiTheme="minorHAnsi" w:hAnsiTheme="minorHAnsi" w:cstheme="minorHAnsi"/>
                <w:color w:val="000000"/>
                <w:sz w:val="18"/>
                <w:szCs w:val="18"/>
              </w:rPr>
              <w:t xml:space="preserve">services de </w:t>
            </w:r>
            <w:r w:rsidRPr="002E76DF">
              <w:rPr>
                <w:rFonts w:asciiTheme="minorHAnsi" w:hAnsiTheme="minorHAnsi" w:cstheme="minorHAnsi"/>
                <w:color w:val="000000"/>
                <w:sz w:val="18"/>
                <w:szCs w:val="18"/>
              </w:rPr>
              <w:t>SRMNEAN.</w:t>
            </w:r>
          </w:p>
        </w:tc>
        <w:tc>
          <w:tcPr>
            <w:tcW w:w="8221" w:type="dxa"/>
            <w:shd w:val="clear" w:color="auto" w:fill="FFFFFF"/>
          </w:tcPr>
          <w:p w:rsidR="003373DE" w:rsidRPr="00123AB3" w:rsidRDefault="003373DE" w:rsidP="00A2547F">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Promouvoir la Communication pou</w:t>
            </w:r>
            <w:r w:rsidR="00A2547F">
              <w:rPr>
                <w:rFonts w:asciiTheme="majorHAnsi" w:hAnsiTheme="majorHAnsi" w:cstheme="majorHAnsi"/>
                <w:color w:val="000000"/>
                <w:sz w:val="18"/>
                <w:szCs w:val="18"/>
              </w:rPr>
              <w:t>r le changement de Comportement.</w:t>
            </w:r>
          </w:p>
        </w:tc>
      </w:tr>
      <w:tr w:rsidR="003373DE" w:rsidRPr="00F318F7" w:rsidTr="003373DE">
        <w:trPr>
          <w:trHeight w:val="183"/>
        </w:trPr>
        <w:tc>
          <w:tcPr>
            <w:tcW w:w="2802" w:type="dxa"/>
            <w:vMerge/>
            <w:shd w:val="clear" w:color="auto" w:fill="FFFFFF"/>
          </w:tcPr>
          <w:p w:rsidR="003373DE" w:rsidRPr="00F318F7" w:rsidRDefault="003373DE" w:rsidP="003373DE">
            <w:pPr>
              <w:pStyle w:val="Normal1"/>
              <w:numPr>
                <w:ilvl w:val="2"/>
                <w:numId w:val="118"/>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600" w:hanging="708"/>
              <w:jc w:val="both"/>
              <w:rPr>
                <w:rFonts w:asciiTheme="minorHAnsi" w:hAnsiTheme="minorHAnsi" w:cstheme="minorHAnsi"/>
                <w:color w:val="000000"/>
                <w:sz w:val="18"/>
                <w:szCs w:val="18"/>
              </w:rPr>
            </w:pPr>
          </w:p>
        </w:tc>
        <w:tc>
          <w:tcPr>
            <w:tcW w:w="8221" w:type="dxa"/>
            <w:shd w:val="clear" w:color="auto" w:fill="FFFFFF"/>
          </w:tcPr>
          <w:p w:rsidR="003373DE" w:rsidRPr="00A2547F" w:rsidRDefault="00A2547F"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A2547F">
              <w:rPr>
                <w:rFonts w:asciiTheme="minorHAnsi" w:hAnsiTheme="minorHAnsi" w:cstheme="minorHAnsi"/>
                <w:color w:val="000000"/>
                <w:sz w:val="18"/>
                <w:szCs w:val="18"/>
              </w:rPr>
              <w:t>Promouvoir la communication pour le changement des normes sociales défavorables à l’utilisation des services de SRMNEAN.</w:t>
            </w:r>
          </w:p>
        </w:tc>
      </w:tr>
      <w:tr w:rsidR="003373DE" w:rsidTr="003373DE">
        <w:trPr>
          <w:trHeight w:val="183"/>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600" w:hanging="708"/>
              <w:jc w:val="both"/>
              <w:rPr>
                <w:color w:val="000000"/>
                <w:sz w:val="18"/>
                <w:szCs w:val="18"/>
              </w:rPr>
            </w:pPr>
          </w:p>
        </w:tc>
        <w:tc>
          <w:tcPr>
            <w:tcW w:w="8221" w:type="dxa"/>
            <w:shd w:val="clear" w:color="auto" w:fill="FFFFFF"/>
          </w:tcPr>
          <w:p w:rsidR="003373DE" w:rsidRPr="00A2547F" w:rsidRDefault="00A2547F"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A2547F">
              <w:rPr>
                <w:color w:val="000000"/>
                <w:sz w:val="18"/>
                <w:szCs w:val="18"/>
              </w:rPr>
              <w:t>Renforcer les approches d’implication des hommes dans la SRMNEAN.</w:t>
            </w:r>
          </w:p>
        </w:tc>
      </w:tr>
      <w:tr w:rsidR="003373DE" w:rsidTr="003373DE">
        <w:trPr>
          <w:trHeight w:val="183"/>
        </w:trPr>
        <w:tc>
          <w:tcPr>
            <w:tcW w:w="2802" w:type="dxa"/>
            <w:vMerge/>
            <w:shd w:val="clear" w:color="auto" w:fill="FFFFFF"/>
          </w:tcPr>
          <w:p w:rsidR="003373DE" w:rsidRDefault="003373DE" w:rsidP="003373DE">
            <w:pPr>
              <w:pStyle w:val="Normal1"/>
              <w:numPr>
                <w:ilvl w:val="2"/>
                <w:numId w:val="118"/>
              </w:numPr>
              <w:pBdr>
                <w:top w:val="nil"/>
                <w:left w:val="nil"/>
                <w:bottom w:val="nil"/>
                <w:right w:val="nil"/>
                <w:between w:val="nil"/>
              </w:pBdr>
              <w:spacing w:after="0" w:line="240" w:lineRule="auto"/>
              <w:jc w:val="both"/>
              <w:rPr>
                <w:color w:val="000000"/>
                <w:sz w:val="20"/>
                <w:szCs w:val="2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600" w:hanging="708"/>
              <w:jc w:val="both"/>
              <w:rPr>
                <w:color w:val="000000"/>
                <w:sz w:val="18"/>
                <w:szCs w:val="18"/>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Conduire des séances de communication</w:t>
            </w:r>
            <w:r w:rsidR="00A2547F">
              <w:rPr>
                <w:rFonts w:asciiTheme="majorHAnsi" w:hAnsiTheme="majorHAnsi" w:cstheme="majorHAnsi"/>
                <w:color w:val="000000"/>
                <w:sz w:val="18"/>
                <w:szCs w:val="18"/>
              </w:rPr>
              <w:t xml:space="preserve"> de masse sur les thèmes SRMNEA</w:t>
            </w:r>
            <w:r w:rsidRPr="00123AB3">
              <w:rPr>
                <w:rFonts w:asciiTheme="majorHAnsi" w:hAnsiTheme="majorHAnsi" w:cstheme="majorHAnsi"/>
                <w:color w:val="000000"/>
                <w:sz w:val="18"/>
                <w:szCs w:val="18"/>
              </w:rPr>
              <w:t>N</w:t>
            </w:r>
          </w:p>
        </w:tc>
      </w:tr>
      <w:tr w:rsidR="003373DE" w:rsidTr="003373DE">
        <w:trPr>
          <w:trHeight w:val="360"/>
        </w:trPr>
        <w:tc>
          <w:tcPr>
            <w:tcW w:w="2802" w:type="dxa"/>
            <w:vMerge/>
            <w:shd w:val="clear" w:color="auto" w:fill="FFFFFF"/>
          </w:tcPr>
          <w:p w:rsidR="003373DE" w:rsidRDefault="003373DE" w:rsidP="003373DE">
            <w:pPr>
              <w:pStyle w:val="Normal1"/>
              <w:pBdr>
                <w:top w:val="nil"/>
                <w:left w:val="nil"/>
                <w:bottom w:val="nil"/>
                <w:right w:val="nil"/>
                <w:between w:val="nil"/>
              </w:pBdr>
              <w:spacing w:after="0" w:line="240" w:lineRule="auto"/>
              <w:ind w:left="720"/>
              <w:jc w:val="both"/>
              <w:rPr>
                <w:color w:val="000000"/>
                <w:sz w:val="20"/>
                <w:szCs w:val="20"/>
              </w:rPr>
            </w:pPr>
          </w:p>
        </w:tc>
        <w:tc>
          <w:tcPr>
            <w:tcW w:w="3260" w:type="dxa"/>
            <w:vMerge w:val="restart"/>
            <w:shd w:val="clear" w:color="auto" w:fill="FFFFFF"/>
          </w:tcPr>
          <w:p w:rsidR="003373DE" w:rsidRPr="002E76DF" w:rsidRDefault="003373DE" w:rsidP="003373DE">
            <w:pPr>
              <w:pStyle w:val="Normal1"/>
              <w:numPr>
                <w:ilvl w:val="2"/>
                <w:numId w:val="118"/>
              </w:numPr>
              <w:pBdr>
                <w:top w:val="nil"/>
                <w:left w:val="nil"/>
                <w:bottom w:val="nil"/>
                <w:right w:val="nil"/>
                <w:between w:val="nil"/>
              </w:pBdr>
              <w:spacing w:after="0" w:line="240" w:lineRule="auto"/>
              <w:jc w:val="both"/>
              <w:rPr>
                <w:color w:val="000000"/>
                <w:sz w:val="18"/>
                <w:szCs w:val="18"/>
              </w:rPr>
            </w:pPr>
            <w:r w:rsidRPr="002E76DF">
              <w:rPr>
                <w:color w:val="000000"/>
                <w:sz w:val="18"/>
                <w:szCs w:val="18"/>
              </w:rPr>
              <w:t>Réduire les barrières financières à l’accès aux services de SRMNEA-N.</w:t>
            </w: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Soutenir les mesures de gratuité pour favoriser l’accès aux services essentiels de SRMNEAN des populations vulnérables.</w:t>
            </w:r>
          </w:p>
        </w:tc>
      </w:tr>
      <w:tr w:rsidR="003373DE" w:rsidTr="003373DE">
        <w:trPr>
          <w:trHeight w:val="360"/>
        </w:trPr>
        <w:tc>
          <w:tcPr>
            <w:tcW w:w="2802" w:type="dxa"/>
            <w:vMerge/>
            <w:shd w:val="clear" w:color="auto" w:fill="FFFFFF"/>
          </w:tcPr>
          <w:p w:rsidR="003373DE" w:rsidRDefault="003373DE" w:rsidP="003373DE">
            <w:pPr>
              <w:pStyle w:val="Normal1"/>
              <w:pBdr>
                <w:top w:val="nil"/>
                <w:left w:val="nil"/>
                <w:bottom w:val="nil"/>
                <w:right w:val="nil"/>
                <w:between w:val="nil"/>
              </w:pBdr>
              <w:spacing w:after="0" w:line="240" w:lineRule="auto"/>
              <w:ind w:left="720"/>
              <w:jc w:val="both"/>
              <w:rPr>
                <w:color w:val="000000"/>
                <w:sz w:val="20"/>
                <w:szCs w:val="20"/>
              </w:rPr>
            </w:pPr>
          </w:p>
        </w:tc>
        <w:tc>
          <w:tcPr>
            <w:tcW w:w="3260" w:type="dxa"/>
            <w:vMerge/>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jc w:val="both"/>
              <w:rPr>
                <w:color w:val="000000"/>
                <w:sz w:val="20"/>
                <w:szCs w:val="20"/>
              </w:rPr>
            </w:pPr>
          </w:p>
        </w:tc>
        <w:tc>
          <w:tcPr>
            <w:tcW w:w="8221" w:type="dxa"/>
            <w:shd w:val="clear" w:color="auto" w:fill="FFFFFF"/>
          </w:tcPr>
          <w:p w:rsidR="003373DE" w:rsidRPr="00123AB3" w:rsidRDefault="003373DE" w:rsidP="003373DE">
            <w:pPr>
              <w:pStyle w:val="Normal1"/>
              <w:numPr>
                <w:ilvl w:val="3"/>
                <w:numId w:val="118"/>
              </w:numPr>
              <w:pBdr>
                <w:top w:val="nil"/>
                <w:left w:val="nil"/>
                <w:bottom w:val="nil"/>
                <w:right w:val="nil"/>
                <w:between w:val="nil"/>
              </w:pBdr>
              <w:spacing w:after="0" w:line="240" w:lineRule="auto"/>
              <w:ind w:left="742" w:hanging="742"/>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Réduire progressivement la part des ménages et les paiements directs dans les dépenses de santé grâce au relai par l’AMU (communication au sujet de l’AMU ciblant notamment, le secteur informel, faciliter la fédération des mutuelles communautaires.</w:t>
            </w:r>
          </w:p>
        </w:tc>
      </w:tr>
    </w:tbl>
    <w:p w:rsidR="003373DE" w:rsidRDefault="003373DE" w:rsidP="003373DE"/>
    <w:p w:rsidR="003373DE" w:rsidRDefault="003373DE" w:rsidP="003373DE"/>
    <w:p w:rsidR="00A2547F" w:rsidRDefault="00A2547F" w:rsidP="003373DE"/>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3260"/>
        <w:gridCol w:w="8221"/>
      </w:tblGrid>
      <w:tr w:rsidR="003373DE" w:rsidRPr="002E76DF" w:rsidTr="003373DE">
        <w:tc>
          <w:tcPr>
            <w:tcW w:w="14283" w:type="dxa"/>
            <w:gridSpan w:val="3"/>
            <w:shd w:val="clear" w:color="auto" w:fill="FFFFFF"/>
          </w:tcPr>
          <w:p w:rsidR="003373DE" w:rsidRPr="002E76DF" w:rsidRDefault="003373DE" w:rsidP="003373DE">
            <w:pPr>
              <w:spacing w:after="0"/>
              <w:rPr>
                <w:b/>
                <w:sz w:val="24"/>
                <w:szCs w:val="24"/>
              </w:rPr>
            </w:pPr>
            <w:r w:rsidRPr="002E76DF">
              <w:rPr>
                <w:b/>
                <w:sz w:val="24"/>
                <w:szCs w:val="24"/>
              </w:rPr>
              <w:t>PROGRAMME 02: Accès aux services de santé (055)</w:t>
            </w:r>
          </w:p>
        </w:tc>
      </w:tr>
      <w:tr w:rsidR="003373DE" w:rsidRPr="005E68E5" w:rsidTr="003373DE">
        <w:trPr>
          <w:trHeight w:val="186"/>
        </w:trPr>
        <w:tc>
          <w:tcPr>
            <w:tcW w:w="2802" w:type="dxa"/>
            <w:shd w:val="clear" w:color="auto" w:fill="FFFFFF"/>
          </w:tcPr>
          <w:p w:rsidR="003373DE" w:rsidRPr="005E68E5"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r w:rsidRPr="005E68E5">
              <w:rPr>
                <w:rFonts w:asciiTheme="minorHAnsi" w:hAnsiTheme="minorHAnsi" w:cstheme="minorHAnsi"/>
                <w:color w:val="000000"/>
              </w:rPr>
              <w:t>AXES D’INTERVENTION</w:t>
            </w:r>
          </w:p>
        </w:tc>
        <w:tc>
          <w:tcPr>
            <w:tcW w:w="3260" w:type="dxa"/>
            <w:shd w:val="clear" w:color="auto" w:fill="FFFFFF"/>
          </w:tcPr>
          <w:p w:rsidR="003373DE" w:rsidRPr="00123AB3"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20"/>
                <w:szCs w:val="20"/>
              </w:rPr>
            </w:pPr>
            <w:r w:rsidRPr="00123AB3">
              <w:rPr>
                <w:rFonts w:asciiTheme="minorHAnsi" w:hAnsiTheme="minorHAnsi" w:cstheme="minorHAnsi"/>
                <w:color w:val="000000"/>
                <w:sz w:val="20"/>
                <w:szCs w:val="20"/>
              </w:rPr>
              <w:t>ACTIONS PRINCIPALES</w:t>
            </w:r>
          </w:p>
        </w:tc>
        <w:tc>
          <w:tcPr>
            <w:tcW w:w="8221" w:type="dxa"/>
            <w:shd w:val="clear" w:color="auto" w:fill="FFFFFF"/>
          </w:tcPr>
          <w:p w:rsidR="003373DE" w:rsidRPr="00123AB3" w:rsidRDefault="003373DE" w:rsidP="003373DE">
            <w:pPr>
              <w:pStyle w:val="Normal1"/>
              <w:pBdr>
                <w:top w:val="nil"/>
                <w:left w:val="nil"/>
                <w:bottom w:val="nil"/>
                <w:right w:val="nil"/>
                <w:between w:val="nil"/>
              </w:pBdr>
              <w:spacing w:after="0" w:line="240" w:lineRule="auto"/>
              <w:ind w:left="885"/>
              <w:jc w:val="both"/>
              <w:rPr>
                <w:rFonts w:asciiTheme="majorHAnsi" w:hAnsiTheme="majorHAnsi" w:cstheme="majorHAnsi"/>
                <w:sz w:val="18"/>
                <w:szCs w:val="18"/>
              </w:rPr>
            </w:pPr>
            <w:r w:rsidRPr="00123AB3">
              <w:rPr>
                <w:rFonts w:asciiTheme="majorHAnsi" w:hAnsiTheme="majorHAnsi" w:cstheme="majorHAnsi"/>
                <w:sz w:val="18"/>
                <w:szCs w:val="18"/>
              </w:rPr>
              <w:t>ACTIVITES PRINCIPALES</w:t>
            </w:r>
          </w:p>
        </w:tc>
      </w:tr>
      <w:tr w:rsidR="003373DE" w:rsidRPr="005E68E5" w:rsidTr="003373DE">
        <w:trPr>
          <w:trHeight w:val="186"/>
        </w:trPr>
        <w:tc>
          <w:tcPr>
            <w:tcW w:w="2802" w:type="dxa"/>
            <w:vMerge w:val="restart"/>
            <w:shd w:val="clear" w:color="auto" w:fill="FFFFFF"/>
          </w:tcPr>
          <w:p w:rsidR="003373DE" w:rsidRPr="002E76DF" w:rsidRDefault="003373DE" w:rsidP="003373DE">
            <w:pPr>
              <w:pStyle w:val="Normal1"/>
              <w:numPr>
                <w:ilvl w:val="1"/>
                <w:numId w:val="132"/>
              </w:numPr>
              <w:spacing w:after="0" w:line="240" w:lineRule="auto"/>
              <w:jc w:val="both"/>
              <w:rPr>
                <w:rFonts w:asciiTheme="minorHAnsi" w:hAnsiTheme="minorHAnsi" w:cstheme="minorHAnsi"/>
                <w:b/>
                <w:i/>
                <w:sz w:val="20"/>
                <w:szCs w:val="20"/>
              </w:rPr>
            </w:pPr>
            <w:r w:rsidRPr="002E76DF">
              <w:rPr>
                <w:rFonts w:cstheme="minorHAnsi"/>
                <w:b/>
                <w:i/>
                <w:sz w:val="20"/>
                <w:szCs w:val="20"/>
              </w:rPr>
              <w:t xml:space="preserve">La disponibilité d’un personnel opérationnel,  compétent, </w:t>
            </w:r>
            <w:r w:rsidRPr="002E76DF">
              <w:rPr>
                <w:rFonts w:asciiTheme="minorHAnsi" w:hAnsiTheme="minorHAnsi" w:cstheme="minorHAnsi"/>
                <w:b/>
                <w:i/>
                <w:sz w:val="20"/>
                <w:szCs w:val="20"/>
              </w:rPr>
              <w:t>motivé et réparti équitablement  est assurée.</w:t>
            </w:r>
          </w:p>
          <w:p w:rsidR="003373DE" w:rsidRPr="00E77ABA"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rPr>
            </w:pPr>
          </w:p>
        </w:tc>
        <w:tc>
          <w:tcPr>
            <w:tcW w:w="3260" w:type="dxa"/>
            <w:vMerge w:val="restart"/>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Adapter ou renforcer l’offre de formation initiale pour former des professionnels compétents dès leur sortie d’école et aptes à répondre aux besoins en matière de SRMNEAN</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sz w:val="18"/>
                <w:szCs w:val="18"/>
              </w:rPr>
            </w:pPr>
            <w:r w:rsidRPr="00123AB3">
              <w:rPr>
                <w:rFonts w:asciiTheme="majorHAnsi" w:hAnsiTheme="majorHAnsi" w:cstheme="majorHAnsi"/>
                <w:color w:val="000000"/>
                <w:sz w:val="18"/>
                <w:szCs w:val="18"/>
              </w:rPr>
              <w:t xml:space="preserve">Former prioritairement les profils aujourd’hui déficitaires pour l’offre de services SRMNEAN : (i) des médecins généralistes à la Chirurgie essentielle de District sanitaire, (ii) des infirmiers de bloc opératoire, (iii) des infirmiers anesthésistes, (iv)  les agents de santé (infirmiers, sages-femmes, etc.) sur la nutrition maternelle et ANJE,(v)  les techniciens de maintenance de l’équipement médico-technique, etc. </w:t>
            </w:r>
          </w:p>
        </w:tc>
      </w:tr>
      <w:tr w:rsidR="003373DE" w:rsidRPr="005E68E5" w:rsidTr="003373DE">
        <w:trPr>
          <w:trHeight w:val="186"/>
        </w:trPr>
        <w:tc>
          <w:tcPr>
            <w:tcW w:w="2802" w:type="dxa"/>
            <w:vMerge/>
            <w:shd w:val="clear" w:color="auto" w:fill="FFFFFF"/>
          </w:tcPr>
          <w:p w:rsidR="003373DE" w:rsidRDefault="003373DE" w:rsidP="003373DE">
            <w:pPr>
              <w:pStyle w:val="Normal1"/>
              <w:pBdr>
                <w:top w:val="nil"/>
                <w:left w:val="nil"/>
                <w:bottom w:val="nil"/>
                <w:right w:val="nil"/>
                <w:between w:val="nil"/>
              </w:pBdr>
              <w:spacing w:after="0" w:line="240" w:lineRule="auto"/>
              <w:jc w:val="both"/>
              <w:rPr>
                <w:rFonts w:cstheme="minorHAnsi"/>
                <w:b/>
                <w:i/>
                <w:sz w:val="24"/>
                <w:szCs w:val="24"/>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Intégrer dans les curricula de formation initiale les compétences pour l’offre de services SRMNEAN de qualité : (i) Adapter les outils de formation PCIME-REC et l’outil ICATT et former les formateurs, (ii) Intégrer la PCIME-REC, la SDMNR dans la formation initiale, (iii) Intégrer l’éducation </w:t>
            </w:r>
            <w:r w:rsidR="00F93184">
              <w:rPr>
                <w:rFonts w:asciiTheme="majorHAnsi" w:hAnsiTheme="majorHAnsi" w:cstheme="majorHAnsi"/>
                <w:color w:val="000000"/>
                <w:sz w:val="18"/>
                <w:szCs w:val="18"/>
              </w:rPr>
              <w:t xml:space="preserve">complète sexuelle </w:t>
            </w:r>
            <w:r w:rsidRPr="00123AB3">
              <w:rPr>
                <w:rFonts w:asciiTheme="majorHAnsi" w:hAnsiTheme="majorHAnsi" w:cstheme="majorHAnsi"/>
                <w:color w:val="000000"/>
                <w:sz w:val="18"/>
                <w:szCs w:val="18"/>
              </w:rPr>
              <w:t xml:space="preserve">dans la formation initiale délivrée par les établissements publics et privés (Lycées et Collèges) etc. </w:t>
            </w:r>
          </w:p>
        </w:tc>
      </w:tr>
      <w:tr w:rsidR="003373DE" w:rsidRPr="005E68E5" w:rsidTr="003373DE">
        <w:trPr>
          <w:trHeight w:val="186"/>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Organiser le renforcement de capacités spécifiques en cours d’emploi en utilisant les méthodes et techniques les plus efficaces</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Renforcer prioritairement les capacités des prestataires sur les interventions de SRMNEAN où des lacunes sont observées : (i) SONUB et SONUC avec accent sur l’utilisation de la ventouse, (ii) les soins prénatals selon les recommandations de l’OMS, (iii) la  Planification familiale (PF Clinique, Compétences pédagogiques),(iv)  la Surveillance des décès maternels et néonatals et riposte (SDMNR) et la Conduite des audits de décès maternels et néonatals en communauté, (v) le Dépistage des lésions précancéreuses et cancéreuses du col de l’utérus et du sein, (vi) la Santé reproductive des adolescents/jeunes, (vi) la PCIME-REC et TETU, (vii) la nutrition maternelle et ANJE, (viii) la Prise en charge de la malnutrition aigüe et des complications, (ix) la Sécurisation de la logistique des intrants SRMNEAN : utilisation du logiciel ENDOS, en quantification y compris l’utilisation de l’outil Pipeline des produits de la Planification familiale, suivi de la logistique contraceptive, logiciel Channel, (x) ETME : PTME y compris la DBS (prélèvement sur papier buvard) et le dépistage combine syphilis/VIH, (xi) sur la gestion des intrants ETME, (xii) les Concepts AMS/ABR et Soins compatissants pour 65 formateurs régionaux.  </w:t>
            </w:r>
          </w:p>
        </w:tc>
      </w:tr>
      <w:tr w:rsidR="003373DE" w:rsidRPr="005E68E5" w:rsidTr="003373DE">
        <w:trPr>
          <w:trHeight w:val="186"/>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val="restart"/>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color w:val="000000"/>
                <w:sz w:val="18"/>
                <w:szCs w:val="18"/>
              </w:rPr>
              <w:t>Assurer une gestion  équitable et efficiente des ressources humaines</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sz w:val="18"/>
                <w:szCs w:val="18"/>
              </w:rPr>
            </w:pPr>
            <w:r w:rsidRPr="00123AB3">
              <w:rPr>
                <w:rFonts w:asciiTheme="majorHAnsi" w:hAnsiTheme="majorHAnsi" w:cstheme="majorHAnsi"/>
                <w:color w:val="000000"/>
                <w:sz w:val="18"/>
                <w:szCs w:val="18"/>
              </w:rPr>
              <w:t>Déployer le personnel, de manière équitable sur le territoire national: (i) Actualiser les normes en termes d’effectif sur base de la charge de travail (</w:t>
            </w:r>
            <w:r w:rsidRPr="00123AB3">
              <w:rPr>
                <w:rFonts w:asciiTheme="majorHAnsi" w:hAnsiTheme="majorHAnsi" w:cstheme="majorHAnsi"/>
                <w:sz w:val="18"/>
                <w:szCs w:val="18"/>
              </w:rPr>
              <w:t>Workload Indicators Staffing Needed)</w:t>
            </w:r>
            <w:r w:rsidRPr="00123AB3">
              <w:rPr>
                <w:rFonts w:asciiTheme="majorHAnsi" w:hAnsiTheme="majorHAnsi" w:cstheme="majorHAnsi"/>
                <w:color w:val="000000"/>
                <w:sz w:val="18"/>
                <w:szCs w:val="18"/>
              </w:rPr>
              <w:t>, (ii) Mettre en œuvre un plan négocié de redéploiement du  personnel excédentaire (par rapport aux normes) de certains districts vers les districts déficitaires.</w:t>
            </w:r>
          </w:p>
        </w:tc>
      </w:tr>
      <w:tr w:rsidR="003373DE" w:rsidRPr="005E68E5" w:rsidTr="003373DE">
        <w:trPr>
          <w:trHeight w:val="186"/>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sz w:val="18"/>
                <w:szCs w:val="18"/>
              </w:rPr>
            </w:pPr>
            <w:r w:rsidRPr="00123AB3">
              <w:rPr>
                <w:rFonts w:asciiTheme="majorHAnsi" w:hAnsiTheme="majorHAnsi" w:cstheme="majorHAnsi"/>
                <w:color w:val="000000"/>
                <w:sz w:val="18"/>
                <w:szCs w:val="18"/>
              </w:rPr>
              <w:t>Assurer la stabilisation du  personnel en poste : (i) Etablir un plan de carrière pour chaque agent pour réduire le rythme et le nombre des rotations,(ii)  Mettre en place des mesures incitatives pour stabiliser les personnels affectés dans les postes difficiles, (iii) Instaurer la régionalisation complète du recrutement</w:t>
            </w:r>
          </w:p>
        </w:tc>
      </w:tr>
    </w:tbl>
    <w:p w:rsidR="003373DE" w:rsidRDefault="003373DE" w:rsidP="003373DE"/>
    <w:p w:rsidR="003373DE" w:rsidRDefault="003373DE" w:rsidP="003373DE"/>
    <w:p w:rsidR="003373DE" w:rsidRDefault="003373DE" w:rsidP="003373DE"/>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3260"/>
        <w:gridCol w:w="8221"/>
      </w:tblGrid>
      <w:tr w:rsidR="003373DE" w:rsidRPr="005E68E5" w:rsidTr="003373DE">
        <w:trPr>
          <w:trHeight w:val="398"/>
        </w:trPr>
        <w:tc>
          <w:tcPr>
            <w:tcW w:w="2802" w:type="dxa"/>
            <w:shd w:val="clear" w:color="auto" w:fill="FFFFFF"/>
          </w:tcPr>
          <w:p w:rsidR="003373DE" w:rsidRPr="005E68E5"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r w:rsidRPr="005E68E5">
              <w:rPr>
                <w:rFonts w:asciiTheme="minorHAnsi" w:hAnsiTheme="minorHAnsi" w:cstheme="minorHAnsi"/>
                <w:color w:val="000000"/>
              </w:rPr>
              <w:t>AXES D’INTERVENTION</w:t>
            </w:r>
          </w:p>
        </w:tc>
        <w:tc>
          <w:tcPr>
            <w:tcW w:w="3260" w:type="dxa"/>
            <w:shd w:val="clear" w:color="auto" w:fill="FFFFFF"/>
          </w:tcPr>
          <w:p w:rsidR="003373DE" w:rsidRPr="00123AB3"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20"/>
                <w:szCs w:val="20"/>
              </w:rPr>
            </w:pPr>
            <w:r w:rsidRPr="00123AB3">
              <w:rPr>
                <w:rFonts w:asciiTheme="minorHAnsi" w:hAnsiTheme="minorHAnsi" w:cstheme="minorHAnsi"/>
                <w:color w:val="000000"/>
                <w:sz w:val="20"/>
                <w:szCs w:val="20"/>
              </w:rPr>
              <w:t>ACTIONS PRINCIPALES</w:t>
            </w:r>
          </w:p>
        </w:tc>
        <w:tc>
          <w:tcPr>
            <w:tcW w:w="8221" w:type="dxa"/>
            <w:shd w:val="clear" w:color="auto" w:fill="FFFFFF"/>
          </w:tcPr>
          <w:p w:rsidR="003373DE" w:rsidRPr="00123AB3" w:rsidRDefault="003373DE" w:rsidP="003373DE">
            <w:pPr>
              <w:pStyle w:val="Normal1"/>
              <w:pBdr>
                <w:top w:val="nil"/>
                <w:left w:val="nil"/>
                <w:bottom w:val="nil"/>
                <w:right w:val="nil"/>
                <w:between w:val="nil"/>
              </w:pBdr>
              <w:spacing w:after="0" w:line="240" w:lineRule="auto"/>
              <w:ind w:left="885"/>
              <w:jc w:val="both"/>
              <w:rPr>
                <w:rFonts w:asciiTheme="majorHAnsi" w:hAnsiTheme="majorHAnsi" w:cstheme="majorHAnsi"/>
                <w:sz w:val="18"/>
                <w:szCs w:val="18"/>
              </w:rPr>
            </w:pPr>
            <w:r w:rsidRPr="00123AB3">
              <w:rPr>
                <w:rFonts w:asciiTheme="majorHAnsi" w:hAnsiTheme="majorHAnsi" w:cstheme="majorHAnsi"/>
                <w:sz w:val="18"/>
                <w:szCs w:val="18"/>
              </w:rPr>
              <w:t>ACTIVITES PRINCIPALES</w:t>
            </w:r>
          </w:p>
        </w:tc>
      </w:tr>
      <w:tr w:rsidR="003373DE" w:rsidRPr="005E68E5" w:rsidTr="003373DE">
        <w:trPr>
          <w:trHeight w:val="398"/>
        </w:trPr>
        <w:tc>
          <w:tcPr>
            <w:tcW w:w="2802" w:type="dxa"/>
            <w:vMerge w:val="restart"/>
            <w:shd w:val="clear" w:color="auto" w:fill="FFFFFF"/>
          </w:tcPr>
          <w:p w:rsidR="003373DE" w:rsidRPr="002E76DF" w:rsidRDefault="003373DE" w:rsidP="003373DE">
            <w:pPr>
              <w:pStyle w:val="Paragraphedeliste"/>
              <w:numPr>
                <w:ilvl w:val="1"/>
                <w:numId w:val="9"/>
              </w:numPr>
              <w:spacing w:line="240" w:lineRule="auto"/>
              <w:rPr>
                <w:rFonts w:cstheme="minorHAnsi"/>
                <w:b/>
                <w:i/>
                <w:sz w:val="20"/>
                <w:szCs w:val="20"/>
              </w:rPr>
            </w:pPr>
            <w:r w:rsidRPr="002E76DF">
              <w:rPr>
                <w:rFonts w:cstheme="minorHAnsi"/>
                <w:b/>
                <w:i/>
                <w:sz w:val="20"/>
                <w:szCs w:val="20"/>
              </w:rPr>
              <w:t>La disponibilité des infrastructures, des équipements et de  la logistique pour</w:t>
            </w:r>
          </w:p>
          <w:p w:rsidR="003373DE" w:rsidRPr="002E76DF" w:rsidRDefault="003373DE" w:rsidP="003373DE">
            <w:pPr>
              <w:spacing w:after="0" w:line="240" w:lineRule="auto"/>
              <w:rPr>
                <w:rFonts w:cstheme="minorHAnsi"/>
                <w:b/>
                <w:i/>
                <w:sz w:val="20"/>
                <w:szCs w:val="20"/>
              </w:rPr>
            </w:pPr>
            <w:r w:rsidRPr="002E76DF">
              <w:rPr>
                <w:rFonts w:cstheme="minorHAnsi"/>
                <w:b/>
                <w:i/>
                <w:sz w:val="20"/>
                <w:szCs w:val="20"/>
              </w:rPr>
              <w:t xml:space="preserve">       l’offre des services</w:t>
            </w:r>
          </w:p>
          <w:p w:rsidR="003373DE" w:rsidRPr="002E76DF" w:rsidRDefault="003373DE" w:rsidP="003373DE">
            <w:pPr>
              <w:spacing w:after="0" w:line="240" w:lineRule="auto"/>
              <w:rPr>
                <w:rFonts w:cstheme="minorHAnsi"/>
                <w:b/>
                <w:i/>
                <w:sz w:val="20"/>
                <w:szCs w:val="20"/>
              </w:rPr>
            </w:pPr>
            <w:r w:rsidRPr="002E76DF">
              <w:rPr>
                <w:rFonts w:cstheme="minorHAnsi"/>
                <w:b/>
                <w:i/>
                <w:sz w:val="20"/>
                <w:szCs w:val="20"/>
              </w:rPr>
              <w:t xml:space="preserve">      SRMNEAN est </w:t>
            </w:r>
          </w:p>
          <w:p w:rsidR="003373DE" w:rsidRPr="00502F30" w:rsidRDefault="003373DE" w:rsidP="003373DE">
            <w:pPr>
              <w:spacing w:after="0" w:line="240" w:lineRule="auto"/>
              <w:rPr>
                <w:rFonts w:cstheme="minorHAnsi"/>
                <w:b/>
                <w:i/>
                <w:sz w:val="24"/>
                <w:szCs w:val="24"/>
              </w:rPr>
            </w:pPr>
            <w:r w:rsidRPr="002E76DF">
              <w:rPr>
                <w:rFonts w:cstheme="minorHAnsi"/>
                <w:b/>
                <w:i/>
                <w:sz w:val="20"/>
                <w:szCs w:val="20"/>
              </w:rPr>
              <w:t xml:space="preserve">      améliorée.</w:t>
            </w:r>
          </w:p>
        </w:tc>
        <w:tc>
          <w:tcPr>
            <w:tcW w:w="3260" w:type="dxa"/>
            <w:vMerge w:val="restart"/>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 xml:space="preserve">Améliorer la capacité d’accueil des maternités. </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Elaborer un plan de renouvellement du matériel et de l’équipement médico-technique des formations sanitaires</w:t>
            </w:r>
          </w:p>
        </w:tc>
      </w:tr>
      <w:tr w:rsidR="003373DE" w:rsidRPr="005E68E5" w:rsidTr="003373DE">
        <w:trPr>
          <w:trHeight w:val="354"/>
        </w:trPr>
        <w:tc>
          <w:tcPr>
            <w:tcW w:w="2802" w:type="dxa"/>
            <w:vMerge/>
            <w:shd w:val="clear" w:color="auto" w:fill="FFFFFF"/>
          </w:tcPr>
          <w:p w:rsidR="003373DE" w:rsidRPr="005E68E5"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numPr>
                <w:ilvl w:val="3"/>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Acquérir 10 005 lits de maternité</w:t>
            </w:r>
          </w:p>
        </w:tc>
      </w:tr>
      <w:tr w:rsidR="003373DE" w:rsidRPr="005E68E5" w:rsidTr="003373DE">
        <w:trPr>
          <w:trHeight w:val="288"/>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Aménager dans chaque CMA, chaque maternité un espace dédié à la prise en charge du nouveau-né</w:t>
            </w:r>
          </w:p>
        </w:tc>
      </w:tr>
      <w:tr w:rsidR="003373DE" w:rsidRPr="005E68E5" w:rsidTr="003373DE">
        <w:trPr>
          <w:trHeight w:val="248"/>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val="restart"/>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Renforcer les moyens d’évacuation vers les FS de référence.</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moyens de communication (téléphonie, phonie)</w:t>
            </w:r>
          </w:p>
        </w:tc>
      </w:tr>
      <w:tr w:rsidR="003373DE" w:rsidRPr="005E68E5" w:rsidTr="003373DE">
        <w:trPr>
          <w:trHeight w:val="247"/>
        </w:trPr>
        <w:tc>
          <w:tcPr>
            <w:tcW w:w="2802" w:type="dxa"/>
            <w:vMerge/>
            <w:shd w:val="clear" w:color="auto" w:fill="FFFFFF"/>
          </w:tcPr>
          <w:p w:rsidR="003373DE" w:rsidRPr="005E68E5"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34"/>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Améliorer les moyens de transport par l’acquisition de 300 ambulances y compris des véhicules de collecte de sang</w:t>
            </w:r>
          </w:p>
        </w:tc>
      </w:tr>
      <w:tr w:rsidR="003373DE" w:rsidRPr="005E68E5" w:rsidTr="003373DE">
        <w:trPr>
          <w:trHeight w:val="245"/>
        </w:trPr>
        <w:tc>
          <w:tcPr>
            <w:tcW w:w="2802" w:type="dxa"/>
            <w:vMerge w:val="restart"/>
            <w:shd w:val="clear" w:color="auto" w:fill="FFFFFF"/>
          </w:tcPr>
          <w:p w:rsidR="003373DE" w:rsidRPr="00BA2D88" w:rsidRDefault="003373DE" w:rsidP="00BA2D88">
            <w:pPr>
              <w:pStyle w:val="Paragraphedeliste"/>
              <w:numPr>
                <w:ilvl w:val="1"/>
                <w:numId w:val="9"/>
              </w:numPr>
              <w:pBdr>
                <w:top w:val="nil"/>
                <w:left w:val="nil"/>
                <w:bottom w:val="nil"/>
                <w:right w:val="nil"/>
                <w:between w:val="nil"/>
              </w:pBdr>
              <w:spacing w:line="240" w:lineRule="auto"/>
              <w:rPr>
                <w:rFonts w:ascii="Calibri" w:hAnsi="Calibri" w:cstheme="minorHAnsi"/>
                <w:b/>
                <w:i/>
                <w:color w:val="000000"/>
              </w:rPr>
            </w:pPr>
            <w:r w:rsidRPr="00BA2D88">
              <w:rPr>
                <w:rFonts w:asciiTheme="majorHAnsi" w:hAnsiTheme="majorHAnsi" w:cstheme="majorHAnsi"/>
                <w:b/>
                <w:i/>
              </w:rPr>
              <w:t xml:space="preserve">La disponibilité </w:t>
            </w:r>
            <w:r w:rsidRPr="002E76DF">
              <w:rPr>
                <w:rFonts w:asciiTheme="majorHAnsi" w:hAnsiTheme="majorHAnsi" w:cstheme="majorHAnsi"/>
                <w:b/>
                <w:i/>
              </w:rPr>
              <w:t>continue des       intrants de SRMNEAN est améliorée.</w:t>
            </w:r>
            <w:r w:rsidRPr="004D4C38">
              <w:rPr>
                <w:rFonts w:asciiTheme="majorHAnsi" w:hAnsiTheme="majorHAnsi" w:cstheme="majorHAnsi"/>
                <w:b/>
                <w:i/>
                <w:sz w:val="24"/>
                <w:szCs w:val="24"/>
              </w:rPr>
              <w:t xml:space="preserve">  </w:t>
            </w:r>
          </w:p>
        </w:tc>
        <w:tc>
          <w:tcPr>
            <w:tcW w:w="3260" w:type="dxa"/>
            <w:vMerge w:val="restart"/>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Assurer la disponibilité continue du matériel de communication et de démonstration. </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disponibilité du Matériel de sonorisation et de projection,</w:t>
            </w:r>
          </w:p>
        </w:tc>
      </w:tr>
      <w:tr w:rsidR="003373DE" w:rsidRPr="005E68E5" w:rsidTr="003373DE">
        <w:trPr>
          <w:trHeight w:val="245"/>
        </w:trPr>
        <w:tc>
          <w:tcPr>
            <w:tcW w:w="2802" w:type="dxa"/>
            <w:vMerge/>
            <w:shd w:val="clear" w:color="auto" w:fill="FFFFFF"/>
          </w:tcPr>
          <w:p w:rsidR="003373DE" w:rsidRPr="005E68E5"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disponibilité des Planches, boites à images, affiches, dépliants</w:t>
            </w:r>
          </w:p>
        </w:tc>
      </w:tr>
      <w:tr w:rsidR="003373DE" w:rsidRPr="005E68E5" w:rsidTr="003373DE">
        <w:trPr>
          <w:trHeight w:val="245"/>
        </w:trPr>
        <w:tc>
          <w:tcPr>
            <w:tcW w:w="2802" w:type="dxa"/>
            <w:vMerge/>
            <w:shd w:val="clear" w:color="auto" w:fill="FFFFFF"/>
          </w:tcPr>
          <w:p w:rsidR="003373DE" w:rsidRPr="005E68E5"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disponibilité des Modèles anatomiques et films.</w:t>
            </w:r>
          </w:p>
        </w:tc>
      </w:tr>
      <w:tr w:rsidR="003373DE" w:rsidRPr="005E68E5" w:rsidTr="003373DE">
        <w:trPr>
          <w:trHeight w:val="283"/>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val="restart"/>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Assurer la disponibilité continue du matériel médico-technique, les médicaments et  les produits sanguins.</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disponibilité continue des équipements, du matériel médi</w:t>
            </w:r>
            <w:r w:rsidR="00F93184">
              <w:rPr>
                <w:rFonts w:asciiTheme="majorHAnsi" w:hAnsiTheme="majorHAnsi" w:cstheme="majorHAnsi"/>
                <w:color w:val="000000"/>
                <w:sz w:val="18"/>
                <w:szCs w:val="18"/>
              </w:rPr>
              <w:t>co-technique et des médicaments</w:t>
            </w:r>
            <w:r w:rsidRPr="00123AB3">
              <w:rPr>
                <w:rFonts w:asciiTheme="majorHAnsi" w:hAnsiTheme="majorHAnsi" w:cstheme="majorHAnsi"/>
                <w:color w:val="000000"/>
                <w:sz w:val="18"/>
                <w:szCs w:val="18"/>
              </w:rPr>
              <w:t>.</w:t>
            </w:r>
          </w:p>
        </w:tc>
      </w:tr>
      <w:tr w:rsidR="003373DE" w:rsidRPr="005E68E5" w:rsidTr="003373DE">
        <w:trPr>
          <w:trHeight w:val="248"/>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disponibilité des intrants de collecte et de qualification des dons</w:t>
            </w:r>
            <w:r w:rsidR="00F93184">
              <w:rPr>
                <w:rFonts w:asciiTheme="majorHAnsi" w:hAnsiTheme="majorHAnsi" w:cstheme="majorHAnsi"/>
                <w:color w:val="000000"/>
                <w:sz w:val="18"/>
                <w:szCs w:val="18"/>
              </w:rPr>
              <w:t xml:space="preserve"> de sang.</w:t>
            </w:r>
          </w:p>
        </w:tc>
      </w:tr>
      <w:tr w:rsidR="003373DE" w:rsidRPr="005E68E5" w:rsidTr="003373DE">
        <w:trPr>
          <w:trHeight w:val="247"/>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numPr>
                <w:ilvl w:val="3"/>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logistique pour la conservation et le transport des dons de sang</w:t>
            </w:r>
          </w:p>
        </w:tc>
      </w:tr>
      <w:tr w:rsidR="003373DE" w:rsidRPr="005E68E5" w:rsidTr="003373DE">
        <w:trPr>
          <w:trHeight w:val="247"/>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Construire un dépôt préleveur distributeur de sang (DPD) dans tous les chefs-lieux de provinces en dehors de celles abritant les CRTS</w:t>
            </w:r>
          </w:p>
        </w:tc>
      </w:tr>
      <w:tr w:rsidR="00F93184" w:rsidRPr="005E68E5" w:rsidTr="003373DE">
        <w:trPr>
          <w:trHeight w:val="368"/>
        </w:trPr>
        <w:tc>
          <w:tcPr>
            <w:tcW w:w="2802" w:type="dxa"/>
            <w:vMerge/>
            <w:shd w:val="clear" w:color="auto" w:fill="FFFFFF"/>
          </w:tcPr>
          <w:p w:rsidR="00F93184" w:rsidRPr="005E68E5" w:rsidRDefault="00F93184"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val="restart"/>
            <w:shd w:val="clear" w:color="auto" w:fill="FFFFFF"/>
          </w:tcPr>
          <w:p w:rsidR="00F93184" w:rsidRPr="00F93184" w:rsidRDefault="00F93184" w:rsidP="00F93184">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F93184">
              <w:rPr>
                <w:rFonts w:asciiTheme="minorHAnsi" w:hAnsiTheme="minorHAnsi" w:cstheme="minorHAnsi"/>
                <w:color w:val="000000"/>
                <w:sz w:val="18"/>
                <w:szCs w:val="18"/>
              </w:rPr>
              <w:t>Assurer la disponibilité des intrants, des médicaments, des outils et du matériels de prise en charge nutritionnelle dans les formations sanitaires</w:t>
            </w:r>
          </w:p>
        </w:tc>
        <w:tc>
          <w:tcPr>
            <w:tcW w:w="8221" w:type="dxa"/>
            <w:shd w:val="clear" w:color="auto" w:fill="FFFFFF"/>
          </w:tcPr>
          <w:p w:rsidR="00F93184" w:rsidRPr="00F93184" w:rsidRDefault="00F93184" w:rsidP="00F93184">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F93184">
              <w:rPr>
                <w:rFonts w:asciiTheme="majorHAnsi" w:hAnsiTheme="majorHAnsi" w:cstheme="majorHAnsi"/>
                <w:color w:val="000000"/>
                <w:sz w:val="18"/>
                <w:szCs w:val="18"/>
              </w:rPr>
              <w:t>Doter les structures de prise en charge en ATPE</w:t>
            </w:r>
          </w:p>
        </w:tc>
      </w:tr>
      <w:tr w:rsidR="00F93184" w:rsidRPr="005E68E5" w:rsidTr="003373DE">
        <w:trPr>
          <w:trHeight w:val="368"/>
        </w:trPr>
        <w:tc>
          <w:tcPr>
            <w:tcW w:w="2802" w:type="dxa"/>
            <w:vMerge/>
            <w:shd w:val="clear" w:color="auto" w:fill="FFFFFF"/>
          </w:tcPr>
          <w:p w:rsidR="00F93184" w:rsidRPr="005E68E5" w:rsidRDefault="00F93184"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F93184" w:rsidRPr="00F93184" w:rsidRDefault="00F93184" w:rsidP="00F93184">
            <w:pPr>
              <w:pStyle w:val="Normal1"/>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F93184" w:rsidRPr="00F93184" w:rsidRDefault="00F93184" w:rsidP="00F93184">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F93184">
              <w:rPr>
                <w:rFonts w:asciiTheme="majorHAnsi" w:hAnsiTheme="majorHAnsi" w:cstheme="majorHAnsi"/>
                <w:color w:val="000000"/>
                <w:sz w:val="18"/>
                <w:szCs w:val="18"/>
              </w:rPr>
              <w:t xml:space="preserve">Doter les structures de prise en charge des denrées alimentaires pour la prise en charge des malnutris modérés </w:t>
            </w:r>
          </w:p>
        </w:tc>
      </w:tr>
      <w:tr w:rsidR="00F93184" w:rsidRPr="005E68E5" w:rsidTr="003373DE">
        <w:trPr>
          <w:trHeight w:val="368"/>
        </w:trPr>
        <w:tc>
          <w:tcPr>
            <w:tcW w:w="2802" w:type="dxa"/>
            <w:vMerge/>
            <w:shd w:val="clear" w:color="auto" w:fill="FFFFFF"/>
          </w:tcPr>
          <w:p w:rsidR="00F93184" w:rsidRPr="005E68E5" w:rsidRDefault="00F93184"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F93184" w:rsidRPr="00F93184" w:rsidRDefault="00F93184" w:rsidP="00F93184">
            <w:pPr>
              <w:pStyle w:val="Normal1"/>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F93184" w:rsidRPr="00F93184" w:rsidRDefault="00F93184" w:rsidP="00F93184">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F93184">
              <w:rPr>
                <w:rFonts w:asciiTheme="majorHAnsi" w:hAnsiTheme="majorHAnsi" w:cstheme="majorHAnsi"/>
                <w:color w:val="000000"/>
                <w:sz w:val="18"/>
                <w:szCs w:val="18"/>
              </w:rPr>
              <w:t xml:space="preserve">Renforcer les compétences des acteurs en gestion des intrants nutritionnels </w:t>
            </w:r>
          </w:p>
        </w:tc>
      </w:tr>
      <w:tr w:rsidR="003373DE" w:rsidRPr="005E68E5" w:rsidTr="003373DE">
        <w:trPr>
          <w:trHeight w:val="368"/>
        </w:trPr>
        <w:tc>
          <w:tcPr>
            <w:tcW w:w="2802"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val="restart"/>
            <w:shd w:val="clear" w:color="auto" w:fill="FFFFFF"/>
          </w:tcPr>
          <w:p w:rsidR="003373DE" w:rsidRPr="002E76DF"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 xml:space="preserve">Assurer le fonctionnement continue du  matériel médico-technique. </w:t>
            </w: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équipes de maintenance par du personnel qualifié</w:t>
            </w:r>
          </w:p>
        </w:tc>
      </w:tr>
      <w:tr w:rsidR="003373DE" w:rsidRPr="005E68E5" w:rsidTr="003373DE">
        <w:trPr>
          <w:trHeight w:val="368"/>
        </w:trPr>
        <w:tc>
          <w:tcPr>
            <w:tcW w:w="2802" w:type="dxa"/>
            <w:vMerge/>
            <w:shd w:val="clear" w:color="auto" w:fill="FFFFFF"/>
          </w:tcPr>
          <w:p w:rsidR="003373DE" w:rsidRPr="005E68E5"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Standardiser chaque fois que possible les équipements médico-techniques</w:t>
            </w:r>
          </w:p>
        </w:tc>
      </w:tr>
      <w:tr w:rsidR="003373DE" w:rsidRPr="005E68E5" w:rsidTr="003373DE">
        <w:trPr>
          <w:trHeight w:val="202"/>
        </w:trPr>
        <w:tc>
          <w:tcPr>
            <w:tcW w:w="2802" w:type="dxa"/>
            <w:vMerge/>
            <w:shd w:val="clear" w:color="auto" w:fill="FFFFFF"/>
          </w:tcPr>
          <w:p w:rsidR="003373DE" w:rsidRPr="005E68E5" w:rsidRDefault="003373DE" w:rsidP="003373DE">
            <w:pPr>
              <w:pStyle w:val="Normal1"/>
              <w:numPr>
                <w:ilvl w:val="2"/>
                <w:numId w:val="9"/>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5E68E5"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8221" w:type="dxa"/>
            <w:shd w:val="clear" w:color="auto" w:fill="FFFFFF"/>
          </w:tcPr>
          <w:p w:rsidR="003373DE" w:rsidRPr="00123AB3" w:rsidRDefault="003373DE" w:rsidP="003373DE">
            <w:pPr>
              <w:pStyle w:val="Normal1"/>
              <w:numPr>
                <w:ilvl w:val="3"/>
                <w:numId w:val="9"/>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Acquérir le matériel de réparation et un stock de pièces de recharge </w:t>
            </w:r>
          </w:p>
        </w:tc>
      </w:tr>
    </w:tbl>
    <w:p w:rsidR="00BA2D88" w:rsidRDefault="00BA2D88"/>
    <w:p w:rsidR="00BA2D88" w:rsidRDefault="00BA2D88"/>
    <w:p w:rsidR="00BA2D88" w:rsidRDefault="00BA2D88"/>
    <w:p w:rsidR="00BA2D88" w:rsidRDefault="00BA2D88"/>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3260"/>
        <w:gridCol w:w="8221"/>
      </w:tblGrid>
      <w:tr w:rsidR="003373DE" w:rsidRPr="002E76DF" w:rsidTr="003373DE">
        <w:trPr>
          <w:trHeight w:val="406"/>
        </w:trPr>
        <w:tc>
          <w:tcPr>
            <w:tcW w:w="14283" w:type="dxa"/>
            <w:gridSpan w:val="3"/>
            <w:shd w:val="clear" w:color="auto" w:fill="FFFFFF"/>
          </w:tcPr>
          <w:p w:rsidR="003373DE" w:rsidRPr="002E76DF" w:rsidRDefault="003373DE" w:rsidP="003373DE">
            <w:pPr>
              <w:spacing w:after="0" w:line="240" w:lineRule="auto"/>
              <w:jc w:val="both"/>
              <w:rPr>
                <w:rFonts w:asciiTheme="majorHAnsi" w:hAnsiTheme="majorHAnsi" w:cstheme="majorHAnsi"/>
                <w:sz w:val="24"/>
                <w:szCs w:val="24"/>
              </w:rPr>
            </w:pPr>
            <w:r w:rsidRPr="002E76DF">
              <w:rPr>
                <w:b/>
                <w:sz w:val="24"/>
                <w:szCs w:val="24"/>
              </w:rPr>
              <w:t>EFFET 2 :</w:t>
            </w:r>
            <w:r w:rsidRPr="002E76DF">
              <w:rPr>
                <w:rFonts w:asciiTheme="majorHAnsi" w:hAnsiTheme="majorHAnsi" w:cstheme="majorHAnsi"/>
                <w:sz w:val="24"/>
                <w:szCs w:val="24"/>
              </w:rPr>
              <w:t xml:space="preserve"> </w:t>
            </w:r>
            <w:r w:rsidRPr="002E76DF">
              <w:rPr>
                <w:rFonts w:asciiTheme="majorHAnsi" w:hAnsiTheme="majorHAnsi" w:cstheme="majorHAnsi"/>
                <w:b/>
                <w:sz w:val="24"/>
                <w:szCs w:val="24"/>
              </w:rPr>
              <w:t>L’ACCES A L’EAU POTABLE, A L’HYGIENE ET ASSAINISSEMENT ET A UNE ALIMENTATION SAINE ET SECURISEE S’AMELIORE.</w:t>
            </w:r>
          </w:p>
          <w:p w:rsidR="003373DE" w:rsidRPr="002E76DF" w:rsidRDefault="003373DE" w:rsidP="003373DE">
            <w:pPr>
              <w:pStyle w:val="Normal1"/>
              <w:spacing w:after="0" w:line="240" w:lineRule="auto"/>
              <w:jc w:val="both"/>
              <w:rPr>
                <w:b/>
                <w:sz w:val="24"/>
                <w:szCs w:val="24"/>
              </w:rPr>
            </w:pPr>
            <w:r w:rsidRPr="002E76DF">
              <w:rPr>
                <w:b/>
                <w:sz w:val="24"/>
                <w:szCs w:val="24"/>
              </w:rPr>
              <w:t>PROGRAMME 01 :</w:t>
            </w:r>
            <w:r w:rsidRPr="002E76DF">
              <w:rPr>
                <w:b/>
                <w:i/>
                <w:sz w:val="24"/>
                <w:szCs w:val="24"/>
              </w:rPr>
              <w:t xml:space="preserve"> </w:t>
            </w:r>
            <w:r w:rsidRPr="002E76DF">
              <w:rPr>
                <w:b/>
                <w:sz w:val="24"/>
                <w:szCs w:val="24"/>
              </w:rPr>
              <w:t>Pilotage et soutien des services du Ministère de la santé (057)</w:t>
            </w:r>
          </w:p>
        </w:tc>
      </w:tr>
      <w:tr w:rsidR="003373DE" w:rsidRPr="00315516" w:rsidTr="003373DE">
        <w:trPr>
          <w:trHeight w:val="135"/>
        </w:trPr>
        <w:tc>
          <w:tcPr>
            <w:tcW w:w="2802" w:type="dxa"/>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r w:rsidRPr="00315516">
              <w:rPr>
                <w:rFonts w:asciiTheme="minorHAnsi" w:hAnsiTheme="minorHAnsi" w:cstheme="minorHAnsi"/>
                <w:color w:val="000000"/>
              </w:rPr>
              <w:t>AXES D’INTERVENTION</w:t>
            </w:r>
          </w:p>
        </w:tc>
        <w:tc>
          <w:tcPr>
            <w:tcW w:w="3260" w:type="dxa"/>
            <w:shd w:val="clear" w:color="auto" w:fill="FFFFFF"/>
          </w:tcPr>
          <w:p w:rsidR="003373DE" w:rsidRPr="00315516"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r w:rsidRPr="00315516">
              <w:rPr>
                <w:rFonts w:asciiTheme="minorHAnsi" w:hAnsiTheme="minorHAnsi" w:cstheme="minorHAnsi"/>
                <w:color w:val="000000"/>
              </w:rPr>
              <w:t>ACTIONS PRINCIPALES</w:t>
            </w:r>
          </w:p>
        </w:tc>
        <w:tc>
          <w:tcPr>
            <w:tcW w:w="8221" w:type="dxa"/>
            <w:shd w:val="clear" w:color="auto" w:fill="FFFFFF"/>
          </w:tcPr>
          <w:p w:rsidR="003373DE" w:rsidRPr="00123AB3" w:rsidRDefault="003373DE" w:rsidP="003373DE">
            <w:pPr>
              <w:pStyle w:val="Normal1"/>
              <w:pBdr>
                <w:top w:val="nil"/>
                <w:left w:val="nil"/>
                <w:bottom w:val="nil"/>
                <w:right w:val="nil"/>
                <w:between w:val="nil"/>
              </w:pBdr>
              <w:spacing w:after="0" w:line="240" w:lineRule="auto"/>
              <w:ind w:left="885"/>
              <w:jc w:val="both"/>
              <w:rPr>
                <w:rFonts w:asciiTheme="majorHAnsi" w:hAnsiTheme="majorHAnsi" w:cstheme="majorHAnsi"/>
                <w:sz w:val="18"/>
                <w:szCs w:val="18"/>
              </w:rPr>
            </w:pPr>
            <w:r w:rsidRPr="00123AB3">
              <w:rPr>
                <w:rFonts w:asciiTheme="majorHAnsi" w:hAnsiTheme="majorHAnsi" w:cstheme="majorHAnsi"/>
                <w:sz w:val="18"/>
                <w:szCs w:val="18"/>
              </w:rPr>
              <w:t>ACTIVITES PRINCIPALES</w:t>
            </w:r>
          </w:p>
        </w:tc>
      </w:tr>
      <w:tr w:rsidR="003373DE" w:rsidRPr="00315516" w:rsidTr="003373DE">
        <w:trPr>
          <w:trHeight w:val="135"/>
        </w:trPr>
        <w:tc>
          <w:tcPr>
            <w:tcW w:w="2802" w:type="dxa"/>
            <w:vMerge w:val="restart"/>
            <w:shd w:val="clear" w:color="auto" w:fill="FFFFFF"/>
          </w:tcPr>
          <w:p w:rsidR="003373DE" w:rsidRPr="002E76DF" w:rsidRDefault="003373DE" w:rsidP="003373DE">
            <w:pPr>
              <w:spacing w:after="0" w:line="240" w:lineRule="auto"/>
              <w:rPr>
                <w:rFonts w:cstheme="minorHAnsi"/>
                <w:b/>
                <w:i/>
                <w:sz w:val="20"/>
                <w:szCs w:val="20"/>
              </w:rPr>
            </w:pPr>
            <w:r w:rsidRPr="00201147">
              <w:rPr>
                <w:rFonts w:asciiTheme="minorHAnsi" w:hAnsiTheme="minorHAnsi" w:cstheme="minorHAnsi"/>
                <w:b/>
                <w:i/>
                <w:color w:val="000000"/>
              </w:rPr>
              <w:t>3.1.</w:t>
            </w:r>
            <w:r>
              <w:rPr>
                <w:rFonts w:asciiTheme="minorHAnsi" w:hAnsiTheme="minorHAnsi" w:cstheme="minorHAnsi"/>
                <w:color w:val="000000"/>
              </w:rPr>
              <w:t xml:space="preserve">  </w:t>
            </w:r>
            <w:r w:rsidRPr="002E76DF">
              <w:rPr>
                <w:rFonts w:cstheme="minorHAnsi"/>
                <w:b/>
                <w:i/>
                <w:sz w:val="20"/>
                <w:szCs w:val="20"/>
              </w:rPr>
              <w:t>Le financement de la</w:t>
            </w:r>
          </w:p>
          <w:p w:rsidR="003373DE" w:rsidRPr="002E76DF" w:rsidRDefault="003373DE" w:rsidP="003373DE">
            <w:pPr>
              <w:spacing w:after="0" w:line="240" w:lineRule="auto"/>
              <w:rPr>
                <w:rFonts w:cstheme="minorHAnsi"/>
                <w:b/>
                <w:i/>
                <w:sz w:val="20"/>
                <w:szCs w:val="20"/>
              </w:rPr>
            </w:pPr>
            <w:r w:rsidRPr="002E76DF">
              <w:rPr>
                <w:rFonts w:cstheme="minorHAnsi"/>
                <w:b/>
                <w:i/>
                <w:sz w:val="20"/>
                <w:szCs w:val="20"/>
              </w:rPr>
              <w:t xml:space="preserve">        santé en général  et </w:t>
            </w:r>
          </w:p>
          <w:p w:rsidR="003373DE" w:rsidRPr="002E76DF" w:rsidRDefault="003373DE" w:rsidP="003373DE">
            <w:pPr>
              <w:spacing w:after="0" w:line="240" w:lineRule="auto"/>
              <w:rPr>
                <w:rFonts w:cstheme="minorHAnsi"/>
                <w:b/>
                <w:i/>
                <w:sz w:val="20"/>
                <w:szCs w:val="20"/>
              </w:rPr>
            </w:pPr>
            <w:r w:rsidRPr="002E76DF">
              <w:rPr>
                <w:rFonts w:cstheme="minorHAnsi"/>
                <w:b/>
                <w:i/>
                <w:sz w:val="20"/>
                <w:szCs w:val="20"/>
              </w:rPr>
              <w:t xml:space="preserve">       le financement du DI-</w:t>
            </w:r>
          </w:p>
          <w:p w:rsidR="003373DE" w:rsidRPr="002E76DF" w:rsidRDefault="003373DE" w:rsidP="003373DE">
            <w:pPr>
              <w:spacing w:after="0" w:line="240" w:lineRule="auto"/>
              <w:rPr>
                <w:rFonts w:cstheme="minorHAnsi"/>
                <w:b/>
                <w:i/>
                <w:sz w:val="20"/>
                <w:szCs w:val="20"/>
              </w:rPr>
            </w:pPr>
            <w:r w:rsidRPr="002E76DF">
              <w:rPr>
                <w:rFonts w:cstheme="minorHAnsi"/>
                <w:b/>
                <w:i/>
                <w:sz w:val="20"/>
                <w:szCs w:val="20"/>
              </w:rPr>
              <w:t xml:space="preserve">       SRMNEAN-ECSV sont</w:t>
            </w:r>
          </w:p>
          <w:p w:rsidR="003373DE" w:rsidRPr="009319E0" w:rsidRDefault="003373DE" w:rsidP="003373DE">
            <w:pPr>
              <w:spacing w:after="0" w:line="240" w:lineRule="auto"/>
              <w:rPr>
                <w:rFonts w:cstheme="minorHAnsi"/>
                <w:b/>
                <w:i/>
                <w:sz w:val="24"/>
                <w:szCs w:val="24"/>
              </w:rPr>
            </w:pPr>
            <w:r w:rsidRPr="002E76DF">
              <w:rPr>
                <w:rFonts w:cstheme="minorHAnsi"/>
                <w:b/>
                <w:i/>
                <w:sz w:val="20"/>
                <w:szCs w:val="20"/>
              </w:rPr>
              <w:t xml:space="preserve">       assurés</w:t>
            </w:r>
          </w:p>
        </w:tc>
        <w:tc>
          <w:tcPr>
            <w:tcW w:w="3260" w:type="dxa"/>
            <w:vMerge w:val="restart"/>
            <w:shd w:val="clear" w:color="auto" w:fill="FFFFFF"/>
          </w:tcPr>
          <w:p w:rsidR="003373DE" w:rsidRPr="002E76DF" w:rsidRDefault="003373DE" w:rsidP="003373DE">
            <w:pPr>
              <w:pStyle w:val="Normal1"/>
              <w:numPr>
                <w:ilvl w:val="2"/>
                <w:numId w:val="134"/>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Augmenter le volume des ressources financières pour financer le DI</w:t>
            </w: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Augmenter le Pourcentage du budget de l’Etat alloué à la santé pour aller vers la cible de 15% </w:t>
            </w:r>
          </w:p>
        </w:tc>
      </w:tr>
      <w:tr w:rsidR="003373DE" w:rsidRPr="00315516" w:rsidTr="003373DE">
        <w:trPr>
          <w:trHeight w:val="135"/>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mobilisation de ressources internes y compris du secteur privé</w:t>
            </w:r>
          </w:p>
        </w:tc>
      </w:tr>
      <w:tr w:rsidR="003373DE" w:rsidRPr="00315516" w:rsidTr="003373DE">
        <w:trPr>
          <w:trHeight w:val="135"/>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Identifier des sources innovantes de financement</w:t>
            </w:r>
          </w:p>
        </w:tc>
      </w:tr>
      <w:tr w:rsidR="003373DE" w:rsidRPr="00315516" w:rsidTr="003373DE">
        <w:trPr>
          <w:trHeight w:val="112"/>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val="restart"/>
            <w:shd w:val="clear" w:color="auto" w:fill="FFFFFF"/>
          </w:tcPr>
          <w:p w:rsidR="003373DE" w:rsidRPr="002E76DF" w:rsidRDefault="003373DE" w:rsidP="003373DE">
            <w:pPr>
              <w:pStyle w:val="Normal1"/>
              <w:numPr>
                <w:ilvl w:val="2"/>
                <w:numId w:val="134"/>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2E76DF">
              <w:rPr>
                <w:rFonts w:asciiTheme="minorHAnsi" w:hAnsiTheme="minorHAnsi" w:cstheme="minorHAnsi"/>
                <w:color w:val="000000"/>
                <w:sz w:val="18"/>
                <w:szCs w:val="18"/>
              </w:rPr>
              <w:t>Améliorer l’efficience dans la gestion des ressources</w:t>
            </w: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Améliorer la capacité d’absorption</w:t>
            </w:r>
            <w:r w:rsidR="006E5653">
              <w:rPr>
                <w:rFonts w:asciiTheme="majorHAnsi" w:hAnsiTheme="majorHAnsi" w:cstheme="majorHAnsi"/>
                <w:color w:val="000000"/>
                <w:sz w:val="18"/>
                <w:szCs w:val="18"/>
              </w:rPr>
              <w:t xml:space="preserve"> des ressources.</w:t>
            </w:r>
          </w:p>
        </w:tc>
      </w:tr>
      <w:tr w:rsidR="003373DE" w:rsidRPr="00315516" w:rsidTr="003373DE">
        <w:trPr>
          <w:trHeight w:val="112"/>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numPr>
                <w:ilvl w:val="3"/>
                <w:numId w:val="134"/>
              </w:numPr>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Améliorer </w:t>
            </w:r>
            <w:r w:rsidR="006E5653">
              <w:rPr>
                <w:rFonts w:asciiTheme="majorHAnsi" w:hAnsiTheme="majorHAnsi" w:cstheme="majorHAnsi"/>
                <w:color w:val="000000"/>
                <w:sz w:val="18"/>
                <w:szCs w:val="18"/>
              </w:rPr>
              <w:t>la transparence dans la gestion des ressources</w:t>
            </w:r>
            <w:r w:rsidRPr="00123AB3">
              <w:rPr>
                <w:rFonts w:asciiTheme="majorHAnsi" w:hAnsiTheme="majorHAnsi" w:cstheme="majorHAnsi"/>
                <w:color w:val="000000"/>
                <w:sz w:val="18"/>
                <w:szCs w:val="18"/>
              </w:rPr>
              <w:t xml:space="preserve"> </w:t>
            </w:r>
          </w:p>
        </w:tc>
      </w:tr>
      <w:tr w:rsidR="003373DE" w:rsidRPr="00315516" w:rsidTr="003373DE">
        <w:trPr>
          <w:trHeight w:val="112"/>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numPr>
                <w:ilvl w:val="3"/>
                <w:numId w:val="134"/>
              </w:numPr>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Etendre les mécanismes de financement basés sur le résultat (Achat stratégique)</w:t>
            </w:r>
          </w:p>
        </w:tc>
      </w:tr>
      <w:tr w:rsidR="003373DE" w:rsidRPr="00315516" w:rsidTr="003373DE">
        <w:trPr>
          <w:trHeight w:val="112"/>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2E76DF" w:rsidRDefault="003373DE" w:rsidP="003373DE">
            <w:pPr>
              <w:pStyle w:val="Normal1"/>
              <w:numPr>
                <w:ilvl w:val="3"/>
                <w:numId w:val="134"/>
              </w:numPr>
              <w:pBdr>
                <w:top w:val="nil"/>
                <w:left w:val="nil"/>
                <w:bottom w:val="nil"/>
                <w:right w:val="nil"/>
                <w:between w:val="nil"/>
              </w:pBdr>
              <w:spacing w:after="0" w:line="240" w:lineRule="auto"/>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mécanismes de redevabilité.</w:t>
            </w:r>
          </w:p>
        </w:tc>
      </w:tr>
      <w:tr w:rsidR="003373DE" w:rsidRPr="00315516" w:rsidTr="003373DE">
        <w:trPr>
          <w:trHeight w:val="150"/>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val="restart"/>
            <w:shd w:val="clear" w:color="auto" w:fill="FFFFFF"/>
          </w:tcPr>
          <w:p w:rsidR="003373DE" w:rsidRPr="002E76DF" w:rsidRDefault="006E5653" w:rsidP="003373DE">
            <w:pPr>
              <w:pStyle w:val="Normal1"/>
              <w:numPr>
                <w:ilvl w:val="2"/>
                <w:numId w:val="134"/>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Pr>
                <w:rFonts w:asciiTheme="minorHAnsi" w:hAnsiTheme="minorHAnsi" w:cstheme="minorHAnsi"/>
                <w:color w:val="000000"/>
                <w:sz w:val="18"/>
                <w:szCs w:val="18"/>
              </w:rPr>
              <w:t>Mettre en oeuvre</w:t>
            </w:r>
            <w:r w:rsidR="003373DE" w:rsidRPr="002E76DF">
              <w:rPr>
                <w:rFonts w:asciiTheme="minorHAnsi" w:hAnsiTheme="minorHAnsi" w:cstheme="minorHAnsi"/>
                <w:color w:val="000000"/>
                <w:sz w:val="18"/>
                <w:szCs w:val="18"/>
              </w:rPr>
              <w:t xml:space="preserve"> l’AMU</w:t>
            </w:r>
          </w:p>
        </w:tc>
        <w:tc>
          <w:tcPr>
            <w:tcW w:w="8221" w:type="dxa"/>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w:t>
            </w:r>
            <w:r w:rsidR="006E5653">
              <w:rPr>
                <w:rFonts w:asciiTheme="majorHAnsi" w:hAnsiTheme="majorHAnsi" w:cstheme="majorHAnsi"/>
                <w:color w:val="000000"/>
                <w:sz w:val="18"/>
                <w:szCs w:val="18"/>
              </w:rPr>
              <w:t>er le plaidoyer pour la mise en oeuvre</w:t>
            </w:r>
            <w:r w:rsidRPr="00123AB3">
              <w:rPr>
                <w:rFonts w:asciiTheme="majorHAnsi" w:hAnsiTheme="majorHAnsi" w:cstheme="majorHAnsi"/>
                <w:color w:val="000000"/>
                <w:sz w:val="18"/>
                <w:szCs w:val="18"/>
              </w:rPr>
              <w:t xml:space="preserve"> de l’AMU</w:t>
            </w:r>
          </w:p>
        </w:tc>
      </w:tr>
      <w:tr w:rsidR="003373DE" w:rsidRPr="00315516" w:rsidTr="003373DE">
        <w:trPr>
          <w:trHeight w:val="149"/>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6E5653">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Actualiser le plan de mise en œuvre de l’AMU</w:t>
            </w:r>
          </w:p>
        </w:tc>
      </w:tr>
      <w:tr w:rsidR="003373DE" w:rsidRPr="00315516" w:rsidTr="003373DE">
        <w:trPr>
          <w:trHeight w:val="149"/>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123AB3" w:rsidRDefault="003373DE" w:rsidP="003373DE">
            <w:pPr>
              <w:pStyle w:val="Normal1"/>
              <w:numPr>
                <w:ilvl w:val="3"/>
                <w:numId w:val="134"/>
              </w:numPr>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DA29DA" w:rsidRDefault="003373DE" w:rsidP="003373DE">
            <w:pPr>
              <w:pStyle w:val="Normal1"/>
              <w:numPr>
                <w:ilvl w:val="3"/>
                <w:numId w:val="134"/>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Mettre en place </w:t>
            </w:r>
            <w:r w:rsidRPr="00DA29DA">
              <w:rPr>
                <w:rFonts w:asciiTheme="majorHAnsi" w:hAnsiTheme="majorHAnsi" w:cstheme="majorHAnsi"/>
                <w:color w:val="000000"/>
                <w:sz w:val="18"/>
                <w:szCs w:val="18"/>
              </w:rPr>
              <w:t>les préalables pour permettre au Système de santé de jouer son rôle de vendeur de services de qualité.</w:t>
            </w:r>
          </w:p>
        </w:tc>
      </w:tr>
      <w:tr w:rsidR="003373DE" w:rsidRPr="00315516" w:rsidTr="003373DE">
        <w:trPr>
          <w:trHeight w:val="135"/>
        </w:trPr>
        <w:tc>
          <w:tcPr>
            <w:tcW w:w="2802" w:type="dxa"/>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r w:rsidRPr="00315516">
              <w:rPr>
                <w:rFonts w:asciiTheme="minorHAnsi" w:hAnsiTheme="minorHAnsi" w:cstheme="minorHAnsi"/>
                <w:color w:val="000000"/>
              </w:rPr>
              <w:t>AXES D’INTERVENTION</w:t>
            </w:r>
          </w:p>
        </w:tc>
        <w:tc>
          <w:tcPr>
            <w:tcW w:w="3260" w:type="dxa"/>
            <w:shd w:val="clear" w:color="auto" w:fill="FFFFFF"/>
          </w:tcPr>
          <w:p w:rsidR="003373DE" w:rsidRPr="00315516"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r w:rsidRPr="00315516">
              <w:rPr>
                <w:rFonts w:asciiTheme="minorHAnsi" w:hAnsiTheme="minorHAnsi" w:cstheme="minorHAnsi"/>
                <w:color w:val="000000"/>
              </w:rPr>
              <w:t>ACTIONS PRINCIPALES</w:t>
            </w:r>
          </w:p>
        </w:tc>
        <w:tc>
          <w:tcPr>
            <w:tcW w:w="8221" w:type="dxa"/>
            <w:shd w:val="clear" w:color="auto" w:fill="FFFFFF"/>
          </w:tcPr>
          <w:p w:rsidR="003373DE" w:rsidRPr="00123AB3" w:rsidRDefault="003373DE" w:rsidP="003373DE">
            <w:pPr>
              <w:pStyle w:val="Normal1"/>
              <w:pBdr>
                <w:top w:val="nil"/>
                <w:left w:val="nil"/>
                <w:bottom w:val="nil"/>
                <w:right w:val="nil"/>
                <w:between w:val="nil"/>
              </w:pBdr>
              <w:spacing w:after="0" w:line="240" w:lineRule="auto"/>
              <w:ind w:left="885"/>
              <w:jc w:val="both"/>
              <w:rPr>
                <w:rFonts w:asciiTheme="majorHAnsi" w:hAnsiTheme="majorHAnsi" w:cstheme="majorHAnsi"/>
                <w:sz w:val="18"/>
                <w:szCs w:val="18"/>
              </w:rPr>
            </w:pPr>
            <w:r w:rsidRPr="00123AB3">
              <w:rPr>
                <w:rFonts w:asciiTheme="majorHAnsi" w:hAnsiTheme="majorHAnsi" w:cstheme="majorHAnsi"/>
                <w:sz w:val="18"/>
                <w:szCs w:val="18"/>
              </w:rPr>
              <w:t>ACTIVITES PRINCIPALES</w:t>
            </w:r>
          </w:p>
        </w:tc>
      </w:tr>
      <w:tr w:rsidR="003373DE" w:rsidRPr="00315516" w:rsidTr="003373DE">
        <w:trPr>
          <w:trHeight w:val="120"/>
        </w:trPr>
        <w:tc>
          <w:tcPr>
            <w:tcW w:w="2802" w:type="dxa"/>
            <w:vMerge w:val="restart"/>
            <w:shd w:val="clear" w:color="auto" w:fill="FFFFFF"/>
          </w:tcPr>
          <w:p w:rsidR="003373DE" w:rsidRPr="00997991" w:rsidRDefault="003373DE" w:rsidP="003373DE">
            <w:pPr>
              <w:pStyle w:val="Normal1"/>
              <w:numPr>
                <w:ilvl w:val="1"/>
                <w:numId w:val="133"/>
              </w:numPr>
              <w:pBdr>
                <w:top w:val="nil"/>
                <w:left w:val="nil"/>
                <w:bottom w:val="nil"/>
                <w:right w:val="nil"/>
                <w:between w:val="nil"/>
              </w:pBdr>
              <w:spacing w:after="0" w:line="240" w:lineRule="auto"/>
              <w:jc w:val="both"/>
              <w:rPr>
                <w:rFonts w:asciiTheme="minorHAnsi" w:hAnsiTheme="minorHAnsi" w:cstheme="minorHAnsi"/>
                <w:color w:val="000000"/>
                <w:sz w:val="20"/>
                <w:szCs w:val="20"/>
              </w:rPr>
            </w:pPr>
            <w:r w:rsidRPr="00997991">
              <w:rPr>
                <w:rFonts w:cstheme="minorHAnsi"/>
                <w:b/>
                <w:i/>
                <w:sz w:val="20"/>
                <w:szCs w:val="20"/>
              </w:rPr>
              <w:t>L’information sanitaire est renforcée pour une meilleure prise de décision</w:t>
            </w:r>
          </w:p>
        </w:tc>
        <w:tc>
          <w:tcPr>
            <w:tcW w:w="3260" w:type="dxa"/>
            <w:vMerge w:val="restart"/>
            <w:shd w:val="clear" w:color="auto" w:fill="FFFFFF"/>
          </w:tcPr>
          <w:p w:rsidR="003373DE" w:rsidRPr="00997991"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997991">
              <w:rPr>
                <w:rFonts w:asciiTheme="minorHAnsi" w:hAnsiTheme="minorHAnsi" w:cstheme="minorHAnsi"/>
                <w:color w:val="000000"/>
                <w:sz w:val="18"/>
                <w:szCs w:val="18"/>
              </w:rPr>
              <w:t>Améliorer la production et la diffusion de l’information sanitaire par le S</w:t>
            </w:r>
            <w:r w:rsidR="00012445">
              <w:rPr>
                <w:rFonts w:asciiTheme="minorHAnsi" w:hAnsiTheme="minorHAnsi" w:cstheme="minorHAnsi"/>
                <w:color w:val="000000"/>
                <w:sz w:val="18"/>
                <w:szCs w:val="18"/>
              </w:rPr>
              <w:t>N</w:t>
            </w:r>
            <w:r w:rsidRPr="00997991">
              <w:rPr>
                <w:rFonts w:asciiTheme="minorHAnsi" w:hAnsiTheme="minorHAnsi" w:cstheme="minorHAnsi"/>
                <w:color w:val="000000"/>
                <w:sz w:val="18"/>
                <w:szCs w:val="18"/>
              </w:rPr>
              <w:t>IS</w:t>
            </w: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tabs>
                <w:tab w:val="left" w:pos="884"/>
              </w:tabs>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Construire une base de données des résultats des audits de décès maternels et néo-natals</w:t>
            </w:r>
          </w:p>
        </w:tc>
      </w:tr>
      <w:tr w:rsidR="003373DE" w:rsidRPr="00315516" w:rsidTr="003373DE">
        <w:trPr>
          <w:trHeight w:val="117"/>
        </w:trPr>
        <w:tc>
          <w:tcPr>
            <w:tcW w:w="2802" w:type="dxa"/>
            <w:vMerge/>
            <w:shd w:val="clear" w:color="auto" w:fill="FFFFFF"/>
          </w:tcPr>
          <w:p w:rsidR="003373DE" w:rsidRPr="00315516"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997991"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012445" w:rsidRDefault="00012445" w:rsidP="003373DE">
            <w:pPr>
              <w:pStyle w:val="Normal1"/>
              <w:numPr>
                <w:ilvl w:val="3"/>
                <w:numId w:val="133"/>
              </w:numPr>
              <w:pBdr>
                <w:top w:val="nil"/>
                <w:left w:val="nil"/>
                <w:bottom w:val="nil"/>
                <w:right w:val="nil"/>
                <w:between w:val="nil"/>
              </w:pBdr>
              <w:tabs>
                <w:tab w:val="left" w:pos="884"/>
              </w:tabs>
              <w:spacing w:after="0" w:line="240" w:lineRule="auto"/>
              <w:jc w:val="both"/>
              <w:rPr>
                <w:rFonts w:asciiTheme="majorHAnsi" w:hAnsiTheme="majorHAnsi" w:cstheme="majorHAnsi"/>
                <w:color w:val="000000"/>
                <w:sz w:val="18"/>
                <w:szCs w:val="18"/>
              </w:rPr>
            </w:pPr>
            <w:r w:rsidRPr="00012445">
              <w:rPr>
                <w:rFonts w:asciiTheme="majorHAnsi" w:hAnsiTheme="majorHAnsi" w:cstheme="majorHAnsi"/>
                <w:color w:val="000000"/>
                <w:sz w:val="18"/>
                <w:szCs w:val="18"/>
              </w:rPr>
              <w:t>Produire les indicateurs pertinents relatifs notamment à la SRAJ et à la nutrition dans la SNIS ;</w:t>
            </w:r>
          </w:p>
        </w:tc>
      </w:tr>
      <w:tr w:rsidR="003373DE" w:rsidRPr="00315516" w:rsidTr="003373DE">
        <w:trPr>
          <w:trHeight w:val="117"/>
        </w:trPr>
        <w:tc>
          <w:tcPr>
            <w:tcW w:w="2802" w:type="dxa"/>
            <w:vMerge/>
            <w:shd w:val="clear" w:color="auto" w:fill="FFFFFF"/>
          </w:tcPr>
          <w:p w:rsidR="003373DE" w:rsidRPr="00315516"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997991"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tabs>
                <w:tab w:val="left" w:pos="884"/>
              </w:tabs>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revue périodique de progrès au niveau des DS et des DRS pour une utilisation des données de SNIS ;</w:t>
            </w:r>
          </w:p>
        </w:tc>
      </w:tr>
      <w:tr w:rsidR="003373DE" w:rsidRPr="00315516" w:rsidTr="003373DE">
        <w:trPr>
          <w:trHeight w:val="117"/>
        </w:trPr>
        <w:tc>
          <w:tcPr>
            <w:tcW w:w="2802" w:type="dxa"/>
            <w:vMerge/>
            <w:shd w:val="clear" w:color="auto" w:fill="FFFFFF"/>
          </w:tcPr>
          <w:p w:rsidR="003373DE" w:rsidRPr="00315516"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997991"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tabs>
                <w:tab w:val="left" w:pos="884"/>
              </w:tabs>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Réaliser des études nationales de type coût efficacité sur les investissements en SRMNEA-N pour capitaliser l’expérience</w:t>
            </w:r>
          </w:p>
        </w:tc>
      </w:tr>
      <w:tr w:rsidR="003373DE" w:rsidRPr="00315516" w:rsidTr="003373DE">
        <w:trPr>
          <w:trHeight w:val="117"/>
        </w:trPr>
        <w:tc>
          <w:tcPr>
            <w:tcW w:w="2802" w:type="dxa"/>
            <w:vMerge/>
            <w:shd w:val="clear" w:color="auto" w:fill="FFFFFF"/>
          </w:tcPr>
          <w:p w:rsidR="003373DE" w:rsidRPr="00315516"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Pr="00997991"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012445" w:rsidP="00012445">
            <w:pPr>
              <w:pStyle w:val="Normal1"/>
              <w:numPr>
                <w:ilvl w:val="3"/>
                <w:numId w:val="133"/>
              </w:numPr>
              <w:pBdr>
                <w:top w:val="nil"/>
                <w:left w:val="nil"/>
                <w:bottom w:val="nil"/>
                <w:right w:val="nil"/>
                <w:between w:val="nil"/>
              </w:pBdr>
              <w:tabs>
                <w:tab w:val="left" w:pos="884"/>
              </w:tabs>
              <w:spacing w:after="0" w:line="240" w:lineRule="auto"/>
              <w:jc w:val="both"/>
              <w:rPr>
                <w:rFonts w:asciiTheme="majorHAnsi" w:hAnsiTheme="majorHAnsi" w:cstheme="majorHAnsi"/>
                <w:color w:val="000000"/>
                <w:sz w:val="18"/>
                <w:szCs w:val="18"/>
              </w:rPr>
            </w:pPr>
            <w:r>
              <w:rPr>
                <w:rFonts w:asciiTheme="majorHAnsi" w:hAnsiTheme="majorHAnsi" w:cstheme="majorHAnsi"/>
                <w:color w:val="000000"/>
                <w:sz w:val="18"/>
                <w:szCs w:val="18"/>
              </w:rPr>
              <w:t xml:space="preserve">Réaliser régulièrement </w:t>
            </w:r>
            <w:r w:rsidR="003373DE" w:rsidRPr="00123AB3">
              <w:rPr>
                <w:rFonts w:asciiTheme="majorHAnsi" w:hAnsiTheme="majorHAnsi" w:cstheme="majorHAnsi"/>
                <w:color w:val="000000"/>
                <w:sz w:val="18"/>
                <w:szCs w:val="18"/>
              </w:rPr>
              <w:t xml:space="preserve"> les enquêtes nationales (EDS, MICS, …) </w:t>
            </w:r>
            <w:r>
              <w:rPr>
                <w:rFonts w:asciiTheme="majorHAnsi" w:hAnsiTheme="majorHAnsi" w:cstheme="majorHAnsi"/>
                <w:color w:val="000000"/>
                <w:sz w:val="18"/>
                <w:szCs w:val="18"/>
              </w:rPr>
              <w:t xml:space="preserve">dont </w:t>
            </w:r>
            <w:r w:rsidR="003373DE" w:rsidRPr="00123AB3">
              <w:rPr>
                <w:rFonts w:asciiTheme="majorHAnsi" w:hAnsiTheme="majorHAnsi" w:cstheme="majorHAnsi"/>
                <w:color w:val="000000"/>
                <w:sz w:val="18"/>
                <w:szCs w:val="18"/>
              </w:rPr>
              <w:t xml:space="preserve">les résultats </w:t>
            </w:r>
            <w:r>
              <w:rPr>
                <w:rFonts w:asciiTheme="majorHAnsi" w:hAnsiTheme="majorHAnsi" w:cstheme="majorHAnsi"/>
                <w:color w:val="000000"/>
                <w:sz w:val="18"/>
                <w:szCs w:val="18"/>
              </w:rPr>
              <w:t xml:space="preserve">sont indispensables à la planification. </w:t>
            </w:r>
          </w:p>
        </w:tc>
      </w:tr>
      <w:tr w:rsidR="003373DE" w:rsidRPr="00315516" w:rsidTr="003373DE">
        <w:trPr>
          <w:trHeight w:val="158"/>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3373DE" w:rsidRPr="00997991"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6E5653">
            <w:pPr>
              <w:pStyle w:val="Normal1"/>
              <w:numPr>
                <w:ilvl w:val="3"/>
                <w:numId w:val="133"/>
              </w:numPr>
              <w:pBdr>
                <w:top w:val="nil"/>
                <w:left w:val="nil"/>
                <w:bottom w:val="nil"/>
                <w:right w:val="nil"/>
                <w:between w:val="nil"/>
              </w:pBdr>
              <w:tabs>
                <w:tab w:val="left" w:pos="884"/>
              </w:tabs>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les capacités des acteurs</w:t>
            </w:r>
            <w:r w:rsidR="006E5653">
              <w:rPr>
                <w:rFonts w:asciiTheme="majorHAnsi" w:hAnsiTheme="majorHAnsi" w:cstheme="majorHAnsi"/>
                <w:color w:val="000000"/>
                <w:sz w:val="18"/>
                <w:szCs w:val="18"/>
              </w:rPr>
              <w:t>.</w:t>
            </w:r>
          </w:p>
        </w:tc>
      </w:tr>
      <w:tr w:rsidR="003373DE" w:rsidRPr="00315516" w:rsidTr="003373DE">
        <w:trPr>
          <w:trHeight w:val="158"/>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shd w:val="clear" w:color="auto" w:fill="FFFFFF"/>
          </w:tcPr>
          <w:p w:rsidR="003373DE" w:rsidRPr="00997991"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3373DE" w:rsidRPr="00123AB3" w:rsidRDefault="003373DE" w:rsidP="006E5653">
            <w:pPr>
              <w:pStyle w:val="Normal1"/>
              <w:numPr>
                <w:ilvl w:val="3"/>
                <w:numId w:val="133"/>
              </w:numPr>
              <w:tabs>
                <w:tab w:val="left" w:pos="884"/>
              </w:tabs>
              <w:spacing w:after="0" w:line="240" w:lineRule="auto"/>
              <w:jc w:val="both"/>
              <w:rPr>
                <w:rFonts w:asciiTheme="majorHAnsi" w:eastAsiaTheme="minorHAnsi" w:hAnsiTheme="majorHAnsi" w:cstheme="majorHAnsi"/>
                <w:sz w:val="18"/>
                <w:szCs w:val="18"/>
              </w:rPr>
            </w:pPr>
            <w:r w:rsidRPr="00123AB3">
              <w:rPr>
                <w:rFonts w:asciiTheme="majorHAnsi" w:hAnsiTheme="majorHAnsi" w:cstheme="majorHAnsi"/>
                <w:color w:val="000000"/>
                <w:sz w:val="18"/>
                <w:szCs w:val="18"/>
              </w:rPr>
              <w:t xml:space="preserve">Documenter les </w:t>
            </w:r>
            <w:r w:rsidR="006E5653">
              <w:rPr>
                <w:rFonts w:asciiTheme="majorHAnsi" w:hAnsiTheme="majorHAnsi" w:cstheme="majorHAnsi"/>
                <w:color w:val="000000"/>
                <w:sz w:val="18"/>
                <w:szCs w:val="18"/>
              </w:rPr>
              <w:t xml:space="preserve">bonnes pratiques en matière de SRMNEAN. </w:t>
            </w:r>
          </w:p>
        </w:tc>
      </w:tr>
      <w:tr w:rsidR="003373DE" w:rsidRPr="00315516" w:rsidTr="003373DE">
        <w:trPr>
          <w:trHeight w:val="158"/>
        </w:trPr>
        <w:tc>
          <w:tcPr>
            <w:tcW w:w="2802" w:type="dxa"/>
            <w:vMerge/>
            <w:shd w:val="clear" w:color="auto" w:fill="FFFFFF"/>
          </w:tcPr>
          <w:p w:rsidR="003373DE" w:rsidRPr="00315516"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p>
        </w:tc>
        <w:tc>
          <w:tcPr>
            <w:tcW w:w="3260" w:type="dxa"/>
            <w:vMerge w:val="restart"/>
            <w:shd w:val="clear" w:color="auto" w:fill="FFFFFF"/>
          </w:tcPr>
          <w:p w:rsidR="003373DE" w:rsidRPr="00997991"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997991">
              <w:rPr>
                <w:rFonts w:asciiTheme="minorHAnsi" w:hAnsiTheme="minorHAnsi" w:cstheme="minorHAnsi"/>
                <w:color w:val="000000"/>
                <w:sz w:val="18"/>
                <w:szCs w:val="18"/>
              </w:rPr>
              <w:t>Renforcer la recherche pour la santé</w:t>
            </w:r>
          </w:p>
        </w:tc>
        <w:tc>
          <w:tcPr>
            <w:tcW w:w="8221" w:type="dxa"/>
            <w:shd w:val="clear" w:color="auto" w:fill="FFFFFF"/>
          </w:tcPr>
          <w:p w:rsidR="003373DE" w:rsidRPr="00123AB3" w:rsidRDefault="003373DE" w:rsidP="00012445">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Diffuser les thématiques </w:t>
            </w:r>
            <w:r w:rsidR="00012445">
              <w:rPr>
                <w:rFonts w:asciiTheme="majorHAnsi" w:hAnsiTheme="majorHAnsi" w:cstheme="majorHAnsi"/>
                <w:color w:val="000000"/>
                <w:sz w:val="18"/>
                <w:szCs w:val="18"/>
              </w:rPr>
              <w:t>prioritaires de recherche</w:t>
            </w:r>
            <w:r w:rsidR="006E5653">
              <w:rPr>
                <w:rFonts w:asciiTheme="majorHAnsi" w:hAnsiTheme="majorHAnsi" w:cstheme="majorHAnsi"/>
                <w:color w:val="000000"/>
                <w:sz w:val="18"/>
                <w:szCs w:val="18"/>
              </w:rPr>
              <w:t xml:space="preserve"> en SRMNEAN.</w:t>
            </w:r>
          </w:p>
        </w:tc>
      </w:tr>
      <w:tr w:rsidR="003373DE" w:rsidRPr="00315516" w:rsidTr="003373DE">
        <w:trPr>
          <w:trHeight w:val="157"/>
        </w:trPr>
        <w:tc>
          <w:tcPr>
            <w:tcW w:w="2802" w:type="dxa"/>
            <w:vMerge/>
            <w:shd w:val="clear" w:color="auto" w:fill="FFFFFF"/>
          </w:tcPr>
          <w:p w:rsidR="003373DE" w:rsidRPr="00315516"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3373DE"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capacité de la recherche en santé.</w:t>
            </w:r>
          </w:p>
        </w:tc>
      </w:tr>
      <w:tr w:rsidR="003373DE" w:rsidRPr="00315516" w:rsidTr="003373DE">
        <w:trPr>
          <w:trHeight w:val="81"/>
        </w:trPr>
        <w:tc>
          <w:tcPr>
            <w:tcW w:w="2802" w:type="dxa"/>
            <w:vMerge w:val="restart"/>
            <w:shd w:val="clear" w:color="auto" w:fill="FFFFFF"/>
          </w:tcPr>
          <w:p w:rsidR="003373DE" w:rsidRPr="00997991" w:rsidRDefault="003373DE" w:rsidP="003373DE">
            <w:pPr>
              <w:pStyle w:val="Paragraphedeliste"/>
              <w:numPr>
                <w:ilvl w:val="1"/>
                <w:numId w:val="133"/>
              </w:numPr>
              <w:spacing w:line="240" w:lineRule="auto"/>
              <w:rPr>
                <w:b/>
                <w:i/>
                <w:color w:val="000000"/>
                <w:sz w:val="20"/>
                <w:szCs w:val="20"/>
              </w:rPr>
            </w:pPr>
            <w:r w:rsidRPr="00997991">
              <w:rPr>
                <w:b/>
                <w:i/>
                <w:sz w:val="20"/>
                <w:szCs w:val="20"/>
              </w:rPr>
              <w:t>L’enregistrement des faits d’état civil et la production des statistiques vitales sont améliorés.</w:t>
            </w:r>
          </w:p>
        </w:tc>
        <w:tc>
          <w:tcPr>
            <w:tcW w:w="3260" w:type="dxa"/>
            <w:vMerge w:val="restart"/>
            <w:shd w:val="clear" w:color="auto" w:fill="FFFFFF"/>
          </w:tcPr>
          <w:p w:rsidR="003373DE" w:rsidRPr="00997991"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997991">
              <w:rPr>
                <w:rFonts w:asciiTheme="minorHAnsi" w:hAnsiTheme="minorHAnsi" w:cstheme="minorHAnsi"/>
                <w:color w:val="000000"/>
                <w:sz w:val="18"/>
                <w:szCs w:val="18"/>
              </w:rPr>
              <w:t>Renforcer la capacité des centres d’enregistrement de l’EC </w:t>
            </w: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Réaliser un audit sur l’informatisation des centres principaux d’état civil</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Améliorer le cadre juridique, institutionnel et fonctionnel de la DGMEC</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Numériser et saisir les antériorités des communes</w:t>
            </w:r>
            <w:r w:rsidR="0031347A">
              <w:rPr>
                <w:rFonts w:asciiTheme="majorHAnsi" w:hAnsiTheme="majorHAnsi" w:cstheme="majorHAnsi"/>
                <w:color w:val="000000"/>
                <w:sz w:val="18"/>
                <w:szCs w:val="18"/>
              </w:rPr>
              <w:t xml:space="preserve"> sur l’Etat civil.</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Recruter au moins 500 agents de l'état civil ;</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1347A"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Pr>
                <w:rFonts w:asciiTheme="majorHAnsi" w:hAnsiTheme="majorHAnsi" w:cstheme="majorHAnsi"/>
                <w:color w:val="000000"/>
                <w:sz w:val="18"/>
                <w:szCs w:val="18"/>
              </w:rPr>
              <w:t>Acquérir selon les besoins les</w:t>
            </w:r>
            <w:r w:rsidR="003373DE" w:rsidRPr="00123AB3">
              <w:rPr>
                <w:rFonts w:asciiTheme="majorHAnsi" w:hAnsiTheme="majorHAnsi" w:cstheme="majorHAnsi"/>
                <w:color w:val="000000"/>
                <w:sz w:val="18"/>
                <w:szCs w:val="18"/>
              </w:rPr>
              <w:t xml:space="preserve"> fournitures de bureau, des registres et imprimés au profit de toutes les structures des centres d'état civil dans les 13 régions</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1347A"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Pr>
                <w:rFonts w:asciiTheme="majorHAnsi" w:hAnsiTheme="majorHAnsi" w:cstheme="majorHAnsi"/>
                <w:color w:val="000000"/>
                <w:sz w:val="18"/>
                <w:szCs w:val="18"/>
              </w:rPr>
              <w:t>Acquérir l</w:t>
            </w:r>
            <w:r w:rsidR="003373DE" w:rsidRPr="00123AB3">
              <w:rPr>
                <w:rFonts w:asciiTheme="majorHAnsi" w:hAnsiTheme="majorHAnsi" w:cstheme="majorHAnsi"/>
                <w:color w:val="000000"/>
                <w:sz w:val="18"/>
                <w:szCs w:val="18"/>
              </w:rPr>
              <w:t>es logiciels d'archivage et de gestion électronique des données (SAE) et GED</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maintenance des équipements informatiques</w:t>
            </w:r>
            <w:r w:rsidR="0031347A">
              <w:rPr>
                <w:rFonts w:asciiTheme="majorHAnsi" w:hAnsiTheme="majorHAnsi" w:cstheme="majorHAnsi"/>
                <w:color w:val="000000"/>
                <w:sz w:val="18"/>
                <w:szCs w:val="18"/>
              </w:rPr>
              <w:t xml:space="preserve"> de l’EC jusque </w:t>
            </w:r>
            <w:r w:rsidRPr="00123AB3">
              <w:rPr>
                <w:rFonts w:asciiTheme="majorHAnsi" w:hAnsiTheme="majorHAnsi" w:cstheme="majorHAnsi"/>
                <w:color w:val="000000"/>
                <w:sz w:val="18"/>
                <w:szCs w:val="18"/>
              </w:rPr>
              <w:t xml:space="preserve"> dans les régions </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val="restart"/>
            <w:shd w:val="clear" w:color="auto" w:fill="FFFFFF"/>
          </w:tcPr>
          <w:p w:rsidR="003373DE" w:rsidRPr="00123AB3"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20"/>
                <w:szCs w:val="20"/>
              </w:rPr>
            </w:pPr>
            <w:r w:rsidRPr="00123AB3">
              <w:rPr>
                <w:rFonts w:asciiTheme="minorHAnsi" w:hAnsiTheme="minorHAnsi" w:cstheme="minorHAnsi"/>
                <w:color w:val="000000"/>
                <w:sz w:val="20"/>
                <w:szCs w:val="20"/>
              </w:rPr>
              <w:t>Améliorer la coordination entre centres et entre systèmes d’enregistrement.</w:t>
            </w: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Mettre en réseau les centres principaux d’état civil, ONI, INSD, CIL, MATDSI, MJDHPC, MAECBE, CENI, MS, TGI, Régions, Communes (bureaux domaniaux et Service Foncier Rural)</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1347A"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Pr>
                <w:rFonts w:asciiTheme="majorHAnsi" w:hAnsiTheme="majorHAnsi" w:cstheme="majorHAnsi"/>
                <w:color w:val="000000"/>
                <w:sz w:val="18"/>
                <w:szCs w:val="18"/>
              </w:rPr>
              <w:t xml:space="preserve">Intégrer le </w:t>
            </w:r>
            <w:r w:rsidR="003373DE" w:rsidRPr="00123AB3">
              <w:rPr>
                <w:rFonts w:asciiTheme="majorHAnsi" w:hAnsiTheme="majorHAnsi" w:cstheme="majorHAnsi"/>
                <w:color w:val="000000"/>
                <w:sz w:val="18"/>
                <w:szCs w:val="18"/>
              </w:rPr>
              <w:t xml:space="preserve"> Système Intégré de Ge</w:t>
            </w:r>
            <w:r>
              <w:rPr>
                <w:rFonts w:asciiTheme="majorHAnsi" w:hAnsiTheme="majorHAnsi" w:cstheme="majorHAnsi"/>
                <w:color w:val="000000"/>
                <w:sz w:val="18"/>
                <w:szCs w:val="18"/>
              </w:rPr>
              <w:t xml:space="preserve">stion de l'Etat Civil (SIGEC) avec </w:t>
            </w:r>
            <w:r w:rsidR="003373DE" w:rsidRPr="00123AB3">
              <w:rPr>
                <w:rFonts w:asciiTheme="majorHAnsi" w:hAnsiTheme="majorHAnsi" w:cstheme="majorHAnsi"/>
                <w:color w:val="000000"/>
                <w:sz w:val="18"/>
                <w:szCs w:val="18"/>
              </w:rPr>
              <w:t xml:space="preserve"> le Système Intégré de Gestion de l'Identifiant Electronique de la Personne (SIGIEP) et l'enregistr</w:t>
            </w:r>
            <w:r>
              <w:rPr>
                <w:rFonts w:asciiTheme="majorHAnsi" w:hAnsiTheme="majorHAnsi" w:cstheme="majorHAnsi"/>
                <w:color w:val="000000"/>
                <w:sz w:val="18"/>
                <w:szCs w:val="18"/>
              </w:rPr>
              <w:t>ement des actes d'EC.</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1347A"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31347A">
              <w:rPr>
                <w:rFonts w:asciiTheme="minorHAnsi" w:hAnsiTheme="minorHAnsi" w:cstheme="minorHAnsi"/>
                <w:color w:val="000000"/>
                <w:sz w:val="18"/>
                <w:szCs w:val="18"/>
              </w:rPr>
              <w:t>Transformer les formations sanitaires des chefs lieu des communes urbaines et rurales en centre secondaires d’EC.</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val="restart"/>
            <w:shd w:val="clear" w:color="auto" w:fill="FFFFFF"/>
          </w:tcPr>
          <w:p w:rsidR="003373DE" w:rsidRPr="00123AB3" w:rsidRDefault="003373DE"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20"/>
                <w:szCs w:val="20"/>
              </w:rPr>
            </w:pPr>
            <w:r w:rsidRPr="00123AB3">
              <w:rPr>
                <w:rFonts w:asciiTheme="minorHAnsi" w:hAnsiTheme="minorHAnsi" w:cstheme="minorHAnsi"/>
                <w:color w:val="000000"/>
                <w:sz w:val="20"/>
                <w:szCs w:val="20"/>
              </w:rPr>
              <w:t xml:space="preserve">Assurer la promotion de l’utilisation des services d’état civil et </w:t>
            </w:r>
            <w:r w:rsidR="0031347A">
              <w:rPr>
                <w:rFonts w:asciiTheme="minorHAnsi" w:hAnsiTheme="minorHAnsi" w:cstheme="minorHAnsi"/>
                <w:color w:val="000000"/>
                <w:sz w:val="20"/>
                <w:szCs w:val="20"/>
              </w:rPr>
              <w:t xml:space="preserve">des </w:t>
            </w:r>
            <w:r w:rsidRPr="00123AB3">
              <w:rPr>
                <w:rFonts w:asciiTheme="minorHAnsi" w:hAnsiTheme="minorHAnsi" w:cstheme="minorHAnsi"/>
                <w:color w:val="000000"/>
                <w:sz w:val="20"/>
                <w:szCs w:val="20"/>
              </w:rPr>
              <w:t>statistiques vitales</w:t>
            </w: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Assurer la subvention totale des deux (02) premiers extraits d'acte de naissance</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Impliquer les responsables et les leaders coutumiers et religieux dans la mobilisation des populations pour l’enregistrement des faits d’état civil ;</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Enregistrer les faits d’état civil via les bureaux mobiles ;</w:t>
            </w:r>
          </w:p>
        </w:tc>
      </w:tr>
      <w:tr w:rsidR="003373DE" w:rsidRPr="00315516" w:rsidTr="003373DE">
        <w:trPr>
          <w:trHeight w:val="81"/>
        </w:trPr>
        <w:tc>
          <w:tcPr>
            <w:tcW w:w="2802" w:type="dxa"/>
            <w:vMerge/>
            <w:shd w:val="clear" w:color="auto" w:fill="FFFFFF"/>
          </w:tcPr>
          <w:p w:rsidR="003373DE" w:rsidRPr="00352012" w:rsidRDefault="003373DE" w:rsidP="003373DE">
            <w:pPr>
              <w:pStyle w:val="Normal1"/>
              <w:pBdr>
                <w:top w:val="nil"/>
                <w:left w:val="nil"/>
                <w:bottom w:val="nil"/>
                <w:right w:val="nil"/>
                <w:between w:val="nil"/>
              </w:pBdr>
              <w:spacing w:after="0" w:line="240" w:lineRule="auto"/>
              <w:jc w:val="both"/>
              <w:rPr>
                <w:rFonts w:asciiTheme="majorHAnsi" w:hAnsiTheme="majorHAnsi" w:cstheme="majorHAnsi"/>
                <w:color w:val="000000"/>
                <w:sz w:val="24"/>
                <w:szCs w:val="24"/>
              </w:rPr>
            </w:pPr>
          </w:p>
        </w:tc>
        <w:tc>
          <w:tcPr>
            <w:tcW w:w="3260" w:type="dxa"/>
            <w:vMerge/>
            <w:shd w:val="clear" w:color="auto" w:fill="FFFFFF"/>
          </w:tcPr>
          <w:p w:rsidR="003373DE" w:rsidRPr="00123AB3"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3373DE" w:rsidRPr="00123AB3" w:rsidRDefault="003373DE"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Organiser les audiences foraines.</w:t>
            </w:r>
          </w:p>
        </w:tc>
      </w:tr>
      <w:tr w:rsidR="003373DE" w:rsidRPr="00315516" w:rsidTr="003373DE">
        <w:trPr>
          <w:trHeight w:val="135"/>
        </w:trPr>
        <w:tc>
          <w:tcPr>
            <w:tcW w:w="2802" w:type="dxa"/>
            <w:shd w:val="clear" w:color="auto" w:fill="FFFFFF"/>
          </w:tcPr>
          <w:p w:rsidR="003373DE" w:rsidRPr="00315516" w:rsidRDefault="003373DE"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r w:rsidRPr="00315516">
              <w:rPr>
                <w:rFonts w:asciiTheme="minorHAnsi" w:hAnsiTheme="minorHAnsi" w:cstheme="minorHAnsi"/>
                <w:color w:val="000000"/>
              </w:rPr>
              <w:t>AXES D’INTERVENTION</w:t>
            </w:r>
          </w:p>
        </w:tc>
        <w:tc>
          <w:tcPr>
            <w:tcW w:w="3260" w:type="dxa"/>
            <w:shd w:val="clear" w:color="auto" w:fill="FFFFFF"/>
          </w:tcPr>
          <w:p w:rsidR="003373DE" w:rsidRPr="00315516" w:rsidRDefault="003373DE"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rPr>
            </w:pPr>
            <w:r w:rsidRPr="00315516">
              <w:rPr>
                <w:rFonts w:asciiTheme="minorHAnsi" w:hAnsiTheme="minorHAnsi" w:cstheme="minorHAnsi"/>
                <w:color w:val="000000"/>
              </w:rPr>
              <w:t>ACTIONS PRINCIPALES</w:t>
            </w:r>
          </w:p>
        </w:tc>
        <w:tc>
          <w:tcPr>
            <w:tcW w:w="8221" w:type="dxa"/>
            <w:shd w:val="clear" w:color="auto" w:fill="FFFFFF"/>
          </w:tcPr>
          <w:p w:rsidR="003373DE" w:rsidRPr="00123AB3" w:rsidRDefault="003373DE" w:rsidP="003373DE">
            <w:pPr>
              <w:pStyle w:val="Normal1"/>
              <w:pBdr>
                <w:top w:val="nil"/>
                <w:left w:val="nil"/>
                <w:bottom w:val="nil"/>
                <w:right w:val="nil"/>
                <w:between w:val="nil"/>
              </w:pBdr>
              <w:spacing w:after="0" w:line="240" w:lineRule="auto"/>
              <w:ind w:left="885"/>
              <w:jc w:val="both"/>
              <w:rPr>
                <w:rFonts w:asciiTheme="majorHAnsi" w:hAnsiTheme="majorHAnsi" w:cstheme="majorHAnsi"/>
                <w:sz w:val="18"/>
                <w:szCs w:val="18"/>
              </w:rPr>
            </w:pPr>
            <w:r w:rsidRPr="00123AB3">
              <w:rPr>
                <w:rFonts w:asciiTheme="majorHAnsi" w:hAnsiTheme="majorHAnsi" w:cstheme="majorHAnsi"/>
                <w:sz w:val="18"/>
                <w:szCs w:val="18"/>
              </w:rPr>
              <w:t>ACTIVITES PRINCIPALES</w:t>
            </w:r>
          </w:p>
        </w:tc>
      </w:tr>
      <w:tr w:rsidR="00BA2D88" w:rsidRPr="00315516" w:rsidTr="003373DE">
        <w:trPr>
          <w:trHeight w:val="81"/>
        </w:trPr>
        <w:tc>
          <w:tcPr>
            <w:tcW w:w="2802" w:type="dxa"/>
            <w:vMerge w:val="restart"/>
            <w:shd w:val="clear" w:color="auto" w:fill="FFFFFF"/>
          </w:tcPr>
          <w:p w:rsidR="00BA2D88" w:rsidRPr="00997991" w:rsidRDefault="00BA2D88" w:rsidP="003373DE">
            <w:pPr>
              <w:pStyle w:val="Normal1"/>
              <w:numPr>
                <w:ilvl w:val="1"/>
                <w:numId w:val="133"/>
              </w:numPr>
              <w:pBdr>
                <w:top w:val="nil"/>
                <w:left w:val="nil"/>
                <w:bottom w:val="nil"/>
                <w:right w:val="nil"/>
                <w:between w:val="nil"/>
              </w:pBdr>
              <w:spacing w:after="0" w:line="240" w:lineRule="auto"/>
              <w:jc w:val="both"/>
              <w:rPr>
                <w:rFonts w:asciiTheme="minorHAnsi" w:hAnsiTheme="minorHAnsi" w:cstheme="minorHAnsi"/>
                <w:b/>
                <w:i/>
                <w:color w:val="000000"/>
                <w:sz w:val="20"/>
                <w:szCs w:val="20"/>
              </w:rPr>
            </w:pPr>
            <w:r w:rsidRPr="00997991">
              <w:rPr>
                <w:rFonts w:asciiTheme="majorHAnsi" w:hAnsiTheme="majorHAnsi" w:cstheme="majorHAnsi"/>
                <w:b/>
                <w:i/>
                <w:color w:val="000000"/>
                <w:sz w:val="20"/>
                <w:szCs w:val="20"/>
              </w:rPr>
              <w:t>La coordination des actions intra et intersectorielles en faveur de la santé et de ses déterminants</w:t>
            </w:r>
            <w:r w:rsidRPr="00997991">
              <w:rPr>
                <w:rFonts w:asciiTheme="majorHAnsi" w:hAnsiTheme="majorHAnsi" w:cstheme="majorHAnsi"/>
                <w:b/>
                <w:i/>
                <w:sz w:val="20"/>
                <w:szCs w:val="20"/>
              </w:rPr>
              <w:t xml:space="preserve"> est améliorée.</w:t>
            </w:r>
          </w:p>
        </w:tc>
        <w:tc>
          <w:tcPr>
            <w:tcW w:w="3260" w:type="dxa"/>
            <w:vMerge w:val="restart"/>
            <w:shd w:val="clear" w:color="auto" w:fill="FFFFFF"/>
          </w:tcPr>
          <w:p w:rsidR="00BA2D88" w:rsidRPr="00997991" w:rsidRDefault="00BA2D88" w:rsidP="003373DE">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18"/>
                <w:szCs w:val="18"/>
              </w:rPr>
            </w:pPr>
            <w:r w:rsidRPr="00997991">
              <w:rPr>
                <w:rFonts w:asciiTheme="minorHAnsi" w:hAnsiTheme="minorHAnsi" w:cstheme="minorHAnsi"/>
                <w:color w:val="000000"/>
                <w:sz w:val="18"/>
                <w:szCs w:val="18"/>
              </w:rPr>
              <w:t>Améliorer la coordination des acteurs de la SRMNEAN</w:t>
            </w:r>
          </w:p>
        </w:tc>
        <w:tc>
          <w:tcPr>
            <w:tcW w:w="8221" w:type="dxa"/>
            <w:shd w:val="clear" w:color="auto" w:fill="FFFFFF"/>
          </w:tcPr>
          <w:p w:rsidR="00BA2D88" w:rsidRPr="00123AB3" w:rsidRDefault="00BA2D88" w:rsidP="00012445">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Renforcer la synergie entre</w:t>
            </w:r>
            <w:r>
              <w:rPr>
                <w:rFonts w:asciiTheme="majorHAnsi" w:hAnsiTheme="majorHAnsi" w:cstheme="majorHAnsi"/>
                <w:color w:val="000000"/>
                <w:sz w:val="18"/>
                <w:szCs w:val="18"/>
              </w:rPr>
              <w:t xml:space="preserve"> les acteurs de la SRMNEAN notamment grâce une cartographie actualisée</w:t>
            </w:r>
            <w:r w:rsidRPr="00123AB3">
              <w:rPr>
                <w:rFonts w:asciiTheme="majorHAnsi" w:hAnsiTheme="majorHAnsi" w:cstheme="majorHAnsi"/>
                <w:color w:val="000000"/>
                <w:sz w:val="18"/>
                <w:szCs w:val="18"/>
              </w:rPr>
              <w:t xml:space="preserve"> des intervenants</w:t>
            </w:r>
            <w:r>
              <w:rPr>
                <w:rFonts w:asciiTheme="majorHAnsi" w:hAnsiTheme="majorHAnsi" w:cstheme="majorHAnsi"/>
                <w:color w:val="000000"/>
                <w:sz w:val="18"/>
                <w:szCs w:val="18"/>
              </w:rPr>
              <w:t>.</w:t>
            </w:r>
          </w:p>
        </w:tc>
      </w:tr>
      <w:tr w:rsidR="00BA2D88" w:rsidRPr="00315516" w:rsidTr="003373DE">
        <w:trPr>
          <w:trHeight w:val="81"/>
        </w:trPr>
        <w:tc>
          <w:tcPr>
            <w:tcW w:w="2802" w:type="dxa"/>
            <w:vMerge/>
            <w:shd w:val="clear" w:color="auto" w:fill="FFFFFF"/>
          </w:tcPr>
          <w:p w:rsidR="00BA2D88" w:rsidRPr="00315516"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BA2D88" w:rsidRPr="00997991" w:rsidRDefault="00BA2D88" w:rsidP="003373DE">
            <w:pPr>
              <w:pStyle w:val="Normal1"/>
              <w:pBdr>
                <w:top w:val="nil"/>
                <w:left w:val="nil"/>
                <w:bottom w:val="nil"/>
                <w:right w:val="nil"/>
                <w:between w:val="nil"/>
              </w:pBdr>
              <w:spacing w:after="0" w:line="240" w:lineRule="auto"/>
              <w:ind w:left="720"/>
              <w:jc w:val="both"/>
              <w:rPr>
                <w:rFonts w:asciiTheme="minorHAnsi" w:hAnsiTheme="minorHAnsi" w:cstheme="minorHAnsi"/>
                <w:color w:val="000000"/>
                <w:sz w:val="18"/>
                <w:szCs w:val="18"/>
              </w:rPr>
            </w:pPr>
          </w:p>
        </w:tc>
        <w:tc>
          <w:tcPr>
            <w:tcW w:w="8221" w:type="dxa"/>
            <w:shd w:val="clear" w:color="auto" w:fill="FFFFFF"/>
          </w:tcPr>
          <w:p w:rsidR="00BA2D88" w:rsidRPr="00123AB3" w:rsidRDefault="00BA2D88" w:rsidP="003373DE">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 xml:space="preserve">Améliorer la coordination des acteurs au niveau régional et au niveau local dans le cadre de la Décentralisation : (i) Renforcer la coordination des acteurs de mise en œuvre : </w:t>
            </w:r>
            <w:r>
              <w:rPr>
                <w:rFonts w:asciiTheme="majorHAnsi" w:hAnsiTheme="majorHAnsi" w:cstheme="majorHAnsi"/>
                <w:color w:val="000000"/>
                <w:sz w:val="18"/>
                <w:szCs w:val="18"/>
              </w:rPr>
              <w:t xml:space="preserve">les </w:t>
            </w:r>
            <w:r w:rsidRPr="00123AB3">
              <w:rPr>
                <w:rFonts w:asciiTheme="majorHAnsi" w:hAnsiTheme="majorHAnsi" w:cstheme="majorHAnsi"/>
                <w:color w:val="000000"/>
                <w:sz w:val="18"/>
                <w:szCs w:val="18"/>
              </w:rPr>
              <w:t xml:space="preserve">acteurs communautaires, la société civile, le secteur privé et les prestataires des Formations sanitaires publiques, (ii) Renforcer la coordination des Partenaires Techniques et Financiers, (iii) Promouvoir une planification opérationnelle basée plus sur les résultats que sur les processus, (iv) Améliorer la mobilisation de ressources locales, (v) Renforcer la participation des collectivités territoriales sur les questions de santé, etc.  </w:t>
            </w:r>
          </w:p>
        </w:tc>
      </w:tr>
      <w:tr w:rsidR="00BA2D88" w:rsidRPr="00315516" w:rsidTr="003373DE">
        <w:trPr>
          <w:trHeight w:val="81"/>
        </w:trPr>
        <w:tc>
          <w:tcPr>
            <w:tcW w:w="2802" w:type="dxa"/>
            <w:vMerge/>
            <w:shd w:val="clear" w:color="auto" w:fill="FFFFFF"/>
          </w:tcPr>
          <w:p w:rsidR="00BA2D88" w:rsidRPr="00315516"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val="restart"/>
            <w:shd w:val="clear" w:color="auto" w:fill="FFFFFF"/>
          </w:tcPr>
          <w:p w:rsidR="00BA2D88" w:rsidRPr="00123AB3" w:rsidRDefault="00BA2D88" w:rsidP="00BA2D88">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20"/>
                <w:szCs w:val="20"/>
              </w:rPr>
            </w:pPr>
            <w:r w:rsidRPr="00123AB3">
              <w:rPr>
                <w:rFonts w:asciiTheme="majorHAnsi" w:hAnsiTheme="majorHAnsi" w:cstheme="majorHAnsi"/>
                <w:color w:val="000000"/>
                <w:sz w:val="18"/>
                <w:szCs w:val="18"/>
              </w:rPr>
              <w:t>Renforcer les activités WASH :</w:t>
            </w:r>
          </w:p>
        </w:tc>
        <w:tc>
          <w:tcPr>
            <w:tcW w:w="8221" w:type="dxa"/>
            <w:shd w:val="clear" w:color="auto" w:fill="FFFFFF"/>
          </w:tcPr>
          <w:p w:rsidR="00BA2D88" w:rsidRPr="00123AB3" w:rsidRDefault="00BA2D88" w:rsidP="00BA2D88">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BA2D88">
              <w:rPr>
                <w:rFonts w:asciiTheme="majorHAnsi" w:hAnsiTheme="majorHAnsi" w:cstheme="majorHAnsi"/>
                <w:color w:val="000000"/>
                <w:sz w:val="18"/>
                <w:szCs w:val="18"/>
              </w:rPr>
              <w:t>Renforcer les capacités pour offrir des services d’eau potable, d’hygiène et d’assainissement en milieu rural,</w:t>
            </w:r>
          </w:p>
        </w:tc>
      </w:tr>
      <w:tr w:rsidR="00BA2D88" w:rsidRPr="00315516" w:rsidTr="003373DE">
        <w:trPr>
          <w:trHeight w:val="81"/>
        </w:trPr>
        <w:tc>
          <w:tcPr>
            <w:tcW w:w="2802" w:type="dxa"/>
            <w:vMerge/>
            <w:shd w:val="clear" w:color="auto" w:fill="FFFFFF"/>
          </w:tcPr>
          <w:p w:rsidR="00BA2D88" w:rsidRPr="00315516"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BA2D88" w:rsidRPr="00123AB3"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BA2D88" w:rsidRPr="00123AB3" w:rsidRDefault="00BA2D88" w:rsidP="00BA2D88">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BA2D88">
              <w:rPr>
                <w:rFonts w:asciiTheme="majorHAnsi" w:hAnsiTheme="majorHAnsi" w:cstheme="majorHAnsi"/>
                <w:color w:val="000000"/>
                <w:sz w:val="18"/>
                <w:szCs w:val="18"/>
              </w:rPr>
              <w:t>Renforcer les capacités et connaissances pour une demande accrue pour l’eau et l’assainissement et les comportements d’hygiène en milieu rural.</w:t>
            </w:r>
          </w:p>
        </w:tc>
      </w:tr>
      <w:tr w:rsidR="00BA2D88" w:rsidRPr="00315516" w:rsidTr="003373DE">
        <w:trPr>
          <w:trHeight w:val="81"/>
        </w:trPr>
        <w:tc>
          <w:tcPr>
            <w:tcW w:w="2802" w:type="dxa"/>
            <w:vMerge/>
            <w:shd w:val="clear" w:color="auto" w:fill="FFFFFF"/>
          </w:tcPr>
          <w:p w:rsidR="00BA2D88" w:rsidRPr="00315516"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BA2D88" w:rsidRPr="00123AB3"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BA2D88" w:rsidRPr="00123AB3" w:rsidRDefault="00BA2D88" w:rsidP="00BA2D88">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BA2D88">
              <w:rPr>
                <w:rFonts w:asciiTheme="majorHAnsi" w:hAnsiTheme="majorHAnsi" w:cstheme="majorHAnsi"/>
                <w:color w:val="000000"/>
                <w:sz w:val="18"/>
                <w:szCs w:val="18"/>
              </w:rPr>
              <w:t>Renforcer  l’environnement favorable pour planifier, budgétiser, réaliser et assurer le suivi et l’évaluation des interventions WASH.</w:t>
            </w:r>
          </w:p>
        </w:tc>
      </w:tr>
      <w:tr w:rsidR="00BA2D88" w:rsidRPr="00315516" w:rsidTr="003373DE">
        <w:trPr>
          <w:trHeight w:val="81"/>
        </w:trPr>
        <w:tc>
          <w:tcPr>
            <w:tcW w:w="2802" w:type="dxa"/>
            <w:vMerge/>
            <w:shd w:val="clear" w:color="auto" w:fill="FFFFFF"/>
          </w:tcPr>
          <w:p w:rsidR="00BA2D88" w:rsidRPr="00315516"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val="restart"/>
            <w:shd w:val="clear" w:color="auto" w:fill="FFFFFF"/>
          </w:tcPr>
          <w:p w:rsidR="00BA2D88" w:rsidRPr="00123AB3" w:rsidRDefault="00BA2D88" w:rsidP="00BA2D88">
            <w:pPr>
              <w:pStyle w:val="Normal1"/>
              <w:numPr>
                <w:ilvl w:val="2"/>
                <w:numId w:val="133"/>
              </w:numPr>
              <w:pBdr>
                <w:top w:val="nil"/>
                <w:left w:val="nil"/>
                <w:bottom w:val="nil"/>
                <w:right w:val="nil"/>
                <w:between w:val="nil"/>
              </w:pBdr>
              <w:spacing w:after="0" w:line="240" w:lineRule="auto"/>
              <w:jc w:val="both"/>
              <w:rPr>
                <w:rFonts w:asciiTheme="minorHAnsi" w:hAnsiTheme="minorHAnsi" w:cstheme="minorHAnsi"/>
                <w:color w:val="000000"/>
                <w:sz w:val="20"/>
                <w:szCs w:val="20"/>
              </w:rPr>
            </w:pPr>
            <w:r w:rsidRPr="00123AB3">
              <w:rPr>
                <w:rFonts w:asciiTheme="majorHAnsi" w:hAnsiTheme="majorHAnsi" w:cstheme="majorHAnsi"/>
                <w:color w:val="000000"/>
                <w:sz w:val="18"/>
                <w:szCs w:val="18"/>
              </w:rPr>
              <w:t>Renforcer les activités intersectorielles en faveur de la nutrition </w:t>
            </w:r>
          </w:p>
        </w:tc>
        <w:tc>
          <w:tcPr>
            <w:tcW w:w="8221" w:type="dxa"/>
            <w:shd w:val="clear" w:color="auto" w:fill="FFFFFF"/>
          </w:tcPr>
          <w:p w:rsidR="00BA2D88" w:rsidRPr="00123AB3" w:rsidRDefault="00BA2D88" w:rsidP="00BA2D88">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Mettre en place un centre d’incubation de technologie alimentaire en milieu rural,</w:t>
            </w:r>
          </w:p>
        </w:tc>
      </w:tr>
      <w:tr w:rsidR="00BA2D88" w:rsidRPr="00315516" w:rsidTr="003373DE">
        <w:trPr>
          <w:trHeight w:val="81"/>
        </w:trPr>
        <w:tc>
          <w:tcPr>
            <w:tcW w:w="2802" w:type="dxa"/>
            <w:vMerge/>
            <w:shd w:val="clear" w:color="auto" w:fill="FFFFFF"/>
          </w:tcPr>
          <w:p w:rsidR="00BA2D88" w:rsidRPr="00315516"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BA2D88" w:rsidRPr="00123AB3"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BA2D88" w:rsidRPr="00123AB3" w:rsidRDefault="00BA2D88" w:rsidP="00BA2D88">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123AB3">
              <w:rPr>
                <w:rFonts w:asciiTheme="majorHAnsi" w:hAnsiTheme="majorHAnsi" w:cstheme="majorHAnsi"/>
                <w:color w:val="000000"/>
                <w:sz w:val="18"/>
                <w:szCs w:val="18"/>
              </w:rPr>
              <w:t>Former</w:t>
            </w:r>
            <w:r>
              <w:rPr>
                <w:rFonts w:asciiTheme="majorHAnsi" w:hAnsiTheme="majorHAnsi" w:cstheme="majorHAnsi"/>
                <w:color w:val="000000"/>
                <w:sz w:val="18"/>
                <w:szCs w:val="18"/>
              </w:rPr>
              <w:t>,</w:t>
            </w:r>
            <w:r w:rsidRPr="00123AB3">
              <w:rPr>
                <w:rFonts w:asciiTheme="majorHAnsi" w:hAnsiTheme="majorHAnsi" w:cstheme="majorHAnsi"/>
                <w:color w:val="000000"/>
                <w:sz w:val="18"/>
                <w:szCs w:val="18"/>
              </w:rPr>
              <w:t xml:space="preserve"> dans chaque zone rurale</w:t>
            </w:r>
            <w:r>
              <w:rPr>
                <w:rFonts w:asciiTheme="majorHAnsi" w:hAnsiTheme="majorHAnsi" w:cstheme="majorHAnsi"/>
                <w:color w:val="000000"/>
                <w:sz w:val="18"/>
                <w:szCs w:val="18"/>
              </w:rPr>
              <w:t>,</w:t>
            </w:r>
            <w:r w:rsidRPr="00123AB3">
              <w:rPr>
                <w:rFonts w:asciiTheme="majorHAnsi" w:hAnsiTheme="majorHAnsi" w:cstheme="majorHAnsi"/>
                <w:color w:val="000000"/>
                <w:sz w:val="18"/>
                <w:szCs w:val="18"/>
              </w:rPr>
              <w:t xml:space="preserve"> les femmes à la production d’un produit local de bonne valeur nutritive</w:t>
            </w:r>
          </w:p>
        </w:tc>
      </w:tr>
      <w:tr w:rsidR="00BA2D88" w:rsidRPr="00315516" w:rsidTr="003373DE">
        <w:trPr>
          <w:trHeight w:val="81"/>
        </w:trPr>
        <w:tc>
          <w:tcPr>
            <w:tcW w:w="2802" w:type="dxa"/>
            <w:vMerge/>
            <w:shd w:val="clear" w:color="auto" w:fill="FFFFFF"/>
          </w:tcPr>
          <w:p w:rsidR="00BA2D88" w:rsidRPr="00315516"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rPr>
            </w:pPr>
          </w:p>
        </w:tc>
        <w:tc>
          <w:tcPr>
            <w:tcW w:w="3260" w:type="dxa"/>
            <w:vMerge/>
            <w:shd w:val="clear" w:color="auto" w:fill="FFFFFF"/>
          </w:tcPr>
          <w:p w:rsidR="00BA2D88" w:rsidRPr="00123AB3" w:rsidRDefault="00BA2D88" w:rsidP="003373DE">
            <w:pPr>
              <w:pStyle w:val="Normal1"/>
              <w:pBdr>
                <w:top w:val="nil"/>
                <w:left w:val="nil"/>
                <w:bottom w:val="nil"/>
                <w:right w:val="nil"/>
                <w:between w:val="nil"/>
              </w:pBdr>
              <w:spacing w:after="0" w:line="240" w:lineRule="auto"/>
              <w:jc w:val="both"/>
              <w:rPr>
                <w:rFonts w:asciiTheme="minorHAnsi" w:hAnsiTheme="minorHAnsi" w:cstheme="minorHAnsi"/>
                <w:color w:val="000000"/>
                <w:sz w:val="20"/>
                <w:szCs w:val="20"/>
              </w:rPr>
            </w:pPr>
          </w:p>
        </w:tc>
        <w:tc>
          <w:tcPr>
            <w:tcW w:w="8221" w:type="dxa"/>
            <w:shd w:val="clear" w:color="auto" w:fill="FFFFFF"/>
          </w:tcPr>
          <w:p w:rsidR="00BA2D88" w:rsidRPr="00BA2D88" w:rsidRDefault="00BA2D88" w:rsidP="00BA2D88">
            <w:pPr>
              <w:pStyle w:val="Normal1"/>
              <w:numPr>
                <w:ilvl w:val="3"/>
                <w:numId w:val="133"/>
              </w:numPr>
              <w:pBdr>
                <w:top w:val="nil"/>
                <w:left w:val="nil"/>
                <w:bottom w:val="nil"/>
                <w:right w:val="nil"/>
                <w:between w:val="nil"/>
              </w:pBdr>
              <w:spacing w:after="0" w:line="240" w:lineRule="auto"/>
              <w:jc w:val="both"/>
              <w:rPr>
                <w:rFonts w:asciiTheme="majorHAnsi" w:hAnsiTheme="majorHAnsi" w:cstheme="majorHAnsi"/>
                <w:color w:val="000000"/>
                <w:sz w:val="18"/>
                <w:szCs w:val="18"/>
              </w:rPr>
            </w:pPr>
            <w:r w:rsidRPr="00BA2D88">
              <w:rPr>
                <w:rFonts w:asciiTheme="majorHAnsi" w:hAnsiTheme="majorHAnsi" w:cstheme="majorHAnsi"/>
                <w:color w:val="000000"/>
                <w:sz w:val="18"/>
                <w:szCs w:val="18"/>
              </w:rPr>
              <w:t>Tenir les cadres de concertations sur la nutrition à tous les niveaux</w:t>
            </w:r>
          </w:p>
        </w:tc>
      </w:tr>
    </w:tbl>
    <w:p w:rsidR="003373DE" w:rsidRDefault="003373DE" w:rsidP="003373DE"/>
    <w:p w:rsidR="00BC72EA" w:rsidRDefault="00BC72EA" w:rsidP="00BA2D88">
      <w:pPr>
        <w:pStyle w:val="Normal1"/>
        <w:numPr>
          <w:ilvl w:val="3"/>
          <w:numId w:val="133"/>
        </w:numPr>
        <w:pBdr>
          <w:top w:val="nil"/>
          <w:left w:val="nil"/>
          <w:bottom w:val="nil"/>
          <w:right w:val="nil"/>
          <w:between w:val="nil"/>
        </w:pBdr>
        <w:spacing w:after="0" w:line="240" w:lineRule="auto"/>
        <w:jc w:val="both"/>
        <w:rPr>
          <w:rFonts w:cstheme="minorHAnsi"/>
          <w:color w:val="000000" w:themeColor="text1"/>
          <w:sz w:val="24"/>
          <w:szCs w:val="24"/>
        </w:rPr>
        <w:sectPr w:rsidR="00BC72EA" w:rsidSect="00BC72EA">
          <w:pgSz w:w="16838" w:h="11906" w:orient="landscape"/>
          <w:pgMar w:top="1417" w:right="1417" w:bottom="1417" w:left="1417" w:header="708" w:footer="708" w:gutter="0"/>
          <w:cols w:space="708"/>
          <w:docGrid w:linePitch="360"/>
        </w:sectPr>
      </w:pPr>
    </w:p>
    <w:p w:rsidR="00BC72EA" w:rsidRDefault="00BC72EA" w:rsidP="00FD5086">
      <w:pPr>
        <w:ind w:left="450" w:right="-29"/>
        <w:jc w:val="both"/>
        <w:rPr>
          <w:rFonts w:cstheme="minorHAnsi"/>
          <w:color w:val="000000" w:themeColor="text1"/>
          <w:sz w:val="24"/>
          <w:szCs w:val="24"/>
        </w:rPr>
      </w:pPr>
    </w:p>
    <w:p w:rsidR="0019245E" w:rsidRDefault="0019245E">
      <w:pPr>
        <w:rPr>
          <w:rFonts w:cstheme="minorHAnsi"/>
          <w:color w:val="000000" w:themeColor="text1"/>
          <w:sz w:val="24"/>
          <w:szCs w:val="24"/>
        </w:rPr>
        <w:sectPr w:rsidR="0019245E" w:rsidSect="003339F3">
          <w:pgSz w:w="11906" w:h="16838"/>
          <w:pgMar w:top="1417" w:right="1417" w:bottom="1417" w:left="1417" w:header="708" w:footer="708" w:gutter="0"/>
          <w:cols w:space="708"/>
          <w:docGrid w:linePitch="360"/>
        </w:sectPr>
      </w:pPr>
    </w:p>
    <w:p w:rsidR="00314B92" w:rsidRPr="00753B51" w:rsidRDefault="009B5EB2" w:rsidP="00E640E2">
      <w:pPr>
        <w:pStyle w:val="Normal1"/>
        <w:numPr>
          <w:ilvl w:val="0"/>
          <w:numId w:val="120"/>
        </w:numPr>
        <w:pBdr>
          <w:top w:val="nil"/>
          <w:left w:val="nil"/>
          <w:bottom w:val="nil"/>
          <w:right w:val="nil"/>
          <w:between w:val="nil"/>
        </w:pBdr>
        <w:rPr>
          <w:b/>
          <w:color w:val="000000"/>
          <w:sz w:val="32"/>
          <w:szCs w:val="32"/>
        </w:rPr>
      </w:pPr>
      <w:r w:rsidRPr="009B5EB2">
        <w:rPr>
          <w:b/>
          <w:color w:val="000000"/>
          <w:sz w:val="28"/>
          <w:szCs w:val="28"/>
        </w:rPr>
        <w:t>CADRE DE MISE EN ŒUVRE</w:t>
      </w:r>
    </w:p>
    <w:p w:rsidR="006D2860" w:rsidRPr="00753B51" w:rsidRDefault="009B5EB2" w:rsidP="00E640E2">
      <w:pPr>
        <w:pStyle w:val="Normal1"/>
        <w:numPr>
          <w:ilvl w:val="1"/>
          <w:numId w:val="120"/>
        </w:numPr>
        <w:rPr>
          <w:color w:val="000000"/>
          <w:sz w:val="24"/>
          <w:szCs w:val="24"/>
        </w:rPr>
      </w:pPr>
      <w:r w:rsidRPr="009B5EB2">
        <w:rPr>
          <w:sz w:val="24"/>
          <w:szCs w:val="24"/>
        </w:rPr>
        <w:t>CADRE INSTITUTIONNEL</w:t>
      </w:r>
    </w:p>
    <w:p w:rsidR="00314B92" w:rsidRDefault="00AD5F81" w:rsidP="00753B51">
      <w:pPr>
        <w:pStyle w:val="Normal1"/>
        <w:spacing w:after="0"/>
        <w:rPr>
          <w:b/>
          <w:sz w:val="24"/>
          <w:szCs w:val="24"/>
        </w:rPr>
      </w:pPr>
      <w:r>
        <w:rPr>
          <w:b/>
          <w:sz w:val="24"/>
          <w:szCs w:val="24"/>
        </w:rPr>
        <w:t>6.1.1. Coordination et pilotage</w:t>
      </w:r>
    </w:p>
    <w:p w:rsidR="00314B92" w:rsidRDefault="00AD5F81" w:rsidP="00753B51">
      <w:pPr>
        <w:pStyle w:val="Normal1"/>
        <w:widowControl w:val="0"/>
        <w:pBdr>
          <w:top w:val="nil"/>
          <w:left w:val="nil"/>
          <w:bottom w:val="nil"/>
          <w:right w:val="nil"/>
          <w:between w:val="nil"/>
        </w:pBdr>
        <w:spacing w:before="60" w:after="0"/>
        <w:jc w:val="both"/>
        <w:rPr>
          <w:color w:val="000000"/>
          <w:sz w:val="24"/>
          <w:szCs w:val="24"/>
        </w:rPr>
      </w:pPr>
      <w:r>
        <w:rPr>
          <w:b/>
          <w:i/>
          <w:color w:val="000000"/>
          <w:sz w:val="24"/>
          <w:szCs w:val="24"/>
        </w:rPr>
        <w:t>Le Cadre Sectoriel de Dialogue (CSD)</w:t>
      </w:r>
      <w:r>
        <w:rPr>
          <w:color w:val="000000"/>
          <w:sz w:val="24"/>
          <w:szCs w:val="24"/>
        </w:rPr>
        <w:t xml:space="preserve"> sert d’interface entre le Burkina Faso et le Global Financing Facilities (GFF). A ce titre le CSD est en charge du pilotage politique et stratégique du Dossier d’Investissement en SRMNEAN</w:t>
      </w:r>
      <w:r w:rsidR="00753B51">
        <w:rPr>
          <w:color w:val="000000"/>
          <w:sz w:val="24"/>
          <w:szCs w:val="24"/>
        </w:rPr>
        <w:t xml:space="preserve"> à toutes les étapes</w:t>
      </w:r>
      <w:r>
        <w:rPr>
          <w:color w:val="000000"/>
          <w:sz w:val="24"/>
          <w:szCs w:val="24"/>
        </w:rPr>
        <w:t> : Elaboration du document de stratégie, mobilisation des ressources, mises en œuvre et suivi-évaluation-redevabilité.</w:t>
      </w:r>
    </w:p>
    <w:p w:rsidR="00314B92" w:rsidRDefault="009B5EB2">
      <w:pPr>
        <w:pStyle w:val="Normal1"/>
        <w:widowControl w:val="0"/>
        <w:pBdr>
          <w:top w:val="nil"/>
          <w:left w:val="nil"/>
          <w:bottom w:val="nil"/>
          <w:right w:val="nil"/>
          <w:between w:val="nil"/>
        </w:pBdr>
        <w:spacing w:before="60" w:after="60"/>
        <w:jc w:val="both"/>
        <w:rPr>
          <w:color w:val="000000"/>
          <w:sz w:val="24"/>
          <w:szCs w:val="24"/>
        </w:rPr>
      </w:pPr>
      <w:r w:rsidRPr="009B5EB2">
        <w:rPr>
          <w:color w:val="00000A"/>
          <w:sz w:val="24"/>
          <w:szCs w:val="24"/>
        </w:rPr>
        <w:t>Le CSD assurera (i) la définition d</w:t>
      </w:r>
      <w:r w:rsidR="00BD609C">
        <w:rPr>
          <w:color w:val="00000A"/>
          <w:sz w:val="24"/>
          <w:szCs w:val="24"/>
        </w:rPr>
        <w:t>es priorités en matière de SRMNE</w:t>
      </w:r>
      <w:r w:rsidRPr="009B5EB2">
        <w:rPr>
          <w:color w:val="00000A"/>
          <w:sz w:val="24"/>
          <w:szCs w:val="24"/>
        </w:rPr>
        <w:t xml:space="preserve">AN et ECSV, (ii) la coordination des interventions et des acteurs, (iii) la mobilisation des acteurs impliqués dans la mise en œuvre, (iii) la collaboration </w:t>
      </w:r>
      <w:r w:rsidR="00AD5F81">
        <w:rPr>
          <w:color w:val="000000"/>
          <w:sz w:val="24"/>
          <w:szCs w:val="24"/>
        </w:rPr>
        <w:t xml:space="preserve">intersectorielle pour agir sur les principaux déterminants de la santé et (iv) </w:t>
      </w:r>
      <w:r w:rsidR="00AD5F81">
        <w:rPr>
          <w:color w:val="00000A"/>
          <w:sz w:val="24"/>
          <w:szCs w:val="24"/>
        </w:rPr>
        <w:t>la vérification et l’analyse des résultats pour prendre les mesures correctives nécessaires dans le cadre de la redevabilité</w:t>
      </w:r>
      <w:r w:rsidR="00AD5F81">
        <w:rPr>
          <w:color w:val="000000"/>
          <w:sz w:val="24"/>
          <w:szCs w:val="24"/>
        </w:rPr>
        <w:t xml:space="preserve">. </w:t>
      </w:r>
    </w:p>
    <w:p w:rsidR="00314B92" w:rsidRPr="00314B92" w:rsidRDefault="009B5EB2">
      <w:pPr>
        <w:pStyle w:val="Normal1"/>
        <w:rPr>
          <w:sz w:val="24"/>
          <w:szCs w:val="24"/>
        </w:rPr>
      </w:pPr>
      <w:r w:rsidRPr="009B5EB2">
        <w:rPr>
          <w:sz w:val="24"/>
          <w:szCs w:val="24"/>
        </w:rPr>
        <w:t>En plus des rencontres régulières semestrielles, le Cadre sectoriel de dialogue peut organiser des missio</w:t>
      </w:r>
      <w:r w:rsidR="00753B51">
        <w:rPr>
          <w:sz w:val="24"/>
          <w:szCs w:val="24"/>
        </w:rPr>
        <w:t>ns et des études pour confirmer,</w:t>
      </w:r>
      <w:r w:rsidRPr="009B5EB2">
        <w:rPr>
          <w:sz w:val="24"/>
          <w:szCs w:val="24"/>
        </w:rPr>
        <w:t xml:space="preserve"> sur </w:t>
      </w:r>
      <w:r w:rsidR="00753B51">
        <w:rPr>
          <w:sz w:val="24"/>
          <w:szCs w:val="24"/>
        </w:rPr>
        <w:t xml:space="preserve">le </w:t>
      </w:r>
      <w:r w:rsidRPr="009B5EB2">
        <w:rPr>
          <w:sz w:val="24"/>
          <w:szCs w:val="24"/>
        </w:rPr>
        <w:t>terrain</w:t>
      </w:r>
      <w:r w:rsidR="00753B51">
        <w:rPr>
          <w:sz w:val="24"/>
          <w:szCs w:val="24"/>
        </w:rPr>
        <w:t xml:space="preserve"> en cas de nécessité</w:t>
      </w:r>
      <w:r w:rsidRPr="009B5EB2">
        <w:rPr>
          <w:sz w:val="24"/>
          <w:szCs w:val="24"/>
        </w:rPr>
        <w:t>, les résultats ou les problèmes rapportés.</w:t>
      </w:r>
    </w:p>
    <w:p w:rsidR="00314B92" w:rsidRDefault="00AD5F81" w:rsidP="005D02C3">
      <w:pPr>
        <w:pStyle w:val="Normal1"/>
        <w:numPr>
          <w:ilvl w:val="2"/>
          <w:numId w:val="60"/>
        </w:numPr>
        <w:pBdr>
          <w:top w:val="nil"/>
          <w:left w:val="nil"/>
          <w:bottom w:val="nil"/>
          <w:right w:val="nil"/>
          <w:between w:val="nil"/>
        </w:pBdr>
        <w:spacing w:after="0" w:line="360" w:lineRule="auto"/>
        <w:jc w:val="both"/>
        <w:rPr>
          <w:b/>
          <w:color w:val="000000"/>
          <w:sz w:val="24"/>
          <w:szCs w:val="24"/>
        </w:rPr>
      </w:pPr>
      <w:r>
        <w:rPr>
          <w:b/>
          <w:color w:val="000000"/>
          <w:sz w:val="24"/>
          <w:szCs w:val="24"/>
        </w:rPr>
        <w:t xml:space="preserve">Acteurs de mise en œuvre, niveaux, rôles et responsabilités </w:t>
      </w:r>
    </w:p>
    <w:p w:rsidR="00314B92" w:rsidRDefault="00AD5F81" w:rsidP="005D02C3">
      <w:pPr>
        <w:pStyle w:val="Normal1"/>
        <w:numPr>
          <w:ilvl w:val="3"/>
          <w:numId w:val="60"/>
        </w:numPr>
        <w:pBdr>
          <w:top w:val="nil"/>
          <w:left w:val="nil"/>
          <w:bottom w:val="nil"/>
          <w:right w:val="nil"/>
          <w:between w:val="nil"/>
        </w:pBdr>
        <w:spacing w:after="0" w:line="360" w:lineRule="auto"/>
        <w:jc w:val="both"/>
        <w:rPr>
          <w:b/>
          <w:color w:val="000000"/>
          <w:sz w:val="24"/>
          <w:szCs w:val="24"/>
        </w:rPr>
      </w:pPr>
      <w:r>
        <w:rPr>
          <w:b/>
          <w:color w:val="000000"/>
          <w:sz w:val="24"/>
          <w:szCs w:val="24"/>
        </w:rPr>
        <w:t>Niveau central</w:t>
      </w:r>
    </w:p>
    <w:p w:rsidR="00314B92" w:rsidRDefault="00AD5F81">
      <w:pPr>
        <w:pStyle w:val="Normal1"/>
        <w:spacing w:after="0" w:line="360" w:lineRule="auto"/>
        <w:jc w:val="both"/>
        <w:rPr>
          <w:b/>
          <w:sz w:val="24"/>
          <w:szCs w:val="24"/>
        </w:rPr>
      </w:pPr>
      <w:r>
        <w:rPr>
          <w:b/>
          <w:sz w:val="24"/>
          <w:szCs w:val="24"/>
        </w:rPr>
        <w:t>Cabinet du Ministre et directions centrales</w:t>
      </w:r>
    </w:p>
    <w:p w:rsidR="00314B92" w:rsidRPr="00314B92" w:rsidRDefault="00AD5F81">
      <w:pPr>
        <w:pStyle w:val="Normal1"/>
        <w:jc w:val="both"/>
        <w:rPr>
          <w:sz w:val="24"/>
          <w:szCs w:val="24"/>
        </w:rPr>
      </w:pPr>
      <w:r>
        <w:rPr>
          <w:sz w:val="24"/>
          <w:szCs w:val="24"/>
        </w:rPr>
        <w:t xml:space="preserve">Le niveau central est le lieu de définition des politiques et stratégies. A cet effet, </w:t>
      </w:r>
      <w:r w:rsidR="009B5EB2" w:rsidRPr="009B5EB2">
        <w:rPr>
          <w:sz w:val="24"/>
          <w:szCs w:val="24"/>
        </w:rPr>
        <w:t>la révision du PNDS 2011-2020 a recommandé la mise en place de 3 Groupes Thématiques que sont</w:t>
      </w:r>
      <w:r>
        <w:rPr>
          <w:sz w:val="24"/>
          <w:szCs w:val="24"/>
        </w:rPr>
        <w:t xml:space="preserve"> </w:t>
      </w:r>
      <w:r w:rsidR="009B5EB2" w:rsidRPr="009B5EB2">
        <w:rPr>
          <w:sz w:val="24"/>
          <w:szCs w:val="24"/>
        </w:rPr>
        <w:t>:</w:t>
      </w:r>
    </w:p>
    <w:p w:rsidR="00314B92" w:rsidRDefault="00AD5F81" w:rsidP="005D02C3">
      <w:pPr>
        <w:pStyle w:val="Normal1"/>
        <w:numPr>
          <w:ilvl w:val="0"/>
          <w:numId w:val="125"/>
        </w:numPr>
        <w:spacing w:after="0"/>
        <w:jc w:val="both"/>
        <w:rPr>
          <w:sz w:val="24"/>
          <w:szCs w:val="24"/>
        </w:rPr>
      </w:pPr>
      <w:r>
        <w:rPr>
          <w:b/>
          <w:sz w:val="24"/>
          <w:szCs w:val="24"/>
        </w:rPr>
        <w:t>Pilotage et soutien au système de santé (057) :</w:t>
      </w:r>
      <w:r>
        <w:rPr>
          <w:sz w:val="24"/>
          <w:szCs w:val="24"/>
        </w:rPr>
        <w:t xml:space="preserve"> Gouvernance et leadership ; Financement de la santé, Système d’information sanitaire et recherche pour la santé </w:t>
      </w:r>
    </w:p>
    <w:p w:rsidR="00314B92" w:rsidRDefault="00AD5F81" w:rsidP="005D02C3">
      <w:pPr>
        <w:pStyle w:val="Normal1"/>
        <w:numPr>
          <w:ilvl w:val="0"/>
          <w:numId w:val="125"/>
        </w:numPr>
        <w:spacing w:after="0"/>
        <w:jc w:val="both"/>
        <w:rPr>
          <w:sz w:val="24"/>
          <w:szCs w:val="24"/>
        </w:rPr>
      </w:pPr>
      <w:r>
        <w:rPr>
          <w:b/>
          <w:sz w:val="24"/>
          <w:szCs w:val="24"/>
        </w:rPr>
        <w:t>Prestations des services de santé (056)</w:t>
      </w:r>
      <w:r>
        <w:rPr>
          <w:sz w:val="24"/>
          <w:szCs w:val="24"/>
        </w:rPr>
        <w:t> : Prestations de soins, promotion de la santé et lutte contre la maladie ;</w:t>
      </w:r>
    </w:p>
    <w:p w:rsidR="00314B92" w:rsidRDefault="00AD5F81" w:rsidP="005D02C3">
      <w:pPr>
        <w:pStyle w:val="Normal1"/>
        <w:numPr>
          <w:ilvl w:val="0"/>
          <w:numId w:val="125"/>
        </w:numPr>
        <w:spacing w:after="0"/>
        <w:jc w:val="both"/>
        <w:rPr>
          <w:sz w:val="24"/>
          <w:szCs w:val="24"/>
        </w:rPr>
      </w:pPr>
      <w:r>
        <w:rPr>
          <w:b/>
          <w:sz w:val="24"/>
          <w:szCs w:val="24"/>
        </w:rPr>
        <w:t>Accès aux services de santé (055)</w:t>
      </w:r>
      <w:r>
        <w:rPr>
          <w:sz w:val="24"/>
          <w:szCs w:val="24"/>
        </w:rPr>
        <w:t> : Infrastructures, équipements, médicaments et produits de santé et accessibilité financière des services de santé aux populations</w:t>
      </w:r>
    </w:p>
    <w:p w:rsidR="006D2860" w:rsidRDefault="006D2860">
      <w:pPr>
        <w:pStyle w:val="Normal1"/>
        <w:spacing w:after="0"/>
        <w:jc w:val="both"/>
      </w:pPr>
    </w:p>
    <w:p w:rsidR="006D2860" w:rsidRDefault="009B5EB2">
      <w:pPr>
        <w:pStyle w:val="Normal1"/>
        <w:spacing w:after="120"/>
        <w:jc w:val="both"/>
        <w:rPr>
          <w:sz w:val="24"/>
          <w:szCs w:val="24"/>
        </w:rPr>
      </w:pPr>
      <w:r w:rsidRPr="009B5EB2">
        <w:rPr>
          <w:b/>
          <w:sz w:val="24"/>
          <w:szCs w:val="24"/>
        </w:rPr>
        <w:t>Les groupes thématiques sont chargés de :</w:t>
      </w:r>
    </w:p>
    <w:p w:rsidR="006D2860" w:rsidRDefault="009B5EB2" w:rsidP="005D02C3">
      <w:pPr>
        <w:pStyle w:val="Normal1"/>
        <w:numPr>
          <w:ilvl w:val="0"/>
          <w:numId w:val="126"/>
        </w:numPr>
        <w:spacing w:after="0"/>
        <w:jc w:val="both"/>
        <w:rPr>
          <w:sz w:val="24"/>
          <w:szCs w:val="24"/>
        </w:rPr>
      </w:pPr>
      <w:r w:rsidRPr="009B5EB2">
        <w:rPr>
          <w:sz w:val="24"/>
          <w:szCs w:val="24"/>
        </w:rPr>
        <w:t xml:space="preserve">élaborer le rapport de performance du programme qui sera soumis à la réunion du CSD en début d’année ; </w:t>
      </w:r>
    </w:p>
    <w:p w:rsidR="006D2860" w:rsidRDefault="009B5EB2" w:rsidP="005D02C3">
      <w:pPr>
        <w:pStyle w:val="Normal1"/>
        <w:numPr>
          <w:ilvl w:val="0"/>
          <w:numId w:val="126"/>
        </w:numPr>
        <w:spacing w:after="0"/>
        <w:jc w:val="both"/>
        <w:rPr>
          <w:sz w:val="24"/>
          <w:szCs w:val="24"/>
        </w:rPr>
      </w:pPr>
      <w:r w:rsidRPr="009B5EB2">
        <w:rPr>
          <w:sz w:val="24"/>
          <w:szCs w:val="24"/>
        </w:rPr>
        <w:t>établir à partir des orientations du CSD la liste des activités prioritaires annuelles, le budget y relatif et la stratégie de mise en œuvre</w:t>
      </w:r>
    </w:p>
    <w:p w:rsidR="006D2860" w:rsidRDefault="009B5EB2" w:rsidP="005D02C3">
      <w:pPr>
        <w:pStyle w:val="Normal1"/>
        <w:numPr>
          <w:ilvl w:val="0"/>
          <w:numId w:val="126"/>
        </w:numPr>
        <w:spacing w:after="0"/>
        <w:jc w:val="both"/>
        <w:rPr>
          <w:sz w:val="24"/>
          <w:szCs w:val="24"/>
        </w:rPr>
      </w:pPr>
      <w:r w:rsidRPr="009B5EB2">
        <w:rPr>
          <w:sz w:val="24"/>
          <w:szCs w:val="24"/>
        </w:rPr>
        <w:t>proposer des projets de réformes techniques et administratives à soumettre au CSD pour validation ;</w:t>
      </w:r>
    </w:p>
    <w:p w:rsidR="006D2860" w:rsidRDefault="009B5EB2" w:rsidP="005D02C3">
      <w:pPr>
        <w:pStyle w:val="Normal1"/>
        <w:numPr>
          <w:ilvl w:val="0"/>
          <w:numId w:val="126"/>
        </w:numPr>
        <w:spacing w:after="0"/>
        <w:jc w:val="both"/>
        <w:rPr>
          <w:sz w:val="24"/>
          <w:szCs w:val="24"/>
        </w:rPr>
      </w:pPr>
      <w:r w:rsidRPr="009B5EB2">
        <w:rPr>
          <w:sz w:val="24"/>
          <w:szCs w:val="24"/>
        </w:rPr>
        <w:t>proposer la validation des stratégies sous-sectorielles ainsi que les résultats des études et évaluations ;</w:t>
      </w:r>
    </w:p>
    <w:p w:rsidR="00314B92" w:rsidRDefault="009B5EB2" w:rsidP="005D02C3">
      <w:pPr>
        <w:pStyle w:val="Normal1"/>
        <w:numPr>
          <w:ilvl w:val="0"/>
          <w:numId w:val="127"/>
        </w:numPr>
        <w:spacing w:after="0"/>
        <w:jc w:val="both"/>
      </w:pPr>
      <w:r w:rsidRPr="009B5EB2">
        <w:rPr>
          <w:sz w:val="24"/>
          <w:szCs w:val="24"/>
        </w:rPr>
        <w:t>s’appuyer sur des équipes fonctionnelles mises en place pour la bonne coordination d’activités et de réformes interdépendantes.</w:t>
      </w:r>
    </w:p>
    <w:p w:rsidR="00314B92" w:rsidRPr="00314B92" w:rsidRDefault="009B5EB2">
      <w:pPr>
        <w:pStyle w:val="Normal1"/>
        <w:jc w:val="both"/>
        <w:rPr>
          <w:sz w:val="24"/>
          <w:szCs w:val="24"/>
        </w:rPr>
      </w:pPr>
      <w:r w:rsidRPr="009B5EB2">
        <w:rPr>
          <w:sz w:val="24"/>
          <w:szCs w:val="24"/>
        </w:rPr>
        <w:t>Ces équipes au nombre de sept (07) sont chargées de :</w:t>
      </w:r>
    </w:p>
    <w:p w:rsidR="00314B92" w:rsidRDefault="009B5EB2" w:rsidP="005D02C3">
      <w:pPr>
        <w:pStyle w:val="Normal1"/>
        <w:numPr>
          <w:ilvl w:val="0"/>
          <w:numId w:val="128"/>
        </w:numPr>
        <w:pBdr>
          <w:top w:val="nil"/>
          <w:left w:val="nil"/>
          <w:bottom w:val="nil"/>
          <w:right w:val="nil"/>
          <w:between w:val="nil"/>
        </w:pBdr>
        <w:spacing w:after="0"/>
        <w:jc w:val="both"/>
        <w:rPr>
          <w:color w:val="000000"/>
        </w:rPr>
      </w:pPr>
      <w:r w:rsidRPr="009B5EB2">
        <w:rPr>
          <w:color w:val="000000"/>
          <w:sz w:val="24"/>
          <w:szCs w:val="24"/>
        </w:rPr>
        <w:t xml:space="preserve">appuyer la mise en œuvre des réformes techniques y compris le dossier d’investissement ; </w:t>
      </w:r>
    </w:p>
    <w:p w:rsidR="00314B92" w:rsidRDefault="009B5EB2" w:rsidP="005D02C3">
      <w:pPr>
        <w:pStyle w:val="Normal1"/>
        <w:numPr>
          <w:ilvl w:val="0"/>
          <w:numId w:val="128"/>
        </w:numPr>
        <w:pBdr>
          <w:top w:val="nil"/>
          <w:left w:val="nil"/>
          <w:bottom w:val="nil"/>
          <w:right w:val="nil"/>
          <w:between w:val="nil"/>
        </w:pBdr>
        <w:spacing w:after="0"/>
        <w:jc w:val="both"/>
        <w:rPr>
          <w:color w:val="000000"/>
        </w:rPr>
      </w:pPr>
      <w:r w:rsidRPr="009B5EB2">
        <w:rPr>
          <w:color w:val="000000"/>
          <w:sz w:val="24"/>
          <w:szCs w:val="24"/>
        </w:rPr>
        <w:t>gérer l'interdépendance entre ces activités ;</w:t>
      </w:r>
    </w:p>
    <w:p w:rsidR="00314B92" w:rsidRDefault="009B5EB2" w:rsidP="005D02C3">
      <w:pPr>
        <w:pStyle w:val="Normal1"/>
        <w:numPr>
          <w:ilvl w:val="0"/>
          <w:numId w:val="128"/>
        </w:numPr>
        <w:pBdr>
          <w:top w:val="nil"/>
          <w:left w:val="nil"/>
          <w:bottom w:val="nil"/>
          <w:right w:val="nil"/>
          <w:between w:val="nil"/>
        </w:pBdr>
        <w:spacing w:after="0"/>
        <w:jc w:val="both"/>
        <w:rPr>
          <w:color w:val="000000"/>
        </w:rPr>
      </w:pPr>
      <w:r w:rsidRPr="009B5EB2">
        <w:rPr>
          <w:color w:val="000000"/>
          <w:sz w:val="24"/>
          <w:szCs w:val="24"/>
        </w:rPr>
        <w:t xml:space="preserve">attribuer la responsabilité de l'exécution des tâches et d'en fixer les échéances. </w:t>
      </w:r>
    </w:p>
    <w:p w:rsidR="00314B92" w:rsidRPr="00314B92" w:rsidRDefault="009B5EB2" w:rsidP="00F367EF">
      <w:pPr>
        <w:pStyle w:val="Normal1"/>
        <w:spacing w:after="0"/>
        <w:jc w:val="both"/>
        <w:rPr>
          <w:sz w:val="24"/>
          <w:szCs w:val="24"/>
        </w:rPr>
      </w:pPr>
      <w:r w:rsidRPr="009B5EB2">
        <w:rPr>
          <w:sz w:val="24"/>
          <w:szCs w:val="24"/>
        </w:rPr>
        <w:t xml:space="preserve">Elles sont redevables aux groupes thématiques du cadre sectoriel de dialogue. </w:t>
      </w:r>
    </w:p>
    <w:p w:rsidR="006D2860" w:rsidRPr="00F367EF" w:rsidRDefault="00F367EF" w:rsidP="00F367EF">
      <w:pPr>
        <w:pStyle w:val="Normal1"/>
        <w:widowControl w:val="0"/>
        <w:pBdr>
          <w:top w:val="nil"/>
          <w:left w:val="nil"/>
          <w:bottom w:val="nil"/>
          <w:right w:val="nil"/>
          <w:between w:val="nil"/>
        </w:pBdr>
        <w:spacing w:before="60"/>
        <w:jc w:val="both"/>
        <w:rPr>
          <w:color w:val="000000"/>
          <w:sz w:val="24"/>
          <w:szCs w:val="24"/>
        </w:rPr>
      </w:pPr>
      <w:r>
        <w:rPr>
          <w:color w:val="000000"/>
          <w:sz w:val="24"/>
          <w:szCs w:val="24"/>
        </w:rPr>
        <w:t>Plus particulièrement</w:t>
      </w:r>
      <w:r w:rsidR="00AD5F81">
        <w:rPr>
          <w:color w:val="000000"/>
          <w:sz w:val="24"/>
          <w:szCs w:val="24"/>
        </w:rPr>
        <w:t>,</w:t>
      </w:r>
      <w:r w:rsidR="00AD5F81">
        <w:rPr>
          <w:b/>
          <w:i/>
          <w:color w:val="000000"/>
          <w:sz w:val="24"/>
          <w:szCs w:val="24"/>
        </w:rPr>
        <w:t xml:space="preserve"> l’équipe fonctionnelle 7</w:t>
      </w:r>
      <w:r w:rsidR="00AD5F81">
        <w:rPr>
          <w:color w:val="000000"/>
          <w:sz w:val="24"/>
          <w:szCs w:val="24"/>
        </w:rPr>
        <w:t xml:space="preserve"> a été retenue pour être la plateforme technique en c</w:t>
      </w:r>
      <w:r w:rsidR="0035261B">
        <w:rPr>
          <w:color w:val="000000"/>
          <w:sz w:val="24"/>
          <w:szCs w:val="24"/>
        </w:rPr>
        <w:t>harge de conduire le processus d</w:t>
      </w:r>
      <w:r w:rsidR="00AD5F81">
        <w:rPr>
          <w:color w:val="000000"/>
          <w:sz w:val="24"/>
          <w:szCs w:val="24"/>
        </w:rPr>
        <w:t>’élaboration du dossier d’investissement suivant une feuille de route consensuelle</w:t>
      </w:r>
      <w:r>
        <w:rPr>
          <w:color w:val="000000"/>
          <w:sz w:val="24"/>
          <w:szCs w:val="24"/>
        </w:rPr>
        <w:t>. Dans le cadre de la mise en œuvre du DI, l’EF7</w:t>
      </w:r>
      <w:r w:rsidR="00AD5F81">
        <w:rPr>
          <w:color w:val="000000"/>
          <w:sz w:val="24"/>
          <w:szCs w:val="24"/>
        </w:rPr>
        <w:t xml:space="preserve"> aura pour rôle de (i) animer la mise en œuvre, (ii) assurer le suivi de la mise en œuvre, (iii) donner les avis techniques nécessaires au pilotage et (iv) organiser la réalisation d’études et autres exercices périodiques d’évaluation pour </w:t>
      </w:r>
      <w:r>
        <w:rPr>
          <w:color w:val="000000"/>
          <w:sz w:val="24"/>
          <w:szCs w:val="24"/>
        </w:rPr>
        <w:t xml:space="preserve">suivre </w:t>
      </w:r>
      <w:r w:rsidR="00AD5F81">
        <w:rPr>
          <w:color w:val="000000"/>
          <w:sz w:val="24"/>
          <w:szCs w:val="24"/>
        </w:rPr>
        <w:t xml:space="preserve">les </w:t>
      </w:r>
      <w:r>
        <w:rPr>
          <w:color w:val="000000"/>
          <w:sz w:val="24"/>
          <w:szCs w:val="24"/>
        </w:rPr>
        <w:t xml:space="preserve">performances </w:t>
      </w:r>
      <w:r w:rsidR="00AD5F81">
        <w:rPr>
          <w:color w:val="000000"/>
          <w:sz w:val="24"/>
          <w:szCs w:val="24"/>
        </w:rPr>
        <w:t>et capitaliser l’expérience.</w:t>
      </w:r>
    </w:p>
    <w:p w:rsidR="00314B92" w:rsidRDefault="00AD5F81" w:rsidP="005D02C3">
      <w:pPr>
        <w:pStyle w:val="Normal1"/>
        <w:numPr>
          <w:ilvl w:val="3"/>
          <w:numId w:val="60"/>
        </w:numPr>
        <w:pBdr>
          <w:top w:val="nil"/>
          <w:left w:val="nil"/>
          <w:bottom w:val="nil"/>
          <w:right w:val="nil"/>
          <w:between w:val="nil"/>
        </w:pBdr>
        <w:spacing w:after="0"/>
        <w:jc w:val="both"/>
        <w:rPr>
          <w:b/>
          <w:color w:val="000000"/>
          <w:sz w:val="24"/>
          <w:szCs w:val="24"/>
        </w:rPr>
      </w:pPr>
      <w:r>
        <w:rPr>
          <w:b/>
          <w:color w:val="000000"/>
          <w:sz w:val="24"/>
          <w:szCs w:val="24"/>
        </w:rPr>
        <w:t>Niveau régional</w:t>
      </w:r>
    </w:p>
    <w:p w:rsidR="00314B92" w:rsidRDefault="00AD5F81" w:rsidP="00100327">
      <w:pPr>
        <w:pStyle w:val="Normal1"/>
        <w:pBdr>
          <w:top w:val="nil"/>
          <w:left w:val="nil"/>
          <w:bottom w:val="nil"/>
          <w:right w:val="nil"/>
          <w:between w:val="nil"/>
        </w:pBdr>
        <w:spacing w:after="0"/>
        <w:jc w:val="both"/>
        <w:rPr>
          <w:color w:val="000000"/>
          <w:sz w:val="24"/>
          <w:szCs w:val="24"/>
        </w:rPr>
      </w:pPr>
      <w:r>
        <w:rPr>
          <w:color w:val="000000"/>
          <w:sz w:val="24"/>
          <w:szCs w:val="24"/>
        </w:rPr>
        <w:t>Le niveau régional s’appuiera sur les comités techniques régionaux de san</w:t>
      </w:r>
      <w:r w:rsidR="00100327">
        <w:rPr>
          <w:color w:val="000000"/>
          <w:sz w:val="24"/>
          <w:szCs w:val="24"/>
        </w:rPr>
        <w:t>té (CTRS) sous la direction du D</w:t>
      </w:r>
      <w:r>
        <w:rPr>
          <w:color w:val="000000"/>
          <w:sz w:val="24"/>
          <w:szCs w:val="24"/>
        </w:rPr>
        <w:t>irecte</w:t>
      </w:r>
      <w:r w:rsidR="00100327">
        <w:rPr>
          <w:color w:val="000000"/>
          <w:sz w:val="24"/>
          <w:szCs w:val="24"/>
        </w:rPr>
        <w:t>ur régional de la santé et les C</w:t>
      </w:r>
      <w:r>
        <w:rPr>
          <w:color w:val="000000"/>
          <w:sz w:val="24"/>
          <w:szCs w:val="24"/>
        </w:rPr>
        <w:t>adres Régionaux de Dialogue présidés par le gouverneur</w:t>
      </w:r>
    </w:p>
    <w:p w:rsidR="00314B92" w:rsidRDefault="00AD5F81">
      <w:pPr>
        <w:pStyle w:val="Normal1"/>
        <w:widowControl w:val="0"/>
        <w:tabs>
          <w:tab w:val="left" w:pos="9498"/>
        </w:tabs>
        <w:spacing w:before="32" w:after="0"/>
        <w:jc w:val="both"/>
        <w:rPr>
          <w:sz w:val="24"/>
          <w:szCs w:val="24"/>
        </w:rPr>
      </w:pPr>
      <w:r>
        <w:rPr>
          <w:sz w:val="24"/>
          <w:szCs w:val="24"/>
        </w:rPr>
        <w:t>Ces cadres auront pour rôle de (i) Valider les plans opérationnels pour la mise en œuvre du Dossier d’Investissement, (ii) Analyser les rapports de progrès, (</w:t>
      </w:r>
      <w:r w:rsidR="00100327">
        <w:rPr>
          <w:sz w:val="24"/>
          <w:szCs w:val="24"/>
        </w:rPr>
        <w:t xml:space="preserve">iii) Participer aux missions </w:t>
      </w:r>
      <w:r>
        <w:rPr>
          <w:sz w:val="24"/>
          <w:szCs w:val="24"/>
        </w:rPr>
        <w:t xml:space="preserve">conjointes </w:t>
      </w:r>
      <w:r w:rsidR="00100327">
        <w:rPr>
          <w:sz w:val="24"/>
          <w:szCs w:val="24"/>
        </w:rPr>
        <w:t xml:space="preserve">sur le terrain </w:t>
      </w:r>
      <w:r>
        <w:rPr>
          <w:sz w:val="24"/>
          <w:szCs w:val="24"/>
        </w:rPr>
        <w:t xml:space="preserve">du niveau central et (iv) Intégrer les interventions de SRMNEAN et ECSV au niveau des collectivités territoriales. </w:t>
      </w:r>
    </w:p>
    <w:p w:rsidR="00314B92" w:rsidRDefault="00100327">
      <w:pPr>
        <w:pStyle w:val="Normal1"/>
        <w:widowControl w:val="0"/>
        <w:tabs>
          <w:tab w:val="left" w:pos="9498"/>
        </w:tabs>
        <w:spacing w:before="32"/>
        <w:jc w:val="both"/>
        <w:rPr>
          <w:sz w:val="24"/>
          <w:szCs w:val="24"/>
        </w:rPr>
      </w:pPr>
      <w:r>
        <w:rPr>
          <w:b/>
          <w:i/>
          <w:sz w:val="24"/>
          <w:szCs w:val="24"/>
        </w:rPr>
        <w:t>Les D</w:t>
      </w:r>
      <w:r w:rsidR="00AD5F81">
        <w:rPr>
          <w:b/>
          <w:i/>
          <w:sz w:val="24"/>
          <w:szCs w:val="24"/>
        </w:rPr>
        <w:t>irections régionales de la santé</w:t>
      </w:r>
      <w:r w:rsidR="00AD5F81">
        <w:rPr>
          <w:sz w:val="24"/>
          <w:szCs w:val="24"/>
        </w:rPr>
        <w:t xml:space="preserve"> auront pour rôle de  (i) Coordonner les interventions des différents acteurs de santé au niveau régional, (ii) Evaluer la performance des équipes cadres de district dans la mise en œuvre du DI, (iii) Elaborer les rapports de progrès et les bilans des plans d’action, (iv) Suivre la mobilisation des financements, (v) Participer à la réalisation des audits, (vi) Contribuer à la réalisation des évaluations et (vii) Fournir des informations permettant de renseigner les indicateurs de suivi du DI.</w:t>
      </w:r>
    </w:p>
    <w:p w:rsidR="00314B92" w:rsidRDefault="00AD5F81" w:rsidP="005D02C3">
      <w:pPr>
        <w:pStyle w:val="Normal1"/>
        <w:numPr>
          <w:ilvl w:val="3"/>
          <w:numId w:val="60"/>
        </w:numPr>
        <w:pBdr>
          <w:top w:val="nil"/>
          <w:left w:val="nil"/>
          <w:bottom w:val="nil"/>
          <w:right w:val="nil"/>
          <w:between w:val="nil"/>
        </w:pBdr>
        <w:spacing w:after="0"/>
        <w:jc w:val="both"/>
        <w:rPr>
          <w:b/>
          <w:color w:val="000000"/>
          <w:sz w:val="24"/>
          <w:szCs w:val="24"/>
        </w:rPr>
      </w:pPr>
      <w:r>
        <w:rPr>
          <w:b/>
          <w:color w:val="000000"/>
          <w:sz w:val="24"/>
          <w:szCs w:val="24"/>
        </w:rPr>
        <w:t>Au niveau opérationnel</w:t>
      </w:r>
    </w:p>
    <w:p w:rsidR="00314B92" w:rsidRDefault="00AD5F81" w:rsidP="00100327">
      <w:pPr>
        <w:pStyle w:val="Normal1"/>
        <w:widowControl w:val="0"/>
        <w:tabs>
          <w:tab w:val="left" w:pos="9498"/>
        </w:tabs>
        <w:spacing w:before="32" w:after="0"/>
        <w:jc w:val="both"/>
      </w:pPr>
      <w:r>
        <w:rPr>
          <w:b/>
          <w:color w:val="000000"/>
          <w:sz w:val="24"/>
          <w:szCs w:val="24"/>
        </w:rPr>
        <w:t>Le comité de gestion de district</w:t>
      </w:r>
    </w:p>
    <w:p w:rsidR="00314B92" w:rsidRDefault="00AD5F81">
      <w:pPr>
        <w:pStyle w:val="Normal1"/>
        <w:spacing w:after="0"/>
        <w:jc w:val="both"/>
        <w:rPr>
          <w:sz w:val="24"/>
          <w:szCs w:val="24"/>
        </w:rPr>
      </w:pPr>
      <w:r>
        <w:t xml:space="preserve">Les </w:t>
      </w:r>
      <w:r>
        <w:rPr>
          <w:b/>
          <w:color w:val="000000"/>
          <w:sz w:val="24"/>
          <w:szCs w:val="24"/>
        </w:rPr>
        <w:t>comités de gestion de district</w:t>
      </w:r>
      <w:r>
        <w:t xml:space="preserve"> </w:t>
      </w:r>
      <w:r>
        <w:rPr>
          <w:sz w:val="24"/>
          <w:szCs w:val="24"/>
        </w:rPr>
        <w:t>auront pour rôle de coordonner les acteurs au niveau opérationnel, de valider les plans opérationnels et d’analyser les rapports de progrès.</w:t>
      </w:r>
    </w:p>
    <w:p w:rsidR="00314B92" w:rsidRDefault="00AD5F81">
      <w:pPr>
        <w:pStyle w:val="Normal1"/>
        <w:jc w:val="both"/>
        <w:rPr>
          <w:sz w:val="24"/>
          <w:szCs w:val="24"/>
        </w:rPr>
      </w:pPr>
      <w:r>
        <w:rPr>
          <w:b/>
          <w:color w:val="000000"/>
          <w:sz w:val="24"/>
          <w:szCs w:val="24"/>
        </w:rPr>
        <w:t>Le comité de gestion de district</w:t>
      </w:r>
      <w:r>
        <w:rPr>
          <w:sz w:val="24"/>
          <w:szCs w:val="24"/>
        </w:rPr>
        <w:t xml:space="preserve">, sous la responsabilité du </w:t>
      </w:r>
      <w:r>
        <w:rPr>
          <w:b/>
          <w:sz w:val="24"/>
          <w:szCs w:val="24"/>
        </w:rPr>
        <w:t>responsable du district</w:t>
      </w:r>
      <w:r>
        <w:rPr>
          <w:sz w:val="24"/>
          <w:szCs w:val="24"/>
        </w:rPr>
        <w:t xml:space="preserve">, est chargée de (i) Elaborer les plans opérationnels, (ii) Elaborer les rapports de progrès et les bilans des plans d’action, (iii) Participer à la réalisation des audits et des évaluations, (iv) Fournir des informations permettant de renseigner les indicateurs de suivi du DI. </w:t>
      </w:r>
    </w:p>
    <w:p w:rsidR="00314B92" w:rsidRDefault="00AD5F81">
      <w:pPr>
        <w:pStyle w:val="Normal1"/>
        <w:jc w:val="both"/>
        <w:rPr>
          <w:b/>
          <w:color w:val="000000"/>
          <w:sz w:val="24"/>
          <w:szCs w:val="24"/>
        </w:rPr>
      </w:pPr>
      <w:r>
        <w:rPr>
          <w:b/>
          <w:color w:val="000000"/>
          <w:sz w:val="24"/>
          <w:szCs w:val="24"/>
        </w:rPr>
        <w:t xml:space="preserve">Les acteurs communautaires </w:t>
      </w:r>
    </w:p>
    <w:p w:rsidR="00314B92" w:rsidRDefault="00AD5F81">
      <w:pPr>
        <w:pStyle w:val="Normal1"/>
        <w:jc w:val="both"/>
        <w:rPr>
          <w:color w:val="000000"/>
          <w:sz w:val="24"/>
          <w:szCs w:val="24"/>
        </w:rPr>
      </w:pPr>
      <w:r>
        <w:rPr>
          <w:color w:val="000000"/>
          <w:sz w:val="24"/>
          <w:szCs w:val="24"/>
        </w:rPr>
        <w:t>Les acteurs communautaires auront pour rôle (i) d’améliorer la cou</w:t>
      </w:r>
      <w:r w:rsidR="00BD609C">
        <w:rPr>
          <w:color w:val="000000"/>
          <w:sz w:val="24"/>
          <w:szCs w:val="24"/>
        </w:rPr>
        <w:t>verture en interventions SRMNEA</w:t>
      </w:r>
      <w:r>
        <w:rPr>
          <w:color w:val="000000"/>
          <w:sz w:val="24"/>
          <w:szCs w:val="24"/>
        </w:rPr>
        <w:t xml:space="preserve">N, de la </w:t>
      </w:r>
      <w:r w:rsidR="009B5EB2" w:rsidRPr="009B5EB2">
        <w:rPr>
          <w:color w:val="000000"/>
          <w:sz w:val="24"/>
          <w:szCs w:val="24"/>
        </w:rPr>
        <w:t>pratique communautaire</w:t>
      </w:r>
      <w:r>
        <w:rPr>
          <w:color w:val="000000"/>
          <w:sz w:val="24"/>
          <w:szCs w:val="24"/>
        </w:rPr>
        <w:t xml:space="preserve">, pour les populations éloignées ou d’accès difficiles, populations déplacées, population vivant dans des zones d’insécurité (ii) de promouvoir les comportements favorables à la santé par la levée de pesanteurs </w:t>
      </w:r>
      <w:r w:rsidR="00BD609C">
        <w:rPr>
          <w:color w:val="000000"/>
          <w:sz w:val="24"/>
          <w:szCs w:val="24"/>
        </w:rPr>
        <w:t>socioculturelles</w:t>
      </w:r>
      <w:r>
        <w:rPr>
          <w:color w:val="000000"/>
          <w:sz w:val="24"/>
          <w:szCs w:val="24"/>
        </w:rPr>
        <w:t> et (iii) d’améliorer la demande et l’utilisation de services SRMNEA par l’information.</w:t>
      </w:r>
    </w:p>
    <w:p w:rsidR="00314B92" w:rsidRDefault="00AD5F81" w:rsidP="00100327">
      <w:pPr>
        <w:pStyle w:val="Normal1"/>
        <w:spacing w:after="0"/>
        <w:jc w:val="both"/>
        <w:rPr>
          <w:b/>
          <w:color w:val="000000"/>
          <w:sz w:val="24"/>
          <w:szCs w:val="24"/>
        </w:rPr>
      </w:pPr>
      <w:r>
        <w:rPr>
          <w:b/>
          <w:color w:val="000000"/>
          <w:sz w:val="24"/>
          <w:szCs w:val="24"/>
        </w:rPr>
        <w:t>Le secteur privé de santé</w:t>
      </w:r>
    </w:p>
    <w:p w:rsidR="006D2860" w:rsidRDefault="00AD5F81" w:rsidP="00100327">
      <w:pPr>
        <w:pStyle w:val="Normal1"/>
        <w:pBdr>
          <w:top w:val="nil"/>
          <w:left w:val="nil"/>
          <w:bottom w:val="nil"/>
          <w:right w:val="nil"/>
          <w:between w:val="nil"/>
        </w:pBdr>
        <w:spacing w:after="0"/>
        <w:jc w:val="both"/>
        <w:rPr>
          <w:color w:val="000000"/>
        </w:rPr>
      </w:pPr>
      <w:r>
        <w:rPr>
          <w:color w:val="000000"/>
          <w:sz w:val="24"/>
          <w:szCs w:val="24"/>
        </w:rPr>
        <w:t xml:space="preserve">La contribution </w:t>
      </w:r>
      <w:r w:rsidR="00100327">
        <w:rPr>
          <w:color w:val="000000"/>
          <w:sz w:val="24"/>
          <w:szCs w:val="24"/>
        </w:rPr>
        <w:t>du secteur privé de santé devra</w:t>
      </w:r>
      <w:r>
        <w:rPr>
          <w:color w:val="000000"/>
          <w:sz w:val="24"/>
          <w:szCs w:val="24"/>
        </w:rPr>
        <w:t xml:space="preserve"> être un des leviers pour accroître la couverture de la popula</w:t>
      </w:r>
      <w:r w:rsidR="00100327">
        <w:rPr>
          <w:color w:val="000000"/>
          <w:sz w:val="24"/>
          <w:szCs w:val="24"/>
        </w:rPr>
        <w:t>tion en interventions de SRMNEA</w:t>
      </w:r>
      <w:r>
        <w:rPr>
          <w:color w:val="000000"/>
          <w:sz w:val="24"/>
          <w:szCs w:val="24"/>
        </w:rPr>
        <w:t xml:space="preserve">N. Un certain nombre d’outils et de dispositifs existants pourraient être mieux exploités tels que le conventionnement, la contractualisation et/ou l’achat stratégique. </w:t>
      </w:r>
    </w:p>
    <w:p w:rsidR="006D2860" w:rsidRDefault="00AD5F81" w:rsidP="00100327">
      <w:pPr>
        <w:pStyle w:val="Normal1"/>
        <w:pBdr>
          <w:top w:val="nil"/>
          <w:left w:val="nil"/>
          <w:bottom w:val="nil"/>
          <w:right w:val="nil"/>
          <w:between w:val="nil"/>
        </w:pBdr>
        <w:spacing w:after="0"/>
        <w:jc w:val="both"/>
        <w:rPr>
          <w:color w:val="000000"/>
        </w:rPr>
      </w:pPr>
      <w:r>
        <w:rPr>
          <w:color w:val="000000"/>
          <w:sz w:val="24"/>
          <w:szCs w:val="24"/>
        </w:rPr>
        <w:t>Cette contribution pour être efficace, pourrait se faire à travers les 4 sous-secteurs sanitaires privés  à savoir (i) le sous-secteur sanitaire privé de soins, (ii) l’</w:t>
      </w:r>
      <w:r w:rsidR="00100327">
        <w:rPr>
          <w:color w:val="000000"/>
        </w:rPr>
        <w:t>o</w:t>
      </w:r>
      <w:r>
        <w:rPr>
          <w:color w:val="000000"/>
        </w:rPr>
        <w:t>ffre privée de formation professionnelle de santé (iii) l’offre privée pharmaceutique et de laboratoires et (iv) le sous-secteur des assurances et financement privé de la santé.</w:t>
      </w:r>
    </w:p>
    <w:p w:rsidR="006D2860" w:rsidRPr="00100327" w:rsidRDefault="00AD5F81" w:rsidP="00100327">
      <w:pPr>
        <w:pStyle w:val="Normal1"/>
        <w:pBdr>
          <w:top w:val="nil"/>
          <w:left w:val="nil"/>
          <w:bottom w:val="nil"/>
          <w:right w:val="nil"/>
          <w:between w:val="nil"/>
        </w:pBdr>
        <w:jc w:val="both"/>
        <w:rPr>
          <w:color w:val="000000"/>
        </w:rPr>
      </w:pPr>
      <w:r>
        <w:rPr>
          <w:color w:val="000000"/>
          <w:sz w:val="24"/>
          <w:szCs w:val="24"/>
        </w:rPr>
        <w:t>Pour ce faire, (i) une harmonisation des établissements sanitaires privé</w:t>
      </w:r>
      <w:r w:rsidR="00100327">
        <w:rPr>
          <w:color w:val="000000"/>
          <w:sz w:val="24"/>
          <w:szCs w:val="24"/>
        </w:rPr>
        <w:t>s par le conventionnement et (ii)</w:t>
      </w:r>
      <w:r>
        <w:rPr>
          <w:color w:val="000000"/>
          <w:sz w:val="24"/>
          <w:szCs w:val="24"/>
        </w:rPr>
        <w:t xml:space="preserve"> la création d’un régime juridique spécifique au secteur privé de santé s’avère nécessaire.   </w:t>
      </w:r>
    </w:p>
    <w:p w:rsidR="00314B92" w:rsidRDefault="00AD5F81" w:rsidP="00100327">
      <w:pPr>
        <w:pStyle w:val="Normal1"/>
        <w:spacing w:after="0"/>
        <w:jc w:val="both"/>
        <w:rPr>
          <w:b/>
          <w:color w:val="000000"/>
          <w:sz w:val="24"/>
          <w:szCs w:val="24"/>
        </w:rPr>
      </w:pPr>
      <w:r>
        <w:rPr>
          <w:b/>
          <w:color w:val="000000"/>
          <w:sz w:val="24"/>
          <w:szCs w:val="24"/>
        </w:rPr>
        <w:t>Le secteur privé non sanitaire</w:t>
      </w:r>
    </w:p>
    <w:p w:rsidR="006D2860" w:rsidRDefault="00AD5F81" w:rsidP="00100327">
      <w:pPr>
        <w:pStyle w:val="Normal1"/>
        <w:pBdr>
          <w:top w:val="nil"/>
          <w:left w:val="nil"/>
          <w:bottom w:val="nil"/>
          <w:right w:val="nil"/>
          <w:between w:val="nil"/>
        </w:pBdr>
        <w:spacing w:before="120" w:after="0"/>
        <w:jc w:val="both"/>
        <w:rPr>
          <w:color w:val="000000"/>
        </w:rPr>
      </w:pPr>
      <w:r>
        <w:rPr>
          <w:color w:val="000000"/>
          <w:sz w:val="24"/>
          <w:szCs w:val="24"/>
        </w:rPr>
        <w:t>Le secteur privé non sanitaire</w:t>
      </w:r>
      <w:r w:rsidR="00100327">
        <w:rPr>
          <w:color w:val="000000"/>
          <w:sz w:val="24"/>
          <w:szCs w:val="24"/>
        </w:rPr>
        <w:t>,</w:t>
      </w:r>
      <w:r>
        <w:rPr>
          <w:color w:val="000000"/>
          <w:sz w:val="24"/>
          <w:szCs w:val="24"/>
        </w:rPr>
        <w:t xml:space="preserve"> à travers</w:t>
      </w:r>
      <w:r>
        <w:rPr>
          <w:b/>
          <w:color w:val="000000"/>
          <w:sz w:val="24"/>
          <w:szCs w:val="24"/>
        </w:rPr>
        <w:t xml:space="preserve"> </w:t>
      </w:r>
      <w:r>
        <w:rPr>
          <w:color w:val="000000"/>
        </w:rPr>
        <w:t>le sous-secteur des assurances et financement privé de la santé</w:t>
      </w:r>
      <w:r w:rsidR="00100327">
        <w:rPr>
          <w:color w:val="000000"/>
        </w:rPr>
        <w:t>,</w:t>
      </w:r>
      <w:r>
        <w:rPr>
          <w:b/>
          <w:color w:val="000000"/>
          <w:sz w:val="24"/>
          <w:szCs w:val="24"/>
        </w:rPr>
        <w:t xml:space="preserve"> </w:t>
      </w:r>
      <w:r>
        <w:rPr>
          <w:color w:val="000000"/>
          <w:sz w:val="24"/>
          <w:szCs w:val="24"/>
        </w:rPr>
        <w:t>peut contribuer à la mise en œuvre du DI à travers la participation dans les mécanismes de partage de risque maladie et l’investissement dans le secteur de la santé.</w:t>
      </w:r>
    </w:p>
    <w:p w:rsidR="006D2860" w:rsidRDefault="00AD5F81" w:rsidP="00100327">
      <w:pPr>
        <w:pStyle w:val="Normal1"/>
        <w:pBdr>
          <w:top w:val="nil"/>
          <w:left w:val="nil"/>
          <w:bottom w:val="nil"/>
          <w:right w:val="nil"/>
          <w:between w:val="nil"/>
        </w:pBdr>
        <w:spacing w:before="120" w:after="0"/>
        <w:jc w:val="both"/>
        <w:rPr>
          <w:color w:val="000000"/>
        </w:rPr>
      </w:pPr>
      <w:r>
        <w:rPr>
          <w:color w:val="000000"/>
          <w:sz w:val="24"/>
          <w:szCs w:val="24"/>
        </w:rPr>
        <w:t xml:space="preserve">En outre, il pourrait participer à la sécurisation des financements et à la mobilisation des ressources internes à travers des mécanismes innovants. </w:t>
      </w:r>
    </w:p>
    <w:p w:rsidR="006D2860" w:rsidRPr="00100327" w:rsidRDefault="00AD5F81" w:rsidP="00100327">
      <w:pPr>
        <w:pStyle w:val="Normal1"/>
        <w:pBdr>
          <w:top w:val="nil"/>
          <w:left w:val="nil"/>
          <w:bottom w:val="nil"/>
          <w:right w:val="nil"/>
          <w:between w:val="nil"/>
        </w:pBdr>
        <w:spacing w:before="120"/>
        <w:jc w:val="both"/>
        <w:rPr>
          <w:color w:val="000000"/>
        </w:rPr>
      </w:pPr>
      <w:r>
        <w:rPr>
          <w:color w:val="000000"/>
          <w:sz w:val="24"/>
          <w:szCs w:val="24"/>
        </w:rPr>
        <w:t>Les modalités pour les encourager, comme la création d’un environnement des affaires favorable, des réformes fiscales en faveur des donations et un appui-accompagnement conséquent au secteur privé, sont à discuter avec le Gouvernement dans les cadres statutaire</w:t>
      </w:r>
      <w:r w:rsidR="00100327">
        <w:rPr>
          <w:color w:val="000000"/>
          <w:sz w:val="24"/>
          <w:szCs w:val="24"/>
        </w:rPr>
        <w:t>s tels que les rencontres Etat-S</w:t>
      </w:r>
      <w:r>
        <w:rPr>
          <w:color w:val="000000"/>
          <w:sz w:val="24"/>
          <w:szCs w:val="24"/>
        </w:rPr>
        <w:t xml:space="preserve">ecteur privé. </w:t>
      </w:r>
    </w:p>
    <w:p w:rsidR="00314B92" w:rsidRDefault="00AD5F81" w:rsidP="00100327">
      <w:pPr>
        <w:pStyle w:val="Normal1"/>
        <w:spacing w:after="0"/>
        <w:jc w:val="both"/>
        <w:rPr>
          <w:b/>
          <w:color w:val="000000"/>
          <w:sz w:val="24"/>
          <w:szCs w:val="24"/>
        </w:rPr>
      </w:pPr>
      <w:r>
        <w:rPr>
          <w:b/>
          <w:color w:val="000000"/>
          <w:sz w:val="24"/>
          <w:szCs w:val="24"/>
        </w:rPr>
        <w:t>La société civile</w:t>
      </w:r>
    </w:p>
    <w:p w:rsidR="00314B92" w:rsidRPr="009B2707" w:rsidRDefault="00AD5F81">
      <w:pPr>
        <w:pStyle w:val="Normal1"/>
        <w:jc w:val="both"/>
        <w:rPr>
          <w:sz w:val="24"/>
          <w:szCs w:val="24"/>
        </w:rPr>
      </w:pPr>
      <w:r>
        <w:rPr>
          <w:color w:val="000000"/>
          <w:sz w:val="24"/>
          <w:szCs w:val="24"/>
        </w:rPr>
        <w:t xml:space="preserve">L’implication de la société civile sera importante en particulier </w:t>
      </w:r>
      <w:r w:rsidR="00100327">
        <w:rPr>
          <w:color w:val="000000"/>
          <w:sz w:val="24"/>
          <w:szCs w:val="24"/>
        </w:rPr>
        <w:t xml:space="preserve">sur </w:t>
      </w:r>
      <w:r>
        <w:rPr>
          <w:color w:val="000000"/>
          <w:sz w:val="24"/>
          <w:szCs w:val="24"/>
        </w:rPr>
        <w:t>les aspects suivants : (i) l</w:t>
      </w:r>
      <w:r>
        <w:rPr>
          <w:sz w:val="24"/>
          <w:szCs w:val="24"/>
        </w:rPr>
        <w:t>’amélioration de l’offre de services au n</w:t>
      </w:r>
      <w:r w:rsidR="00100327">
        <w:rPr>
          <w:sz w:val="24"/>
          <w:szCs w:val="24"/>
        </w:rPr>
        <w:t xml:space="preserve">iveau des zones défavorisées, </w:t>
      </w:r>
      <w:r>
        <w:rPr>
          <w:sz w:val="24"/>
          <w:szCs w:val="24"/>
        </w:rPr>
        <w:t>d’accès difficile</w:t>
      </w:r>
      <w:r w:rsidR="00100327">
        <w:rPr>
          <w:sz w:val="24"/>
          <w:szCs w:val="24"/>
        </w:rPr>
        <w:t xml:space="preserve"> ou des zones d’insécurité</w:t>
      </w:r>
      <w:r>
        <w:rPr>
          <w:sz w:val="24"/>
          <w:szCs w:val="24"/>
        </w:rPr>
        <w:t xml:space="preserve">, (ii) </w:t>
      </w:r>
      <w:r>
        <w:rPr>
          <w:color w:val="000000"/>
          <w:sz w:val="24"/>
          <w:szCs w:val="24"/>
        </w:rPr>
        <w:t>l</w:t>
      </w:r>
      <w:r>
        <w:rPr>
          <w:sz w:val="24"/>
          <w:szCs w:val="24"/>
        </w:rPr>
        <w:t>a mobilisation pour créer d’un envi</w:t>
      </w:r>
      <w:r w:rsidR="00100327">
        <w:rPr>
          <w:sz w:val="24"/>
          <w:szCs w:val="24"/>
        </w:rPr>
        <w:t>ronnement favorable à la SRMNEA</w:t>
      </w:r>
      <w:r>
        <w:rPr>
          <w:sz w:val="24"/>
          <w:szCs w:val="24"/>
        </w:rPr>
        <w:t>N, (iii) la veille citoyenne pour le suivi et le contrôle de l’effectivité des engagements pris par les différents acteurs, le niveau de satisfaction des populations et le respect des droits des populations pauvres défavorisées et (iv) la mobilisation des ressources locales ou externes dans la mise en œuvre du dossier d’Investissement.</w:t>
      </w:r>
    </w:p>
    <w:p w:rsidR="009B2707" w:rsidRDefault="009B2707" w:rsidP="009B2707">
      <w:pPr>
        <w:pStyle w:val="Normal1"/>
        <w:spacing w:after="0"/>
        <w:jc w:val="both"/>
        <w:rPr>
          <w:b/>
          <w:color w:val="000000"/>
          <w:sz w:val="24"/>
          <w:szCs w:val="24"/>
        </w:rPr>
      </w:pPr>
    </w:p>
    <w:p w:rsidR="009B2707" w:rsidRDefault="009B2707" w:rsidP="009B2707">
      <w:pPr>
        <w:pStyle w:val="Normal1"/>
        <w:spacing w:after="0"/>
        <w:jc w:val="both"/>
        <w:rPr>
          <w:b/>
          <w:color w:val="000000"/>
          <w:sz w:val="24"/>
          <w:szCs w:val="24"/>
        </w:rPr>
      </w:pPr>
    </w:p>
    <w:p w:rsidR="00314B92" w:rsidRDefault="00AD5F81" w:rsidP="009B2707">
      <w:pPr>
        <w:pStyle w:val="Normal1"/>
        <w:spacing w:after="0"/>
        <w:jc w:val="both"/>
        <w:rPr>
          <w:b/>
          <w:color w:val="000000"/>
          <w:sz w:val="24"/>
          <w:szCs w:val="24"/>
        </w:rPr>
      </w:pPr>
      <w:r>
        <w:rPr>
          <w:b/>
          <w:color w:val="000000"/>
          <w:sz w:val="24"/>
          <w:szCs w:val="24"/>
        </w:rPr>
        <w:t>Les partenaires techniques et financiers</w:t>
      </w:r>
    </w:p>
    <w:p w:rsidR="00314B92" w:rsidRDefault="00AD5F81" w:rsidP="009B2707">
      <w:pPr>
        <w:pStyle w:val="Normal1"/>
        <w:spacing w:after="0"/>
        <w:jc w:val="both"/>
        <w:rPr>
          <w:sz w:val="24"/>
          <w:szCs w:val="24"/>
        </w:rPr>
      </w:pPr>
      <w:r>
        <w:rPr>
          <w:sz w:val="24"/>
          <w:szCs w:val="24"/>
        </w:rPr>
        <w:t>Les PTF auront pour rôle de (i) accompagner le gouvernement dans son plaidoyer pour la mobilisation des ressources techniques et fi</w:t>
      </w:r>
      <w:r w:rsidR="009B2707">
        <w:rPr>
          <w:sz w:val="24"/>
          <w:szCs w:val="24"/>
        </w:rPr>
        <w:t>nancières pour la mise en œuvre, (i) s’aligner</w:t>
      </w:r>
      <w:r>
        <w:rPr>
          <w:sz w:val="24"/>
          <w:szCs w:val="24"/>
        </w:rPr>
        <w:t xml:space="preserve"> sur les priorités du DI, (ii</w:t>
      </w:r>
      <w:r w:rsidR="009B2707">
        <w:rPr>
          <w:sz w:val="24"/>
          <w:szCs w:val="24"/>
        </w:rPr>
        <w:t>i</w:t>
      </w:r>
      <w:r>
        <w:rPr>
          <w:sz w:val="24"/>
          <w:szCs w:val="24"/>
        </w:rPr>
        <w:t xml:space="preserve">) honorer leurs engagements en respectant les volumes, l’échéancier et la prévisibilité </w:t>
      </w:r>
      <w:r w:rsidR="009B2707">
        <w:rPr>
          <w:sz w:val="24"/>
          <w:szCs w:val="24"/>
        </w:rPr>
        <w:t>des ressources annoncées et (iv</w:t>
      </w:r>
      <w:r>
        <w:rPr>
          <w:sz w:val="24"/>
          <w:szCs w:val="24"/>
        </w:rPr>
        <w:t>) part</w:t>
      </w:r>
      <w:r w:rsidR="009B2707">
        <w:rPr>
          <w:sz w:val="24"/>
          <w:szCs w:val="24"/>
        </w:rPr>
        <w:t>iciper aux exercices de suivi- évaluation</w:t>
      </w:r>
      <w:r>
        <w:rPr>
          <w:sz w:val="24"/>
          <w:szCs w:val="24"/>
        </w:rPr>
        <w:t xml:space="preserve"> dans le cadre de la redevabilité.</w:t>
      </w:r>
    </w:p>
    <w:p w:rsidR="006D2860" w:rsidRDefault="006D2860">
      <w:pPr>
        <w:pStyle w:val="Normal1"/>
        <w:spacing w:after="0"/>
      </w:pPr>
    </w:p>
    <w:p w:rsidR="00314B92" w:rsidRPr="00314B92" w:rsidRDefault="009B5EB2" w:rsidP="002F683C">
      <w:pPr>
        <w:pStyle w:val="Normal1"/>
        <w:numPr>
          <w:ilvl w:val="2"/>
          <w:numId w:val="60"/>
        </w:numPr>
        <w:spacing w:after="0"/>
        <w:jc w:val="both"/>
        <w:rPr>
          <w:b/>
          <w:sz w:val="24"/>
          <w:szCs w:val="24"/>
        </w:rPr>
      </w:pPr>
      <w:r w:rsidRPr="009B5EB2">
        <w:rPr>
          <w:b/>
          <w:sz w:val="24"/>
          <w:szCs w:val="24"/>
        </w:rPr>
        <w:t>ETAT CIVIL ET STATISTIQUES VITALES</w:t>
      </w:r>
    </w:p>
    <w:p w:rsidR="00314B92" w:rsidRDefault="00AD5F81">
      <w:pPr>
        <w:pStyle w:val="Normal1"/>
        <w:spacing w:after="0"/>
        <w:jc w:val="both"/>
        <w:rPr>
          <w:b/>
          <w:sz w:val="24"/>
          <w:szCs w:val="24"/>
        </w:rPr>
      </w:pPr>
      <w:r>
        <w:rPr>
          <w:b/>
          <w:sz w:val="24"/>
          <w:szCs w:val="24"/>
        </w:rPr>
        <w:t>Niveau central</w:t>
      </w:r>
    </w:p>
    <w:p w:rsidR="00314B92" w:rsidRDefault="009B2707">
      <w:pPr>
        <w:pStyle w:val="Normal1"/>
        <w:spacing w:after="0"/>
        <w:jc w:val="both"/>
        <w:rPr>
          <w:sz w:val="24"/>
          <w:szCs w:val="24"/>
        </w:rPr>
      </w:pPr>
      <w:r>
        <w:rPr>
          <w:sz w:val="24"/>
          <w:szCs w:val="24"/>
        </w:rPr>
        <w:t xml:space="preserve"> Le Ministère de l’Administration Territoriale, de la Décentralisation et de la Sécurité I</w:t>
      </w:r>
      <w:r w:rsidR="00AD5F81">
        <w:rPr>
          <w:sz w:val="24"/>
          <w:szCs w:val="24"/>
        </w:rPr>
        <w:t xml:space="preserve">ntérieure assure (i) la tutelle des collectivités territoriales, (ii) la formation des agents des services de l’état civil, </w:t>
      </w:r>
      <w:r>
        <w:rPr>
          <w:sz w:val="24"/>
          <w:szCs w:val="24"/>
        </w:rPr>
        <w:t xml:space="preserve">et </w:t>
      </w:r>
      <w:r w:rsidR="00AD5F81">
        <w:rPr>
          <w:sz w:val="24"/>
          <w:szCs w:val="24"/>
        </w:rPr>
        <w:t>(iii) la responsabilité administrative de l’organisa</w:t>
      </w:r>
      <w:r>
        <w:rPr>
          <w:sz w:val="24"/>
          <w:szCs w:val="24"/>
        </w:rPr>
        <w:t>tion du système de l’état civil.</w:t>
      </w:r>
    </w:p>
    <w:p w:rsidR="00314B92" w:rsidRDefault="009B2707">
      <w:pPr>
        <w:pStyle w:val="Normal1"/>
        <w:spacing w:after="0"/>
        <w:jc w:val="both"/>
        <w:rPr>
          <w:sz w:val="24"/>
          <w:szCs w:val="24"/>
        </w:rPr>
      </w:pPr>
      <w:r>
        <w:rPr>
          <w:sz w:val="24"/>
          <w:szCs w:val="24"/>
        </w:rPr>
        <w:t>Le Ministère en charge de la J</w:t>
      </w:r>
      <w:r w:rsidR="00AD5F81">
        <w:rPr>
          <w:sz w:val="24"/>
          <w:szCs w:val="24"/>
        </w:rPr>
        <w:t>ustice veille au respect des procédures et à la légalité des actes délivrés.</w:t>
      </w:r>
    </w:p>
    <w:p w:rsidR="00314B92" w:rsidRDefault="009B2707">
      <w:pPr>
        <w:pStyle w:val="Normal1"/>
        <w:spacing w:after="0"/>
        <w:jc w:val="both"/>
        <w:rPr>
          <w:sz w:val="24"/>
          <w:szCs w:val="24"/>
        </w:rPr>
      </w:pPr>
      <w:r>
        <w:rPr>
          <w:sz w:val="24"/>
          <w:szCs w:val="24"/>
        </w:rPr>
        <w:t>Le Ministère en charge des Affaires E</w:t>
      </w:r>
      <w:r w:rsidR="00AD5F81">
        <w:rPr>
          <w:sz w:val="24"/>
          <w:szCs w:val="24"/>
        </w:rPr>
        <w:t>trangères s’occupe de l’état civil des burkinabè de l’extérieur, à travers les représentations diplomatiques et consulaires territorialement compétents.</w:t>
      </w:r>
    </w:p>
    <w:p w:rsidR="00314B92" w:rsidRDefault="009B2707">
      <w:pPr>
        <w:pStyle w:val="Normal1"/>
        <w:spacing w:after="0"/>
        <w:jc w:val="both"/>
        <w:rPr>
          <w:sz w:val="24"/>
          <w:szCs w:val="24"/>
        </w:rPr>
      </w:pPr>
      <w:r>
        <w:rPr>
          <w:sz w:val="24"/>
          <w:szCs w:val="24"/>
        </w:rPr>
        <w:t>Le Ministère en charge de la S</w:t>
      </w:r>
      <w:r w:rsidR="00AD5F81">
        <w:rPr>
          <w:sz w:val="24"/>
          <w:szCs w:val="24"/>
        </w:rPr>
        <w:t xml:space="preserve">anté a la responsabilité de la délivrance des attestations de naissance et de décès survenus dans les formations sanitaires publiques et privées. </w:t>
      </w:r>
    </w:p>
    <w:p w:rsidR="00314B92" w:rsidRDefault="009B2707">
      <w:pPr>
        <w:pStyle w:val="Normal1"/>
        <w:jc w:val="both"/>
        <w:rPr>
          <w:sz w:val="24"/>
          <w:szCs w:val="24"/>
        </w:rPr>
      </w:pPr>
      <w:r>
        <w:rPr>
          <w:sz w:val="24"/>
          <w:szCs w:val="24"/>
        </w:rPr>
        <w:t>Le ministère en charge des F</w:t>
      </w:r>
      <w:r w:rsidR="00AD5F81">
        <w:rPr>
          <w:sz w:val="24"/>
          <w:szCs w:val="24"/>
        </w:rPr>
        <w:t>inances a la resp</w:t>
      </w:r>
      <w:r>
        <w:rPr>
          <w:sz w:val="24"/>
          <w:szCs w:val="24"/>
        </w:rPr>
        <w:t>onsabilité sur la question des Statistiques N</w:t>
      </w:r>
      <w:r w:rsidR="00AD5F81">
        <w:rPr>
          <w:sz w:val="24"/>
          <w:szCs w:val="24"/>
        </w:rPr>
        <w:t xml:space="preserve">ationales à travers l’INSD. </w:t>
      </w:r>
    </w:p>
    <w:p w:rsidR="00314B92" w:rsidRDefault="00AD5F81">
      <w:pPr>
        <w:pStyle w:val="Normal1"/>
        <w:spacing w:after="0"/>
        <w:jc w:val="both"/>
        <w:rPr>
          <w:b/>
          <w:sz w:val="24"/>
          <w:szCs w:val="24"/>
        </w:rPr>
      </w:pPr>
      <w:r>
        <w:rPr>
          <w:b/>
          <w:sz w:val="24"/>
          <w:szCs w:val="24"/>
        </w:rPr>
        <w:t>Au niveau opérationnel</w:t>
      </w:r>
    </w:p>
    <w:p w:rsidR="00314B92" w:rsidRDefault="009B2707">
      <w:pPr>
        <w:pStyle w:val="Normal1"/>
        <w:spacing w:after="0"/>
        <w:jc w:val="both"/>
        <w:rPr>
          <w:sz w:val="24"/>
          <w:szCs w:val="24"/>
        </w:rPr>
      </w:pPr>
      <w:r>
        <w:rPr>
          <w:sz w:val="24"/>
          <w:szCs w:val="24"/>
        </w:rPr>
        <w:t>Les C</w:t>
      </w:r>
      <w:r w:rsidR="00AD5F81">
        <w:rPr>
          <w:sz w:val="24"/>
          <w:szCs w:val="24"/>
        </w:rPr>
        <w:t xml:space="preserve">entres désignés comme Centres principaux sont situés aux sièges des communes et des arrondissements et des missions diplomatiques et consulaires. Le Maire ou le Chef de </w:t>
      </w:r>
      <w:r>
        <w:rPr>
          <w:sz w:val="24"/>
          <w:szCs w:val="24"/>
        </w:rPr>
        <w:t>mission diplomatique ou consulaire</w:t>
      </w:r>
      <w:r w:rsidR="00AD5F81">
        <w:rPr>
          <w:sz w:val="24"/>
          <w:szCs w:val="24"/>
        </w:rPr>
        <w:t xml:space="preserve"> joue le</w:t>
      </w:r>
      <w:r>
        <w:rPr>
          <w:sz w:val="24"/>
          <w:szCs w:val="24"/>
        </w:rPr>
        <w:t xml:space="preserve"> rôle d’Officier d’état civil responsable de</w:t>
      </w:r>
      <w:r w:rsidR="00AD5F81">
        <w:rPr>
          <w:sz w:val="24"/>
          <w:szCs w:val="24"/>
        </w:rPr>
        <w:t xml:space="preserve"> la tenue du registre des naissances, du registre des mariages, du registre des décès et du registre des actes divers (certificat de vie, certificat de résidence, certificat de non remariage etc</w:t>
      </w:r>
      <w:r>
        <w:rPr>
          <w:sz w:val="24"/>
          <w:szCs w:val="24"/>
        </w:rPr>
        <w:t>.)</w:t>
      </w:r>
      <w:r w:rsidR="00AD5F81">
        <w:rPr>
          <w:sz w:val="24"/>
          <w:szCs w:val="24"/>
        </w:rPr>
        <w:t xml:space="preserve">. </w:t>
      </w:r>
    </w:p>
    <w:p w:rsidR="00314B92" w:rsidRDefault="009B2707" w:rsidP="009B2707">
      <w:pPr>
        <w:pStyle w:val="Normal1"/>
        <w:spacing w:after="0"/>
        <w:jc w:val="both"/>
        <w:rPr>
          <w:sz w:val="24"/>
          <w:szCs w:val="24"/>
        </w:rPr>
      </w:pPr>
      <w:r>
        <w:rPr>
          <w:sz w:val="24"/>
          <w:szCs w:val="24"/>
        </w:rPr>
        <w:t>Les C</w:t>
      </w:r>
      <w:r w:rsidR="00AD5F81">
        <w:rPr>
          <w:sz w:val="24"/>
          <w:szCs w:val="24"/>
        </w:rPr>
        <w:t>entres secondaires</w:t>
      </w:r>
      <w:r>
        <w:rPr>
          <w:sz w:val="24"/>
          <w:szCs w:val="24"/>
        </w:rPr>
        <w:t>,</w:t>
      </w:r>
      <w:r w:rsidR="00AD5F81">
        <w:rPr>
          <w:sz w:val="24"/>
          <w:szCs w:val="24"/>
        </w:rPr>
        <w:t xml:space="preserve"> rattachés au centre principal de la commune dont ils relèvent</w:t>
      </w:r>
      <w:r>
        <w:rPr>
          <w:sz w:val="24"/>
          <w:szCs w:val="24"/>
        </w:rPr>
        <w:t>,</w:t>
      </w:r>
      <w:r w:rsidR="00AD5F81">
        <w:rPr>
          <w:sz w:val="24"/>
          <w:szCs w:val="24"/>
        </w:rPr>
        <w:t xml:space="preserve"> sont situés dans les villages, les secteurs des villes et auprès des formations sanitaires et ont la responsabilité de la tenue du registre des naissances et du registre des décès.</w:t>
      </w:r>
    </w:p>
    <w:p w:rsidR="00314B92" w:rsidRDefault="00AD5F81" w:rsidP="009B2707">
      <w:pPr>
        <w:pStyle w:val="Normal1"/>
        <w:jc w:val="both"/>
        <w:rPr>
          <w:b/>
          <w:sz w:val="24"/>
          <w:szCs w:val="24"/>
        </w:rPr>
      </w:pPr>
      <w:r>
        <w:rPr>
          <w:sz w:val="24"/>
          <w:szCs w:val="24"/>
        </w:rPr>
        <w:t xml:space="preserve">Les tribunaux départementaux et d’arrondissements dans l’organisation judiciaire interviennent dans les mêmes matières que celles des centres d’état civil. </w:t>
      </w:r>
    </w:p>
    <w:p w:rsidR="00314B92" w:rsidRDefault="00AD5F81" w:rsidP="005D02C3">
      <w:pPr>
        <w:pStyle w:val="Normal1"/>
        <w:numPr>
          <w:ilvl w:val="2"/>
          <w:numId w:val="60"/>
        </w:numPr>
        <w:pBdr>
          <w:top w:val="nil"/>
          <w:left w:val="nil"/>
          <w:bottom w:val="nil"/>
          <w:right w:val="nil"/>
          <w:between w:val="nil"/>
        </w:pBdr>
        <w:spacing w:after="0"/>
        <w:jc w:val="both"/>
        <w:rPr>
          <w:b/>
          <w:color w:val="000000"/>
          <w:sz w:val="24"/>
          <w:szCs w:val="24"/>
        </w:rPr>
      </w:pPr>
      <w:r>
        <w:rPr>
          <w:b/>
          <w:color w:val="000000"/>
          <w:sz w:val="24"/>
          <w:szCs w:val="24"/>
        </w:rPr>
        <w:t xml:space="preserve">L’exécution technique et financière </w:t>
      </w:r>
    </w:p>
    <w:p w:rsidR="00314B92" w:rsidRDefault="00AD5F81" w:rsidP="005D02C3">
      <w:pPr>
        <w:pStyle w:val="Normal1"/>
        <w:numPr>
          <w:ilvl w:val="3"/>
          <w:numId w:val="60"/>
        </w:numPr>
        <w:pBdr>
          <w:top w:val="nil"/>
          <w:left w:val="nil"/>
          <w:bottom w:val="nil"/>
          <w:right w:val="nil"/>
          <w:between w:val="nil"/>
        </w:pBdr>
        <w:spacing w:after="0"/>
        <w:jc w:val="both"/>
        <w:rPr>
          <w:b/>
          <w:color w:val="000000"/>
          <w:sz w:val="24"/>
          <w:szCs w:val="24"/>
        </w:rPr>
      </w:pPr>
      <w:r>
        <w:rPr>
          <w:b/>
          <w:color w:val="000000"/>
          <w:sz w:val="24"/>
          <w:szCs w:val="24"/>
        </w:rPr>
        <w:t>Planification</w:t>
      </w:r>
    </w:p>
    <w:p w:rsidR="00314B92" w:rsidRDefault="00AD5F81">
      <w:pPr>
        <w:pStyle w:val="Normal1"/>
        <w:pBdr>
          <w:top w:val="nil"/>
          <w:left w:val="nil"/>
          <w:bottom w:val="nil"/>
          <w:right w:val="nil"/>
          <w:between w:val="nil"/>
        </w:pBdr>
        <w:tabs>
          <w:tab w:val="center" w:pos="4536"/>
          <w:tab w:val="right" w:pos="9072"/>
        </w:tabs>
        <w:spacing w:after="240"/>
        <w:jc w:val="both"/>
        <w:rPr>
          <w:color w:val="000000"/>
          <w:sz w:val="24"/>
          <w:szCs w:val="24"/>
        </w:rPr>
      </w:pPr>
      <w:r>
        <w:rPr>
          <w:color w:val="000000"/>
          <w:sz w:val="24"/>
          <w:szCs w:val="24"/>
        </w:rPr>
        <w:t xml:space="preserve">La planification pour la mise en œuvre de la stratégie de réduction de la morbidité et de la mortalité maternelle, néo-natale, infanto-juvénile et de l’adolescent/jeunes sera basée sur l’approche Gestion axée sur les résultats (GAR) et se fera à travers essentiellement deux outils de planification adoptés par le secteur santé au Burkina à savoir (i) la planification </w:t>
      </w:r>
      <w:r w:rsidR="009B2707">
        <w:rPr>
          <w:color w:val="000000"/>
          <w:sz w:val="24"/>
          <w:szCs w:val="24"/>
        </w:rPr>
        <w:t xml:space="preserve">triennale glissante, </w:t>
      </w:r>
      <w:r>
        <w:rPr>
          <w:color w:val="000000"/>
          <w:sz w:val="24"/>
          <w:szCs w:val="24"/>
        </w:rPr>
        <w:t>(ii) les plans annu</w:t>
      </w:r>
      <w:r w:rsidR="009B2707">
        <w:rPr>
          <w:color w:val="000000"/>
          <w:sz w:val="24"/>
          <w:szCs w:val="24"/>
        </w:rPr>
        <w:t>els d’action à tous les niveaux et (iii)</w:t>
      </w:r>
      <w:r>
        <w:rPr>
          <w:color w:val="000000"/>
          <w:sz w:val="24"/>
          <w:szCs w:val="24"/>
        </w:rPr>
        <w:t xml:space="preserve"> les projets d’établissement des hôpitaux.</w:t>
      </w:r>
    </w:p>
    <w:p w:rsidR="00314B92" w:rsidRDefault="00AD5F81" w:rsidP="005D02C3">
      <w:pPr>
        <w:pStyle w:val="Normal1"/>
        <w:numPr>
          <w:ilvl w:val="3"/>
          <w:numId w:val="60"/>
        </w:numPr>
        <w:pBdr>
          <w:top w:val="nil"/>
          <w:left w:val="nil"/>
          <w:bottom w:val="nil"/>
          <w:right w:val="nil"/>
          <w:between w:val="nil"/>
        </w:pBdr>
        <w:spacing w:after="120"/>
        <w:jc w:val="both"/>
        <w:rPr>
          <w:b/>
          <w:color w:val="000000"/>
          <w:sz w:val="24"/>
          <w:szCs w:val="24"/>
        </w:rPr>
      </w:pPr>
      <w:r>
        <w:rPr>
          <w:b/>
          <w:color w:val="000000"/>
          <w:sz w:val="24"/>
          <w:szCs w:val="24"/>
        </w:rPr>
        <w:t>Exécution technique</w:t>
      </w:r>
    </w:p>
    <w:p w:rsidR="00314B92" w:rsidRDefault="00AD5F81" w:rsidP="009B2707">
      <w:pPr>
        <w:pStyle w:val="Normal1"/>
        <w:spacing w:after="0"/>
        <w:jc w:val="both"/>
        <w:rPr>
          <w:sz w:val="24"/>
          <w:szCs w:val="24"/>
        </w:rPr>
      </w:pPr>
      <w:r>
        <w:rPr>
          <w:sz w:val="24"/>
          <w:szCs w:val="24"/>
        </w:rPr>
        <w:t>Les responsables techniques aux différents niveaux vérifient l’alignement des plans opérationnels sur la stratégie, identifient les progrès et les goulots d’étranglement dans l’exécution des activités dans un rapport qui sera présenté au CSD.</w:t>
      </w:r>
    </w:p>
    <w:p w:rsidR="00314B92" w:rsidRDefault="00AD5F81" w:rsidP="009B2707">
      <w:pPr>
        <w:pStyle w:val="Normal1"/>
        <w:spacing w:after="0"/>
        <w:jc w:val="both"/>
        <w:rPr>
          <w:sz w:val="24"/>
          <w:szCs w:val="24"/>
        </w:rPr>
      </w:pPr>
      <w:r>
        <w:rPr>
          <w:sz w:val="24"/>
          <w:szCs w:val="24"/>
        </w:rPr>
        <w:t>Les équipes cadre de district coordonnent mensuellement avec les collectivités locales et les acteurs communautaires, la répartition des tâches logistiques, de gestion de personnel, de financement.</w:t>
      </w:r>
    </w:p>
    <w:p w:rsidR="006D2860" w:rsidRDefault="009B5EB2" w:rsidP="009B2707">
      <w:pPr>
        <w:pStyle w:val="Normal1"/>
        <w:spacing w:after="0"/>
        <w:jc w:val="both"/>
        <w:rPr>
          <w:sz w:val="24"/>
          <w:szCs w:val="24"/>
        </w:rPr>
      </w:pPr>
      <w:r w:rsidRPr="009B5EB2">
        <w:rPr>
          <w:sz w:val="24"/>
          <w:szCs w:val="24"/>
        </w:rPr>
        <w:t xml:space="preserve">Par ailleurs, pour la stratégie de mise en œuvre d'activités de SRMNEA-N au profit des populations affectées par la fermeture des centres de santé, elle consiste d'une part, à mettre en œuvre le Dispositif Minimum d'Urgence en Santé Sexuelle et Reproductive (DMU) en situation de crise, et d'autre part, à prévenir et à apporter une réponse aux violences basées sur le genre. </w:t>
      </w:r>
      <w:r w:rsidR="00AD5F81">
        <w:rPr>
          <w:sz w:val="24"/>
          <w:szCs w:val="24"/>
        </w:rPr>
        <w:t>E</w:t>
      </w:r>
      <w:r w:rsidRPr="009B5EB2">
        <w:rPr>
          <w:sz w:val="24"/>
          <w:szCs w:val="24"/>
        </w:rPr>
        <w:t xml:space="preserve">lle consistera prioritairement à l'acquisition de kits de santé sexuelle et de la reproduction, de kits de dignité, au renforcement des capacités des prestataires et des relais communautaires, à la réalisation d'évaluations pour ajuster les besoins, au suivi de la mise en œuvre des interventions, à la mise en place de cliniques mobiles et à l’emploi des fils et filles des zones dans la prestation des services de soins. </w:t>
      </w:r>
    </w:p>
    <w:p w:rsidR="006D2860" w:rsidRDefault="009B5EB2" w:rsidP="009B2707">
      <w:pPr>
        <w:pStyle w:val="Normal1"/>
        <w:jc w:val="both"/>
        <w:rPr>
          <w:sz w:val="24"/>
          <w:szCs w:val="24"/>
        </w:rPr>
      </w:pPr>
      <w:r w:rsidRPr="009B5EB2">
        <w:rPr>
          <w:sz w:val="24"/>
          <w:szCs w:val="24"/>
        </w:rPr>
        <w:t>Elle permettra ainsi d'assurer l'accès et la continuité par les populations affectées les plus vulnérables, aux services essentiels de santé. En outre, il permettra de réduire la sur morbidité et la sur mortalité maternelles, néonatales et infanto-juvéniles dans des zones enregistrant les indicateurs socio-sanitaires les plus faibles du pays. Elle ciblera les populations déplacées, les populations restées sur place, les populations hôtes et les réfugiés.</w:t>
      </w:r>
    </w:p>
    <w:p w:rsidR="006D2860" w:rsidRDefault="009B5EB2" w:rsidP="009B2707">
      <w:pPr>
        <w:pStyle w:val="Normal1"/>
        <w:spacing w:after="0"/>
        <w:jc w:val="both"/>
        <w:rPr>
          <w:b/>
        </w:rPr>
      </w:pPr>
      <w:r w:rsidRPr="009B5EB2">
        <w:rPr>
          <w:b/>
          <w:sz w:val="24"/>
          <w:szCs w:val="24"/>
        </w:rPr>
        <w:t>Programme d’urgence pour le Sahel</w:t>
      </w:r>
      <w:r w:rsidR="00AD5F81">
        <w:rPr>
          <w:b/>
          <w:sz w:val="24"/>
          <w:szCs w:val="24"/>
        </w:rPr>
        <w:t> </w:t>
      </w:r>
    </w:p>
    <w:p w:rsidR="006D2860" w:rsidRDefault="009B5EB2" w:rsidP="00534C90">
      <w:pPr>
        <w:pStyle w:val="Normal1"/>
        <w:widowControl w:val="0"/>
        <w:spacing w:after="0"/>
        <w:ind w:right="82"/>
        <w:jc w:val="both"/>
        <w:rPr>
          <w:sz w:val="24"/>
          <w:szCs w:val="24"/>
        </w:rPr>
      </w:pPr>
      <w:r w:rsidRPr="009B5EB2">
        <w:rPr>
          <w:sz w:val="24"/>
          <w:szCs w:val="24"/>
        </w:rPr>
        <w:t xml:space="preserve">La situation sécuritaire dans le Sahel s’est profondément détériorée faisant ainsi des zones frontalières des espaces où se cristallisent des menaces pour la sécurité et le développement durable du Burkina Faso et ses pays limitrophes. </w:t>
      </w:r>
    </w:p>
    <w:p w:rsidR="00314B92" w:rsidRPr="00314B92" w:rsidRDefault="009B5EB2">
      <w:pPr>
        <w:pStyle w:val="Normal1"/>
        <w:widowControl w:val="0"/>
        <w:spacing w:after="0"/>
        <w:ind w:right="78"/>
        <w:jc w:val="both"/>
        <w:rPr>
          <w:sz w:val="24"/>
          <w:szCs w:val="24"/>
        </w:rPr>
      </w:pPr>
      <w:r w:rsidRPr="009B5EB2">
        <w:rPr>
          <w:sz w:val="24"/>
          <w:szCs w:val="24"/>
        </w:rPr>
        <w:t xml:space="preserve">Par ailleurs, il est admis que l’une des causes de cette insécurité au Sahel est liée à des préoccupations d’ordre socio-économiques non satisfaites des populations. </w:t>
      </w:r>
    </w:p>
    <w:p w:rsidR="006D2860" w:rsidRDefault="009B5EB2">
      <w:pPr>
        <w:pStyle w:val="Normal1"/>
        <w:widowControl w:val="0"/>
        <w:spacing w:after="0"/>
        <w:ind w:right="92"/>
        <w:jc w:val="both"/>
        <w:rPr>
          <w:sz w:val="24"/>
          <w:szCs w:val="24"/>
        </w:rPr>
      </w:pPr>
      <w:r w:rsidRPr="009B5EB2">
        <w:rPr>
          <w:sz w:val="24"/>
          <w:szCs w:val="24"/>
        </w:rPr>
        <w:t>A cela s’ajoutent la porosité des frontières, l’enclavement interne et externe de la zone et la faiblesse significative des capacités d’actions de l’Etat et des collectivités territoriales.</w:t>
      </w:r>
    </w:p>
    <w:p w:rsidR="00534C90" w:rsidRDefault="009B5EB2" w:rsidP="00534C90">
      <w:pPr>
        <w:pStyle w:val="Normal1"/>
        <w:widowControl w:val="0"/>
        <w:spacing w:before="74" w:after="0"/>
        <w:ind w:right="-46"/>
        <w:jc w:val="both"/>
        <w:rPr>
          <w:sz w:val="24"/>
          <w:szCs w:val="24"/>
        </w:rPr>
      </w:pPr>
      <w:r w:rsidRPr="009B5EB2">
        <w:rPr>
          <w:sz w:val="24"/>
          <w:szCs w:val="24"/>
        </w:rPr>
        <w:t>Les défis de développement à relever dans la Région du Sahel sont immenses et multisectoriels. L’analyse des problèmes de développement de la Région du Sahel autour du binôme sécurité et développement révèle au moins trois défis majeurs à prendre en charge pour amorcer une véritable dynamique de progrès. Ces défis portent notamment sur : (i) le renforcement de</w:t>
      </w:r>
      <w:r w:rsidR="00534C90">
        <w:rPr>
          <w:sz w:val="24"/>
          <w:szCs w:val="24"/>
        </w:rPr>
        <w:t xml:space="preserve"> la résilience des populations,</w:t>
      </w:r>
      <w:r w:rsidRPr="009B5EB2">
        <w:rPr>
          <w:sz w:val="24"/>
          <w:szCs w:val="24"/>
        </w:rPr>
        <w:t xml:space="preserve"> (ii) l’anticipation, la prévention des difficultés et la sécurisation d</w:t>
      </w:r>
      <w:r w:rsidR="00534C90">
        <w:rPr>
          <w:sz w:val="24"/>
          <w:szCs w:val="24"/>
        </w:rPr>
        <w:t xml:space="preserve">u </w:t>
      </w:r>
      <w:r w:rsidR="00534C90" w:rsidRPr="009B5EB2">
        <w:rPr>
          <w:sz w:val="24"/>
          <w:szCs w:val="24"/>
        </w:rPr>
        <w:t>territoire régional et enfin</w:t>
      </w:r>
      <w:r w:rsidR="00534C90">
        <w:rPr>
          <w:sz w:val="24"/>
          <w:szCs w:val="24"/>
        </w:rPr>
        <w:t xml:space="preserve"> </w:t>
      </w:r>
      <w:r w:rsidR="00534C90" w:rsidRPr="009B5EB2">
        <w:rPr>
          <w:sz w:val="24"/>
          <w:szCs w:val="24"/>
        </w:rPr>
        <w:t xml:space="preserve"> (iii) l’amélioration de la  gouvernance publique dans la  zone du programme.</w:t>
      </w:r>
    </w:p>
    <w:p w:rsidR="00314B92" w:rsidRDefault="00314B92">
      <w:pPr>
        <w:pStyle w:val="Normal1"/>
        <w:widowControl w:val="0"/>
        <w:pBdr>
          <w:top w:val="nil"/>
          <w:left w:val="nil"/>
          <w:bottom w:val="nil"/>
          <w:right w:val="nil"/>
          <w:between w:val="nil"/>
        </w:pBdr>
        <w:spacing w:after="0"/>
        <w:rPr>
          <w:rFonts w:ascii="Arial Narrow" w:eastAsia="Arial Narrow" w:hAnsi="Arial Narrow" w:cs="Arial Narrow"/>
          <w:sz w:val="26"/>
          <w:szCs w:val="26"/>
        </w:rPr>
        <w:sectPr w:rsidR="00314B92">
          <w:type w:val="continuous"/>
          <w:pgSz w:w="11906" w:h="16838"/>
          <w:pgMar w:top="1417" w:right="1417" w:bottom="1417" w:left="1417" w:header="708" w:footer="708" w:gutter="0"/>
          <w:cols w:space="720"/>
        </w:sectPr>
      </w:pPr>
    </w:p>
    <w:p w:rsidR="00314B92" w:rsidRPr="00314B92" w:rsidRDefault="009B5EB2">
      <w:pPr>
        <w:pStyle w:val="Normal1"/>
        <w:widowControl w:val="0"/>
        <w:spacing w:after="0"/>
        <w:ind w:right="-46"/>
        <w:jc w:val="both"/>
        <w:rPr>
          <w:sz w:val="24"/>
          <w:szCs w:val="24"/>
        </w:rPr>
      </w:pPr>
      <w:r w:rsidRPr="009B5EB2">
        <w:rPr>
          <w:sz w:val="24"/>
          <w:szCs w:val="24"/>
        </w:rPr>
        <w:t xml:space="preserve">Les objectifs poursuivis par la sous-composante1 sont entre autres : (ii) accroitre l’offre sanitaire; (iii) améliorer la qualité des prestations sanitaires et (iv) accroitre l'accès des populations </w:t>
      </w:r>
      <w:r w:rsidR="00534C90">
        <w:rPr>
          <w:sz w:val="24"/>
          <w:szCs w:val="24"/>
        </w:rPr>
        <w:t>aux services de qualité de SRMNEAN à haut impact.</w:t>
      </w:r>
    </w:p>
    <w:p w:rsidR="006D2860" w:rsidRDefault="009B5EB2">
      <w:pPr>
        <w:pStyle w:val="Normal1"/>
        <w:widowControl w:val="0"/>
        <w:spacing w:before="3" w:after="0"/>
        <w:ind w:right="-46"/>
        <w:jc w:val="both"/>
        <w:rPr>
          <w:sz w:val="24"/>
          <w:szCs w:val="24"/>
        </w:rPr>
      </w:pPr>
      <w:r w:rsidRPr="009B5EB2">
        <w:rPr>
          <w:sz w:val="24"/>
          <w:szCs w:val="24"/>
        </w:rPr>
        <w:t>Pour ce faire, les actions suivantes seront engagées dans les sous-composantes :</w:t>
      </w:r>
    </w:p>
    <w:p w:rsidR="006D2860" w:rsidRDefault="009B5EB2" w:rsidP="00542CFB">
      <w:pPr>
        <w:pStyle w:val="Normal1"/>
        <w:widowControl w:val="0"/>
        <w:numPr>
          <w:ilvl w:val="0"/>
          <w:numId w:val="11"/>
        </w:numPr>
        <w:spacing w:before="42" w:after="0"/>
        <w:ind w:right="-46"/>
        <w:rPr>
          <w:color w:val="000000"/>
          <w:sz w:val="24"/>
          <w:szCs w:val="24"/>
        </w:rPr>
      </w:pPr>
      <w:r w:rsidRPr="009B5EB2">
        <w:rPr>
          <w:sz w:val="24"/>
          <w:szCs w:val="24"/>
        </w:rPr>
        <w:t>la construction et l’équipement de CSPS ;</w:t>
      </w:r>
    </w:p>
    <w:p w:rsidR="006D2860" w:rsidRDefault="009B5EB2" w:rsidP="00542CFB">
      <w:pPr>
        <w:pStyle w:val="Normal1"/>
        <w:widowControl w:val="0"/>
        <w:numPr>
          <w:ilvl w:val="0"/>
          <w:numId w:val="11"/>
        </w:numPr>
        <w:spacing w:after="0"/>
        <w:ind w:right="-46"/>
        <w:rPr>
          <w:color w:val="000000"/>
          <w:sz w:val="24"/>
          <w:szCs w:val="24"/>
        </w:rPr>
      </w:pPr>
      <w:r w:rsidRPr="009B5EB2">
        <w:rPr>
          <w:sz w:val="24"/>
          <w:szCs w:val="24"/>
        </w:rPr>
        <w:t>la normalisation et l’équipement des CMA ;</w:t>
      </w:r>
    </w:p>
    <w:p w:rsidR="006D2860" w:rsidRDefault="00AD5F81" w:rsidP="00542CFB">
      <w:pPr>
        <w:pStyle w:val="Normal1"/>
        <w:widowControl w:val="0"/>
        <w:numPr>
          <w:ilvl w:val="0"/>
          <w:numId w:val="11"/>
        </w:numPr>
        <w:spacing w:after="0"/>
        <w:ind w:right="-46"/>
        <w:rPr>
          <w:color w:val="000000"/>
          <w:sz w:val="24"/>
          <w:szCs w:val="24"/>
        </w:rPr>
      </w:pPr>
      <w:r>
        <w:rPr>
          <w:sz w:val="24"/>
          <w:szCs w:val="24"/>
        </w:rPr>
        <w:t>l’acquisition</w:t>
      </w:r>
      <w:r w:rsidR="009B5EB2" w:rsidRPr="009B5EB2">
        <w:rPr>
          <w:sz w:val="24"/>
          <w:szCs w:val="24"/>
        </w:rPr>
        <w:t xml:space="preserve"> d’ambulances ;</w:t>
      </w:r>
    </w:p>
    <w:p w:rsidR="006D2860" w:rsidRPr="00534C90" w:rsidRDefault="009B5EB2" w:rsidP="00542CFB">
      <w:pPr>
        <w:pStyle w:val="Normal1"/>
        <w:widowControl w:val="0"/>
        <w:numPr>
          <w:ilvl w:val="0"/>
          <w:numId w:val="11"/>
        </w:numPr>
        <w:spacing w:after="0"/>
        <w:ind w:right="-46"/>
        <w:rPr>
          <w:color w:val="000000"/>
          <w:sz w:val="24"/>
          <w:szCs w:val="24"/>
        </w:rPr>
      </w:pPr>
      <w:r w:rsidRPr="009B5EB2">
        <w:rPr>
          <w:sz w:val="24"/>
          <w:szCs w:val="24"/>
        </w:rPr>
        <w:t>le renforcement des centres de santé en personnel ;</w:t>
      </w:r>
    </w:p>
    <w:p w:rsidR="00534C90" w:rsidRDefault="00534C90" w:rsidP="00542CFB">
      <w:pPr>
        <w:pStyle w:val="Normal1"/>
        <w:widowControl w:val="0"/>
        <w:numPr>
          <w:ilvl w:val="0"/>
          <w:numId w:val="11"/>
        </w:numPr>
        <w:spacing w:after="0"/>
        <w:ind w:right="-46"/>
        <w:rPr>
          <w:color w:val="000000"/>
          <w:sz w:val="24"/>
          <w:szCs w:val="24"/>
        </w:rPr>
      </w:pPr>
      <w:r>
        <w:rPr>
          <w:sz w:val="24"/>
          <w:szCs w:val="24"/>
        </w:rPr>
        <w:t>le renforcement de l’approche santé communautaire.</w:t>
      </w:r>
    </w:p>
    <w:p w:rsidR="006D2860" w:rsidRDefault="006D2860">
      <w:pPr>
        <w:pStyle w:val="Normal1"/>
        <w:spacing w:after="0"/>
        <w:ind w:right="-46"/>
      </w:pPr>
    </w:p>
    <w:p w:rsidR="00314B92" w:rsidRDefault="00AD5F81" w:rsidP="005D02C3">
      <w:pPr>
        <w:pStyle w:val="Normal1"/>
        <w:numPr>
          <w:ilvl w:val="3"/>
          <w:numId w:val="60"/>
        </w:numPr>
        <w:pBdr>
          <w:top w:val="nil"/>
          <w:left w:val="nil"/>
          <w:bottom w:val="nil"/>
          <w:right w:val="nil"/>
          <w:between w:val="nil"/>
        </w:pBdr>
        <w:spacing w:after="120"/>
        <w:jc w:val="both"/>
        <w:rPr>
          <w:b/>
          <w:color w:val="000000"/>
          <w:sz w:val="24"/>
          <w:szCs w:val="24"/>
        </w:rPr>
      </w:pPr>
      <w:r>
        <w:rPr>
          <w:b/>
          <w:color w:val="000000"/>
          <w:sz w:val="24"/>
          <w:szCs w:val="24"/>
        </w:rPr>
        <w:t xml:space="preserve">Exécution financière </w:t>
      </w:r>
    </w:p>
    <w:p w:rsidR="00314B92" w:rsidRDefault="00AD5F81">
      <w:pPr>
        <w:pStyle w:val="Normal1"/>
        <w:spacing w:after="120"/>
        <w:jc w:val="both"/>
        <w:rPr>
          <w:b/>
          <w:color w:val="000000"/>
          <w:sz w:val="24"/>
          <w:szCs w:val="24"/>
        </w:rPr>
      </w:pPr>
      <w:r>
        <w:rPr>
          <w:sz w:val="24"/>
          <w:szCs w:val="24"/>
        </w:rPr>
        <w:t>L’exécution financière du DI passera par les canaux qui sont actuellement en place et utilisés par les acteurs qui interviennent dans le financement du secteur de la santé</w:t>
      </w:r>
      <w:r>
        <w:rPr>
          <w:b/>
          <w:color w:val="000000"/>
          <w:sz w:val="24"/>
          <w:szCs w:val="24"/>
        </w:rPr>
        <w:t>.</w:t>
      </w:r>
    </w:p>
    <w:p w:rsidR="00314B92" w:rsidRDefault="00AD5F81">
      <w:pPr>
        <w:pStyle w:val="Normal1"/>
        <w:spacing w:after="0"/>
        <w:jc w:val="both"/>
        <w:rPr>
          <w:b/>
          <w:color w:val="000000"/>
          <w:sz w:val="24"/>
          <w:szCs w:val="24"/>
        </w:rPr>
      </w:pPr>
      <w:r>
        <w:rPr>
          <w:b/>
          <w:color w:val="000000"/>
          <w:sz w:val="24"/>
          <w:szCs w:val="24"/>
        </w:rPr>
        <w:t>Budget de l’Etat</w:t>
      </w:r>
    </w:p>
    <w:p w:rsidR="00314B92" w:rsidRDefault="00AD5F81" w:rsidP="00534C90">
      <w:pPr>
        <w:pStyle w:val="Normal1"/>
        <w:spacing w:after="0"/>
        <w:jc w:val="both"/>
        <w:rPr>
          <w:sz w:val="24"/>
          <w:szCs w:val="24"/>
        </w:rPr>
      </w:pPr>
      <w:r>
        <w:rPr>
          <w:sz w:val="24"/>
          <w:szCs w:val="24"/>
        </w:rPr>
        <w:t>L’apport du budget de l’état sera exécuté, sous la responsabilité des responsables des programmes du Ministère de la Santé, à travers la Direction Administrative et financière.</w:t>
      </w:r>
      <w:r>
        <w:rPr>
          <w:b/>
          <w:i/>
          <w:sz w:val="24"/>
          <w:szCs w:val="24"/>
        </w:rPr>
        <w:t xml:space="preserve"> </w:t>
      </w:r>
    </w:p>
    <w:p w:rsidR="00314B92" w:rsidRDefault="00AD5F81" w:rsidP="00534C90">
      <w:pPr>
        <w:pStyle w:val="Normal1"/>
        <w:spacing w:after="0"/>
        <w:jc w:val="both"/>
        <w:rPr>
          <w:b/>
          <w:sz w:val="24"/>
          <w:szCs w:val="24"/>
        </w:rPr>
      </w:pPr>
      <w:r>
        <w:rPr>
          <w:b/>
          <w:sz w:val="24"/>
          <w:szCs w:val="24"/>
        </w:rPr>
        <w:t>L’Appui budgétaire sectoriel (ABS)</w:t>
      </w:r>
    </w:p>
    <w:p w:rsidR="00314B92" w:rsidRDefault="00AD5F81" w:rsidP="00534C90">
      <w:pPr>
        <w:pStyle w:val="Normal1"/>
        <w:spacing w:after="0"/>
        <w:jc w:val="both"/>
        <w:rPr>
          <w:sz w:val="24"/>
          <w:szCs w:val="24"/>
        </w:rPr>
      </w:pPr>
      <w:r>
        <w:rPr>
          <w:sz w:val="24"/>
          <w:szCs w:val="24"/>
        </w:rPr>
        <w:t>Les contributions sous forme d’appui budgétaire sectoriel seront exécutées à travers les mêmes canaux que le budget de l’Etat.</w:t>
      </w:r>
    </w:p>
    <w:p w:rsidR="00314B92" w:rsidRDefault="00AD5F81" w:rsidP="00534C90">
      <w:pPr>
        <w:pStyle w:val="Normal1"/>
        <w:spacing w:after="0"/>
        <w:jc w:val="both"/>
        <w:rPr>
          <w:b/>
          <w:sz w:val="24"/>
          <w:szCs w:val="24"/>
        </w:rPr>
      </w:pPr>
      <w:r>
        <w:rPr>
          <w:b/>
          <w:sz w:val="24"/>
          <w:szCs w:val="24"/>
        </w:rPr>
        <w:t>Le Panier commun</w:t>
      </w:r>
    </w:p>
    <w:p w:rsidR="00314B92" w:rsidRDefault="00AD5F81" w:rsidP="00534C90">
      <w:pPr>
        <w:pStyle w:val="Normal1"/>
        <w:spacing w:after="0"/>
        <w:jc w:val="both"/>
        <w:rPr>
          <w:sz w:val="24"/>
          <w:szCs w:val="24"/>
        </w:rPr>
      </w:pPr>
      <w:r>
        <w:rPr>
          <w:sz w:val="24"/>
          <w:szCs w:val="24"/>
        </w:rPr>
        <w:t>Un certain nombre de bailleurs de fond soutiennent le Fonds ou Panier commun et leur contribution sera exécutée à travers le PADS.</w:t>
      </w:r>
    </w:p>
    <w:p w:rsidR="00314B92" w:rsidRDefault="00AD5F81" w:rsidP="00534C90">
      <w:pPr>
        <w:pStyle w:val="Normal1"/>
        <w:spacing w:after="0"/>
        <w:jc w:val="both"/>
        <w:rPr>
          <w:b/>
          <w:sz w:val="24"/>
          <w:szCs w:val="24"/>
        </w:rPr>
      </w:pPr>
      <w:r>
        <w:rPr>
          <w:b/>
          <w:sz w:val="24"/>
          <w:szCs w:val="24"/>
        </w:rPr>
        <w:t xml:space="preserve">Projets et programmes </w:t>
      </w:r>
    </w:p>
    <w:p w:rsidR="00314B92" w:rsidRDefault="00AD5F81">
      <w:pPr>
        <w:pStyle w:val="Normal1"/>
        <w:spacing w:after="40"/>
        <w:jc w:val="both"/>
        <w:rPr>
          <w:sz w:val="24"/>
          <w:szCs w:val="24"/>
        </w:rPr>
      </w:pPr>
      <w:r>
        <w:rPr>
          <w:sz w:val="24"/>
          <w:szCs w:val="24"/>
        </w:rPr>
        <w:t xml:space="preserve">Certaines contributions seront directement canalisées à travers les budgets des projets et programmes. </w:t>
      </w:r>
    </w:p>
    <w:p w:rsidR="00314B92" w:rsidRDefault="00AD5F81">
      <w:pPr>
        <w:pStyle w:val="Normal1"/>
        <w:spacing w:before="40" w:after="0"/>
        <w:jc w:val="both"/>
        <w:rPr>
          <w:sz w:val="24"/>
          <w:szCs w:val="24"/>
        </w:rPr>
      </w:pPr>
      <w:r>
        <w:rPr>
          <w:b/>
          <w:sz w:val="24"/>
          <w:szCs w:val="24"/>
        </w:rPr>
        <w:t>Le Financement base sur les résultats (FBR)</w:t>
      </w:r>
      <w:r>
        <w:rPr>
          <w:sz w:val="24"/>
          <w:szCs w:val="24"/>
        </w:rPr>
        <w:t xml:space="preserve"> </w:t>
      </w:r>
    </w:p>
    <w:p w:rsidR="00314B92" w:rsidRDefault="00AD5F81">
      <w:pPr>
        <w:pStyle w:val="Normal1"/>
        <w:jc w:val="both"/>
        <w:rPr>
          <w:color w:val="000000"/>
          <w:sz w:val="24"/>
          <w:szCs w:val="24"/>
        </w:rPr>
      </w:pPr>
      <w:r>
        <w:rPr>
          <w:color w:val="000000"/>
          <w:sz w:val="24"/>
          <w:szCs w:val="24"/>
        </w:rPr>
        <w:t>La contractualisation consiste en un établissement de relations contractuelles entre toutes les parties prenantes à l’AS. Elle est matérialisée par un protocole d'entente qui décrit les engagements et responsabilités des parties contractantes.</w:t>
      </w:r>
    </w:p>
    <w:p w:rsidR="00314B92" w:rsidRDefault="00AD5F81" w:rsidP="00763A55">
      <w:pPr>
        <w:pStyle w:val="Normal1"/>
        <w:numPr>
          <w:ilvl w:val="3"/>
          <w:numId w:val="60"/>
        </w:numPr>
        <w:pBdr>
          <w:top w:val="nil"/>
          <w:left w:val="nil"/>
          <w:bottom w:val="nil"/>
          <w:right w:val="nil"/>
          <w:between w:val="nil"/>
        </w:pBdr>
        <w:spacing w:after="120"/>
        <w:jc w:val="both"/>
        <w:rPr>
          <w:b/>
          <w:color w:val="000000"/>
          <w:sz w:val="24"/>
          <w:szCs w:val="24"/>
        </w:rPr>
      </w:pPr>
      <w:r>
        <w:rPr>
          <w:b/>
          <w:color w:val="000000"/>
          <w:sz w:val="24"/>
          <w:szCs w:val="24"/>
        </w:rPr>
        <w:t xml:space="preserve"> Paquet de services</w:t>
      </w:r>
    </w:p>
    <w:p w:rsidR="00314B92" w:rsidRDefault="00AD5F81" w:rsidP="00534C90">
      <w:pPr>
        <w:pStyle w:val="Normal1"/>
        <w:spacing w:after="0"/>
        <w:jc w:val="both"/>
        <w:rPr>
          <w:color w:val="000000"/>
          <w:sz w:val="24"/>
          <w:szCs w:val="24"/>
        </w:rPr>
      </w:pPr>
      <w:r>
        <w:rPr>
          <w:color w:val="000000"/>
          <w:sz w:val="24"/>
          <w:szCs w:val="24"/>
        </w:rPr>
        <w:t>Ce paquet correspond l’achat des indicateurs quantitatifs et qualitatifs au niveau des prestataires. Il s’agira de déterminer le panier de soins par niveau (Cf. annexe pour détail):</w:t>
      </w:r>
    </w:p>
    <w:p w:rsidR="00314B92" w:rsidRPr="00534C90" w:rsidRDefault="00AD5F81" w:rsidP="005D02C3">
      <w:pPr>
        <w:pStyle w:val="Normal1"/>
        <w:numPr>
          <w:ilvl w:val="0"/>
          <w:numId w:val="129"/>
        </w:numPr>
        <w:spacing w:after="0"/>
        <w:jc w:val="both"/>
        <w:rPr>
          <w:i/>
          <w:color w:val="000000"/>
          <w:sz w:val="24"/>
          <w:szCs w:val="24"/>
        </w:rPr>
      </w:pPr>
      <w:r w:rsidRPr="00534C90">
        <w:rPr>
          <w:i/>
          <w:color w:val="000000"/>
          <w:sz w:val="24"/>
          <w:szCs w:val="24"/>
        </w:rPr>
        <w:t xml:space="preserve">Panier de soins/Services des FS: </w:t>
      </w:r>
    </w:p>
    <w:p w:rsidR="00314B92" w:rsidRDefault="00AD5F81" w:rsidP="005D02C3">
      <w:pPr>
        <w:pStyle w:val="Normal1"/>
        <w:numPr>
          <w:ilvl w:val="1"/>
          <w:numId w:val="130"/>
        </w:numPr>
        <w:spacing w:after="0"/>
        <w:jc w:val="both"/>
        <w:rPr>
          <w:color w:val="000000"/>
          <w:sz w:val="24"/>
          <w:szCs w:val="24"/>
        </w:rPr>
      </w:pPr>
      <w:r>
        <w:rPr>
          <w:sz w:val="24"/>
          <w:szCs w:val="24"/>
        </w:rPr>
        <w:t>Soins curatifs des enfants de moins de 5 ans vus en ambulatoire ;</w:t>
      </w:r>
    </w:p>
    <w:p w:rsidR="00314B92" w:rsidRDefault="00AD5F81" w:rsidP="005D02C3">
      <w:pPr>
        <w:pStyle w:val="Normal1"/>
        <w:numPr>
          <w:ilvl w:val="1"/>
          <w:numId w:val="130"/>
        </w:numPr>
        <w:spacing w:after="0"/>
        <w:jc w:val="both"/>
        <w:rPr>
          <w:color w:val="000000"/>
          <w:sz w:val="24"/>
          <w:szCs w:val="24"/>
        </w:rPr>
      </w:pPr>
      <w:r>
        <w:rPr>
          <w:sz w:val="24"/>
          <w:szCs w:val="24"/>
        </w:rPr>
        <w:t>Soins curatifs des enfants MAS sans complication de moins 6 à 59 mois</w:t>
      </w:r>
    </w:p>
    <w:p w:rsidR="00314B92" w:rsidRDefault="00AD5F81" w:rsidP="005D02C3">
      <w:pPr>
        <w:pStyle w:val="Normal1"/>
        <w:numPr>
          <w:ilvl w:val="1"/>
          <w:numId w:val="130"/>
        </w:numPr>
        <w:spacing w:after="0"/>
        <w:jc w:val="both"/>
        <w:rPr>
          <w:color w:val="000000"/>
          <w:sz w:val="24"/>
          <w:szCs w:val="24"/>
        </w:rPr>
      </w:pPr>
      <w:r>
        <w:rPr>
          <w:sz w:val="24"/>
          <w:szCs w:val="24"/>
        </w:rPr>
        <w:t>Soins d’urgence de nouveaux nés ;</w:t>
      </w:r>
    </w:p>
    <w:p w:rsidR="00314B92" w:rsidRDefault="00AD5F81" w:rsidP="005D02C3">
      <w:pPr>
        <w:pStyle w:val="Normal1"/>
        <w:numPr>
          <w:ilvl w:val="1"/>
          <w:numId w:val="130"/>
        </w:numPr>
        <w:spacing w:after="0"/>
        <w:jc w:val="both"/>
        <w:rPr>
          <w:color w:val="000000"/>
          <w:sz w:val="24"/>
          <w:szCs w:val="24"/>
        </w:rPr>
      </w:pPr>
      <w:r>
        <w:rPr>
          <w:sz w:val="24"/>
          <w:szCs w:val="24"/>
        </w:rPr>
        <w:t>Nouvelles méthodes contraceptives ;</w:t>
      </w:r>
    </w:p>
    <w:p w:rsidR="00314B92" w:rsidRDefault="00AD5F81" w:rsidP="005D02C3">
      <w:pPr>
        <w:pStyle w:val="Normal1"/>
        <w:numPr>
          <w:ilvl w:val="1"/>
          <w:numId w:val="130"/>
        </w:numPr>
        <w:spacing w:after="0"/>
        <w:jc w:val="both"/>
        <w:rPr>
          <w:color w:val="000000"/>
          <w:sz w:val="24"/>
          <w:szCs w:val="24"/>
        </w:rPr>
      </w:pPr>
      <w:r>
        <w:rPr>
          <w:sz w:val="24"/>
          <w:szCs w:val="24"/>
        </w:rPr>
        <w:t>Dépistage et prise en charge de l’infection à VIH dans le cadre de la PTME ;</w:t>
      </w:r>
    </w:p>
    <w:p w:rsidR="00314B92" w:rsidRDefault="00AD5F81" w:rsidP="005D02C3">
      <w:pPr>
        <w:pStyle w:val="Normal1"/>
        <w:numPr>
          <w:ilvl w:val="1"/>
          <w:numId w:val="130"/>
        </w:numPr>
        <w:spacing w:after="0"/>
        <w:jc w:val="both"/>
        <w:rPr>
          <w:color w:val="000000"/>
          <w:sz w:val="24"/>
          <w:szCs w:val="24"/>
        </w:rPr>
      </w:pPr>
      <w:r>
        <w:rPr>
          <w:sz w:val="24"/>
          <w:szCs w:val="24"/>
        </w:rPr>
        <w:t xml:space="preserve">Interventions chirurgicales majeures chez des patients de plus de 5 ans -hors femmes enceintes ; etc. </w:t>
      </w:r>
    </w:p>
    <w:p w:rsidR="00314B92" w:rsidRPr="00534C90" w:rsidRDefault="00AD5F81" w:rsidP="005D02C3">
      <w:pPr>
        <w:pStyle w:val="Normal1"/>
        <w:numPr>
          <w:ilvl w:val="0"/>
          <w:numId w:val="129"/>
        </w:numPr>
        <w:spacing w:after="0"/>
        <w:jc w:val="both"/>
        <w:rPr>
          <w:i/>
          <w:color w:val="000000"/>
          <w:sz w:val="24"/>
          <w:szCs w:val="24"/>
        </w:rPr>
      </w:pPr>
      <w:r w:rsidRPr="00534C90">
        <w:rPr>
          <w:i/>
          <w:color w:val="000000"/>
          <w:sz w:val="24"/>
          <w:szCs w:val="24"/>
        </w:rPr>
        <w:t xml:space="preserve">Panier de soins des services à base communautaire : </w:t>
      </w:r>
    </w:p>
    <w:p w:rsidR="00314B92" w:rsidRPr="00534C90" w:rsidRDefault="00AD5F81" w:rsidP="005D02C3">
      <w:pPr>
        <w:pStyle w:val="Normal1"/>
        <w:numPr>
          <w:ilvl w:val="1"/>
          <w:numId w:val="130"/>
        </w:numPr>
        <w:spacing w:after="0"/>
        <w:jc w:val="both"/>
        <w:rPr>
          <w:sz w:val="24"/>
          <w:szCs w:val="24"/>
        </w:rPr>
      </w:pPr>
      <w:r w:rsidRPr="00534C90">
        <w:rPr>
          <w:sz w:val="24"/>
          <w:szCs w:val="24"/>
        </w:rPr>
        <w:t>Suivi en ambulatoire des cas de Malnutrition aiguë modérée (MAM) et de Malnutrition aiguë sévère (MAS) sans complications ;</w:t>
      </w:r>
    </w:p>
    <w:p w:rsidR="00314B92" w:rsidRPr="00534C90" w:rsidRDefault="00AD5F81" w:rsidP="005D02C3">
      <w:pPr>
        <w:pStyle w:val="Normal1"/>
        <w:numPr>
          <w:ilvl w:val="1"/>
          <w:numId w:val="130"/>
        </w:numPr>
        <w:spacing w:after="0"/>
        <w:jc w:val="both"/>
        <w:rPr>
          <w:sz w:val="24"/>
          <w:szCs w:val="24"/>
        </w:rPr>
      </w:pPr>
      <w:r w:rsidRPr="00534C90">
        <w:rPr>
          <w:sz w:val="24"/>
          <w:szCs w:val="24"/>
        </w:rPr>
        <w:t>Recherche des signes de danger et de gravité du paludisme, des IRA, de la malnutrition et de la diarrhée;</w:t>
      </w:r>
    </w:p>
    <w:p w:rsidR="00314B92" w:rsidRPr="00534C90" w:rsidRDefault="00AD5F81" w:rsidP="005D02C3">
      <w:pPr>
        <w:pStyle w:val="Normal1"/>
        <w:numPr>
          <w:ilvl w:val="1"/>
          <w:numId w:val="130"/>
        </w:numPr>
        <w:spacing w:after="0"/>
        <w:jc w:val="both"/>
        <w:rPr>
          <w:sz w:val="24"/>
          <w:szCs w:val="24"/>
        </w:rPr>
      </w:pPr>
      <w:r w:rsidRPr="00534C90">
        <w:rPr>
          <w:sz w:val="24"/>
          <w:szCs w:val="24"/>
        </w:rPr>
        <w:t>Planification familiale (PF)</w:t>
      </w:r>
    </w:p>
    <w:p w:rsidR="00314B92" w:rsidRPr="00534C90" w:rsidRDefault="00AD5F81" w:rsidP="005D02C3">
      <w:pPr>
        <w:pStyle w:val="Normal1"/>
        <w:numPr>
          <w:ilvl w:val="1"/>
          <w:numId w:val="130"/>
        </w:numPr>
        <w:spacing w:after="0"/>
        <w:jc w:val="both"/>
        <w:rPr>
          <w:sz w:val="24"/>
          <w:szCs w:val="24"/>
        </w:rPr>
      </w:pPr>
      <w:r>
        <w:rPr>
          <w:sz w:val="24"/>
          <w:szCs w:val="24"/>
        </w:rPr>
        <w:t>maladies prioritaires (paludisme, tuberculose, IST/VIH-SIDA</w:t>
      </w:r>
    </w:p>
    <w:p w:rsidR="00314B92" w:rsidRPr="00534C90" w:rsidRDefault="00AD5F81" w:rsidP="005D02C3">
      <w:pPr>
        <w:pStyle w:val="Normal1"/>
        <w:numPr>
          <w:ilvl w:val="0"/>
          <w:numId w:val="129"/>
        </w:numPr>
        <w:spacing w:after="0"/>
        <w:jc w:val="both"/>
        <w:rPr>
          <w:i/>
          <w:color w:val="000000"/>
          <w:sz w:val="24"/>
          <w:szCs w:val="24"/>
        </w:rPr>
      </w:pPr>
      <w:r w:rsidRPr="00534C90">
        <w:rPr>
          <w:i/>
          <w:color w:val="000000"/>
          <w:sz w:val="24"/>
          <w:szCs w:val="24"/>
        </w:rPr>
        <w:t>Panier de soins des structures d’encadrement:</w:t>
      </w:r>
    </w:p>
    <w:p w:rsidR="00314B92" w:rsidRPr="00534C90" w:rsidRDefault="00AD5F81" w:rsidP="005D02C3">
      <w:pPr>
        <w:pStyle w:val="Normal1"/>
        <w:numPr>
          <w:ilvl w:val="1"/>
          <w:numId w:val="130"/>
        </w:numPr>
        <w:spacing w:after="0"/>
        <w:jc w:val="both"/>
        <w:rPr>
          <w:sz w:val="24"/>
          <w:szCs w:val="24"/>
        </w:rPr>
      </w:pPr>
      <w:r>
        <w:rPr>
          <w:sz w:val="24"/>
          <w:szCs w:val="24"/>
        </w:rPr>
        <w:t>Supervision intégrée;</w:t>
      </w:r>
    </w:p>
    <w:p w:rsidR="00314B92" w:rsidRPr="00534C90" w:rsidRDefault="00AD5F81" w:rsidP="005D02C3">
      <w:pPr>
        <w:pStyle w:val="Normal1"/>
        <w:numPr>
          <w:ilvl w:val="1"/>
          <w:numId w:val="130"/>
        </w:numPr>
        <w:spacing w:after="0"/>
        <w:jc w:val="both"/>
        <w:rPr>
          <w:sz w:val="24"/>
          <w:szCs w:val="24"/>
        </w:rPr>
      </w:pPr>
      <w:r>
        <w:rPr>
          <w:sz w:val="24"/>
          <w:szCs w:val="24"/>
        </w:rPr>
        <w:t>Contrôle de gestion des structures;</w:t>
      </w:r>
    </w:p>
    <w:p w:rsidR="00314B92" w:rsidRPr="00534C90" w:rsidRDefault="00AD5F81" w:rsidP="005D02C3">
      <w:pPr>
        <w:pStyle w:val="Normal1"/>
        <w:numPr>
          <w:ilvl w:val="1"/>
          <w:numId w:val="130"/>
        </w:numPr>
        <w:spacing w:after="0"/>
        <w:jc w:val="both"/>
        <w:rPr>
          <w:sz w:val="24"/>
          <w:szCs w:val="24"/>
        </w:rPr>
      </w:pPr>
      <w:r>
        <w:rPr>
          <w:sz w:val="24"/>
          <w:szCs w:val="24"/>
        </w:rPr>
        <w:t>Tenue régulière des cadres de concertation;</w:t>
      </w:r>
    </w:p>
    <w:p w:rsidR="00314B92" w:rsidRPr="00534C90" w:rsidRDefault="00AD5F81" w:rsidP="005D02C3">
      <w:pPr>
        <w:pStyle w:val="Normal1"/>
        <w:numPr>
          <w:ilvl w:val="1"/>
          <w:numId w:val="130"/>
        </w:numPr>
        <w:spacing w:after="0"/>
        <w:jc w:val="both"/>
        <w:rPr>
          <w:sz w:val="24"/>
          <w:szCs w:val="24"/>
        </w:rPr>
      </w:pPr>
      <w:r>
        <w:rPr>
          <w:sz w:val="24"/>
          <w:szCs w:val="24"/>
        </w:rPr>
        <w:t>Missions d’appui à l’élaboration du plan d’action annuelle;</w:t>
      </w:r>
    </w:p>
    <w:p w:rsidR="00314B92" w:rsidRPr="00534C90" w:rsidRDefault="00AD5F81" w:rsidP="005D02C3">
      <w:pPr>
        <w:pStyle w:val="Normal1"/>
        <w:numPr>
          <w:ilvl w:val="1"/>
          <w:numId w:val="130"/>
        </w:numPr>
        <w:spacing w:after="0"/>
        <w:jc w:val="both"/>
        <w:rPr>
          <w:sz w:val="24"/>
          <w:szCs w:val="24"/>
        </w:rPr>
      </w:pPr>
      <w:r>
        <w:rPr>
          <w:sz w:val="24"/>
          <w:szCs w:val="24"/>
        </w:rPr>
        <w:t>Encadrement des activités communautaires</w:t>
      </w:r>
      <w:r w:rsidRPr="00534C90">
        <w:rPr>
          <w:sz w:val="24"/>
          <w:szCs w:val="24"/>
        </w:rPr>
        <w:t>.</w:t>
      </w:r>
    </w:p>
    <w:p w:rsidR="006D2860" w:rsidRDefault="006D2860">
      <w:pPr>
        <w:pStyle w:val="Normal1"/>
        <w:spacing w:after="0"/>
        <w:jc w:val="both"/>
      </w:pPr>
    </w:p>
    <w:p w:rsidR="00314B92" w:rsidRDefault="00AD5F81" w:rsidP="00763A55">
      <w:pPr>
        <w:pStyle w:val="Normal1"/>
        <w:numPr>
          <w:ilvl w:val="3"/>
          <w:numId w:val="60"/>
        </w:numPr>
        <w:pBdr>
          <w:top w:val="nil"/>
          <w:left w:val="nil"/>
          <w:bottom w:val="nil"/>
          <w:right w:val="nil"/>
          <w:between w:val="nil"/>
        </w:pBdr>
        <w:spacing w:after="120"/>
        <w:jc w:val="both"/>
        <w:rPr>
          <w:b/>
          <w:color w:val="000000"/>
          <w:sz w:val="24"/>
          <w:szCs w:val="24"/>
        </w:rPr>
      </w:pPr>
      <w:r>
        <w:rPr>
          <w:b/>
          <w:color w:val="000000"/>
          <w:sz w:val="24"/>
          <w:szCs w:val="24"/>
        </w:rPr>
        <w:t>Vérification des résultats</w:t>
      </w:r>
    </w:p>
    <w:p w:rsidR="00314B92" w:rsidRPr="00534C90" w:rsidRDefault="00AD5F81" w:rsidP="00534C90">
      <w:pPr>
        <w:pStyle w:val="Normal1"/>
        <w:spacing w:after="0" w:line="240" w:lineRule="auto"/>
        <w:jc w:val="both"/>
        <w:rPr>
          <w:sz w:val="24"/>
          <w:szCs w:val="24"/>
        </w:rPr>
      </w:pPr>
      <w:r>
        <w:rPr>
          <w:sz w:val="24"/>
          <w:szCs w:val="24"/>
        </w:rPr>
        <w:t>La vérification est un préalable, avant tout paiement, permettant de s’assurer que les prestations sous contrat sont effectives et de qualité. Elle revêt trois volets</w:t>
      </w:r>
      <w:r w:rsidR="00534C90">
        <w:rPr>
          <w:sz w:val="24"/>
          <w:szCs w:val="24"/>
        </w:rPr>
        <w:t xml:space="preserve"> : (i) </w:t>
      </w:r>
      <w:r>
        <w:rPr>
          <w:color w:val="000000"/>
          <w:sz w:val="24"/>
          <w:szCs w:val="24"/>
        </w:rPr>
        <w:t>la vérification quantitative</w:t>
      </w:r>
      <w:r w:rsidR="00534C90">
        <w:rPr>
          <w:color w:val="000000"/>
          <w:sz w:val="24"/>
          <w:szCs w:val="24"/>
        </w:rPr>
        <w:t xml:space="preserve">, (ii) </w:t>
      </w:r>
      <w:r>
        <w:rPr>
          <w:color w:val="000000"/>
          <w:sz w:val="24"/>
          <w:szCs w:val="24"/>
        </w:rPr>
        <w:t>la vérification qualitative</w:t>
      </w:r>
      <w:r w:rsidR="00534C90">
        <w:rPr>
          <w:color w:val="000000"/>
          <w:sz w:val="24"/>
          <w:szCs w:val="24"/>
        </w:rPr>
        <w:t xml:space="preserve"> </w:t>
      </w:r>
      <w:r>
        <w:rPr>
          <w:color w:val="000000"/>
          <w:sz w:val="24"/>
          <w:szCs w:val="24"/>
        </w:rPr>
        <w:t>et</w:t>
      </w:r>
      <w:r w:rsidR="00534C90">
        <w:rPr>
          <w:color w:val="000000"/>
          <w:sz w:val="24"/>
          <w:szCs w:val="24"/>
        </w:rPr>
        <w:t xml:space="preserve"> (iii)</w:t>
      </w:r>
      <w:r>
        <w:rPr>
          <w:color w:val="000000"/>
          <w:sz w:val="24"/>
          <w:szCs w:val="24"/>
        </w:rPr>
        <w:t xml:space="preserve"> la vérification communautaire de satisfaction des utilisateurs. </w:t>
      </w:r>
    </w:p>
    <w:p w:rsidR="006D2860" w:rsidRDefault="006D2860">
      <w:pPr>
        <w:pStyle w:val="Normal1"/>
        <w:spacing w:after="0"/>
        <w:jc w:val="both"/>
      </w:pPr>
    </w:p>
    <w:p w:rsidR="006D2860" w:rsidRDefault="00AD5F81" w:rsidP="00763A55">
      <w:pPr>
        <w:pStyle w:val="Normal1"/>
        <w:numPr>
          <w:ilvl w:val="3"/>
          <w:numId w:val="60"/>
        </w:numPr>
        <w:pBdr>
          <w:top w:val="nil"/>
          <w:left w:val="nil"/>
          <w:bottom w:val="nil"/>
          <w:right w:val="nil"/>
          <w:between w:val="nil"/>
        </w:pBdr>
        <w:spacing w:after="120"/>
        <w:jc w:val="both"/>
      </w:pPr>
      <w:r>
        <w:rPr>
          <w:b/>
          <w:sz w:val="24"/>
          <w:szCs w:val="24"/>
        </w:rPr>
        <w:t>Paiement et utilisation des fonds</w:t>
      </w:r>
    </w:p>
    <w:p w:rsidR="006D2860" w:rsidRDefault="00AD5F81" w:rsidP="00534C90">
      <w:pPr>
        <w:pStyle w:val="Normal1"/>
        <w:spacing w:after="0"/>
        <w:jc w:val="both"/>
      </w:pPr>
      <w:r>
        <w:rPr>
          <w:sz w:val="24"/>
          <w:szCs w:val="24"/>
        </w:rPr>
        <w:t xml:space="preserve">À l’issue de chaque trimestre, les vérifications quantitatives et qualitatives sont réalisées. Les résultats de ces vérifications sont saisies sur le portail web AS par l’Agence de vérification indépendante (AVI). Des factures automatiques informatisées seront générées par prestataires en vue du paiement. </w:t>
      </w:r>
    </w:p>
    <w:p w:rsidR="00DF298A" w:rsidRDefault="00AD5F81">
      <w:pPr>
        <w:pStyle w:val="Normal1"/>
        <w:jc w:val="both"/>
        <w:rPr>
          <w:sz w:val="24"/>
          <w:szCs w:val="24"/>
        </w:rPr>
      </w:pPr>
      <w:r>
        <w:rPr>
          <w:sz w:val="24"/>
          <w:szCs w:val="24"/>
        </w:rPr>
        <w:t xml:space="preserve">Les fonds obtenus sont considérés comme des recettes propres du prestataire.  Ces recettes seront utilisées pour le renforcement des capacités de la structure et la motivation des agents. Un outil d’indice / Compte d’exploitation permettra de gérer de façon transparente et efficiente les fonds reçus. Il s’agira de remplir l’outil indice sur la base des besoins de financement du plan d’affaires du trimestre en vue d’en déduire les subsides/primes à partager entre le personnel de la structure sans exception (en fonction des critères : performance individuelle, qualification, catégorie, ancienneté, Proportion de jours travaillés au centre de santé, responsabilité) dans la production de la qualité globale / performance générale de la structure contractante. </w:t>
      </w:r>
    </w:p>
    <w:p w:rsidR="00EC1135" w:rsidRDefault="00EC1135">
      <w:pPr>
        <w:pStyle w:val="Normal1"/>
        <w:jc w:val="both"/>
        <w:rPr>
          <w:sz w:val="24"/>
          <w:szCs w:val="24"/>
        </w:rPr>
      </w:pPr>
    </w:p>
    <w:p w:rsidR="00EC1135" w:rsidRDefault="00EC1135">
      <w:pPr>
        <w:pStyle w:val="Normal1"/>
        <w:jc w:val="both"/>
        <w:rPr>
          <w:sz w:val="24"/>
          <w:szCs w:val="24"/>
        </w:rPr>
      </w:pPr>
    </w:p>
    <w:p w:rsidR="00EC1135" w:rsidRDefault="00EC1135">
      <w:pPr>
        <w:pStyle w:val="Normal1"/>
        <w:jc w:val="both"/>
        <w:rPr>
          <w:sz w:val="24"/>
          <w:szCs w:val="24"/>
        </w:rPr>
      </w:pPr>
    </w:p>
    <w:p w:rsidR="00EC1135" w:rsidRPr="00402547" w:rsidRDefault="00EC1135">
      <w:pPr>
        <w:pStyle w:val="Normal1"/>
        <w:jc w:val="both"/>
        <w:rPr>
          <w:sz w:val="24"/>
          <w:szCs w:val="24"/>
        </w:rPr>
      </w:pPr>
    </w:p>
    <w:tbl>
      <w:tblPr>
        <w:tblStyle w:val="af7"/>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314B92">
        <w:tc>
          <w:tcPr>
            <w:tcW w:w="9016" w:type="dxa"/>
            <w:tcBorders>
              <w:top w:val="single" w:sz="4" w:space="0" w:color="000000"/>
              <w:left w:val="single" w:sz="4" w:space="0" w:color="000000"/>
              <w:bottom w:val="single" w:sz="4" w:space="0" w:color="000000"/>
              <w:right w:val="single" w:sz="4" w:space="0" w:color="000000"/>
            </w:tcBorders>
            <w:shd w:val="clear" w:color="auto" w:fill="DBE5F1"/>
          </w:tcPr>
          <w:p w:rsidR="00314B92" w:rsidRDefault="00AD5F81" w:rsidP="00EC1135">
            <w:pPr>
              <w:pStyle w:val="Normal1"/>
              <w:spacing w:line="276" w:lineRule="auto"/>
              <w:rPr>
                <w:b/>
                <w:color w:val="000000"/>
                <w:sz w:val="24"/>
                <w:szCs w:val="24"/>
              </w:rPr>
            </w:pPr>
            <w:r>
              <w:rPr>
                <w:b/>
                <w:color w:val="000000"/>
                <w:sz w:val="24"/>
                <w:szCs w:val="24"/>
              </w:rPr>
              <w:t xml:space="preserve">Encadré 1 : L’ACHAT STRATEGIQUE </w:t>
            </w:r>
          </w:p>
        </w:tc>
      </w:tr>
      <w:tr w:rsidR="00314B92">
        <w:tc>
          <w:tcPr>
            <w:tcW w:w="9016" w:type="dxa"/>
            <w:tcBorders>
              <w:top w:val="single" w:sz="4" w:space="0" w:color="000000"/>
              <w:left w:val="single" w:sz="4" w:space="0" w:color="000000"/>
              <w:bottom w:val="single" w:sz="4" w:space="0" w:color="000000"/>
              <w:right w:val="single" w:sz="4" w:space="0" w:color="000000"/>
            </w:tcBorders>
            <w:shd w:val="clear" w:color="auto" w:fill="DBE5F1"/>
          </w:tcPr>
          <w:p w:rsidR="006D2860" w:rsidRDefault="00AD5F81" w:rsidP="00EC1135">
            <w:pPr>
              <w:pStyle w:val="Normal1"/>
              <w:jc w:val="both"/>
            </w:pPr>
            <w:r>
              <w:rPr>
                <w:sz w:val="24"/>
                <w:szCs w:val="24"/>
              </w:rPr>
              <w:t>Le but de l’achat stratégique est que les ressources du secteur de la santé soient allouées et gérées de façon efficiente, transparente et équitable sur une base contractuelle afin de produire, les soins et services de santé souhaitées et nécessaires à chaque bénéficiaire sans aucune discrimination en vue de l’atteinte de couverture sanitaire universelle.</w:t>
            </w:r>
          </w:p>
          <w:p w:rsidR="006D2860" w:rsidRDefault="00AD5F81" w:rsidP="00EC1135">
            <w:pPr>
              <w:pStyle w:val="Normal1"/>
              <w:jc w:val="both"/>
            </w:pPr>
            <w:r>
              <w:rPr>
                <w:sz w:val="24"/>
                <w:szCs w:val="24"/>
              </w:rPr>
              <w:t>L’achat stratégique des soins et services de santé consiste à allouer des ressources (financières ou non) à une structure proportionnellement à des résultats quantité (allocation faite après vérification de la quantité des résultats produits par le prestataire) et/ou qualité produits (montant à allouer au prestataire est proportionnel au score global de qualité obtenu à la suite d’une évaluation) selon les canaux de financement et les objectifs visés, sur la base d’un contrat.</w:t>
            </w:r>
          </w:p>
          <w:p w:rsidR="006D2860" w:rsidRDefault="00AD5F81" w:rsidP="00EC1135">
            <w:pPr>
              <w:pStyle w:val="Normal1"/>
              <w:jc w:val="both"/>
            </w:pPr>
            <w:r>
              <w:rPr>
                <w:sz w:val="24"/>
                <w:szCs w:val="24"/>
              </w:rPr>
              <w:t>L’achat stratégique se fonde sur un certain nombre de principes directeurs, la contractualisation, la responsabilisation des parties prenantes, la redevabilité, l’autonomie de gestion des prestataires, la séparation des fonctions, la participation communautaire, l’utilisation de données probantes.</w:t>
            </w:r>
          </w:p>
          <w:p w:rsidR="006D2860" w:rsidRDefault="00AD5F81" w:rsidP="00EC1135">
            <w:pPr>
              <w:pStyle w:val="Normal1"/>
              <w:jc w:val="both"/>
            </w:pPr>
            <w:r>
              <w:rPr>
                <w:sz w:val="24"/>
                <w:szCs w:val="24"/>
              </w:rPr>
              <w:t>Toutes les formations sanitaires publiques sont d’office concernées par l’achat stratégique des soins et services de santé et l’inclusion des formations sanitaires privées se fera de commun accord avec l’acheteur.</w:t>
            </w:r>
          </w:p>
          <w:p w:rsidR="006D2860" w:rsidRDefault="00AD5F81" w:rsidP="00EC1135">
            <w:pPr>
              <w:pStyle w:val="Normal1"/>
              <w:jc w:val="both"/>
            </w:pPr>
            <w:r>
              <w:rPr>
                <w:sz w:val="24"/>
                <w:szCs w:val="24"/>
              </w:rPr>
              <w:t>Les structures nationales de régulation au niveau central (Directions générales, Directions techniques, Directions de programmes, institutions spécialisées, sociétés d’Etat) et au niveau déconcentré (DRS, ECD) sont également concernées par l’achat stratégique des prestations.</w:t>
            </w:r>
          </w:p>
          <w:p w:rsidR="006D2860" w:rsidRDefault="00AD5F81" w:rsidP="00EC1135">
            <w:pPr>
              <w:pStyle w:val="Normal1"/>
              <w:jc w:val="both"/>
            </w:pPr>
            <w:r>
              <w:rPr>
                <w:sz w:val="24"/>
                <w:szCs w:val="24"/>
              </w:rPr>
              <w:t>L’achat stratégique se fait au niveau communautaire à travers les ASBC, les mutuelles sociales, les COGES sur la base des paquets d’activités définies par le ministère de la santé.</w:t>
            </w:r>
          </w:p>
          <w:p w:rsidR="006D2860" w:rsidRDefault="00AD5F81" w:rsidP="00EC1135">
            <w:pPr>
              <w:pStyle w:val="Normal1"/>
              <w:jc w:val="both"/>
            </w:pPr>
            <w:r>
              <w:rPr>
                <w:sz w:val="24"/>
                <w:szCs w:val="24"/>
              </w:rPr>
              <w:t>L’achat stratégique couvre les prestations de soins et les autres services de santé.</w:t>
            </w:r>
          </w:p>
          <w:p w:rsidR="006D2860" w:rsidRDefault="00AD5F81" w:rsidP="00EC1135">
            <w:pPr>
              <w:pStyle w:val="Normal1"/>
              <w:jc w:val="both"/>
            </w:pPr>
            <w:r>
              <w:rPr>
                <w:sz w:val="24"/>
                <w:szCs w:val="24"/>
              </w:rPr>
              <w:t xml:space="preserve">L’instance de pilotage est le Comité de Revue (CR) et les instances de mise en œuvre comprennent au niveau central le Structure en charge de coordination de l’Achat Stratégique, au niveau régional le Comité de suivi du PNDS et au niveau opérationnel le Conseil de Santé du District (CSD). </w:t>
            </w:r>
          </w:p>
        </w:tc>
      </w:tr>
    </w:tbl>
    <w:p w:rsidR="00402547" w:rsidRPr="00402547" w:rsidRDefault="00402547" w:rsidP="00402547">
      <w:pPr>
        <w:pStyle w:val="Normal1"/>
        <w:pBdr>
          <w:top w:val="nil"/>
          <w:left w:val="nil"/>
          <w:bottom w:val="nil"/>
          <w:right w:val="nil"/>
          <w:between w:val="nil"/>
        </w:pBdr>
        <w:spacing w:after="0"/>
        <w:ind w:left="720"/>
        <w:jc w:val="both"/>
        <w:rPr>
          <w:color w:val="000000"/>
        </w:rPr>
      </w:pPr>
    </w:p>
    <w:p w:rsidR="006D2860" w:rsidRDefault="009B5EB2" w:rsidP="005D02C3">
      <w:pPr>
        <w:pStyle w:val="Normal1"/>
        <w:numPr>
          <w:ilvl w:val="2"/>
          <w:numId w:val="60"/>
        </w:numPr>
        <w:pBdr>
          <w:top w:val="nil"/>
          <w:left w:val="nil"/>
          <w:bottom w:val="nil"/>
          <w:right w:val="nil"/>
          <w:between w:val="nil"/>
        </w:pBdr>
        <w:jc w:val="both"/>
        <w:rPr>
          <w:color w:val="000000"/>
        </w:rPr>
      </w:pPr>
      <w:r w:rsidRPr="009B5EB2">
        <w:rPr>
          <w:color w:val="000000"/>
          <w:sz w:val="24"/>
          <w:szCs w:val="24"/>
        </w:rPr>
        <w:t>LE SUIVI-EVALUATION</w:t>
      </w:r>
    </w:p>
    <w:p w:rsidR="00314B92" w:rsidRDefault="00AD5F81" w:rsidP="005D02C3">
      <w:pPr>
        <w:pStyle w:val="Normal1"/>
        <w:numPr>
          <w:ilvl w:val="3"/>
          <w:numId w:val="60"/>
        </w:numPr>
        <w:pBdr>
          <w:top w:val="nil"/>
          <w:left w:val="nil"/>
          <w:bottom w:val="nil"/>
          <w:right w:val="nil"/>
          <w:between w:val="nil"/>
        </w:pBdr>
        <w:spacing w:after="0" w:line="360" w:lineRule="auto"/>
        <w:jc w:val="both"/>
        <w:rPr>
          <w:b/>
          <w:color w:val="000000"/>
          <w:sz w:val="24"/>
          <w:szCs w:val="24"/>
        </w:rPr>
      </w:pPr>
      <w:r>
        <w:rPr>
          <w:b/>
          <w:color w:val="000000"/>
          <w:sz w:val="24"/>
          <w:szCs w:val="24"/>
        </w:rPr>
        <w:t>Les organes Impliqués dans le suivi-évaluation</w:t>
      </w:r>
    </w:p>
    <w:p w:rsidR="00314B92" w:rsidRDefault="00AD5F81" w:rsidP="00EC1135">
      <w:pPr>
        <w:pStyle w:val="Normal1"/>
        <w:spacing w:after="0"/>
        <w:jc w:val="both"/>
        <w:rPr>
          <w:color w:val="000000"/>
          <w:sz w:val="24"/>
          <w:szCs w:val="24"/>
        </w:rPr>
      </w:pPr>
      <w:r>
        <w:rPr>
          <w:b/>
          <w:color w:val="000000"/>
          <w:sz w:val="24"/>
          <w:szCs w:val="24"/>
        </w:rPr>
        <w:t>Le CSD,</w:t>
      </w:r>
      <w:r>
        <w:rPr>
          <w:color w:val="000000"/>
          <w:sz w:val="24"/>
          <w:szCs w:val="24"/>
        </w:rPr>
        <w:t xml:space="preserve"> interface stratégique du GFF, aura pour rôle de suivre les progrès réalisés grâce à la mise en œuvre des activités financés dans le cadre du DI en SRMNEA, d’identifier les gaps de performance, de prendre les mesures correctives éventuels et de rendre compte.</w:t>
      </w:r>
    </w:p>
    <w:p w:rsidR="00314B92" w:rsidRDefault="00AD5F81" w:rsidP="00EC1135">
      <w:pPr>
        <w:pStyle w:val="Normal1"/>
        <w:spacing w:after="0"/>
        <w:jc w:val="both"/>
        <w:rPr>
          <w:b/>
          <w:color w:val="000000"/>
          <w:sz w:val="24"/>
          <w:szCs w:val="24"/>
        </w:rPr>
      </w:pPr>
      <w:r>
        <w:rPr>
          <w:b/>
          <w:color w:val="000000"/>
          <w:sz w:val="24"/>
          <w:szCs w:val="24"/>
        </w:rPr>
        <w:t xml:space="preserve">L’équipe fonctionnelle 7 </w:t>
      </w:r>
      <w:r>
        <w:rPr>
          <w:sz w:val="24"/>
          <w:szCs w:val="24"/>
        </w:rPr>
        <w:t>est chargée d’animer la mise en œuvre, d’assurer le suivi de la mise en œuvre des activités. A ce titre, l’EF7 produira les rapports annuels de progrès à soumettre au CSD.</w:t>
      </w:r>
      <w:r>
        <w:rPr>
          <w:b/>
          <w:color w:val="000000"/>
          <w:sz w:val="24"/>
          <w:szCs w:val="24"/>
        </w:rPr>
        <w:t xml:space="preserve">  </w:t>
      </w:r>
      <w:r>
        <w:rPr>
          <w:color w:val="000000"/>
          <w:sz w:val="24"/>
          <w:szCs w:val="24"/>
        </w:rPr>
        <w:t>L’EF7 prendre l’initiative d’organiser et pilotera les exercices d’évaluation à mi-parcours (2021) et terminal (2023).</w:t>
      </w:r>
    </w:p>
    <w:p w:rsidR="00314B92" w:rsidRDefault="00AD5F81" w:rsidP="00EC1135">
      <w:pPr>
        <w:pStyle w:val="Normal1"/>
        <w:spacing w:after="0"/>
        <w:jc w:val="both"/>
        <w:rPr>
          <w:b/>
          <w:color w:val="000000"/>
          <w:sz w:val="24"/>
          <w:szCs w:val="24"/>
        </w:rPr>
      </w:pPr>
      <w:r>
        <w:rPr>
          <w:b/>
          <w:color w:val="000000"/>
          <w:sz w:val="24"/>
          <w:szCs w:val="24"/>
        </w:rPr>
        <w:t xml:space="preserve">LES CRS/PNDS </w:t>
      </w:r>
      <w:r>
        <w:rPr>
          <w:color w:val="000000"/>
          <w:sz w:val="24"/>
          <w:szCs w:val="24"/>
        </w:rPr>
        <w:t>assureront le suivi des progrès au niveau régional, prendra les mesures correctives nécessaires et rendra compte au niveau national.</w:t>
      </w:r>
    </w:p>
    <w:p w:rsidR="00314B92" w:rsidRDefault="00AD5F81" w:rsidP="00EC1135">
      <w:pPr>
        <w:pStyle w:val="Normal1"/>
        <w:spacing w:after="0"/>
        <w:jc w:val="both"/>
        <w:rPr>
          <w:b/>
          <w:color w:val="000000"/>
          <w:sz w:val="24"/>
          <w:szCs w:val="24"/>
        </w:rPr>
      </w:pPr>
      <w:r>
        <w:rPr>
          <w:b/>
          <w:color w:val="000000"/>
          <w:sz w:val="24"/>
          <w:szCs w:val="24"/>
        </w:rPr>
        <w:t xml:space="preserve">Le conseil de santé du district (CSD) </w:t>
      </w:r>
      <w:r>
        <w:rPr>
          <w:color w:val="000000"/>
          <w:sz w:val="24"/>
          <w:szCs w:val="24"/>
        </w:rPr>
        <w:t>assurera le suivi des progrès au niveau du district, prendront les mesures correctives nécessaires et rendra compte au niveau régional.</w:t>
      </w:r>
    </w:p>
    <w:p w:rsidR="00314B92" w:rsidRDefault="00AD5F81">
      <w:pPr>
        <w:pStyle w:val="Normal1"/>
        <w:spacing w:after="0"/>
        <w:jc w:val="both"/>
        <w:rPr>
          <w:color w:val="000000"/>
          <w:sz w:val="24"/>
          <w:szCs w:val="24"/>
        </w:rPr>
      </w:pPr>
      <w:r>
        <w:rPr>
          <w:b/>
          <w:color w:val="000000"/>
          <w:sz w:val="24"/>
          <w:szCs w:val="24"/>
        </w:rPr>
        <w:t>Les Directions techniques</w:t>
      </w:r>
      <w:r>
        <w:rPr>
          <w:color w:val="000000"/>
          <w:sz w:val="24"/>
          <w:szCs w:val="24"/>
        </w:rPr>
        <w:t xml:space="preserve"> produiront régulièrement les rapports sur le niveau de mise en œuvre des activités et de réalisation des objectifs, prépareront les rapports annuels de progrès.</w:t>
      </w:r>
    </w:p>
    <w:p w:rsidR="00314B92" w:rsidRDefault="00AD5F81" w:rsidP="00EC1135">
      <w:pPr>
        <w:pStyle w:val="Normal1"/>
        <w:spacing w:after="0"/>
        <w:jc w:val="both"/>
        <w:rPr>
          <w:sz w:val="24"/>
          <w:szCs w:val="24"/>
        </w:rPr>
      </w:pPr>
      <w:r>
        <w:rPr>
          <w:b/>
          <w:color w:val="000000"/>
          <w:sz w:val="24"/>
          <w:szCs w:val="24"/>
        </w:rPr>
        <w:t>La Direction en charge du SNIS</w:t>
      </w:r>
      <w:r>
        <w:rPr>
          <w:color w:val="000000"/>
          <w:sz w:val="24"/>
          <w:szCs w:val="24"/>
        </w:rPr>
        <w:t xml:space="preserve"> aura pour rôle de </w:t>
      </w:r>
      <w:r>
        <w:rPr>
          <w:sz w:val="24"/>
          <w:szCs w:val="24"/>
        </w:rPr>
        <w:t>coordonner la production et la validation de l’information sanitaire, de centraliser, traiter et diffuser les données du système de routine, de veiller à la qualité des données produites à tous les niveaux du système de santé et de veiller à la disponibilité, dans les délais, des données pour aliment</w:t>
      </w:r>
      <w:r w:rsidR="00DF298A">
        <w:rPr>
          <w:sz w:val="24"/>
          <w:szCs w:val="24"/>
        </w:rPr>
        <w:t>er le cadre de suivi-évaluation.</w:t>
      </w:r>
    </w:p>
    <w:p w:rsidR="00314B92" w:rsidRDefault="00AD5F81" w:rsidP="00EC1135">
      <w:pPr>
        <w:pStyle w:val="Normal1"/>
        <w:spacing w:after="0"/>
        <w:jc w:val="both"/>
        <w:rPr>
          <w:sz w:val="24"/>
          <w:szCs w:val="24"/>
        </w:rPr>
      </w:pPr>
      <w:r>
        <w:rPr>
          <w:b/>
          <w:color w:val="000000"/>
          <w:sz w:val="24"/>
          <w:szCs w:val="24"/>
        </w:rPr>
        <w:t>La Direction</w:t>
      </w:r>
      <w:r>
        <w:rPr>
          <w:b/>
          <w:sz w:val="24"/>
          <w:szCs w:val="24"/>
        </w:rPr>
        <w:t xml:space="preserve"> de l’Administration et des finances (DAF)</w:t>
      </w:r>
      <w:r>
        <w:rPr>
          <w:sz w:val="24"/>
          <w:szCs w:val="24"/>
        </w:rPr>
        <w:t xml:space="preserve"> produira régulièrement la situation d’exécution du budget du DI en SRMNEAN-ECSV et des rapports de gestion des ressources financières et matérielles à l’intention du CSD. </w:t>
      </w:r>
    </w:p>
    <w:p w:rsidR="00314B92" w:rsidRDefault="009B5EB2" w:rsidP="00EC1135">
      <w:pPr>
        <w:pStyle w:val="Normal1"/>
        <w:spacing w:after="0"/>
        <w:jc w:val="both"/>
        <w:rPr>
          <w:color w:val="000000"/>
          <w:sz w:val="24"/>
          <w:szCs w:val="24"/>
        </w:rPr>
      </w:pPr>
      <w:r w:rsidRPr="009B5EB2">
        <w:rPr>
          <w:sz w:val="24"/>
          <w:szCs w:val="24"/>
        </w:rPr>
        <w:t>Les acteurs du privé médical, des ONG et associations, des agents de santé communautaire fourniront les informations permettant de renseigner les indicateurs de suivi et contribueront au suivi et à l’évaluation de la mise en œuvre des activités du DI en SRMNEAN-ECSV.</w:t>
      </w:r>
    </w:p>
    <w:p w:rsidR="006D2860" w:rsidRDefault="00AD5F81" w:rsidP="00EC1135">
      <w:pPr>
        <w:pStyle w:val="Normal1"/>
        <w:numPr>
          <w:ilvl w:val="3"/>
          <w:numId w:val="60"/>
        </w:numPr>
        <w:pBdr>
          <w:top w:val="nil"/>
          <w:left w:val="nil"/>
          <w:bottom w:val="nil"/>
          <w:right w:val="nil"/>
          <w:between w:val="nil"/>
        </w:pBdr>
        <w:spacing w:after="0"/>
        <w:jc w:val="both"/>
        <w:rPr>
          <w:color w:val="000000"/>
        </w:rPr>
      </w:pPr>
      <w:r>
        <w:rPr>
          <w:b/>
          <w:color w:val="000000"/>
          <w:sz w:val="24"/>
          <w:szCs w:val="24"/>
        </w:rPr>
        <w:t>Les exercices d’évaluation</w:t>
      </w:r>
    </w:p>
    <w:p w:rsidR="006D2860" w:rsidRDefault="00AD5F81" w:rsidP="00EC1135">
      <w:pPr>
        <w:pStyle w:val="Normal1"/>
        <w:spacing w:after="0"/>
        <w:jc w:val="both"/>
      </w:pPr>
      <w:r>
        <w:rPr>
          <w:b/>
          <w:color w:val="000000"/>
          <w:sz w:val="24"/>
          <w:szCs w:val="24"/>
        </w:rPr>
        <w:t>Les sorties conjointes</w:t>
      </w:r>
      <w:r>
        <w:rPr>
          <w:color w:val="000000"/>
          <w:sz w:val="24"/>
          <w:szCs w:val="24"/>
        </w:rPr>
        <w:t xml:space="preserve"> pour conforter l’information transmise à travers les rapports ou les indicateurs de performance</w:t>
      </w:r>
    </w:p>
    <w:p w:rsidR="006D2860" w:rsidRDefault="00AD5F81" w:rsidP="00EC1135">
      <w:pPr>
        <w:pStyle w:val="Normal1"/>
        <w:spacing w:after="0"/>
        <w:jc w:val="both"/>
      </w:pPr>
      <w:r>
        <w:rPr>
          <w:b/>
          <w:color w:val="000000"/>
          <w:sz w:val="24"/>
          <w:szCs w:val="24"/>
        </w:rPr>
        <w:t>L’EF 7</w:t>
      </w:r>
      <w:r>
        <w:rPr>
          <w:color w:val="000000"/>
          <w:sz w:val="24"/>
          <w:szCs w:val="24"/>
        </w:rPr>
        <w:t xml:space="preserve"> organisera au moins deux sessions de travail par an pour suivre la mise en œuvre du DI en SRMNEAN-ECSV. </w:t>
      </w:r>
    </w:p>
    <w:p w:rsidR="006D2860" w:rsidRDefault="00AD5F81" w:rsidP="00EC1135">
      <w:pPr>
        <w:pStyle w:val="Normal1"/>
        <w:spacing w:after="0"/>
        <w:jc w:val="both"/>
        <w:rPr>
          <w:sz w:val="24"/>
          <w:szCs w:val="24"/>
        </w:rPr>
      </w:pPr>
      <w:r>
        <w:rPr>
          <w:b/>
          <w:color w:val="000000"/>
          <w:sz w:val="24"/>
          <w:szCs w:val="24"/>
        </w:rPr>
        <w:t>La revue sectorielle annuelle</w:t>
      </w:r>
      <w:r>
        <w:rPr>
          <w:color w:val="000000"/>
          <w:sz w:val="24"/>
          <w:szCs w:val="24"/>
        </w:rPr>
        <w:t xml:space="preserve"> permettra, chaque année, d’analyse l</w:t>
      </w:r>
      <w:r w:rsidR="009B5EB2" w:rsidRPr="009B5EB2">
        <w:rPr>
          <w:sz w:val="24"/>
          <w:szCs w:val="24"/>
        </w:rPr>
        <w:t>es performances et d’identifier les goulots d’étranglements ayant empêché l’atteinte des objectifs.</w:t>
      </w:r>
    </w:p>
    <w:p w:rsidR="006D2860" w:rsidRDefault="00AD5F81" w:rsidP="00EC1135">
      <w:pPr>
        <w:pStyle w:val="Normal1"/>
        <w:spacing w:after="0"/>
        <w:jc w:val="both"/>
      </w:pPr>
      <w:r>
        <w:rPr>
          <w:b/>
          <w:color w:val="000000"/>
          <w:sz w:val="24"/>
          <w:szCs w:val="24"/>
        </w:rPr>
        <w:t>Une évaluation indépendante</w:t>
      </w:r>
      <w:r>
        <w:rPr>
          <w:color w:val="000000"/>
          <w:sz w:val="24"/>
          <w:szCs w:val="24"/>
        </w:rPr>
        <w:t xml:space="preserve"> sera réalisée </w:t>
      </w:r>
      <w:r>
        <w:rPr>
          <w:b/>
          <w:color w:val="000000"/>
          <w:sz w:val="24"/>
          <w:szCs w:val="24"/>
        </w:rPr>
        <w:t>à mi-parcours</w:t>
      </w:r>
      <w:r>
        <w:rPr>
          <w:color w:val="000000"/>
          <w:sz w:val="24"/>
          <w:szCs w:val="24"/>
        </w:rPr>
        <w:t xml:space="preserve"> pour identifier les progrès réalisés et formuler les recommandations pour améliorer les performances.</w:t>
      </w:r>
    </w:p>
    <w:p w:rsidR="006D2860" w:rsidRDefault="00AD5F81" w:rsidP="00EC1135">
      <w:pPr>
        <w:pStyle w:val="Normal1"/>
        <w:spacing w:after="0"/>
        <w:jc w:val="both"/>
      </w:pPr>
      <w:r>
        <w:rPr>
          <w:b/>
          <w:color w:val="000000"/>
          <w:sz w:val="24"/>
          <w:szCs w:val="24"/>
        </w:rPr>
        <w:t>Une évaluation finale indépendante</w:t>
      </w:r>
      <w:r>
        <w:rPr>
          <w:color w:val="000000"/>
          <w:sz w:val="24"/>
          <w:szCs w:val="24"/>
        </w:rPr>
        <w:t xml:space="preserve"> sera réalisée en 2023 pour évaluer le niveau d’atteinte des objectifs et résultats attendus.</w:t>
      </w:r>
    </w:p>
    <w:p w:rsidR="006D2860" w:rsidRDefault="006D2860">
      <w:pPr>
        <w:pStyle w:val="Normal1"/>
        <w:spacing w:after="0"/>
        <w:jc w:val="both"/>
      </w:pPr>
    </w:p>
    <w:p w:rsidR="00314B92" w:rsidRDefault="00AD5F81" w:rsidP="005D02C3">
      <w:pPr>
        <w:pStyle w:val="Normal1"/>
        <w:numPr>
          <w:ilvl w:val="3"/>
          <w:numId w:val="60"/>
        </w:numPr>
        <w:pBdr>
          <w:top w:val="nil"/>
          <w:left w:val="nil"/>
          <w:bottom w:val="nil"/>
          <w:right w:val="nil"/>
          <w:between w:val="nil"/>
        </w:pBdr>
        <w:spacing w:after="0"/>
        <w:jc w:val="both"/>
        <w:rPr>
          <w:b/>
          <w:color w:val="000000"/>
          <w:sz w:val="24"/>
          <w:szCs w:val="24"/>
        </w:rPr>
      </w:pPr>
      <w:r>
        <w:rPr>
          <w:b/>
          <w:color w:val="000000"/>
          <w:sz w:val="24"/>
          <w:szCs w:val="24"/>
        </w:rPr>
        <w:t>Les indicateurs clés</w:t>
      </w:r>
    </w:p>
    <w:p w:rsidR="003D786D" w:rsidRPr="003D786D" w:rsidRDefault="003D786D" w:rsidP="003D786D">
      <w:pPr>
        <w:rPr>
          <w:sz w:val="24"/>
          <w:szCs w:val="24"/>
        </w:rPr>
      </w:pPr>
      <w:r w:rsidRPr="003D786D">
        <w:rPr>
          <w:sz w:val="24"/>
          <w:szCs w:val="24"/>
        </w:rPr>
        <w:t>Le cadre de performance comprend 51 indicateurs  dont 5 indicateurs d’Impact, 15 indicateurs d’effets et 31 indicateurs pour les produits.</w:t>
      </w:r>
    </w:p>
    <w:p w:rsidR="003D786D" w:rsidRPr="003D786D" w:rsidRDefault="003D786D" w:rsidP="003D786D">
      <w:pPr>
        <w:rPr>
          <w:sz w:val="24"/>
          <w:szCs w:val="24"/>
        </w:rPr>
      </w:pPr>
      <w:r w:rsidRPr="003D786D">
        <w:rPr>
          <w:sz w:val="24"/>
          <w:szCs w:val="24"/>
        </w:rPr>
        <w:t xml:space="preserve">La plupart des indicateurs sont tirés du cadre de suivi évaluation du PNDS 2011-2020. Pour les indicateurs d’impact, les projections ont été faites à l’aide de l’outil One Health. </w:t>
      </w:r>
    </w:p>
    <w:p w:rsidR="003D786D" w:rsidRPr="003D786D" w:rsidRDefault="003D786D" w:rsidP="003D786D">
      <w:pPr>
        <w:rPr>
          <w:sz w:val="24"/>
          <w:szCs w:val="24"/>
        </w:rPr>
      </w:pPr>
      <w:r w:rsidRPr="003D786D">
        <w:rPr>
          <w:sz w:val="24"/>
          <w:szCs w:val="24"/>
        </w:rPr>
        <w:t>Des indicateurs spécifiques ont été rajoutés notamment pour mesurer les performances des interventions de  santé communautaire, de  nutrition et en matière de qualité des services et des soins.</w:t>
      </w:r>
    </w:p>
    <w:p w:rsidR="006D2860" w:rsidRDefault="006D2860">
      <w:pPr>
        <w:pStyle w:val="Normal1"/>
        <w:spacing w:after="0"/>
        <w:jc w:val="both"/>
        <w:rPr>
          <w:color w:val="000000"/>
          <w:sz w:val="24"/>
          <w:szCs w:val="24"/>
        </w:rPr>
      </w:pPr>
    </w:p>
    <w:p w:rsidR="00BC72EA" w:rsidRDefault="00BC72EA">
      <w:pPr>
        <w:pStyle w:val="Normal1"/>
        <w:spacing w:after="0"/>
        <w:jc w:val="both"/>
        <w:rPr>
          <w:b/>
          <w:color w:val="000000"/>
          <w:sz w:val="24"/>
          <w:szCs w:val="24"/>
        </w:rPr>
        <w:sectPr w:rsidR="00BC72EA" w:rsidSect="003339F3">
          <w:footerReference w:type="default" r:id="rId52"/>
          <w:type w:val="continuous"/>
          <w:pgSz w:w="11906" w:h="16838"/>
          <w:pgMar w:top="1152" w:right="1440" w:bottom="1152" w:left="1440" w:header="720" w:footer="720" w:gutter="0"/>
          <w:pgNumType w:chapStyle="1"/>
          <w:cols w:space="720"/>
        </w:sectPr>
      </w:pPr>
    </w:p>
    <w:tbl>
      <w:tblPr>
        <w:tblStyle w:val="Grilledutableau"/>
        <w:tblW w:w="14425" w:type="dxa"/>
        <w:tblLayout w:type="fixed"/>
        <w:tblLook w:val="04A0" w:firstRow="1" w:lastRow="0" w:firstColumn="1" w:lastColumn="0" w:noHBand="0" w:noVBand="1"/>
      </w:tblPr>
      <w:tblGrid>
        <w:gridCol w:w="534"/>
        <w:gridCol w:w="5103"/>
        <w:gridCol w:w="37"/>
        <w:gridCol w:w="813"/>
        <w:gridCol w:w="851"/>
        <w:gridCol w:w="708"/>
        <w:gridCol w:w="709"/>
        <w:gridCol w:w="709"/>
        <w:gridCol w:w="764"/>
        <w:gridCol w:w="915"/>
        <w:gridCol w:w="919"/>
        <w:gridCol w:w="919"/>
        <w:gridCol w:w="1444"/>
      </w:tblGrid>
      <w:tr w:rsidR="00BC72EA" w:rsidRPr="005352AA" w:rsidTr="003373DE">
        <w:tc>
          <w:tcPr>
            <w:tcW w:w="14425" w:type="dxa"/>
            <w:gridSpan w:val="13"/>
          </w:tcPr>
          <w:p w:rsidR="00BC72EA" w:rsidRPr="00212448" w:rsidRDefault="003373DE" w:rsidP="003373DE">
            <w:pPr>
              <w:rPr>
                <w:rFonts w:asciiTheme="majorHAnsi" w:hAnsiTheme="majorHAnsi" w:cstheme="majorHAnsi"/>
                <w:b/>
                <w:sz w:val="28"/>
                <w:szCs w:val="28"/>
              </w:rPr>
            </w:pPr>
            <w:r>
              <w:rPr>
                <w:rFonts w:asciiTheme="majorHAnsi" w:hAnsiTheme="majorHAnsi" w:cstheme="majorHAnsi"/>
                <w:b/>
                <w:sz w:val="28"/>
                <w:szCs w:val="28"/>
              </w:rPr>
              <w:t>TABLEAU 10</w:t>
            </w:r>
            <w:r w:rsidR="00BC72EA">
              <w:rPr>
                <w:rFonts w:asciiTheme="majorHAnsi" w:hAnsiTheme="majorHAnsi" w:cstheme="majorHAnsi"/>
                <w:b/>
                <w:sz w:val="28"/>
                <w:szCs w:val="28"/>
              </w:rPr>
              <w:t xml:space="preserve"> : </w:t>
            </w:r>
            <w:r w:rsidR="00BC72EA" w:rsidRPr="001D30C8">
              <w:rPr>
                <w:rFonts w:asciiTheme="majorHAnsi" w:hAnsiTheme="majorHAnsi" w:cstheme="majorHAnsi"/>
                <w:b/>
                <w:sz w:val="28"/>
                <w:szCs w:val="28"/>
              </w:rPr>
              <w:t>CADRE DE PERFORMANCE</w:t>
            </w:r>
          </w:p>
        </w:tc>
      </w:tr>
      <w:tr w:rsidR="00BC72EA" w:rsidRPr="00F93C2C" w:rsidTr="003373DE">
        <w:tc>
          <w:tcPr>
            <w:tcW w:w="14425" w:type="dxa"/>
            <w:gridSpan w:val="13"/>
            <w:shd w:val="clear" w:color="auto" w:fill="31849B" w:themeFill="accent5" w:themeFillShade="BF"/>
          </w:tcPr>
          <w:p w:rsidR="00BC72EA" w:rsidRPr="00F93C2C" w:rsidRDefault="00BC72EA" w:rsidP="003373DE">
            <w:pPr>
              <w:rPr>
                <w:rFonts w:asciiTheme="majorHAnsi" w:hAnsiTheme="majorHAnsi" w:cstheme="majorHAnsi"/>
                <w:b/>
                <w:color w:val="FFFFFF" w:themeColor="background1"/>
                <w:sz w:val="24"/>
                <w:szCs w:val="24"/>
              </w:rPr>
            </w:pPr>
            <w:r w:rsidRPr="00F93C2C">
              <w:rPr>
                <w:rFonts w:asciiTheme="majorHAnsi" w:hAnsiTheme="majorHAnsi" w:cstheme="majorHAnsi"/>
                <w:b/>
                <w:color w:val="FFFFFF" w:themeColor="background1"/>
                <w:sz w:val="24"/>
                <w:szCs w:val="24"/>
              </w:rPr>
              <w:t>IMPACT : LA MORTALITE MATERNELLE, NEONATALE ET  INFANTO-JUVENILE EST REDUITE</w:t>
            </w:r>
          </w:p>
        </w:tc>
      </w:tr>
      <w:tr w:rsidR="00BC72EA" w:rsidRPr="005352AA" w:rsidTr="003373DE">
        <w:tc>
          <w:tcPr>
            <w:tcW w:w="534" w:type="dxa"/>
          </w:tcPr>
          <w:p w:rsidR="00BC72EA" w:rsidRPr="005352AA" w:rsidRDefault="00BC72EA" w:rsidP="003373DE">
            <w:pPr>
              <w:rPr>
                <w:b/>
              </w:rPr>
            </w:pPr>
          </w:p>
        </w:tc>
        <w:tc>
          <w:tcPr>
            <w:tcW w:w="5103"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INDICATEURS DE PERFORMANCE</w:t>
            </w:r>
          </w:p>
        </w:tc>
        <w:tc>
          <w:tcPr>
            <w:tcW w:w="850" w:type="dxa"/>
            <w:gridSpan w:val="2"/>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Base</w:t>
            </w:r>
          </w:p>
        </w:tc>
        <w:tc>
          <w:tcPr>
            <w:tcW w:w="851"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2019</w:t>
            </w:r>
          </w:p>
        </w:tc>
        <w:tc>
          <w:tcPr>
            <w:tcW w:w="708"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2020</w:t>
            </w:r>
          </w:p>
        </w:tc>
        <w:tc>
          <w:tcPr>
            <w:tcW w:w="70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2021</w:t>
            </w:r>
          </w:p>
        </w:tc>
        <w:tc>
          <w:tcPr>
            <w:tcW w:w="70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2022</w:t>
            </w:r>
          </w:p>
        </w:tc>
        <w:tc>
          <w:tcPr>
            <w:tcW w:w="764"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2023</w:t>
            </w:r>
          </w:p>
        </w:tc>
        <w:tc>
          <w:tcPr>
            <w:tcW w:w="915"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SOURCE</w:t>
            </w:r>
          </w:p>
        </w:tc>
        <w:tc>
          <w:tcPr>
            <w:tcW w:w="91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COLLECTE</w:t>
            </w:r>
          </w:p>
        </w:tc>
        <w:tc>
          <w:tcPr>
            <w:tcW w:w="91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PERIODE</w:t>
            </w:r>
          </w:p>
        </w:tc>
        <w:tc>
          <w:tcPr>
            <w:tcW w:w="1444"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RESPONSABLE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 xml:space="preserve">Ratio de mortalité maternelle </w:t>
            </w:r>
          </w:p>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(Décès /100 000 naissances vivantes)</w:t>
            </w:r>
          </w:p>
        </w:tc>
        <w:tc>
          <w:tcPr>
            <w:tcW w:w="850" w:type="dxa"/>
            <w:gridSpan w:val="2"/>
            <w:vAlign w:val="center"/>
          </w:tcPr>
          <w:p w:rsidR="00BC72EA" w:rsidRPr="001D30C8" w:rsidRDefault="00BC72EA" w:rsidP="003373DE">
            <w:pPr>
              <w:jc w:val="right"/>
              <w:rPr>
                <w:rFonts w:asciiTheme="majorHAnsi" w:hAnsiTheme="majorHAnsi" w:cstheme="majorHAnsi"/>
                <w:b/>
                <w:sz w:val="20"/>
                <w:szCs w:val="20"/>
              </w:rPr>
            </w:pPr>
            <w:r w:rsidRPr="001D30C8">
              <w:rPr>
                <w:rFonts w:asciiTheme="majorHAnsi" w:hAnsiTheme="majorHAnsi" w:cstheme="majorHAnsi"/>
                <w:b/>
                <w:sz w:val="20"/>
                <w:szCs w:val="20"/>
              </w:rPr>
              <w:t>330</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295,64</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277,1</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260,3</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245,0</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231,2</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EMDS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5 ans</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MS/SIS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Taux de mortalité néonatale</w:t>
            </w:r>
            <w:r>
              <w:rPr>
                <w:rFonts w:asciiTheme="majorHAnsi" w:hAnsiTheme="majorHAnsi" w:cstheme="majorHAnsi"/>
                <w:sz w:val="20"/>
                <w:szCs w:val="20"/>
              </w:rPr>
              <w:t xml:space="preserve"> </w:t>
            </w:r>
          </w:p>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(Décès /1000</w:t>
            </w:r>
            <w:r w:rsidRPr="001D30C8">
              <w:rPr>
                <w:rFonts w:asciiTheme="majorHAnsi" w:hAnsiTheme="majorHAnsi" w:cstheme="majorHAnsi"/>
                <w:sz w:val="20"/>
                <w:szCs w:val="20"/>
              </w:rPr>
              <w:t xml:space="preserve"> naissances vivantes)</w:t>
            </w:r>
          </w:p>
        </w:tc>
        <w:tc>
          <w:tcPr>
            <w:tcW w:w="850" w:type="dxa"/>
            <w:gridSpan w:val="2"/>
            <w:vAlign w:val="center"/>
          </w:tcPr>
          <w:p w:rsidR="00BC72EA" w:rsidRPr="001D30C8" w:rsidRDefault="00BC72EA" w:rsidP="003373DE">
            <w:pPr>
              <w:jc w:val="right"/>
              <w:rPr>
                <w:rFonts w:asciiTheme="majorHAnsi" w:hAnsiTheme="majorHAnsi" w:cstheme="majorHAnsi"/>
                <w:b/>
                <w:sz w:val="20"/>
                <w:szCs w:val="20"/>
              </w:rPr>
            </w:pPr>
            <w:r w:rsidRPr="001D30C8">
              <w:rPr>
                <w:rFonts w:asciiTheme="majorHAnsi" w:hAnsiTheme="majorHAnsi" w:cstheme="majorHAnsi"/>
                <w:b/>
                <w:sz w:val="20"/>
                <w:szCs w:val="20"/>
              </w:rPr>
              <w:t>23,2</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19,69</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17,12</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15,33</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14,06</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12,86</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EMDS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5 ans</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MS/SIS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Taux de mortalité infantile</w:t>
            </w:r>
          </w:p>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(Décès /1</w:t>
            </w:r>
            <w:r w:rsidRPr="001D30C8">
              <w:rPr>
                <w:rFonts w:asciiTheme="majorHAnsi" w:hAnsiTheme="majorHAnsi" w:cstheme="majorHAnsi"/>
                <w:sz w:val="20"/>
                <w:szCs w:val="20"/>
              </w:rPr>
              <w:t>000 naissances vivantes)</w:t>
            </w:r>
          </w:p>
        </w:tc>
        <w:tc>
          <w:tcPr>
            <w:tcW w:w="850" w:type="dxa"/>
            <w:gridSpan w:val="2"/>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42,61</w:t>
            </w:r>
          </w:p>
        </w:tc>
        <w:tc>
          <w:tcPr>
            <w:tcW w:w="851" w:type="dxa"/>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33,59</w:t>
            </w:r>
          </w:p>
        </w:tc>
        <w:tc>
          <w:tcPr>
            <w:tcW w:w="708" w:type="dxa"/>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30,42</w:t>
            </w:r>
          </w:p>
        </w:tc>
        <w:tc>
          <w:tcPr>
            <w:tcW w:w="709" w:type="dxa"/>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28,12</w:t>
            </w:r>
          </w:p>
        </w:tc>
        <w:tc>
          <w:tcPr>
            <w:tcW w:w="709" w:type="dxa"/>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26,41</w:t>
            </w:r>
          </w:p>
        </w:tc>
        <w:tc>
          <w:tcPr>
            <w:tcW w:w="764" w:type="dxa"/>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24,88</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EMDS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5 ans</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MS/SIS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Taux de mortalité infanto-juvénile</w:t>
            </w:r>
          </w:p>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(Décès /1</w:t>
            </w:r>
            <w:r w:rsidRPr="001D30C8">
              <w:rPr>
                <w:rFonts w:asciiTheme="majorHAnsi" w:hAnsiTheme="majorHAnsi" w:cstheme="majorHAnsi"/>
                <w:sz w:val="20"/>
                <w:szCs w:val="20"/>
              </w:rPr>
              <w:t>000 naissances vivantes)</w:t>
            </w:r>
          </w:p>
        </w:tc>
        <w:tc>
          <w:tcPr>
            <w:tcW w:w="850" w:type="dxa"/>
            <w:gridSpan w:val="2"/>
            <w:vAlign w:val="center"/>
          </w:tcPr>
          <w:p w:rsidR="00BC72EA" w:rsidRPr="001D30C8" w:rsidRDefault="00BC72EA" w:rsidP="003373DE">
            <w:pPr>
              <w:jc w:val="right"/>
              <w:rPr>
                <w:rFonts w:asciiTheme="majorHAnsi" w:hAnsiTheme="majorHAnsi" w:cstheme="majorHAnsi"/>
                <w:b/>
                <w:sz w:val="20"/>
                <w:szCs w:val="20"/>
              </w:rPr>
            </w:pPr>
            <w:r w:rsidRPr="001D30C8">
              <w:rPr>
                <w:rFonts w:asciiTheme="majorHAnsi" w:hAnsiTheme="majorHAnsi" w:cstheme="majorHAnsi"/>
                <w:b/>
                <w:sz w:val="20"/>
                <w:szCs w:val="20"/>
              </w:rPr>
              <w:t>81,6</w:t>
            </w:r>
          </w:p>
        </w:tc>
        <w:tc>
          <w:tcPr>
            <w:tcW w:w="851"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58,77</w:t>
            </w:r>
          </w:p>
        </w:tc>
        <w:tc>
          <w:tcPr>
            <w:tcW w:w="708"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52,54</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47,93</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44,43</w:t>
            </w:r>
          </w:p>
        </w:tc>
        <w:tc>
          <w:tcPr>
            <w:tcW w:w="764"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41,65</w:t>
            </w:r>
          </w:p>
        </w:tc>
        <w:tc>
          <w:tcPr>
            <w:tcW w:w="915"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EMDS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5 ans</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MS/SIS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Indice synthétique de fécondité</w:t>
            </w:r>
          </w:p>
        </w:tc>
        <w:tc>
          <w:tcPr>
            <w:tcW w:w="850" w:type="dxa"/>
            <w:gridSpan w:val="2"/>
            <w:vAlign w:val="center"/>
          </w:tcPr>
          <w:p w:rsidR="00BC72EA" w:rsidRPr="001D30C8" w:rsidRDefault="00BC72EA" w:rsidP="003373DE">
            <w:pPr>
              <w:jc w:val="right"/>
              <w:rPr>
                <w:rFonts w:asciiTheme="majorHAnsi" w:hAnsiTheme="majorHAnsi" w:cstheme="majorHAnsi"/>
                <w:b/>
                <w:sz w:val="20"/>
                <w:szCs w:val="20"/>
              </w:rPr>
            </w:pPr>
            <w:r w:rsidRPr="001D30C8">
              <w:rPr>
                <w:rFonts w:asciiTheme="majorHAnsi" w:hAnsiTheme="majorHAnsi" w:cstheme="majorHAnsi"/>
                <w:b/>
                <w:sz w:val="20"/>
                <w:szCs w:val="20"/>
              </w:rPr>
              <w:t>5,4</w:t>
            </w:r>
          </w:p>
        </w:tc>
        <w:tc>
          <w:tcPr>
            <w:tcW w:w="851"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4,9</w:t>
            </w:r>
          </w:p>
        </w:tc>
        <w:tc>
          <w:tcPr>
            <w:tcW w:w="708"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4,7</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4,5</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4,3</w:t>
            </w:r>
          </w:p>
        </w:tc>
        <w:tc>
          <w:tcPr>
            <w:tcW w:w="764"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4,1</w:t>
            </w:r>
          </w:p>
        </w:tc>
        <w:tc>
          <w:tcPr>
            <w:tcW w:w="915"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EMDS</w:t>
            </w:r>
          </w:p>
        </w:tc>
        <w:tc>
          <w:tcPr>
            <w:tcW w:w="919"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Enquête</w:t>
            </w:r>
          </w:p>
        </w:tc>
        <w:tc>
          <w:tcPr>
            <w:tcW w:w="919"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5 ans</w:t>
            </w:r>
          </w:p>
        </w:tc>
        <w:tc>
          <w:tcPr>
            <w:tcW w:w="1444" w:type="dxa"/>
            <w:vAlign w:val="center"/>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MS/SIS</w:t>
            </w:r>
          </w:p>
        </w:tc>
      </w:tr>
      <w:tr w:rsidR="00BC72EA" w:rsidRPr="00673CE5" w:rsidTr="003373DE">
        <w:tc>
          <w:tcPr>
            <w:tcW w:w="14425" w:type="dxa"/>
            <w:gridSpan w:val="13"/>
            <w:shd w:val="clear" w:color="auto" w:fill="D6E3BC" w:themeFill="accent3" w:themeFillTint="66"/>
          </w:tcPr>
          <w:p w:rsidR="00BC72EA" w:rsidRPr="00F93C2C" w:rsidRDefault="00BC72EA" w:rsidP="003373DE">
            <w:pPr>
              <w:jc w:val="both"/>
              <w:rPr>
                <w:rFonts w:cstheme="minorHAnsi"/>
                <w:sz w:val="24"/>
                <w:szCs w:val="24"/>
              </w:rPr>
            </w:pPr>
            <w:r w:rsidRPr="00F93C2C">
              <w:rPr>
                <w:rFonts w:cstheme="minorHAnsi"/>
                <w:sz w:val="24"/>
                <w:szCs w:val="24"/>
              </w:rPr>
              <w:t>EFFET 1 : L’UTILISATION DES SERVICES ESSENTIELS DE SRMNEAN DE QUALITE ET A HAUT IMPACT AUGMENTE</w:t>
            </w:r>
          </w:p>
        </w:tc>
      </w:tr>
      <w:tr w:rsidR="00BC72EA" w:rsidRPr="005352AA" w:rsidTr="003373DE">
        <w:tc>
          <w:tcPr>
            <w:tcW w:w="534" w:type="dxa"/>
          </w:tcPr>
          <w:p w:rsidR="00BC72EA" w:rsidRPr="005352AA" w:rsidRDefault="00BC72EA" w:rsidP="003373DE">
            <w:pPr>
              <w:rPr>
                <w:b/>
              </w:rPr>
            </w:pPr>
          </w:p>
        </w:tc>
        <w:tc>
          <w:tcPr>
            <w:tcW w:w="5140" w:type="dxa"/>
            <w:gridSpan w:val="2"/>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INDICATEURS DE PERFORMANCE</w:t>
            </w:r>
          </w:p>
        </w:tc>
        <w:tc>
          <w:tcPr>
            <w:tcW w:w="813"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Base</w:t>
            </w:r>
          </w:p>
        </w:tc>
        <w:tc>
          <w:tcPr>
            <w:tcW w:w="851"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2019</w:t>
            </w:r>
          </w:p>
        </w:tc>
        <w:tc>
          <w:tcPr>
            <w:tcW w:w="708"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2020</w:t>
            </w:r>
          </w:p>
        </w:tc>
        <w:tc>
          <w:tcPr>
            <w:tcW w:w="70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2021</w:t>
            </w:r>
          </w:p>
        </w:tc>
        <w:tc>
          <w:tcPr>
            <w:tcW w:w="70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2022</w:t>
            </w:r>
          </w:p>
        </w:tc>
        <w:tc>
          <w:tcPr>
            <w:tcW w:w="764"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2023</w:t>
            </w:r>
          </w:p>
        </w:tc>
        <w:tc>
          <w:tcPr>
            <w:tcW w:w="915"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SOURCE</w:t>
            </w:r>
          </w:p>
        </w:tc>
        <w:tc>
          <w:tcPr>
            <w:tcW w:w="91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COLLECTE</w:t>
            </w:r>
          </w:p>
        </w:tc>
        <w:tc>
          <w:tcPr>
            <w:tcW w:w="919"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PERIODE</w:t>
            </w:r>
          </w:p>
        </w:tc>
        <w:tc>
          <w:tcPr>
            <w:tcW w:w="1444" w:type="dxa"/>
          </w:tcPr>
          <w:p w:rsidR="00BC72EA" w:rsidRPr="005352AA" w:rsidRDefault="00BC72EA" w:rsidP="003373DE">
            <w:pPr>
              <w:rPr>
                <w:rFonts w:asciiTheme="majorHAnsi" w:hAnsiTheme="majorHAnsi" w:cstheme="majorHAnsi"/>
                <w:b/>
                <w:sz w:val="16"/>
                <w:szCs w:val="16"/>
              </w:rPr>
            </w:pPr>
            <w:r w:rsidRPr="005352AA">
              <w:rPr>
                <w:rFonts w:asciiTheme="majorHAnsi" w:hAnsiTheme="majorHAnsi" w:cstheme="majorHAnsi"/>
                <w:b/>
                <w:sz w:val="16"/>
                <w:szCs w:val="16"/>
              </w:rPr>
              <w:t>RESPONSABLE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Prévalence de l’anémie che</w:t>
            </w:r>
            <w:r>
              <w:rPr>
                <w:rFonts w:asciiTheme="majorHAnsi" w:hAnsiTheme="majorHAnsi" w:cstheme="majorHAnsi"/>
                <w:sz w:val="20"/>
                <w:szCs w:val="20"/>
              </w:rPr>
              <w:t>z les femmes en âge de procréer (15-</w:t>
            </w:r>
            <w:r w:rsidRPr="001D30C8">
              <w:rPr>
                <w:rFonts w:asciiTheme="majorHAnsi" w:hAnsiTheme="majorHAnsi" w:cstheme="majorHAnsi"/>
                <w:sz w:val="20"/>
                <w:szCs w:val="20"/>
              </w:rPr>
              <w:t>49 ans)</w:t>
            </w:r>
          </w:p>
        </w:tc>
        <w:tc>
          <w:tcPr>
            <w:tcW w:w="813"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ND</w:t>
            </w:r>
          </w:p>
        </w:tc>
        <w:tc>
          <w:tcPr>
            <w:tcW w:w="851"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57,3</w:t>
            </w:r>
          </w:p>
        </w:tc>
        <w:tc>
          <w:tcPr>
            <w:tcW w:w="708"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54,3</w:t>
            </w:r>
          </w:p>
        </w:tc>
        <w:tc>
          <w:tcPr>
            <w:tcW w:w="709"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51,2</w:t>
            </w:r>
          </w:p>
        </w:tc>
        <w:tc>
          <w:tcPr>
            <w:tcW w:w="709"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48,2</w:t>
            </w:r>
          </w:p>
        </w:tc>
        <w:tc>
          <w:tcPr>
            <w:tcW w:w="764"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45,1</w:t>
            </w:r>
          </w:p>
        </w:tc>
        <w:tc>
          <w:tcPr>
            <w:tcW w:w="915" w:type="dxa"/>
          </w:tcPr>
          <w:p w:rsidR="00BC72EA" w:rsidRPr="001D30C8" w:rsidRDefault="00611E16" w:rsidP="00611E16">
            <w:pPr>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ENIAB</w:t>
            </w:r>
          </w:p>
        </w:tc>
        <w:tc>
          <w:tcPr>
            <w:tcW w:w="919" w:type="dxa"/>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D86CF0">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Taux d'accouchement assisté par un personnel qualifié</w:t>
            </w:r>
          </w:p>
        </w:tc>
        <w:tc>
          <w:tcPr>
            <w:tcW w:w="813" w:type="dxa"/>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83,43</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83,58</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83,73</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83,9</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84,0</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85,2</w:t>
            </w:r>
          </w:p>
        </w:tc>
        <w:tc>
          <w:tcPr>
            <w:tcW w:w="915" w:type="dxa"/>
            <w:vAlign w:val="center"/>
          </w:tcPr>
          <w:p w:rsidR="00BC72EA" w:rsidRPr="001D30C8" w:rsidRDefault="00BC72EA" w:rsidP="00611E16">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D86CF0">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Taux de césariennes</w:t>
            </w:r>
          </w:p>
        </w:tc>
        <w:tc>
          <w:tcPr>
            <w:tcW w:w="813" w:type="dxa"/>
            <w:vAlign w:val="center"/>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2,32</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2,34</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2,36</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2, 38</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2,4</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2,4</w:t>
            </w:r>
          </w:p>
        </w:tc>
        <w:tc>
          <w:tcPr>
            <w:tcW w:w="915" w:type="dxa"/>
            <w:vAlign w:val="center"/>
          </w:tcPr>
          <w:p w:rsidR="00BC72EA" w:rsidRPr="001D30C8" w:rsidRDefault="00BC72EA" w:rsidP="00611E16">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D86CF0">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rPr>
          <w:trHeight w:val="324"/>
        </w:trPr>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Taux de transmission mère enfant du VIH</w:t>
            </w:r>
          </w:p>
        </w:tc>
        <w:tc>
          <w:tcPr>
            <w:tcW w:w="813" w:type="dxa"/>
          </w:tcPr>
          <w:p w:rsidR="00BC72EA" w:rsidRPr="001D30C8" w:rsidRDefault="00BC72EA" w:rsidP="003373DE">
            <w:pPr>
              <w:jc w:val="right"/>
              <w:rPr>
                <w:rFonts w:asciiTheme="majorHAnsi" w:hAnsiTheme="majorHAnsi" w:cstheme="majorHAnsi"/>
                <w:sz w:val="20"/>
                <w:szCs w:val="20"/>
              </w:rPr>
            </w:pPr>
          </w:p>
        </w:tc>
        <w:tc>
          <w:tcPr>
            <w:tcW w:w="851"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3,55</w:t>
            </w:r>
          </w:p>
        </w:tc>
        <w:tc>
          <w:tcPr>
            <w:tcW w:w="708"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2</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&lt;2</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&lt;2</w:t>
            </w:r>
          </w:p>
        </w:tc>
        <w:tc>
          <w:tcPr>
            <w:tcW w:w="764"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&lt;2</w:t>
            </w:r>
          </w:p>
        </w:tc>
        <w:tc>
          <w:tcPr>
            <w:tcW w:w="915" w:type="dxa"/>
          </w:tcPr>
          <w:p w:rsidR="00BC72EA" w:rsidRPr="001D30C8" w:rsidRDefault="00BC72EA" w:rsidP="00611E16">
            <w:pPr>
              <w:rPr>
                <w:rFonts w:asciiTheme="majorHAnsi" w:hAnsiTheme="majorHAnsi" w:cstheme="majorHAnsi"/>
                <w:sz w:val="20"/>
                <w:szCs w:val="20"/>
              </w:rPr>
            </w:pPr>
            <w:r w:rsidRPr="001D30C8">
              <w:rPr>
                <w:rFonts w:asciiTheme="majorHAnsi" w:hAnsiTheme="majorHAnsi" w:cstheme="majorHAnsi"/>
                <w:sz w:val="20"/>
                <w:szCs w:val="20"/>
              </w:rPr>
              <w:t>AS /MS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D86CF0">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Létalité du paludisme grave chez les enfants &lt;</w:t>
            </w:r>
            <w:r>
              <w:rPr>
                <w:rFonts w:asciiTheme="majorHAnsi" w:hAnsiTheme="majorHAnsi" w:cstheme="majorHAnsi"/>
                <w:sz w:val="20"/>
                <w:szCs w:val="20"/>
              </w:rPr>
              <w:t xml:space="preserve"> </w:t>
            </w:r>
            <w:r w:rsidRPr="001D30C8">
              <w:rPr>
                <w:rFonts w:asciiTheme="majorHAnsi" w:hAnsiTheme="majorHAnsi" w:cstheme="majorHAnsi"/>
                <w:sz w:val="20"/>
                <w:szCs w:val="20"/>
              </w:rPr>
              <w:t xml:space="preserve">de 5 </w:t>
            </w:r>
            <w:r>
              <w:rPr>
                <w:rFonts w:asciiTheme="majorHAnsi" w:hAnsiTheme="majorHAnsi" w:cstheme="majorHAnsi"/>
                <w:sz w:val="20"/>
                <w:szCs w:val="20"/>
              </w:rPr>
              <w:t xml:space="preserve">ans </w:t>
            </w:r>
            <w:r w:rsidRPr="001D30C8">
              <w:rPr>
                <w:rFonts w:asciiTheme="majorHAnsi" w:hAnsiTheme="majorHAnsi" w:cstheme="majorHAnsi"/>
                <w:sz w:val="20"/>
                <w:szCs w:val="20"/>
              </w:rPr>
              <w:t>(%)</w:t>
            </w:r>
          </w:p>
        </w:tc>
        <w:tc>
          <w:tcPr>
            <w:tcW w:w="813"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1,4</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1,3</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1,2</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1,1</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1,1</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w:t>
            </w:r>
          </w:p>
        </w:tc>
        <w:tc>
          <w:tcPr>
            <w:tcW w:w="915" w:type="dxa"/>
          </w:tcPr>
          <w:p w:rsidR="00BC72EA" w:rsidRPr="001D30C8" w:rsidRDefault="00BC72EA" w:rsidP="00611E16">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D86CF0">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rPr>
          <w:trHeight w:val="287"/>
        </w:trPr>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pStyle w:val="Normal10"/>
              <w:rPr>
                <w:rFonts w:asciiTheme="majorHAnsi" w:hAnsiTheme="majorHAnsi" w:cstheme="majorHAnsi"/>
                <w:sz w:val="20"/>
                <w:szCs w:val="20"/>
              </w:rPr>
            </w:pPr>
            <w:r w:rsidRPr="001D30C8">
              <w:rPr>
                <w:rFonts w:asciiTheme="majorHAnsi" w:hAnsiTheme="majorHAnsi" w:cstheme="majorHAnsi"/>
                <w:sz w:val="20"/>
                <w:szCs w:val="20"/>
              </w:rPr>
              <w:t>Taux d’alla</w:t>
            </w:r>
            <w:r>
              <w:rPr>
                <w:rFonts w:asciiTheme="majorHAnsi" w:hAnsiTheme="majorHAnsi" w:cstheme="majorHAnsi"/>
                <w:sz w:val="20"/>
                <w:szCs w:val="20"/>
              </w:rPr>
              <w:t>itement maternel exclusif des enfants de 0-6</w:t>
            </w:r>
            <w:r w:rsidRPr="001D30C8">
              <w:rPr>
                <w:rFonts w:asciiTheme="majorHAnsi" w:hAnsiTheme="majorHAnsi" w:cstheme="majorHAnsi"/>
                <w:sz w:val="20"/>
                <w:szCs w:val="20"/>
              </w:rPr>
              <w:t xml:space="preserve">mois </w:t>
            </w:r>
          </w:p>
        </w:tc>
        <w:tc>
          <w:tcPr>
            <w:tcW w:w="813" w:type="dxa"/>
          </w:tcPr>
          <w:p w:rsidR="00BC72EA" w:rsidRPr="003E220B" w:rsidRDefault="00BC72EA" w:rsidP="003373DE">
            <w:pPr>
              <w:jc w:val="right"/>
              <w:rPr>
                <w:rFonts w:asciiTheme="majorHAnsi" w:hAnsiTheme="majorHAnsi" w:cstheme="majorHAnsi"/>
                <w:sz w:val="18"/>
                <w:szCs w:val="18"/>
              </w:rPr>
            </w:pPr>
            <w:r w:rsidRPr="003E220B">
              <w:rPr>
                <w:rFonts w:asciiTheme="majorHAnsi" w:hAnsiTheme="majorHAnsi" w:cstheme="majorHAnsi"/>
                <w:sz w:val="18"/>
                <w:szCs w:val="18"/>
              </w:rPr>
              <w:t>47,8%</w:t>
            </w:r>
          </w:p>
          <w:p w:rsidR="00BC72EA" w:rsidRPr="003E220B" w:rsidRDefault="00BC72EA" w:rsidP="003373DE">
            <w:pPr>
              <w:jc w:val="right"/>
              <w:rPr>
                <w:rFonts w:asciiTheme="majorHAnsi" w:hAnsiTheme="majorHAnsi" w:cstheme="majorHAnsi"/>
                <w:sz w:val="18"/>
                <w:szCs w:val="18"/>
              </w:rPr>
            </w:pPr>
            <w:r w:rsidRPr="003E220B">
              <w:rPr>
                <w:rFonts w:asciiTheme="majorHAnsi" w:hAnsiTheme="majorHAnsi" w:cstheme="majorHAnsi"/>
                <w:sz w:val="18"/>
                <w:szCs w:val="18"/>
              </w:rPr>
              <w:t xml:space="preserve">(2017) </w:t>
            </w:r>
          </w:p>
        </w:tc>
        <w:tc>
          <w:tcPr>
            <w:tcW w:w="851"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55,9</w:t>
            </w:r>
          </w:p>
        </w:tc>
        <w:tc>
          <w:tcPr>
            <w:tcW w:w="708"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60</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63,9</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68</w:t>
            </w:r>
          </w:p>
        </w:tc>
        <w:tc>
          <w:tcPr>
            <w:tcW w:w="764"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72</w:t>
            </w:r>
          </w:p>
        </w:tc>
        <w:tc>
          <w:tcPr>
            <w:tcW w:w="915" w:type="dxa"/>
          </w:tcPr>
          <w:p w:rsidR="00BC72EA" w:rsidRPr="001D30C8" w:rsidRDefault="00BC72EA" w:rsidP="00611E16">
            <w:pPr>
              <w:rPr>
                <w:rFonts w:asciiTheme="majorHAnsi" w:hAnsiTheme="majorHAnsi" w:cstheme="majorHAnsi"/>
                <w:sz w:val="20"/>
                <w:szCs w:val="20"/>
              </w:rPr>
            </w:pPr>
            <w:r>
              <w:rPr>
                <w:rFonts w:asciiTheme="majorHAnsi" w:hAnsiTheme="majorHAnsi" w:cstheme="majorHAnsi"/>
                <w:sz w:val="20"/>
                <w:szCs w:val="20"/>
              </w:rPr>
              <w:t>SMART</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2 ans</w:t>
            </w:r>
          </w:p>
        </w:tc>
        <w:tc>
          <w:tcPr>
            <w:tcW w:w="1444" w:type="dxa"/>
          </w:tcPr>
          <w:p w:rsidR="00BC72EA" w:rsidRPr="001D30C8" w:rsidRDefault="00BC72EA" w:rsidP="003373DE">
            <w:pPr>
              <w:jc w:val="center"/>
              <w:rPr>
                <w:rFonts w:asciiTheme="majorHAnsi" w:hAnsiTheme="majorHAnsi" w:cstheme="majorHAnsi"/>
                <w:sz w:val="20"/>
                <w:szCs w:val="20"/>
              </w:rPr>
            </w:pPr>
            <w:r>
              <w:rPr>
                <w:rFonts w:asciiTheme="majorHAnsi" w:hAnsiTheme="majorHAnsi" w:cstheme="majorHAnsi"/>
                <w:sz w:val="20"/>
                <w:szCs w:val="20"/>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pStyle w:val="Normal10"/>
              <w:rPr>
                <w:rFonts w:asciiTheme="majorHAnsi" w:hAnsiTheme="majorHAnsi" w:cstheme="majorHAnsi"/>
                <w:sz w:val="20"/>
                <w:szCs w:val="20"/>
              </w:rPr>
            </w:pPr>
            <w:r w:rsidRPr="001D30C8">
              <w:rPr>
                <w:rFonts w:asciiTheme="majorHAnsi" w:hAnsiTheme="majorHAnsi" w:cstheme="majorHAnsi"/>
                <w:sz w:val="20"/>
                <w:szCs w:val="20"/>
              </w:rPr>
              <w:t>Prévalence de l’anémie chez les enfants &lt;</w:t>
            </w:r>
            <w:r>
              <w:rPr>
                <w:rFonts w:asciiTheme="majorHAnsi" w:hAnsiTheme="majorHAnsi" w:cstheme="majorHAnsi"/>
                <w:sz w:val="20"/>
                <w:szCs w:val="20"/>
              </w:rPr>
              <w:t xml:space="preserve"> </w:t>
            </w:r>
            <w:r w:rsidRPr="001D30C8">
              <w:rPr>
                <w:rFonts w:asciiTheme="majorHAnsi" w:hAnsiTheme="majorHAnsi" w:cstheme="majorHAnsi"/>
                <w:sz w:val="20"/>
                <w:szCs w:val="20"/>
              </w:rPr>
              <w:t xml:space="preserve">de 5 </w:t>
            </w:r>
            <w:r>
              <w:rPr>
                <w:rFonts w:asciiTheme="majorHAnsi" w:hAnsiTheme="majorHAnsi" w:cstheme="majorHAnsi"/>
                <w:sz w:val="20"/>
                <w:szCs w:val="20"/>
              </w:rPr>
              <w:t xml:space="preserve">ans </w:t>
            </w:r>
            <w:r w:rsidRPr="001D30C8">
              <w:rPr>
                <w:rFonts w:asciiTheme="majorHAnsi" w:hAnsiTheme="majorHAnsi" w:cstheme="majorHAnsi"/>
                <w:sz w:val="20"/>
                <w:szCs w:val="20"/>
              </w:rPr>
              <w:t>(%)</w:t>
            </w:r>
          </w:p>
        </w:tc>
        <w:tc>
          <w:tcPr>
            <w:tcW w:w="813"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ND</w:t>
            </w:r>
          </w:p>
        </w:tc>
        <w:tc>
          <w:tcPr>
            <w:tcW w:w="851"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65,9</w:t>
            </w:r>
          </w:p>
        </w:tc>
        <w:tc>
          <w:tcPr>
            <w:tcW w:w="708"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62,5</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59</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55,7</w:t>
            </w:r>
          </w:p>
        </w:tc>
        <w:tc>
          <w:tcPr>
            <w:tcW w:w="764"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52,3</w:t>
            </w:r>
          </w:p>
        </w:tc>
        <w:tc>
          <w:tcPr>
            <w:tcW w:w="915" w:type="dxa"/>
          </w:tcPr>
          <w:p w:rsidR="00BC72EA" w:rsidRPr="001D30C8" w:rsidRDefault="00BC72EA" w:rsidP="00611E16">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AS/MS</w:t>
            </w:r>
          </w:p>
        </w:tc>
        <w:tc>
          <w:tcPr>
            <w:tcW w:w="919" w:type="dxa"/>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D86CF0">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Prévalence contraceptive chez la FAP</w:t>
            </w:r>
          </w:p>
        </w:tc>
        <w:tc>
          <w:tcPr>
            <w:tcW w:w="813"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30,7</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33,2</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36,5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39,8</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43,1</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46,4</w:t>
            </w:r>
          </w:p>
        </w:tc>
        <w:tc>
          <w:tcPr>
            <w:tcW w:w="915" w:type="dxa"/>
            <w:vAlign w:val="center"/>
          </w:tcPr>
          <w:p w:rsidR="00BC72EA" w:rsidRPr="001D30C8" w:rsidRDefault="00BC72EA" w:rsidP="00611E16">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PMA</w:t>
            </w:r>
            <w:r w:rsidRPr="00823FA4">
              <w:rPr>
                <w:rFonts w:asciiTheme="majorHAnsi" w:eastAsia="Times New Roman" w:hAnsiTheme="majorHAnsi" w:cstheme="majorHAnsi"/>
                <w:sz w:val="14"/>
                <w:szCs w:val="20"/>
                <w:lang w:eastAsia="fr-FR"/>
              </w:rPr>
              <w:t>2020</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Enquête</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ans</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ISSP</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Prévalence contraceptive dans la population des adolescents/jeunes</w:t>
            </w:r>
          </w:p>
        </w:tc>
        <w:tc>
          <w:tcPr>
            <w:tcW w:w="813"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16,68</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16,15</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15,6</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15,05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14,5</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13,95</w:t>
            </w:r>
          </w:p>
        </w:tc>
        <w:tc>
          <w:tcPr>
            <w:tcW w:w="915" w:type="dxa"/>
            <w:vAlign w:val="center"/>
          </w:tcPr>
          <w:p w:rsidR="00BC72EA" w:rsidRPr="001D30C8" w:rsidRDefault="00BC72EA" w:rsidP="00611E16">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ENDOS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63271">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vAlign w:val="center"/>
          </w:tcPr>
          <w:p w:rsidR="00BC72EA" w:rsidRPr="001D30C8" w:rsidRDefault="00BC72EA" w:rsidP="003373DE">
            <w:pPr>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 xml:space="preserve">Taux d'utilisation des méthodes </w:t>
            </w:r>
            <w:r w:rsidRPr="001D30C8">
              <w:rPr>
                <w:rFonts w:asciiTheme="majorHAnsi" w:eastAsia="Times New Roman" w:hAnsiTheme="majorHAnsi" w:cstheme="majorHAnsi"/>
                <w:sz w:val="20"/>
                <w:szCs w:val="20"/>
                <w:lang w:eastAsia="fr-FR"/>
              </w:rPr>
              <w:t>contraceptives (%)</w:t>
            </w:r>
          </w:p>
        </w:tc>
        <w:tc>
          <w:tcPr>
            <w:tcW w:w="813"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27,5</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32</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36,5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41</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45,5</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50</w:t>
            </w:r>
          </w:p>
        </w:tc>
        <w:tc>
          <w:tcPr>
            <w:tcW w:w="915" w:type="dxa"/>
            <w:vAlign w:val="center"/>
          </w:tcPr>
          <w:p w:rsidR="00BC72EA" w:rsidRPr="001D30C8" w:rsidRDefault="00BC72EA" w:rsidP="00611E16">
            <w:pPr>
              <w:rPr>
                <w:rFonts w:asciiTheme="majorHAnsi" w:eastAsia="Times New Roman" w:hAnsiTheme="majorHAnsi" w:cstheme="majorHAnsi"/>
                <w:sz w:val="20"/>
                <w:szCs w:val="20"/>
                <w:lang w:eastAsia="fr-FR"/>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63271">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pStyle w:val="Normal10"/>
              <w:rPr>
                <w:rFonts w:asciiTheme="majorHAnsi" w:hAnsiTheme="majorHAnsi" w:cstheme="majorHAnsi"/>
                <w:sz w:val="20"/>
                <w:szCs w:val="20"/>
              </w:rPr>
            </w:pPr>
            <w:r w:rsidRPr="001D30C8">
              <w:rPr>
                <w:rFonts w:asciiTheme="majorHAnsi" w:hAnsiTheme="majorHAnsi" w:cstheme="majorHAnsi"/>
                <w:sz w:val="20"/>
                <w:szCs w:val="20"/>
              </w:rPr>
              <w:t>Prévalence de la malnutrition chronique chez les enfants de moins de cinq ans</w:t>
            </w:r>
          </w:p>
        </w:tc>
        <w:tc>
          <w:tcPr>
            <w:tcW w:w="813" w:type="dxa"/>
          </w:tcPr>
          <w:p w:rsidR="00BC72EA" w:rsidRDefault="00BC72EA" w:rsidP="003373DE">
            <w:pPr>
              <w:jc w:val="right"/>
              <w:rPr>
                <w:rFonts w:asciiTheme="majorHAnsi" w:hAnsiTheme="majorHAnsi" w:cstheme="majorHAnsi"/>
                <w:sz w:val="20"/>
                <w:szCs w:val="20"/>
              </w:rPr>
            </w:pPr>
            <w:r w:rsidRPr="006819F1">
              <w:rPr>
                <w:rFonts w:asciiTheme="majorHAnsi" w:hAnsiTheme="majorHAnsi" w:cstheme="majorHAnsi"/>
                <w:sz w:val="20"/>
                <w:szCs w:val="20"/>
              </w:rPr>
              <w:t>21,2%</w:t>
            </w:r>
          </w:p>
          <w:p w:rsidR="00BC72EA" w:rsidRPr="006819F1" w:rsidRDefault="00BC72EA" w:rsidP="003373DE">
            <w:pPr>
              <w:jc w:val="right"/>
              <w:rPr>
                <w:rFonts w:asciiTheme="majorHAnsi" w:hAnsiTheme="majorHAnsi" w:cstheme="majorHAnsi"/>
                <w:sz w:val="20"/>
                <w:szCs w:val="20"/>
              </w:rPr>
            </w:pPr>
            <w:r>
              <w:rPr>
                <w:rFonts w:asciiTheme="majorHAnsi" w:hAnsiTheme="majorHAnsi" w:cstheme="majorHAnsi"/>
                <w:sz w:val="20"/>
                <w:szCs w:val="20"/>
              </w:rPr>
              <w:t>(2017)</w:t>
            </w:r>
          </w:p>
        </w:tc>
        <w:tc>
          <w:tcPr>
            <w:tcW w:w="851"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22,6</w:t>
            </w:r>
          </w:p>
        </w:tc>
        <w:tc>
          <w:tcPr>
            <w:tcW w:w="708"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14,3</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13,9</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13,4</w:t>
            </w:r>
          </w:p>
        </w:tc>
        <w:tc>
          <w:tcPr>
            <w:tcW w:w="764"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13</w:t>
            </w:r>
          </w:p>
        </w:tc>
        <w:tc>
          <w:tcPr>
            <w:tcW w:w="915" w:type="dxa"/>
          </w:tcPr>
          <w:p w:rsidR="00BC72EA" w:rsidRPr="001D30C8" w:rsidRDefault="00611E16" w:rsidP="003373DE">
            <w:pPr>
              <w:rPr>
                <w:rFonts w:asciiTheme="majorHAnsi" w:hAnsiTheme="majorHAnsi" w:cstheme="majorHAnsi"/>
                <w:sz w:val="20"/>
                <w:szCs w:val="20"/>
              </w:rPr>
            </w:pPr>
            <w:r>
              <w:rPr>
                <w:rFonts w:asciiTheme="majorHAnsi" w:hAnsiTheme="majorHAnsi" w:cstheme="majorHAnsi"/>
                <w:sz w:val="20"/>
                <w:szCs w:val="20"/>
              </w:rPr>
              <w:t>ENN</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2 ans</w:t>
            </w:r>
          </w:p>
        </w:tc>
        <w:tc>
          <w:tcPr>
            <w:tcW w:w="1444" w:type="dxa"/>
          </w:tcPr>
          <w:p w:rsidR="00BC72EA" w:rsidRPr="001D30C8" w:rsidRDefault="00BC72EA" w:rsidP="003373DE">
            <w:pPr>
              <w:jc w:val="center"/>
              <w:rPr>
                <w:rFonts w:asciiTheme="majorHAnsi" w:hAnsiTheme="majorHAnsi" w:cstheme="majorHAnsi"/>
                <w:sz w:val="20"/>
                <w:szCs w:val="20"/>
              </w:rPr>
            </w:pPr>
            <w:r>
              <w:rPr>
                <w:rFonts w:asciiTheme="majorHAnsi" w:hAnsiTheme="majorHAnsi" w:cstheme="majorHAnsi"/>
                <w:sz w:val="20"/>
                <w:szCs w:val="20"/>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1D30C8" w:rsidRDefault="00BC72EA" w:rsidP="003373DE">
            <w:pPr>
              <w:pStyle w:val="Normal10"/>
              <w:rPr>
                <w:rFonts w:asciiTheme="majorHAnsi" w:hAnsiTheme="majorHAnsi" w:cstheme="majorHAnsi"/>
                <w:sz w:val="20"/>
                <w:szCs w:val="20"/>
              </w:rPr>
            </w:pPr>
            <w:r w:rsidRPr="001D30C8">
              <w:rPr>
                <w:rFonts w:asciiTheme="majorHAnsi" w:hAnsiTheme="majorHAnsi" w:cstheme="majorHAnsi"/>
                <w:sz w:val="20"/>
                <w:szCs w:val="20"/>
              </w:rPr>
              <w:t>Prévalence de la malnutrition aigüe chez les enfants de moins de cinq ans</w:t>
            </w:r>
          </w:p>
        </w:tc>
        <w:tc>
          <w:tcPr>
            <w:tcW w:w="813" w:type="dxa"/>
          </w:tcPr>
          <w:p w:rsidR="00BC72EA" w:rsidRDefault="00BC72EA" w:rsidP="003373DE">
            <w:pPr>
              <w:jc w:val="right"/>
              <w:rPr>
                <w:rFonts w:asciiTheme="majorHAnsi" w:hAnsiTheme="majorHAnsi" w:cstheme="majorHAnsi"/>
                <w:sz w:val="20"/>
                <w:szCs w:val="20"/>
              </w:rPr>
            </w:pPr>
            <w:r w:rsidRPr="006819F1">
              <w:rPr>
                <w:rFonts w:asciiTheme="majorHAnsi" w:hAnsiTheme="majorHAnsi" w:cstheme="majorHAnsi"/>
                <w:sz w:val="20"/>
                <w:szCs w:val="20"/>
              </w:rPr>
              <w:t>8,6%</w:t>
            </w:r>
          </w:p>
          <w:p w:rsidR="00BC72EA" w:rsidRPr="006819F1" w:rsidRDefault="00BC72EA" w:rsidP="003373DE">
            <w:pPr>
              <w:jc w:val="right"/>
              <w:rPr>
                <w:rFonts w:asciiTheme="majorHAnsi" w:hAnsiTheme="majorHAnsi" w:cstheme="majorHAnsi"/>
                <w:sz w:val="20"/>
                <w:szCs w:val="20"/>
              </w:rPr>
            </w:pPr>
            <w:r>
              <w:rPr>
                <w:rFonts w:asciiTheme="majorHAnsi" w:hAnsiTheme="majorHAnsi" w:cstheme="majorHAnsi"/>
                <w:sz w:val="20"/>
                <w:szCs w:val="20"/>
              </w:rPr>
              <w:t>(2017)</w:t>
            </w:r>
          </w:p>
        </w:tc>
        <w:tc>
          <w:tcPr>
            <w:tcW w:w="851"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7,3</w:t>
            </w:r>
          </w:p>
        </w:tc>
        <w:tc>
          <w:tcPr>
            <w:tcW w:w="708"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7</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6,6</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6,2</w:t>
            </w:r>
          </w:p>
        </w:tc>
        <w:tc>
          <w:tcPr>
            <w:tcW w:w="764"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5,8</w:t>
            </w:r>
          </w:p>
        </w:tc>
        <w:tc>
          <w:tcPr>
            <w:tcW w:w="915" w:type="dxa"/>
          </w:tcPr>
          <w:p w:rsidR="00BC72EA" w:rsidRPr="001D30C8" w:rsidRDefault="00611E16" w:rsidP="003373DE">
            <w:pPr>
              <w:rPr>
                <w:rFonts w:asciiTheme="majorHAnsi" w:hAnsiTheme="majorHAnsi" w:cstheme="majorHAnsi"/>
                <w:sz w:val="20"/>
                <w:szCs w:val="20"/>
              </w:rPr>
            </w:pPr>
            <w:r>
              <w:rPr>
                <w:rFonts w:asciiTheme="majorHAnsi" w:hAnsiTheme="majorHAnsi" w:cstheme="majorHAnsi"/>
                <w:sz w:val="20"/>
                <w:szCs w:val="20"/>
              </w:rPr>
              <w:t>ENN</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2 ans</w:t>
            </w:r>
          </w:p>
        </w:tc>
        <w:tc>
          <w:tcPr>
            <w:tcW w:w="1444" w:type="dxa"/>
          </w:tcPr>
          <w:p w:rsidR="00BC72EA" w:rsidRPr="001D30C8" w:rsidRDefault="00BC72EA" w:rsidP="003373DE">
            <w:pPr>
              <w:jc w:val="center"/>
              <w:rPr>
                <w:rFonts w:asciiTheme="majorHAnsi" w:hAnsiTheme="majorHAnsi" w:cstheme="majorHAnsi"/>
                <w:sz w:val="20"/>
                <w:szCs w:val="20"/>
              </w:rPr>
            </w:pPr>
            <w:r>
              <w:rPr>
                <w:rFonts w:asciiTheme="majorHAnsi" w:hAnsiTheme="majorHAnsi" w:cstheme="majorHAnsi"/>
                <w:sz w:val="20"/>
                <w:szCs w:val="20"/>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40" w:type="dxa"/>
            <w:gridSpan w:val="2"/>
          </w:tcPr>
          <w:p w:rsidR="00BC72EA" w:rsidRPr="00212448" w:rsidRDefault="00BC72EA" w:rsidP="003373DE">
            <w:pPr>
              <w:pStyle w:val="Normal10"/>
              <w:rPr>
                <w:rFonts w:asciiTheme="majorHAnsi" w:hAnsiTheme="majorHAnsi" w:cstheme="majorHAnsi"/>
                <w:sz w:val="18"/>
                <w:szCs w:val="18"/>
              </w:rPr>
            </w:pPr>
            <w:r w:rsidRPr="00212448">
              <w:rPr>
                <w:rFonts w:asciiTheme="majorHAnsi" w:hAnsiTheme="majorHAnsi" w:cstheme="majorHAnsi"/>
                <w:sz w:val="18"/>
                <w:szCs w:val="18"/>
              </w:rPr>
              <w:t>Taux d’alimen</w:t>
            </w:r>
            <w:r>
              <w:rPr>
                <w:rFonts w:asciiTheme="majorHAnsi" w:hAnsiTheme="majorHAnsi" w:cstheme="majorHAnsi"/>
                <w:sz w:val="18"/>
                <w:szCs w:val="18"/>
              </w:rPr>
              <w:t>tation minimum acceptable d</w:t>
            </w:r>
            <w:r w:rsidRPr="00212448">
              <w:rPr>
                <w:rFonts w:asciiTheme="majorHAnsi" w:hAnsiTheme="majorHAnsi" w:cstheme="majorHAnsi"/>
                <w:sz w:val="18"/>
                <w:szCs w:val="18"/>
              </w:rPr>
              <w:t>es enfants de 6 -23 mois</w:t>
            </w:r>
          </w:p>
        </w:tc>
        <w:tc>
          <w:tcPr>
            <w:tcW w:w="813" w:type="dxa"/>
          </w:tcPr>
          <w:p w:rsidR="00BC72EA" w:rsidRDefault="00BC72EA" w:rsidP="003373DE">
            <w:pPr>
              <w:rPr>
                <w:rFonts w:asciiTheme="majorHAnsi" w:hAnsiTheme="majorHAnsi" w:cstheme="majorHAnsi"/>
                <w:sz w:val="20"/>
                <w:szCs w:val="20"/>
              </w:rPr>
            </w:pPr>
            <w:r>
              <w:rPr>
                <w:rFonts w:asciiTheme="majorHAnsi" w:hAnsiTheme="majorHAnsi" w:cstheme="majorHAnsi"/>
                <w:sz w:val="20"/>
                <w:szCs w:val="20"/>
              </w:rPr>
              <w:t>17,9 %</w:t>
            </w:r>
          </w:p>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(2017)</w:t>
            </w:r>
          </w:p>
        </w:tc>
        <w:tc>
          <w:tcPr>
            <w:tcW w:w="851"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23,2</w:t>
            </w:r>
          </w:p>
        </w:tc>
        <w:tc>
          <w:tcPr>
            <w:tcW w:w="708"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25,2</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27,3</w:t>
            </w:r>
          </w:p>
        </w:tc>
        <w:tc>
          <w:tcPr>
            <w:tcW w:w="709"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29,4</w:t>
            </w:r>
          </w:p>
        </w:tc>
        <w:tc>
          <w:tcPr>
            <w:tcW w:w="764" w:type="dxa"/>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31,5</w:t>
            </w:r>
          </w:p>
        </w:tc>
        <w:tc>
          <w:tcPr>
            <w:tcW w:w="915" w:type="dxa"/>
          </w:tcPr>
          <w:p w:rsidR="00BC72EA" w:rsidRPr="001D30C8" w:rsidRDefault="00611E16" w:rsidP="003373DE">
            <w:pPr>
              <w:rPr>
                <w:rFonts w:asciiTheme="majorHAnsi" w:hAnsiTheme="majorHAnsi" w:cstheme="majorHAnsi"/>
                <w:sz w:val="20"/>
                <w:szCs w:val="20"/>
              </w:rPr>
            </w:pPr>
            <w:r>
              <w:rPr>
                <w:rFonts w:asciiTheme="majorHAnsi" w:hAnsiTheme="majorHAnsi" w:cstheme="majorHAnsi"/>
                <w:sz w:val="20"/>
                <w:szCs w:val="20"/>
              </w:rPr>
              <w:t>ENN</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Enquête</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2 ans</w:t>
            </w:r>
          </w:p>
        </w:tc>
        <w:tc>
          <w:tcPr>
            <w:tcW w:w="1444" w:type="dxa"/>
          </w:tcPr>
          <w:p w:rsidR="00BC72EA" w:rsidRPr="001D30C8" w:rsidRDefault="00BC72EA" w:rsidP="003373DE">
            <w:pPr>
              <w:jc w:val="center"/>
              <w:rPr>
                <w:rFonts w:asciiTheme="majorHAnsi" w:hAnsiTheme="majorHAnsi" w:cstheme="majorHAnsi"/>
                <w:sz w:val="20"/>
                <w:szCs w:val="20"/>
              </w:rPr>
            </w:pPr>
            <w:r>
              <w:rPr>
                <w:rFonts w:asciiTheme="majorHAnsi" w:hAnsiTheme="majorHAnsi" w:cstheme="majorHAnsi"/>
                <w:sz w:val="20"/>
                <w:szCs w:val="20"/>
              </w:rPr>
              <w:t>MS</w:t>
            </w:r>
          </w:p>
        </w:tc>
      </w:tr>
    </w:tbl>
    <w:p w:rsidR="00BC72EA" w:rsidRDefault="00BC72EA" w:rsidP="00BC72EA"/>
    <w:tbl>
      <w:tblPr>
        <w:tblStyle w:val="Grilledutableau"/>
        <w:tblW w:w="14425" w:type="dxa"/>
        <w:tblLayout w:type="fixed"/>
        <w:tblLook w:val="04A0" w:firstRow="1" w:lastRow="0" w:firstColumn="1" w:lastColumn="0" w:noHBand="0" w:noVBand="1"/>
      </w:tblPr>
      <w:tblGrid>
        <w:gridCol w:w="534"/>
        <w:gridCol w:w="5103"/>
        <w:gridCol w:w="850"/>
        <w:gridCol w:w="851"/>
        <w:gridCol w:w="708"/>
        <w:gridCol w:w="709"/>
        <w:gridCol w:w="709"/>
        <w:gridCol w:w="764"/>
        <w:gridCol w:w="915"/>
        <w:gridCol w:w="919"/>
        <w:gridCol w:w="919"/>
        <w:gridCol w:w="1444"/>
      </w:tblGrid>
      <w:tr w:rsidR="00BC72EA" w:rsidRPr="00EC3473" w:rsidTr="003373DE">
        <w:tc>
          <w:tcPr>
            <w:tcW w:w="14425" w:type="dxa"/>
            <w:gridSpan w:val="12"/>
            <w:shd w:val="clear" w:color="auto" w:fill="D6E3BC" w:themeFill="accent3" w:themeFillTint="66"/>
          </w:tcPr>
          <w:p w:rsidR="00BC72EA" w:rsidRPr="00F93C2C" w:rsidRDefault="00BC72EA" w:rsidP="003373DE">
            <w:pPr>
              <w:rPr>
                <w:rFonts w:cstheme="minorHAnsi"/>
                <w:sz w:val="24"/>
                <w:szCs w:val="24"/>
              </w:rPr>
            </w:pPr>
            <w:r w:rsidRPr="00F93C2C">
              <w:rPr>
                <w:rFonts w:cstheme="minorHAnsi"/>
                <w:sz w:val="24"/>
                <w:szCs w:val="24"/>
              </w:rPr>
              <w:t>EFFET 2 : L’ACCES A L’EAU POTABLE, A L’HYGIENE ASSAINISSEMENT  ET A UNE ALIMENTATION SAINE ET SECURISEE EST AMELIORE.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 de la population qui a accès à l’eau potable</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75,7</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79,1</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80,74</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82,16</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83,58</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85,32</w:t>
            </w:r>
          </w:p>
        </w:tc>
        <w:tc>
          <w:tcPr>
            <w:tcW w:w="915"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EDS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Enquête</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ans</w:t>
            </w:r>
          </w:p>
        </w:tc>
        <w:tc>
          <w:tcPr>
            <w:tcW w:w="1444"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MS/SIS/INSD</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Pourcentage des ménages pratiquant l’évacuation hygiénique des selles de l’enfant</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25,01</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30,62</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36,22</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41,81</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47,40</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53,60</w:t>
            </w:r>
          </w:p>
        </w:tc>
        <w:tc>
          <w:tcPr>
            <w:tcW w:w="915"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EDS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Enquête</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ans</w:t>
            </w:r>
          </w:p>
        </w:tc>
        <w:tc>
          <w:tcPr>
            <w:tcW w:w="1444"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MS/SIS/INSD</w:t>
            </w:r>
          </w:p>
        </w:tc>
      </w:tr>
      <w:tr w:rsidR="00BC72EA" w:rsidRPr="00EC3473" w:rsidTr="003373DE">
        <w:tc>
          <w:tcPr>
            <w:tcW w:w="14425" w:type="dxa"/>
            <w:gridSpan w:val="12"/>
            <w:shd w:val="clear" w:color="auto" w:fill="DAEEF3" w:themeFill="accent5" w:themeFillTint="33"/>
          </w:tcPr>
          <w:p w:rsidR="00BC72EA" w:rsidRPr="00EC3473" w:rsidRDefault="00BC72EA" w:rsidP="003373DE">
            <w:pPr>
              <w:rPr>
                <w:b/>
                <w:i/>
                <w:sz w:val="24"/>
                <w:szCs w:val="24"/>
              </w:rPr>
            </w:pPr>
            <w:r w:rsidRPr="00EC3473">
              <w:rPr>
                <w:b/>
                <w:i/>
                <w:sz w:val="24"/>
                <w:szCs w:val="24"/>
              </w:rPr>
              <w:t xml:space="preserve">PRODUIT 1 : </w:t>
            </w:r>
            <w:r w:rsidRPr="00EC3473">
              <w:rPr>
                <w:rFonts w:cstheme="minorHAnsi"/>
                <w:b/>
                <w:i/>
                <w:sz w:val="24"/>
                <w:szCs w:val="24"/>
              </w:rPr>
              <w:t>La couverture du paquet intégrée et de qualité de services SRMNEAN à haut impact est améliorée.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Pourcentage de femmes enceintes venues en CPN1 au premier Trimestre(%)</w:t>
            </w:r>
          </w:p>
        </w:tc>
        <w:tc>
          <w:tcPr>
            <w:tcW w:w="850" w:type="dxa"/>
            <w:vAlign w:val="center"/>
          </w:tcPr>
          <w:p w:rsidR="00BC72EA" w:rsidRDefault="00BC72EA" w:rsidP="003373DE">
            <w:pPr>
              <w:jc w:val="right"/>
              <w:rPr>
                <w:rFonts w:asciiTheme="majorHAnsi" w:hAnsiTheme="majorHAnsi" w:cstheme="majorHAnsi"/>
                <w:sz w:val="20"/>
                <w:szCs w:val="20"/>
              </w:rPr>
            </w:pPr>
            <w:r>
              <w:rPr>
                <w:rFonts w:asciiTheme="majorHAnsi" w:hAnsiTheme="majorHAnsi" w:cstheme="majorHAnsi"/>
                <w:sz w:val="20"/>
                <w:szCs w:val="20"/>
              </w:rPr>
              <w:t>81</w:t>
            </w:r>
          </w:p>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(2016)</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8</w:t>
            </w:r>
            <w:r w:rsidRPr="001D30C8">
              <w:rPr>
                <w:rFonts w:asciiTheme="majorHAnsi" w:eastAsia="Times New Roman" w:hAnsiTheme="majorHAnsi" w:cstheme="majorHAnsi"/>
                <w:sz w:val="20"/>
                <w:szCs w:val="20"/>
                <w:lang w:eastAsia="fr-FR"/>
              </w:rPr>
              <w:t>6</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90</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91</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92</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95</w:t>
            </w:r>
          </w:p>
        </w:tc>
        <w:tc>
          <w:tcPr>
            <w:tcW w:w="915"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C285F">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Taux d'utilisation de la CPN4</w:t>
            </w:r>
            <w:r>
              <w:rPr>
                <w:rFonts w:asciiTheme="majorHAnsi" w:hAnsiTheme="majorHAnsi" w:cstheme="majorHAnsi"/>
                <w:sz w:val="20"/>
                <w:szCs w:val="20"/>
              </w:rPr>
              <w:t xml:space="preserve"> (%)</w:t>
            </w:r>
          </w:p>
        </w:tc>
        <w:tc>
          <w:tcPr>
            <w:tcW w:w="850" w:type="dxa"/>
          </w:tcPr>
          <w:p w:rsidR="00BC72EA" w:rsidRDefault="00BC72EA" w:rsidP="003373DE">
            <w:pPr>
              <w:jc w:val="right"/>
              <w:rPr>
                <w:rFonts w:asciiTheme="majorHAnsi" w:hAnsiTheme="majorHAnsi" w:cstheme="majorHAnsi"/>
                <w:sz w:val="20"/>
                <w:szCs w:val="20"/>
              </w:rPr>
            </w:pPr>
            <w:r>
              <w:rPr>
                <w:rFonts w:asciiTheme="majorHAnsi" w:hAnsiTheme="majorHAnsi" w:cstheme="majorHAnsi"/>
                <w:sz w:val="20"/>
                <w:szCs w:val="20"/>
              </w:rPr>
              <w:t>34</w:t>
            </w:r>
          </w:p>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(2016)</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69</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80</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82</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84</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85</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C285F">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 des formations sanitaires qui offrent les services de SONUB</w:t>
            </w:r>
            <w:r>
              <w:rPr>
                <w:rFonts w:asciiTheme="majorHAnsi" w:hAnsiTheme="majorHAnsi" w:cstheme="majorHAnsi"/>
                <w:sz w:val="20"/>
                <w:szCs w:val="20"/>
              </w:rPr>
              <w:t xml:space="preserve"> (Nombre formations pour 500 000 habitants)</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0,9</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p w:rsidR="00BC72EA" w:rsidRPr="001D30C8" w:rsidRDefault="00BC72EA" w:rsidP="003373DE">
            <w:pPr>
              <w:jc w:val="right"/>
              <w:rPr>
                <w:rFonts w:asciiTheme="majorHAnsi" w:eastAsia="Times New Roman" w:hAnsiTheme="majorHAnsi" w:cstheme="majorHAnsi"/>
                <w:sz w:val="20"/>
                <w:szCs w:val="20"/>
                <w:lang w:eastAsia="fr-FR"/>
              </w:rPr>
            </w:pP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p w:rsidR="00BC72EA" w:rsidRPr="001D30C8" w:rsidRDefault="00BC72EA" w:rsidP="003373DE">
            <w:pPr>
              <w:jc w:val="right"/>
              <w:rPr>
                <w:rFonts w:asciiTheme="majorHAnsi" w:eastAsia="Times New Roman" w:hAnsiTheme="majorHAnsi" w:cstheme="majorHAnsi"/>
                <w:sz w:val="20"/>
                <w:szCs w:val="20"/>
                <w:lang w:eastAsia="fr-FR"/>
              </w:rPr>
            </w:pP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p w:rsidR="00BC72EA" w:rsidRPr="001D30C8" w:rsidRDefault="00BC72EA" w:rsidP="003373DE">
            <w:pPr>
              <w:jc w:val="right"/>
              <w:rPr>
                <w:rFonts w:asciiTheme="majorHAnsi" w:eastAsia="Times New Roman" w:hAnsiTheme="majorHAnsi" w:cstheme="majorHAnsi"/>
                <w:sz w:val="20"/>
                <w:szCs w:val="20"/>
                <w:lang w:eastAsia="fr-FR"/>
              </w:rPr>
            </w:pPr>
          </w:p>
        </w:tc>
        <w:tc>
          <w:tcPr>
            <w:tcW w:w="915"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ENDOS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C285F">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 des formations sanitaires</w:t>
            </w:r>
            <w:r>
              <w:rPr>
                <w:rFonts w:asciiTheme="majorHAnsi" w:hAnsiTheme="majorHAnsi" w:cstheme="majorHAnsi"/>
                <w:sz w:val="20"/>
                <w:szCs w:val="20"/>
              </w:rPr>
              <w:t xml:space="preserve"> </w:t>
            </w:r>
            <w:r w:rsidRPr="001D30C8">
              <w:rPr>
                <w:rFonts w:asciiTheme="majorHAnsi" w:hAnsiTheme="majorHAnsi" w:cstheme="majorHAnsi"/>
                <w:sz w:val="20"/>
                <w:szCs w:val="20"/>
              </w:rPr>
              <w:t>qui offrent le SONUC</w:t>
            </w:r>
            <w:r>
              <w:rPr>
                <w:rFonts w:asciiTheme="majorHAnsi" w:hAnsiTheme="majorHAnsi" w:cstheme="majorHAnsi"/>
                <w:sz w:val="20"/>
                <w:szCs w:val="20"/>
              </w:rPr>
              <w:t xml:space="preserve"> (Nombre formations pour 500 000 habitants)</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2</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p w:rsidR="00BC72EA" w:rsidRPr="001D30C8" w:rsidRDefault="00BC72EA" w:rsidP="003373DE">
            <w:pPr>
              <w:jc w:val="right"/>
              <w:rPr>
                <w:rFonts w:asciiTheme="majorHAnsi" w:eastAsia="Times New Roman" w:hAnsiTheme="majorHAnsi" w:cstheme="majorHAnsi"/>
                <w:sz w:val="20"/>
                <w:szCs w:val="20"/>
                <w:lang w:eastAsia="fr-FR"/>
              </w:rPr>
            </w:pP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p w:rsidR="00BC72EA" w:rsidRPr="001D30C8" w:rsidRDefault="00BC72EA" w:rsidP="003373DE">
            <w:pPr>
              <w:jc w:val="right"/>
              <w:rPr>
                <w:rFonts w:asciiTheme="majorHAnsi" w:eastAsia="Times New Roman" w:hAnsiTheme="majorHAnsi" w:cstheme="majorHAnsi"/>
                <w:sz w:val="20"/>
                <w:szCs w:val="20"/>
                <w:lang w:eastAsia="fr-FR"/>
              </w:rPr>
            </w:pP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&gt;5</w:t>
            </w:r>
          </w:p>
          <w:p w:rsidR="00BC72EA" w:rsidRPr="001D30C8" w:rsidRDefault="00BC72EA" w:rsidP="003373DE">
            <w:pPr>
              <w:jc w:val="right"/>
              <w:rPr>
                <w:rFonts w:asciiTheme="majorHAnsi" w:eastAsia="Times New Roman" w:hAnsiTheme="majorHAnsi" w:cstheme="majorHAnsi"/>
                <w:sz w:val="20"/>
                <w:szCs w:val="20"/>
                <w:lang w:eastAsia="fr-FR"/>
              </w:rPr>
            </w:pPr>
          </w:p>
        </w:tc>
        <w:tc>
          <w:tcPr>
            <w:tcW w:w="915"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ENDOS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C285F">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Proportion des décès maternels audités</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35,06</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48</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61</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74</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87</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915"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ENDOS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C285F">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vAlign w:val="center"/>
          </w:tcPr>
          <w:p w:rsidR="00BC72EA" w:rsidRPr="001D30C8" w:rsidRDefault="00BC72EA" w:rsidP="003373DE">
            <w:pPr>
              <w:pStyle w:val="Normal10"/>
              <w:rPr>
                <w:rFonts w:asciiTheme="majorHAnsi" w:hAnsiTheme="majorHAnsi" w:cstheme="majorHAnsi"/>
                <w:sz w:val="20"/>
                <w:szCs w:val="20"/>
              </w:rPr>
            </w:pPr>
            <w:r w:rsidRPr="001D30C8">
              <w:rPr>
                <w:rFonts w:asciiTheme="majorHAnsi" w:hAnsiTheme="majorHAnsi" w:cstheme="majorHAnsi"/>
                <w:sz w:val="20"/>
                <w:szCs w:val="20"/>
              </w:rPr>
              <w:t>% de femmes enceintes supplémentées en MMS/Fer Acide Folique</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43,27</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48,16</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55,85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63,53</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71,22</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78,9</w:t>
            </w:r>
          </w:p>
        </w:tc>
        <w:tc>
          <w:tcPr>
            <w:tcW w:w="915"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EDS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Enquête</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ans</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MS/SIS/INSD</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vAlign w:val="center"/>
          </w:tcPr>
          <w:p w:rsidR="00BC72EA" w:rsidRPr="001D30C8" w:rsidRDefault="00BC72EA" w:rsidP="003373DE">
            <w:pPr>
              <w:pStyle w:val="Normal10"/>
              <w:rPr>
                <w:rFonts w:asciiTheme="majorHAnsi" w:hAnsiTheme="majorHAnsi" w:cstheme="majorHAnsi"/>
                <w:sz w:val="20"/>
                <w:szCs w:val="20"/>
              </w:rPr>
            </w:pPr>
            <w:r w:rsidRPr="001D30C8">
              <w:rPr>
                <w:rFonts w:asciiTheme="majorHAnsi" w:hAnsiTheme="majorHAnsi" w:cstheme="majorHAnsi"/>
                <w:sz w:val="20"/>
                <w:szCs w:val="20"/>
              </w:rPr>
              <w:t>Taux de satisfaction en produits sanguins labiles dans les zones CRTS</w:t>
            </w:r>
          </w:p>
        </w:tc>
        <w:tc>
          <w:tcPr>
            <w:tcW w:w="850" w:type="dxa"/>
            <w:vAlign w:val="center"/>
          </w:tcPr>
          <w:p w:rsidR="00BC72EA" w:rsidRDefault="00BC72EA" w:rsidP="003373DE">
            <w:pPr>
              <w:pStyle w:val="Normal10"/>
              <w:jc w:val="right"/>
              <w:rPr>
                <w:rFonts w:asciiTheme="majorHAnsi" w:hAnsiTheme="majorHAnsi" w:cstheme="majorHAnsi"/>
                <w:sz w:val="20"/>
                <w:szCs w:val="20"/>
              </w:rPr>
            </w:pPr>
            <w:r>
              <w:rPr>
                <w:rFonts w:asciiTheme="majorHAnsi" w:hAnsiTheme="majorHAnsi" w:cstheme="majorHAnsi"/>
                <w:sz w:val="20"/>
                <w:szCs w:val="20"/>
              </w:rPr>
              <w:t>30%</w:t>
            </w:r>
          </w:p>
          <w:p w:rsidR="00BC72EA" w:rsidRPr="001D30C8" w:rsidRDefault="00BC72EA" w:rsidP="003373DE">
            <w:pPr>
              <w:pStyle w:val="Normal10"/>
              <w:jc w:val="right"/>
              <w:rPr>
                <w:rFonts w:asciiTheme="majorHAnsi" w:hAnsiTheme="majorHAnsi" w:cstheme="majorHAnsi"/>
                <w:sz w:val="20"/>
                <w:szCs w:val="20"/>
              </w:rPr>
            </w:pPr>
            <w:r>
              <w:rPr>
                <w:rFonts w:asciiTheme="majorHAnsi" w:hAnsiTheme="majorHAnsi" w:cstheme="majorHAnsi"/>
                <w:sz w:val="20"/>
                <w:szCs w:val="20"/>
              </w:rPr>
              <w:t>(2016)</w:t>
            </w:r>
          </w:p>
        </w:tc>
        <w:tc>
          <w:tcPr>
            <w:tcW w:w="851"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80%</w:t>
            </w:r>
          </w:p>
        </w:tc>
        <w:tc>
          <w:tcPr>
            <w:tcW w:w="708"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80%</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80%</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85%</w:t>
            </w:r>
          </w:p>
        </w:tc>
        <w:tc>
          <w:tcPr>
            <w:tcW w:w="764"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90%</w:t>
            </w:r>
          </w:p>
        </w:tc>
        <w:tc>
          <w:tcPr>
            <w:tcW w:w="915" w:type="dxa"/>
            <w:vAlign w:val="center"/>
          </w:tcPr>
          <w:p w:rsidR="00BC72EA" w:rsidRPr="001D30C8" w:rsidRDefault="00BC72EA" w:rsidP="003373DE">
            <w:pPr>
              <w:pStyle w:val="Normal10"/>
              <w:jc w:val="center"/>
              <w:rPr>
                <w:rFonts w:asciiTheme="majorHAnsi" w:hAnsiTheme="majorHAnsi" w:cstheme="majorHAnsi"/>
                <w:sz w:val="20"/>
                <w:szCs w:val="20"/>
              </w:rPr>
            </w:pPr>
            <w:r w:rsidRPr="001D30C8">
              <w:rPr>
                <w:rFonts w:asciiTheme="majorHAnsi" w:hAnsiTheme="majorHAnsi" w:cstheme="majorHAnsi"/>
                <w:sz w:val="20"/>
                <w:szCs w:val="20"/>
              </w:rPr>
              <w:t>AS/TS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662BB">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Pourcentage de formations sanitaires offrant des services PTME y compris le dépistage VIH/syphilis, DBS</w:t>
            </w:r>
          </w:p>
        </w:tc>
        <w:tc>
          <w:tcPr>
            <w:tcW w:w="850" w:type="dxa"/>
          </w:tcPr>
          <w:p w:rsidR="00BC72EA" w:rsidRDefault="00BC72EA" w:rsidP="003373DE">
            <w:pPr>
              <w:jc w:val="right"/>
              <w:rPr>
                <w:rFonts w:asciiTheme="majorHAnsi" w:hAnsiTheme="majorHAnsi" w:cstheme="majorHAnsi"/>
                <w:sz w:val="20"/>
                <w:szCs w:val="20"/>
              </w:rPr>
            </w:pPr>
            <w:r>
              <w:rPr>
                <w:rFonts w:asciiTheme="majorHAnsi" w:hAnsiTheme="majorHAnsi" w:cstheme="majorHAnsi"/>
                <w:sz w:val="20"/>
                <w:szCs w:val="20"/>
              </w:rPr>
              <w:t>47%</w:t>
            </w:r>
          </w:p>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(2016)</w:t>
            </w:r>
          </w:p>
        </w:tc>
        <w:tc>
          <w:tcPr>
            <w:tcW w:w="851" w:type="dxa"/>
            <w:vAlign w:val="center"/>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99,5</w:t>
            </w:r>
          </w:p>
        </w:tc>
        <w:tc>
          <w:tcPr>
            <w:tcW w:w="708" w:type="dxa"/>
            <w:vAlign w:val="center"/>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vAlign w:val="center"/>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vAlign w:val="center"/>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vAlign w:val="center"/>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662BB">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Proportion d’enfants de moins de cinq ans correctement pris en charge selon la stratégie PCIME</w:t>
            </w:r>
          </w:p>
        </w:tc>
        <w:tc>
          <w:tcPr>
            <w:tcW w:w="850" w:type="dxa"/>
          </w:tcPr>
          <w:p w:rsidR="00BC72EA" w:rsidRDefault="00BC72EA" w:rsidP="003373DE">
            <w:pPr>
              <w:jc w:val="right"/>
              <w:rPr>
                <w:rFonts w:asciiTheme="majorHAnsi" w:hAnsiTheme="majorHAnsi" w:cstheme="majorHAnsi"/>
                <w:sz w:val="20"/>
                <w:szCs w:val="20"/>
              </w:rPr>
            </w:pPr>
            <w:r>
              <w:rPr>
                <w:rFonts w:asciiTheme="majorHAnsi" w:hAnsiTheme="majorHAnsi" w:cstheme="majorHAnsi"/>
                <w:sz w:val="20"/>
                <w:szCs w:val="20"/>
              </w:rPr>
              <w:t>58,5%</w:t>
            </w:r>
          </w:p>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(2017)</w:t>
            </w:r>
          </w:p>
        </w:tc>
        <w:tc>
          <w:tcPr>
            <w:tcW w:w="851" w:type="dxa"/>
            <w:vAlign w:val="center"/>
          </w:tcPr>
          <w:p w:rsidR="00BC72EA" w:rsidRPr="001D30C8" w:rsidRDefault="00BC72EA" w:rsidP="003373DE">
            <w:pPr>
              <w:pStyle w:val="Normal10"/>
              <w:jc w:val="right"/>
              <w:rPr>
                <w:rFonts w:asciiTheme="majorHAnsi" w:hAnsiTheme="majorHAnsi" w:cstheme="majorHAnsi"/>
                <w:sz w:val="20"/>
                <w:szCs w:val="20"/>
              </w:rPr>
            </w:pPr>
            <w:r>
              <w:rPr>
                <w:rFonts w:asciiTheme="majorHAnsi" w:hAnsiTheme="majorHAnsi" w:cstheme="majorHAnsi"/>
                <w:sz w:val="20"/>
                <w:szCs w:val="20"/>
              </w:rPr>
              <w:t>5</w:t>
            </w:r>
            <w:r w:rsidRPr="001D30C8">
              <w:rPr>
                <w:rFonts w:asciiTheme="majorHAnsi" w:hAnsiTheme="majorHAnsi" w:cstheme="majorHAnsi"/>
                <w:sz w:val="20"/>
                <w:szCs w:val="20"/>
              </w:rPr>
              <w:t>9,08</w:t>
            </w:r>
          </w:p>
        </w:tc>
        <w:tc>
          <w:tcPr>
            <w:tcW w:w="708"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60%</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65</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70</w:t>
            </w:r>
          </w:p>
        </w:tc>
        <w:tc>
          <w:tcPr>
            <w:tcW w:w="764"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75</w:t>
            </w:r>
          </w:p>
        </w:tc>
        <w:tc>
          <w:tcPr>
            <w:tcW w:w="915"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4662BB">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RPr="000713E4" w:rsidTr="003373DE">
        <w:tc>
          <w:tcPr>
            <w:tcW w:w="14425" w:type="dxa"/>
            <w:gridSpan w:val="12"/>
            <w:shd w:val="clear" w:color="auto" w:fill="DAEEF3" w:themeFill="accent5" w:themeFillTint="33"/>
          </w:tcPr>
          <w:p w:rsidR="00BC72EA" w:rsidRPr="000713E4" w:rsidRDefault="00BC72EA" w:rsidP="003373DE">
            <w:pPr>
              <w:rPr>
                <w:rFonts w:cstheme="minorHAnsi"/>
                <w:b/>
                <w:i/>
                <w:sz w:val="24"/>
                <w:szCs w:val="24"/>
              </w:rPr>
            </w:pPr>
            <w:r w:rsidRPr="000713E4">
              <w:rPr>
                <w:rFonts w:cstheme="minorHAnsi"/>
                <w:b/>
                <w:i/>
                <w:sz w:val="24"/>
                <w:szCs w:val="24"/>
              </w:rPr>
              <w:t>PRODUIT 2 : La qualité des services, centrée sur la personne et la sécurité du patient, est  renforcée.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Pourcentage des formations sanitaires disposant d’un système fonctionnel de collecte, de traitement et d’élimination des DBM (%)</w:t>
            </w:r>
          </w:p>
        </w:tc>
        <w:tc>
          <w:tcPr>
            <w:tcW w:w="850"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ND</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bCs/>
                <w:sz w:val="20"/>
                <w:szCs w:val="20"/>
              </w:rPr>
              <w:t>Rapport d’audit</w:t>
            </w:r>
          </w:p>
        </w:tc>
        <w:tc>
          <w:tcPr>
            <w:tcW w:w="919" w:type="dxa"/>
          </w:tcPr>
          <w:p w:rsidR="00BC72EA" w:rsidRPr="001D30C8" w:rsidRDefault="00BC72EA" w:rsidP="003373DE">
            <w:pPr>
              <w:ind w:left="34"/>
              <w:rPr>
                <w:rFonts w:asciiTheme="majorHAnsi" w:hAnsiTheme="majorHAnsi" w:cstheme="majorHAnsi"/>
                <w:sz w:val="20"/>
                <w:szCs w:val="20"/>
              </w:rPr>
            </w:pPr>
          </w:p>
          <w:p w:rsidR="00BC72EA" w:rsidRPr="001D30C8" w:rsidRDefault="00BC72EA" w:rsidP="003373DE">
            <w:pPr>
              <w:ind w:left="34"/>
              <w:rPr>
                <w:rFonts w:asciiTheme="majorHAnsi" w:hAnsiTheme="majorHAnsi" w:cstheme="majorHAnsi"/>
                <w:sz w:val="20"/>
                <w:szCs w:val="20"/>
              </w:rPr>
            </w:pPr>
            <w:r w:rsidRPr="001D30C8">
              <w:rPr>
                <w:rFonts w:asciiTheme="majorHAnsi" w:hAnsiTheme="majorHAnsi" w:cstheme="majorHAnsi"/>
                <w:bCs/>
                <w:sz w:val="20"/>
                <w:szCs w:val="20"/>
              </w:rPr>
              <w:t>Audit</w:t>
            </w:r>
          </w:p>
        </w:tc>
        <w:tc>
          <w:tcPr>
            <w:tcW w:w="919" w:type="dxa"/>
          </w:tcPr>
          <w:p w:rsidR="00BC72EA" w:rsidRDefault="00BC72EA" w:rsidP="003373DE">
            <w:r w:rsidRPr="007D361B">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bCs/>
                <w:sz w:val="20"/>
                <w:szCs w:val="20"/>
              </w:rPr>
            </w:pPr>
          </w:p>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bCs/>
                <w:sz w:val="20"/>
                <w:szCs w:val="20"/>
              </w:rPr>
              <w:t>MS/DQSS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Pourcentage de prestations conformes aux normes prescrites par les directives (%)</w:t>
            </w:r>
          </w:p>
        </w:tc>
        <w:tc>
          <w:tcPr>
            <w:tcW w:w="850"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ND</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bCs/>
                <w:sz w:val="20"/>
                <w:szCs w:val="20"/>
              </w:rPr>
              <w:t>Rapport d’audit</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bCs/>
                <w:sz w:val="20"/>
                <w:szCs w:val="20"/>
              </w:rPr>
              <w:t>Audit</w:t>
            </w:r>
          </w:p>
        </w:tc>
        <w:tc>
          <w:tcPr>
            <w:tcW w:w="919" w:type="dxa"/>
          </w:tcPr>
          <w:p w:rsidR="00BC72EA" w:rsidRDefault="00BC72EA" w:rsidP="003373DE">
            <w:r w:rsidRPr="007D361B">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bCs/>
                <w:sz w:val="20"/>
                <w:szCs w:val="20"/>
              </w:rPr>
            </w:pPr>
          </w:p>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bCs/>
                <w:sz w:val="20"/>
                <w:szCs w:val="20"/>
              </w:rPr>
              <w:t>MS/DQSS</w:t>
            </w:r>
          </w:p>
        </w:tc>
      </w:tr>
      <w:tr w:rsidR="00BC72EA" w:rsidRPr="000713E4" w:rsidTr="003373DE">
        <w:tc>
          <w:tcPr>
            <w:tcW w:w="14425" w:type="dxa"/>
            <w:gridSpan w:val="12"/>
            <w:shd w:val="clear" w:color="auto" w:fill="DAEEF3" w:themeFill="accent5" w:themeFillTint="33"/>
          </w:tcPr>
          <w:p w:rsidR="00BC72EA" w:rsidRPr="000713E4" w:rsidRDefault="00BC72EA" w:rsidP="003373DE">
            <w:pPr>
              <w:rPr>
                <w:rFonts w:cstheme="minorHAnsi"/>
                <w:b/>
                <w:i/>
                <w:sz w:val="24"/>
                <w:szCs w:val="24"/>
              </w:rPr>
            </w:pPr>
            <w:r w:rsidRPr="000713E4">
              <w:rPr>
                <w:rFonts w:cstheme="minorHAnsi"/>
                <w:b/>
                <w:i/>
                <w:sz w:val="24"/>
                <w:szCs w:val="24"/>
              </w:rPr>
              <w:t>PRODUIT 3 : Les services de vaccination sont disponibles, même pour les populations d’accès difficile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Couverture vaccinale en Pentavalent 3</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263C84">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Couverture vaccinale en RR (Rougeole-Rubéole)</w:t>
            </w:r>
          </w:p>
        </w:tc>
        <w:tc>
          <w:tcPr>
            <w:tcW w:w="850" w:type="dxa"/>
          </w:tcPr>
          <w:p w:rsidR="00BC72EA" w:rsidRPr="001D30C8" w:rsidRDefault="00BC72EA" w:rsidP="003373DE">
            <w:pPr>
              <w:jc w:val="right"/>
              <w:rPr>
                <w:rFonts w:asciiTheme="majorHAnsi" w:eastAsia="Times New Roman" w:hAnsiTheme="majorHAnsi" w:cstheme="majorHAnsi"/>
                <w:sz w:val="20"/>
                <w:szCs w:val="20"/>
              </w:rPr>
            </w:pPr>
            <w:r w:rsidRPr="001D30C8">
              <w:rPr>
                <w:rFonts w:asciiTheme="majorHAnsi" w:eastAsia="Times New Roman" w:hAnsiTheme="majorHAnsi" w:cstheme="majorHAnsi"/>
                <w:sz w:val="20"/>
                <w:szCs w:val="20"/>
              </w:rPr>
              <w:t>100</w:t>
            </w:r>
          </w:p>
        </w:tc>
        <w:tc>
          <w:tcPr>
            <w:tcW w:w="851" w:type="dxa"/>
          </w:tcPr>
          <w:p w:rsidR="00BC72EA" w:rsidRPr="001D30C8" w:rsidRDefault="00BC72EA" w:rsidP="003373DE">
            <w:pPr>
              <w:jc w:val="right"/>
              <w:rPr>
                <w:rFonts w:asciiTheme="majorHAnsi" w:eastAsia="Times New Roman" w:hAnsiTheme="majorHAnsi" w:cstheme="majorHAnsi"/>
                <w:sz w:val="20"/>
                <w:szCs w:val="20"/>
              </w:rPr>
            </w:pPr>
            <w:r w:rsidRPr="001D30C8">
              <w:rPr>
                <w:rFonts w:asciiTheme="majorHAnsi" w:eastAsia="Times New Roman" w:hAnsiTheme="majorHAnsi" w:cstheme="majorHAnsi"/>
                <w:sz w:val="20"/>
                <w:szCs w:val="20"/>
              </w:rPr>
              <w:t>100</w:t>
            </w:r>
          </w:p>
        </w:tc>
        <w:tc>
          <w:tcPr>
            <w:tcW w:w="708" w:type="dxa"/>
          </w:tcPr>
          <w:p w:rsidR="00BC72EA" w:rsidRPr="001D30C8" w:rsidRDefault="00BC72EA" w:rsidP="003373DE">
            <w:pPr>
              <w:jc w:val="right"/>
              <w:rPr>
                <w:rFonts w:asciiTheme="majorHAnsi" w:eastAsia="Times New Roman" w:hAnsiTheme="majorHAnsi" w:cstheme="majorHAnsi"/>
                <w:sz w:val="20"/>
                <w:szCs w:val="20"/>
              </w:rPr>
            </w:pPr>
            <w:r w:rsidRPr="001D30C8">
              <w:rPr>
                <w:rFonts w:asciiTheme="majorHAnsi" w:eastAsia="Times New Roman" w:hAnsiTheme="majorHAnsi" w:cstheme="majorHAnsi"/>
                <w:sz w:val="20"/>
                <w:szCs w:val="20"/>
              </w:rPr>
              <w:t>100</w:t>
            </w:r>
          </w:p>
        </w:tc>
        <w:tc>
          <w:tcPr>
            <w:tcW w:w="709" w:type="dxa"/>
          </w:tcPr>
          <w:p w:rsidR="00BC72EA" w:rsidRPr="001D30C8" w:rsidRDefault="00BC72EA" w:rsidP="003373DE">
            <w:pPr>
              <w:jc w:val="right"/>
              <w:rPr>
                <w:rFonts w:asciiTheme="majorHAnsi" w:eastAsia="Times New Roman" w:hAnsiTheme="majorHAnsi" w:cstheme="majorHAnsi"/>
                <w:sz w:val="20"/>
                <w:szCs w:val="20"/>
              </w:rPr>
            </w:pPr>
            <w:r w:rsidRPr="001D30C8">
              <w:rPr>
                <w:rFonts w:asciiTheme="majorHAnsi" w:eastAsia="Times New Roman" w:hAnsiTheme="majorHAnsi" w:cstheme="majorHAnsi"/>
                <w:sz w:val="20"/>
                <w:szCs w:val="20"/>
              </w:rPr>
              <w:t>100</w:t>
            </w:r>
          </w:p>
        </w:tc>
        <w:tc>
          <w:tcPr>
            <w:tcW w:w="709" w:type="dxa"/>
          </w:tcPr>
          <w:p w:rsidR="00BC72EA" w:rsidRPr="001D30C8" w:rsidRDefault="00BC72EA" w:rsidP="003373DE">
            <w:pPr>
              <w:jc w:val="right"/>
              <w:rPr>
                <w:rFonts w:asciiTheme="majorHAnsi" w:eastAsia="Times New Roman" w:hAnsiTheme="majorHAnsi" w:cstheme="majorHAnsi"/>
                <w:sz w:val="20"/>
                <w:szCs w:val="20"/>
              </w:rPr>
            </w:pPr>
            <w:r w:rsidRPr="001D30C8">
              <w:rPr>
                <w:rFonts w:asciiTheme="majorHAnsi" w:eastAsia="Times New Roman" w:hAnsiTheme="majorHAnsi" w:cstheme="majorHAnsi"/>
                <w:sz w:val="20"/>
                <w:szCs w:val="20"/>
              </w:rPr>
              <w:t>100</w:t>
            </w:r>
          </w:p>
        </w:tc>
        <w:tc>
          <w:tcPr>
            <w:tcW w:w="764" w:type="dxa"/>
          </w:tcPr>
          <w:p w:rsidR="00BC72EA" w:rsidRPr="001D30C8" w:rsidRDefault="00BC72EA" w:rsidP="003373DE">
            <w:pPr>
              <w:jc w:val="right"/>
              <w:rPr>
                <w:rFonts w:asciiTheme="majorHAnsi" w:eastAsia="Times New Roman" w:hAnsiTheme="majorHAnsi" w:cstheme="majorHAnsi"/>
                <w:sz w:val="20"/>
                <w:szCs w:val="20"/>
              </w:rPr>
            </w:pPr>
            <w:r w:rsidRPr="001D30C8">
              <w:rPr>
                <w:rFonts w:asciiTheme="majorHAnsi" w:eastAsia="Times New Roman" w:hAnsiTheme="majorHAnsi" w:cstheme="majorHAnsi"/>
                <w:sz w:val="20"/>
                <w:szCs w:val="20"/>
              </w:rPr>
              <w:t>100</w:t>
            </w:r>
          </w:p>
        </w:tc>
        <w:tc>
          <w:tcPr>
            <w:tcW w:w="915"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263C84">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RPr="000713E4" w:rsidTr="003373DE">
        <w:tc>
          <w:tcPr>
            <w:tcW w:w="14425" w:type="dxa"/>
            <w:gridSpan w:val="12"/>
            <w:shd w:val="clear" w:color="auto" w:fill="DAEEF3" w:themeFill="accent5" w:themeFillTint="33"/>
          </w:tcPr>
          <w:p w:rsidR="00BC72EA" w:rsidRPr="000713E4" w:rsidRDefault="00BC72EA" w:rsidP="003373DE">
            <w:pPr>
              <w:rPr>
                <w:rFonts w:cstheme="minorHAnsi"/>
                <w:b/>
                <w:i/>
                <w:sz w:val="24"/>
                <w:szCs w:val="24"/>
              </w:rPr>
            </w:pPr>
            <w:r w:rsidRPr="000713E4">
              <w:rPr>
                <w:rFonts w:cstheme="minorHAnsi"/>
                <w:b/>
                <w:i/>
                <w:sz w:val="24"/>
                <w:szCs w:val="24"/>
              </w:rPr>
              <w:t>PRODUIT 4 : L’approche santé communautaire est renforcée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jc w:val="both"/>
              <w:rPr>
                <w:rFonts w:asciiTheme="majorHAnsi" w:hAnsiTheme="majorHAnsi" w:cstheme="majorHAnsi"/>
                <w:sz w:val="20"/>
                <w:szCs w:val="20"/>
              </w:rPr>
            </w:pPr>
            <w:r w:rsidRPr="001D30C8">
              <w:rPr>
                <w:rFonts w:asciiTheme="majorHAnsi" w:hAnsiTheme="majorHAnsi" w:cstheme="majorHAnsi"/>
                <w:sz w:val="20"/>
                <w:szCs w:val="20"/>
              </w:rPr>
              <w:t>Proportion de village bénéficiant d’un paquet complet de SBC (TB, VIH, paludisme) offert par les OBC</w:t>
            </w:r>
          </w:p>
        </w:tc>
        <w:tc>
          <w:tcPr>
            <w:tcW w:w="850"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ND</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ENDOS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Enquête</w:t>
            </w:r>
          </w:p>
        </w:tc>
        <w:tc>
          <w:tcPr>
            <w:tcW w:w="919" w:type="dxa"/>
          </w:tcPr>
          <w:p w:rsidR="00BC72EA" w:rsidRDefault="00BC72EA" w:rsidP="003373DE">
            <w:r w:rsidRPr="005617EA">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DPES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jc w:val="both"/>
              <w:rPr>
                <w:rFonts w:asciiTheme="majorHAnsi" w:hAnsiTheme="majorHAnsi" w:cstheme="majorHAnsi"/>
                <w:sz w:val="20"/>
                <w:szCs w:val="20"/>
              </w:rPr>
            </w:pPr>
            <w:r>
              <w:rPr>
                <w:rFonts w:asciiTheme="majorHAnsi" w:hAnsiTheme="majorHAnsi" w:cstheme="majorHAnsi"/>
                <w:sz w:val="20"/>
                <w:szCs w:val="20"/>
              </w:rPr>
              <w:t>%</w:t>
            </w:r>
            <w:r w:rsidRPr="001D30C8">
              <w:rPr>
                <w:rFonts w:asciiTheme="majorHAnsi" w:hAnsiTheme="majorHAnsi" w:cstheme="majorHAnsi"/>
                <w:sz w:val="20"/>
                <w:szCs w:val="20"/>
              </w:rPr>
              <w:t xml:space="preserve"> de villa</w:t>
            </w:r>
            <w:r>
              <w:rPr>
                <w:rFonts w:asciiTheme="majorHAnsi" w:hAnsiTheme="majorHAnsi" w:cstheme="majorHAnsi"/>
                <w:sz w:val="20"/>
                <w:szCs w:val="20"/>
              </w:rPr>
              <w:t xml:space="preserve">ges et secteurs </w:t>
            </w:r>
            <w:r w:rsidRPr="001D30C8">
              <w:rPr>
                <w:rFonts w:asciiTheme="majorHAnsi" w:hAnsiTheme="majorHAnsi" w:cstheme="majorHAnsi"/>
                <w:sz w:val="20"/>
                <w:szCs w:val="20"/>
              </w:rPr>
              <w:t>disposant d’ASBC selon les normes</w:t>
            </w:r>
          </w:p>
        </w:tc>
        <w:tc>
          <w:tcPr>
            <w:tcW w:w="850" w:type="dxa"/>
          </w:tcPr>
          <w:p w:rsidR="00BC72EA" w:rsidRPr="00212448" w:rsidRDefault="00BC72EA" w:rsidP="003373DE">
            <w:pPr>
              <w:rPr>
                <w:rFonts w:asciiTheme="majorHAnsi" w:hAnsiTheme="majorHAnsi" w:cstheme="majorHAnsi"/>
                <w:sz w:val="16"/>
                <w:szCs w:val="16"/>
              </w:rPr>
            </w:pPr>
            <w:r w:rsidRPr="00212448">
              <w:rPr>
                <w:rFonts w:asciiTheme="majorHAnsi" w:hAnsiTheme="majorHAnsi" w:cstheme="majorHAnsi"/>
                <w:sz w:val="16"/>
                <w:szCs w:val="16"/>
              </w:rPr>
              <w:t xml:space="preserve">96 %-0% </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ENDOS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Enquête</w:t>
            </w:r>
          </w:p>
        </w:tc>
        <w:tc>
          <w:tcPr>
            <w:tcW w:w="919" w:type="dxa"/>
          </w:tcPr>
          <w:p w:rsidR="00BC72EA" w:rsidRDefault="00BC72EA" w:rsidP="003373DE">
            <w:r w:rsidRPr="005617EA">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DPES</w:t>
            </w:r>
          </w:p>
        </w:tc>
      </w:tr>
      <w:tr w:rsidR="00BC72EA" w:rsidRPr="00FF1448" w:rsidTr="003373DE">
        <w:tc>
          <w:tcPr>
            <w:tcW w:w="14425" w:type="dxa"/>
            <w:gridSpan w:val="12"/>
            <w:shd w:val="clear" w:color="auto" w:fill="DAEEF3" w:themeFill="accent5" w:themeFillTint="33"/>
          </w:tcPr>
          <w:p w:rsidR="00BC72EA" w:rsidRPr="00FF1448" w:rsidRDefault="00BC72EA" w:rsidP="003373DE">
            <w:pPr>
              <w:rPr>
                <w:rFonts w:cstheme="minorHAnsi"/>
                <w:b/>
                <w:i/>
                <w:sz w:val="24"/>
                <w:szCs w:val="24"/>
              </w:rPr>
            </w:pPr>
            <w:r w:rsidRPr="00FF1448">
              <w:rPr>
                <w:rFonts w:cstheme="minorHAnsi"/>
                <w:b/>
                <w:i/>
                <w:sz w:val="24"/>
                <w:szCs w:val="24"/>
              </w:rPr>
              <w:t>PRODUIT  5 : Une demande équitable de services SRMNEAN à haut impact est assurée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Nombre de nouveaux contacts par habitant et par an des enfants de moins de 5 ans</w:t>
            </w:r>
          </w:p>
        </w:tc>
        <w:tc>
          <w:tcPr>
            <w:tcW w:w="850" w:type="dxa"/>
          </w:tcPr>
          <w:p w:rsidR="00BC72EA" w:rsidRPr="001D30C8" w:rsidRDefault="00BC72EA" w:rsidP="003373DE">
            <w:pPr>
              <w:rPr>
                <w:rFonts w:asciiTheme="majorHAnsi" w:hAnsiTheme="majorHAnsi" w:cstheme="majorHAnsi"/>
                <w:sz w:val="20"/>
                <w:szCs w:val="20"/>
              </w:rPr>
            </w:pPr>
          </w:p>
        </w:tc>
        <w:tc>
          <w:tcPr>
            <w:tcW w:w="851"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&gt;2</w:t>
            </w:r>
          </w:p>
        </w:tc>
        <w:tc>
          <w:tcPr>
            <w:tcW w:w="708"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&gt;2</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&gt;2</w:t>
            </w:r>
          </w:p>
        </w:tc>
        <w:tc>
          <w:tcPr>
            <w:tcW w:w="709"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&gt;2</w:t>
            </w:r>
          </w:p>
        </w:tc>
        <w:tc>
          <w:tcPr>
            <w:tcW w:w="764" w:type="dxa"/>
            <w:vAlign w:val="center"/>
          </w:tcPr>
          <w:p w:rsidR="00BC72EA" w:rsidRPr="001D30C8" w:rsidRDefault="00BC72EA" w:rsidP="003373DE">
            <w:pPr>
              <w:pStyle w:val="Normal10"/>
              <w:jc w:val="right"/>
              <w:rPr>
                <w:rFonts w:asciiTheme="majorHAnsi" w:hAnsiTheme="majorHAnsi" w:cstheme="majorHAnsi"/>
                <w:sz w:val="20"/>
                <w:szCs w:val="20"/>
              </w:rPr>
            </w:pPr>
            <w:r w:rsidRPr="001D30C8">
              <w:rPr>
                <w:rFonts w:asciiTheme="majorHAnsi" w:hAnsiTheme="majorHAnsi" w:cstheme="majorHAnsi"/>
                <w:sz w:val="20"/>
                <w:szCs w:val="20"/>
              </w:rPr>
              <w:t>&gt;2</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RPr="00FF1448" w:rsidTr="003373DE">
        <w:tc>
          <w:tcPr>
            <w:tcW w:w="14425" w:type="dxa"/>
            <w:gridSpan w:val="12"/>
            <w:shd w:val="clear" w:color="auto" w:fill="DAEEF3" w:themeFill="accent5" w:themeFillTint="33"/>
          </w:tcPr>
          <w:p w:rsidR="00BC72EA" w:rsidRPr="00FF1448" w:rsidRDefault="00BC72EA" w:rsidP="003373DE">
            <w:pPr>
              <w:rPr>
                <w:rFonts w:cstheme="minorHAnsi"/>
                <w:b/>
                <w:i/>
                <w:sz w:val="24"/>
                <w:szCs w:val="24"/>
              </w:rPr>
            </w:pPr>
            <w:r w:rsidRPr="00FF1448">
              <w:rPr>
                <w:rFonts w:cstheme="minorHAnsi"/>
                <w:b/>
                <w:i/>
                <w:sz w:val="24"/>
                <w:szCs w:val="24"/>
              </w:rPr>
              <w:t>PRODUIT 6 : Un personnel opérationnel,  compétent, motivé et réparti équitablement est disponible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Pourcentage de formations sanitaires (CSPS) remplissant les normes minimales en personnel1</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91</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96,16</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97,48</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98,8</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915"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CF195E">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 xml:space="preserve">Ratio SFE/population </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5 874</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5 229</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5 172</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5 114</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5 057</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5 000</w:t>
            </w:r>
          </w:p>
        </w:tc>
        <w:tc>
          <w:tcPr>
            <w:tcW w:w="915"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CF195E">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RPr="00FF1448" w:rsidTr="003373DE">
        <w:tc>
          <w:tcPr>
            <w:tcW w:w="14425" w:type="dxa"/>
            <w:gridSpan w:val="12"/>
            <w:shd w:val="clear" w:color="auto" w:fill="DAEEF3" w:themeFill="accent5" w:themeFillTint="33"/>
          </w:tcPr>
          <w:p w:rsidR="00BC72EA" w:rsidRPr="00FF1448" w:rsidRDefault="00BC72EA" w:rsidP="003373DE">
            <w:pPr>
              <w:rPr>
                <w:rFonts w:eastAsia="Times New Roman" w:cstheme="minorHAnsi"/>
                <w:b/>
                <w:i/>
                <w:sz w:val="24"/>
                <w:szCs w:val="24"/>
                <w:lang w:eastAsia="fr-FR"/>
              </w:rPr>
            </w:pPr>
            <w:r w:rsidRPr="00FF1448">
              <w:rPr>
                <w:rFonts w:cstheme="minorHAnsi"/>
                <w:b/>
                <w:i/>
                <w:sz w:val="24"/>
                <w:szCs w:val="24"/>
              </w:rPr>
              <w:t>PRODUIT 7 : Les infrastructures, les équipements et la logistique pour l’offre des services SRMNEAN sont disponibles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Rayon moyen d’action théorique</w:t>
            </w:r>
          </w:p>
        </w:tc>
        <w:tc>
          <w:tcPr>
            <w:tcW w:w="850" w:type="dxa"/>
          </w:tcPr>
          <w:p w:rsidR="00BC72EA" w:rsidRPr="001D30C8" w:rsidRDefault="00BC72EA" w:rsidP="003373DE">
            <w:pPr>
              <w:jc w:val="right"/>
              <w:rPr>
                <w:rFonts w:asciiTheme="majorHAnsi" w:hAnsiTheme="majorHAnsi" w:cstheme="majorHAnsi"/>
                <w:sz w:val="20"/>
                <w:szCs w:val="20"/>
              </w:rPr>
            </w:pPr>
            <w:r w:rsidRPr="00FF1448">
              <w:rPr>
                <w:rFonts w:asciiTheme="majorHAnsi" w:hAnsiTheme="majorHAnsi" w:cstheme="majorHAnsi"/>
                <w:b/>
                <w:sz w:val="14"/>
                <w:szCs w:val="16"/>
              </w:rPr>
              <w:t>6 Km</w:t>
            </w:r>
            <w:r w:rsidRPr="00FF1448">
              <w:rPr>
                <w:rFonts w:asciiTheme="majorHAnsi" w:hAnsiTheme="majorHAnsi" w:cstheme="majorHAnsi"/>
                <w:sz w:val="18"/>
                <w:szCs w:val="20"/>
              </w:rPr>
              <w:t xml:space="preserve"> </w:t>
            </w:r>
            <w:r w:rsidRPr="00FF1448">
              <w:rPr>
                <w:rFonts w:asciiTheme="majorHAnsi" w:hAnsiTheme="majorHAnsi" w:cstheme="majorHAnsi"/>
                <w:sz w:val="12"/>
                <w:szCs w:val="20"/>
              </w:rPr>
              <w:t>(2015)</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5 Km</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5 km</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5 km</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5 km</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5 km</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 xml:space="preserve">Routine </w:t>
            </w:r>
          </w:p>
        </w:tc>
        <w:tc>
          <w:tcPr>
            <w:tcW w:w="919" w:type="dxa"/>
          </w:tcPr>
          <w:p w:rsidR="00BC72EA" w:rsidRDefault="00BC72EA" w:rsidP="003373DE">
            <w:r w:rsidRPr="0001720A">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Pourcentage des formations sanitaires (CSPS) fonctionnelles selon les normes en Infrastructures (%)</w:t>
            </w:r>
          </w:p>
        </w:tc>
        <w:tc>
          <w:tcPr>
            <w:tcW w:w="850"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90</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96</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 xml:space="preserve">Routine </w:t>
            </w:r>
          </w:p>
        </w:tc>
        <w:tc>
          <w:tcPr>
            <w:tcW w:w="919" w:type="dxa"/>
          </w:tcPr>
          <w:p w:rsidR="00BC72EA" w:rsidRDefault="00BC72EA" w:rsidP="003373DE">
            <w:r w:rsidRPr="0001720A">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w:t>
            </w:r>
          </w:p>
        </w:tc>
      </w:tr>
      <w:tr w:rsidR="00BC72EA" w:rsidRPr="00FF1448" w:rsidTr="003373DE">
        <w:tc>
          <w:tcPr>
            <w:tcW w:w="14425" w:type="dxa"/>
            <w:gridSpan w:val="12"/>
            <w:shd w:val="clear" w:color="auto" w:fill="DAEEF3" w:themeFill="accent5" w:themeFillTint="33"/>
          </w:tcPr>
          <w:p w:rsidR="00BC72EA" w:rsidRPr="00FF1448" w:rsidRDefault="00BC72EA" w:rsidP="003373DE">
            <w:pPr>
              <w:rPr>
                <w:rFonts w:eastAsia="Times New Roman" w:cstheme="minorHAnsi"/>
                <w:b/>
                <w:i/>
                <w:sz w:val="24"/>
                <w:szCs w:val="24"/>
                <w:lang w:eastAsia="fr-FR"/>
              </w:rPr>
            </w:pPr>
            <w:r w:rsidRPr="00FF1448">
              <w:rPr>
                <w:rFonts w:cstheme="minorHAnsi"/>
                <w:b/>
                <w:i/>
                <w:sz w:val="24"/>
                <w:szCs w:val="24"/>
              </w:rPr>
              <w:t>PRODUIT 8 : Les intrants de SRMNEAN sont disponibles de manière continue.</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Taux de rupture de stock des  50 médicaments traceurs dans les districts et régions en décembre</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12,46</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11,1</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9,8</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9,2</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8,5</w:t>
            </w:r>
          </w:p>
        </w:tc>
        <w:tc>
          <w:tcPr>
            <w:tcW w:w="915"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ENDOS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vAlign w:val="center"/>
          </w:tcPr>
          <w:p w:rsidR="00BC72EA" w:rsidRPr="001D30C8" w:rsidRDefault="00BC72EA" w:rsidP="003373DE">
            <w:pPr>
              <w:rPr>
                <w:rFonts w:asciiTheme="majorHAnsi" w:eastAsia="Times New Roman" w:hAnsiTheme="majorHAnsi" w:cstheme="majorHAnsi"/>
                <w:sz w:val="20"/>
                <w:szCs w:val="20"/>
                <w:lang w:eastAsia="fr-FR"/>
              </w:rPr>
            </w:pPr>
            <w:r>
              <w:rPr>
                <w:rFonts w:asciiTheme="majorHAnsi" w:eastAsia="Times New Roman" w:hAnsiTheme="majorHAnsi" w:cstheme="majorHAnsi"/>
                <w:sz w:val="20"/>
                <w:szCs w:val="20"/>
                <w:lang w:eastAsia="fr-FR"/>
              </w:rPr>
              <w:t>%</w:t>
            </w:r>
            <w:r w:rsidRPr="001D30C8">
              <w:rPr>
                <w:rFonts w:asciiTheme="majorHAnsi" w:eastAsia="Times New Roman" w:hAnsiTheme="majorHAnsi" w:cstheme="majorHAnsi"/>
                <w:sz w:val="20"/>
                <w:szCs w:val="20"/>
                <w:lang w:eastAsia="fr-FR"/>
              </w:rPr>
              <w:t xml:space="preserve"> de DMEG n'ayant pas connu de rupture de médicaments traceurs</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18,6</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5</w:t>
            </w:r>
          </w:p>
        </w:tc>
        <w:tc>
          <w:tcPr>
            <w:tcW w:w="915" w:type="dxa"/>
            <w:vAlign w:val="center"/>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RPr="00A5624F" w:rsidTr="003373DE">
        <w:tc>
          <w:tcPr>
            <w:tcW w:w="14425" w:type="dxa"/>
            <w:gridSpan w:val="12"/>
            <w:shd w:val="clear" w:color="auto" w:fill="DAEEF3" w:themeFill="accent5" w:themeFillTint="33"/>
          </w:tcPr>
          <w:p w:rsidR="00BC72EA" w:rsidRPr="00A5624F" w:rsidRDefault="00BC72EA" w:rsidP="003373DE">
            <w:pPr>
              <w:rPr>
                <w:rFonts w:eastAsia="Times New Roman" w:cstheme="minorHAnsi"/>
                <w:b/>
                <w:i/>
                <w:sz w:val="24"/>
                <w:szCs w:val="24"/>
                <w:lang w:eastAsia="fr-FR"/>
              </w:rPr>
            </w:pPr>
            <w:r w:rsidRPr="00A5624F">
              <w:rPr>
                <w:rFonts w:cstheme="minorHAnsi"/>
                <w:b/>
                <w:i/>
                <w:sz w:val="24"/>
                <w:szCs w:val="24"/>
              </w:rPr>
              <w:t>PRODUIT 9 : Le financement de la santé en général  et du DI-SRMNEAN-ECSV</w:t>
            </w:r>
            <w:r>
              <w:rPr>
                <w:rFonts w:cstheme="minorHAnsi"/>
                <w:b/>
                <w:i/>
                <w:sz w:val="24"/>
                <w:szCs w:val="24"/>
              </w:rPr>
              <w:t xml:space="preserve"> en particulier  es</w:t>
            </w:r>
            <w:r w:rsidRPr="00A5624F">
              <w:rPr>
                <w:rFonts w:cstheme="minorHAnsi"/>
                <w:b/>
                <w:i/>
                <w:sz w:val="24"/>
                <w:szCs w:val="24"/>
              </w:rPr>
              <w:t>t assurés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Pourcentage du budget de l’Etat alloué à la santé</w:t>
            </w:r>
            <w:r>
              <w:rPr>
                <w:rFonts w:asciiTheme="majorHAnsi" w:hAnsiTheme="majorHAnsi" w:cstheme="majorHAnsi"/>
                <w:sz w:val="20"/>
                <w:szCs w:val="20"/>
              </w:rPr>
              <w:t xml:space="preserve"> (%)</w:t>
            </w:r>
          </w:p>
        </w:tc>
        <w:tc>
          <w:tcPr>
            <w:tcW w:w="850"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12,7</w:t>
            </w:r>
            <w:r w:rsidRPr="00212448">
              <w:rPr>
                <w:rFonts w:asciiTheme="majorHAnsi" w:hAnsiTheme="majorHAnsi" w:cstheme="majorHAnsi"/>
                <w:sz w:val="10"/>
                <w:szCs w:val="20"/>
              </w:rPr>
              <w:t>(2015)</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 xml:space="preserve">&gt;=15% </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&gt;=15</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&gt;=15</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&gt;=15</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&gt;=15%</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CS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 xml:space="preserve">Enquête </w:t>
            </w:r>
          </w:p>
        </w:tc>
        <w:tc>
          <w:tcPr>
            <w:tcW w:w="919" w:type="dxa"/>
          </w:tcPr>
          <w:p w:rsidR="00BC72EA" w:rsidRDefault="00BC72EA" w:rsidP="003373DE">
            <w:r w:rsidRPr="00873394">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Taux d’absorption des ressources allouées</w:t>
            </w:r>
            <w:r>
              <w:rPr>
                <w:rFonts w:asciiTheme="majorHAnsi" w:hAnsiTheme="majorHAnsi" w:cstheme="majorHAnsi"/>
                <w:sz w:val="20"/>
                <w:szCs w:val="20"/>
              </w:rPr>
              <w:t xml:space="preserve"> (%)</w:t>
            </w:r>
          </w:p>
        </w:tc>
        <w:tc>
          <w:tcPr>
            <w:tcW w:w="850"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&gt;=85%</w:t>
            </w: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&gt;=85%</w:t>
            </w:r>
          </w:p>
        </w:tc>
        <w:tc>
          <w:tcPr>
            <w:tcW w:w="708"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&gt;=85</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&gt;=85</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&gt;=85</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&gt;=85%</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CS</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 xml:space="preserve">Enquête </w:t>
            </w:r>
          </w:p>
        </w:tc>
        <w:tc>
          <w:tcPr>
            <w:tcW w:w="919" w:type="dxa"/>
          </w:tcPr>
          <w:p w:rsidR="00BC72EA" w:rsidRDefault="00BC72EA" w:rsidP="003373DE">
            <w:r w:rsidRPr="00873394">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w:t>
            </w:r>
          </w:p>
        </w:tc>
      </w:tr>
      <w:tr w:rsidR="00BC72EA" w:rsidRPr="00A5624F" w:rsidTr="003373DE">
        <w:tc>
          <w:tcPr>
            <w:tcW w:w="14425" w:type="dxa"/>
            <w:gridSpan w:val="12"/>
            <w:shd w:val="clear" w:color="auto" w:fill="DAEEF3" w:themeFill="accent5" w:themeFillTint="33"/>
          </w:tcPr>
          <w:p w:rsidR="00BC72EA" w:rsidRPr="00A5624F" w:rsidRDefault="00BC72EA" w:rsidP="003373DE">
            <w:pPr>
              <w:rPr>
                <w:rFonts w:eastAsia="Times New Roman" w:cstheme="minorHAnsi"/>
                <w:b/>
                <w:i/>
                <w:sz w:val="24"/>
                <w:szCs w:val="24"/>
                <w:lang w:eastAsia="fr-FR"/>
              </w:rPr>
            </w:pPr>
            <w:r w:rsidRPr="00A5624F">
              <w:rPr>
                <w:rFonts w:cstheme="minorHAnsi"/>
                <w:b/>
                <w:i/>
                <w:sz w:val="24"/>
                <w:szCs w:val="24"/>
              </w:rPr>
              <w:t>PRODUIT 10 : L’information sanitaire est renforcée pour une meilleure prise de décision</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Taux de promptitude de</w:t>
            </w:r>
            <w:r>
              <w:rPr>
                <w:rFonts w:asciiTheme="majorHAnsi" w:hAnsiTheme="majorHAnsi" w:cstheme="majorHAnsi"/>
                <w:sz w:val="20"/>
                <w:szCs w:val="20"/>
              </w:rPr>
              <w:t xml:space="preserve"> </w:t>
            </w:r>
            <w:r w:rsidRPr="001D30C8">
              <w:rPr>
                <w:rFonts w:asciiTheme="majorHAnsi" w:hAnsiTheme="majorHAnsi" w:cstheme="majorHAnsi"/>
                <w:sz w:val="20"/>
                <w:szCs w:val="20"/>
              </w:rPr>
              <w:t>rapports SNIS par niveau</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3338EE">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autoSpaceDE w:val="0"/>
              <w:autoSpaceDN w:val="0"/>
              <w:adjustRightInd w:val="0"/>
              <w:rPr>
                <w:rFonts w:asciiTheme="majorHAnsi" w:hAnsiTheme="majorHAnsi" w:cstheme="majorHAnsi"/>
                <w:sz w:val="20"/>
                <w:szCs w:val="20"/>
              </w:rPr>
            </w:pPr>
            <w:r w:rsidRPr="001D30C8">
              <w:rPr>
                <w:rFonts w:asciiTheme="majorHAnsi" w:hAnsiTheme="majorHAnsi" w:cstheme="majorHAnsi"/>
                <w:sz w:val="20"/>
                <w:szCs w:val="20"/>
              </w:rPr>
              <w:t>Taux de complétude de</w:t>
            </w:r>
            <w:r>
              <w:rPr>
                <w:rFonts w:asciiTheme="majorHAnsi" w:hAnsiTheme="majorHAnsi" w:cstheme="majorHAnsi"/>
                <w:sz w:val="20"/>
                <w:szCs w:val="20"/>
              </w:rPr>
              <w:t xml:space="preserve"> </w:t>
            </w:r>
            <w:r w:rsidRPr="001D30C8">
              <w:rPr>
                <w:rFonts w:asciiTheme="majorHAnsi" w:hAnsiTheme="majorHAnsi" w:cstheme="majorHAnsi"/>
                <w:sz w:val="20"/>
                <w:szCs w:val="20"/>
              </w:rPr>
              <w:t>rapports SNIS par niveau</w:t>
            </w:r>
          </w:p>
        </w:tc>
        <w:tc>
          <w:tcPr>
            <w:tcW w:w="850"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91,8</w:t>
            </w:r>
          </w:p>
        </w:tc>
        <w:tc>
          <w:tcPr>
            <w:tcW w:w="851"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93,44</w:t>
            </w:r>
          </w:p>
        </w:tc>
        <w:tc>
          <w:tcPr>
            <w:tcW w:w="708"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95,08</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96,72</w:t>
            </w:r>
          </w:p>
        </w:tc>
        <w:tc>
          <w:tcPr>
            <w:tcW w:w="709"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98,36</w:t>
            </w:r>
          </w:p>
        </w:tc>
        <w:tc>
          <w:tcPr>
            <w:tcW w:w="764" w:type="dxa"/>
            <w:vAlign w:val="center"/>
          </w:tcPr>
          <w:p w:rsidR="00BC72EA" w:rsidRPr="001D30C8" w:rsidRDefault="00BC72EA" w:rsidP="003373DE">
            <w:pPr>
              <w:jc w:val="right"/>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3338EE">
              <w:rPr>
                <w:rFonts w:asciiTheme="majorHAnsi" w:hAnsiTheme="majorHAnsi" w:cstheme="majorHAnsi"/>
                <w:sz w:val="20"/>
                <w:szCs w:val="20"/>
              </w:rPr>
              <w:t>Annuel</w:t>
            </w:r>
          </w:p>
        </w:tc>
        <w:tc>
          <w:tcPr>
            <w:tcW w:w="1444" w:type="dxa"/>
            <w:vAlign w:val="center"/>
          </w:tcPr>
          <w:p w:rsidR="00BC72EA" w:rsidRPr="001D30C8" w:rsidRDefault="00BC72EA" w:rsidP="003373DE">
            <w:pPr>
              <w:jc w:val="cente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MS</w:t>
            </w:r>
          </w:p>
        </w:tc>
      </w:tr>
      <w:tr w:rsidR="00BC72EA" w:rsidTr="003373DE">
        <w:tc>
          <w:tcPr>
            <w:tcW w:w="534" w:type="dxa"/>
          </w:tcPr>
          <w:p w:rsidR="00BC72EA" w:rsidRDefault="00BC72EA" w:rsidP="003373DE">
            <w:pPr>
              <w:pStyle w:val="Paragraphedeliste"/>
              <w:numPr>
                <w:ilvl w:val="0"/>
                <w:numId w:val="124"/>
              </w:numPr>
              <w:spacing w:line="240" w:lineRule="auto"/>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Proportion des résultats de recherches utilisés dans le processus de prise de décision</w:t>
            </w:r>
          </w:p>
        </w:tc>
        <w:tc>
          <w:tcPr>
            <w:tcW w:w="850" w:type="dxa"/>
          </w:tcPr>
          <w:p w:rsidR="00BC72EA" w:rsidRPr="001D30C8" w:rsidRDefault="00BC72EA" w:rsidP="003373DE">
            <w:pPr>
              <w:jc w:val="right"/>
              <w:rPr>
                <w:rFonts w:asciiTheme="majorHAnsi" w:hAnsiTheme="majorHAnsi" w:cstheme="majorHAnsi"/>
                <w:sz w:val="20"/>
                <w:szCs w:val="20"/>
              </w:rPr>
            </w:pPr>
          </w:p>
        </w:tc>
        <w:tc>
          <w:tcPr>
            <w:tcW w:w="851"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85 %</w:t>
            </w:r>
          </w:p>
        </w:tc>
        <w:tc>
          <w:tcPr>
            <w:tcW w:w="708"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AS/MS</w:t>
            </w:r>
          </w:p>
        </w:tc>
        <w:tc>
          <w:tcPr>
            <w:tcW w:w="919" w:type="dxa"/>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3338EE">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MS/SNIS</w:t>
            </w:r>
          </w:p>
        </w:tc>
      </w:tr>
      <w:tr w:rsidR="00BC72EA" w:rsidRPr="00A5624F" w:rsidTr="003373DE">
        <w:tc>
          <w:tcPr>
            <w:tcW w:w="14425" w:type="dxa"/>
            <w:gridSpan w:val="12"/>
            <w:shd w:val="clear" w:color="auto" w:fill="DAEEF3" w:themeFill="accent5" w:themeFillTint="33"/>
          </w:tcPr>
          <w:p w:rsidR="00BC72EA" w:rsidRPr="00A5624F" w:rsidRDefault="00BC72EA" w:rsidP="003373DE">
            <w:pPr>
              <w:rPr>
                <w:rFonts w:cstheme="minorHAnsi"/>
                <w:b/>
                <w:i/>
                <w:sz w:val="24"/>
                <w:szCs w:val="24"/>
              </w:rPr>
            </w:pPr>
            <w:r w:rsidRPr="00A5624F">
              <w:rPr>
                <w:rFonts w:cstheme="minorHAnsi"/>
                <w:b/>
                <w:i/>
                <w:sz w:val="24"/>
                <w:szCs w:val="24"/>
              </w:rPr>
              <w:t>PRODUIT 11 : L’enregistrement des faits d’état civil et la production des statistiques vitales sont améliorés.</w:t>
            </w:r>
          </w:p>
        </w:tc>
      </w:tr>
      <w:tr w:rsidR="00BC72EA" w:rsidTr="003373DE">
        <w:tc>
          <w:tcPr>
            <w:tcW w:w="534" w:type="dxa"/>
          </w:tcPr>
          <w:p w:rsidR="00BC72EA" w:rsidRPr="00FE06A2" w:rsidRDefault="00BC72EA" w:rsidP="003373DE">
            <w:pPr>
              <w:pStyle w:val="Paragraphedeliste"/>
              <w:numPr>
                <w:ilvl w:val="0"/>
                <w:numId w:val="124"/>
              </w:numPr>
              <w:spacing w:line="240" w:lineRule="auto"/>
              <w:rPr>
                <w:sz w:val="20"/>
                <w:szCs w:val="20"/>
              </w:rPr>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 des naissances sont enregistrées à l’Etat civil</w:t>
            </w:r>
          </w:p>
        </w:tc>
        <w:tc>
          <w:tcPr>
            <w:tcW w:w="850" w:type="dxa"/>
          </w:tcPr>
          <w:p w:rsidR="00BC72EA" w:rsidRPr="00A5624F" w:rsidRDefault="00BC72EA" w:rsidP="003373DE">
            <w:pPr>
              <w:jc w:val="right"/>
              <w:rPr>
                <w:rFonts w:asciiTheme="majorHAnsi" w:hAnsiTheme="majorHAnsi" w:cstheme="majorHAnsi"/>
                <w:sz w:val="20"/>
                <w:szCs w:val="20"/>
              </w:rPr>
            </w:pPr>
            <w:r>
              <w:rPr>
                <w:rFonts w:asciiTheme="majorHAnsi" w:hAnsiTheme="majorHAnsi" w:cstheme="majorHAnsi"/>
                <w:sz w:val="20"/>
                <w:szCs w:val="20"/>
              </w:rPr>
              <w:t>78</w:t>
            </w:r>
            <w:r w:rsidRPr="00A5624F">
              <w:rPr>
                <w:rFonts w:asciiTheme="majorHAnsi" w:hAnsiTheme="majorHAnsi" w:cstheme="majorHAnsi"/>
                <w:sz w:val="16"/>
                <w:szCs w:val="16"/>
              </w:rPr>
              <w:t>(2015)</w:t>
            </w:r>
          </w:p>
        </w:tc>
        <w:tc>
          <w:tcPr>
            <w:tcW w:w="851"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82</w:t>
            </w:r>
          </w:p>
        </w:tc>
        <w:tc>
          <w:tcPr>
            <w:tcW w:w="708"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85</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88</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91</w:t>
            </w:r>
          </w:p>
        </w:tc>
        <w:tc>
          <w:tcPr>
            <w:tcW w:w="764"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94</w:t>
            </w:r>
          </w:p>
        </w:tc>
        <w:tc>
          <w:tcPr>
            <w:tcW w:w="915"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Rapport</w:t>
            </w:r>
          </w:p>
        </w:tc>
        <w:tc>
          <w:tcPr>
            <w:tcW w:w="919" w:type="dxa"/>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AF22CC">
              <w:rPr>
                <w:rFonts w:asciiTheme="majorHAnsi" w:hAnsiTheme="majorHAnsi" w:cstheme="majorHAnsi"/>
                <w:sz w:val="20"/>
                <w:szCs w:val="20"/>
              </w:rPr>
              <w:t>Annuel</w:t>
            </w:r>
          </w:p>
        </w:tc>
        <w:tc>
          <w:tcPr>
            <w:tcW w:w="1444" w:type="dxa"/>
          </w:tcPr>
          <w:p w:rsidR="00BC72EA" w:rsidRPr="001A5830" w:rsidRDefault="00BC72EA" w:rsidP="003373DE">
            <w:pPr>
              <w:jc w:val="center"/>
              <w:rPr>
                <w:rFonts w:asciiTheme="majorHAnsi" w:hAnsiTheme="majorHAnsi" w:cstheme="majorHAnsi"/>
                <w:sz w:val="16"/>
                <w:szCs w:val="16"/>
              </w:rPr>
            </w:pPr>
            <w:r w:rsidRPr="001A5830">
              <w:rPr>
                <w:rFonts w:asciiTheme="majorHAnsi" w:hAnsiTheme="majorHAnsi" w:cstheme="majorHAnsi"/>
                <w:sz w:val="16"/>
                <w:szCs w:val="16"/>
              </w:rPr>
              <w:t>MATDSI/DGMEC</w:t>
            </w:r>
          </w:p>
        </w:tc>
      </w:tr>
      <w:tr w:rsidR="00BC72EA" w:rsidTr="003373DE">
        <w:tc>
          <w:tcPr>
            <w:tcW w:w="534" w:type="dxa"/>
          </w:tcPr>
          <w:p w:rsidR="00BC72EA" w:rsidRPr="00FE06A2" w:rsidRDefault="00BC72EA" w:rsidP="003373DE">
            <w:pPr>
              <w:pStyle w:val="Paragraphedeliste"/>
              <w:numPr>
                <w:ilvl w:val="0"/>
                <w:numId w:val="124"/>
              </w:numPr>
              <w:spacing w:line="240" w:lineRule="auto"/>
              <w:rPr>
                <w:sz w:val="20"/>
                <w:szCs w:val="20"/>
              </w:rPr>
            </w:pPr>
          </w:p>
        </w:tc>
        <w:tc>
          <w:tcPr>
            <w:tcW w:w="5103"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 des décès déclarés</w:t>
            </w:r>
          </w:p>
        </w:tc>
        <w:tc>
          <w:tcPr>
            <w:tcW w:w="850"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ND</w:t>
            </w:r>
          </w:p>
        </w:tc>
        <w:tc>
          <w:tcPr>
            <w:tcW w:w="851"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50</w:t>
            </w:r>
          </w:p>
        </w:tc>
        <w:tc>
          <w:tcPr>
            <w:tcW w:w="708"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55</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60</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65</w:t>
            </w:r>
          </w:p>
        </w:tc>
        <w:tc>
          <w:tcPr>
            <w:tcW w:w="764"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70</w:t>
            </w:r>
          </w:p>
        </w:tc>
        <w:tc>
          <w:tcPr>
            <w:tcW w:w="915" w:type="dxa"/>
          </w:tcPr>
          <w:p w:rsidR="00BC72EA" w:rsidRDefault="00BC72EA" w:rsidP="003373DE">
            <w:r w:rsidRPr="007663B4">
              <w:rPr>
                <w:rFonts w:asciiTheme="majorHAnsi" w:hAnsiTheme="majorHAnsi" w:cstheme="majorHAnsi"/>
                <w:sz w:val="20"/>
                <w:szCs w:val="20"/>
              </w:rPr>
              <w:t>Rapport</w:t>
            </w:r>
          </w:p>
        </w:tc>
        <w:tc>
          <w:tcPr>
            <w:tcW w:w="919" w:type="dxa"/>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AF22CC">
              <w:rPr>
                <w:rFonts w:asciiTheme="majorHAnsi" w:hAnsiTheme="majorHAnsi" w:cstheme="majorHAnsi"/>
                <w:sz w:val="20"/>
                <w:szCs w:val="20"/>
              </w:rPr>
              <w:t>Annuel</w:t>
            </w:r>
          </w:p>
        </w:tc>
        <w:tc>
          <w:tcPr>
            <w:tcW w:w="1444" w:type="dxa"/>
          </w:tcPr>
          <w:p w:rsidR="00BC72EA" w:rsidRPr="001A5830" w:rsidRDefault="00BC72EA" w:rsidP="003373DE">
            <w:pPr>
              <w:jc w:val="center"/>
              <w:rPr>
                <w:rFonts w:asciiTheme="majorHAnsi" w:hAnsiTheme="majorHAnsi" w:cstheme="majorHAnsi"/>
                <w:sz w:val="16"/>
                <w:szCs w:val="16"/>
              </w:rPr>
            </w:pPr>
            <w:r w:rsidRPr="001A5830">
              <w:rPr>
                <w:rFonts w:asciiTheme="majorHAnsi" w:hAnsiTheme="majorHAnsi" w:cstheme="majorHAnsi"/>
                <w:sz w:val="16"/>
                <w:szCs w:val="16"/>
              </w:rPr>
              <w:t>MATDSI/DGMEC</w:t>
            </w:r>
          </w:p>
        </w:tc>
      </w:tr>
      <w:tr w:rsidR="00BC72EA" w:rsidTr="003373DE">
        <w:tc>
          <w:tcPr>
            <w:tcW w:w="534" w:type="dxa"/>
          </w:tcPr>
          <w:p w:rsidR="00BC72EA" w:rsidRPr="00FE06A2" w:rsidRDefault="00BC72EA" w:rsidP="003373DE">
            <w:pPr>
              <w:pStyle w:val="Paragraphedeliste"/>
              <w:numPr>
                <w:ilvl w:val="0"/>
                <w:numId w:val="124"/>
              </w:numPr>
              <w:spacing w:line="240" w:lineRule="auto"/>
              <w:rPr>
                <w:sz w:val="20"/>
                <w:szCs w:val="20"/>
              </w:rPr>
            </w:pPr>
          </w:p>
        </w:tc>
        <w:tc>
          <w:tcPr>
            <w:tcW w:w="5103"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 des mariages enregistré</w:t>
            </w:r>
            <w:r w:rsidRPr="001D30C8">
              <w:rPr>
                <w:rFonts w:asciiTheme="majorHAnsi" w:hAnsiTheme="majorHAnsi" w:cstheme="majorHAnsi"/>
                <w:sz w:val="20"/>
                <w:szCs w:val="20"/>
              </w:rPr>
              <w:t>s à l’Etat civil</w:t>
            </w:r>
          </w:p>
        </w:tc>
        <w:tc>
          <w:tcPr>
            <w:tcW w:w="850"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ND</w:t>
            </w:r>
          </w:p>
        </w:tc>
        <w:tc>
          <w:tcPr>
            <w:tcW w:w="851"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50</w:t>
            </w:r>
          </w:p>
        </w:tc>
        <w:tc>
          <w:tcPr>
            <w:tcW w:w="708"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55</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60</w:t>
            </w:r>
          </w:p>
        </w:tc>
        <w:tc>
          <w:tcPr>
            <w:tcW w:w="709"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65</w:t>
            </w:r>
          </w:p>
        </w:tc>
        <w:tc>
          <w:tcPr>
            <w:tcW w:w="764" w:type="dxa"/>
          </w:tcPr>
          <w:p w:rsidR="00BC72EA" w:rsidRPr="001D30C8" w:rsidRDefault="00BC72EA" w:rsidP="003373DE">
            <w:pPr>
              <w:jc w:val="right"/>
              <w:rPr>
                <w:rFonts w:asciiTheme="majorHAnsi" w:hAnsiTheme="majorHAnsi" w:cstheme="majorHAnsi"/>
                <w:sz w:val="20"/>
                <w:szCs w:val="20"/>
              </w:rPr>
            </w:pPr>
            <w:r>
              <w:rPr>
                <w:rFonts w:asciiTheme="majorHAnsi" w:hAnsiTheme="majorHAnsi" w:cstheme="majorHAnsi"/>
                <w:sz w:val="20"/>
                <w:szCs w:val="20"/>
              </w:rPr>
              <w:t>70</w:t>
            </w:r>
          </w:p>
        </w:tc>
        <w:tc>
          <w:tcPr>
            <w:tcW w:w="915" w:type="dxa"/>
          </w:tcPr>
          <w:p w:rsidR="00BC72EA" w:rsidRDefault="00BC72EA" w:rsidP="003373DE">
            <w:r w:rsidRPr="007663B4">
              <w:rPr>
                <w:rFonts w:asciiTheme="majorHAnsi" w:hAnsiTheme="majorHAnsi" w:cstheme="majorHAnsi"/>
                <w:sz w:val="20"/>
                <w:szCs w:val="20"/>
              </w:rPr>
              <w:t>Rapport</w:t>
            </w:r>
          </w:p>
        </w:tc>
        <w:tc>
          <w:tcPr>
            <w:tcW w:w="919" w:type="dxa"/>
          </w:tcPr>
          <w:p w:rsidR="00BC72EA" w:rsidRPr="001D30C8" w:rsidRDefault="00BC72EA" w:rsidP="003373DE">
            <w:pPr>
              <w:rPr>
                <w:rFonts w:asciiTheme="majorHAnsi" w:eastAsia="Times New Roman" w:hAnsiTheme="majorHAnsi" w:cstheme="majorHAnsi"/>
                <w:sz w:val="20"/>
                <w:szCs w:val="20"/>
                <w:lang w:eastAsia="fr-FR"/>
              </w:rPr>
            </w:pPr>
            <w:r w:rsidRPr="001D30C8">
              <w:rPr>
                <w:rFonts w:asciiTheme="majorHAnsi" w:eastAsia="Times New Roman" w:hAnsiTheme="majorHAnsi" w:cstheme="majorHAnsi"/>
                <w:sz w:val="20"/>
                <w:szCs w:val="20"/>
                <w:lang w:eastAsia="fr-FR"/>
              </w:rPr>
              <w:t>Routine</w:t>
            </w:r>
          </w:p>
        </w:tc>
        <w:tc>
          <w:tcPr>
            <w:tcW w:w="919" w:type="dxa"/>
          </w:tcPr>
          <w:p w:rsidR="00BC72EA" w:rsidRDefault="00BC72EA" w:rsidP="003373DE">
            <w:r w:rsidRPr="00AF22CC">
              <w:rPr>
                <w:rFonts w:asciiTheme="majorHAnsi" w:hAnsiTheme="majorHAnsi" w:cstheme="majorHAnsi"/>
                <w:sz w:val="20"/>
                <w:szCs w:val="20"/>
              </w:rPr>
              <w:t>Annuel</w:t>
            </w:r>
          </w:p>
        </w:tc>
        <w:tc>
          <w:tcPr>
            <w:tcW w:w="1444" w:type="dxa"/>
          </w:tcPr>
          <w:p w:rsidR="00BC72EA" w:rsidRPr="001A5830" w:rsidRDefault="00BC72EA" w:rsidP="003373DE">
            <w:pPr>
              <w:jc w:val="center"/>
              <w:rPr>
                <w:rFonts w:asciiTheme="majorHAnsi" w:hAnsiTheme="majorHAnsi" w:cstheme="majorHAnsi"/>
                <w:sz w:val="16"/>
                <w:szCs w:val="16"/>
              </w:rPr>
            </w:pPr>
            <w:r w:rsidRPr="001A5830">
              <w:rPr>
                <w:rFonts w:asciiTheme="majorHAnsi" w:hAnsiTheme="majorHAnsi" w:cstheme="majorHAnsi"/>
                <w:sz w:val="16"/>
                <w:szCs w:val="16"/>
              </w:rPr>
              <w:t>MATDSI/DGMEC</w:t>
            </w:r>
          </w:p>
        </w:tc>
      </w:tr>
      <w:tr w:rsidR="00BC72EA" w:rsidRPr="00A5624F" w:rsidTr="003373DE">
        <w:tc>
          <w:tcPr>
            <w:tcW w:w="14425" w:type="dxa"/>
            <w:gridSpan w:val="12"/>
            <w:shd w:val="clear" w:color="auto" w:fill="DAEEF3" w:themeFill="accent5" w:themeFillTint="33"/>
          </w:tcPr>
          <w:p w:rsidR="00BC72EA" w:rsidRPr="00A5624F" w:rsidRDefault="00BC72EA" w:rsidP="003373DE">
            <w:pPr>
              <w:rPr>
                <w:rFonts w:eastAsia="Times New Roman" w:cstheme="minorHAnsi"/>
                <w:b/>
                <w:i/>
                <w:sz w:val="24"/>
                <w:szCs w:val="24"/>
                <w:lang w:eastAsia="fr-FR"/>
              </w:rPr>
            </w:pPr>
            <w:r w:rsidRPr="00A5624F">
              <w:rPr>
                <w:rFonts w:cstheme="minorHAnsi"/>
                <w:b/>
                <w:i/>
                <w:sz w:val="24"/>
                <w:szCs w:val="24"/>
              </w:rPr>
              <w:t>PRODUIT 12 : La coordination intra et intersectorielle des interventions en faveur de la santé et ses déterminants est améliorée.</w:t>
            </w:r>
          </w:p>
        </w:tc>
      </w:tr>
      <w:tr w:rsidR="00BC72EA" w:rsidTr="003373DE">
        <w:tc>
          <w:tcPr>
            <w:tcW w:w="534" w:type="dxa"/>
          </w:tcPr>
          <w:p w:rsidR="00BC72EA" w:rsidRDefault="00BC72EA" w:rsidP="003373DE">
            <w:pPr>
              <w:pStyle w:val="Paragraphedeliste"/>
              <w:numPr>
                <w:ilvl w:val="0"/>
                <w:numId w:val="124"/>
              </w:numPr>
              <w:spacing w:after="160" w:line="240" w:lineRule="auto"/>
            </w:pPr>
          </w:p>
        </w:tc>
        <w:tc>
          <w:tcPr>
            <w:tcW w:w="5103" w:type="dxa"/>
          </w:tcPr>
          <w:p w:rsidR="00BC72EA" w:rsidRPr="001D30C8" w:rsidRDefault="00BC72EA" w:rsidP="003373DE">
            <w:pPr>
              <w:pStyle w:val="Normal10"/>
              <w:spacing w:after="160"/>
              <w:rPr>
                <w:rFonts w:asciiTheme="majorHAnsi" w:hAnsiTheme="majorHAnsi" w:cstheme="majorHAnsi"/>
                <w:sz w:val="20"/>
                <w:szCs w:val="20"/>
              </w:rPr>
            </w:pPr>
            <w:r>
              <w:rPr>
                <w:rFonts w:asciiTheme="majorHAnsi" w:hAnsiTheme="majorHAnsi" w:cstheme="majorHAnsi"/>
                <w:sz w:val="20"/>
                <w:szCs w:val="20"/>
              </w:rPr>
              <w:t xml:space="preserve">Pourcentage </w:t>
            </w:r>
            <w:r w:rsidRPr="001D30C8">
              <w:rPr>
                <w:rFonts w:asciiTheme="majorHAnsi" w:hAnsiTheme="majorHAnsi" w:cstheme="majorHAnsi"/>
                <w:sz w:val="20"/>
                <w:szCs w:val="20"/>
              </w:rPr>
              <w:t xml:space="preserve"> des décisions </w:t>
            </w:r>
            <w:r>
              <w:rPr>
                <w:rFonts w:asciiTheme="majorHAnsi" w:hAnsiTheme="majorHAnsi" w:cstheme="majorHAnsi"/>
                <w:sz w:val="20"/>
                <w:szCs w:val="20"/>
              </w:rPr>
              <w:t>du CSD mise en application</w:t>
            </w:r>
          </w:p>
        </w:tc>
        <w:tc>
          <w:tcPr>
            <w:tcW w:w="850" w:type="dxa"/>
          </w:tcPr>
          <w:p w:rsidR="00BC72EA" w:rsidRPr="001D30C8" w:rsidRDefault="00BC72EA" w:rsidP="003373DE">
            <w:pPr>
              <w:jc w:val="right"/>
              <w:rPr>
                <w:rFonts w:asciiTheme="majorHAnsi" w:hAnsiTheme="majorHAnsi" w:cstheme="majorHAnsi"/>
                <w:sz w:val="20"/>
                <w:szCs w:val="20"/>
              </w:rPr>
            </w:pPr>
            <w:r w:rsidRPr="001D30C8">
              <w:rPr>
                <w:rFonts w:asciiTheme="majorHAnsi" w:hAnsiTheme="majorHAnsi" w:cstheme="majorHAnsi"/>
                <w:sz w:val="20"/>
                <w:szCs w:val="20"/>
              </w:rPr>
              <w:t>ND</w:t>
            </w:r>
          </w:p>
        </w:tc>
        <w:tc>
          <w:tcPr>
            <w:tcW w:w="851"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8"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09"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764" w:type="dxa"/>
          </w:tcPr>
          <w:p w:rsidR="00BC72EA" w:rsidRPr="001D30C8" w:rsidRDefault="00BC72EA" w:rsidP="003373DE">
            <w:pPr>
              <w:pStyle w:val="Normal10"/>
              <w:spacing w:after="160"/>
              <w:jc w:val="right"/>
              <w:rPr>
                <w:rFonts w:asciiTheme="majorHAnsi" w:hAnsiTheme="majorHAnsi" w:cstheme="majorHAnsi"/>
                <w:sz w:val="20"/>
                <w:szCs w:val="20"/>
              </w:rPr>
            </w:pPr>
            <w:r w:rsidRPr="001D30C8">
              <w:rPr>
                <w:rFonts w:asciiTheme="majorHAnsi" w:hAnsiTheme="majorHAnsi" w:cstheme="majorHAnsi"/>
                <w:sz w:val="20"/>
                <w:szCs w:val="20"/>
              </w:rPr>
              <w:t>100</w:t>
            </w:r>
          </w:p>
        </w:tc>
        <w:tc>
          <w:tcPr>
            <w:tcW w:w="915"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 xml:space="preserve">Rapport </w:t>
            </w:r>
          </w:p>
        </w:tc>
        <w:tc>
          <w:tcPr>
            <w:tcW w:w="919" w:type="dxa"/>
          </w:tcPr>
          <w:p w:rsidR="00BC72EA" w:rsidRPr="001D30C8" w:rsidRDefault="00BC72EA" w:rsidP="003373DE">
            <w:pPr>
              <w:rPr>
                <w:rFonts w:asciiTheme="majorHAnsi" w:hAnsiTheme="majorHAnsi" w:cstheme="majorHAnsi"/>
                <w:sz w:val="20"/>
                <w:szCs w:val="20"/>
              </w:rPr>
            </w:pPr>
            <w:r w:rsidRPr="001D30C8">
              <w:rPr>
                <w:rFonts w:asciiTheme="majorHAnsi" w:hAnsiTheme="majorHAnsi" w:cstheme="majorHAnsi"/>
                <w:sz w:val="20"/>
                <w:szCs w:val="20"/>
              </w:rPr>
              <w:t>Routine</w:t>
            </w:r>
          </w:p>
        </w:tc>
        <w:tc>
          <w:tcPr>
            <w:tcW w:w="919" w:type="dxa"/>
          </w:tcPr>
          <w:p w:rsidR="00BC72EA" w:rsidRPr="001D30C8" w:rsidRDefault="00BC72EA" w:rsidP="003373DE">
            <w:pPr>
              <w:rPr>
                <w:rFonts w:asciiTheme="majorHAnsi" w:hAnsiTheme="majorHAnsi" w:cstheme="majorHAnsi"/>
                <w:sz w:val="20"/>
                <w:szCs w:val="20"/>
              </w:rPr>
            </w:pPr>
            <w:r>
              <w:rPr>
                <w:rFonts w:asciiTheme="majorHAnsi" w:hAnsiTheme="majorHAnsi" w:cstheme="majorHAnsi"/>
                <w:sz w:val="20"/>
                <w:szCs w:val="20"/>
              </w:rPr>
              <w:t>Annuel</w:t>
            </w:r>
          </w:p>
        </w:tc>
        <w:tc>
          <w:tcPr>
            <w:tcW w:w="1444" w:type="dxa"/>
          </w:tcPr>
          <w:p w:rsidR="00BC72EA" w:rsidRPr="001D30C8" w:rsidRDefault="00BC72EA" w:rsidP="003373DE">
            <w:pPr>
              <w:jc w:val="center"/>
              <w:rPr>
                <w:rFonts w:asciiTheme="majorHAnsi" w:hAnsiTheme="majorHAnsi" w:cstheme="majorHAnsi"/>
                <w:sz w:val="20"/>
                <w:szCs w:val="20"/>
              </w:rPr>
            </w:pPr>
            <w:r w:rsidRPr="001D30C8">
              <w:rPr>
                <w:rFonts w:asciiTheme="majorHAnsi" w:hAnsiTheme="majorHAnsi" w:cstheme="majorHAnsi"/>
                <w:sz w:val="20"/>
                <w:szCs w:val="20"/>
              </w:rPr>
              <w:t>CSD</w:t>
            </w:r>
          </w:p>
        </w:tc>
      </w:tr>
    </w:tbl>
    <w:p w:rsidR="00BC72EA" w:rsidRDefault="00BC72EA">
      <w:pPr>
        <w:pStyle w:val="Normal1"/>
        <w:spacing w:after="0"/>
        <w:jc w:val="both"/>
        <w:rPr>
          <w:b/>
          <w:color w:val="000000"/>
          <w:sz w:val="24"/>
          <w:szCs w:val="24"/>
        </w:rPr>
        <w:sectPr w:rsidR="00BC72EA" w:rsidSect="00BC72EA">
          <w:pgSz w:w="16838" w:h="11906" w:orient="landscape"/>
          <w:pgMar w:top="1440" w:right="1152" w:bottom="1440" w:left="1152" w:header="720" w:footer="720" w:gutter="0"/>
          <w:pgNumType w:chapStyle="1"/>
          <w:cols w:space="720"/>
          <w:docGrid w:linePitch="299"/>
        </w:sectPr>
      </w:pPr>
    </w:p>
    <w:p w:rsidR="00DF298A" w:rsidRPr="00493F71" w:rsidRDefault="003339F3" w:rsidP="005D02C3">
      <w:pPr>
        <w:pStyle w:val="Paragraphedeliste"/>
        <w:numPr>
          <w:ilvl w:val="0"/>
          <w:numId w:val="87"/>
        </w:numPr>
        <w:spacing w:after="240" w:line="276" w:lineRule="auto"/>
        <w:ind w:left="567" w:hanging="567"/>
        <w:rPr>
          <w:rStyle w:val="Titre1Car"/>
          <w:rFonts w:ascii="Calibri" w:hAnsi="Calibri" w:cs="Calibri"/>
          <w:bCs/>
          <w:smallCaps w:val="0"/>
          <w:color w:val="000000"/>
          <w:sz w:val="28"/>
          <w:szCs w:val="28"/>
        </w:rPr>
      </w:pPr>
      <w:r w:rsidRPr="00493F71">
        <w:rPr>
          <w:rFonts w:ascii="Calibri" w:hAnsi="Calibri" w:cs="Calibri"/>
          <w:b/>
          <w:bCs/>
          <w:color w:val="000000"/>
          <w:sz w:val="28"/>
          <w:szCs w:val="28"/>
        </w:rPr>
        <w:t>BUDGETISATION</w:t>
      </w:r>
      <w:bookmarkStart w:id="22" w:name="_Toc405708077"/>
    </w:p>
    <w:p w:rsidR="003339F3" w:rsidRPr="00493F71" w:rsidRDefault="003339F3" w:rsidP="005D02C3">
      <w:pPr>
        <w:pStyle w:val="Paragraphedeliste"/>
        <w:numPr>
          <w:ilvl w:val="1"/>
          <w:numId w:val="87"/>
        </w:numPr>
        <w:spacing w:before="240" w:after="240" w:line="276" w:lineRule="auto"/>
        <w:ind w:left="993" w:hanging="993"/>
        <w:jc w:val="both"/>
        <w:rPr>
          <w:rStyle w:val="Titre1Car"/>
          <w:rFonts w:ascii="Calibri" w:eastAsia="MS Mincho" w:hAnsi="Calibri" w:cs="Calibri"/>
          <w:b w:val="0"/>
          <w:color w:val="000000" w:themeColor="text1"/>
          <w:sz w:val="24"/>
          <w:szCs w:val="24"/>
        </w:rPr>
      </w:pPr>
      <w:r w:rsidRPr="00493F71">
        <w:rPr>
          <w:rStyle w:val="Titre1Car"/>
          <w:rFonts w:ascii="Calibri" w:eastAsia="MS Mincho" w:hAnsi="Calibri" w:cs="Calibri"/>
          <w:b w:val="0"/>
          <w:color w:val="000000" w:themeColor="text1"/>
          <w:sz w:val="24"/>
          <w:szCs w:val="24"/>
        </w:rPr>
        <w:t>METHODOLOGIE</w:t>
      </w:r>
      <w:bookmarkEnd w:id="22"/>
      <w:r w:rsidRPr="00493F71">
        <w:rPr>
          <w:rStyle w:val="Titre1Car"/>
          <w:rFonts w:ascii="Calibri" w:eastAsia="MS Mincho" w:hAnsi="Calibri" w:cs="Calibri"/>
          <w:b w:val="0"/>
          <w:color w:val="000000" w:themeColor="text1"/>
          <w:sz w:val="24"/>
          <w:szCs w:val="24"/>
        </w:rPr>
        <w:t xml:space="preserve"> D’ESTIMATION DES COUTS DU PLAN</w:t>
      </w:r>
    </w:p>
    <w:p w:rsidR="003339F3" w:rsidRPr="00DF3CFD" w:rsidRDefault="00370245" w:rsidP="00DF298A">
      <w:pPr>
        <w:spacing w:before="240"/>
        <w:jc w:val="both"/>
        <w:rPr>
          <w:rFonts w:eastAsia="Times New Roman"/>
          <w:sz w:val="24"/>
          <w:szCs w:val="24"/>
        </w:rPr>
      </w:pPr>
      <w:r>
        <w:rPr>
          <w:sz w:val="24"/>
          <w:szCs w:val="24"/>
        </w:rPr>
        <w:t>L'outil ONEHEALTH (OHT) et le T</w:t>
      </w:r>
      <w:r w:rsidR="003339F3" w:rsidRPr="00623C8C">
        <w:rPr>
          <w:sz w:val="24"/>
          <w:szCs w:val="24"/>
        </w:rPr>
        <w:t>ableur Excel</w:t>
      </w:r>
      <w:r>
        <w:rPr>
          <w:sz w:val="24"/>
          <w:szCs w:val="24"/>
        </w:rPr>
        <w:t xml:space="preserve"> ont été utilisés </w:t>
      </w:r>
      <w:r w:rsidRPr="00623C8C">
        <w:rPr>
          <w:sz w:val="24"/>
          <w:szCs w:val="24"/>
        </w:rPr>
        <w:t>pour collecter les informations et calculer</w:t>
      </w:r>
      <w:r>
        <w:rPr>
          <w:sz w:val="24"/>
          <w:szCs w:val="24"/>
        </w:rPr>
        <w:t xml:space="preserve"> les coûts</w:t>
      </w:r>
      <w:r w:rsidR="003339F3" w:rsidRPr="00623C8C">
        <w:rPr>
          <w:sz w:val="24"/>
          <w:szCs w:val="24"/>
        </w:rPr>
        <w:t>.</w:t>
      </w:r>
      <w:r w:rsidR="003339F3">
        <w:rPr>
          <w:rFonts w:eastAsia="Times New Roman"/>
          <w:sz w:val="24"/>
          <w:szCs w:val="24"/>
        </w:rPr>
        <w:t xml:space="preserve"> </w:t>
      </w:r>
      <w:r w:rsidR="003339F3" w:rsidRPr="00623C8C">
        <w:rPr>
          <w:sz w:val="24"/>
          <w:szCs w:val="24"/>
        </w:rPr>
        <w:t>ONEHEAL</w:t>
      </w:r>
      <w:r>
        <w:rPr>
          <w:sz w:val="24"/>
          <w:szCs w:val="24"/>
        </w:rPr>
        <w:t xml:space="preserve">TH a été utilisé pour le calcul du coût </w:t>
      </w:r>
      <w:r w:rsidR="003339F3" w:rsidRPr="00623C8C">
        <w:rPr>
          <w:sz w:val="24"/>
          <w:szCs w:val="24"/>
        </w:rPr>
        <w:t xml:space="preserve"> des inter</w:t>
      </w:r>
      <w:r>
        <w:rPr>
          <w:sz w:val="24"/>
          <w:szCs w:val="24"/>
        </w:rPr>
        <w:t>ventions retenues dans le plan et</w:t>
      </w:r>
      <w:r w:rsidR="003339F3" w:rsidRPr="00623C8C">
        <w:rPr>
          <w:sz w:val="24"/>
          <w:szCs w:val="24"/>
        </w:rPr>
        <w:t xml:space="preserve"> le tableur Excel a servi pour le traitement des informations relatives aux activités </w:t>
      </w:r>
      <w:r>
        <w:rPr>
          <w:sz w:val="24"/>
          <w:szCs w:val="24"/>
        </w:rPr>
        <w:t xml:space="preserve">et </w:t>
      </w:r>
      <w:r w:rsidR="003339F3" w:rsidRPr="00623C8C">
        <w:rPr>
          <w:sz w:val="24"/>
          <w:szCs w:val="24"/>
        </w:rPr>
        <w:t>le traitement final des éléments de coût.</w:t>
      </w:r>
    </w:p>
    <w:p w:rsidR="003339F3" w:rsidRPr="00623C8C" w:rsidRDefault="00370245" w:rsidP="005D02C3">
      <w:pPr>
        <w:pStyle w:val="Paragraphedeliste"/>
        <w:numPr>
          <w:ilvl w:val="2"/>
          <w:numId w:val="87"/>
        </w:numPr>
        <w:spacing w:line="276" w:lineRule="auto"/>
        <w:ind w:left="993" w:hanging="993"/>
        <w:jc w:val="both"/>
        <w:rPr>
          <w:sz w:val="24"/>
          <w:szCs w:val="24"/>
        </w:rPr>
      </w:pPr>
      <w:r>
        <w:rPr>
          <w:b/>
          <w:sz w:val="24"/>
          <w:szCs w:val="24"/>
        </w:rPr>
        <w:t>Calcul</w:t>
      </w:r>
      <w:r w:rsidR="003339F3" w:rsidRPr="00623C8C">
        <w:rPr>
          <w:b/>
          <w:sz w:val="24"/>
          <w:szCs w:val="24"/>
        </w:rPr>
        <w:t xml:space="preserve"> des coûts des interventions </w:t>
      </w:r>
    </w:p>
    <w:p w:rsidR="003339F3" w:rsidRPr="00623C8C" w:rsidRDefault="003339F3" w:rsidP="003339F3">
      <w:pPr>
        <w:spacing w:after="0"/>
        <w:jc w:val="both"/>
        <w:rPr>
          <w:sz w:val="24"/>
          <w:szCs w:val="24"/>
        </w:rPr>
      </w:pPr>
      <w:r w:rsidRPr="00623C8C">
        <w:rPr>
          <w:sz w:val="24"/>
          <w:szCs w:val="24"/>
        </w:rPr>
        <w:t>Les coûts unitaires pour chaque intervention ont été déterminés à partir des interventions retenues dans le plan, adoptant l'approche des ingrédients, ou une approche de coût normalisée, appliquée pour l'estimation des coûts directs des intrants. L'approche des ingrédients incarne une méthode ascendante de calcul des coûts, en isolant d'abord les interventions définissant chaque activité, puis en identifiant, en quantifiant et en calculant les intrants nécessaires pour la production de l'unité cible et en déterminant le coût unitaire moyen pour chaque intervention. En plus des coûts d'intrants directs pour les médicaments et les fournitures, les coûts unitaires comprennent également une partie des coûts du programme qui sont nécessaires pour soutenir la mise en œuvre des interventions qui ne sont pas directement liés au nombre d</w:t>
      </w:r>
      <w:r w:rsidR="00370245">
        <w:rPr>
          <w:sz w:val="24"/>
          <w:szCs w:val="24"/>
        </w:rPr>
        <w:t xml:space="preserve">e personnes recevant des soins </w:t>
      </w:r>
      <w:r w:rsidRPr="00623C8C">
        <w:rPr>
          <w:sz w:val="24"/>
          <w:szCs w:val="24"/>
        </w:rPr>
        <w:t>comme la formation, la supervision, le suivi et l'évaluation, l'équipement, le plaidoyer et la communication, les mass</w:t>
      </w:r>
      <w:r w:rsidR="00370245">
        <w:rPr>
          <w:sz w:val="24"/>
          <w:szCs w:val="24"/>
        </w:rPr>
        <w:t>es médias et la sensibilisation</w:t>
      </w:r>
      <w:r w:rsidRPr="00623C8C">
        <w:rPr>
          <w:sz w:val="24"/>
          <w:szCs w:val="24"/>
        </w:rPr>
        <w:t xml:space="preserve">. </w:t>
      </w:r>
    </w:p>
    <w:p w:rsidR="003339F3" w:rsidRPr="00623C8C" w:rsidRDefault="003339F3" w:rsidP="003339F3">
      <w:pPr>
        <w:jc w:val="both"/>
        <w:rPr>
          <w:sz w:val="24"/>
          <w:szCs w:val="24"/>
        </w:rPr>
      </w:pPr>
      <w:r w:rsidRPr="00623C8C">
        <w:rPr>
          <w:sz w:val="24"/>
          <w:szCs w:val="24"/>
        </w:rPr>
        <w:t>L'information sur les modalités de mise en œuvre de chaque intervention a été recueillie auprès des points focaux et des partenaires techniques et financements.  Les coûts des intrants ont été obtenus à partir des prix du marché, de l'information disponible dans les bases de données d'approvisionnement du système des Nations Unies et des enquêtes.</w:t>
      </w:r>
    </w:p>
    <w:p w:rsidR="003339F3" w:rsidRPr="00623C8C" w:rsidRDefault="003339F3" w:rsidP="005D02C3">
      <w:pPr>
        <w:pStyle w:val="Paragraphedeliste"/>
        <w:numPr>
          <w:ilvl w:val="2"/>
          <w:numId w:val="87"/>
        </w:numPr>
        <w:spacing w:line="276" w:lineRule="auto"/>
        <w:jc w:val="both"/>
        <w:rPr>
          <w:b/>
          <w:sz w:val="24"/>
          <w:szCs w:val="24"/>
        </w:rPr>
      </w:pPr>
      <w:r w:rsidRPr="00623C8C">
        <w:rPr>
          <w:b/>
          <w:sz w:val="24"/>
          <w:szCs w:val="24"/>
        </w:rPr>
        <w:t>Limites des méthodes utilisées</w:t>
      </w:r>
    </w:p>
    <w:p w:rsidR="003339F3" w:rsidRPr="00623C8C" w:rsidRDefault="003339F3" w:rsidP="003339F3">
      <w:pPr>
        <w:tabs>
          <w:tab w:val="left" w:pos="900"/>
        </w:tabs>
        <w:spacing w:after="0"/>
        <w:jc w:val="both"/>
        <w:rPr>
          <w:sz w:val="24"/>
          <w:szCs w:val="24"/>
        </w:rPr>
      </w:pPr>
      <w:r w:rsidRPr="00623C8C">
        <w:rPr>
          <w:sz w:val="24"/>
          <w:szCs w:val="24"/>
        </w:rPr>
        <w:t xml:space="preserve">Les estimations de coûts présentées dans cette étude dépendent fortement des hypothèses faites et de la couverture actuelle des interventions. En outre, la méthodologie utilisée comporte un certain nombre de limites qui affectent principalement la façon dont les coûts ont été calculés. </w:t>
      </w:r>
      <w:r>
        <w:rPr>
          <w:sz w:val="24"/>
          <w:szCs w:val="24"/>
        </w:rPr>
        <w:t xml:space="preserve"> </w:t>
      </w:r>
      <w:r w:rsidRPr="00623C8C">
        <w:rPr>
          <w:sz w:val="24"/>
          <w:szCs w:val="24"/>
        </w:rPr>
        <w:t xml:space="preserve">Quant à l’outil ONEHEALTH, une de ses limites est sa forte dépendance de la complétude et de la fiabilité </w:t>
      </w:r>
      <w:r w:rsidR="00370245">
        <w:rPr>
          <w:sz w:val="24"/>
          <w:szCs w:val="24"/>
        </w:rPr>
        <w:t>des données qui lui sont fournies.  C</w:t>
      </w:r>
      <w:r w:rsidRPr="00623C8C">
        <w:rPr>
          <w:sz w:val="24"/>
          <w:szCs w:val="24"/>
        </w:rPr>
        <w:t>e</w:t>
      </w:r>
      <w:r w:rsidR="00370245">
        <w:rPr>
          <w:sz w:val="24"/>
          <w:szCs w:val="24"/>
        </w:rPr>
        <w:t>ci</w:t>
      </w:r>
      <w:r w:rsidRPr="00623C8C">
        <w:rPr>
          <w:sz w:val="24"/>
          <w:szCs w:val="24"/>
        </w:rPr>
        <w:t xml:space="preserve"> justifie d’autant plus la nécessité de disposer d’informations pertinentes et de qualité.</w:t>
      </w:r>
    </w:p>
    <w:p w:rsidR="003339F3" w:rsidRPr="00623C8C" w:rsidRDefault="003339F3" w:rsidP="003339F3">
      <w:pPr>
        <w:tabs>
          <w:tab w:val="left" w:pos="900"/>
        </w:tabs>
        <w:jc w:val="both"/>
        <w:rPr>
          <w:sz w:val="24"/>
          <w:szCs w:val="24"/>
        </w:rPr>
      </w:pPr>
      <w:r w:rsidRPr="00623C8C">
        <w:rPr>
          <w:sz w:val="24"/>
          <w:szCs w:val="24"/>
        </w:rPr>
        <w:t xml:space="preserve">Les indicateurs d’impacts de base notamment les taux de mortalité maternelle, néonatal, infanto-juvénile sont ceux issus de l’Enquête de Module, de Démographie et de </w:t>
      </w:r>
      <w:r>
        <w:rPr>
          <w:sz w:val="24"/>
          <w:szCs w:val="24"/>
        </w:rPr>
        <w:t>S</w:t>
      </w:r>
      <w:r w:rsidRPr="00623C8C">
        <w:rPr>
          <w:sz w:val="24"/>
          <w:szCs w:val="24"/>
        </w:rPr>
        <w:t>anté (EMDS) réalisée en 2015. C’est la dernière enquête nationale disponible qui a été exploitée pour les besoins du présent</w:t>
      </w:r>
      <w:r w:rsidR="00754D3A">
        <w:rPr>
          <w:sz w:val="24"/>
          <w:szCs w:val="24"/>
        </w:rPr>
        <w:t xml:space="preserve"> calcul des coûts</w:t>
      </w:r>
      <w:r w:rsidRPr="00623C8C">
        <w:rPr>
          <w:sz w:val="24"/>
          <w:szCs w:val="24"/>
        </w:rPr>
        <w:t>.</w:t>
      </w:r>
    </w:p>
    <w:p w:rsidR="003339F3" w:rsidRPr="00493F71" w:rsidRDefault="003339F3" w:rsidP="005D02C3">
      <w:pPr>
        <w:pStyle w:val="Paragraphedeliste"/>
        <w:numPr>
          <w:ilvl w:val="1"/>
          <w:numId w:val="87"/>
        </w:numPr>
        <w:spacing w:line="276" w:lineRule="auto"/>
        <w:ind w:left="851" w:hanging="851"/>
        <w:jc w:val="both"/>
        <w:rPr>
          <w:rStyle w:val="Titre1Car"/>
          <w:rFonts w:eastAsia="MS Mincho"/>
          <w:b w:val="0"/>
          <w:color w:val="000000" w:themeColor="text1"/>
          <w:sz w:val="24"/>
          <w:szCs w:val="24"/>
        </w:rPr>
      </w:pPr>
      <w:bookmarkStart w:id="23" w:name="_Toc405708079"/>
      <w:bookmarkStart w:id="24" w:name="_Toc275527621"/>
      <w:bookmarkStart w:id="25" w:name="_Toc275528385"/>
      <w:r w:rsidRPr="00493F71">
        <w:rPr>
          <w:rStyle w:val="Titre1Car"/>
          <w:rFonts w:eastAsia="MS Mincho"/>
          <w:b w:val="0"/>
          <w:color w:val="000000" w:themeColor="text1"/>
          <w:sz w:val="24"/>
          <w:szCs w:val="24"/>
        </w:rPr>
        <w:t>RESULTATS</w:t>
      </w:r>
      <w:bookmarkEnd w:id="23"/>
      <w:bookmarkEnd w:id="24"/>
      <w:bookmarkEnd w:id="25"/>
      <w:r w:rsidRPr="00493F71">
        <w:rPr>
          <w:rStyle w:val="Titre1Car"/>
          <w:rFonts w:eastAsia="MS Mincho"/>
          <w:b w:val="0"/>
          <w:color w:val="000000" w:themeColor="text1"/>
          <w:sz w:val="24"/>
          <w:szCs w:val="24"/>
        </w:rPr>
        <w:t xml:space="preserve"> OBTENUS</w:t>
      </w:r>
    </w:p>
    <w:p w:rsidR="003339F3" w:rsidRPr="00623C8C" w:rsidRDefault="003339F3" w:rsidP="005D02C3">
      <w:pPr>
        <w:pStyle w:val="Titre2"/>
        <w:keepLines w:val="0"/>
        <w:numPr>
          <w:ilvl w:val="2"/>
          <w:numId w:val="87"/>
        </w:numPr>
        <w:spacing w:before="0" w:after="60"/>
        <w:ind w:left="851" w:hanging="851"/>
        <w:jc w:val="both"/>
        <w:rPr>
          <w:rFonts w:asciiTheme="minorHAnsi" w:eastAsia="Times New Roman" w:hAnsiTheme="minorHAnsi" w:cs="Arial"/>
          <w:b/>
          <w:bCs/>
          <w:color w:val="000000" w:themeColor="text1"/>
          <w:sz w:val="24"/>
          <w:szCs w:val="24"/>
        </w:rPr>
      </w:pPr>
      <w:bookmarkStart w:id="26" w:name="_Toc405708085"/>
      <w:r w:rsidRPr="00623C8C">
        <w:rPr>
          <w:rFonts w:asciiTheme="minorHAnsi" w:hAnsiTheme="minorHAnsi"/>
          <w:b/>
          <w:color w:val="000000" w:themeColor="text1"/>
          <w:sz w:val="24"/>
          <w:szCs w:val="24"/>
        </w:rPr>
        <w:t xml:space="preserve">Estimation du budget </w:t>
      </w:r>
      <w:bookmarkEnd w:id="26"/>
    </w:p>
    <w:p w:rsidR="003339F3" w:rsidRPr="000621A4" w:rsidRDefault="003339F3" w:rsidP="003339F3">
      <w:pPr>
        <w:tabs>
          <w:tab w:val="left" w:pos="900"/>
        </w:tabs>
        <w:jc w:val="both"/>
        <w:rPr>
          <w:sz w:val="24"/>
          <w:szCs w:val="24"/>
        </w:rPr>
      </w:pPr>
      <w:r w:rsidRPr="00623C8C">
        <w:rPr>
          <w:sz w:val="24"/>
          <w:szCs w:val="24"/>
        </w:rPr>
        <w:t xml:space="preserve">Les coûts prévisionnels de mise en œuvre du </w:t>
      </w:r>
      <w:r>
        <w:rPr>
          <w:sz w:val="24"/>
          <w:szCs w:val="24"/>
        </w:rPr>
        <w:t>dossier</w:t>
      </w:r>
      <w:r w:rsidRPr="00623C8C">
        <w:rPr>
          <w:sz w:val="24"/>
          <w:szCs w:val="24"/>
        </w:rPr>
        <w:t xml:space="preserve"> d’investissement SRMNEAN</w:t>
      </w:r>
      <w:r w:rsidR="00754D3A">
        <w:rPr>
          <w:sz w:val="24"/>
          <w:szCs w:val="24"/>
        </w:rPr>
        <w:t>-ECSV</w:t>
      </w:r>
      <w:r w:rsidRPr="00623C8C">
        <w:rPr>
          <w:sz w:val="24"/>
          <w:szCs w:val="24"/>
        </w:rPr>
        <w:t xml:space="preserve"> ont été estim</w:t>
      </w:r>
      <w:r w:rsidR="00754D3A">
        <w:rPr>
          <w:sz w:val="24"/>
          <w:szCs w:val="24"/>
        </w:rPr>
        <w:t>és annuellement et présentés suivant les trois</w:t>
      </w:r>
      <w:r w:rsidRPr="00623C8C">
        <w:rPr>
          <w:sz w:val="24"/>
          <w:szCs w:val="24"/>
        </w:rPr>
        <w:t xml:space="preserve"> programme</w:t>
      </w:r>
      <w:r w:rsidR="00754D3A">
        <w:rPr>
          <w:sz w:val="24"/>
          <w:szCs w:val="24"/>
        </w:rPr>
        <w:t>s</w:t>
      </w:r>
      <w:r>
        <w:rPr>
          <w:sz w:val="24"/>
          <w:szCs w:val="24"/>
        </w:rPr>
        <w:t xml:space="preserve"> du budget programme</w:t>
      </w:r>
      <w:r w:rsidRPr="00623C8C">
        <w:rPr>
          <w:sz w:val="24"/>
          <w:szCs w:val="24"/>
        </w:rPr>
        <w:t>, par priorité</w:t>
      </w:r>
      <w:r>
        <w:rPr>
          <w:sz w:val="24"/>
          <w:szCs w:val="24"/>
        </w:rPr>
        <w:t>, par catégorie de budget telle que retenue dans le document</w:t>
      </w:r>
      <w:r w:rsidRPr="00623C8C">
        <w:rPr>
          <w:sz w:val="24"/>
          <w:szCs w:val="24"/>
        </w:rPr>
        <w:t xml:space="preserve"> et par niveau administratif. Ce budget prend en compte l’estimation des ressources nécessaires pour la réduction des mortalités spécifiques. Aussi, les coûts des interventions des différents programmes de santé, intervenant</w:t>
      </w:r>
      <w:r w:rsidR="00754D3A">
        <w:rPr>
          <w:sz w:val="24"/>
          <w:szCs w:val="24"/>
        </w:rPr>
        <w:t>s</w:t>
      </w:r>
      <w:r w:rsidRPr="00623C8C">
        <w:rPr>
          <w:sz w:val="24"/>
          <w:szCs w:val="24"/>
        </w:rPr>
        <w:t xml:space="preserve"> dans l’amélioration de la santé de la mère, des enfants et des adolescents</w:t>
      </w:r>
      <w:r w:rsidR="00754D3A">
        <w:rPr>
          <w:sz w:val="24"/>
          <w:szCs w:val="24"/>
        </w:rPr>
        <w:t>/jeunes</w:t>
      </w:r>
      <w:r w:rsidRPr="00623C8C">
        <w:rPr>
          <w:sz w:val="24"/>
          <w:szCs w:val="24"/>
        </w:rPr>
        <w:t xml:space="preserve"> ont été pris en compte dans leurs volets « interventions ».</w:t>
      </w:r>
    </w:p>
    <w:tbl>
      <w:tblPr>
        <w:tblStyle w:val="Grilledutableau"/>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shd w:val="clear" w:color="auto" w:fill="C6D9F1" w:themeFill="text2" w:themeFillTint="33"/>
        <w:tblLook w:val="04A0" w:firstRow="1" w:lastRow="0" w:firstColumn="1" w:lastColumn="0" w:noHBand="0" w:noVBand="1"/>
      </w:tblPr>
      <w:tblGrid>
        <w:gridCol w:w="3005"/>
        <w:gridCol w:w="3005"/>
        <w:gridCol w:w="3006"/>
      </w:tblGrid>
      <w:tr w:rsidR="003339F3" w:rsidRPr="004045F6" w:rsidTr="003339F3">
        <w:trPr>
          <w:jc w:val="center"/>
        </w:trPr>
        <w:tc>
          <w:tcPr>
            <w:tcW w:w="9016" w:type="dxa"/>
            <w:gridSpan w:val="3"/>
            <w:shd w:val="clear" w:color="auto" w:fill="auto"/>
          </w:tcPr>
          <w:p w:rsidR="003339F3" w:rsidRPr="004B0E5E" w:rsidRDefault="003373DE" w:rsidP="003339F3">
            <w:pPr>
              <w:spacing w:line="360" w:lineRule="auto"/>
              <w:jc w:val="both"/>
              <w:rPr>
                <w:rFonts w:cs="Arial"/>
                <w:b/>
                <w:sz w:val="24"/>
                <w:szCs w:val="24"/>
              </w:rPr>
            </w:pPr>
            <w:r>
              <w:rPr>
                <w:rFonts w:cs="Arial"/>
                <w:b/>
                <w:sz w:val="24"/>
                <w:szCs w:val="24"/>
              </w:rPr>
              <w:t>Tableau 11</w:t>
            </w:r>
            <w:r w:rsidR="00EC1135">
              <w:rPr>
                <w:rFonts w:cs="Arial"/>
                <w:b/>
                <w:sz w:val="24"/>
                <w:szCs w:val="24"/>
              </w:rPr>
              <w:t> : Budget</w:t>
            </w:r>
            <w:r w:rsidR="003339F3" w:rsidRPr="004B0E5E">
              <w:rPr>
                <w:rFonts w:cs="Arial"/>
                <w:b/>
                <w:sz w:val="24"/>
                <w:szCs w:val="24"/>
              </w:rPr>
              <w:t xml:space="preserve"> estimatif</w:t>
            </w:r>
            <w:r w:rsidR="00754D3A">
              <w:rPr>
                <w:rFonts w:cs="Arial"/>
                <w:b/>
                <w:sz w:val="24"/>
                <w:szCs w:val="24"/>
              </w:rPr>
              <w:t xml:space="preserve"> du DI</w:t>
            </w:r>
            <w:r w:rsidR="00EC1135">
              <w:rPr>
                <w:rFonts w:cs="Arial"/>
                <w:b/>
                <w:sz w:val="24"/>
                <w:szCs w:val="24"/>
              </w:rPr>
              <w:t>-SRMNEAN-ECSV</w:t>
            </w:r>
            <w:r w:rsidR="003339F3" w:rsidRPr="004B0E5E">
              <w:rPr>
                <w:rFonts w:cs="Arial"/>
                <w:b/>
                <w:sz w:val="24"/>
                <w:szCs w:val="24"/>
              </w:rPr>
              <w:t xml:space="preserve"> par Scénario</w:t>
            </w:r>
          </w:p>
        </w:tc>
      </w:tr>
      <w:tr w:rsidR="003339F3" w:rsidRPr="004045F6" w:rsidTr="003339F3">
        <w:trPr>
          <w:jc w:val="center"/>
        </w:trPr>
        <w:tc>
          <w:tcPr>
            <w:tcW w:w="3005" w:type="dxa"/>
            <w:shd w:val="clear" w:color="auto" w:fill="auto"/>
          </w:tcPr>
          <w:p w:rsidR="003339F3" w:rsidRPr="004B0E5E" w:rsidRDefault="003339F3" w:rsidP="003339F3">
            <w:pPr>
              <w:spacing w:line="360" w:lineRule="auto"/>
              <w:jc w:val="both"/>
              <w:rPr>
                <w:rFonts w:cs="Arial"/>
                <w:b/>
                <w:sz w:val="24"/>
                <w:szCs w:val="24"/>
              </w:rPr>
            </w:pPr>
            <w:r w:rsidRPr="004B0E5E">
              <w:rPr>
                <w:rFonts w:cs="Arial"/>
                <w:b/>
                <w:sz w:val="24"/>
                <w:szCs w:val="24"/>
              </w:rPr>
              <w:t>SCENARIO</w:t>
            </w:r>
          </w:p>
        </w:tc>
        <w:tc>
          <w:tcPr>
            <w:tcW w:w="3005" w:type="dxa"/>
            <w:shd w:val="clear" w:color="auto" w:fill="auto"/>
          </w:tcPr>
          <w:p w:rsidR="003339F3" w:rsidRPr="004B0E5E" w:rsidRDefault="003339F3" w:rsidP="003339F3">
            <w:pPr>
              <w:spacing w:line="360" w:lineRule="auto"/>
              <w:jc w:val="center"/>
              <w:rPr>
                <w:rFonts w:cs="Arial"/>
                <w:b/>
                <w:sz w:val="24"/>
                <w:szCs w:val="24"/>
              </w:rPr>
            </w:pPr>
            <w:r w:rsidRPr="004B0E5E">
              <w:rPr>
                <w:rFonts w:cs="Arial"/>
                <w:b/>
                <w:sz w:val="24"/>
                <w:szCs w:val="24"/>
              </w:rPr>
              <w:t>COUT EN CFA</w:t>
            </w:r>
          </w:p>
        </w:tc>
        <w:tc>
          <w:tcPr>
            <w:tcW w:w="3006" w:type="dxa"/>
            <w:shd w:val="clear" w:color="auto" w:fill="auto"/>
          </w:tcPr>
          <w:p w:rsidR="003339F3" w:rsidRPr="004B0E5E" w:rsidRDefault="003339F3" w:rsidP="003339F3">
            <w:pPr>
              <w:spacing w:line="360" w:lineRule="auto"/>
              <w:jc w:val="center"/>
              <w:rPr>
                <w:rFonts w:cs="Arial"/>
                <w:b/>
                <w:sz w:val="24"/>
                <w:szCs w:val="24"/>
              </w:rPr>
            </w:pPr>
            <w:r w:rsidRPr="004B0E5E">
              <w:rPr>
                <w:rFonts w:cs="Arial"/>
                <w:b/>
                <w:sz w:val="24"/>
                <w:szCs w:val="24"/>
              </w:rPr>
              <w:t>COUT EN USD</w:t>
            </w:r>
          </w:p>
        </w:tc>
      </w:tr>
      <w:tr w:rsidR="003339F3" w:rsidRPr="004045F6" w:rsidTr="003339F3">
        <w:trPr>
          <w:jc w:val="center"/>
        </w:trPr>
        <w:tc>
          <w:tcPr>
            <w:tcW w:w="3005" w:type="dxa"/>
            <w:shd w:val="clear" w:color="auto" w:fill="auto"/>
            <w:vAlign w:val="center"/>
          </w:tcPr>
          <w:p w:rsidR="003339F3" w:rsidRPr="004B0E5E" w:rsidRDefault="003339F3" w:rsidP="003339F3">
            <w:pPr>
              <w:spacing w:line="360" w:lineRule="auto"/>
              <w:rPr>
                <w:rFonts w:cs="Arial"/>
                <w:b/>
                <w:sz w:val="24"/>
                <w:szCs w:val="24"/>
              </w:rPr>
            </w:pPr>
            <w:r w:rsidRPr="004B0E5E">
              <w:rPr>
                <w:rFonts w:cs="Arial"/>
                <w:b/>
                <w:sz w:val="24"/>
                <w:szCs w:val="24"/>
              </w:rPr>
              <w:t>Minimum</w:t>
            </w:r>
          </w:p>
        </w:tc>
        <w:tc>
          <w:tcPr>
            <w:tcW w:w="3005" w:type="dxa"/>
            <w:shd w:val="clear" w:color="auto" w:fill="auto"/>
            <w:vAlign w:val="center"/>
          </w:tcPr>
          <w:p w:rsidR="003339F3" w:rsidRPr="004B0E5E" w:rsidRDefault="00BD609C" w:rsidP="003339F3">
            <w:pPr>
              <w:rPr>
                <w:b/>
              </w:rPr>
            </w:pPr>
            <w:r>
              <w:rPr>
                <w:b/>
              </w:rPr>
              <w:t xml:space="preserve">         </w:t>
            </w:r>
            <w:r w:rsidR="003339F3" w:rsidRPr="004B0E5E">
              <w:rPr>
                <w:b/>
              </w:rPr>
              <w:t xml:space="preserve">856 973 125 129   </w:t>
            </w:r>
          </w:p>
        </w:tc>
        <w:tc>
          <w:tcPr>
            <w:tcW w:w="3006" w:type="dxa"/>
            <w:shd w:val="clear" w:color="auto" w:fill="auto"/>
            <w:vAlign w:val="center"/>
          </w:tcPr>
          <w:p w:rsidR="003339F3" w:rsidRPr="004B0E5E" w:rsidRDefault="00BD609C" w:rsidP="003339F3">
            <w:pPr>
              <w:rPr>
                <w:b/>
              </w:rPr>
            </w:pPr>
            <w:r>
              <w:rPr>
                <w:b/>
              </w:rPr>
              <w:t xml:space="preserve">           </w:t>
            </w:r>
            <w:r w:rsidR="003339F3" w:rsidRPr="004B0E5E">
              <w:rPr>
                <w:b/>
              </w:rPr>
              <w:t xml:space="preserve">1 503 461 623   </w:t>
            </w:r>
          </w:p>
        </w:tc>
      </w:tr>
      <w:tr w:rsidR="003339F3" w:rsidRPr="004045F6" w:rsidTr="003339F3">
        <w:trPr>
          <w:jc w:val="center"/>
        </w:trPr>
        <w:tc>
          <w:tcPr>
            <w:tcW w:w="3005" w:type="dxa"/>
            <w:shd w:val="clear" w:color="auto" w:fill="auto"/>
            <w:vAlign w:val="center"/>
          </w:tcPr>
          <w:p w:rsidR="003339F3" w:rsidRPr="004B0E5E" w:rsidRDefault="003339F3" w:rsidP="003339F3">
            <w:pPr>
              <w:spacing w:line="360" w:lineRule="auto"/>
              <w:rPr>
                <w:rFonts w:cs="Arial"/>
                <w:b/>
                <w:sz w:val="24"/>
                <w:szCs w:val="24"/>
              </w:rPr>
            </w:pPr>
            <w:r w:rsidRPr="004B0E5E">
              <w:rPr>
                <w:rFonts w:cs="Arial"/>
                <w:b/>
                <w:sz w:val="24"/>
                <w:szCs w:val="24"/>
              </w:rPr>
              <w:t>Moyen</w:t>
            </w:r>
          </w:p>
        </w:tc>
        <w:tc>
          <w:tcPr>
            <w:tcW w:w="3005" w:type="dxa"/>
            <w:shd w:val="clear" w:color="auto" w:fill="auto"/>
            <w:vAlign w:val="center"/>
          </w:tcPr>
          <w:p w:rsidR="003339F3" w:rsidRPr="004B0E5E" w:rsidRDefault="00BD609C" w:rsidP="003339F3">
            <w:pPr>
              <w:rPr>
                <w:b/>
              </w:rPr>
            </w:pPr>
            <w:r>
              <w:rPr>
                <w:b/>
              </w:rPr>
              <w:t xml:space="preserve">     </w:t>
            </w:r>
            <w:r w:rsidR="003339F3" w:rsidRPr="004B0E5E">
              <w:rPr>
                <w:b/>
              </w:rPr>
              <w:t xml:space="preserve"> 1 036 451 660 029   </w:t>
            </w:r>
          </w:p>
        </w:tc>
        <w:tc>
          <w:tcPr>
            <w:tcW w:w="3006" w:type="dxa"/>
            <w:shd w:val="clear" w:color="auto" w:fill="auto"/>
            <w:vAlign w:val="center"/>
          </w:tcPr>
          <w:p w:rsidR="003339F3" w:rsidRPr="004B0E5E" w:rsidRDefault="003339F3" w:rsidP="003339F3">
            <w:pPr>
              <w:rPr>
                <w:b/>
              </w:rPr>
            </w:pPr>
            <w:r w:rsidRPr="004B0E5E">
              <w:rPr>
                <w:b/>
              </w:rPr>
              <w:t xml:space="preserve">   </w:t>
            </w:r>
            <w:r w:rsidR="00BD609C">
              <w:rPr>
                <w:b/>
              </w:rPr>
              <w:t xml:space="preserve">        </w:t>
            </w:r>
            <w:r w:rsidRPr="004B0E5E">
              <w:rPr>
                <w:b/>
              </w:rPr>
              <w:t xml:space="preserve">1 818 336 246   </w:t>
            </w:r>
          </w:p>
        </w:tc>
      </w:tr>
      <w:tr w:rsidR="003339F3" w:rsidRPr="004045F6" w:rsidTr="003339F3">
        <w:trPr>
          <w:jc w:val="center"/>
        </w:trPr>
        <w:tc>
          <w:tcPr>
            <w:tcW w:w="3005" w:type="dxa"/>
            <w:shd w:val="clear" w:color="auto" w:fill="auto"/>
            <w:vAlign w:val="center"/>
          </w:tcPr>
          <w:p w:rsidR="003339F3" w:rsidRPr="004B0E5E" w:rsidRDefault="003339F3" w:rsidP="003339F3">
            <w:pPr>
              <w:spacing w:line="360" w:lineRule="auto"/>
              <w:rPr>
                <w:rFonts w:cs="Arial"/>
                <w:b/>
                <w:sz w:val="24"/>
                <w:szCs w:val="24"/>
              </w:rPr>
            </w:pPr>
            <w:r w:rsidRPr="004B0E5E">
              <w:rPr>
                <w:rFonts w:cs="Arial"/>
                <w:b/>
                <w:sz w:val="24"/>
                <w:szCs w:val="24"/>
              </w:rPr>
              <w:t>Maximum</w:t>
            </w:r>
          </w:p>
        </w:tc>
        <w:tc>
          <w:tcPr>
            <w:tcW w:w="3005" w:type="dxa"/>
            <w:shd w:val="clear" w:color="auto" w:fill="auto"/>
            <w:vAlign w:val="center"/>
          </w:tcPr>
          <w:p w:rsidR="003339F3" w:rsidRPr="004B0E5E" w:rsidRDefault="00BD609C" w:rsidP="003339F3">
            <w:pPr>
              <w:rPr>
                <w:b/>
              </w:rPr>
            </w:pPr>
            <w:r>
              <w:rPr>
                <w:b/>
              </w:rPr>
              <w:t xml:space="preserve">      </w:t>
            </w:r>
            <w:r w:rsidR="003339F3" w:rsidRPr="004B0E5E">
              <w:rPr>
                <w:b/>
              </w:rPr>
              <w:t xml:space="preserve">1 262 838 208 909   </w:t>
            </w:r>
          </w:p>
        </w:tc>
        <w:tc>
          <w:tcPr>
            <w:tcW w:w="3006" w:type="dxa"/>
            <w:shd w:val="clear" w:color="auto" w:fill="auto"/>
            <w:vAlign w:val="center"/>
          </w:tcPr>
          <w:p w:rsidR="003339F3" w:rsidRPr="004B0E5E" w:rsidRDefault="00BD609C" w:rsidP="003339F3">
            <w:pPr>
              <w:rPr>
                <w:b/>
              </w:rPr>
            </w:pPr>
            <w:r>
              <w:rPr>
                <w:b/>
              </w:rPr>
              <w:t xml:space="preserve">           </w:t>
            </w:r>
            <w:r w:rsidR="003339F3" w:rsidRPr="004B0E5E">
              <w:rPr>
                <w:b/>
              </w:rPr>
              <w:t xml:space="preserve">2 215 505 630   </w:t>
            </w:r>
          </w:p>
        </w:tc>
      </w:tr>
    </w:tbl>
    <w:p w:rsidR="003339F3" w:rsidRPr="00623C8C" w:rsidRDefault="003339F3" w:rsidP="003339F3">
      <w:pPr>
        <w:tabs>
          <w:tab w:val="left" w:pos="900"/>
        </w:tabs>
        <w:spacing w:before="240" w:after="0"/>
        <w:jc w:val="both"/>
        <w:rPr>
          <w:rFonts w:cs="Times New Roman"/>
          <w:sz w:val="24"/>
          <w:szCs w:val="24"/>
        </w:rPr>
      </w:pPr>
      <w:r w:rsidRPr="00623C8C">
        <w:rPr>
          <w:sz w:val="24"/>
          <w:szCs w:val="24"/>
        </w:rPr>
        <w:t>Le scénario minimum repose sur le maintien des acquis en matière de couvertures des interventions avec une légère augmentation de l’ordre de 5% sur les couvertures.</w:t>
      </w:r>
    </w:p>
    <w:p w:rsidR="003339F3" w:rsidRPr="00623C8C" w:rsidRDefault="003339F3" w:rsidP="003339F3">
      <w:pPr>
        <w:tabs>
          <w:tab w:val="left" w:pos="900"/>
        </w:tabs>
        <w:spacing w:after="0"/>
        <w:jc w:val="both"/>
        <w:rPr>
          <w:sz w:val="24"/>
          <w:szCs w:val="24"/>
        </w:rPr>
      </w:pPr>
      <w:r w:rsidRPr="00623C8C">
        <w:rPr>
          <w:sz w:val="24"/>
          <w:szCs w:val="24"/>
        </w:rPr>
        <w:t>Le scénario moyen repose sur l</w:t>
      </w:r>
      <w:r w:rsidR="00754D3A">
        <w:rPr>
          <w:sz w:val="24"/>
          <w:szCs w:val="24"/>
        </w:rPr>
        <w:t>es couvertures attendues dans le DI-</w:t>
      </w:r>
      <w:r w:rsidRPr="00623C8C">
        <w:rPr>
          <w:sz w:val="24"/>
          <w:szCs w:val="24"/>
        </w:rPr>
        <w:t xml:space="preserve"> SRMNEAN</w:t>
      </w:r>
      <w:r w:rsidR="00754D3A">
        <w:rPr>
          <w:sz w:val="24"/>
          <w:szCs w:val="24"/>
        </w:rPr>
        <w:t>-ECSV</w:t>
      </w:r>
      <w:r w:rsidRPr="00623C8C">
        <w:rPr>
          <w:sz w:val="24"/>
          <w:szCs w:val="24"/>
        </w:rPr>
        <w:t>.</w:t>
      </w:r>
    </w:p>
    <w:p w:rsidR="003339F3" w:rsidRPr="00623C8C" w:rsidRDefault="003339F3" w:rsidP="003339F3">
      <w:pPr>
        <w:tabs>
          <w:tab w:val="left" w:pos="900"/>
        </w:tabs>
        <w:spacing w:after="0"/>
        <w:jc w:val="both"/>
        <w:rPr>
          <w:sz w:val="24"/>
          <w:szCs w:val="24"/>
        </w:rPr>
      </w:pPr>
      <w:r w:rsidRPr="00623C8C">
        <w:rPr>
          <w:sz w:val="24"/>
          <w:szCs w:val="24"/>
        </w:rPr>
        <w:t>Le scénario maximu</w:t>
      </w:r>
      <w:r w:rsidR="00754D3A">
        <w:rPr>
          <w:sz w:val="24"/>
          <w:szCs w:val="24"/>
        </w:rPr>
        <w:t xml:space="preserve">m repose sur les projections </w:t>
      </w:r>
      <w:r w:rsidRPr="00623C8C">
        <w:rPr>
          <w:sz w:val="24"/>
          <w:szCs w:val="24"/>
        </w:rPr>
        <w:t xml:space="preserve"> du PNDS</w:t>
      </w:r>
      <w:r w:rsidR="00754D3A">
        <w:rPr>
          <w:sz w:val="24"/>
          <w:szCs w:val="24"/>
        </w:rPr>
        <w:t xml:space="preserve"> 2011-2020</w:t>
      </w:r>
      <w:r w:rsidRPr="00623C8C">
        <w:rPr>
          <w:sz w:val="24"/>
          <w:szCs w:val="24"/>
        </w:rPr>
        <w:t>.</w:t>
      </w:r>
    </w:p>
    <w:p w:rsidR="003339F3" w:rsidRPr="00623C8C" w:rsidRDefault="003339F3" w:rsidP="003339F3">
      <w:pPr>
        <w:tabs>
          <w:tab w:val="left" w:pos="900"/>
        </w:tabs>
        <w:spacing w:after="0"/>
        <w:jc w:val="both"/>
        <w:rPr>
          <w:rFonts w:cs="Times New Roman"/>
          <w:sz w:val="24"/>
          <w:szCs w:val="24"/>
        </w:rPr>
      </w:pPr>
      <w:r w:rsidRPr="00623C8C">
        <w:rPr>
          <w:sz w:val="24"/>
          <w:szCs w:val="24"/>
        </w:rPr>
        <w:t>De l</w:t>
      </w:r>
      <w:r w:rsidR="00754D3A">
        <w:rPr>
          <w:sz w:val="24"/>
          <w:szCs w:val="24"/>
        </w:rPr>
        <w:t>’analyse des différents scénarios</w:t>
      </w:r>
      <w:r w:rsidRPr="00623C8C">
        <w:rPr>
          <w:sz w:val="24"/>
          <w:szCs w:val="24"/>
        </w:rPr>
        <w:t xml:space="preserve">, </w:t>
      </w:r>
      <w:r w:rsidR="00754D3A">
        <w:rPr>
          <w:sz w:val="24"/>
          <w:szCs w:val="24"/>
        </w:rPr>
        <w:t xml:space="preserve">le </w:t>
      </w:r>
      <w:r w:rsidRPr="00623C8C">
        <w:rPr>
          <w:sz w:val="24"/>
          <w:szCs w:val="24"/>
        </w:rPr>
        <w:t xml:space="preserve">scénario minimum </w:t>
      </w:r>
      <w:r w:rsidR="00754D3A">
        <w:rPr>
          <w:sz w:val="24"/>
          <w:szCs w:val="24"/>
        </w:rPr>
        <w:t xml:space="preserve">se plie aux </w:t>
      </w:r>
      <w:r w:rsidRPr="00623C8C">
        <w:rPr>
          <w:sz w:val="24"/>
          <w:szCs w:val="24"/>
        </w:rPr>
        <w:t xml:space="preserve">contraintes conjoncturelles </w:t>
      </w:r>
      <w:r w:rsidR="00754D3A">
        <w:rPr>
          <w:sz w:val="24"/>
          <w:szCs w:val="24"/>
        </w:rPr>
        <w:t xml:space="preserve">présentes. </w:t>
      </w:r>
      <w:r w:rsidRPr="00623C8C">
        <w:rPr>
          <w:sz w:val="24"/>
          <w:szCs w:val="24"/>
        </w:rPr>
        <w:t>Quant au scénario moyen ou tendanciel, il offre des possibilités de mobilisatio</w:t>
      </w:r>
      <w:r w:rsidR="00754D3A">
        <w:rPr>
          <w:sz w:val="24"/>
          <w:szCs w:val="24"/>
        </w:rPr>
        <w:t>ns de ressources plus réalistes</w:t>
      </w:r>
      <w:r w:rsidRPr="00623C8C">
        <w:rPr>
          <w:sz w:val="24"/>
          <w:szCs w:val="24"/>
        </w:rPr>
        <w:t xml:space="preserve">. Le scénario maximum est </w:t>
      </w:r>
      <w:r w:rsidR="00754D3A">
        <w:rPr>
          <w:sz w:val="24"/>
          <w:szCs w:val="24"/>
        </w:rPr>
        <w:t xml:space="preserve">le scénario </w:t>
      </w:r>
      <w:r w:rsidRPr="00623C8C">
        <w:rPr>
          <w:sz w:val="24"/>
          <w:szCs w:val="24"/>
        </w:rPr>
        <w:t xml:space="preserve">idéal </w:t>
      </w:r>
      <w:r w:rsidR="00754D3A">
        <w:rPr>
          <w:sz w:val="24"/>
          <w:szCs w:val="24"/>
        </w:rPr>
        <w:t xml:space="preserve">nécessitant plus de ressources. Ce dernier scénario est celui qui est souvent </w:t>
      </w:r>
      <w:r w:rsidRPr="00623C8C">
        <w:rPr>
          <w:sz w:val="24"/>
          <w:szCs w:val="24"/>
        </w:rPr>
        <w:t xml:space="preserve">retenu </w:t>
      </w:r>
      <w:r w:rsidR="00754D3A">
        <w:rPr>
          <w:sz w:val="24"/>
          <w:szCs w:val="24"/>
        </w:rPr>
        <w:t xml:space="preserve">lorsqu’il n’y a pas de problème de ressources dans le pays. </w:t>
      </w:r>
    </w:p>
    <w:p w:rsidR="003339F3" w:rsidRPr="00623C8C" w:rsidRDefault="003339F3" w:rsidP="003339F3">
      <w:pPr>
        <w:tabs>
          <w:tab w:val="left" w:pos="900"/>
        </w:tabs>
        <w:jc w:val="both"/>
        <w:rPr>
          <w:sz w:val="24"/>
          <w:szCs w:val="24"/>
        </w:rPr>
      </w:pPr>
      <w:r w:rsidRPr="00623C8C">
        <w:rPr>
          <w:sz w:val="24"/>
          <w:szCs w:val="24"/>
        </w:rPr>
        <w:t xml:space="preserve">Le scénario moyen ou tendanciel </w:t>
      </w:r>
      <w:r w:rsidR="00754D3A">
        <w:rPr>
          <w:sz w:val="24"/>
          <w:szCs w:val="24"/>
        </w:rPr>
        <w:t xml:space="preserve">est donc celui qui a été retenu pour le DI du Burkina Faso parce que réaliste et réalisable moyennant un effort acceptable de mobilisation de ressources. </w:t>
      </w:r>
    </w:p>
    <w:p w:rsidR="003339F3" w:rsidRDefault="000571B9" w:rsidP="005D02C3">
      <w:pPr>
        <w:pStyle w:val="Paragraphedeliste"/>
        <w:numPr>
          <w:ilvl w:val="2"/>
          <w:numId w:val="87"/>
        </w:numPr>
        <w:tabs>
          <w:tab w:val="left" w:pos="900"/>
        </w:tabs>
        <w:spacing w:line="276" w:lineRule="auto"/>
        <w:ind w:left="851" w:hanging="851"/>
        <w:jc w:val="both"/>
        <w:rPr>
          <w:b/>
          <w:sz w:val="24"/>
          <w:szCs w:val="24"/>
        </w:rPr>
      </w:pPr>
      <w:r>
        <w:rPr>
          <w:b/>
          <w:sz w:val="24"/>
          <w:szCs w:val="24"/>
        </w:rPr>
        <w:t>Répartition du Budget estimatif selon les 3</w:t>
      </w:r>
      <w:r w:rsidR="003339F3">
        <w:rPr>
          <w:b/>
          <w:sz w:val="24"/>
          <w:szCs w:val="24"/>
        </w:rPr>
        <w:t xml:space="preserve"> programme</w:t>
      </w:r>
      <w:r>
        <w:rPr>
          <w:b/>
          <w:sz w:val="24"/>
          <w:szCs w:val="24"/>
        </w:rPr>
        <w:t>s</w:t>
      </w:r>
      <w:r w:rsidR="003339F3">
        <w:rPr>
          <w:b/>
          <w:sz w:val="24"/>
          <w:szCs w:val="24"/>
        </w:rPr>
        <w:t xml:space="preserve"> du budget programme</w:t>
      </w:r>
      <w:r>
        <w:rPr>
          <w:b/>
          <w:sz w:val="24"/>
          <w:szCs w:val="24"/>
        </w:rPr>
        <w:t>.</w:t>
      </w:r>
    </w:p>
    <w:p w:rsidR="003339F3" w:rsidRDefault="003339F3" w:rsidP="003339F3">
      <w:pPr>
        <w:tabs>
          <w:tab w:val="left" w:pos="900"/>
        </w:tabs>
        <w:spacing w:after="0"/>
        <w:jc w:val="both"/>
        <w:rPr>
          <w:sz w:val="24"/>
          <w:szCs w:val="24"/>
        </w:rPr>
      </w:pPr>
      <w:r w:rsidRPr="005866C8">
        <w:rPr>
          <w:sz w:val="24"/>
          <w:szCs w:val="24"/>
        </w:rPr>
        <w:t xml:space="preserve">Dans le cadre de la mise en œuvre du budget programme, 3 programmes budgétaires ont été retenus pour le MS à savoir : </w:t>
      </w:r>
      <w:r>
        <w:rPr>
          <w:sz w:val="24"/>
          <w:szCs w:val="24"/>
        </w:rPr>
        <w:t xml:space="preserve">Accès aux services de santé, </w:t>
      </w:r>
      <w:r w:rsidRPr="005866C8">
        <w:rPr>
          <w:sz w:val="24"/>
          <w:szCs w:val="24"/>
        </w:rPr>
        <w:t xml:space="preserve">Prestation des services de santé </w:t>
      </w:r>
      <w:r>
        <w:rPr>
          <w:sz w:val="24"/>
          <w:szCs w:val="24"/>
        </w:rPr>
        <w:t xml:space="preserve">et </w:t>
      </w:r>
      <w:r w:rsidRPr="005866C8">
        <w:rPr>
          <w:sz w:val="24"/>
          <w:szCs w:val="24"/>
        </w:rPr>
        <w:t>Pilotage et soutien des services du Ministère de la santé</w:t>
      </w:r>
      <w:r>
        <w:rPr>
          <w:sz w:val="24"/>
          <w:szCs w:val="24"/>
        </w:rPr>
        <w:t>.</w:t>
      </w:r>
    </w:p>
    <w:p w:rsidR="003339F3" w:rsidRDefault="003339F3" w:rsidP="003339F3">
      <w:pPr>
        <w:tabs>
          <w:tab w:val="left" w:pos="900"/>
        </w:tabs>
        <w:spacing w:after="0"/>
        <w:jc w:val="both"/>
        <w:rPr>
          <w:sz w:val="24"/>
          <w:szCs w:val="24"/>
        </w:rPr>
      </w:pPr>
      <w:r>
        <w:rPr>
          <w:sz w:val="24"/>
          <w:szCs w:val="24"/>
        </w:rPr>
        <w:t>Selon le scénario moyen, le programme « </w:t>
      </w:r>
      <w:r w:rsidRPr="004045F6">
        <w:rPr>
          <w:i/>
          <w:sz w:val="24"/>
          <w:szCs w:val="24"/>
        </w:rPr>
        <w:t>Prestation des services de santé</w:t>
      </w:r>
      <w:r>
        <w:rPr>
          <w:sz w:val="24"/>
          <w:szCs w:val="24"/>
        </w:rPr>
        <w:t xml:space="preserve"> » </w:t>
      </w:r>
      <w:r w:rsidR="000571B9">
        <w:rPr>
          <w:sz w:val="24"/>
          <w:szCs w:val="24"/>
        </w:rPr>
        <w:t xml:space="preserve">absorberait </w:t>
      </w:r>
      <w:r>
        <w:rPr>
          <w:sz w:val="24"/>
          <w:szCs w:val="24"/>
        </w:rPr>
        <w:t xml:space="preserve">37,2% du budget total, </w:t>
      </w:r>
      <w:r w:rsidR="000571B9">
        <w:rPr>
          <w:sz w:val="24"/>
          <w:szCs w:val="24"/>
        </w:rPr>
        <w:t xml:space="preserve">le </w:t>
      </w:r>
      <w:r>
        <w:rPr>
          <w:sz w:val="24"/>
          <w:szCs w:val="24"/>
        </w:rPr>
        <w:t>programme « </w:t>
      </w:r>
      <w:r w:rsidRPr="004045F6">
        <w:rPr>
          <w:i/>
          <w:sz w:val="24"/>
          <w:szCs w:val="24"/>
        </w:rPr>
        <w:t>Accès aux services de santé</w:t>
      </w:r>
      <w:r w:rsidR="000571B9">
        <w:rPr>
          <w:sz w:val="24"/>
          <w:szCs w:val="24"/>
        </w:rPr>
        <w:t xml:space="preserve"> » qui absorbe 33,2% et le</w:t>
      </w:r>
      <w:r>
        <w:rPr>
          <w:sz w:val="24"/>
          <w:szCs w:val="24"/>
        </w:rPr>
        <w:t xml:space="preserve"> programme « </w:t>
      </w:r>
      <w:r w:rsidRPr="004045F6">
        <w:rPr>
          <w:i/>
          <w:sz w:val="24"/>
          <w:szCs w:val="24"/>
        </w:rPr>
        <w:t>Pilotage et soutien des services du Ministère de la santé</w:t>
      </w:r>
      <w:r>
        <w:rPr>
          <w:sz w:val="24"/>
          <w:szCs w:val="24"/>
        </w:rPr>
        <w:t xml:space="preserve"> » 29,6%. </w:t>
      </w:r>
      <w:r w:rsidR="000571B9">
        <w:rPr>
          <w:sz w:val="24"/>
          <w:szCs w:val="24"/>
        </w:rPr>
        <w:t>(Voir Tableau 11)</w:t>
      </w:r>
      <w:r w:rsidR="00A572A0">
        <w:rPr>
          <w:sz w:val="24"/>
          <w:szCs w:val="24"/>
        </w:rPr>
        <w:t>.</w:t>
      </w:r>
    </w:p>
    <w:p w:rsidR="003339F3" w:rsidRPr="005866C8" w:rsidRDefault="003339F3" w:rsidP="003339F3">
      <w:pPr>
        <w:tabs>
          <w:tab w:val="left" w:pos="900"/>
        </w:tabs>
        <w:spacing w:after="0"/>
        <w:jc w:val="both"/>
        <w:rPr>
          <w:sz w:val="24"/>
          <w:szCs w:val="24"/>
        </w:rPr>
      </w:pPr>
    </w:p>
    <w:p w:rsidR="000571B9" w:rsidRDefault="000571B9" w:rsidP="000571B9">
      <w:pPr>
        <w:pStyle w:val="Paragraphedeliste"/>
        <w:numPr>
          <w:ilvl w:val="2"/>
          <w:numId w:val="87"/>
        </w:numPr>
        <w:tabs>
          <w:tab w:val="left" w:pos="900"/>
        </w:tabs>
        <w:spacing w:line="276" w:lineRule="auto"/>
        <w:ind w:left="851" w:hanging="851"/>
        <w:jc w:val="both"/>
        <w:rPr>
          <w:b/>
          <w:sz w:val="24"/>
          <w:szCs w:val="24"/>
        </w:rPr>
      </w:pPr>
      <w:r>
        <w:rPr>
          <w:b/>
          <w:sz w:val="24"/>
          <w:szCs w:val="24"/>
        </w:rPr>
        <w:t>Répartition du Budget estimatif selon les principaux programmes.</w:t>
      </w:r>
    </w:p>
    <w:p w:rsidR="00A572A0" w:rsidRDefault="003339F3" w:rsidP="003339F3">
      <w:pPr>
        <w:tabs>
          <w:tab w:val="left" w:pos="900"/>
        </w:tabs>
        <w:jc w:val="both"/>
        <w:rPr>
          <w:sz w:val="24"/>
          <w:szCs w:val="24"/>
        </w:rPr>
        <w:sectPr w:rsidR="00A572A0" w:rsidSect="00BC72EA">
          <w:pgSz w:w="11906" w:h="16838"/>
          <w:pgMar w:top="1152" w:right="1440" w:bottom="1152" w:left="1440" w:header="720" w:footer="720" w:gutter="0"/>
          <w:pgNumType w:chapStyle="1"/>
          <w:cols w:space="720"/>
        </w:sectPr>
      </w:pPr>
      <w:r>
        <w:rPr>
          <w:sz w:val="24"/>
          <w:szCs w:val="24"/>
        </w:rPr>
        <w:t>S</w:t>
      </w:r>
      <w:r w:rsidRPr="00623C8C">
        <w:rPr>
          <w:sz w:val="24"/>
          <w:szCs w:val="24"/>
        </w:rPr>
        <w:t xml:space="preserve">elon le scénario dit moyen, le coût du programme " Santé de la mère et du nouveau-né" représente </w:t>
      </w:r>
      <w:r>
        <w:rPr>
          <w:sz w:val="24"/>
          <w:szCs w:val="24"/>
        </w:rPr>
        <w:t>24,5</w:t>
      </w:r>
      <w:r w:rsidRPr="00623C8C">
        <w:rPr>
          <w:sz w:val="24"/>
          <w:szCs w:val="24"/>
        </w:rPr>
        <w:t xml:space="preserve">% du financement total, le programme "santé infanto-juvénile" </w:t>
      </w:r>
      <w:r>
        <w:rPr>
          <w:sz w:val="24"/>
          <w:szCs w:val="24"/>
        </w:rPr>
        <w:t>22,5</w:t>
      </w:r>
      <w:r w:rsidR="00512795">
        <w:rPr>
          <w:sz w:val="24"/>
          <w:szCs w:val="24"/>
        </w:rPr>
        <w:t>% et</w:t>
      </w:r>
      <w:r w:rsidRPr="00623C8C">
        <w:rPr>
          <w:sz w:val="24"/>
          <w:szCs w:val="24"/>
        </w:rPr>
        <w:t xml:space="preserve"> celui des "</w:t>
      </w:r>
      <w:r>
        <w:rPr>
          <w:sz w:val="24"/>
          <w:szCs w:val="24"/>
        </w:rPr>
        <w:t xml:space="preserve">santé communautaire et </w:t>
      </w:r>
      <w:r w:rsidRPr="00623C8C">
        <w:rPr>
          <w:sz w:val="24"/>
          <w:szCs w:val="24"/>
        </w:rPr>
        <w:t>interventions transversales" 2</w:t>
      </w:r>
      <w:r>
        <w:rPr>
          <w:sz w:val="24"/>
          <w:szCs w:val="24"/>
        </w:rPr>
        <w:t>1,1</w:t>
      </w:r>
      <w:r w:rsidRPr="00623C8C">
        <w:rPr>
          <w:sz w:val="24"/>
          <w:szCs w:val="24"/>
        </w:rPr>
        <w:t xml:space="preserve">%. Les programmes " nutrition, </w:t>
      </w:r>
      <w:r>
        <w:rPr>
          <w:sz w:val="24"/>
          <w:szCs w:val="24"/>
        </w:rPr>
        <w:t xml:space="preserve">vaccination, </w:t>
      </w:r>
      <w:r w:rsidRPr="00623C8C">
        <w:rPr>
          <w:sz w:val="24"/>
          <w:szCs w:val="24"/>
        </w:rPr>
        <w:t xml:space="preserve">santé des adolescents et jeunes </w:t>
      </w:r>
      <w:r>
        <w:rPr>
          <w:sz w:val="24"/>
          <w:szCs w:val="24"/>
        </w:rPr>
        <w:t xml:space="preserve">et état civil </w:t>
      </w:r>
      <w:r w:rsidR="00512795">
        <w:rPr>
          <w:sz w:val="24"/>
          <w:szCs w:val="24"/>
        </w:rPr>
        <w:t>représentai</w:t>
      </w:r>
      <w:r w:rsidRPr="00623C8C">
        <w:rPr>
          <w:sz w:val="24"/>
          <w:szCs w:val="24"/>
        </w:rPr>
        <w:t>ent respectivement 1</w:t>
      </w:r>
      <w:r>
        <w:rPr>
          <w:sz w:val="24"/>
          <w:szCs w:val="24"/>
        </w:rPr>
        <w:t>2,1</w:t>
      </w:r>
      <w:r w:rsidRPr="00623C8C">
        <w:rPr>
          <w:sz w:val="24"/>
          <w:szCs w:val="24"/>
        </w:rPr>
        <w:t xml:space="preserve">%, </w:t>
      </w:r>
      <w:r>
        <w:rPr>
          <w:sz w:val="24"/>
          <w:szCs w:val="24"/>
        </w:rPr>
        <w:t>10,5%, 7,9% et 1,5</w:t>
      </w:r>
      <w:r w:rsidRPr="00623C8C">
        <w:rPr>
          <w:sz w:val="24"/>
          <w:szCs w:val="24"/>
        </w:rPr>
        <w:t>% du financement total. (Cf. graphique ci-dessous).</w:t>
      </w:r>
      <w:r>
        <w:rPr>
          <w:sz w:val="24"/>
          <w:szCs w:val="24"/>
        </w:rPr>
        <w:t xml:space="preserve"> </w:t>
      </w:r>
      <w:r w:rsidRPr="00623C8C">
        <w:rPr>
          <w:sz w:val="24"/>
          <w:szCs w:val="24"/>
        </w:rPr>
        <w:t>Il n’a pas été pris en compte dans ce dossier d’investissement, les constructions d’infrastructures sanitaires et administratives</w:t>
      </w:r>
      <w:r w:rsidR="00512795">
        <w:rPr>
          <w:sz w:val="24"/>
          <w:szCs w:val="24"/>
        </w:rPr>
        <w:t xml:space="preserve"> mais </w:t>
      </w:r>
      <w:r>
        <w:rPr>
          <w:sz w:val="24"/>
          <w:szCs w:val="24"/>
        </w:rPr>
        <w:t>les constructions des Postes de Santé Communautaires ont été prises en compte.</w:t>
      </w:r>
      <w:r w:rsidR="00A572A0" w:rsidRPr="00A572A0">
        <w:rPr>
          <w:sz w:val="24"/>
          <w:szCs w:val="24"/>
        </w:rPr>
        <w:t xml:space="preserve"> </w:t>
      </w:r>
      <w:r w:rsidR="00A572A0">
        <w:rPr>
          <w:sz w:val="24"/>
          <w:szCs w:val="24"/>
        </w:rPr>
        <w:t>(Voir Tableau 12).</w:t>
      </w:r>
    </w:p>
    <w:p w:rsidR="00A572A0" w:rsidRPr="00763A55" w:rsidRDefault="00A572A0" w:rsidP="00763A55">
      <w:pPr>
        <w:spacing w:line="360" w:lineRule="auto"/>
        <w:jc w:val="both"/>
        <w:rPr>
          <w:rFonts w:cs="Arial"/>
          <w:b/>
          <w:color w:val="000000"/>
        </w:rPr>
      </w:pPr>
      <w:r w:rsidRPr="00763A55">
        <w:rPr>
          <w:rFonts w:cs="Arial"/>
          <w:b/>
          <w:color w:val="000000"/>
        </w:rPr>
        <w:t>Tableau</w:t>
      </w:r>
      <w:r w:rsidR="003373DE" w:rsidRPr="00763A55">
        <w:rPr>
          <w:rFonts w:cs="Arial"/>
          <w:b/>
          <w:color w:val="000000"/>
        </w:rPr>
        <w:t xml:space="preserve"> 12</w:t>
      </w:r>
      <w:r w:rsidRPr="00763A55">
        <w:rPr>
          <w:rFonts w:cs="Arial"/>
          <w:b/>
          <w:color w:val="000000"/>
        </w:rPr>
        <w:t> : Répartition du Budget du DI  par Programme du Budget-Programme</w:t>
      </w:r>
      <w:r w:rsidR="00EC1135">
        <w:rPr>
          <w:rFonts w:cs="Arial"/>
          <w:b/>
          <w:color w:val="000000"/>
        </w:rPr>
        <w:t xml:space="preserve"> et par scénario</w:t>
      </w:r>
    </w:p>
    <w:tbl>
      <w:tblPr>
        <w:tblStyle w:val="Grilledutableau"/>
        <w:tblW w:w="0" w:type="auto"/>
        <w:tblLook w:val="04A0" w:firstRow="1" w:lastRow="0" w:firstColumn="1" w:lastColumn="0" w:noHBand="0" w:noVBand="1"/>
      </w:tblPr>
      <w:tblGrid>
        <w:gridCol w:w="2518"/>
        <w:gridCol w:w="1795"/>
        <w:gridCol w:w="1796"/>
        <w:gridCol w:w="1795"/>
        <w:gridCol w:w="1796"/>
        <w:gridCol w:w="1795"/>
        <w:gridCol w:w="1796"/>
        <w:gridCol w:w="853"/>
      </w:tblGrid>
      <w:tr w:rsidR="00A572A0" w:rsidTr="009544E5">
        <w:tc>
          <w:tcPr>
            <w:tcW w:w="14144" w:type="dxa"/>
            <w:gridSpan w:val="8"/>
            <w:shd w:val="clear" w:color="auto" w:fill="DAEEF3" w:themeFill="accent5" w:themeFillTint="33"/>
          </w:tcPr>
          <w:p w:rsidR="00A572A0" w:rsidRPr="00DC2A3C" w:rsidRDefault="00A572A0" w:rsidP="009544E5">
            <w:pPr>
              <w:spacing w:line="360" w:lineRule="auto"/>
              <w:jc w:val="both"/>
              <w:rPr>
                <w:rFonts w:cs="Arial"/>
                <w:b/>
                <w:color w:val="000000"/>
              </w:rPr>
            </w:pPr>
            <w:r>
              <w:rPr>
                <w:rFonts w:cs="Arial"/>
                <w:b/>
                <w:color w:val="000000"/>
              </w:rPr>
              <w:t>Scénario minimum</w:t>
            </w:r>
          </w:p>
        </w:tc>
      </w:tr>
      <w:tr w:rsidR="00A572A0" w:rsidTr="009544E5">
        <w:tc>
          <w:tcPr>
            <w:tcW w:w="2518"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BUDGET PROGRAMME</w:t>
            </w:r>
          </w:p>
        </w:tc>
        <w:tc>
          <w:tcPr>
            <w:tcW w:w="1795"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2 019</w:t>
            </w:r>
          </w:p>
        </w:tc>
        <w:tc>
          <w:tcPr>
            <w:tcW w:w="1796"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2 020</w:t>
            </w:r>
          </w:p>
        </w:tc>
        <w:tc>
          <w:tcPr>
            <w:tcW w:w="1795"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2 021</w:t>
            </w:r>
          </w:p>
        </w:tc>
        <w:tc>
          <w:tcPr>
            <w:tcW w:w="1796"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2 022</w:t>
            </w:r>
          </w:p>
        </w:tc>
        <w:tc>
          <w:tcPr>
            <w:tcW w:w="1795"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2 023</w:t>
            </w:r>
          </w:p>
        </w:tc>
        <w:tc>
          <w:tcPr>
            <w:tcW w:w="1796"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Total</w:t>
            </w:r>
          </w:p>
        </w:tc>
        <w:tc>
          <w:tcPr>
            <w:tcW w:w="853" w:type="dxa"/>
            <w:vAlign w:val="center"/>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w:t>
            </w:r>
          </w:p>
        </w:tc>
      </w:tr>
      <w:tr w:rsidR="00A572A0" w:rsidTr="009544E5">
        <w:tc>
          <w:tcPr>
            <w:tcW w:w="2518" w:type="dxa"/>
            <w:vAlign w:val="center"/>
          </w:tcPr>
          <w:p w:rsidR="00A572A0" w:rsidRPr="00DC2A3C" w:rsidRDefault="00A572A0" w:rsidP="009544E5">
            <w:pPr>
              <w:rPr>
                <w:rFonts w:asciiTheme="majorHAnsi" w:eastAsia="Times New Roman" w:hAnsiTheme="majorHAnsi" w:cstheme="majorHAnsi"/>
                <w:b/>
                <w:color w:val="000000"/>
                <w:sz w:val="20"/>
                <w:szCs w:val="20"/>
              </w:rPr>
            </w:pPr>
            <w:r w:rsidRPr="00DC2A3C">
              <w:rPr>
                <w:rFonts w:asciiTheme="majorHAnsi" w:eastAsia="Times New Roman" w:hAnsiTheme="majorHAnsi" w:cstheme="majorHAnsi"/>
                <w:b/>
                <w:color w:val="000000"/>
                <w:sz w:val="20"/>
                <w:szCs w:val="20"/>
              </w:rPr>
              <w:t xml:space="preserve">Accès aux services de santé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45 222 148 971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51 876 713 787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54 733 014 837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57 706 285 919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63 256 898 884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272 795 062 398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31,8%</w:t>
            </w:r>
          </w:p>
        </w:tc>
      </w:tr>
      <w:tr w:rsidR="00A572A0" w:rsidTr="009544E5">
        <w:tc>
          <w:tcPr>
            <w:tcW w:w="2518" w:type="dxa"/>
            <w:vAlign w:val="center"/>
          </w:tcPr>
          <w:p w:rsidR="00A572A0" w:rsidRPr="00DC2A3C" w:rsidRDefault="00A572A0" w:rsidP="009544E5">
            <w:pPr>
              <w:rPr>
                <w:rFonts w:asciiTheme="majorHAnsi" w:eastAsia="Times New Roman" w:hAnsiTheme="majorHAnsi" w:cstheme="majorHAnsi"/>
                <w:b/>
                <w:color w:val="000000"/>
                <w:sz w:val="20"/>
                <w:szCs w:val="20"/>
              </w:rPr>
            </w:pPr>
            <w:r w:rsidRPr="00DC2A3C">
              <w:rPr>
                <w:rFonts w:asciiTheme="majorHAnsi" w:eastAsia="Times New Roman" w:hAnsiTheme="majorHAnsi" w:cstheme="majorHAnsi"/>
                <w:b/>
                <w:color w:val="000000"/>
                <w:sz w:val="20"/>
                <w:szCs w:val="20"/>
              </w:rPr>
              <w:t xml:space="preserve">Prestation des services de santé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41 930 482 591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49 611 763 953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54 628 486 953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61 804 568 091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69 678 088 188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277 653 389 776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32,4%</w:t>
            </w:r>
          </w:p>
        </w:tc>
      </w:tr>
      <w:tr w:rsidR="00A572A0" w:rsidTr="009544E5">
        <w:tc>
          <w:tcPr>
            <w:tcW w:w="2518" w:type="dxa"/>
            <w:vAlign w:val="center"/>
          </w:tcPr>
          <w:p w:rsidR="00A572A0" w:rsidRPr="00DC2A3C" w:rsidRDefault="00A572A0" w:rsidP="009544E5">
            <w:pPr>
              <w:rPr>
                <w:rFonts w:asciiTheme="majorHAnsi" w:eastAsia="Times New Roman" w:hAnsiTheme="majorHAnsi" w:cstheme="majorHAnsi"/>
                <w:b/>
                <w:color w:val="000000"/>
                <w:sz w:val="20"/>
                <w:szCs w:val="20"/>
              </w:rPr>
            </w:pPr>
            <w:r w:rsidRPr="00DC2A3C">
              <w:rPr>
                <w:rFonts w:asciiTheme="majorHAnsi" w:eastAsia="Times New Roman" w:hAnsiTheme="majorHAnsi" w:cstheme="majorHAnsi"/>
                <w:b/>
                <w:color w:val="000000"/>
                <w:sz w:val="20"/>
                <w:szCs w:val="20"/>
              </w:rPr>
              <w:t>Pilotage et soutien des services du Ministère de la santé</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 xml:space="preserve">  </w:t>
            </w: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55 039 530 459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61 174 829 286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62 866 313 945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62 790 015 144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64 653 984 121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306 524 672 955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35,8%</w:t>
            </w:r>
          </w:p>
        </w:tc>
      </w:tr>
      <w:tr w:rsidR="00A572A0" w:rsidTr="009544E5">
        <w:tc>
          <w:tcPr>
            <w:tcW w:w="2518"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Total</w:t>
            </w:r>
          </w:p>
        </w:tc>
        <w:tc>
          <w:tcPr>
            <w:tcW w:w="1795"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142 192 162 022   </w:t>
            </w:r>
          </w:p>
        </w:tc>
        <w:tc>
          <w:tcPr>
            <w:tcW w:w="1796"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162 663 307 026   </w:t>
            </w:r>
          </w:p>
        </w:tc>
        <w:tc>
          <w:tcPr>
            <w:tcW w:w="1795"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 xml:space="preserve">     172 227 815 735   </w:t>
            </w:r>
          </w:p>
        </w:tc>
        <w:tc>
          <w:tcPr>
            <w:tcW w:w="1796"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182 300 869 154   </w:t>
            </w:r>
          </w:p>
        </w:tc>
        <w:tc>
          <w:tcPr>
            <w:tcW w:w="1795"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197 588 971 193   </w:t>
            </w:r>
          </w:p>
        </w:tc>
        <w:tc>
          <w:tcPr>
            <w:tcW w:w="1796"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856 973 125 129   </w:t>
            </w:r>
          </w:p>
        </w:tc>
        <w:tc>
          <w:tcPr>
            <w:tcW w:w="853" w:type="dxa"/>
            <w:tcBorders>
              <w:bottom w:val="single" w:sz="4" w:space="0" w:color="auto"/>
            </w:tcBorders>
            <w:vAlign w:val="center"/>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100%</w:t>
            </w:r>
          </w:p>
        </w:tc>
      </w:tr>
      <w:tr w:rsidR="00A572A0" w:rsidTr="009544E5">
        <w:tc>
          <w:tcPr>
            <w:tcW w:w="2518" w:type="dxa"/>
            <w:tcBorders>
              <w:left w:val="nil"/>
              <w:right w:val="nil"/>
            </w:tcBorders>
          </w:tcPr>
          <w:p w:rsidR="00A572A0" w:rsidRDefault="00A572A0" w:rsidP="009544E5"/>
        </w:tc>
        <w:tc>
          <w:tcPr>
            <w:tcW w:w="1795" w:type="dxa"/>
            <w:tcBorders>
              <w:left w:val="nil"/>
              <w:right w:val="nil"/>
            </w:tcBorders>
          </w:tcPr>
          <w:p w:rsidR="00A572A0" w:rsidRDefault="00A572A0" w:rsidP="009544E5"/>
        </w:tc>
        <w:tc>
          <w:tcPr>
            <w:tcW w:w="1796" w:type="dxa"/>
            <w:tcBorders>
              <w:left w:val="nil"/>
              <w:right w:val="nil"/>
            </w:tcBorders>
          </w:tcPr>
          <w:p w:rsidR="00A572A0" w:rsidRDefault="00A572A0" w:rsidP="009544E5"/>
        </w:tc>
        <w:tc>
          <w:tcPr>
            <w:tcW w:w="1795" w:type="dxa"/>
            <w:tcBorders>
              <w:left w:val="nil"/>
              <w:right w:val="nil"/>
            </w:tcBorders>
          </w:tcPr>
          <w:p w:rsidR="00A572A0" w:rsidRDefault="00A572A0" w:rsidP="009544E5"/>
        </w:tc>
        <w:tc>
          <w:tcPr>
            <w:tcW w:w="1796" w:type="dxa"/>
            <w:tcBorders>
              <w:left w:val="nil"/>
              <w:right w:val="nil"/>
            </w:tcBorders>
          </w:tcPr>
          <w:p w:rsidR="00A572A0" w:rsidRDefault="00A572A0" w:rsidP="009544E5"/>
        </w:tc>
        <w:tc>
          <w:tcPr>
            <w:tcW w:w="1795" w:type="dxa"/>
            <w:tcBorders>
              <w:left w:val="nil"/>
              <w:right w:val="nil"/>
            </w:tcBorders>
          </w:tcPr>
          <w:p w:rsidR="00A572A0" w:rsidRDefault="00A572A0" w:rsidP="009544E5"/>
        </w:tc>
        <w:tc>
          <w:tcPr>
            <w:tcW w:w="1796" w:type="dxa"/>
            <w:tcBorders>
              <w:left w:val="nil"/>
              <w:right w:val="nil"/>
            </w:tcBorders>
          </w:tcPr>
          <w:p w:rsidR="00A572A0" w:rsidRDefault="00A572A0" w:rsidP="009544E5"/>
        </w:tc>
        <w:tc>
          <w:tcPr>
            <w:tcW w:w="853" w:type="dxa"/>
            <w:tcBorders>
              <w:left w:val="nil"/>
              <w:right w:val="nil"/>
            </w:tcBorders>
          </w:tcPr>
          <w:p w:rsidR="00A572A0" w:rsidRDefault="00A572A0" w:rsidP="009544E5"/>
        </w:tc>
      </w:tr>
      <w:tr w:rsidR="00A572A0" w:rsidTr="009544E5">
        <w:tc>
          <w:tcPr>
            <w:tcW w:w="14144" w:type="dxa"/>
            <w:gridSpan w:val="8"/>
            <w:shd w:val="clear" w:color="auto" w:fill="DAEEF3" w:themeFill="accent5" w:themeFillTint="33"/>
          </w:tcPr>
          <w:p w:rsidR="00A572A0" w:rsidRDefault="00A572A0" w:rsidP="009544E5">
            <w:pPr>
              <w:spacing w:line="360" w:lineRule="auto"/>
            </w:pPr>
            <w:r>
              <w:rPr>
                <w:rFonts w:cs="Arial"/>
                <w:b/>
                <w:color w:val="000000"/>
              </w:rPr>
              <w:t>Scénario moyen</w:t>
            </w:r>
          </w:p>
        </w:tc>
      </w:tr>
      <w:tr w:rsidR="00A572A0" w:rsidTr="009544E5">
        <w:tc>
          <w:tcPr>
            <w:tcW w:w="2518"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BUDGET PROGRAMME</w:t>
            </w:r>
          </w:p>
        </w:tc>
        <w:tc>
          <w:tcPr>
            <w:tcW w:w="1795"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2 019</w:t>
            </w:r>
          </w:p>
        </w:tc>
        <w:tc>
          <w:tcPr>
            <w:tcW w:w="1796"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2 020</w:t>
            </w:r>
          </w:p>
        </w:tc>
        <w:tc>
          <w:tcPr>
            <w:tcW w:w="1795"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2 021</w:t>
            </w:r>
          </w:p>
        </w:tc>
        <w:tc>
          <w:tcPr>
            <w:tcW w:w="1796"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2 022</w:t>
            </w:r>
          </w:p>
        </w:tc>
        <w:tc>
          <w:tcPr>
            <w:tcW w:w="1795"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2 023</w:t>
            </w:r>
          </w:p>
        </w:tc>
        <w:tc>
          <w:tcPr>
            <w:tcW w:w="1796"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Total</w:t>
            </w:r>
          </w:p>
        </w:tc>
        <w:tc>
          <w:tcPr>
            <w:tcW w:w="853" w:type="dxa"/>
            <w:vAlign w:val="center"/>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w:t>
            </w:r>
          </w:p>
        </w:tc>
      </w:tr>
      <w:tr w:rsidR="00A572A0" w:rsidTr="009544E5">
        <w:tc>
          <w:tcPr>
            <w:tcW w:w="2518" w:type="dxa"/>
            <w:vAlign w:val="center"/>
          </w:tcPr>
          <w:p w:rsidR="00A572A0" w:rsidRPr="009D4DF7" w:rsidRDefault="00A572A0" w:rsidP="009544E5">
            <w:pPr>
              <w:rPr>
                <w:rFonts w:asciiTheme="majorHAnsi" w:eastAsia="Times New Roman" w:hAnsiTheme="majorHAnsi" w:cstheme="majorHAnsi"/>
                <w:b/>
                <w:color w:val="000000"/>
                <w:sz w:val="20"/>
                <w:szCs w:val="20"/>
              </w:rPr>
            </w:pPr>
            <w:r w:rsidRPr="009D4DF7">
              <w:rPr>
                <w:rFonts w:asciiTheme="majorHAnsi" w:eastAsia="Times New Roman" w:hAnsiTheme="majorHAnsi" w:cstheme="majorHAnsi"/>
                <w:b/>
                <w:color w:val="000000"/>
                <w:sz w:val="20"/>
                <w:szCs w:val="20"/>
              </w:rPr>
              <w:t xml:space="preserve">Accès aux services de santé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61 345 961 434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64 427 945 362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67 680 260 654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74 595 179 999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76 537 128 909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344 586 476 358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33,2%</w:t>
            </w:r>
          </w:p>
        </w:tc>
      </w:tr>
      <w:tr w:rsidR="00A572A0" w:rsidTr="009544E5">
        <w:tc>
          <w:tcPr>
            <w:tcW w:w="2518" w:type="dxa"/>
            <w:vAlign w:val="center"/>
          </w:tcPr>
          <w:p w:rsidR="00A572A0" w:rsidRPr="009D4DF7" w:rsidRDefault="00A572A0" w:rsidP="009544E5">
            <w:pPr>
              <w:rPr>
                <w:rFonts w:asciiTheme="majorHAnsi" w:eastAsia="Times New Roman" w:hAnsiTheme="majorHAnsi" w:cstheme="majorHAnsi"/>
                <w:b/>
                <w:color w:val="000000"/>
                <w:sz w:val="20"/>
                <w:szCs w:val="20"/>
              </w:rPr>
            </w:pPr>
            <w:r w:rsidRPr="009D4DF7">
              <w:rPr>
                <w:rFonts w:asciiTheme="majorHAnsi" w:eastAsia="Times New Roman" w:hAnsiTheme="majorHAnsi" w:cstheme="majorHAnsi"/>
                <w:b/>
                <w:color w:val="000000"/>
                <w:sz w:val="20"/>
                <w:szCs w:val="20"/>
              </w:rPr>
              <w:t xml:space="preserve">Prestation des services de santé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66 116 201 284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68 438 611 314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74 049 355 680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87 137 909 211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89 598 433 226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385 340 510 716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37,2%</w:t>
            </w:r>
          </w:p>
        </w:tc>
      </w:tr>
      <w:tr w:rsidR="00A572A0" w:rsidTr="009544E5">
        <w:tc>
          <w:tcPr>
            <w:tcW w:w="2518" w:type="dxa"/>
            <w:vAlign w:val="center"/>
          </w:tcPr>
          <w:p w:rsidR="00A572A0" w:rsidRPr="009D4DF7" w:rsidRDefault="00A572A0" w:rsidP="009544E5">
            <w:pPr>
              <w:rPr>
                <w:rFonts w:asciiTheme="majorHAnsi" w:eastAsia="Times New Roman" w:hAnsiTheme="majorHAnsi" w:cstheme="majorHAnsi"/>
                <w:b/>
                <w:color w:val="000000"/>
                <w:sz w:val="20"/>
                <w:szCs w:val="20"/>
              </w:rPr>
            </w:pPr>
            <w:r w:rsidRPr="009D4DF7">
              <w:rPr>
                <w:rFonts w:asciiTheme="majorHAnsi" w:eastAsia="Times New Roman" w:hAnsiTheme="majorHAnsi" w:cstheme="majorHAnsi"/>
                <w:b/>
                <w:color w:val="000000"/>
                <w:sz w:val="20"/>
                <w:szCs w:val="20"/>
              </w:rPr>
              <w:t>Pilotage et soutien des services du Ministère de la santé</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55 039 530 459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61 174 829 286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62 866 313 945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62 790 015 144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64 653 984 121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306 524 672 955   </w:t>
            </w:r>
          </w:p>
        </w:tc>
        <w:tc>
          <w:tcPr>
            <w:tcW w:w="853" w:type="dxa"/>
            <w:vAlign w:val="bottom"/>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29,6%</w:t>
            </w:r>
          </w:p>
        </w:tc>
      </w:tr>
      <w:tr w:rsidR="00A572A0" w:rsidTr="009544E5">
        <w:tc>
          <w:tcPr>
            <w:tcW w:w="2518"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Total</w:t>
            </w:r>
          </w:p>
        </w:tc>
        <w:tc>
          <w:tcPr>
            <w:tcW w:w="1795"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182 501 693 177   </w:t>
            </w:r>
          </w:p>
        </w:tc>
        <w:tc>
          <w:tcPr>
            <w:tcW w:w="1796"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194 041 385 961   </w:t>
            </w:r>
          </w:p>
        </w:tc>
        <w:tc>
          <w:tcPr>
            <w:tcW w:w="1795"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204 595 930 279   </w:t>
            </w:r>
          </w:p>
        </w:tc>
        <w:tc>
          <w:tcPr>
            <w:tcW w:w="1796"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224 523 104 355   </w:t>
            </w:r>
          </w:p>
        </w:tc>
        <w:tc>
          <w:tcPr>
            <w:tcW w:w="1795"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230 789 546 256   </w:t>
            </w:r>
          </w:p>
        </w:tc>
        <w:tc>
          <w:tcPr>
            <w:tcW w:w="1796" w:type="dxa"/>
            <w:tcBorders>
              <w:bottom w:val="single" w:sz="4" w:space="0" w:color="auto"/>
            </w:tcBorders>
            <w:vAlign w:val="bottom"/>
          </w:tcPr>
          <w:p w:rsidR="00A572A0" w:rsidRPr="00A02ED4" w:rsidRDefault="00A572A0" w:rsidP="009544E5">
            <w:pP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 xml:space="preserve"> 1 036 451 660 029   </w:t>
            </w:r>
          </w:p>
        </w:tc>
        <w:tc>
          <w:tcPr>
            <w:tcW w:w="853" w:type="dxa"/>
            <w:tcBorders>
              <w:bottom w:val="single" w:sz="4" w:space="0" w:color="auto"/>
            </w:tcBorders>
            <w:vAlign w:val="center"/>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100%</w:t>
            </w:r>
          </w:p>
        </w:tc>
      </w:tr>
      <w:tr w:rsidR="00A572A0" w:rsidTr="009544E5">
        <w:tc>
          <w:tcPr>
            <w:tcW w:w="2518" w:type="dxa"/>
            <w:tcBorders>
              <w:left w:val="nil"/>
              <w:right w:val="nil"/>
            </w:tcBorders>
          </w:tcPr>
          <w:p w:rsidR="00A572A0" w:rsidRDefault="00A572A0" w:rsidP="009544E5"/>
        </w:tc>
        <w:tc>
          <w:tcPr>
            <w:tcW w:w="1795" w:type="dxa"/>
            <w:tcBorders>
              <w:left w:val="nil"/>
              <w:right w:val="nil"/>
            </w:tcBorders>
          </w:tcPr>
          <w:p w:rsidR="00A572A0" w:rsidRDefault="00A572A0" w:rsidP="009544E5"/>
        </w:tc>
        <w:tc>
          <w:tcPr>
            <w:tcW w:w="1796" w:type="dxa"/>
            <w:tcBorders>
              <w:left w:val="nil"/>
              <w:right w:val="nil"/>
            </w:tcBorders>
          </w:tcPr>
          <w:p w:rsidR="00A572A0" w:rsidRDefault="00A572A0" w:rsidP="009544E5"/>
        </w:tc>
        <w:tc>
          <w:tcPr>
            <w:tcW w:w="1795" w:type="dxa"/>
            <w:tcBorders>
              <w:left w:val="nil"/>
              <w:right w:val="nil"/>
            </w:tcBorders>
          </w:tcPr>
          <w:p w:rsidR="00A572A0" w:rsidRDefault="00A572A0" w:rsidP="009544E5"/>
        </w:tc>
        <w:tc>
          <w:tcPr>
            <w:tcW w:w="1796" w:type="dxa"/>
            <w:tcBorders>
              <w:left w:val="nil"/>
              <w:right w:val="nil"/>
            </w:tcBorders>
          </w:tcPr>
          <w:p w:rsidR="00A572A0" w:rsidRDefault="00A572A0" w:rsidP="009544E5"/>
        </w:tc>
        <w:tc>
          <w:tcPr>
            <w:tcW w:w="1795" w:type="dxa"/>
            <w:tcBorders>
              <w:left w:val="nil"/>
              <w:right w:val="nil"/>
            </w:tcBorders>
          </w:tcPr>
          <w:p w:rsidR="00A572A0" w:rsidRDefault="00A572A0" w:rsidP="009544E5"/>
        </w:tc>
        <w:tc>
          <w:tcPr>
            <w:tcW w:w="1796" w:type="dxa"/>
            <w:tcBorders>
              <w:left w:val="nil"/>
              <w:right w:val="nil"/>
            </w:tcBorders>
          </w:tcPr>
          <w:p w:rsidR="00A572A0" w:rsidRDefault="00A572A0" w:rsidP="009544E5"/>
        </w:tc>
        <w:tc>
          <w:tcPr>
            <w:tcW w:w="853" w:type="dxa"/>
            <w:tcBorders>
              <w:left w:val="nil"/>
              <w:right w:val="nil"/>
            </w:tcBorders>
          </w:tcPr>
          <w:p w:rsidR="00A572A0" w:rsidRDefault="00A572A0" w:rsidP="009544E5"/>
        </w:tc>
      </w:tr>
      <w:tr w:rsidR="00A572A0" w:rsidTr="009544E5">
        <w:tc>
          <w:tcPr>
            <w:tcW w:w="14144" w:type="dxa"/>
            <w:gridSpan w:val="8"/>
            <w:shd w:val="clear" w:color="auto" w:fill="DAEEF3" w:themeFill="accent5" w:themeFillTint="33"/>
          </w:tcPr>
          <w:p w:rsidR="00A572A0" w:rsidRDefault="00A572A0" w:rsidP="009544E5">
            <w:pPr>
              <w:spacing w:line="360" w:lineRule="auto"/>
            </w:pPr>
            <w:r>
              <w:rPr>
                <w:rFonts w:cs="Arial"/>
                <w:b/>
                <w:color w:val="000000"/>
              </w:rPr>
              <w:t>Scénario maximum</w:t>
            </w:r>
          </w:p>
        </w:tc>
      </w:tr>
      <w:tr w:rsidR="00A572A0" w:rsidTr="009544E5">
        <w:tc>
          <w:tcPr>
            <w:tcW w:w="2518" w:type="dxa"/>
            <w:vAlign w:val="bottom"/>
          </w:tcPr>
          <w:p w:rsidR="00A572A0" w:rsidRPr="00A02ED4" w:rsidRDefault="00A572A0" w:rsidP="009544E5">
            <w:pPr>
              <w:jc w:val="cente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POGRAMME DU BUDGET PROGRAMME</w:t>
            </w:r>
          </w:p>
        </w:tc>
        <w:tc>
          <w:tcPr>
            <w:tcW w:w="1795" w:type="dxa"/>
            <w:vAlign w:val="bottom"/>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2 019</w:t>
            </w:r>
          </w:p>
        </w:tc>
        <w:tc>
          <w:tcPr>
            <w:tcW w:w="1796" w:type="dxa"/>
            <w:vAlign w:val="bottom"/>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2 020</w:t>
            </w:r>
          </w:p>
        </w:tc>
        <w:tc>
          <w:tcPr>
            <w:tcW w:w="1795" w:type="dxa"/>
            <w:vAlign w:val="bottom"/>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2 021</w:t>
            </w:r>
          </w:p>
        </w:tc>
        <w:tc>
          <w:tcPr>
            <w:tcW w:w="1796" w:type="dxa"/>
            <w:vAlign w:val="bottom"/>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2 022</w:t>
            </w:r>
          </w:p>
        </w:tc>
        <w:tc>
          <w:tcPr>
            <w:tcW w:w="1795" w:type="dxa"/>
            <w:vAlign w:val="bottom"/>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2 023</w:t>
            </w:r>
          </w:p>
        </w:tc>
        <w:tc>
          <w:tcPr>
            <w:tcW w:w="1796" w:type="dxa"/>
            <w:vAlign w:val="bottom"/>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Total</w:t>
            </w:r>
          </w:p>
        </w:tc>
        <w:tc>
          <w:tcPr>
            <w:tcW w:w="853" w:type="dxa"/>
            <w:vAlign w:val="center"/>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w:t>
            </w:r>
          </w:p>
        </w:tc>
      </w:tr>
      <w:tr w:rsidR="00A572A0" w:rsidTr="009544E5">
        <w:tc>
          <w:tcPr>
            <w:tcW w:w="2518" w:type="dxa"/>
            <w:vAlign w:val="center"/>
          </w:tcPr>
          <w:p w:rsidR="00A572A0" w:rsidRPr="009D4DF7" w:rsidRDefault="00A572A0" w:rsidP="009544E5">
            <w:pPr>
              <w:rPr>
                <w:rFonts w:asciiTheme="majorHAnsi" w:eastAsia="Times New Roman" w:hAnsiTheme="majorHAnsi" w:cstheme="majorHAnsi"/>
                <w:b/>
                <w:color w:val="000000"/>
                <w:sz w:val="20"/>
                <w:szCs w:val="20"/>
              </w:rPr>
            </w:pPr>
            <w:r w:rsidRPr="009D4DF7">
              <w:rPr>
                <w:rFonts w:asciiTheme="majorHAnsi" w:eastAsia="Times New Roman" w:hAnsiTheme="majorHAnsi" w:cstheme="majorHAnsi"/>
                <w:b/>
                <w:color w:val="000000"/>
                <w:sz w:val="20"/>
                <w:szCs w:val="20"/>
              </w:rPr>
              <w:t xml:space="preserve">Accès aux services de santé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54 560 637 339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71 975 424 070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86 157 192 840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101 492 974 800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119 860 369 045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434 046 598 093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34,4%</w:t>
            </w:r>
          </w:p>
        </w:tc>
      </w:tr>
      <w:tr w:rsidR="00A572A0" w:rsidTr="009544E5">
        <w:tc>
          <w:tcPr>
            <w:tcW w:w="2518" w:type="dxa"/>
            <w:vAlign w:val="center"/>
          </w:tcPr>
          <w:p w:rsidR="00A572A0" w:rsidRPr="009D4DF7" w:rsidRDefault="00A572A0" w:rsidP="009544E5">
            <w:pPr>
              <w:rPr>
                <w:rFonts w:asciiTheme="majorHAnsi" w:eastAsia="Times New Roman" w:hAnsiTheme="majorHAnsi" w:cstheme="majorHAnsi"/>
                <w:b/>
                <w:color w:val="000000"/>
                <w:sz w:val="20"/>
                <w:szCs w:val="20"/>
              </w:rPr>
            </w:pPr>
            <w:r w:rsidRPr="009D4DF7">
              <w:rPr>
                <w:rFonts w:asciiTheme="majorHAnsi" w:eastAsia="Times New Roman" w:hAnsiTheme="majorHAnsi" w:cstheme="majorHAnsi"/>
                <w:b/>
                <w:color w:val="000000"/>
                <w:sz w:val="20"/>
                <w:szCs w:val="20"/>
              </w:rPr>
              <w:t xml:space="preserve">Prestation des services de santé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55 814 257 009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79 502 531 093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101 364 047 788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126 929 815 640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153 863 165 695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517 473 817 225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41,0%</w:t>
            </w:r>
          </w:p>
        </w:tc>
      </w:tr>
      <w:tr w:rsidR="00A572A0" w:rsidTr="009544E5">
        <w:tc>
          <w:tcPr>
            <w:tcW w:w="2518" w:type="dxa"/>
            <w:vAlign w:val="center"/>
          </w:tcPr>
          <w:p w:rsidR="00A572A0" w:rsidRPr="009D4DF7" w:rsidRDefault="00A572A0" w:rsidP="009544E5">
            <w:pPr>
              <w:rPr>
                <w:rFonts w:asciiTheme="majorHAnsi" w:eastAsia="Times New Roman" w:hAnsiTheme="majorHAnsi" w:cstheme="majorHAnsi"/>
                <w:b/>
                <w:color w:val="000000"/>
                <w:sz w:val="20"/>
                <w:szCs w:val="20"/>
              </w:rPr>
            </w:pPr>
            <w:r w:rsidRPr="009D4DF7">
              <w:rPr>
                <w:rFonts w:asciiTheme="majorHAnsi" w:eastAsia="Times New Roman" w:hAnsiTheme="majorHAnsi" w:cstheme="majorHAnsi"/>
                <w:b/>
                <w:color w:val="000000"/>
                <w:sz w:val="20"/>
                <w:szCs w:val="20"/>
              </w:rPr>
              <w:t>Pilotage et soutien des services du Ministère de la santé</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55 328 389 029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61 774 409 259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63 800 076 082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64 082 827 646   </w:t>
            </w:r>
          </w:p>
        </w:tc>
        <w:tc>
          <w:tcPr>
            <w:tcW w:w="1795"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66 332 091 575   </w:t>
            </w:r>
          </w:p>
        </w:tc>
        <w:tc>
          <w:tcPr>
            <w:tcW w:w="1796" w:type="dxa"/>
            <w:vAlign w:val="center"/>
          </w:tcPr>
          <w:p w:rsidR="00A572A0" w:rsidRPr="00A02ED4"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A02ED4">
              <w:rPr>
                <w:rFonts w:asciiTheme="majorHAnsi" w:eastAsia="Times New Roman" w:hAnsiTheme="majorHAnsi" w:cstheme="majorHAnsi"/>
                <w:color w:val="000000"/>
                <w:sz w:val="20"/>
                <w:szCs w:val="20"/>
              </w:rPr>
              <w:t xml:space="preserve"> 311 317 793 591   </w:t>
            </w:r>
          </w:p>
        </w:tc>
        <w:tc>
          <w:tcPr>
            <w:tcW w:w="853" w:type="dxa"/>
            <w:vAlign w:val="bottom"/>
          </w:tcPr>
          <w:p w:rsidR="00A572A0" w:rsidRPr="00A02ED4" w:rsidRDefault="00A572A0" w:rsidP="009544E5">
            <w:pPr>
              <w:jc w:val="right"/>
              <w:rPr>
                <w:rFonts w:asciiTheme="majorHAnsi" w:eastAsia="Times New Roman" w:hAnsiTheme="majorHAnsi" w:cstheme="majorHAnsi"/>
                <w:color w:val="000000"/>
                <w:sz w:val="20"/>
                <w:szCs w:val="20"/>
              </w:rPr>
            </w:pPr>
            <w:r w:rsidRPr="00A02ED4">
              <w:rPr>
                <w:rFonts w:asciiTheme="majorHAnsi" w:eastAsia="Times New Roman" w:hAnsiTheme="majorHAnsi" w:cstheme="majorHAnsi"/>
                <w:color w:val="000000"/>
                <w:sz w:val="20"/>
                <w:szCs w:val="20"/>
              </w:rPr>
              <w:t>24,7%</w:t>
            </w:r>
          </w:p>
        </w:tc>
      </w:tr>
      <w:tr w:rsidR="00A572A0" w:rsidTr="009544E5">
        <w:tc>
          <w:tcPr>
            <w:tcW w:w="2518" w:type="dxa"/>
            <w:vAlign w:val="bottom"/>
          </w:tcPr>
          <w:p w:rsidR="00A572A0" w:rsidRPr="00A02ED4" w:rsidRDefault="00A572A0" w:rsidP="009544E5">
            <w:pPr>
              <w:rPr>
                <w:rFonts w:asciiTheme="majorHAnsi" w:eastAsia="Times New Roman" w:hAnsiTheme="majorHAnsi" w:cstheme="majorHAnsi"/>
                <w:b/>
                <w:color w:val="000000"/>
                <w:sz w:val="20"/>
                <w:szCs w:val="20"/>
              </w:rPr>
            </w:pPr>
            <w:r w:rsidRPr="00A02ED4">
              <w:rPr>
                <w:rFonts w:asciiTheme="majorHAnsi" w:eastAsia="Times New Roman" w:hAnsiTheme="majorHAnsi" w:cstheme="majorHAnsi"/>
                <w:b/>
                <w:color w:val="000000"/>
                <w:sz w:val="20"/>
                <w:szCs w:val="20"/>
              </w:rPr>
              <w:t>Total</w:t>
            </w:r>
          </w:p>
        </w:tc>
        <w:tc>
          <w:tcPr>
            <w:tcW w:w="1795" w:type="dxa"/>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165 703 283 377   </w:t>
            </w:r>
          </w:p>
        </w:tc>
        <w:tc>
          <w:tcPr>
            <w:tcW w:w="1796" w:type="dxa"/>
            <w:vAlign w:val="bottom"/>
          </w:tcPr>
          <w:p w:rsidR="00A572A0" w:rsidRPr="00A02ED4" w:rsidRDefault="00A572A0" w:rsidP="009544E5">
            <w:pP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 xml:space="preserve">     213 252 364 422   </w:t>
            </w:r>
          </w:p>
        </w:tc>
        <w:tc>
          <w:tcPr>
            <w:tcW w:w="1795" w:type="dxa"/>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251 321 316 710   </w:t>
            </w:r>
          </w:p>
        </w:tc>
        <w:tc>
          <w:tcPr>
            <w:tcW w:w="1796" w:type="dxa"/>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292 505 618 086   </w:t>
            </w:r>
          </w:p>
        </w:tc>
        <w:tc>
          <w:tcPr>
            <w:tcW w:w="1795" w:type="dxa"/>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 340 055 626 314   </w:t>
            </w:r>
          </w:p>
        </w:tc>
        <w:tc>
          <w:tcPr>
            <w:tcW w:w="1796" w:type="dxa"/>
            <w:vAlign w:val="bottom"/>
          </w:tcPr>
          <w:p w:rsidR="00A572A0" w:rsidRPr="00A02ED4" w:rsidRDefault="00A572A0" w:rsidP="009544E5">
            <w:pP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 xml:space="preserve"> </w:t>
            </w:r>
            <w:r w:rsidRPr="00A02ED4">
              <w:rPr>
                <w:rFonts w:asciiTheme="majorHAnsi" w:eastAsia="Times New Roman" w:hAnsiTheme="majorHAnsi" w:cstheme="majorHAnsi"/>
                <w:b/>
                <w:bCs/>
                <w:color w:val="000000"/>
                <w:sz w:val="20"/>
                <w:szCs w:val="20"/>
              </w:rPr>
              <w:t xml:space="preserve">1 262 838 208 909   </w:t>
            </w:r>
          </w:p>
        </w:tc>
        <w:tc>
          <w:tcPr>
            <w:tcW w:w="853" w:type="dxa"/>
            <w:vAlign w:val="center"/>
          </w:tcPr>
          <w:p w:rsidR="00A572A0" w:rsidRPr="00A02ED4" w:rsidRDefault="00A572A0" w:rsidP="009544E5">
            <w:pPr>
              <w:jc w:val="center"/>
              <w:rPr>
                <w:rFonts w:asciiTheme="majorHAnsi" w:eastAsia="Times New Roman" w:hAnsiTheme="majorHAnsi" w:cstheme="majorHAnsi"/>
                <w:b/>
                <w:bCs/>
                <w:color w:val="000000"/>
                <w:sz w:val="20"/>
                <w:szCs w:val="20"/>
              </w:rPr>
            </w:pPr>
            <w:r w:rsidRPr="00A02ED4">
              <w:rPr>
                <w:rFonts w:asciiTheme="majorHAnsi" w:eastAsia="Times New Roman" w:hAnsiTheme="majorHAnsi" w:cstheme="majorHAnsi"/>
                <w:b/>
                <w:bCs/>
                <w:color w:val="000000"/>
                <w:sz w:val="20"/>
                <w:szCs w:val="20"/>
              </w:rPr>
              <w:t>100%</w:t>
            </w:r>
          </w:p>
        </w:tc>
      </w:tr>
    </w:tbl>
    <w:p w:rsidR="00A572A0" w:rsidRDefault="00A572A0" w:rsidP="00A572A0">
      <w:pPr>
        <w:spacing w:after="0" w:line="360" w:lineRule="auto"/>
        <w:jc w:val="both"/>
        <w:rPr>
          <w:rFonts w:cs="Arial"/>
          <w:b/>
          <w:color w:val="000000"/>
          <w:highlight w:val="yellow"/>
        </w:rPr>
      </w:pPr>
    </w:p>
    <w:tbl>
      <w:tblPr>
        <w:tblStyle w:val="Grilledutableau"/>
        <w:tblW w:w="0" w:type="auto"/>
        <w:tblLook w:val="04A0" w:firstRow="1" w:lastRow="0" w:firstColumn="1" w:lastColumn="0" w:noHBand="0" w:noVBand="1"/>
      </w:tblPr>
      <w:tblGrid>
        <w:gridCol w:w="3227"/>
        <w:gridCol w:w="1889"/>
        <w:gridCol w:w="1607"/>
        <w:gridCol w:w="1606"/>
        <w:gridCol w:w="1607"/>
        <w:gridCol w:w="1796"/>
        <w:gridCol w:w="1701"/>
        <w:gridCol w:w="713"/>
      </w:tblGrid>
      <w:tr w:rsidR="00A572A0" w:rsidRPr="00392157" w:rsidTr="009544E5">
        <w:tc>
          <w:tcPr>
            <w:tcW w:w="14146" w:type="dxa"/>
            <w:gridSpan w:val="8"/>
          </w:tcPr>
          <w:p w:rsidR="00A572A0" w:rsidRPr="00392157" w:rsidRDefault="003373DE" w:rsidP="009544E5">
            <w:pPr>
              <w:spacing w:line="276" w:lineRule="auto"/>
              <w:rPr>
                <w:rFonts w:ascii="Calibri" w:hAnsi="Calibri" w:cs="Calibri"/>
                <w:b/>
                <w:sz w:val="24"/>
                <w:szCs w:val="24"/>
              </w:rPr>
            </w:pPr>
            <w:r>
              <w:rPr>
                <w:rFonts w:ascii="Calibri" w:hAnsi="Calibri" w:cs="Calibri"/>
                <w:b/>
                <w:sz w:val="24"/>
                <w:szCs w:val="24"/>
              </w:rPr>
              <w:t>Tableau 13</w:t>
            </w:r>
            <w:r w:rsidR="00A572A0" w:rsidRPr="00392157">
              <w:rPr>
                <w:rFonts w:ascii="Calibri" w:hAnsi="Calibri" w:cs="Calibri"/>
                <w:b/>
                <w:sz w:val="24"/>
                <w:szCs w:val="24"/>
              </w:rPr>
              <w:t> : Répartition du Budget du DI par Programme</w:t>
            </w:r>
            <w:r w:rsidR="002262FA">
              <w:rPr>
                <w:rFonts w:ascii="Calibri" w:hAnsi="Calibri" w:cs="Calibri"/>
                <w:b/>
                <w:sz w:val="24"/>
                <w:szCs w:val="24"/>
              </w:rPr>
              <w:t xml:space="preserve"> et par scénario</w:t>
            </w:r>
            <w:r w:rsidR="00A572A0" w:rsidRPr="00392157">
              <w:rPr>
                <w:rFonts w:ascii="Calibri" w:hAnsi="Calibri" w:cs="Calibri"/>
                <w:b/>
                <w:sz w:val="24"/>
                <w:szCs w:val="24"/>
              </w:rPr>
              <w:t xml:space="preserve"> </w:t>
            </w:r>
          </w:p>
        </w:tc>
      </w:tr>
      <w:tr w:rsidR="00A572A0" w:rsidRPr="00EA0C79" w:rsidTr="009544E5">
        <w:tc>
          <w:tcPr>
            <w:tcW w:w="3227"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r>
              <w:rPr>
                <w:rFonts w:ascii="Calibri" w:hAnsi="Calibri" w:cs="Calibri"/>
                <w:sz w:val="20"/>
                <w:szCs w:val="20"/>
              </w:rPr>
              <w:t>SCENARIO MINIMAL</w:t>
            </w:r>
          </w:p>
        </w:tc>
        <w:tc>
          <w:tcPr>
            <w:tcW w:w="1889"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p>
        </w:tc>
        <w:tc>
          <w:tcPr>
            <w:tcW w:w="1607"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p>
        </w:tc>
        <w:tc>
          <w:tcPr>
            <w:tcW w:w="1606"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p>
        </w:tc>
        <w:tc>
          <w:tcPr>
            <w:tcW w:w="1607"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p>
        </w:tc>
        <w:tc>
          <w:tcPr>
            <w:tcW w:w="1796"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p>
        </w:tc>
        <w:tc>
          <w:tcPr>
            <w:tcW w:w="1701"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p>
        </w:tc>
        <w:tc>
          <w:tcPr>
            <w:tcW w:w="713" w:type="dxa"/>
            <w:shd w:val="clear" w:color="auto" w:fill="DAEEF3" w:themeFill="accent5" w:themeFillTint="33"/>
          </w:tcPr>
          <w:p w:rsidR="00A572A0" w:rsidRPr="00EA0C79" w:rsidRDefault="00A572A0" w:rsidP="009544E5">
            <w:pPr>
              <w:spacing w:line="276" w:lineRule="auto"/>
              <w:rPr>
                <w:rFonts w:ascii="Calibri" w:hAnsi="Calibri" w:cs="Calibri"/>
                <w:sz w:val="20"/>
                <w:szCs w:val="20"/>
              </w:rPr>
            </w:pPr>
          </w:p>
        </w:tc>
      </w:tr>
      <w:tr w:rsidR="00A572A0" w:rsidRPr="00EA0C79" w:rsidTr="009544E5">
        <w:tc>
          <w:tcPr>
            <w:tcW w:w="3227" w:type="dxa"/>
          </w:tcPr>
          <w:p w:rsidR="00A572A0" w:rsidRPr="00EA0C79" w:rsidRDefault="00A572A0" w:rsidP="009544E5">
            <w:pPr>
              <w:spacing w:line="276" w:lineRule="auto"/>
              <w:jc w:val="center"/>
              <w:rPr>
                <w:rFonts w:ascii="Calibri" w:eastAsia="Times New Roman" w:hAnsi="Calibri" w:cs="Calibri"/>
                <w:b/>
                <w:color w:val="000000"/>
                <w:sz w:val="20"/>
                <w:szCs w:val="20"/>
              </w:rPr>
            </w:pPr>
            <w:r w:rsidRPr="00EA0C79">
              <w:rPr>
                <w:rFonts w:ascii="Calibri" w:eastAsia="Times New Roman" w:hAnsi="Calibri" w:cs="Calibri"/>
                <w:b/>
                <w:color w:val="000000"/>
                <w:sz w:val="20"/>
                <w:szCs w:val="20"/>
              </w:rPr>
              <w:t>PROGRAMMES</w:t>
            </w:r>
          </w:p>
        </w:tc>
        <w:tc>
          <w:tcPr>
            <w:tcW w:w="1889" w:type="dxa"/>
          </w:tcPr>
          <w:p w:rsidR="00A572A0" w:rsidRPr="00EA0C79" w:rsidRDefault="00A572A0" w:rsidP="009544E5">
            <w:pPr>
              <w:spacing w:line="276" w:lineRule="auto"/>
              <w:jc w:val="center"/>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2 019</w:t>
            </w:r>
          </w:p>
        </w:tc>
        <w:tc>
          <w:tcPr>
            <w:tcW w:w="1607" w:type="dxa"/>
          </w:tcPr>
          <w:p w:rsidR="00A572A0" w:rsidRPr="00EA0C79" w:rsidRDefault="00A572A0" w:rsidP="009544E5">
            <w:pPr>
              <w:spacing w:line="276" w:lineRule="auto"/>
              <w:jc w:val="center"/>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2 020</w:t>
            </w:r>
          </w:p>
        </w:tc>
        <w:tc>
          <w:tcPr>
            <w:tcW w:w="1606" w:type="dxa"/>
          </w:tcPr>
          <w:p w:rsidR="00A572A0" w:rsidRPr="00EA0C79" w:rsidRDefault="00A572A0" w:rsidP="009544E5">
            <w:pPr>
              <w:spacing w:line="276" w:lineRule="auto"/>
              <w:jc w:val="center"/>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2 021</w:t>
            </w:r>
          </w:p>
        </w:tc>
        <w:tc>
          <w:tcPr>
            <w:tcW w:w="1607" w:type="dxa"/>
          </w:tcPr>
          <w:p w:rsidR="00A572A0" w:rsidRPr="00EA0C79" w:rsidRDefault="00A572A0" w:rsidP="009544E5">
            <w:pPr>
              <w:spacing w:line="276" w:lineRule="auto"/>
              <w:jc w:val="center"/>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2 022</w:t>
            </w:r>
          </w:p>
        </w:tc>
        <w:tc>
          <w:tcPr>
            <w:tcW w:w="1796" w:type="dxa"/>
          </w:tcPr>
          <w:p w:rsidR="00A572A0" w:rsidRPr="00EA0C79" w:rsidRDefault="00A572A0" w:rsidP="009544E5">
            <w:pPr>
              <w:spacing w:line="276" w:lineRule="auto"/>
              <w:jc w:val="center"/>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2 023</w:t>
            </w:r>
          </w:p>
        </w:tc>
        <w:tc>
          <w:tcPr>
            <w:tcW w:w="1701" w:type="dxa"/>
          </w:tcPr>
          <w:p w:rsidR="00A572A0" w:rsidRPr="00EA0C79" w:rsidRDefault="00A572A0" w:rsidP="009544E5">
            <w:pPr>
              <w:spacing w:line="276" w:lineRule="auto"/>
              <w:jc w:val="center"/>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Total</w:t>
            </w:r>
          </w:p>
        </w:tc>
        <w:tc>
          <w:tcPr>
            <w:tcW w:w="713" w:type="dxa"/>
          </w:tcPr>
          <w:p w:rsidR="00A572A0" w:rsidRPr="00EA0C79" w:rsidRDefault="00A572A0" w:rsidP="009544E5">
            <w:pPr>
              <w:spacing w:line="276" w:lineRule="auto"/>
              <w:jc w:val="center"/>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w:t>
            </w:r>
          </w:p>
        </w:tc>
      </w:tr>
      <w:tr w:rsidR="00A572A0" w:rsidRPr="00EA0C79" w:rsidTr="009544E5">
        <w:tc>
          <w:tcPr>
            <w:tcW w:w="322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Santé de la mère et du nouveau-né</w:t>
            </w:r>
          </w:p>
        </w:tc>
        <w:tc>
          <w:tcPr>
            <w:tcW w:w="1889"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36 586 516 376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40 419 336 183   </w:t>
            </w:r>
          </w:p>
        </w:tc>
        <w:tc>
          <w:tcPr>
            <w:tcW w:w="160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41 440 372 419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44 584 904 302   </w:t>
            </w:r>
          </w:p>
        </w:tc>
        <w:tc>
          <w:tcPr>
            <w:tcW w:w="179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47 923 021 793   </w:t>
            </w:r>
          </w:p>
        </w:tc>
        <w:tc>
          <w:tcPr>
            <w:tcW w:w="1701"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210 954 151 073   </w:t>
            </w:r>
          </w:p>
        </w:tc>
        <w:tc>
          <w:tcPr>
            <w:tcW w:w="713" w:type="dxa"/>
            <w:vAlign w:val="center"/>
          </w:tcPr>
          <w:p w:rsidR="00A572A0" w:rsidRPr="00EA0C79" w:rsidRDefault="00A572A0" w:rsidP="009544E5">
            <w:pPr>
              <w:spacing w:line="276" w:lineRule="auto"/>
              <w:jc w:val="right"/>
              <w:rPr>
                <w:rFonts w:ascii="Calibri" w:eastAsia="Times New Roman" w:hAnsi="Calibri" w:cs="Calibri"/>
                <w:color w:val="000000"/>
                <w:sz w:val="20"/>
                <w:szCs w:val="20"/>
              </w:rPr>
            </w:pPr>
            <w:r w:rsidRPr="00EA0C79">
              <w:rPr>
                <w:rFonts w:ascii="Calibri" w:eastAsia="Times New Roman" w:hAnsi="Calibri" w:cs="Calibri"/>
                <w:color w:val="000000"/>
                <w:sz w:val="20"/>
                <w:szCs w:val="20"/>
              </w:rPr>
              <w:t>24,6%</w:t>
            </w:r>
          </w:p>
        </w:tc>
      </w:tr>
      <w:tr w:rsidR="00A572A0" w:rsidRPr="00EA0C79" w:rsidTr="009544E5">
        <w:tc>
          <w:tcPr>
            <w:tcW w:w="322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Santé infanto-juvénile</w:t>
            </w:r>
          </w:p>
        </w:tc>
        <w:tc>
          <w:tcPr>
            <w:tcW w:w="1889"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22 434 981 541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27 232 552 993   </w:t>
            </w:r>
          </w:p>
        </w:tc>
        <w:tc>
          <w:tcPr>
            <w:tcW w:w="160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31 427 323 925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36 864 205 786   </w:t>
            </w:r>
          </w:p>
        </w:tc>
        <w:tc>
          <w:tcPr>
            <w:tcW w:w="179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41 703 663 606   </w:t>
            </w:r>
          </w:p>
        </w:tc>
        <w:tc>
          <w:tcPr>
            <w:tcW w:w="1701"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159 662 727 851   </w:t>
            </w:r>
          </w:p>
        </w:tc>
        <w:tc>
          <w:tcPr>
            <w:tcW w:w="713" w:type="dxa"/>
            <w:vAlign w:val="center"/>
          </w:tcPr>
          <w:p w:rsidR="00A572A0" w:rsidRPr="00EA0C79" w:rsidRDefault="00A572A0" w:rsidP="009544E5">
            <w:pPr>
              <w:spacing w:line="276" w:lineRule="auto"/>
              <w:jc w:val="right"/>
              <w:rPr>
                <w:rFonts w:ascii="Calibri" w:eastAsia="Times New Roman" w:hAnsi="Calibri" w:cs="Calibri"/>
                <w:color w:val="000000"/>
                <w:sz w:val="20"/>
                <w:szCs w:val="20"/>
              </w:rPr>
            </w:pPr>
            <w:r w:rsidRPr="00EA0C79">
              <w:rPr>
                <w:rFonts w:ascii="Calibri" w:eastAsia="Times New Roman" w:hAnsi="Calibri" w:cs="Calibri"/>
                <w:color w:val="000000"/>
                <w:sz w:val="20"/>
                <w:szCs w:val="20"/>
              </w:rPr>
              <w:t>18,6%</w:t>
            </w:r>
          </w:p>
        </w:tc>
      </w:tr>
      <w:tr w:rsidR="00A572A0" w:rsidRPr="00EA0C79" w:rsidTr="009544E5">
        <w:tc>
          <w:tcPr>
            <w:tcW w:w="322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Santé des adolescents (es) et jeunes</w:t>
            </w:r>
          </w:p>
        </w:tc>
        <w:tc>
          <w:tcPr>
            <w:tcW w:w="1889"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4 767 461 785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6 823 022 647   </w:t>
            </w:r>
          </w:p>
        </w:tc>
        <w:tc>
          <w:tcPr>
            <w:tcW w:w="160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9 199 563 250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11 501 753 135   </w:t>
            </w:r>
          </w:p>
        </w:tc>
        <w:tc>
          <w:tcPr>
            <w:tcW w:w="179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14 105 038 477   </w:t>
            </w:r>
          </w:p>
        </w:tc>
        <w:tc>
          <w:tcPr>
            <w:tcW w:w="1701"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46 396 839 295   </w:t>
            </w:r>
          </w:p>
        </w:tc>
        <w:tc>
          <w:tcPr>
            <w:tcW w:w="713" w:type="dxa"/>
            <w:vAlign w:val="center"/>
          </w:tcPr>
          <w:p w:rsidR="00A572A0" w:rsidRPr="00EA0C79" w:rsidRDefault="00A572A0" w:rsidP="009544E5">
            <w:pPr>
              <w:spacing w:line="276" w:lineRule="auto"/>
              <w:jc w:val="right"/>
              <w:rPr>
                <w:rFonts w:ascii="Calibri" w:eastAsia="Times New Roman" w:hAnsi="Calibri" w:cs="Calibri"/>
                <w:color w:val="000000"/>
                <w:sz w:val="20"/>
                <w:szCs w:val="20"/>
              </w:rPr>
            </w:pPr>
            <w:r w:rsidRPr="00EA0C79">
              <w:rPr>
                <w:rFonts w:ascii="Calibri" w:eastAsia="Times New Roman" w:hAnsi="Calibri" w:cs="Calibri"/>
                <w:color w:val="000000"/>
                <w:sz w:val="20"/>
                <w:szCs w:val="20"/>
              </w:rPr>
              <w:t>5,4%</w:t>
            </w:r>
          </w:p>
        </w:tc>
      </w:tr>
      <w:tr w:rsidR="00A572A0" w:rsidRPr="00EA0C79" w:rsidTr="009544E5">
        <w:tc>
          <w:tcPr>
            <w:tcW w:w="322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Nutrition</w:t>
            </w:r>
          </w:p>
        </w:tc>
        <w:tc>
          <w:tcPr>
            <w:tcW w:w="1889"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16 102 713 747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18 367 012 584   </w:t>
            </w:r>
          </w:p>
        </w:tc>
        <w:tc>
          <w:tcPr>
            <w:tcW w:w="160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20 367 367 822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21 528 742 841   </w:t>
            </w:r>
          </w:p>
        </w:tc>
        <w:tc>
          <w:tcPr>
            <w:tcW w:w="179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22 472 784 289   </w:t>
            </w:r>
          </w:p>
        </w:tc>
        <w:tc>
          <w:tcPr>
            <w:tcW w:w="1701"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98 838 621 283   </w:t>
            </w:r>
          </w:p>
        </w:tc>
        <w:tc>
          <w:tcPr>
            <w:tcW w:w="713" w:type="dxa"/>
            <w:vAlign w:val="center"/>
          </w:tcPr>
          <w:p w:rsidR="00A572A0" w:rsidRPr="00EA0C79" w:rsidRDefault="00A572A0" w:rsidP="009544E5">
            <w:pPr>
              <w:spacing w:line="276" w:lineRule="auto"/>
              <w:jc w:val="right"/>
              <w:rPr>
                <w:rFonts w:ascii="Calibri" w:eastAsia="Times New Roman" w:hAnsi="Calibri" w:cs="Calibri"/>
                <w:color w:val="000000"/>
                <w:sz w:val="20"/>
                <w:szCs w:val="20"/>
              </w:rPr>
            </w:pPr>
            <w:r w:rsidRPr="00EA0C79">
              <w:rPr>
                <w:rFonts w:ascii="Calibri" w:eastAsia="Times New Roman" w:hAnsi="Calibri" w:cs="Calibri"/>
                <w:color w:val="000000"/>
                <w:sz w:val="20"/>
                <w:szCs w:val="20"/>
              </w:rPr>
              <w:t>11,5%</w:t>
            </w:r>
          </w:p>
        </w:tc>
      </w:tr>
      <w:tr w:rsidR="00A572A0" w:rsidRPr="00EA0C79" w:rsidTr="009544E5">
        <w:tc>
          <w:tcPr>
            <w:tcW w:w="322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Vaccination</w:t>
            </w:r>
          </w:p>
        </w:tc>
        <w:tc>
          <w:tcPr>
            <w:tcW w:w="1889"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19 826 490 449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21 075 066 474   </w:t>
            </w:r>
          </w:p>
        </w:tc>
        <w:tc>
          <w:tcPr>
            <w:tcW w:w="160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21 799 996 374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22 039 859 701   </w:t>
            </w:r>
          </w:p>
        </w:tc>
        <w:tc>
          <w:tcPr>
            <w:tcW w:w="179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22 184 096 712   </w:t>
            </w:r>
          </w:p>
        </w:tc>
        <w:tc>
          <w:tcPr>
            <w:tcW w:w="1701"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106 925 509 711   </w:t>
            </w:r>
          </w:p>
        </w:tc>
        <w:tc>
          <w:tcPr>
            <w:tcW w:w="713" w:type="dxa"/>
            <w:vAlign w:val="center"/>
          </w:tcPr>
          <w:p w:rsidR="00A572A0" w:rsidRPr="00EA0C79" w:rsidRDefault="00A572A0" w:rsidP="009544E5">
            <w:pPr>
              <w:spacing w:line="276" w:lineRule="auto"/>
              <w:jc w:val="right"/>
              <w:rPr>
                <w:rFonts w:ascii="Calibri" w:eastAsia="Times New Roman" w:hAnsi="Calibri" w:cs="Calibri"/>
                <w:color w:val="000000"/>
                <w:sz w:val="20"/>
                <w:szCs w:val="20"/>
              </w:rPr>
            </w:pPr>
            <w:r w:rsidRPr="00EA0C79">
              <w:rPr>
                <w:rFonts w:ascii="Calibri" w:eastAsia="Times New Roman" w:hAnsi="Calibri" w:cs="Calibri"/>
                <w:color w:val="000000"/>
                <w:sz w:val="20"/>
                <w:szCs w:val="20"/>
              </w:rPr>
              <w:t>12,5%</w:t>
            </w:r>
          </w:p>
        </w:tc>
      </w:tr>
      <w:tr w:rsidR="00A572A0" w:rsidRPr="00EA0C79" w:rsidTr="009544E5">
        <w:tc>
          <w:tcPr>
            <w:tcW w:w="3227" w:type="dxa"/>
            <w:vAlign w:val="center"/>
          </w:tcPr>
          <w:p w:rsidR="00A572A0" w:rsidRPr="00EA0C79" w:rsidRDefault="00A572A0" w:rsidP="009544E5">
            <w:pPr>
              <w:rPr>
                <w:rFonts w:ascii="Calibri" w:eastAsia="Times New Roman" w:hAnsi="Calibri" w:cs="Calibri"/>
                <w:color w:val="000000"/>
                <w:sz w:val="20"/>
                <w:szCs w:val="20"/>
              </w:rPr>
            </w:pPr>
            <w:r w:rsidRPr="00EA0C79">
              <w:rPr>
                <w:rFonts w:ascii="Calibri" w:eastAsia="Times New Roman" w:hAnsi="Calibri" w:cs="Calibri"/>
                <w:color w:val="000000"/>
                <w:sz w:val="20"/>
                <w:szCs w:val="20"/>
              </w:rPr>
              <w:t>Santé communautaire et interventions transversales</w:t>
            </w:r>
          </w:p>
        </w:tc>
        <w:tc>
          <w:tcPr>
            <w:tcW w:w="1889"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40 347 220 124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45 031 816 145   </w:t>
            </w:r>
          </w:p>
        </w:tc>
        <w:tc>
          <w:tcPr>
            <w:tcW w:w="160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44 595 691 944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42 739 903 388   </w:t>
            </w:r>
          </w:p>
        </w:tc>
        <w:tc>
          <w:tcPr>
            <w:tcW w:w="179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46 158 866 316   </w:t>
            </w:r>
          </w:p>
        </w:tc>
        <w:tc>
          <w:tcPr>
            <w:tcW w:w="1701"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218 873 497 917   </w:t>
            </w:r>
          </w:p>
        </w:tc>
        <w:tc>
          <w:tcPr>
            <w:tcW w:w="713" w:type="dxa"/>
            <w:vAlign w:val="center"/>
          </w:tcPr>
          <w:p w:rsidR="00A572A0" w:rsidRPr="00EA0C79" w:rsidRDefault="00A572A0" w:rsidP="009544E5">
            <w:pPr>
              <w:spacing w:line="276" w:lineRule="auto"/>
              <w:jc w:val="right"/>
              <w:rPr>
                <w:rFonts w:ascii="Calibri" w:eastAsia="Times New Roman" w:hAnsi="Calibri" w:cs="Calibri"/>
                <w:color w:val="000000"/>
                <w:sz w:val="20"/>
                <w:szCs w:val="20"/>
              </w:rPr>
            </w:pPr>
            <w:r w:rsidRPr="00EA0C79">
              <w:rPr>
                <w:rFonts w:ascii="Calibri" w:eastAsia="Times New Roman" w:hAnsi="Calibri" w:cs="Calibri"/>
                <w:color w:val="000000"/>
                <w:sz w:val="20"/>
                <w:szCs w:val="20"/>
              </w:rPr>
              <w:t>25,5%</w:t>
            </w:r>
          </w:p>
        </w:tc>
      </w:tr>
      <w:tr w:rsidR="00A572A0" w:rsidRPr="00EA0C79" w:rsidTr="009544E5">
        <w:tc>
          <w:tcPr>
            <w:tcW w:w="322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Etat civil</w:t>
            </w:r>
          </w:p>
        </w:tc>
        <w:tc>
          <w:tcPr>
            <w:tcW w:w="1889"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2 126 778 000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3 714 500 000   </w:t>
            </w:r>
          </w:p>
        </w:tc>
        <w:tc>
          <w:tcPr>
            <w:tcW w:w="160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3 397 500 000   </w:t>
            </w:r>
          </w:p>
        </w:tc>
        <w:tc>
          <w:tcPr>
            <w:tcW w:w="1607"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3 041 500 000   </w:t>
            </w:r>
          </w:p>
        </w:tc>
        <w:tc>
          <w:tcPr>
            <w:tcW w:w="1796"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3 041 500 000   </w:t>
            </w:r>
          </w:p>
        </w:tc>
        <w:tc>
          <w:tcPr>
            <w:tcW w:w="1701" w:type="dxa"/>
            <w:vAlign w:val="center"/>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 xml:space="preserve">   15 321 778 000   </w:t>
            </w:r>
          </w:p>
        </w:tc>
        <w:tc>
          <w:tcPr>
            <w:tcW w:w="713" w:type="dxa"/>
            <w:vAlign w:val="center"/>
          </w:tcPr>
          <w:p w:rsidR="00A572A0" w:rsidRPr="00EA0C79" w:rsidRDefault="00A572A0" w:rsidP="009544E5">
            <w:pPr>
              <w:spacing w:line="276" w:lineRule="auto"/>
              <w:jc w:val="right"/>
              <w:rPr>
                <w:rFonts w:ascii="Calibri" w:eastAsia="Times New Roman" w:hAnsi="Calibri" w:cs="Calibri"/>
                <w:color w:val="000000"/>
                <w:sz w:val="20"/>
                <w:szCs w:val="20"/>
              </w:rPr>
            </w:pPr>
            <w:r w:rsidRPr="00EA0C79">
              <w:rPr>
                <w:rFonts w:ascii="Calibri" w:eastAsia="Times New Roman" w:hAnsi="Calibri" w:cs="Calibri"/>
                <w:color w:val="000000"/>
                <w:sz w:val="20"/>
                <w:szCs w:val="20"/>
              </w:rPr>
              <w:t>1,8%</w:t>
            </w:r>
          </w:p>
        </w:tc>
      </w:tr>
      <w:tr w:rsidR="00A572A0" w:rsidRPr="00EA0C79" w:rsidTr="009544E5">
        <w:tc>
          <w:tcPr>
            <w:tcW w:w="3227" w:type="dxa"/>
            <w:vAlign w:val="bottom"/>
          </w:tcPr>
          <w:p w:rsidR="00A572A0" w:rsidRPr="00EA0C79" w:rsidRDefault="00A572A0" w:rsidP="009544E5">
            <w:pPr>
              <w:spacing w:line="276" w:lineRule="auto"/>
              <w:rPr>
                <w:rFonts w:ascii="Calibri" w:eastAsia="Times New Roman" w:hAnsi="Calibri" w:cs="Calibri"/>
                <w:color w:val="000000"/>
                <w:sz w:val="20"/>
                <w:szCs w:val="20"/>
              </w:rPr>
            </w:pPr>
            <w:r w:rsidRPr="00EA0C79">
              <w:rPr>
                <w:rFonts w:ascii="Calibri" w:eastAsia="Times New Roman" w:hAnsi="Calibri" w:cs="Calibri"/>
                <w:color w:val="000000"/>
                <w:sz w:val="20"/>
                <w:szCs w:val="20"/>
              </w:rPr>
              <w:t>Total</w:t>
            </w:r>
          </w:p>
        </w:tc>
        <w:tc>
          <w:tcPr>
            <w:tcW w:w="1889" w:type="dxa"/>
            <w:vAlign w:val="bottom"/>
          </w:tcPr>
          <w:p w:rsidR="00A572A0" w:rsidRPr="00EA0C79" w:rsidRDefault="00A572A0" w:rsidP="009544E5">
            <w:pPr>
              <w:spacing w:line="276" w:lineRule="auto"/>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 xml:space="preserve">       142 192 162 022   </w:t>
            </w:r>
          </w:p>
        </w:tc>
        <w:tc>
          <w:tcPr>
            <w:tcW w:w="1607" w:type="dxa"/>
            <w:vAlign w:val="bottom"/>
          </w:tcPr>
          <w:p w:rsidR="00A572A0" w:rsidRPr="00EA0C79" w:rsidRDefault="00A572A0" w:rsidP="009544E5">
            <w:pPr>
              <w:spacing w:line="276" w:lineRule="auto"/>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 xml:space="preserve">162 663 307 026   </w:t>
            </w:r>
          </w:p>
        </w:tc>
        <w:tc>
          <w:tcPr>
            <w:tcW w:w="1606" w:type="dxa"/>
            <w:vAlign w:val="bottom"/>
          </w:tcPr>
          <w:p w:rsidR="00A572A0" w:rsidRPr="00EA0C79" w:rsidRDefault="00A572A0" w:rsidP="009544E5">
            <w:pPr>
              <w:spacing w:line="276" w:lineRule="auto"/>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 xml:space="preserve">172 227 815 735   </w:t>
            </w:r>
          </w:p>
        </w:tc>
        <w:tc>
          <w:tcPr>
            <w:tcW w:w="1607" w:type="dxa"/>
            <w:vAlign w:val="bottom"/>
          </w:tcPr>
          <w:p w:rsidR="00A572A0" w:rsidRPr="00EA0C79" w:rsidRDefault="00A572A0" w:rsidP="009544E5">
            <w:pPr>
              <w:spacing w:line="276" w:lineRule="auto"/>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 xml:space="preserve">182 300 869 154   </w:t>
            </w:r>
          </w:p>
        </w:tc>
        <w:tc>
          <w:tcPr>
            <w:tcW w:w="1796" w:type="dxa"/>
            <w:vAlign w:val="bottom"/>
          </w:tcPr>
          <w:p w:rsidR="00A572A0" w:rsidRPr="00EA0C79" w:rsidRDefault="00A572A0" w:rsidP="009544E5">
            <w:pPr>
              <w:spacing w:line="276" w:lineRule="auto"/>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 xml:space="preserve"> 197 588 971 193   </w:t>
            </w:r>
          </w:p>
        </w:tc>
        <w:tc>
          <w:tcPr>
            <w:tcW w:w="1701" w:type="dxa"/>
            <w:vAlign w:val="bottom"/>
          </w:tcPr>
          <w:p w:rsidR="00A572A0" w:rsidRPr="00EA0C79" w:rsidRDefault="00A572A0" w:rsidP="009544E5">
            <w:pPr>
              <w:spacing w:line="276" w:lineRule="auto"/>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 xml:space="preserve"> 856 973 125 129   </w:t>
            </w:r>
          </w:p>
        </w:tc>
        <w:tc>
          <w:tcPr>
            <w:tcW w:w="713" w:type="dxa"/>
            <w:vAlign w:val="bottom"/>
          </w:tcPr>
          <w:p w:rsidR="00A572A0" w:rsidRPr="00EA0C79" w:rsidRDefault="00A572A0" w:rsidP="009544E5">
            <w:pPr>
              <w:spacing w:line="276" w:lineRule="auto"/>
              <w:jc w:val="right"/>
              <w:rPr>
                <w:rFonts w:ascii="Calibri" w:eastAsia="Times New Roman" w:hAnsi="Calibri" w:cs="Calibri"/>
                <w:b/>
                <w:bCs/>
                <w:color w:val="000000"/>
                <w:sz w:val="20"/>
                <w:szCs w:val="20"/>
              </w:rPr>
            </w:pPr>
            <w:r w:rsidRPr="00EA0C79">
              <w:rPr>
                <w:rFonts w:ascii="Calibri" w:eastAsia="Times New Roman" w:hAnsi="Calibri" w:cs="Calibri"/>
                <w:b/>
                <w:bCs/>
                <w:color w:val="000000"/>
                <w:sz w:val="20"/>
                <w:szCs w:val="20"/>
              </w:rPr>
              <w:t>100%</w:t>
            </w:r>
          </w:p>
        </w:tc>
      </w:tr>
      <w:tr w:rsidR="00A572A0" w:rsidRPr="00EA0C79" w:rsidTr="009544E5">
        <w:tc>
          <w:tcPr>
            <w:tcW w:w="3227"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SCENARIO MOYEN</w:t>
            </w:r>
          </w:p>
        </w:tc>
        <w:tc>
          <w:tcPr>
            <w:tcW w:w="1889"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607"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606"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607"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796"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701"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713" w:type="dxa"/>
            <w:shd w:val="clear" w:color="auto" w:fill="DAEEF3" w:themeFill="accent5" w:themeFillTint="33"/>
            <w:vAlign w:val="bottom"/>
          </w:tcPr>
          <w:p w:rsidR="00A572A0" w:rsidRPr="00EA0C79" w:rsidRDefault="00A572A0" w:rsidP="009544E5">
            <w:pPr>
              <w:spacing w:line="276" w:lineRule="auto"/>
              <w:jc w:val="right"/>
              <w:rPr>
                <w:rFonts w:ascii="Calibri" w:eastAsia="Times New Roman" w:hAnsi="Calibri" w:cs="Calibri"/>
                <w:b/>
                <w:bCs/>
                <w:color w:val="000000"/>
                <w:sz w:val="20"/>
                <w:szCs w:val="20"/>
              </w:rPr>
            </w:pPr>
          </w:p>
        </w:tc>
      </w:tr>
      <w:tr w:rsidR="00A572A0" w:rsidRPr="00EA0C79" w:rsidTr="009544E5">
        <w:tc>
          <w:tcPr>
            <w:tcW w:w="3227" w:type="dxa"/>
          </w:tcPr>
          <w:p w:rsidR="00A572A0" w:rsidRPr="00DA41DF" w:rsidRDefault="00A572A0" w:rsidP="009544E5">
            <w:pPr>
              <w:jc w:val="center"/>
              <w:rPr>
                <w:rFonts w:asciiTheme="majorHAnsi" w:eastAsia="Times New Roman" w:hAnsiTheme="majorHAnsi" w:cstheme="majorHAnsi"/>
                <w:color w:val="000000"/>
                <w:sz w:val="20"/>
                <w:szCs w:val="20"/>
              </w:rPr>
            </w:pPr>
            <w:r w:rsidRPr="00EA0C79">
              <w:rPr>
                <w:rFonts w:ascii="Calibri" w:eastAsia="Times New Roman" w:hAnsi="Calibri" w:cs="Calibri"/>
                <w:b/>
                <w:color w:val="000000"/>
                <w:sz w:val="20"/>
                <w:szCs w:val="20"/>
              </w:rPr>
              <w:t>PROGRAMMES</w:t>
            </w:r>
          </w:p>
        </w:tc>
        <w:tc>
          <w:tcPr>
            <w:tcW w:w="1889" w:type="dxa"/>
          </w:tcPr>
          <w:p w:rsidR="00A572A0" w:rsidRPr="00DA41DF" w:rsidRDefault="00A572A0" w:rsidP="009544E5">
            <w:pPr>
              <w:jc w:val="center"/>
              <w:rPr>
                <w:rFonts w:asciiTheme="majorHAnsi" w:eastAsia="Times New Roman" w:hAnsiTheme="majorHAnsi" w:cstheme="majorHAnsi"/>
                <w:b/>
                <w:bCs/>
                <w:color w:val="000000"/>
                <w:sz w:val="20"/>
                <w:szCs w:val="20"/>
              </w:rPr>
            </w:pPr>
            <w:r w:rsidRPr="00DA41DF">
              <w:rPr>
                <w:rFonts w:asciiTheme="majorHAnsi" w:eastAsia="Times New Roman" w:hAnsiTheme="majorHAnsi" w:cstheme="majorHAnsi"/>
                <w:b/>
                <w:bCs/>
                <w:color w:val="000000"/>
                <w:sz w:val="20"/>
                <w:szCs w:val="20"/>
              </w:rPr>
              <w:t>2 019</w:t>
            </w:r>
          </w:p>
        </w:tc>
        <w:tc>
          <w:tcPr>
            <w:tcW w:w="1607" w:type="dxa"/>
          </w:tcPr>
          <w:p w:rsidR="00A572A0" w:rsidRPr="00DA41DF" w:rsidRDefault="00A572A0" w:rsidP="009544E5">
            <w:pPr>
              <w:jc w:val="center"/>
              <w:rPr>
                <w:rFonts w:asciiTheme="majorHAnsi" w:eastAsia="Times New Roman" w:hAnsiTheme="majorHAnsi" w:cstheme="majorHAnsi"/>
                <w:b/>
                <w:bCs/>
                <w:color w:val="000000"/>
                <w:sz w:val="20"/>
                <w:szCs w:val="20"/>
              </w:rPr>
            </w:pPr>
            <w:r w:rsidRPr="00DA41DF">
              <w:rPr>
                <w:rFonts w:asciiTheme="majorHAnsi" w:eastAsia="Times New Roman" w:hAnsiTheme="majorHAnsi" w:cstheme="majorHAnsi"/>
                <w:b/>
                <w:bCs/>
                <w:color w:val="000000"/>
                <w:sz w:val="20"/>
                <w:szCs w:val="20"/>
              </w:rPr>
              <w:t>2 020</w:t>
            </w:r>
          </w:p>
        </w:tc>
        <w:tc>
          <w:tcPr>
            <w:tcW w:w="1606" w:type="dxa"/>
          </w:tcPr>
          <w:p w:rsidR="00A572A0" w:rsidRPr="00DA41DF" w:rsidRDefault="00A572A0" w:rsidP="009544E5">
            <w:pPr>
              <w:jc w:val="center"/>
              <w:rPr>
                <w:rFonts w:asciiTheme="majorHAnsi" w:eastAsia="Times New Roman" w:hAnsiTheme="majorHAnsi" w:cstheme="majorHAnsi"/>
                <w:b/>
                <w:bCs/>
                <w:color w:val="000000"/>
                <w:sz w:val="20"/>
                <w:szCs w:val="20"/>
              </w:rPr>
            </w:pPr>
            <w:r w:rsidRPr="00DA41DF">
              <w:rPr>
                <w:rFonts w:asciiTheme="majorHAnsi" w:eastAsia="Times New Roman" w:hAnsiTheme="majorHAnsi" w:cstheme="majorHAnsi"/>
                <w:b/>
                <w:bCs/>
                <w:color w:val="000000"/>
                <w:sz w:val="20"/>
                <w:szCs w:val="20"/>
              </w:rPr>
              <w:t>2 021</w:t>
            </w:r>
          </w:p>
        </w:tc>
        <w:tc>
          <w:tcPr>
            <w:tcW w:w="1607" w:type="dxa"/>
          </w:tcPr>
          <w:p w:rsidR="00A572A0" w:rsidRPr="00DA41DF" w:rsidRDefault="00A572A0" w:rsidP="009544E5">
            <w:pPr>
              <w:jc w:val="center"/>
              <w:rPr>
                <w:rFonts w:asciiTheme="majorHAnsi" w:eastAsia="Times New Roman" w:hAnsiTheme="majorHAnsi" w:cstheme="majorHAnsi"/>
                <w:b/>
                <w:bCs/>
                <w:color w:val="000000"/>
                <w:sz w:val="20"/>
                <w:szCs w:val="20"/>
              </w:rPr>
            </w:pPr>
            <w:r w:rsidRPr="00DA41DF">
              <w:rPr>
                <w:rFonts w:asciiTheme="majorHAnsi" w:eastAsia="Times New Roman" w:hAnsiTheme="majorHAnsi" w:cstheme="majorHAnsi"/>
                <w:b/>
                <w:bCs/>
                <w:color w:val="000000"/>
                <w:sz w:val="20"/>
                <w:szCs w:val="20"/>
              </w:rPr>
              <w:t>2 022</w:t>
            </w:r>
          </w:p>
        </w:tc>
        <w:tc>
          <w:tcPr>
            <w:tcW w:w="1796" w:type="dxa"/>
          </w:tcPr>
          <w:p w:rsidR="00A572A0" w:rsidRPr="00DA41DF" w:rsidRDefault="00A572A0" w:rsidP="009544E5">
            <w:pPr>
              <w:jc w:val="center"/>
              <w:rPr>
                <w:rFonts w:asciiTheme="majorHAnsi" w:eastAsia="Times New Roman" w:hAnsiTheme="majorHAnsi" w:cstheme="majorHAnsi"/>
                <w:b/>
                <w:bCs/>
                <w:color w:val="000000"/>
                <w:sz w:val="20"/>
                <w:szCs w:val="20"/>
              </w:rPr>
            </w:pPr>
            <w:r w:rsidRPr="00DA41DF">
              <w:rPr>
                <w:rFonts w:asciiTheme="majorHAnsi" w:eastAsia="Times New Roman" w:hAnsiTheme="majorHAnsi" w:cstheme="majorHAnsi"/>
                <w:b/>
                <w:bCs/>
                <w:color w:val="000000"/>
                <w:sz w:val="20"/>
                <w:szCs w:val="20"/>
              </w:rPr>
              <w:t>2 023</w:t>
            </w:r>
          </w:p>
        </w:tc>
        <w:tc>
          <w:tcPr>
            <w:tcW w:w="1701" w:type="dxa"/>
          </w:tcPr>
          <w:p w:rsidR="00A572A0" w:rsidRPr="00DA41DF" w:rsidRDefault="00A572A0" w:rsidP="009544E5">
            <w:pPr>
              <w:jc w:val="center"/>
              <w:rPr>
                <w:rFonts w:asciiTheme="majorHAnsi" w:eastAsia="Times New Roman" w:hAnsiTheme="majorHAnsi" w:cstheme="majorHAnsi"/>
                <w:b/>
                <w:bCs/>
                <w:color w:val="000000"/>
                <w:sz w:val="20"/>
                <w:szCs w:val="20"/>
              </w:rPr>
            </w:pPr>
            <w:r w:rsidRPr="00DA41DF">
              <w:rPr>
                <w:rFonts w:asciiTheme="majorHAnsi" w:eastAsia="Times New Roman" w:hAnsiTheme="majorHAnsi" w:cstheme="majorHAnsi"/>
                <w:b/>
                <w:bCs/>
                <w:color w:val="000000"/>
                <w:sz w:val="20"/>
                <w:szCs w:val="20"/>
              </w:rPr>
              <w:t>Total</w:t>
            </w:r>
          </w:p>
        </w:tc>
        <w:tc>
          <w:tcPr>
            <w:tcW w:w="713" w:type="dxa"/>
          </w:tcPr>
          <w:p w:rsidR="00A572A0" w:rsidRPr="00DA41DF" w:rsidRDefault="00A572A0" w:rsidP="009544E5">
            <w:pPr>
              <w:jc w:val="center"/>
              <w:rPr>
                <w:rFonts w:asciiTheme="majorHAnsi" w:eastAsia="Times New Roman" w:hAnsiTheme="majorHAnsi" w:cstheme="majorHAnsi"/>
                <w:b/>
                <w:bCs/>
                <w:color w:val="000000"/>
                <w:sz w:val="20"/>
                <w:szCs w:val="20"/>
              </w:rPr>
            </w:pPr>
            <w:r w:rsidRPr="00DA41DF">
              <w:rPr>
                <w:rFonts w:asciiTheme="majorHAnsi" w:eastAsia="Times New Roman" w:hAnsiTheme="majorHAnsi" w:cstheme="majorHAnsi"/>
                <w:b/>
                <w:bCs/>
                <w:color w:val="000000"/>
                <w:sz w:val="20"/>
                <w:szCs w:val="20"/>
              </w:rPr>
              <w:t>%</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Santé de la mère et du nouveau-né</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48 635 071 895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47 372 798 392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48 316 359 746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55 787 064 740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53 978 608 783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254 089 903 556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24,5%</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Santé infanto-juvénile</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41 730 352 830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40 865 200 786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44 364 626 223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53 461 164 704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52 439 060 167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232 860 404 710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22,5%</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Santé des adolescents (es) et jeunes</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12 234 215 461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14 095 129 778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16 255 972 434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18 320 119 993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20 664 018 358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81 569 456 024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7,9%</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Nutrition</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 xml:space="preserve">   </w:t>
            </w: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17 429 924 348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21 548 519 366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25 514 901 061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28 778 780 698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31 964 657 922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125 236 783 395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12,1%</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Vaccination</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19 998 130 519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21 413 421 494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22 150 878 872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22 394 570 831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22 542 834 710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108 499 836 427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10,5%</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Santé communautaire et Interventions transversales</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40 347 220 124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45 031 816 145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44 595 691 944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42 739 903 388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46 158 866 316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218 873 497 917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21,1%</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Etat civil</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2 126 778 000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3 714 500 000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3 397 500 000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3 041 500 000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 xml:space="preserve">      </w:t>
            </w: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3 041 500 000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15 321 778 000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1,5%</w:t>
            </w:r>
          </w:p>
        </w:tc>
      </w:tr>
      <w:tr w:rsidR="00A572A0" w:rsidRPr="00EA0C79" w:rsidTr="009544E5">
        <w:tc>
          <w:tcPr>
            <w:tcW w:w="3227" w:type="dxa"/>
            <w:vAlign w:val="bottom"/>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Total</w:t>
            </w:r>
          </w:p>
        </w:tc>
        <w:tc>
          <w:tcPr>
            <w:tcW w:w="1889"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182 501 693 177   </w:t>
            </w:r>
          </w:p>
        </w:tc>
        <w:tc>
          <w:tcPr>
            <w:tcW w:w="1607"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194 041 385 961   </w:t>
            </w:r>
          </w:p>
        </w:tc>
        <w:tc>
          <w:tcPr>
            <w:tcW w:w="1606"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204 595 930 279   </w:t>
            </w:r>
          </w:p>
        </w:tc>
        <w:tc>
          <w:tcPr>
            <w:tcW w:w="1607"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224 523 104 355   </w:t>
            </w:r>
          </w:p>
        </w:tc>
        <w:tc>
          <w:tcPr>
            <w:tcW w:w="1796"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230 789 546 256   </w:t>
            </w:r>
          </w:p>
        </w:tc>
        <w:tc>
          <w:tcPr>
            <w:tcW w:w="1701"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1 036 451 660 029   </w:t>
            </w:r>
          </w:p>
        </w:tc>
        <w:tc>
          <w:tcPr>
            <w:tcW w:w="713" w:type="dxa"/>
            <w:vAlign w:val="bottom"/>
          </w:tcPr>
          <w:p w:rsidR="00A572A0" w:rsidRPr="007D7380" w:rsidRDefault="00A572A0" w:rsidP="009544E5">
            <w:pPr>
              <w:jc w:val="right"/>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100%</w:t>
            </w:r>
          </w:p>
        </w:tc>
      </w:tr>
      <w:tr w:rsidR="00A572A0" w:rsidRPr="00EA0C79" w:rsidTr="009544E5">
        <w:tc>
          <w:tcPr>
            <w:tcW w:w="3227"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SCENARIO MAXIMUM</w:t>
            </w:r>
          </w:p>
        </w:tc>
        <w:tc>
          <w:tcPr>
            <w:tcW w:w="1889"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607"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606"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607"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796"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1701" w:type="dxa"/>
            <w:shd w:val="clear" w:color="auto" w:fill="DAEEF3" w:themeFill="accent5" w:themeFillTint="33"/>
            <w:vAlign w:val="bottom"/>
          </w:tcPr>
          <w:p w:rsidR="00A572A0" w:rsidRPr="00EA0C79" w:rsidRDefault="00A572A0" w:rsidP="009544E5">
            <w:pPr>
              <w:spacing w:line="276" w:lineRule="auto"/>
              <w:rPr>
                <w:rFonts w:ascii="Calibri" w:eastAsia="Times New Roman" w:hAnsi="Calibri" w:cs="Calibri"/>
                <w:b/>
                <w:bCs/>
                <w:color w:val="000000"/>
                <w:sz w:val="20"/>
                <w:szCs w:val="20"/>
              </w:rPr>
            </w:pPr>
          </w:p>
        </w:tc>
        <w:tc>
          <w:tcPr>
            <w:tcW w:w="713" w:type="dxa"/>
            <w:shd w:val="clear" w:color="auto" w:fill="DAEEF3" w:themeFill="accent5" w:themeFillTint="33"/>
            <w:vAlign w:val="bottom"/>
          </w:tcPr>
          <w:p w:rsidR="00A572A0" w:rsidRPr="00EA0C79" w:rsidRDefault="00A572A0" w:rsidP="009544E5">
            <w:pPr>
              <w:spacing w:line="276" w:lineRule="auto"/>
              <w:jc w:val="right"/>
              <w:rPr>
                <w:rFonts w:ascii="Calibri" w:eastAsia="Times New Roman" w:hAnsi="Calibri" w:cs="Calibri"/>
                <w:b/>
                <w:bCs/>
                <w:color w:val="000000"/>
                <w:sz w:val="20"/>
                <w:szCs w:val="20"/>
              </w:rPr>
            </w:pPr>
          </w:p>
        </w:tc>
      </w:tr>
      <w:tr w:rsidR="00A572A0" w:rsidRPr="00392157" w:rsidTr="009544E5">
        <w:tc>
          <w:tcPr>
            <w:tcW w:w="3227" w:type="dxa"/>
          </w:tcPr>
          <w:p w:rsidR="00A572A0" w:rsidRPr="00392157" w:rsidRDefault="00A572A0" w:rsidP="009544E5">
            <w:pPr>
              <w:jc w:val="center"/>
              <w:rPr>
                <w:rFonts w:asciiTheme="majorHAnsi" w:eastAsia="Times New Roman" w:hAnsiTheme="majorHAnsi" w:cstheme="majorHAnsi"/>
                <w:b/>
                <w:color w:val="000000"/>
                <w:sz w:val="20"/>
                <w:szCs w:val="20"/>
              </w:rPr>
            </w:pPr>
            <w:r w:rsidRPr="00392157">
              <w:rPr>
                <w:rFonts w:asciiTheme="majorHAnsi" w:eastAsia="Times New Roman" w:hAnsiTheme="majorHAnsi" w:cstheme="majorHAnsi"/>
                <w:b/>
                <w:color w:val="000000"/>
                <w:sz w:val="20"/>
                <w:szCs w:val="20"/>
              </w:rPr>
              <w:t>PROGRAMMES</w:t>
            </w:r>
          </w:p>
        </w:tc>
        <w:tc>
          <w:tcPr>
            <w:tcW w:w="1889" w:type="dxa"/>
          </w:tcPr>
          <w:p w:rsidR="00A572A0" w:rsidRPr="00392157" w:rsidRDefault="00A572A0" w:rsidP="009544E5">
            <w:pPr>
              <w:jc w:val="center"/>
              <w:rPr>
                <w:rFonts w:asciiTheme="majorHAnsi" w:eastAsia="Times New Roman" w:hAnsiTheme="majorHAnsi" w:cstheme="majorHAnsi"/>
                <w:b/>
                <w:bCs/>
                <w:color w:val="000000"/>
                <w:sz w:val="20"/>
                <w:szCs w:val="20"/>
              </w:rPr>
            </w:pPr>
            <w:r w:rsidRPr="00392157">
              <w:rPr>
                <w:rFonts w:asciiTheme="majorHAnsi" w:eastAsia="Times New Roman" w:hAnsiTheme="majorHAnsi" w:cstheme="majorHAnsi"/>
                <w:b/>
                <w:bCs/>
                <w:color w:val="000000"/>
                <w:sz w:val="20"/>
                <w:szCs w:val="20"/>
              </w:rPr>
              <w:t>2 019</w:t>
            </w:r>
          </w:p>
        </w:tc>
        <w:tc>
          <w:tcPr>
            <w:tcW w:w="1607" w:type="dxa"/>
          </w:tcPr>
          <w:p w:rsidR="00A572A0" w:rsidRPr="00392157" w:rsidRDefault="00A572A0" w:rsidP="009544E5">
            <w:pPr>
              <w:jc w:val="center"/>
              <w:rPr>
                <w:rFonts w:asciiTheme="majorHAnsi" w:eastAsia="Times New Roman" w:hAnsiTheme="majorHAnsi" w:cstheme="majorHAnsi"/>
                <w:b/>
                <w:bCs/>
                <w:color w:val="000000"/>
                <w:sz w:val="20"/>
                <w:szCs w:val="20"/>
              </w:rPr>
            </w:pPr>
            <w:r w:rsidRPr="00392157">
              <w:rPr>
                <w:rFonts w:asciiTheme="majorHAnsi" w:eastAsia="Times New Roman" w:hAnsiTheme="majorHAnsi" w:cstheme="majorHAnsi"/>
                <w:b/>
                <w:bCs/>
                <w:color w:val="000000"/>
                <w:sz w:val="20"/>
                <w:szCs w:val="20"/>
              </w:rPr>
              <w:t>2 020</w:t>
            </w:r>
          </w:p>
        </w:tc>
        <w:tc>
          <w:tcPr>
            <w:tcW w:w="1606" w:type="dxa"/>
          </w:tcPr>
          <w:p w:rsidR="00A572A0" w:rsidRPr="00392157" w:rsidRDefault="00A572A0" w:rsidP="009544E5">
            <w:pPr>
              <w:jc w:val="center"/>
              <w:rPr>
                <w:rFonts w:asciiTheme="majorHAnsi" w:eastAsia="Times New Roman" w:hAnsiTheme="majorHAnsi" w:cstheme="majorHAnsi"/>
                <w:b/>
                <w:bCs/>
                <w:color w:val="000000"/>
                <w:sz w:val="20"/>
                <w:szCs w:val="20"/>
              </w:rPr>
            </w:pPr>
            <w:r w:rsidRPr="00392157">
              <w:rPr>
                <w:rFonts w:asciiTheme="majorHAnsi" w:eastAsia="Times New Roman" w:hAnsiTheme="majorHAnsi" w:cstheme="majorHAnsi"/>
                <w:b/>
                <w:bCs/>
                <w:color w:val="000000"/>
                <w:sz w:val="20"/>
                <w:szCs w:val="20"/>
              </w:rPr>
              <w:t>2 021</w:t>
            </w:r>
          </w:p>
        </w:tc>
        <w:tc>
          <w:tcPr>
            <w:tcW w:w="1607" w:type="dxa"/>
          </w:tcPr>
          <w:p w:rsidR="00A572A0" w:rsidRPr="00392157" w:rsidRDefault="00A572A0" w:rsidP="009544E5">
            <w:pPr>
              <w:jc w:val="center"/>
              <w:rPr>
                <w:rFonts w:asciiTheme="majorHAnsi" w:eastAsia="Times New Roman" w:hAnsiTheme="majorHAnsi" w:cstheme="majorHAnsi"/>
                <w:b/>
                <w:bCs/>
                <w:color w:val="000000"/>
                <w:sz w:val="20"/>
                <w:szCs w:val="20"/>
              </w:rPr>
            </w:pPr>
            <w:r w:rsidRPr="00392157">
              <w:rPr>
                <w:rFonts w:asciiTheme="majorHAnsi" w:eastAsia="Times New Roman" w:hAnsiTheme="majorHAnsi" w:cstheme="majorHAnsi"/>
                <w:b/>
                <w:bCs/>
                <w:color w:val="000000"/>
                <w:sz w:val="20"/>
                <w:szCs w:val="20"/>
              </w:rPr>
              <w:t>2 022</w:t>
            </w:r>
          </w:p>
        </w:tc>
        <w:tc>
          <w:tcPr>
            <w:tcW w:w="1796" w:type="dxa"/>
          </w:tcPr>
          <w:p w:rsidR="00A572A0" w:rsidRPr="00392157" w:rsidRDefault="00A572A0" w:rsidP="009544E5">
            <w:pPr>
              <w:jc w:val="center"/>
              <w:rPr>
                <w:rFonts w:asciiTheme="majorHAnsi" w:eastAsia="Times New Roman" w:hAnsiTheme="majorHAnsi" w:cstheme="majorHAnsi"/>
                <w:b/>
                <w:bCs/>
                <w:color w:val="000000"/>
                <w:sz w:val="20"/>
                <w:szCs w:val="20"/>
              </w:rPr>
            </w:pPr>
            <w:r w:rsidRPr="00392157">
              <w:rPr>
                <w:rFonts w:asciiTheme="majorHAnsi" w:eastAsia="Times New Roman" w:hAnsiTheme="majorHAnsi" w:cstheme="majorHAnsi"/>
                <w:b/>
                <w:bCs/>
                <w:color w:val="000000"/>
                <w:sz w:val="20"/>
                <w:szCs w:val="20"/>
              </w:rPr>
              <w:t>2 023</w:t>
            </w:r>
          </w:p>
        </w:tc>
        <w:tc>
          <w:tcPr>
            <w:tcW w:w="1701" w:type="dxa"/>
          </w:tcPr>
          <w:p w:rsidR="00A572A0" w:rsidRPr="00392157" w:rsidRDefault="00A572A0" w:rsidP="009544E5">
            <w:pPr>
              <w:jc w:val="center"/>
              <w:rPr>
                <w:rFonts w:asciiTheme="majorHAnsi" w:eastAsia="Times New Roman" w:hAnsiTheme="majorHAnsi" w:cstheme="majorHAnsi"/>
                <w:b/>
                <w:bCs/>
                <w:color w:val="000000"/>
                <w:sz w:val="20"/>
                <w:szCs w:val="20"/>
              </w:rPr>
            </w:pPr>
            <w:r w:rsidRPr="00392157">
              <w:rPr>
                <w:rFonts w:asciiTheme="majorHAnsi" w:eastAsia="Times New Roman" w:hAnsiTheme="majorHAnsi" w:cstheme="majorHAnsi"/>
                <w:b/>
                <w:bCs/>
                <w:color w:val="000000"/>
                <w:sz w:val="20"/>
                <w:szCs w:val="20"/>
              </w:rPr>
              <w:t>Total</w:t>
            </w:r>
          </w:p>
        </w:tc>
        <w:tc>
          <w:tcPr>
            <w:tcW w:w="713" w:type="dxa"/>
          </w:tcPr>
          <w:p w:rsidR="00A572A0" w:rsidRPr="00392157" w:rsidRDefault="00A572A0" w:rsidP="009544E5">
            <w:pPr>
              <w:jc w:val="center"/>
              <w:rPr>
                <w:rFonts w:asciiTheme="majorHAnsi" w:eastAsia="Times New Roman" w:hAnsiTheme="majorHAnsi" w:cstheme="majorHAnsi"/>
                <w:b/>
                <w:bCs/>
                <w:color w:val="000000"/>
                <w:sz w:val="20"/>
                <w:szCs w:val="20"/>
              </w:rPr>
            </w:pPr>
            <w:r w:rsidRPr="00392157">
              <w:rPr>
                <w:rFonts w:asciiTheme="majorHAnsi" w:eastAsia="Times New Roman" w:hAnsiTheme="majorHAnsi" w:cstheme="majorHAnsi"/>
                <w:b/>
                <w:bCs/>
                <w:color w:val="000000"/>
                <w:sz w:val="20"/>
                <w:szCs w:val="20"/>
              </w:rPr>
              <w:t>%</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Santé de la mère et du nouveau-né</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42 713 107 951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53 859 914 834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62 620 645 655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74 397 544 026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86 491 067 420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320 082 279 887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25,3%</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Santé infanto-juvénile</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 xml:space="preserve">        27 552 586 209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38 169 422 919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48 460 617 295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60 751 153 164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72 436 084 289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247 369 863 876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19,6%</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Santé des adolescents (es) et jeunes</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14 367 146 965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27 552 304 906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41 750 215 134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56 625 809 623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72 622 992 336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212 918 468 964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16,9%</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Nutrition</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18 575 707 356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23 490 120 917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28 326 520 614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32 530 715 765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36 734 462 110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139 657 526 762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11,1%</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Vaccination</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20 020 736 771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21 434 284 701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22 170 126 068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22 418 992 119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22 570 653 843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108 614 793 502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8,6%</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Interventions transversales</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40 347 220 124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45 031 816 145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44 595 691 944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42 739 903 388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46 158 866 316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218 873 497 917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17,3%</w:t>
            </w:r>
          </w:p>
        </w:tc>
      </w:tr>
      <w:tr w:rsidR="00A572A0" w:rsidRPr="00EA0C79" w:rsidTr="009544E5">
        <w:tc>
          <w:tcPr>
            <w:tcW w:w="3227" w:type="dxa"/>
            <w:vAlign w:val="center"/>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Etat civil</w:t>
            </w:r>
          </w:p>
        </w:tc>
        <w:tc>
          <w:tcPr>
            <w:tcW w:w="1889"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2 126 778 000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3 714 500 000   </w:t>
            </w:r>
          </w:p>
        </w:tc>
        <w:tc>
          <w:tcPr>
            <w:tcW w:w="160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3 397 500 000   </w:t>
            </w:r>
          </w:p>
        </w:tc>
        <w:tc>
          <w:tcPr>
            <w:tcW w:w="1607"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 3 041 500 000   </w:t>
            </w:r>
          </w:p>
        </w:tc>
        <w:tc>
          <w:tcPr>
            <w:tcW w:w="1796"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3 041 500 000   </w:t>
            </w:r>
          </w:p>
        </w:tc>
        <w:tc>
          <w:tcPr>
            <w:tcW w:w="1701" w:type="dxa"/>
            <w:vAlign w:val="center"/>
          </w:tcPr>
          <w:p w:rsidR="00A572A0" w:rsidRPr="00DA41DF" w:rsidRDefault="00A572A0" w:rsidP="009544E5">
            <w:p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     </w:t>
            </w:r>
            <w:r w:rsidRPr="00DA41DF">
              <w:rPr>
                <w:rFonts w:asciiTheme="majorHAnsi" w:eastAsia="Times New Roman" w:hAnsiTheme="majorHAnsi" w:cstheme="majorHAnsi"/>
                <w:color w:val="000000"/>
                <w:sz w:val="20"/>
                <w:szCs w:val="20"/>
              </w:rPr>
              <w:t xml:space="preserve">15 321 778 000   </w:t>
            </w:r>
          </w:p>
        </w:tc>
        <w:tc>
          <w:tcPr>
            <w:tcW w:w="713" w:type="dxa"/>
            <w:vAlign w:val="center"/>
          </w:tcPr>
          <w:p w:rsidR="00A572A0" w:rsidRPr="00DA41DF" w:rsidRDefault="00A572A0" w:rsidP="009544E5">
            <w:pPr>
              <w:jc w:val="right"/>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1,2%</w:t>
            </w:r>
          </w:p>
        </w:tc>
      </w:tr>
      <w:tr w:rsidR="00A572A0" w:rsidRPr="00EA0C79" w:rsidTr="009544E5">
        <w:tc>
          <w:tcPr>
            <w:tcW w:w="3227" w:type="dxa"/>
            <w:vAlign w:val="bottom"/>
          </w:tcPr>
          <w:p w:rsidR="00A572A0" w:rsidRPr="00DA41DF" w:rsidRDefault="00A572A0" w:rsidP="009544E5">
            <w:pPr>
              <w:rPr>
                <w:rFonts w:asciiTheme="majorHAnsi" w:eastAsia="Times New Roman" w:hAnsiTheme="majorHAnsi" w:cstheme="majorHAnsi"/>
                <w:color w:val="000000"/>
                <w:sz w:val="20"/>
                <w:szCs w:val="20"/>
              </w:rPr>
            </w:pPr>
            <w:r w:rsidRPr="00DA41DF">
              <w:rPr>
                <w:rFonts w:asciiTheme="majorHAnsi" w:eastAsia="Times New Roman" w:hAnsiTheme="majorHAnsi" w:cstheme="majorHAnsi"/>
                <w:color w:val="000000"/>
                <w:sz w:val="20"/>
                <w:szCs w:val="20"/>
              </w:rPr>
              <w:t>Total</w:t>
            </w:r>
          </w:p>
        </w:tc>
        <w:tc>
          <w:tcPr>
            <w:tcW w:w="1889"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165 703 283 377   </w:t>
            </w:r>
          </w:p>
        </w:tc>
        <w:tc>
          <w:tcPr>
            <w:tcW w:w="1607"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213 252 364 422   </w:t>
            </w:r>
          </w:p>
        </w:tc>
        <w:tc>
          <w:tcPr>
            <w:tcW w:w="1606"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251 321 316 710   </w:t>
            </w:r>
          </w:p>
        </w:tc>
        <w:tc>
          <w:tcPr>
            <w:tcW w:w="1607"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292 505 618 086   </w:t>
            </w:r>
          </w:p>
        </w:tc>
        <w:tc>
          <w:tcPr>
            <w:tcW w:w="1796"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340 055 626 314   </w:t>
            </w:r>
          </w:p>
        </w:tc>
        <w:tc>
          <w:tcPr>
            <w:tcW w:w="1701" w:type="dxa"/>
            <w:vAlign w:val="bottom"/>
          </w:tcPr>
          <w:p w:rsidR="00A572A0" w:rsidRPr="007D7380" w:rsidRDefault="00A572A0" w:rsidP="009544E5">
            <w:pPr>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 xml:space="preserve"> 1 262 838 208 909   </w:t>
            </w:r>
          </w:p>
        </w:tc>
        <w:tc>
          <w:tcPr>
            <w:tcW w:w="713" w:type="dxa"/>
            <w:vAlign w:val="bottom"/>
          </w:tcPr>
          <w:p w:rsidR="00A572A0" w:rsidRPr="007D7380" w:rsidRDefault="00A572A0" w:rsidP="009544E5">
            <w:pPr>
              <w:jc w:val="right"/>
              <w:rPr>
                <w:rFonts w:asciiTheme="majorHAnsi" w:eastAsia="Times New Roman" w:hAnsiTheme="majorHAnsi" w:cstheme="majorHAnsi"/>
                <w:b/>
                <w:bCs/>
                <w:color w:val="000000"/>
                <w:sz w:val="18"/>
                <w:szCs w:val="18"/>
              </w:rPr>
            </w:pPr>
            <w:r w:rsidRPr="007D7380">
              <w:rPr>
                <w:rFonts w:asciiTheme="majorHAnsi" w:eastAsia="Times New Roman" w:hAnsiTheme="majorHAnsi" w:cstheme="majorHAnsi"/>
                <w:b/>
                <w:bCs/>
                <w:color w:val="000000"/>
                <w:sz w:val="18"/>
                <w:szCs w:val="18"/>
              </w:rPr>
              <w:t>100%</w:t>
            </w:r>
          </w:p>
        </w:tc>
      </w:tr>
    </w:tbl>
    <w:p w:rsidR="00A572A0" w:rsidRDefault="00A572A0" w:rsidP="00A572A0">
      <w:pPr>
        <w:spacing w:line="360" w:lineRule="auto"/>
        <w:rPr>
          <w:rFonts w:cs="Arial"/>
          <w:color w:val="000000"/>
        </w:rPr>
        <w:sectPr w:rsidR="00A572A0" w:rsidSect="003339F3">
          <w:pgSz w:w="16838" w:h="11906" w:orient="landscape"/>
          <w:pgMar w:top="1440" w:right="1151" w:bottom="1440" w:left="1151" w:header="720" w:footer="720" w:gutter="0"/>
          <w:pgNumType w:chapStyle="1"/>
          <w:cols w:space="720"/>
        </w:sectPr>
      </w:pPr>
    </w:p>
    <w:p w:rsidR="003837E7" w:rsidRDefault="003339F3" w:rsidP="003339F3">
      <w:pPr>
        <w:tabs>
          <w:tab w:val="left" w:pos="900"/>
        </w:tabs>
        <w:spacing w:after="0" w:line="240" w:lineRule="auto"/>
        <w:jc w:val="both"/>
        <w:rPr>
          <w:b/>
          <w:sz w:val="24"/>
          <w:szCs w:val="24"/>
        </w:rPr>
      </w:pPr>
      <w:r w:rsidRPr="00DF3CFD">
        <w:rPr>
          <w:b/>
          <w:sz w:val="24"/>
          <w:szCs w:val="24"/>
        </w:rPr>
        <w:t xml:space="preserve">          </w:t>
      </w:r>
    </w:p>
    <w:p w:rsidR="003837E7" w:rsidRDefault="003837E7" w:rsidP="003339F3">
      <w:pPr>
        <w:tabs>
          <w:tab w:val="left" w:pos="900"/>
        </w:tabs>
        <w:spacing w:after="0" w:line="240" w:lineRule="auto"/>
        <w:jc w:val="both"/>
        <w:rPr>
          <w:b/>
          <w:sz w:val="24"/>
          <w:szCs w:val="24"/>
        </w:rPr>
      </w:pPr>
      <w:r w:rsidRPr="003837E7">
        <w:rPr>
          <w:b/>
          <w:noProof/>
          <w:sz w:val="24"/>
          <w:szCs w:val="24"/>
        </w:rPr>
        <w:drawing>
          <wp:inline distT="0" distB="0" distL="0" distR="0">
            <wp:extent cx="5486400" cy="3076575"/>
            <wp:effectExtent l="19050" t="0" r="1905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3837E7" w:rsidRDefault="004B0495" w:rsidP="003339F3">
      <w:pPr>
        <w:tabs>
          <w:tab w:val="left" w:pos="900"/>
        </w:tabs>
        <w:spacing w:after="0" w:line="240" w:lineRule="auto"/>
        <w:jc w:val="both"/>
        <w:rPr>
          <w:b/>
          <w:sz w:val="24"/>
          <w:szCs w:val="24"/>
        </w:rPr>
      </w:pPr>
      <w:r>
        <w:rPr>
          <w:b/>
          <w:noProof/>
          <w:sz w:val="24"/>
          <w:szCs w:val="24"/>
        </w:rPr>
        <mc:AlternateContent>
          <mc:Choice Requires="wps">
            <w:drawing>
              <wp:anchor distT="0" distB="0" distL="114300" distR="114300" simplePos="0" relativeHeight="251715072" behindDoc="0" locked="0" layoutInCell="1" allowOverlap="1">
                <wp:simplePos x="0" y="0"/>
                <wp:positionH relativeFrom="column">
                  <wp:posOffset>19050</wp:posOffset>
                </wp:positionH>
                <wp:positionV relativeFrom="paragraph">
                  <wp:posOffset>-3175</wp:posOffset>
                </wp:positionV>
                <wp:extent cx="5495925" cy="9525"/>
                <wp:effectExtent l="9525" t="6350" r="9525" b="12700"/>
                <wp:wrapNone/>
                <wp:docPr id="5" name="AutoShap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9592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795565" id="AutoShape 216" o:spid="_x0000_s1026" type="#_x0000_t32" style="position:absolute;margin-left:1.5pt;margin-top:-.25pt;width:432.75pt;height:.75pt;flip:y;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"/>
            </w:pict>
          </mc:Fallback>
        </mc:AlternateContent>
      </w:r>
    </w:p>
    <w:p w:rsidR="003339F3" w:rsidRPr="00DF3CFD" w:rsidRDefault="003339F3" w:rsidP="003339F3">
      <w:pPr>
        <w:tabs>
          <w:tab w:val="left" w:pos="900"/>
        </w:tabs>
        <w:spacing w:line="240" w:lineRule="auto"/>
        <w:jc w:val="both"/>
        <w:rPr>
          <w:b/>
          <w:sz w:val="24"/>
          <w:szCs w:val="24"/>
        </w:rPr>
      </w:pPr>
      <w:r w:rsidRPr="00DF3CFD">
        <w:rPr>
          <w:b/>
          <w:sz w:val="24"/>
          <w:szCs w:val="24"/>
        </w:rPr>
        <w:t>Figure 3</w:t>
      </w:r>
      <w:r w:rsidR="000571B9">
        <w:rPr>
          <w:b/>
          <w:sz w:val="24"/>
          <w:szCs w:val="24"/>
        </w:rPr>
        <w:t>4</w:t>
      </w:r>
      <w:r w:rsidRPr="00DF3CFD">
        <w:rPr>
          <w:b/>
          <w:sz w:val="24"/>
          <w:szCs w:val="24"/>
        </w:rPr>
        <w:t xml:space="preserve"> : Répartition du budget estimatif </w:t>
      </w:r>
      <w:r w:rsidR="002262FA">
        <w:rPr>
          <w:b/>
          <w:sz w:val="24"/>
          <w:szCs w:val="24"/>
        </w:rPr>
        <w:t xml:space="preserve">du DI </w:t>
      </w:r>
      <w:r w:rsidRPr="00DF3CFD">
        <w:rPr>
          <w:b/>
          <w:sz w:val="24"/>
          <w:szCs w:val="24"/>
        </w:rPr>
        <w:t xml:space="preserve">par </w:t>
      </w:r>
      <w:r w:rsidR="000571B9">
        <w:rPr>
          <w:b/>
          <w:sz w:val="24"/>
          <w:szCs w:val="24"/>
        </w:rPr>
        <w:t>programme</w:t>
      </w:r>
      <w:r w:rsidR="002262FA">
        <w:rPr>
          <w:b/>
          <w:sz w:val="24"/>
          <w:szCs w:val="24"/>
        </w:rPr>
        <w:t xml:space="preserve"> (Scénario moyen)</w:t>
      </w:r>
    </w:p>
    <w:p w:rsidR="003339F3" w:rsidRPr="004B0E5E" w:rsidRDefault="003339F3" w:rsidP="000571B9">
      <w:pPr>
        <w:pStyle w:val="Paragraphedeliste"/>
        <w:tabs>
          <w:tab w:val="left" w:pos="900"/>
        </w:tabs>
        <w:spacing w:after="200"/>
        <w:ind w:left="709"/>
        <w:jc w:val="both"/>
        <w:rPr>
          <w:b/>
          <w:sz w:val="10"/>
          <w:szCs w:val="24"/>
        </w:rPr>
      </w:pPr>
    </w:p>
    <w:p w:rsidR="003339F3" w:rsidRPr="003F4EB9" w:rsidRDefault="000571B9" w:rsidP="00763A55">
      <w:pPr>
        <w:pStyle w:val="Paragraphedeliste"/>
        <w:numPr>
          <w:ilvl w:val="2"/>
          <w:numId w:val="87"/>
        </w:numPr>
        <w:tabs>
          <w:tab w:val="left" w:pos="900"/>
        </w:tabs>
        <w:spacing w:line="276" w:lineRule="auto"/>
        <w:ind w:left="851" w:hanging="851"/>
        <w:jc w:val="both"/>
        <w:rPr>
          <w:b/>
          <w:sz w:val="24"/>
          <w:szCs w:val="24"/>
        </w:rPr>
      </w:pPr>
      <w:r w:rsidRPr="00DF3CFD">
        <w:rPr>
          <w:b/>
          <w:sz w:val="24"/>
          <w:szCs w:val="24"/>
        </w:rPr>
        <w:t>Répa</w:t>
      </w:r>
      <w:r>
        <w:rPr>
          <w:b/>
          <w:sz w:val="24"/>
          <w:szCs w:val="24"/>
        </w:rPr>
        <w:t xml:space="preserve">rtition du budget estimatif  selon les </w:t>
      </w:r>
      <w:r w:rsidR="003339F3" w:rsidRPr="003F4EB9">
        <w:rPr>
          <w:b/>
          <w:sz w:val="24"/>
          <w:szCs w:val="24"/>
        </w:rPr>
        <w:t>niveau</w:t>
      </w:r>
      <w:r>
        <w:rPr>
          <w:b/>
          <w:sz w:val="24"/>
          <w:szCs w:val="24"/>
        </w:rPr>
        <w:t>x</w:t>
      </w:r>
      <w:r w:rsidR="003339F3" w:rsidRPr="003F4EB9">
        <w:rPr>
          <w:b/>
          <w:sz w:val="24"/>
          <w:szCs w:val="24"/>
        </w:rPr>
        <w:t xml:space="preserve"> de la pyramide sanitaire</w:t>
      </w:r>
    </w:p>
    <w:p w:rsidR="003339F3" w:rsidRDefault="003339F3" w:rsidP="003339F3">
      <w:pPr>
        <w:tabs>
          <w:tab w:val="left" w:pos="900"/>
        </w:tabs>
        <w:spacing w:after="0"/>
        <w:jc w:val="both"/>
        <w:rPr>
          <w:sz w:val="24"/>
          <w:szCs w:val="24"/>
        </w:rPr>
      </w:pPr>
      <w:r w:rsidRPr="003F4EB9">
        <w:rPr>
          <w:sz w:val="24"/>
          <w:szCs w:val="24"/>
        </w:rPr>
        <w:t xml:space="preserve">La ventilation du budget par niveau de la pyramide sanitaire montre que </w:t>
      </w:r>
      <w:r>
        <w:rPr>
          <w:sz w:val="24"/>
          <w:szCs w:val="24"/>
        </w:rPr>
        <w:t>59</w:t>
      </w:r>
      <w:r w:rsidRPr="003F4EB9">
        <w:rPr>
          <w:sz w:val="24"/>
          <w:szCs w:val="24"/>
        </w:rPr>
        <w:t xml:space="preserve">% des financements sont orientés vers le niveau opérationnel (District sanitaire), </w:t>
      </w:r>
      <w:r>
        <w:rPr>
          <w:sz w:val="24"/>
          <w:szCs w:val="24"/>
        </w:rPr>
        <w:t>17</w:t>
      </w:r>
      <w:r w:rsidRPr="003F4EB9">
        <w:rPr>
          <w:sz w:val="24"/>
          <w:szCs w:val="24"/>
        </w:rPr>
        <w:t>% vers le niveau intermédiaire et 2</w:t>
      </w:r>
      <w:r>
        <w:rPr>
          <w:sz w:val="24"/>
          <w:szCs w:val="24"/>
        </w:rPr>
        <w:t>4</w:t>
      </w:r>
      <w:r w:rsidRPr="003F4EB9">
        <w:rPr>
          <w:sz w:val="24"/>
          <w:szCs w:val="24"/>
        </w:rPr>
        <w:t xml:space="preserve">% du financement vers le niveau central. Le financement au niveau district prend en compte les activités des structures sanitaires et aussi la pratique communautaire. </w:t>
      </w:r>
    </w:p>
    <w:p w:rsidR="003339F3" w:rsidRDefault="003339F3" w:rsidP="003339F3">
      <w:pPr>
        <w:tabs>
          <w:tab w:val="left" w:pos="900"/>
        </w:tabs>
        <w:spacing w:after="0" w:line="360" w:lineRule="auto"/>
        <w:jc w:val="center"/>
        <w:rPr>
          <w:rFonts w:ascii="Cambria" w:hAnsi="Cambria"/>
        </w:rPr>
      </w:pPr>
      <w:r>
        <w:rPr>
          <w:noProof/>
        </w:rPr>
        <w:drawing>
          <wp:inline distT="0" distB="0" distL="0" distR="0">
            <wp:extent cx="5438775" cy="2391134"/>
            <wp:effectExtent l="0" t="0" r="9525" b="9525"/>
            <wp:docPr id="68"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3339F3" w:rsidRPr="003F4EB9" w:rsidRDefault="003339F3" w:rsidP="003339F3">
      <w:pPr>
        <w:tabs>
          <w:tab w:val="left" w:pos="900"/>
        </w:tabs>
        <w:spacing w:after="0"/>
        <w:jc w:val="both"/>
        <w:rPr>
          <w:b/>
          <w:sz w:val="24"/>
          <w:szCs w:val="24"/>
        </w:rPr>
      </w:pPr>
      <w:r w:rsidRPr="003F4EB9">
        <w:rPr>
          <w:b/>
          <w:sz w:val="24"/>
          <w:szCs w:val="24"/>
        </w:rPr>
        <w:t xml:space="preserve">       </w:t>
      </w:r>
      <w:r w:rsidR="000571B9">
        <w:rPr>
          <w:b/>
          <w:sz w:val="24"/>
          <w:szCs w:val="24"/>
        </w:rPr>
        <w:t xml:space="preserve"> Figure 35</w:t>
      </w:r>
      <w:r w:rsidRPr="003F4EB9">
        <w:rPr>
          <w:b/>
          <w:sz w:val="24"/>
          <w:szCs w:val="24"/>
        </w:rPr>
        <w:t> : Répartition du budget estimatif par niveau administratif</w:t>
      </w:r>
    </w:p>
    <w:p w:rsidR="003339F3" w:rsidRPr="003F4EB9" w:rsidRDefault="003339F3" w:rsidP="003339F3">
      <w:pPr>
        <w:tabs>
          <w:tab w:val="left" w:pos="900"/>
        </w:tabs>
        <w:spacing w:after="0"/>
        <w:jc w:val="both"/>
        <w:rPr>
          <w:sz w:val="24"/>
          <w:szCs w:val="24"/>
        </w:rPr>
      </w:pPr>
    </w:p>
    <w:p w:rsidR="003339F3" w:rsidRDefault="003339F3" w:rsidP="003339F3">
      <w:pPr>
        <w:tabs>
          <w:tab w:val="left" w:pos="900"/>
        </w:tabs>
        <w:jc w:val="both"/>
        <w:rPr>
          <w:sz w:val="24"/>
          <w:szCs w:val="24"/>
        </w:rPr>
      </w:pPr>
      <w:r w:rsidRPr="003F4EB9">
        <w:rPr>
          <w:sz w:val="24"/>
          <w:szCs w:val="24"/>
        </w:rPr>
        <w:t>Les tableaux ci-après présentent le budget annuel par scénario et par programme</w:t>
      </w:r>
      <w:r>
        <w:rPr>
          <w:sz w:val="24"/>
          <w:szCs w:val="24"/>
        </w:rPr>
        <w:t xml:space="preserve"> du budget programme et par catégorie de budget</w:t>
      </w:r>
      <w:r w:rsidRPr="003F4EB9">
        <w:rPr>
          <w:sz w:val="24"/>
          <w:szCs w:val="24"/>
        </w:rPr>
        <w:t>.</w:t>
      </w:r>
    </w:p>
    <w:p w:rsidR="002262FA" w:rsidRDefault="002262FA" w:rsidP="003339F3">
      <w:pPr>
        <w:tabs>
          <w:tab w:val="left" w:pos="900"/>
        </w:tabs>
        <w:jc w:val="both"/>
        <w:rPr>
          <w:sz w:val="24"/>
          <w:szCs w:val="24"/>
        </w:rPr>
      </w:pPr>
    </w:p>
    <w:p w:rsidR="002262FA" w:rsidRPr="003F4EB9" w:rsidRDefault="002262FA" w:rsidP="003339F3">
      <w:pPr>
        <w:tabs>
          <w:tab w:val="left" w:pos="900"/>
        </w:tabs>
        <w:jc w:val="both"/>
        <w:rPr>
          <w:sz w:val="24"/>
          <w:szCs w:val="24"/>
        </w:rPr>
        <w:sectPr w:rsidR="002262FA" w:rsidRPr="003F4EB9" w:rsidSect="00A572A0">
          <w:pgSz w:w="11906" w:h="16838"/>
          <w:pgMar w:top="1152" w:right="1440" w:bottom="1152" w:left="1440" w:header="720" w:footer="720" w:gutter="0"/>
          <w:pgNumType w:chapStyle="1"/>
          <w:cols w:space="720"/>
        </w:sectPr>
      </w:pPr>
    </w:p>
    <w:p w:rsidR="003339F3" w:rsidRPr="00493F71" w:rsidRDefault="003339F3" w:rsidP="00DF185B">
      <w:pPr>
        <w:pStyle w:val="Paragraphedeliste"/>
        <w:numPr>
          <w:ilvl w:val="1"/>
          <w:numId w:val="87"/>
        </w:numPr>
        <w:spacing w:line="276" w:lineRule="auto"/>
        <w:ind w:left="851" w:hanging="851"/>
        <w:jc w:val="both"/>
        <w:rPr>
          <w:color w:val="000000" w:themeColor="text1"/>
          <w:sz w:val="24"/>
          <w:szCs w:val="24"/>
        </w:rPr>
      </w:pPr>
      <w:bookmarkStart w:id="27" w:name="_Toc405708080"/>
      <w:r w:rsidRPr="00493F71">
        <w:rPr>
          <w:color w:val="000000" w:themeColor="text1"/>
          <w:sz w:val="24"/>
          <w:szCs w:val="24"/>
        </w:rPr>
        <w:t>ESTIMATION DES REDUCTIONS DE LA MORTALITE</w:t>
      </w:r>
      <w:bookmarkEnd w:id="27"/>
      <w:r w:rsidRPr="00493F71">
        <w:rPr>
          <w:color w:val="000000" w:themeColor="text1"/>
          <w:sz w:val="24"/>
          <w:szCs w:val="24"/>
        </w:rPr>
        <w:t xml:space="preserve"> (SCENARIO MOYEN)</w:t>
      </w:r>
    </w:p>
    <w:p w:rsidR="003339F3" w:rsidRPr="00AF3012" w:rsidRDefault="003339F3" w:rsidP="003339F3">
      <w:pPr>
        <w:tabs>
          <w:tab w:val="left" w:pos="900"/>
        </w:tabs>
        <w:jc w:val="both"/>
        <w:rPr>
          <w:sz w:val="24"/>
          <w:szCs w:val="24"/>
        </w:rPr>
      </w:pPr>
      <w:r w:rsidRPr="00AF3012">
        <w:rPr>
          <w:sz w:val="24"/>
          <w:szCs w:val="24"/>
        </w:rPr>
        <w:t xml:space="preserve">A partir des données de base et des projections de couverture attendues, l’outil </w:t>
      </w:r>
      <w:r w:rsidR="003923DC">
        <w:rPr>
          <w:sz w:val="24"/>
          <w:szCs w:val="24"/>
        </w:rPr>
        <w:t xml:space="preserve">OneHealth </w:t>
      </w:r>
      <w:r w:rsidRPr="00AF3012">
        <w:rPr>
          <w:sz w:val="24"/>
          <w:szCs w:val="24"/>
        </w:rPr>
        <w:t xml:space="preserve">permet </w:t>
      </w:r>
      <w:r w:rsidR="003923DC">
        <w:rPr>
          <w:sz w:val="24"/>
          <w:szCs w:val="24"/>
        </w:rPr>
        <w:t xml:space="preserve">de calculer les </w:t>
      </w:r>
      <w:r w:rsidR="003923DC" w:rsidRPr="00AF3012">
        <w:rPr>
          <w:sz w:val="24"/>
          <w:szCs w:val="24"/>
        </w:rPr>
        <w:t>coûts liés aux objectifs de couverture fixés</w:t>
      </w:r>
      <w:r w:rsidR="003923DC">
        <w:rPr>
          <w:sz w:val="24"/>
          <w:szCs w:val="24"/>
        </w:rPr>
        <w:t xml:space="preserve"> et </w:t>
      </w:r>
      <w:r w:rsidR="003923DC" w:rsidRPr="00AF3012">
        <w:rPr>
          <w:sz w:val="24"/>
          <w:szCs w:val="24"/>
        </w:rPr>
        <w:t xml:space="preserve"> </w:t>
      </w:r>
      <w:r w:rsidR="003923DC">
        <w:rPr>
          <w:sz w:val="24"/>
          <w:szCs w:val="24"/>
        </w:rPr>
        <w:t>de projeter l’impact</w:t>
      </w:r>
      <w:r w:rsidRPr="00AF3012">
        <w:rPr>
          <w:sz w:val="24"/>
          <w:szCs w:val="24"/>
        </w:rPr>
        <w:t xml:space="preserve"> </w:t>
      </w:r>
      <w:r w:rsidR="003923DC">
        <w:rPr>
          <w:sz w:val="24"/>
          <w:szCs w:val="24"/>
        </w:rPr>
        <w:t xml:space="preserve">en termes de réduction de la mortalité </w:t>
      </w:r>
      <w:r w:rsidR="003923DC" w:rsidRPr="00AF3012">
        <w:rPr>
          <w:sz w:val="24"/>
          <w:szCs w:val="24"/>
        </w:rPr>
        <w:t>maternelle</w:t>
      </w:r>
      <w:r w:rsidR="003923DC">
        <w:rPr>
          <w:sz w:val="24"/>
          <w:szCs w:val="24"/>
        </w:rPr>
        <w:t>, néonatale et infanto-juvénile</w:t>
      </w:r>
      <w:r w:rsidRPr="00AF3012">
        <w:rPr>
          <w:sz w:val="24"/>
          <w:szCs w:val="24"/>
        </w:rPr>
        <w:t xml:space="preserve">. </w:t>
      </w:r>
    </w:p>
    <w:p w:rsidR="003339F3" w:rsidRPr="00AF3012" w:rsidRDefault="003339F3" w:rsidP="00DF185B">
      <w:pPr>
        <w:pStyle w:val="Titre3"/>
        <w:keepLines w:val="0"/>
        <w:numPr>
          <w:ilvl w:val="2"/>
          <w:numId w:val="87"/>
        </w:numPr>
        <w:spacing w:before="0" w:line="276" w:lineRule="auto"/>
        <w:jc w:val="both"/>
        <w:rPr>
          <w:rFonts w:asciiTheme="minorHAnsi" w:hAnsiTheme="minorHAnsi"/>
          <w:b/>
          <w:color w:val="000000" w:themeColor="text1"/>
        </w:rPr>
      </w:pPr>
      <w:bookmarkStart w:id="28" w:name="_Toc405708081"/>
      <w:r w:rsidRPr="00AF3012">
        <w:rPr>
          <w:rFonts w:asciiTheme="minorHAnsi" w:hAnsiTheme="minorHAnsi"/>
          <w:b/>
          <w:color w:val="000000" w:themeColor="text1"/>
        </w:rPr>
        <w:t>Mortalité néonatale</w:t>
      </w:r>
      <w:bookmarkEnd w:id="28"/>
      <w:r w:rsidRPr="00AF3012">
        <w:rPr>
          <w:rFonts w:asciiTheme="minorHAnsi" w:hAnsiTheme="minorHAnsi"/>
          <w:b/>
          <w:color w:val="000000" w:themeColor="text1"/>
        </w:rPr>
        <w:t xml:space="preserve"> et vies additionnelles sauvées</w:t>
      </w:r>
    </w:p>
    <w:p w:rsidR="003339F3" w:rsidRPr="00AF3012" w:rsidRDefault="003339F3" w:rsidP="003923DC">
      <w:pPr>
        <w:tabs>
          <w:tab w:val="left" w:pos="900"/>
        </w:tabs>
        <w:spacing w:after="0"/>
        <w:jc w:val="both"/>
        <w:rPr>
          <w:sz w:val="24"/>
          <w:szCs w:val="24"/>
        </w:rPr>
      </w:pPr>
      <w:r w:rsidRPr="00AF3012">
        <w:rPr>
          <w:sz w:val="24"/>
          <w:szCs w:val="24"/>
        </w:rPr>
        <w:t>Selon</w:t>
      </w:r>
      <w:r w:rsidR="003923DC">
        <w:rPr>
          <w:sz w:val="24"/>
          <w:szCs w:val="24"/>
        </w:rPr>
        <w:t xml:space="preserve"> les résultats de l’Enquête de Module, de Démographie et de S</w:t>
      </w:r>
      <w:r w:rsidRPr="00AF3012">
        <w:rPr>
          <w:sz w:val="24"/>
          <w:szCs w:val="24"/>
        </w:rPr>
        <w:t>anté (EMDS</w:t>
      </w:r>
      <w:r w:rsidR="009544E5">
        <w:rPr>
          <w:sz w:val="24"/>
          <w:szCs w:val="24"/>
        </w:rPr>
        <w:t>-2015</w:t>
      </w:r>
      <w:r w:rsidRPr="00AF3012">
        <w:rPr>
          <w:sz w:val="24"/>
          <w:szCs w:val="24"/>
        </w:rPr>
        <w:t xml:space="preserve">), le taux de mortalité néonatale </w:t>
      </w:r>
      <w:r w:rsidR="003923DC">
        <w:rPr>
          <w:sz w:val="24"/>
          <w:szCs w:val="24"/>
        </w:rPr>
        <w:t xml:space="preserve">était </w:t>
      </w:r>
      <w:r w:rsidRPr="00AF3012">
        <w:rPr>
          <w:sz w:val="24"/>
          <w:szCs w:val="24"/>
        </w:rPr>
        <w:t xml:space="preserve">estimé à 23,2 </w:t>
      </w:r>
      <w:r w:rsidR="009544E5">
        <w:rPr>
          <w:sz w:val="24"/>
          <w:szCs w:val="24"/>
        </w:rPr>
        <w:t xml:space="preserve">décès </w:t>
      </w:r>
      <w:r w:rsidRPr="00AF3012">
        <w:rPr>
          <w:sz w:val="24"/>
          <w:szCs w:val="24"/>
        </w:rPr>
        <w:t>pour 1000 naissantes vivantes</w:t>
      </w:r>
      <w:r w:rsidR="009544E5">
        <w:rPr>
          <w:sz w:val="24"/>
          <w:szCs w:val="24"/>
        </w:rPr>
        <w:t xml:space="preserve"> (NV)</w:t>
      </w:r>
      <w:r w:rsidRPr="00AF3012">
        <w:rPr>
          <w:sz w:val="24"/>
          <w:szCs w:val="24"/>
        </w:rPr>
        <w:t xml:space="preserve">. </w:t>
      </w:r>
    </w:p>
    <w:p w:rsidR="003339F3" w:rsidRPr="00AF3012" w:rsidRDefault="003923DC" w:rsidP="003339F3">
      <w:pPr>
        <w:tabs>
          <w:tab w:val="left" w:pos="900"/>
        </w:tabs>
        <w:spacing w:after="0"/>
        <w:jc w:val="both"/>
        <w:rPr>
          <w:sz w:val="24"/>
          <w:szCs w:val="24"/>
        </w:rPr>
      </w:pPr>
      <w:r>
        <w:rPr>
          <w:sz w:val="24"/>
          <w:szCs w:val="24"/>
        </w:rPr>
        <w:t>Sur la base</w:t>
      </w:r>
      <w:r w:rsidR="003339F3" w:rsidRPr="00AF3012">
        <w:rPr>
          <w:sz w:val="24"/>
          <w:szCs w:val="24"/>
        </w:rPr>
        <w:t xml:space="preserve"> des projections de couvertures attendues et des interventions à mettre en œuvre, le taux de mortalité néonatal passera de 23,2 à </w:t>
      </w:r>
      <w:r w:rsidR="003339F3">
        <w:rPr>
          <w:sz w:val="24"/>
          <w:szCs w:val="24"/>
        </w:rPr>
        <w:t>12,86</w:t>
      </w:r>
      <w:r w:rsidR="009544E5">
        <w:rPr>
          <w:sz w:val="24"/>
          <w:szCs w:val="24"/>
        </w:rPr>
        <w:t xml:space="preserve"> décès </w:t>
      </w:r>
      <w:r w:rsidR="003339F3" w:rsidRPr="00AF3012">
        <w:rPr>
          <w:sz w:val="24"/>
          <w:szCs w:val="24"/>
        </w:rPr>
        <w:t xml:space="preserve"> pour 1000 NV en 2023.</w:t>
      </w:r>
    </w:p>
    <w:p w:rsidR="003339F3" w:rsidRPr="00D271BF" w:rsidRDefault="003339F3" w:rsidP="003339F3">
      <w:pPr>
        <w:tabs>
          <w:tab w:val="left" w:pos="900"/>
        </w:tabs>
        <w:jc w:val="both"/>
        <w:rPr>
          <w:sz w:val="24"/>
          <w:szCs w:val="24"/>
        </w:rPr>
      </w:pPr>
      <w:r w:rsidRPr="00D271BF">
        <w:rPr>
          <w:sz w:val="24"/>
          <w:szCs w:val="24"/>
        </w:rPr>
        <w:t xml:space="preserve">Les </w:t>
      </w:r>
      <w:r w:rsidR="009544E5">
        <w:rPr>
          <w:sz w:val="24"/>
          <w:szCs w:val="24"/>
        </w:rPr>
        <w:t xml:space="preserve">interventions à mettre en œuvre dans le cadre du DI-SRMEAN </w:t>
      </w:r>
      <w:r w:rsidRPr="00D271BF">
        <w:rPr>
          <w:sz w:val="24"/>
          <w:szCs w:val="24"/>
        </w:rPr>
        <w:t xml:space="preserve">permettront d’éviter </w:t>
      </w:r>
      <w:r>
        <w:rPr>
          <w:sz w:val="24"/>
          <w:szCs w:val="24"/>
        </w:rPr>
        <w:t>30 568</w:t>
      </w:r>
      <w:r w:rsidRPr="00D271BF">
        <w:rPr>
          <w:sz w:val="24"/>
          <w:szCs w:val="24"/>
        </w:rPr>
        <w:t xml:space="preserve"> décès additionnels </w:t>
      </w:r>
      <w:r w:rsidR="009544E5">
        <w:rPr>
          <w:sz w:val="24"/>
          <w:szCs w:val="24"/>
        </w:rPr>
        <w:t>sur les 86 040</w:t>
      </w:r>
      <w:r w:rsidR="009544E5" w:rsidRPr="00D271BF">
        <w:rPr>
          <w:sz w:val="24"/>
          <w:szCs w:val="24"/>
        </w:rPr>
        <w:t xml:space="preserve"> </w:t>
      </w:r>
      <w:r w:rsidR="009544E5">
        <w:rPr>
          <w:sz w:val="24"/>
          <w:szCs w:val="24"/>
        </w:rPr>
        <w:t xml:space="preserve"> décès attendus soit une réduction de </w:t>
      </w:r>
      <w:r>
        <w:rPr>
          <w:sz w:val="24"/>
          <w:szCs w:val="24"/>
        </w:rPr>
        <w:t>35,52</w:t>
      </w:r>
      <w:r w:rsidR="009544E5">
        <w:rPr>
          <w:sz w:val="24"/>
          <w:szCs w:val="24"/>
        </w:rPr>
        <w:t>%</w:t>
      </w:r>
      <w:r w:rsidRPr="00D271BF">
        <w:rPr>
          <w:sz w:val="24"/>
          <w:szCs w:val="24"/>
        </w:rPr>
        <w:t>.</w:t>
      </w:r>
    </w:p>
    <w:p w:rsidR="003339F3" w:rsidRPr="00AF3012" w:rsidRDefault="003339F3" w:rsidP="00DF185B">
      <w:pPr>
        <w:pStyle w:val="Titre3"/>
        <w:keepLines w:val="0"/>
        <w:numPr>
          <w:ilvl w:val="2"/>
          <w:numId w:val="87"/>
        </w:numPr>
        <w:spacing w:before="0" w:line="276" w:lineRule="auto"/>
        <w:jc w:val="both"/>
        <w:rPr>
          <w:rFonts w:asciiTheme="minorHAnsi" w:hAnsiTheme="minorHAnsi"/>
          <w:b/>
          <w:color w:val="000000" w:themeColor="text1"/>
        </w:rPr>
      </w:pPr>
      <w:bookmarkStart w:id="29" w:name="_Toc405708082"/>
      <w:r w:rsidRPr="00AF3012">
        <w:rPr>
          <w:rFonts w:asciiTheme="minorHAnsi" w:hAnsiTheme="minorHAnsi"/>
          <w:b/>
          <w:color w:val="000000" w:themeColor="text1"/>
        </w:rPr>
        <w:t>Mortalité des enfants de moins de 5 ans</w:t>
      </w:r>
      <w:bookmarkEnd w:id="29"/>
      <w:r w:rsidRPr="00AF3012">
        <w:rPr>
          <w:rFonts w:asciiTheme="minorHAnsi" w:hAnsiTheme="minorHAnsi"/>
          <w:b/>
          <w:color w:val="000000" w:themeColor="text1"/>
        </w:rPr>
        <w:t xml:space="preserve"> et vies additionnelles sauvées</w:t>
      </w:r>
    </w:p>
    <w:p w:rsidR="009544E5" w:rsidRDefault="009544E5" w:rsidP="003620D0">
      <w:pPr>
        <w:tabs>
          <w:tab w:val="left" w:pos="900"/>
        </w:tabs>
        <w:spacing w:after="0"/>
        <w:jc w:val="both"/>
        <w:rPr>
          <w:sz w:val="24"/>
          <w:szCs w:val="24"/>
        </w:rPr>
      </w:pPr>
      <w:r>
        <w:rPr>
          <w:sz w:val="24"/>
          <w:szCs w:val="24"/>
        </w:rPr>
        <w:t>En</w:t>
      </w:r>
      <w:r w:rsidR="003339F3" w:rsidRPr="00AF3012">
        <w:rPr>
          <w:sz w:val="24"/>
          <w:szCs w:val="24"/>
        </w:rPr>
        <w:t xml:space="preserve"> 2015, le taux de mortalité infan</w:t>
      </w:r>
      <w:r>
        <w:rPr>
          <w:sz w:val="24"/>
          <w:szCs w:val="24"/>
        </w:rPr>
        <w:t>to-juvénile au Burkina Faso, était</w:t>
      </w:r>
      <w:r w:rsidR="003339F3" w:rsidRPr="00AF3012">
        <w:rPr>
          <w:sz w:val="24"/>
          <w:szCs w:val="24"/>
        </w:rPr>
        <w:t xml:space="preserve"> estimé à 81,6 pour mille naissances vivantes</w:t>
      </w:r>
      <w:r w:rsidR="003620D0">
        <w:rPr>
          <w:sz w:val="24"/>
          <w:szCs w:val="24"/>
        </w:rPr>
        <w:t xml:space="preserve"> (EMDS 2015)</w:t>
      </w:r>
      <w:r w:rsidR="003339F3" w:rsidRPr="00AF3012">
        <w:rPr>
          <w:sz w:val="24"/>
          <w:szCs w:val="24"/>
        </w:rPr>
        <w:t xml:space="preserve">. </w:t>
      </w:r>
    </w:p>
    <w:p w:rsidR="009544E5" w:rsidRPr="00AF3012" w:rsidRDefault="009544E5" w:rsidP="003620D0">
      <w:pPr>
        <w:tabs>
          <w:tab w:val="left" w:pos="900"/>
        </w:tabs>
        <w:spacing w:after="0"/>
        <w:jc w:val="both"/>
        <w:rPr>
          <w:sz w:val="24"/>
          <w:szCs w:val="24"/>
        </w:rPr>
      </w:pPr>
      <w:r>
        <w:rPr>
          <w:sz w:val="24"/>
          <w:szCs w:val="24"/>
        </w:rPr>
        <w:t>Sur la base</w:t>
      </w:r>
      <w:r w:rsidRPr="00AF3012">
        <w:rPr>
          <w:sz w:val="24"/>
          <w:szCs w:val="24"/>
        </w:rPr>
        <w:t xml:space="preserve"> des projections de couvertures attendues et des interventions à mettre en œuvre, le taux de mortalité </w:t>
      </w:r>
      <w:r>
        <w:rPr>
          <w:sz w:val="24"/>
          <w:szCs w:val="24"/>
        </w:rPr>
        <w:t xml:space="preserve">des enfants de moins de 5 ans </w:t>
      </w:r>
      <w:r w:rsidRPr="00AF3012">
        <w:rPr>
          <w:sz w:val="24"/>
          <w:szCs w:val="24"/>
        </w:rPr>
        <w:t>passera</w:t>
      </w:r>
      <w:r>
        <w:rPr>
          <w:sz w:val="24"/>
          <w:szCs w:val="24"/>
        </w:rPr>
        <w:t>it</w:t>
      </w:r>
      <w:r w:rsidRPr="00AF3012">
        <w:rPr>
          <w:sz w:val="24"/>
          <w:szCs w:val="24"/>
        </w:rPr>
        <w:t xml:space="preserve"> de 81,6 à 4</w:t>
      </w:r>
      <w:r>
        <w:rPr>
          <w:sz w:val="24"/>
          <w:szCs w:val="24"/>
        </w:rPr>
        <w:t>1</w:t>
      </w:r>
      <w:r w:rsidRPr="00AF3012">
        <w:rPr>
          <w:sz w:val="24"/>
          <w:szCs w:val="24"/>
        </w:rPr>
        <w:t>,</w:t>
      </w:r>
      <w:r>
        <w:rPr>
          <w:sz w:val="24"/>
          <w:szCs w:val="24"/>
        </w:rPr>
        <w:t>65</w:t>
      </w:r>
      <w:r w:rsidRPr="00AF3012">
        <w:rPr>
          <w:sz w:val="24"/>
          <w:szCs w:val="24"/>
        </w:rPr>
        <w:t xml:space="preserve"> </w:t>
      </w:r>
      <w:r>
        <w:rPr>
          <w:sz w:val="24"/>
          <w:szCs w:val="24"/>
        </w:rPr>
        <w:t xml:space="preserve">décès </w:t>
      </w:r>
      <w:r w:rsidRPr="00AF3012">
        <w:rPr>
          <w:sz w:val="24"/>
          <w:szCs w:val="24"/>
        </w:rPr>
        <w:t xml:space="preserve"> pour 1000 NV en 2023.</w:t>
      </w:r>
    </w:p>
    <w:p w:rsidR="009544E5" w:rsidRDefault="009544E5" w:rsidP="003339F3">
      <w:pPr>
        <w:tabs>
          <w:tab w:val="left" w:pos="900"/>
        </w:tabs>
        <w:jc w:val="both"/>
        <w:rPr>
          <w:sz w:val="24"/>
          <w:szCs w:val="24"/>
        </w:rPr>
      </w:pPr>
      <w:r w:rsidRPr="00D271BF">
        <w:rPr>
          <w:sz w:val="24"/>
          <w:szCs w:val="24"/>
        </w:rPr>
        <w:t xml:space="preserve">Les </w:t>
      </w:r>
      <w:r>
        <w:rPr>
          <w:sz w:val="24"/>
          <w:szCs w:val="24"/>
        </w:rPr>
        <w:t xml:space="preserve">interventions à mettre en œuvre dans le cadre du DI-SRMEAN </w:t>
      </w:r>
      <w:r w:rsidRPr="00D271BF">
        <w:rPr>
          <w:sz w:val="24"/>
          <w:szCs w:val="24"/>
        </w:rPr>
        <w:t xml:space="preserve">permettront d’éviter </w:t>
      </w:r>
      <w:r w:rsidR="003620D0">
        <w:rPr>
          <w:sz w:val="24"/>
          <w:szCs w:val="24"/>
        </w:rPr>
        <w:t>130 782</w:t>
      </w:r>
      <w:r w:rsidR="003620D0" w:rsidRPr="00AF3012">
        <w:rPr>
          <w:sz w:val="24"/>
          <w:szCs w:val="24"/>
        </w:rPr>
        <w:t xml:space="preserve"> </w:t>
      </w:r>
      <w:r w:rsidRPr="00D271BF">
        <w:rPr>
          <w:sz w:val="24"/>
          <w:szCs w:val="24"/>
        </w:rPr>
        <w:t xml:space="preserve">décès additionnels </w:t>
      </w:r>
      <w:r>
        <w:rPr>
          <w:sz w:val="24"/>
          <w:szCs w:val="24"/>
        </w:rPr>
        <w:t xml:space="preserve">sur les </w:t>
      </w:r>
      <w:r w:rsidR="003620D0" w:rsidRPr="00D271BF">
        <w:rPr>
          <w:sz w:val="24"/>
          <w:szCs w:val="24"/>
        </w:rPr>
        <w:t>2</w:t>
      </w:r>
      <w:r w:rsidR="003620D0">
        <w:rPr>
          <w:sz w:val="24"/>
          <w:szCs w:val="24"/>
        </w:rPr>
        <w:t xml:space="preserve">54 745 </w:t>
      </w:r>
      <w:r>
        <w:rPr>
          <w:sz w:val="24"/>
          <w:szCs w:val="24"/>
        </w:rPr>
        <w:t xml:space="preserve">décès </w:t>
      </w:r>
      <w:r w:rsidR="003620D0">
        <w:rPr>
          <w:sz w:val="24"/>
          <w:szCs w:val="24"/>
        </w:rPr>
        <w:t xml:space="preserve">d’enfants de moins de 5 ans </w:t>
      </w:r>
      <w:r>
        <w:rPr>
          <w:sz w:val="24"/>
          <w:szCs w:val="24"/>
        </w:rPr>
        <w:t xml:space="preserve">attendus soit une réduction de </w:t>
      </w:r>
      <w:r w:rsidR="003620D0">
        <w:rPr>
          <w:sz w:val="24"/>
          <w:szCs w:val="24"/>
        </w:rPr>
        <w:t>51,34</w:t>
      </w:r>
      <w:r w:rsidR="003620D0" w:rsidRPr="00AF3012">
        <w:rPr>
          <w:sz w:val="24"/>
          <w:szCs w:val="24"/>
        </w:rPr>
        <w:t>%</w:t>
      </w:r>
      <w:r w:rsidR="003620D0">
        <w:rPr>
          <w:sz w:val="24"/>
          <w:szCs w:val="24"/>
        </w:rPr>
        <w:t>)</w:t>
      </w:r>
      <w:r w:rsidR="003620D0" w:rsidRPr="00AF3012">
        <w:rPr>
          <w:sz w:val="24"/>
          <w:szCs w:val="24"/>
        </w:rPr>
        <w:t>.</w:t>
      </w:r>
    </w:p>
    <w:p w:rsidR="003339F3" w:rsidRDefault="003339F3" w:rsidP="00DF185B">
      <w:pPr>
        <w:pStyle w:val="Titre3"/>
        <w:keepLines w:val="0"/>
        <w:numPr>
          <w:ilvl w:val="2"/>
          <w:numId w:val="87"/>
        </w:numPr>
        <w:spacing w:before="0" w:line="276" w:lineRule="auto"/>
        <w:jc w:val="both"/>
        <w:rPr>
          <w:rFonts w:asciiTheme="minorHAnsi" w:hAnsiTheme="minorHAnsi"/>
          <w:b/>
          <w:color w:val="000000" w:themeColor="text1"/>
        </w:rPr>
      </w:pPr>
      <w:bookmarkStart w:id="30" w:name="_Toc405708083"/>
      <w:r w:rsidRPr="00AF3012">
        <w:rPr>
          <w:rFonts w:asciiTheme="minorHAnsi" w:hAnsiTheme="minorHAnsi"/>
          <w:b/>
          <w:color w:val="000000" w:themeColor="text1"/>
        </w:rPr>
        <w:t>Mortalité maternelle</w:t>
      </w:r>
      <w:bookmarkEnd w:id="30"/>
      <w:r w:rsidRPr="00AF3012">
        <w:rPr>
          <w:rFonts w:asciiTheme="minorHAnsi" w:hAnsiTheme="minorHAnsi"/>
          <w:b/>
          <w:color w:val="000000" w:themeColor="text1"/>
        </w:rPr>
        <w:t xml:space="preserve"> et vies additionnelles sauvées</w:t>
      </w:r>
    </w:p>
    <w:p w:rsidR="003620D0" w:rsidRPr="003620D0" w:rsidRDefault="003620D0" w:rsidP="003620D0">
      <w:pPr>
        <w:tabs>
          <w:tab w:val="left" w:pos="900"/>
        </w:tabs>
        <w:jc w:val="both"/>
        <w:rPr>
          <w:sz w:val="24"/>
          <w:szCs w:val="24"/>
        </w:rPr>
      </w:pPr>
      <w:r w:rsidRPr="003620D0">
        <w:rPr>
          <w:sz w:val="24"/>
          <w:szCs w:val="24"/>
        </w:rPr>
        <w:t xml:space="preserve">En 2015, </w:t>
      </w:r>
      <w:r>
        <w:rPr>
          <w:sz w:val="24"/>
          <w:szCs w:val="24"/>
        </w:rPr>
        <w:t>le ratio de mortalité maternelle était</w:t>
      </w:r>
      <w:r w:rsidRPr="00AF3012">
        <w:rPr>
          <w:sz w:val="24"/>
          <w:szCs w:val="24"/>
        </w:rPr>
        <w:t xml:space="preserve"> estimé à 330 décès pour 100 000 naissances vivantes </w:t>
      </w:r>
      <w:r w:rsidRPr="003620D0">
        <w:rPr>
          <w:sz w:val="24"/>
          <w:szCs w:val="24"/>
        </w:rPr>
        <w:t xml:space="preserve">(EMDS 2015). </w:t>
      </w:r>
    </w:p>
    <w:p w:rsidR="003620D0" w:rsidRPr="003620D0" w:rsidRDefault="003620D0" w:rsidP="003620D0">
      <w:pPr>
        <w:tabs>
          <w:tab w:val="left" w:pos="900"/>
        </w:tabs>
        <w:jc w:val="both"/>
        <w:rPr>
          <w:sz w:val="24"/>
          <w:szCs w:val="24"/>
        </w:rPr>
      </w:pPr>
      <w:r w:rsidRPr="003620D0">
        <w:rPr>
          <w:sz w:val="24"/>
          <w:szCs w:val="24"/>
        </w:rPr>
        <w:t xml:space="preserve">Sur la base des projections de couvertures attendues et des interventions à mettre en œuvre, </w:t>
      </w:r>
      <w:r>
        <w:rPr>
          <w:sz w:val="24"/>
          <w:szCs w:val="24"/>
        </w:rPr>
        <w:t xml:space="preserve">le ratio de mortalité maternelle </w:t>
      </w:r>
      <w:r w:rsidRPr="003620D0">
        <w:rPr>
          <w:sz w:val="24"/>
          <w:szCs w:val="24"/>
        </w:rPr>
        <w:t xml:space="preserve">passerait de </w:t>
      </w:r>
      <w:r w:rsidRPr="00AF3012">
        <w:rPr>
          <w:sz w:val="24"/>
          <w:szCs w:val="24"/>
        </w:rPr>
        <w:t xml:space="preserve">330 </w:t>
      </w:r>
      <w:r w:rsidRPr="003620D0">
        <w:rPr>
          <w:sz w:val="24"/>
          <w:szCs w:val="24"/>
        </w:rPr>
        <w:t xml:space="preserve">à </w:t>
      </w:r>
      <w:r>
        <w:rPr>
          <w:sz w:val="24"/>
          <w:szCs w:val="24"/>
        </w:rPr>
        <w:t>231,23</w:t>
      </w:r>
      <w:r w:rsidRPr="00AF3012">
        <w:rPr>
          <w:sz w:val="24"/>
          <w:szCs w:val="24"/>
        </w:rPr>
        <w:t xml:space="preserve"> décès pour 100 000 naissances vivantes en 2023</w:t>
      </w:r>
      <w:r w:rsidRPr="003620D0">
        <w:rPr>
          <w:sz w:val="24"/>
          <w:szCs w:val="24"/>
        </w:rPr>
        <w:t>.</w:t>
      </w:r>
    </w:p>
    <w:p w:rsidR="003620D0" w:rsidRPr="003620D0" w:rsidRDefault="003620D0" w:rsidP="003620D0">
      <w:pPr>
        <w:tabs>
          <w:tab w:val="left" w:pos="900"/>
        </w:tabs>
        <w:jc w:val="both"/>
        <w:rPr>
          <w:sz w:val="24"/>
          <w:szCs w:val="24"/>
        </w:rPr>
      </w:pPr>
      <w:r w:rsidRPr="003620D0">
        <w:rPr>
          <w:sz w:val="24"/>
          <w:szCs w:val="24"/>
        </w:rPr>
        <w:t xml:space="preserve">Les interventions à mettre en œuvre dans le cadre du DI-SRMEAN permettront d’éviter </w:t>
      </w:r>
      <w:r>
        <w:rPr>
          <w:sz w:val="24"/>
          <w:szCs w:val="24"/>
        </w:rPr>
        <w:t>2 821</w:t>
      </w:r>
      <w:r w:rsidRPr="00AF3012">
        <w:rPr>
          <w:sz w:val="24"/>
          <w:szCs w:val="24"/>
        </w:rPr>
        <w:t xml:space="preserve"> </w:t>
      </w:r>
      <w:r w:rsidRPr="003620D0">
        <w:rPr>
          <w:sz w:val="24"/>
          <w:szCs w:val="24"/>
        </w:rPr>
        <w:t xml:space="preserve">décès additionnels sur les </w:t>
      </w:r>
      <w:r>
        <w:rPr>
          <w:sz w:val="24"/>
          <w:szCs w:val="24"/>
        </w:rPr>
        <w:t>13 086</w:t>
      </w:r>
      <w:r w:rsidRPr="00D271BF">
        <w:rPr>
          <w:sz w:val="24"/>
          <w:szCs w:val="24"/>
        </w:rPr>
        <w:t xml:space="preserve"> </w:t>
      </w:r>
      <w:r>
        <w:rPr>
          <w:sz w:val="24"/>
          <w:szCs w:val="24"/>
        </w:rPr>
        <w:t xml:space="preserve">décès de </w:t>
      </w:r>
      <w:r w:rsidRPr="00D271BF">
        <w:rPr>
          <w:sz w:val="24"/>
          <w:szCs w:val="24"/>
        </w:rPr>
        <w:t>femmes</w:t>
      </w:r>
      <w:r w:rsidRPr="003620D0">
        <w:rPr>
          <w:sz w:val="24"/>
          <w:szCs w:val="24"/>
        </w:rPr>
        <w:t xml:space="preserve"> attendus soit une réduction de </w:t>
      </w:r>
      <w:r>
        <w:rPr>
          <w:sz w:val="24"/>
          <w:szCs w:val="24"/>
        </w:rPr>
        <w:t>21,56</w:t>
      </w:r>
      <w:r w:rsidRPr="00D271BF">
        <w:rPr>
          <w:sz w:val="24"/>
          <w:szCs w:val="24"/>
        </w:rPr>
        <w:t>%.</w:t>
      </w:r>
    </w:p>
    <w:p w:rsidR="003339F3" w:rsidRPr="00AF3012" w:rsidRDefault="003339F3" w:rsidP="003339F3">
      <w:pPr>
        <w:jc w:val="both"/>
        <w:rPr>
          <w:rFonts w:cs="Arial"/>
          <w:b/>
          <w:color w:val="000000"/>
          <w:sz w:val="24"/>
          <w:szCs w:val="24"/>
        </w:rPr>
      </w:pPr>
      <w:r w:rsidRPr="00DC21C2">
        <w:rPr>
          <w:rFonts w:cs="Arial"/>
          <w:b/>
          <w:color w:val="000000"/>
          <w:sz w:val="24"/>
          <w:szCs w:val="24"/>
        </w:rPr>
        <w:t>Tabl</w:t>
      </w:r>
      <w:r w:rsidR="003373DE">
        <w:rPr>
          <w:rFonts w:cs="Arial"/>
          <w:b/>
          <w:color w:val="000000"/>
          <w:sz w:val="24"/>
          <w:szCs w:val="24"/>
        </w:rPr>
        <w:t>eau 14</w:t>
      </w:r>
      <w:r w:rsidR="003923DC">
        <w:rPr>
          <w:rFonts w:cs="Arial"/>
          <w:b/>
          <w:color w:val="000000"/>
          <w:sz w:val="24"/>
          <w:szCs w:val="24"/>
        </w:rPr>
        <w:t> : Nombre de vies sauvées (</w:t>
      </w:r>
      <w:r w:rsidRPr="00AF3012">
        <w:rPr>
          <w:rFonts w:cs="Arial"/>
          <w:b/>
          <w:color w:val="000000"/>
          <w:sz w:val="24"/>
          <w:szCs w:val="24"/>
        </w:rPr>
        <w:t>scénario moyen</w:t>
      </w:r>
      <w:r w:rsidR="003923DC">
        <w:rPr>
          <w:rFonts w:cs="Arial"/>
          <w:b/>
          <w:color w:val="000000"/>
          <w:sz w:val="24"/>
          <w:szCs w:val="24"/>
        </w:rPr>
        <w:t>)</w:t>
      </w:r>
    </w:p>
    <w:tbl>
      <w:tblPr>
        <w:tblW w:w="4928" w:type="pct"/>
        <w:jc w:val="center"/>
        <w:tblBorders>
          <w:top w:val="single" w:sz="4" w:space="0" w:color="auto"/>
          <w:left w:val="single" w:sz="4" w:space="0" w:color="auto"/>
          <w:bottom w:val="single" w:sz="4" w:space="0" w:color="auto"/>
          <w:right w:val="single" w:sz="4" w:space="0" w:color="auto"/>
        </w:tblBorders>
        <w:shd w:val="clear" w:color="auto" w:fill="FFFFFF" w:themeFill="background1"/>
        <w:tblLayout w:type="fixed"/>
        <w:tblCellMar>
          <w:left w:w="70" w:type="dxa"/>
          <w:right w:w="70" w:type="dxa"/>
        </w:tblCellMar>
        <w:tblLook w:val="04A0" w:firstRow="1" w:lastRow="0" w:firstColumn="1" w:lastColumn="0" w:noHBand="0" w:noVBand="1"/>
      </w:tblPr>
      <w:tblGrid>
        <w:gridCol w:w="3429"/>
        <w:gridCol w:w="1016"/>
        <w:gridCol w:w="866"/>
        <w:gridCol w:w="872"/>
        <w:gridCol w:w="870"/>
        <w:gridCol w:w="1015"/>
        <w:gridCol w:w="1011"/>
      </w:tblGrid>
      <w:tr w:rsidR="003339F3" w:rsidRPr="00B8058A" w:rsidTr="00370245">
        <w:trPr>
          <w:trHeight w:val="285"/>
          <w:jc w:val="center"/>
        </w:trPr>
        <w:tc>
          <w:tcPr>
            <w:tcW w:w="1888" w:type="pct"/>
            <w:tcBorders>
              <w:top w:val="single" w:sz="4" w:space="0" w:color="auto"/>
              <w:bottom w:val="single" w:sz="4" w:space="0" w:color="auto"/>
            </w:tcBorders>
            <w:shd w:val="clear" w:color="auto" w:fill="FFFFFF" w:themeFill="background1"/>
            <w:noWrap/>
            <w:vAlign w:val="center"/>
            <w:hideMark/>
          </w:tcPr>
          <w:p w:rsidR="003339F3" w:rsidRPr="00B8058A" w:rsidRDefault="003339F3" w:rsidP="003339F3">
            <w:pPr>
              <w:spacing w:after="0" w:line="360" w:lineRule="auto"/>
              <w:rPr>
                <w:rFonts w:eastAsia="Times New Roman"/>
                <w:b/>
                <w:color w:val="000000"/>
                <w:sz w:val="24"/>
                <w:szCs w:val="24"/>
              </w:rPr>
            </w:pPr>
            <w:r w:rsidRPr="00B8058A">
              <w:rPr>
                <w:rFonts w:eastAsia="Times New Roman"/>
                <w:b/>
                <w:color w:val="000000"/>
                <w:sz w:val="24"/>
                <w:szCs w:val="24"/>
              </w:rPr>
              <w:t>Vie additionnelles sauvées</w:t>
            </w:r>
            <w:r w:rsidR="00E93B65">
              <w:rPr>
                <w:rFonts w:eastAsia="Times New Roman"/>
                <w:b/>
                <w:color w:val="000000"/>
                <w:sz w:val="24"/>
                <w:szCs w:val="24"/>
              </w:rPr>
              <w:t xml:space="preserve"> de</w:t>
            </w:r>
          </w:p>
        </w:tc>
        <w:tc>
          <w:tcPr>
            <w:tcW w:w="559" w:type="pct"/>
            <w:tcBorders>
              <w:top w:val="single" w:sz="4" w:space="0" w:color="auto"/>
              <w:bottom w:val="single" w:sz="4" w:space="0" w:color="auto"/>
            </w:tcBorders>
            <w:shd w:val="clear" w:color="auto" w:fill="FFFFFF" w:themeFill="background1"/>
            <w:noWrap/>
            <w:vAlign w:val="center"/>
            <w:hideMark/>
          </w:tcPr>
          <w:p w:rsidR="003339F3" w:rsidRPr="00B8058A" w:rsidRDefault="003339F3" w:rsidP="003339F3">
            <w:pPr>
              <w:spacing w:after="0" w:line="360" w:lineRule="auto"/>
              <w:jc w:val="center"/>
              <w:rPr>
                <w:rFonts w:eastAsia="Times New Roman"/>
                <w:b/>
                <w:bCs/>
                <w:color w:val="000000"/>
                <w:sz w:val="24"/>
                <w:szCs w:val="24"/>
              </w:rPr>
            </w:pPr>
            <w:r w:rsidRPr="00B8058A">
              <w:rPr>
                <w:rFonts w:eastAsia="Times New Roman"/>
                <w:b/>
                <w:bCs/>
                <w:color w:val="000000"/>
                <w:sz w:val="24"/>
                <w:szCs w:val="24"/>
              </w:rPr>
              <w:t>2 019</w:t>
            </w:r>
          </w:p>
        </w:tc>
        <w:tc>
          <w:tcPr>
            <w:tcW w:w="477" w:type="pct"/>
            <w:tcBorders>
              <w:top w:val="single" w:sz="4" w:space="0" w:color="auto"/>
              <w:bottom w:val="single" w:sz="4" w:space="0" w:color="auto"/>
            </w:tcBorders>
            <w:shd w:val="clear" w:color="auto" w:fill="FFFFFF" w:themeFill="background1"/>
            <w:noWrap/>
            <w:vAlign w:val="center"/>
            <w:hideMark/>
          </w:tcPr>
          <w:p w:rsidR="003339F3" w:rsidRPr="00B8058A" w:rsidRDefault="003339F3" w:rsidP="003339F3">
            <w:pPr>
              <w:spacing w:after="0" w:line="360" w:lineRule="auto"/>
              <w:jc w:val="center"/>
              <w:rPr>
                <w:rFonts w:eastAsia="Times New Roman"/>
                <w:b/>
                <w:bCs/>
                <w:color w:val="000000"/>
                <w:sz w:val="24"/>
                <w:szCs w:val="24"/>
              </w:rPr>
            </w:pPr>
            <w:r w:rsidRPr="00B8058A">
              <w:rPr>
                <w:rFonts w:eastAsia="Times New Roman"/>
                <w:b/>
                <w:bCs/>
                <w:color w:val="000000"/>
                <w:sz w:val="24"/>
                <w:szCs w:val="24"/>
              </w:rPr>
              <w:t>2 020</w:t>
            </w:r>
          </w:p>
        </w:tc>
        <w:tc>
          <w:tcPr>
            <w:tcW w:w="480" w:type="pct"/>
            <w:tcBorders>
              <w:top w:val="single" w:sz="4" w:space="0" w:color="auto"/>
              <w:bottom w:val="single" w:sz="4" w:space="0" w:color="auto"/>
            </w:tcBorders>
            <w:shd w:val="clear" w:color="auto" w:fill="FFFFFF" w:themeFill="background1"/>
            <w:noWrap/>
            <w:vAlign w:val="center"/>
            <w:hideMark/>
          </w:tcPr>
          <w:p w:rsidR="003339F3" w:rsidRPr="00B8058A" w:rsidRDefault="003339F3" w:rsidP="003339F3">
            <w:pPr>
              <w:spacing w:after="0" w:line="360" w:lineRule="auto"/>
              <w:jc w:val="center"/>
              <w:rPr>
                <w:rFonts w:eastAsia="Times New Roman"/>
                <w:b/>
                <w:bCs/>
                <w:color w:val="000000"/>
                <w:sz w:val="24"/>
                <w:szCs w:val="24"/>
              </w:rPr>
            </w:pPr>
            <w:r w:rsidRPr="00B8058A">
              <w:rPr>
                <w:rFonts w:eastAsia="Times New Roman"/>
                <w:b/>
                <w:bCs/>
                <w:color w:val="000000"/>
                <w:sz w:val="24"/>
                <w:szCs w:val="24"/>
              </w:rPr>
              <w:t>2 021</w:t>
            </w:r>
          </w:p>
        </w:tc>
        <w:tc>
          <w:tcPr>
            <w:tcW w:w="479" w:type="pct"/>
            <w:tcBorders>
              <w:top w:val="single" w:sz="4" w:space="0" w:color="auto"/>
              <w:bottom w:val="single" w:sz="4" w:space="0" w:color="auto"/>
            </w:tcBorders>
            <w:shd w:val="clear" w:color="auto" w:fill="FFFFFF" w:themeFill="background1"/>
            <w:noWrap/>
            <w:vAlign w:val="center"/>
            <w:hideMark/>
          </w:tcPr>
          <w:p w:rsidR="003339F3" w:rsidRPr="00B8058A" w:rsidRDefault="003339F3" w:rsidP="003339F3">
            <w:pPr>
              <w:spacing w:after="0" w:line="360" w:lineRule="auto"/>
              <w:jc w:val="center"/>
              <w:rPr>
                <w:rFonts w:eastAsia="Times New Roman"/>
                <w:b/>
                <w:bCs/>
                <w:color w:val="000000"/>
                <w:sz w:val="24"/>
                <w:szCs w:val="24"/>
              </w:rPr>
            </w:pPr>
            <w:r w:rsidRPr="00B8058A">
              <w:rPr>
                <w:rFonts w:eastAsia="Times New Roman"/>
                <w:b/>
                <w:bCs/>
                <w:color w:val="000000"/>
                <w:sz w:val="24"/>
                <w:szCs w:val="24"/>
              </w:rPr>
              <w:t>2 022</w:t>
            </w:r>
          </w:p>
        </w:tc>
        <w:tc>
          <w:tcPr>
            <w:tcW w:w="559" w:type="pct"/>
            <w:tcBorders>
              <w:top w:val="single" w:sz="4" w:space="0" w:color="auto"/>
              <w:bottom w:val="single" w:sz="4" w:space="0" w:color="auto"/>
            </w:tcBorders>
            <w:shd w:val="clear" w:color="auto" w:fill="FFFFFF" w:themeFill="background1"/>
            <w:noWrap/>
            <w:vAlign w:val="center"/>
            <w:hideMark/>
          </w:tcPr>
          <w:p w:rsidR="003339F3" w:rsidRPr="00B8058A" w:rsidRDefault="003339F3" w:rsidP="003339F3">
            <w:pPr>
              <w:spacing w:after="0" w:line="360" w:lineRule="auto"/>
              <w:jc w:val="center"/>
              <w:rPr>
                <w:rFonts w:eastAsia="Times New Roman"/>
                <w:b/>
                <w:bCs/>
                <w:color w:val="000000"/>
                <w:sz w:val="24"/>
                <w:szCs w:val="24"/>
              </w:rPr>
            </w:pPr>
            <w:r w:rsidRPr="00B8058A">
              <w:rPr>
                <w:rFonts w:eastAsia="Times New Roman"/>
                <w:b/>
                <w:bCs/>
                <w:color w:val="000000"/>
                <w:sz w:val="24"/>
                <w:szCs w:val="24"/>
              </w:rPr>
              <w:t>2 023</w:t>
            </w:r>
          </w:p>
        </w:tc>
        <w:tc>
          <w:tcPr>
            <w:tcW w:w="557" w:type="pct"/>
            <w:tcBorders>
              <w:top w:val="single" w:sz="4" w:space="0" w:color="auto"/>
              <w:bottom w:val="single" w:sz="4" w:space="0" w:color="auto"/>
            </w:tcBorders>
            <w:shd w:val="clear" w:color="auto" w:fill="FFFFFF" w:themeFill="background1"/>
            <w:noWrap/>
            <w:vAlign w:val="center"/>
            <w:hideMark/>
          </w:tcPr>
          <w:p w:rsidR="003339F3" w:rsidRPr="00B8058A" w:rsidRDefault="003339F3" w:rsidP="003339F3">
            <w:pPr>
              <w:spacing w:after="0" w:line="360" w:lineRule="auto"/>
              <w:jc w:val="center"/>
              <w:rPr>
                <w:rFonts w:eastAsia="Times New Roman"/>
                <w:b/>
                <w:bCs/>
                <w:color w:val="000000"/>
                <w:sz w:val="24"/>
                <w:szCs w:val="24"/>
              </w:rPr>
            </w:pPr>
            <w:r w:rsidRPr="00B8058A">
              <w:rPr>
                <w:rFonts w:eastAsia="Times New Roman"/>
                <w:b/>
                <w:bCs/>
                <w:color w:val="000000"/>
                <w:sz w:val="24"/>
                <w:szCs w:val="24"/>
              </w:rPr>
              <w:t>TOTAL</w:t>
            </w:r>
          </w:p>
        </w:tc>
      </w:tr>
      <w:tr w:rsidR="003339F3" w:rsidRPr="00B8058A" w:rsidTr="00370245">
        <w:trPr>
          <w:trHeight w:val="285"/>
          <w:jc w:val="center"/>
        </w:trPr>
        <w:tc>
          <w:tcPr>
            <w:tcW w:w="1888" w:type="pct"/>
            <w:tcBorders>
              <w:top w:val="single" w:sz="4" w:space="0" w:color="auto"/>
            </w:tcBorders>
            <w:shd w:val="clear" w:color="auto" w:fill="FFFFFF" w:themeFill="background1"/>
            <w:vAlign w:val="center"/>
            <w:hideMark/>
          </w:tcPr>
          <w:p w:rsidR="003339F3" w:rsidRPr="00B8058A" w:rsidRDefault="00E93B65" w:rsidP="003339F3">
            <w:pPr>
              <w:spacing w:after="0"/>
              <w:rPr>
                <w:rFonts w:eastAsia="Times New Roman"/>
                <w:color w:val="000000"/>
                <w:sz w:val="24"/>
                <w:szCs w:val="24"/>
              </w:rPr>
            </w:pPr>
            <w:r>
              <w:rPr>
                <w:rFonts w:eastAsia="Times New Roman"/>
                <w:color w:val="000000"/>
                <w:sz w:val="24"/>
                <w:szCs w:val="24"/>
              </w:rPr>
              <w:t>N</w:t>
            </w:r>
            <w:r w:rsidR="003339F3" w:rsidRPr="00B8058A">
              <w:rPr>
                <w:rFonts w:eastAsia="Times New Roman"/>
                <w:color w:val="000000"/>
                <w:sz w:val="24"/>
                <w:szCs w:val="24"/>
              </w:rPr>
              <w:t>ouveaux nés</w:t>
            </w:r>
          </w:p>
        </w:tc>
        <w:tc>
          <w:tcPr>
            <w:tcW w:w="559" w:type="pct"/>
            <w:tcBorders>
              <w:top w:val="single" w:sz="4" w:space="0" w:color="auto"/>
            </w:tcBorders>
            <w:shd w:val="clear" w:color="auto" w:fill="FFFFFF" w:themeFill="background1"/>
            <w:noWrap/>
            <w:vAlign w:val="center"/>
            <w:hideMark/>
          </w:tcPr>
          <w:p w:rsidR="003339F3" w:rsidRPr="00D271BF" w:rsidRDefault="003339F3" w:rsidP="007D7380">
            <w:pPr>
              <w:spacing w:after="0" w:line="240" w:lineRule="auto"/>
              <w:jc w:val="right"/>
              <w:rPr>
                <w:rFonts w:eastAsia="Times New Roman"/>
                <w:bCs/>
                <w:color w:val="000000"/>
              </w:rPr>
            </w:pPr>
            <w:r w:rsidRPr="00D271BF">
              <w:rPr>
                <w:rFonts w:eastAsia="Times New Roman"/>
                <w:bCs/>
                <w:color w:val="000000"/>
              </w:rPr>
              <w:t>2 670</w:t>
            </w:r>
          </w:p>
        </w:tc>
        <w:tc>
          <w:tcPr>
            <w:tcW w:w="477" w:type="pct"/>
            <w:tcBorders>
              <w:top w:val="single" w:sz="4" w:space="0" w:color="auto"/>
            </w:tcBorders>
            <w:shd w:val="clear" w:color="auto" w:fill="FFFFFF" w:themeFill="background1"/>
            <w:noWrap/>
            <w:vAlign w:val="center"/>
            <w:hideMark/>
          </w:tcPr>
          <w:p w:rsidR="003339F3" w:rsidRPr="00D271BF" w:rsidRDefault="003339F3" w:rsidP="007D7380">
            <w:pPr>
              <w:spacing w:after="0" w:line="240" w:lineRule="auto"/>
              <w:jc w:val="right"/>
              <w:rPr>
                <w:rFonts w:eastAsia="Times New Roman"/>
                <w:bCs/>
                <w:color w:val="000000"/>
              </w:rPr>
            </w:pPr>
            <w:r w:rsidRPr="00D271BF">
              <w:rPr>
                <w:rFonts w:eastAsia="Times New Roman"/>
                <w:bCs/>
                <w:color w:val="000000"/>
              </w:rPr>
              <w:t>4 800</w:t>
            </w:r>
          </w:p>
        </w:tc>
        <w:tc>
          <w:tcPr>
            <w:tcW w:w="480" w:type="pct"/>
            <w:tcBorders>
              <w:top w:val="single" w:sz="4" w:space="0" w:color="auto"/>
            </w:tcBorders>
            <w:shd w:val="clear" w:color="auto" w:fill="FFFFFF" w:themeFill="background1"/>
            <w:noWrap/>
            <w:vAlign w:val="center"/>
            <w:hideMark/>
          </w:tcPr>
          <w:p w:rsidR="003339F3" w:rsidRPr="00D271BF" w:rsidRDefault="003339F3" w:rsidP="007D7380">
            <w:pPr>
              <w:spacing w:after="0" w:line="240" w:lineRule="auto"/>
              <w:jc w:val="right"/>
              <w:rPr>
                <w:rFonts w:eastAsia="Times New Roman"/>
                <w:bCs/>
                <w:color w:val="000000"/>
              </w:rPr>
            </w:pPr>
            <w:r w:rsidRPr="00D271BF">
              <w:rPr>
                <w:rFonts w:eastAsia="Times New Roman"/>
                <w:bCs/>
                <w:color w:val="000000"/>
              </w:rPr>
              <w:t>6 411</w:t>
            </w:r>
          </w:p>
        </w:tc>
        <w:tc>
          <w:tcPr>
            <w:tcW w:w="479" w:type="pct"/>
            <w:tcBorders>
              <w:top w:val="single" w:sz="4" w:space="0" w:color="auto"/>
            </w:tcBorders>
            <w:shd w:val="clear" w:color="auto" w:fill="FFFFFF" w:themeFill="background1"/>
            <w:noWrap/>
            <w:vAlign w:val="center"/>
            <w:hideMark/>
          </w:tcPr>
          <w:p w:rsidR="003339F3" w:rsidRPr="00D271BF" w:rsidRDefault="003339F3" w:rsidP="007D7380">
            <w:pPr>
              <w:spacing w:after="0" w:line="240" w:lineRule="auto"/>
              <w:jc w:val="right"/>
              <w:rPr>
                <w:rFonts w:eastAsia="Times New Roman"/>
                <w:bCs/>
                <w:color w:val="000000"/>
              </w:rPr>
            </w:pPr>
            <w:r w:rsidRPr="00D271BF">
              <w:rPr>
                <w:rFonts w:eastAsia="Times New Roman"/>
                <w:bCs/>
                <w:color w:val="000000"/>
              </w:rPr>
              <w:t>7 691</w:t>
            </w:r>
          </w:p>
        </w:tc>
        <w:tc>
          <w:tcPr>
            <w:tcW w:w="559" w:type="pct"/>
            <w:tcBorders>
              <w:top w:val="single" w:sz="4" w:space="0" w:color="auto"/>
            </w:tcBorders>
            <w:shd w:val="clear" w:color="auto" w:fill="FFFFFF" w:themeFill="background1"/>
            <w:noWrap/>
            <w:vAlign w:val="center"/>
            <w:hideMark/>
          </w:tcPr>
          <w:p w:rsidR="003339F3" w:rsidRPr="00D271BF" w:rsidRDefault="003339F3" w:rsidP="007D7380">
            <w:pPr>
              <w:spacing w:after="0" w:line="240" w:lineRule="auto"/>
              <w:jc w:val="right"/>
              <w:rPr>
                <w:rFonts w:eastAsia="Times New Roman"/>
                <w:bCs/>
                <w:color w:val="000000"/>
              </w:rPr>
            </w:pPr>
            <w:r w:rsidRPr="00D271BF">
              <w:rPr>
                <w:rFonts w:eastAsia="Times New Roman"/>
                <w:bCs/>
                <w:color w:val="000000"/>
              </w:rPr>
              <w:t>8 980</w:t>
            </w:r>
          </w:p>
        </w:tc>
        <w:tc>
          <w:tcPr>
            <w:tcW w:w="557" w:type="pct"/>
            <w:tcBorders>
              <w:top w:val="single" w:sz="4" w:space="0" w:color="auto"/>
            </w:tcBorders>
            <w:shd w:val="clear" w:color="auto" w:fill="FFFFFF" w:themeFill="background1"/>
            <w:noWrap/>
            <w:vAlign w:val="center"/>
            <w:hideMark/>
          </w:tcPr>
          <w:p w:rsidR="003339F3" w:rsidRPr="00D271BF" w:rsidRDefault="003339F3" w:rsidP="007D7380">
            <w:pPr>
              <w:spacing w:after="0" w:line="240" w:lineRule="auto"/>
              <w:jc w:val="right"/>
              <w:rPr>
                <w:rFonts w:eastAsia="Times New Roman"/>
                <w:b/>
                <w:color w:val="000000"/>
              </w:rPr>
            </w:pPr>
            <w:r w:rsidRPr="00D271BF">
              <w:rPr>
                <w:rFonts w:eastAsia="Times New Roman"/>
                <w:b/>
                <w:color w:val="000000"/>
              </w:rPr>
              <w:t>30 552</w:t>
            </w:r>
          </w:p>
        </w:tc>
      </w:tr>
      <w:tr w:rsidR="003339F3" w:rsidRPr="00B8058A" w:rsidTr="00370245">
        <w:trPr>
          <w:trHeight w:val="570"/>
          <w:jc w:val="center"/>
        </w:trPr>
        <w:tc>
          <w:tcPr>
            <w:tcW w:w="1888" w:type="pct"/>
            <w:shd w:val="clear" w:color="auto" w:fill="FFFFFF" w:themeFill="background1"/>
            <w:vAlign w:val="center"/>
            <w:hideMark/>
          </w:tcPr>
          <w:p w:rsidR="003339F3" w:rsidRPr="00B8058A" w:rsidRDefault="00E93B65" w:rsidP="003339F3">
            <w:pPr>
              <w:spacing w:after="0"/>
              <w:rPr>
                <w:rFonts w:eastAsia="Times New Roman"/>
                <w:color w:val="000000"/>
                <w:sz w:val="24"/>
                <w:szCs w:val="24"/>
              </w:rPr>
            </w:pPr>
            <w:r>
              <w:rPr>
                <w:rFonts w:eastAsia="Times New Roman"/>
                <w:color w:val="000000"/>
                <w:sz w:val="24"/>
                <w:szCs w:val="24"/>
              </w:rPr>
              <w:t>E</w:t>
            </w:r>
            <w:r w:rsidR="003339F3" w:rsidRPr="00B8058A">
              <w:rPr>
                <w:rFonts w:eastAsia="Times New Roman"/>
                <w:color w:val="000000"/>
                <w:sz w:val="24"/>
                <w:szCs w:val="24"/>
              </w:rPr>
              <w:t xml:space="preserve">nfants de moins de 5 ans  </w:t>
            </w:r>
          </w:p>
        </w:tc>
        <w:tc>
          <w:tcPr>
            <w:tcW w:w="559"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 xml:space="preserve">16 999   </w:t>
            </w:r>
          </w:p>
        </w:tc>
        <w:tc>
          <w:tcPr>
            <w:tcW w:w="477"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 xml:space="preserve">22 356   </w:t>
            </w:r>
          </w:p>
        </w:tc>
        <w:tc>
          <w:tcPr>
            <w:tcW w:w="480"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 xml:space="preserve">26 790   </w:t>
            </w:r>
          </w:p>
        </w:tc>
        <w:tc>
          <w:tcPr>
            <w:tcW w:w="479"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 xml:space="preserve">30 614   </w:t>
            </w:r>
          </w:p>
        </w:tc>
        <w:tc>
          <w:tcPr>
            <w:tcW w:w="559"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 xml:space="preserve">34 058   </w:t>
            </w:r>
          </w:p>
        </w:tc>
        <w:tc>
          <w:tcPr>
            <w:tcW w:w="557"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
                <w:bCs/>
                <w:color w:val="000000"/>
              </w:rPr>
            </w:pPr>
            <w:r w:rsidRPr="00516BE7">
              <w:rPr>
                <w:rFonts w:eastAsia="Times New Roman"/>
                <w:b/>
                <w:bCs/>
                <w:color w:val="000000"/>
              </w:rPr>
              <w:t xml:space="preserve">130 817   </w:t>
            </w:r>
          </w:p>
        </w:tc>
      </w:tr>
      <w:tr w:rsidR="003339F3" w:rsidRPr="00B8058A" w:rsidTr="00370245">
        <w:trPr>
          <w:trHeight w:val="285"/>
          <w:jc w:val="center"/>
        </w:trPr>
        <w:tc>
          <w:tcPr>
            <w:tcW w:w="1888" w:type="pct"/>
            <w:shd w:val="clear" w:color="auto" w:fill="FFFFFF" w:themeFill="background1"/>
            <w:vAlign w:val="center"/>
            <w:hideMark/>
          </w:tcPr>
          <w:p w:rsidR="003339F3" w:rsidRPr="00B8058A" w:rsidRDefault="00E93B65" w:rsidP="003339F3">
            <w:pPr>
              <w:spacing w:after="0"/>
              <w:rPr>
                <w:rFonts w:eastAsia="Times New Roman"/>
                <w:color w:val="000000"/>
                <w:sz w:val="24"/>
                <w:szCs w:val="24"/>
              </w:rPr>
            </w:pPr>
            <w:r>
              <w:rPr>
                <w:rFonts w:eastAsia="Times New Roman"/>
                <w:color w:val="000000"/>
                <w:sz w:val="24"/>
                <w:szCs w:val="24"/>
              </w:rPr>
              <w:t>M</w:t>
            </w:r>
            <w:r w:rsidR="003339F3" w:rsidRPr="00B8058A">
              <w:rPr>
                <w:rFonts w:eastAsia="Times New Roman"/>
                <w:color w:val="000000"/>
                <w:sz w:val="24"/>
                <w:szCs w:val="24"/>
              </w:rPr>
              <w:t xml:space="preserve">ères </w:t>
            </w:r>
          </w:p>
        </w:tc>
        <w:tc>
          <w:tcPr>
            <w:tcW w:w="559"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263</w:t>
            </w:r>
          </w:p>
        </w:tc>
        <w:tc>
          <w:tcPr>
            <w:tcW w:w="477"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417</w:t>
            </w:r>
          </w:p>
        </w:tc>
        <w:tc>
          <w:tcPr>
            <w:tcW w:w="480"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568</w:t>
            </w:r>
          </w:p>
        </w:tc>
        <w:tc>
          <w:tcPr>
            <w:tcW w:w="479"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715</w:t>
            </w:r>
          </w:p>
        </w:tc>
        <w:tc>
          <w:tcPr>
            <w:tcW w:w="559"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Cs/>
                <w:color w:val="000000"/>
              </w:rPr>
            </w:pPr>
            <w:r w:rsidRPr="00516BE7">
              <w:rPr>
                <w:rFonts w:eastAsia="Times New Roman"/>
                <w:bCs/>
                <w:color w:val="000000"/>
              </w:rPr>
              <w:t>858</w:t>
            </w:r>
          </w:p>
        </w:tc>
        <w:tc>
          <w:tcPr>
            <w:tcW w:w="557" w:type="pct"/>
            <w:shd w:val="clear" w:color="auto" w:fill="FFFFFF" w:themeFill="background1"/>
            <w:noWrap/>
            <w:vAlign w:val="center"/>
            <w:hideMark/>
          </w:tcPr>
          <w:p w:rsidR="003339F3" w:rsidRPr="00516BE7" w:rsidRDefault="003339F3" w:rsidP="007D7380">
            <w:pPr>
              <w:spacing w:after="0" w:line="240" w:lineRule="auto"/>
              <w:jc w:val="right"/>
              <w:rPr>
                <w:rFonts w:eastAsia="Times New Roman"/>
                <w:b/>
                <w:bCs/>
                <w:color w:val="000000"/>
              </w:rPr>
            </w:pPr>
            <w:r w:rsidRPr="00516BE7">
              <w:rPr>
                <w:rFonts w:eastAsia="Times New Roman"/>
                <w:b/>
                <w:bCs/>
                <w:color w:val="000000"/>
              </w:rPr>
              <w:t>2821</w:t>
            </w:r>
          </w:p>
        </w:tc>
      </w:tr>
    </w:tbl>
    <w:p w:rsidR="003339F3" w:rsidRPr="00EF2147" w:rsidRDefault="00493F71" w:rsidP="00DF185B">
      <w:pPr>
        <w:pStyle w:val="Titre3"/>
        <w:keepLines w:val="0"/>
        <w:numPr>
          <w:ilvl w:val="2"/>
          <w:numId w:val="87"/>
        </w:numPr>
        <w:spacing w:before="0" w:line="276" w:lineRule="auto"/>
        <w:ind w:left="709" w:hanging="709"/>
        <w:jc w:val="both"/>
        <w:rPr>
          <w:rFonts w:asciiTheme="minorHAnsi" w:hAnsiTheme="minorHAnsi"/>
          <w:b/>
          <w:color w:val="000000" w:themeColor="text1"/>
        </w:rPr>
      </w:pPr>
      <w:bookmarkStart w:id="31" w:name="_Toc405708084"/>
      <w:r>
        <w:rPr>
          <w:rFonts w:asciiTheme="minorHAnsi" w:hAnsiTheme="minorHAnsi"/>
          <w:b/>
          <w:color w:val="000000" w:themeColor="text1"/>
        </w:rPr>
        <w:t xml:space="preserve">Evolution </w:t>
      </w:r>
      <w:r w:rsidRPr="00EF2147">
        <w:rPr>
          <w:rFonts w:asciiTheme="minorHAnsi" w:hAnsiTheme="minorHAnsi"/>
          <w:b/>
          <w:color w:val="000000" w:themeColor="text1"/>
        </w:rPr>
        <w:t xml:space="preserve">de la réduction des taux de </w:t>
      </w:r>
      <w:bookmarkEnd w:id="31"/>
      <w:r w:rsidRPr="00EF2147">
        <w:rPr>
          <w:rFonts w:asciiTheme="minorHAnsi" w:hAnsiTheme="minorHAnsi"/>
          <w:b/>
          <w:color w:val="000000" w:themeColor="text1"/>
        </w:rPr>
        <w:t>mortalité</w:t>
      </w:r>
      <w:r>
        <w:rPr>
          <w:rFonts w:asciiTheme="minorHAnsi" w:hAnsiTheme="minorHAnsi"/>
          <w:b/>
          <w:color w:val="000000" w:themeColor="text1"/>
        </w:rPr>
        <w:t xml:space="preserve"> selon les 3 scénarios</w:t>
      </w:r>
    </w:p>
    <w:p w:rsidR="00A17025" w:rsidRDefault="00BC47E4" w:rsidP="00A17025">
      <w:pPr>
        <w:tabs>
          <w:tab w:val="left" w:pos="900"/>
        </w:tabs>
        <w:spacing w:after="0"/>
        <w:jc w:val="both"/>
        <w:rPr>
          <w:sz w:val="24"/>
          <w:szCs w:val="24"/>
        </w:rPr>
      </w:pPr>
      <w:r>
        <w:rPr>
          <w:sz w:val="24"/>
          <w:szCs w:val="24"/>
        </w:rPr>
        <w:t xml:space="preserve">L’impact obtenu avec les projections selon le scénario minimum n’est pas satisfaisant et celui attribué au scénario maximum semble trop ambitieux. </w:t>
      </w:r>
      <w:r w:rsidR="003339F3" w:rsidRPr="00DC21C2">
        <w:rPr>
          <w:sz w:val="24"/>
          <w:szCs w:val="24"/>
        </w:rPr>
        <w:t xml:space="preserve"> </w:t>
      </w:r>
    </w:p>
    <w:p w:rsidR="003339F3" w:rsidRDefault="00A17025" w:rsidP="00A17025">
      <w:pPr>
        <w:tabs>
          <w:tab w:val="left" w:pos="900"/>
        </w:tabs>
        <w:spacing w:after="0"/>
        <w:jc w:val="both"/>
        <w:rPr>
          <w:sz w:val="24"/>
          <w:szCs w:val="24"/>
        </w:rPr>
      </w:pPr>
      <w:r>
        <w:rPr>
          <w:sz w:val="24"/>
          <w:szCs w:val="24"/>
        </w:rPr>
        <w:t xml:space="preserve">Les projections avec le scénario moyen ou tendanciel semblent plus réalistes à la fois en termes de moyens à mobiliser et de résultats. </w:t>
      </w:r>
      <w:r w:rsidR="003339F3" w:rsidRPr="00DC21C2">
        <w:rPr>
          <w:sz w:val="24"/>
          <w:szCs w:val="24"/>
        </w:rPr>
        <w:t xml:space="preserve"> </w:t>
      </w:r>
    </w:p>
    <w:p w:rsidR="003339F3" w:rsidRDefault="003339F3" w:rsidP="00A17025">
      <w:pPr>
        <w:tabs>
          <w:tab w:val="left" w:pos="900"/>
        </w:tabs>
        <w:spacing w:after="0" w:line="360" w:lineRule="auto"/>
        <w:jc w:val="center"/>
        <w:rPr>
          <w:rFonts w:cs="Arial"/>
          <w:b/>
          <w:color w:val="000000"/>
          <w:sz w:val="24"/>
          <w:szCs w:val="24"/>
        </w:rPr>
      </w:pPr>
      <w:r>
        <w:rPr>
          <w:rFonts w:cs="Arial"/>
          <w:b/>
          <w:color w:val="000000"/>
          <w:sz w:val="24"/>
          <w:szCs w:val="24"/>
        </w:rPr>
        <w:t>Graphique</w:t>
      </w:r>
      <w:r w:rsidR="000571B9">
        <w:rPr>
          <w:rFonts w:cs="Arial"/>
          <w:b/>
          <w:color w:val="000000"/>
          <w:sz w:val="24"/>
          <w:szCs w:val="24"/>
        </w:rPr>
        <w:t xml:space="preserve"> n° 36</w:t>
      </w:r>
      <w:r>
        <w:rPr>
          <w:rFonts w:cs="Arial"/>
          <w:b/>
          <w:color w:val="000000"/>
          <w:sz w:val="24"/>
          <w:szCs w:val="24"/>
        </w:rPr>
        <w:t> : Evolution de la mortalité néonatale par scénario</w:t>
      </w:r>
    </w:p>
    <w:p w:rsidR="003339F3" w:rsidRDefault="003339F3" w:rsidP="00A17025">
      <w:pPr>
        <w:tabs>
          <w:tab w:val="left" w:pos="900"/>
        </w:tabs>
        <w:spacing w:after="0" w:line="360" w:lineRule="auto"/>
        <w:jc w:val="center"/>
        <w:rPr>
          <w:rFonts w:cs="Arial"/>
          <w:b/>
          <w:color w:val="000000"/>
          <w:sz w:val="24"/>
          <w:szCs w:val="24"/>
        </w:rPr>
      </w:pPr>
      <w:r w:rsidRPr="005851E3">
        <w:rPr>
          <w:noProof/>
          <w:highlight w:val="yellow"/>
        </w:rPr>
        <w:drawing>
          <wp:inline distT="0" distB="0" distL="0" distR="0">
            <wp:extent cx="4895850" cy="3457575"/>
            <wp:effectExtent l="19050" t="0" r="19050" b="0"/>
            <wp:docPr id="69" name="Graphiqu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3339F3" w:rsidRDefault="003339F3" w:rsidP="00A17025">
      <w:pPr>
        <w:tabs>
          <w:tab w:val="left" w:pos="900"/>
        </w:tabs>
        <w:spacing w:after="0" w:line="360" w:lineRule="auto"/>
        <w:jc w:val="center"/>
        <w:rPr>
          <w:rFonts w:cs="Arial"/>
          <w:b/>
          <w:color w:val="000000"/>
          <w:sz w:val="24"/>
          <w:szCs w:val="24"/>
        </w:rPr>
      </w:pPr>
      <w:r>
        <w:rPr>
          <w:rFonts w:cs="Arial"/>
          <w:b/>
          <w:color w:val="000000"/>
          <w:sz w:val="24"/>
          <w:szCs w:val="24"/>
        </w:rPr>
        <w:t>Graphique</w:t>
      </w:r>
      <w:r w:rsidR="000571B9">
        <w:rPr>
          <w:rFonts w:cs="Arial"/>
          <w:b/>
          <w:color w:val="000000"/>
          <w:sz w:val="24"/>
          <w:szCs w:val="24"/>
        </w:rPr>
        <w:t xml:space="preserve"> n° 37</w:t>
      </w:r>
      <w:r>
        <w:rPr>
          <w:rFonts w:cs="Arial"/>
          <w:b/>
          <w:color w:val="000000"/>
          <w:sz w:val="24"/>
          <w:szCs w:val="24"/>
        </w:rPr>
        <w:t> : Evolution de la mortalité infanto - juvénile par scénario</w:t>
      </w:r>
    </w:p>
    <w:p w:rsidR="003339F3" w:rsidRDefault="003339F3" w:rsidP="00A17025">
      <w:pPr>
        <w:tabs>
          <w:tab w:val="left" w:pos="900"/>
        </w:tabs>
        <w:spacing w:after="0" w:line="360" w:lineRule="auto"/>
        <w:jc w:val="center"/>
        <w:rPr>
          <w:rFonts w:cs="Arial"/>
          <w:b/>
          <w:color w:val="000000"/>
          <w:sz w:val="24"/>
          <w:szCs w:val="24"/>
        </w:rPr>
      </w:pPr>
      <w:r w:rsidRPr="00A81349">
        <w:rPr>
          <w:noProof/>
          <w:highlight w:val="yellow"/>
          <w:shd w:val="clear" w:color="auto" w:fill="FFFF00"/>
        </w:rPr>
        <w:drawing>
          <wp:inline distT="0" distB="0" distL="0" distR="0">
            <wp:extent cx="4895850" cy="3105150"/>
            <wp:effectExtent l="19050" t="0" r="19050" b="0"/>
            <wp:docPr id="70" name="Graphiqu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A17025" w:rsidRDefault="00A17025" w:rsidP="00A17025">
      <w:pPr>
        <w:tabs>
          <w:tab w:val="left" w:pos="900"/>
        </w:tabs>
        <w:spacing w:after="0" w:line="360" w:lineRule="auto"/>
        <w:jc w:val="center"/>
        <w:rPr>
          <w:rFonts w:cs="Arial"/>
          <w:b/>
          <w:color w:val="000000"/>
          <w:sz w:val="24"/>
          <w:szCs w:val="24"/>
        </w:rPr>
      </w:pPr>
    </w:p>
    <w:p w:rsidR="00493F71" w:rsidRDefault="00493F71" w:rsidP="00A17025">
      <w:pPr>
        <w:tabs>
          <w:tab w:val="left" w:pos="900"/>
        </w:tabs>
        <w:spacing w:after="0" w:line="360" w:lineRule="auto"/>
        <w:jc w:val="center"/>
        <w:rPr>
          <w:rFonts w:cs="Arial"/>
          <w:b/>
          <w:color w:val="000000"/>
          <w:sz w:val="24"/>
          <w:szCs w:val="24"/>
        </w:rPr>
      </w:pPr>
    </w:p>
    <w:p w:rsidR="003339F3" w:rsidRDefault="003339F3" w:rsidP="00A17025">
      <w:pPr>
        <w:tabs>
          <w:tab w:val="left" w:pos="900"/>
        </w:tabs>
        <w:spacing w:after="0" w:line="360" w:lineRule="auto"/>
        <w:jc w:val="center"/>
        <w:rPr>
          <w:rFonts w:cs="Arial"/>
          <w:b/>
          <w:color w:val="000000"/>
          <w:sz w:val="24"/>
          <w:szCs w:val="24"/>
        </w:rPr>
      </w:pPr>
      <w:r>
        <w:rPr>
          <w:rFonts w:cs="Arial"/>
          <w:b/>
          <w:color w:val="000000"/>
          <w:sz w:val="24"/>
          <w:szCs w:val="24"/>
        </w:rPr>
        <w:t>Graphique</w:t>
      </w:r>
      <w:r w:rsidR="000571B9">
        <w:rPr>
          <w:rFonts w:cs="Arial"/>
          <w:b/>
          <w:color w:val="000000"/>
          <w:sz w:val="24"/>
          <w:szCs w:val="24"/>
        </w:rPr>
        <w:t xml:space="preserve"> n° 38</w:t>
      </w:r>
      <w:r>
        <w:rPr>
          <w:rFonts w:cs="Arial"/>
          <w:b/>
          <w:color w:val="000000"/>
          <w:sz w:val="24"/>
          <w:szCs w:val="24"/>
        </w:rPr>
        <w:t> : Evolution de la mortalité maternelle par scénario</w:t>
      </w:r>
    </w:p>
    <w:p w:rsidR="003339F3" w:rsidRDefault="003339F3" w:rsidP="003339F3">
      <w:pPr>
        <w:tabs>
          <w:tab w:val="left" w:pos="900"/>
        </w:tabs>
        <w:spacing w:after="0" w:line="360" w:lineRule="auto"/>
        <w:jc w:val="center"/>
        <w:rPr>
          <w:rFonts w:cs="Arial"/>
          <w:b/>
          <w:color w:val="000000"/>
          <w:sz w:val="24"/>
          <w:szCs w:val="24"/>
        </w:rPr>
      </w:pPr>
      <w:r w:rsidRPr="00BF6EE3">
        <w:rPr>
          <w:b/>
          <w:noProof/>
        </w:rPr>
        <w:drawing>
          <wp:inline distT="0" distB="0" distL="0" distR="0">
            <wp:extent cx="4826635" cy="3152775"/>
            <wp:effectExtent l="19050" t="0" r="12065" b="0"/>
            <wp:docPr id="71"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3339F3" w:rsidRDefault="003339F3" w:rsidP="003339F3">
      <w:pPr>
        <w:tabs>
          <w:tab w:val="left" w:pos="900"/>
        </w:tabs>
        <w:spacing w:after="0" w:line="360" w:lineRule="auto"/>
        <w:jc w:val="both"/>
        <w:rPr>
          <w:rFonts w:cs="Arial"/>
          <w:b/>
          <w:color w:val="000000"/>
          <w:sz w:val="24"/>
          <w:szCs w:val="24"/>
        </w:rPr>
      </w:pPr>
    </w:p>
    <w:p w:rsidR="003339F3" w:rsidRPr="002262FA" w:rsidRDefault="000D55A5" w:rsidP="00DF185B">
      <w:pPr>
        <w:pStyle w:val="Paragraphedeliste"/>
        <w:numPr>
          <w:ilvl w:val="1"/>
          <w:numId w:val="87"/>
        </w:numPr>
        <w:spacing w:line="360" w:lineRule="auto"/>
        <w:ind w:left="709" w:hanging="709"/>
        <w:jc w:val="both"/>
        <w:rPr>
          <w:rFonts w:ascii="Calibri" w:hAnsi="Calibri" w:cs="Calibri"/>
          <w:b/>
          <w:sz w:val="24"/>
          <w:szCs w:val="24"/>
        </w:rPr>
      </w:pPr>
      <w:r>
        <w:rPr>
          <w:rStyle w:val="Titre1Car"/>
          <w:rFonts w:ascii="Calibri" w:eastAsia="MS Mincho" w:hAnsi="Calibri" w:cs="Calibri"/>
          <w:b w:val="0"/>
          <w:color w:val="000000" w:themeColor="text1"/>
          <w:sz w:val="24"/>
          <w:szCs w:val="24"/>
        </w:rPr>
        <w:t xml:space="preserve">LE DEFICIT DE FINANCEMENT PAR SCENARIO  </w:t>
      </w:r>
    </w:p>
    <w:p w:rsidR="003339F3" w:rsidRPr="007204EC" w:rsidRDefault="003339F3" w:rsidP="00DF185B">
      <w:pPr>
        <w:pStyle w:val="Paragraphedeliste"/>
        <w:numPr>
          <w:ilvl w:val="2"/>
          <w:numId w:val="87"/>
        </w:numPr>
        <w:tabs>
          <w:tab w:val="left" w:pos="709"/>
        </w:tabs>
        <w:spacing w:line="360" w:lineRule="auto"/>
        <w:ind w:hanging="1080"/>
        <w:jc w:val="both"/>
        <w:rPr>
          <w:rFonts w:ascii="Calibri" w:hAnsi="Calibri"/>
          <w:b/>
          <w:sz w:val="24"/>
          <w:szCs w:val="24"/>
        </w:rPr>
      </w:pPr>
      <w:r w:rsidRPr="007204EC">
        <w:rPr>
          <w:rFonts w:ascii="Calibri" w:hAnsi="Calibri"/>
          <w:b/>
          <w:sz w:val="24"/>
          <w:szCs w:val="24"/>
        </w:rPr>
        <w:t>A</w:t>
      </w:r>
      <w:r w:rsidR="00493F71">
        <w:rPr>
          <w:rFonts w:ascii="Calibri" w:hAnsi="Calibri"/>
          <w:b/>
          <w:sz w:val="24"/>
          <w:szCs w:val="24"/>
        </w:rPr>
        <w:t>nalyse des déficit</w:t>
      </w:r>
      <w:r w:rsidR="00493F71" w:rsidRPr="007204EC">
        <w:rPr>
          <w:rFonts w:ascii="Calibri" w:hAnsi="Calibri"/>
          <w:b/>
          <w:sz w:val="24"/>
          <w:szCs w:val="24"/>
        </w:rPr>
        <w:t>s</w:t>
      </w:r>
    </w:p>
    <w:p w:rsidR="003339F3" w:rsidRPr="00455F57" w:rsidRDefault="003339F3" w:rsidP="003339F3">
      <w:pPr>
        <w:tabs>
          <w:tab w:val="left" w:pos="900"/>
        </w:tabs>
        <w:spacing w:after="0"/>
        <w:jc w:val="both"/>
        <w:rPr>
          <w:sz w:val="24"/>
          <w:szCs w:val="24"/>
        </w:rPr>
      </w:pPr>
      <w:r w:rsidRPr="00455F57">
        <w:rPr>
          <w:sz w:val="24"/>
          <w:szCs w:val="24"/>
        </w:rPr>
        <w:t>L’analyse du GAP de financement permet de fournir des données sur les coûts nécessaires à la mise en œuvre des programmes, des stratégies ou des activités. Elle aide à examiner les coûts qui sont actuellement couverts ou sont prévus de l’être et donne une compréhension claire de la façon dont le montant du financement additionnel pourra être alloué, demandé ou obtenu à travers des actions de plaidoyer.</w:t>
      </w:r>
      <w:r>
        <w:rPr>
          <w:sz w:val="24"/>
          <w:szCs w:val="24"/>
        </w:rPr>
        <w:t xml:space="preserve"> </w:t>
      </w:r>
    </w:p>
    <w:p w:rsidR="003339F3" w:rsidRPr="00493F71" w:rsidRDefault="003339F3" w:rsidP="00A17025">
      <w:pPr>
        <w:spacing w:after="0"/>
        <w:jc w:val="both"/>
        <w:rPr>
          <w:b/>
          <w:i/>
          <w:sz w:val="24"/>
          <w:szCs w:val="24"/>
        </w:rPr>
      </w:pPr>
      <w:r w:rsidRPr="00493F71">
        <w:rPr>
          <w:b/>
          <w:i/>
          <w:sz w:val="24"/>
          <w:szCs w:val="24"/>
        </w:rPr>
        <w:t>Ainsi, la différence entre les ressources disponibles et les besoins de financement a permis de dégager un gap de financement qui s’élève à 418 117 336 166 FCFA</w:t>
      </w:r>
      <w:r w:rsidRPr="00493F71">
        <w:rPr>
          <w:b/>
          <w:i/>
          <w:color w:val="FF0000"/>
          <w:sz w:val="24"/>
          <w:szCs w:val="24"/>
        </w:rPr>
        <w:t xml:space="preserve"> </w:t>
      </w:r>
      <w:r w:rsidRPr="00493F71">
        <w:rPr>
          <w:b/>
          <w:i/>
          <w:sz w:val="24"/>
          <w:szCs w:val="24"/>
        </w:rPr>
        <w:t xml:space="preserve">soit environ 733 539 186 USD. Ce gap négatif représente 40 % des besoins de financement.  </w:t>
      </w:r>
    </w:p>
    <w:p w:rsidR="003339F3" w:rsidRPr="00B17490" w:rsidRDefault="003339F3" w:rsidP="00A17025">
      <w:pPr>
        <w:tabs>
          <w:tab w:val="left" w:pos="900"/>
        </w:tabs>
        <w:spacing w:after="0"/>
        <w:jc w:val="both"/>
        <w:rPr>
          <w:sz w:val="24"/>
          <w:szCs w:val="24"/>
        </w:rPr>
      </w:pPr>
      <w:r w:rsidRPr="00B17490">
        <w:rPr>
          <w:sz w:val="24"/>
          <w:szCs w:val="24"/>
        </w:rPr>
        <w:t xml:space="preserve">L’estimation des ressources disponibles des partenaires a été faite sur la base des annonces de financement faites par les partenaires dans leurs différents plans de travail et consignées dans le document de cartographie de financement SRMNEAN (étude réalisée par le Centre Muraz de Bobo courant 2018).   </w:t>
      </w:r>
    </w:p>
    <w:p w:rsidR="003339F3" w:rsidRPr="00B17490" w:rsidRDefault="003339F3" w:rsidP="003339F3">
      <w:pPr>
        <w:tabs>
          <w:tab w:val="left" w:pos="900"/>
        </w:tabs>
        <w:spacing w:after="0"/>
        <w:jc w:val="both"/>
        <w:rPr>
          <w:sz w:val="24"/>
          <w:szCs w:val="24"/>
        </w:rPr>
      </w:pPr>
      <w:r w:rsidRPr="00B17490">
        <w:rPr>
          <w:sz w:val="24"/>
          <w:szCs w:val="24"/>
        </w:rPr>
        <w:t>L’analyse montre une baisse des contributions financières des partenaires au cours de la période (Cf. tableau du financement du plan). Cela s’explique par le fait que la plupart de ceux-ci ne communiquent pas leurs contributions financières au-delà de 02 années. En 2019, les partenaires au nombre de 13 qui financent la SRMNEAN ont tous communiqué leur contribution ; en 2020, seulement 62% se sont prononcés ; ensuite 23%, 15% et 15% respectivement pour les années 2021, 2022 et 2023. Ainsi, la contribution totale des PTF sur la période s’élève à 41% des anno</w:t>
      </w:r>
      <w:r w:rsidR="00493F71">
        <w:rPr>
          <w:sz w:val="24"/>
          <w:szCs w:val="24"/>
        </w:rPr>
        <w:t>nces totales (</w:t>
      </w:r>
      <w:r w:rsidRPr="00B17490">
        <w:rPr>
          <w:sz w:val="24"/>
          <w:szCs w:val="24"/>
        </w:rPr>
        <w:t xml:space="preserve">ableau ci-dessous). </w:t>
      </w:r>
    </w:p>
    <w:p w:rsidR="003339F3" w:rsidRPr="00B17490" w:rsidRDefault="003339F3" w:rsidP="003339F3">
      <w:pPr>
        <w:tabs>
          <w:tab w:val="left" w:pos="900"/>
        </w:tabs>
        <w:spacing w:after="0"/>
        <w:jc w:val="both"/>
        <w:rPr>
          <w:sz w:val="24"/>
          <w:szCs w:val="24"/>
        </w:rPr>
      </w:pPr>
      <w:r w:rsidRPr="00B17490">
        <w:rPr>
          <w:sz w:val="24"/>
          <w:szCs w:val="24"/>
        </w:rPr>
        <w:t>Quant aux ressources de l’Etat, des ménages et des ONG et certaines entreprises, elles ont été estimées sur la base des résultats des comptes de santé réalisés par le Ministère de la santé. Ainsi, la contribution de l’Etat est de 49%, les ménages 9% et le secteur privé (ONG/entreprises) 1%.</w:t>
      </w:r>
    </w:p>
    <w:p w:rsidR="003339F3" w:rsidRPr="00B17490" w:rsidRDefault="003339F3" w:rsidP="003339F3">
      <w:pPr>
        <w:tabs>
          <w:tab w:val="left" w:pos="900"/>
        </w:tabs>
        <w:jc w:val="both"/>
        <w:rPr>
          <w:sz w:val="24"/>
          <w:szCs w:val="24"/>
        </w:rPr>
      </w:pPr>
      <w:r w:rsidRPr="00B17490">
        <w:rPr>
          <w:sz w:val="24"/>
          <w:szCs w:val="24"/>
        </w:rPr>
        <w:t>Le graphique ci-dessous montre un aperçu des parts contributives par source de financement.</w:t>
      </w:r>
    </w:p>
    <w:p w:rsidR="003339F3" w:rsidRDefault="003339F3" w:rsidP="003339F3">
      <w:pPr>
        <w:tabs>
          <w:tab w:val="left" w:pos="900"/>
        </w:tabs>
        <w:spacing w:line="360" w:lineRule="auto"/>
        <w:jc w:val="center"/>
        <w:rPr>
          <w:rFonts w:ascii="Cambria" w:hAnsi="Cambria"/>
        </w:rPr>
      </w:pPr>
      <w:r>
        <w:rPr>
          <w:noProof/>
        </w:rPr>
        <w:drawing>
          <wp:inline distT="0" distB="0" distL="0" distR="0">
            <wp:extent cx="5734050" cy="3048000"/>
            <wp:effectExtent l="19050" t="0" r="19050" b="0"/>
            <wp:docPr id="253" name="Graphique 253"/>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3339F3" w:rsidRPr="00B2021D" w:rsidRDefault="000D55A5" w:rsidP="003339F3">
      <w:pPr>
        <w:tabs>
          <w:tab w:val="left" w:pos="900"/>
        </w:tabs>
        <w:jc w:val="both"/>
        <w:rPr>
          <w:b/>
          <w:sz w:val="24"/>
          <w:szCs w:val="24"/>
        </w:rPr>
      </w:pPr>
      <w:r>
        <w:rPr>
          <w:b/>
          <w:sz w:val="24"/>
          <w:szCs w:val="24"/>
        </w:rPr>
        <w:t>Figure 39 : Les</w:t>
      </w:r>
      <w:r w:rsidR="003339F3" w:rsidRPr="003F4EB9">
        <w:rPr>
          <w:b/>
          <w:sz w:val="24"/>
          <w:szCs w:val="24"/>
        </w:rPr>
        <w:t xml:space="preserve"> source</w:t>
      </w:r>
      <w:r>
        <w:rPr>
          <w:b/>
          <w:sz w:val="24"/>
          <w:szCs w:val="24"/>
        </w:rPr>
        <w:t>s</w:t>
      </w:r>
      <w:r w:rsidR="003339F3" w:rsidRPr="003F4EB9">
        <w:rPr>
          <w:b/>
          <w:sz w:val="24"/>
          <w:szCs w:val="24"/>
        </w:rPr>
        <w:t xml:space="preserve"> de financement</w:t>
      </w:r>
      <w:r>
        <w:rPr>
          <w:b/>
          <w:sz w:val="24"/>
          <w:szCs w:val="24"/>
        </w:rPr>
        <w:t xml:space="preserve"> et leur part respective en pourcentage</w:t>
      </w:r>
    </w:p>
    <w:p w:rsidR="003339F3" w:rsidRDefault="003373DE" w:rsidP="000D55A5">
      <w:pPr>
        <w:tabs>
          <w:tab w:val="left" w:pos="900"/>
        </w:tabs>
        <w:jc w:val="both"/>
        <w:rPr>
          <w:b/>
          <w:sz w:val="24"/>
          <w:szCs w:val="24"/>
        </w:rPr>
      </w:pPr>
      <w:r>
        <w:rPr>
          <w:b/>
          <w:sz w:val="24"/>
          <w:szCs w:val="24"/>
        </w:rPr>
        <w:t>Tableau 15</w:t>
      </w:r>
      <w:r w:rsidR="003339F3" w:rsidRPr="003F4EB9">
        <w:rPr>
          <w:b/>
          <w:sz w:val="24"/>
          <w:szCs w:val="24"/>
        </w:rPr>
        <w:t xml:space="preserve"> : </w:t>
      </w:r>
      <w:r w:rsidR="000D55A5">
        <w:rPr>
          <w:b/>
          <w:sz w:val="24"/>
          <w:szCs w:val="24"/>
        </w:rPr>
        <w:t>Les</w:t>
      </w:r>
      <w:r w:rsidR="000D55A5" w:rsidRPr="003F4EB9">
        <w:rPr>
          <w:b/>
          <w:sz w:val="24"/>
          <w:szCs w:val="24"/>
        </w:rPr>
        <w:t xml:space="preserve"> source</w:t>
      </w:r>
      <w:r w:rsidR="000D55A5">
        <w:rPr>
          <w:b/>
          <w:sz w:val="24"/>
          <w:szCs w:val="24"/>
        </w:rPr>
        <w:t>s</w:t>
      </w:r>
      <w:r w:rsidR="000D55A5" w:rsidRPr="003F4EB9">
        <w:rPr>
          <w:b/>
          <w:sz w:val="24"/>
          <w:szCs w:val="24"/>
        </w:rPr>
        <w:t xml:space="preserve"> de financement</w:t>
      </w:r>
      <w:r w:rsidR="000D55A5">
        <w:rPr>
          <w:b/>
          <w:sz w:val="24"/>
          <w:szCs w:val="24"/>
        </w:rPr>
        <w:t xml:space="preserve"> et leur part respective </w:t>
      </w:r>
      <w:r w:rsidR="003339F3" w:rsidRPr="003F4EB9">
        <w:rPr>
          <w:b/>
          <w:sz w:val="24"/>
          <w:szCs w:val="24"/>
        </w:rPr>
        <w:t>en million FCFA</w:t>
      </w:r>
    </w:p>
    <w:p w:rsidR="003339F3" w:rsidRPr="003F4EB9" w:rsidRDefault="003339F3" w:rsidP="003339F3">
      <w:pPr>
        <w:spacing w:after="0"/>
        <w:jc w:val="both"/>
        <w:rPr>
          <w:b/>
          <w:sz w:val="24"/>
          <w:szCs w:val="24"/>
        </w:rPr>
      </w:pPr>
    </w:p>
    <w:tbl>
      <w:tblPr>
        <w:tblW w:w="4910" w:type="pct"/>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firstRow="1" w:lastRow="0" w:firstColumn="1" w:lastColumn="0" w:noHBand="0" w:noVBand="1"/>
      </w:tblPr>
      <w:tblGrid>
        <w:gridCol w:w="1636"/>
        <w:gridCol w:w="1283"/>
        <w:gridCol w:w="1140"/>
        <w:gridCol w:w="1140"/>
        <w:gridCol w:w="999"/>
        <w:gridCol w:w="1140"/>
        <w:gridCol w:w="999"/>
        <w:gridCol w:w="709"/>
      </w:tblGrid>
      <w:tr w:rsidR="003339F3" w:rsidRPr="00B17490" w:rsidTr="003339F3">
        <w:trPr>
          <w:trHeight w:val="300"/>
        </w:trPr>
        <w:tc>
          <w:tcPr>
            <w:tcW w:w="904"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Financement</w:t>
            </w:r>
          </w:p>
        </w:tc>
        <w:tc>
          <w:tcPr>
            <w:tcW w:w="709"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2 019</w:t>
            </w:r>
          </w:p>
        </w:tc>
        <w:tc>
          <w:tcPr>
            <w:tcW w:w="630"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2 020</w:t>
            </w:r>
          </w:p>
        </w:tc>
        <w:tc>
          <w:tcPr>
            <w:tcW w:w="630"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2 021</w:t>
            </w:r>
          </w:p>
        </w:tc>
        <w:tc>
          <w:tcPr>
            <w:tcW w:w="552"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2 022</w:t>
            </w:r>
          </w:p>
        </w:tc>
        <w:tc>
          <w:tcPr>
            <w:tcW w:w="630"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2 023</w:t>
            </w:r>
          </w:p>
        </w:tc>
        <w:tc>
          <w:tcPr>
            <w:tcW w:w="552"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Total</w:t>
            </w:r>
          </w:p>
        </w:tc>
        <w:tc>
          <w:tcPr>
            <w:tcW w:w="392" w:type="pct"/>
            <w:tcBorders>
              <w:top w:val="single" w:sz="4" w:space="0" w:color="auto"/>
              <w:bottom w:val="single" w:sz="4" w:space="0" w:color="auto"/>
            </w:tcBorders>
            <w:shd w:val="clear" w:color="000000" w:fill="BFBFBF"/>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w:t>
            </w:r>
          </w:p>
        </w:tc>
      </w:tr>
      <w:tr w:rsidR="003339F3" w:rsidRPr="00B17490" w:rsidTr="003339F3">
        <w:trPr>
          <w:trHeight w:val="308"/>
        </w:trPr>
        <w:tc>
          <w:tcPr>
            <w:tcW w:w="904" w:type="pct"/>
            <w:tcBorders>
              <w:top w:val="single" w:sz="4" w:space="0" w:color="auto"/>
            </w:tcBorders>
            <w:shd w:val="clear" w:color="auto" w:fill="auto"/>
            <w:noWrap/>
            <w:vAlign w:val="center"/>
            <w:hideMark/>
          </w:tcPr>
          <w:p w:rsidR="003339F3" w:rsidRPr="00B17490" w:rsidRDefault="003339F3" w:rsidP="003339F3">
            <w:pPr>
              <w:spacing w:after="0" w:line="360" w:lineRule="auto"/>
              <w:rPr>
                <w:rFonts w:eastAsia="Times New Roman"/>
                <w:color w:val="000000"/>
                <w:sz w:val="24"/>
                <w:szCs w:val="24"/>
              </w:rPr>
            </w:pPr>
            <w:r w:rsidRPr="00B17490">
              <w:rPr>
                <w:rFonts w:eastAsia="Times New Roman"/>
                <w:color w:val="000000"/>
                <w:sz w:val="24"/>
                <w:szCs w:val="24"/>
              </w:rPr>
              <w:t>Etat</w:t>
            </w:r>
          </w:p>
        </w:tc>
        <w:tc>
          <w:tcPr>
            <w:tcW w:w="709" w:type="pct"/>
            <w:tcBorders>
              <w:top w:val="single" w:sz="4" w:space="0" w:color="auto"/>
            </w:tcBorders>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52 409</w:t>
            </w:r>
          </w:p>
        </w:tc>
        <w:tc>
          <w:tcPr>
            <w:tcW w:w="630" w:type="pct"/>
            <w:tcBorders>
              <w:top w:val="single" w:sz="4" w:space="0" w:color="auto"/>
            </w:tcBorders>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54 905</w:t>
            </w:r>
          </w:p>
        </w:tc>
        <w:tc>
          <w:tcPr>
            <w:tcW w:w="630" w:type="pct"/>
            <w:tcBorders>
              <w:top w:val="single" w:sz="4" w:space="0" w:color="auto"/>
            </w:tcBorders>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57 401</w:t>
            </w:r>
          </w:p>
        </w:tc>
        <w:tc>
          <w:tcPr>
            <w:tcW w:w="552" w:type="pct"/>
            <w:tcBorders>
              <w:top w:val="single" w:sz="4" w:space="0" w:color="auto"/>
            </w:tcBorders>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59 896</w:t>
            </w:r>
          </w:p>
        </w:tc>
        <w:tc>
          <w:tcPr>
            <w:tcW w:w="630" w:type="pct"/>
            <w:tcBorders>
              <w:top w:val="single" w:sz="4" w:space="0" w:color="auto"/>
            </w:tcBorders>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62 392</w:t>
            </w:r>
          </w:p>
        </w:tc>
        <w:tc>
          <w:tcPr>
            <w:tcW w:w="552" w:type="pct"/>
            <w:tcBorders>
              <w:top w:val="single" w:sz="4" w:space="0" w:color="auto"/>
            </w:tcBorders>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287 003</w:t>
            </w:r>
          </w:p>
        </w:tc>
        <w:tc>
          <w:tcPr>
            <w:tcW w:w="392" w:type="pct"/>
            <w:tcBorders>
              <w:top w:val="single" w:sz="4" w:space="0" w:color="auto"/>
            </w:tcBorders>
            <w:shd w:val="clear" w:color="auto" w:fill="FFC000"/>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49%</w:t>
            </w:r>
          </w:p>
        </w:tc>
      </w:tr>
      <w:tr w:rsidR="003339F3" w:rsidRPr="00B17490" w:rsidTr="003339F3">
        <w:trPr>
          <w:trHeight w:val="330"/>
        </w:trPr>
        <w:tc>
          <w:tcPr>
            <w:tcW w:w="904" w:type="pct"/>
            <w:shd w:val="clear" w:color="auto" w:fill="auto"/>
            <w:noWrap/>
            <w:vAlign w:val="center"/>
            <w:hideMark/>
          </w:tcPr>
          <w:p w:rsidR="003339F3" w:rsidRPr="00B17490" w:rsidRDefault="003339F3" w:rsidP="003339F3">
            <w:pPr>
              <w:spacing w:after="0" w:line="360" w:lineRule="auto"/>
              <w:rPr>
                <w:rFonts w:eastAsia="Times New Roman"/>
                <w:color w:val="000000"/>
                <w:sz w:val="24"/>
                <w:szCs w:val="24"/>
              </w:rPr>
            </w:pPr>
            <w:r w:rsidRPr="00B17490">
              <w:rPr>
                <w:rFonts w:eastAsia="Times New Roman"/>
                <w:color w:val="000000"/>
                <w:sz w:val="24"/>
                <w:szCs w:val="24"/>
              </w:rPr>
              <w:t>PTF</w:t>
            </w:r>
          </w:p>
        </w:tc>
        <w:tc>
          <w:tcPr>
            <w:tcW w:w="709"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98 107</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89 017</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29 092</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14 005</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14 005</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244 226</w:t>
            </w:r>
          </w:p>
        </w:tc>
        <w:tc>
          <w:tcPr>
            <w:tcW w:w="392" w:type="pct"/>
            <w:shd w:val="clear" w:color="auto" w:fill="FFC000"/>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41%</w:t>
            </w:r>
          </w:p>
        </w:tc>
      </w:tr>
      <w:tr w:rsidR="003339F3" w:rsidRPr="00B17490" w:rsidTr="003339F3">
        <w:trPr>
          <w:trHeight w:val="300"/>
        </w:trPr>
        <w:tc>
          <w:tcPr>
            <w:tcW w:w="904" w:type="pct"/>
            <w:shd w:val="clear" w:color="auto" w:fill="auto"/>
            <w:noWrap/>
            <w:vAlign w:val="center"/>
            <w:hideMark/>
          </w:tcPr>
          <w:p w:rsidR="003339F3" w:rsidRPr="00B17490" w:rsidRDefault="003339F3" w:rsidP="003339F3">
            <w:pPr>
              <w:spacing w:after="0" w:line="360" w:lineRule="auto"/>
              <w:rPr>
                <w:rFonts w:eastAsia="Times New Roman"/>
                <w:color w:val="000000"/>
                <w:sz w:val="24"/>
                <w:szCs w:val="24"/>
              </w:rPr>
            </w:pPr>
            <w:r w:rsidRPr="00B17490">
              <w:rPr>
                <w:rFonts w:eastAsia="Times New Roman"/>
                <w:color w:val="000000"/>
                <w:sz w:val="24"/>
                <w:szCs w:val="24"/>
              </w:rPr>
              <w:t>Ménage</w:t>
            </w:r>
            <w:r>
              <w:rPr>
                <w:rFonts w:eastAsia="Times New Roman"/>
                <w:color w:val="000000"/>
                <w:sz w:val="24"/>
                <w:szCs w:val="24"/>
              </w:rPr>
              <w:t>s</w:t>
            </w:r>
          </w:p>
        </w:tc>
        <w:tc>
          <w:tcPr>
            <w:tcW w:w="709"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11 479</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11 278</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10 591</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10 201</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9 800</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53 349</w:t>
            </w:r>
          </w:p>
        </w:tc>
        <w:tc>
          <w:tcPr>
            <w:tcW w:w="392" w:type="pct"/>
            <w:shd w:val="clear" w:color="auto" w:fill="FFC000"/>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9%</w:t>
            </w:r>
          </w:p>
        </w:tc>
      </w:tr>
      <w:tr w:rsidR="003339F3" w:rsidRPr="00B17490" w:rsidTr="003339F3">
        <w:trPr>
          <w:trHeight w:val="300"/>
        </w:trPr>
        <w:tc>
          <w:tcPr>
            <w:tcW w:w="904" w:type="pct"/>
            <w:shd w:val="clear" w:color="auto" w:fill="auto"/>
            <w:noWrap/>
            <w:vAlign w:val="center"/>
            <w:hideMark/>
          </w:tcPr>
          <w:p w:rsidR="003339F3" w:rsidRPr="00B17490" w:rsidRDefault="003339F3" w:rsidP="003339F3">
            <w:pPr>
              <w:spacing w:after="0" w:line="360" w:lineRule="auto"/>
              <w:rPr>
                <w:rFonts w:eastAsia="Times New Roman"/>
                <w:color w:val="000000"/>
                <w:sz w:val="24"/>
                <w:szCs w:val="24"/>
              </w:rPr>
            </w:pPr>
            <w:r w:rsidRPr="00B17490">
              <w:rPr>
                <w:rFonts w:eastAsia="Times New Roman"/>
                <w:color w:val="000000"/>
                <w:sz w:val="24"/>
                <w:szCs w:val="24"/>
              </w:rPr>
              <w:t>Privé</w:t>
            </w:r>
          </w:p>
        </w:tc>
        <w:tc>
          <w:tcPr>
            <w:tcW w:w="709"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1 480</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1 551</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1 621</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1 692</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1 762</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8 106</w:t>
            </w:r>
          </w:p>
        </w:tc>
        <w:tc>
          <w:tcPr>
            <w:tcW w:w="392" w:type="pct"/>
            <w:shd w:val="clear" w:color="auto" w:fill="FFC000"/>
            <w:noWrap/>
            <w:vAlign w:val="center"/>
            <w:hideMark/>
          </w:tcPr>
          <w:p w:rsidR="003339F3" w:rsidRPr="00B17490" w:rsidRDefault="003339F3" w:rsidP="003339F3">
            <w:pPr>
              <w:spacing w:after="0" w:line="360" w:lineRule="auto"/>
              <w:jc w:val="center"/>
              <w:rPr>
                <w:rFonts w:eastAsia="Times New Roman"/>
                <w:color w:val="000000"/>
                <w:sz w:val="24"/>
                <w:szCs w:val="24"/>
              </w:rPr>
            </w:pPr>
            <w:r w:rsidRPr="00B17490">
              <w:rPr>
                <w:rFonts w:eastAsia="Times New Roman"/>
                <w:color w:val="000000"/>
                <w:sz w:val="24"/>
                <w:szCs w:val="24"/>
              </w:rPr>
              <w:t>1%</w:t>
            </w:r>
          </w:p>
        </w:tc>
      </w:tr>
      <w:tr w:rsidR="003339F3" w:rsidRPr="00B17490" w:rsidTr="003339F3">
        <w:trPr>
          <w:trHeight w:val="300"/>
        </w:trPr>
        <w:tc>
          <w:tcPr>
            <w:tcW w:w="904" w:type="pct"/>
            <w:shd w:val="clear" w:color="auto" w:fill="auto"/>
            <w:noWrap/>
            <w:vAlign w:val="center"/>
            <w:hideMark/>
          </w:tcPr>
          <w:p w:rsidR="003339F3" w:rsidRPr="00B17490" w:rsidRDefault="003339F3" w:rsidP="003339F3">
            <w:pPr>
              <w:spacing w:after="0" w:line="360" w:lineRule="auto"/>
              <w:rPr>
                <w:rFonts w:eastAsia="Times New Roman"/>
                <w:b/>
                <w:bCs/>
                <w:color w:val="000000"/>
                <w:sz w:val="24"/>
                <w:szCs w:val="24"/>
              </w:rPr>
            </w:pPr>
            <w:r w:rsidRPr="00B17490">
              <w:rPr>
                <w:rFonts w:eastAsia="Times New Roman"/>
                <w:b/>
                <w:bCs/>
                <w:color w:val="000000"/>
                <w:sz w:val="24"/>
                <w:szCs w:val="24"/>
              </w:rPr>
              <w:t>Total</w:t>
            </w:r>
          </w:p>
        </w:tc>
        <w:tc>
          <w:tcPr>
            <w:tcW w:w="709" w:type="pct"/>
            <w:shd w:val="clear" w:color="auto" w:fill="auto"/>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163 475</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156 751</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98 705</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85 794</w:t>
            </w:r>
          </w:p>
        </w:tc>
        <w:tc>
          <w:tcPr>
            <w:tcW w:w="630" w:type="pct"/>
            <w:shd w:val="clear" w:color="auto" w:fill="auto"/>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87 959</w:t>
            </w:r>
          </w:p>
        </w:tc>
        <w:tc>
          <w:tcPr>
            <w:tcW w:w="552" w:type="pct"/>
            <w:shd w:val="clear" w:color="auto" w:fill="auto"/>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592 684</w:t>
            </w:r>
          </w:p>
        </w:tc>
        <w:tc>
          <w:tcPr>
            <w:tcW w:w="392" w:type="pct"/>
            <w:shd w:val="clear" w:color="auto" w:fill="FFC000"/>
            <w:noWrap/>
            <w:vAlign w:val="center"/>
            <w:hideMark/>
          </w:tcPr>
          <w:p w:rsidR="003339F3" w:rsidRPr="00B17490" w:rsidRDefault="003339F3" w:rsidP="003339F3">
            <w:pPr>
              <w:spacing w:after="0" w:line="360" w:lineRule="auto"/>
              <w:jc w:val="center"/>
              <w:rPr>
                <w:rFonts w:eastAsia="Times New Roman"/>
                <w:b/>
                <w:bCs/>
                <w:color w:val="000000"/>
                <w:sz w:val="24"/>
                <w:szCs w:val="24"/>
              </w:rPr>
            </w:pPr>
            <w:r w:rsidRPr="00B17490">
              <w:rPr>
                <w:rFonts w:eastAsia="Times New Roman"/>
                <w:b/>
                <w:bCs/>
                <w:color w:val="000000"/>
                <w:sz w:val="24"/>
                <w:szCs w:val="24"/>
              </w:rPr>
              <w:t>100%</w:t>
            </w:r>
          </w:p>
        </w:tc>
      </w:tr>
    </w:tbl>
    <w:p w:rsidR="003339F3" w:rsidRDefault="003339F3" w:rsidP="003339F3">
      <w:pPr>
        <w:rPr>
          <w:rFonts w:ascii="Cambria" w:hAnsi="Cambria"/>
        </w:rPr>
      </w:pPr>
    </w:p>
    <w:p w:rsidR="003339F3" w:rsidRPr="00493F71" w:rsidRDefault="00493F71" w:rsidP="00DF185B">
      <w:pPr>
        <w:pStyle w:val="Paragraphedeliste"/>
        <w:numPr>
          <w:ilvl w:val="2"/>
          <w:numId w:val="87"/>
        </w:numPr>
        <w:spacing w:line="276" w:lineRule="auto"/>
        <w:ind w:left="709" w:hanging="709"/>
        <w:rPr>
          <w:b/>
          <w:sz w:val="24"/>
          <w:szCs w:val="24"/>
        </w:rPr>
      </w:pPr>
      <w:r w:rsidRPr="00493F71">
        <w:rPr>
          <w:b/>
          <w:sz w:val="24"/>
          <w:szCs w:val="24"/>
        </w:rPr>
        <w:t>Stratégie de financement</w:t>
      </w:r>
    </w:p>
    <w:p w:rsidR="003339F3" w:rsidRDefault="003339F3" w:rsidP="003339F3">
      <w:pPr>
        <w:jc w:val="both"/>
        <w:rPr>
          <w:sz w:val="24"/>
          <w:szCs w:val="24"/>
        </w:rPr>
      </w:pPr>
      <w:r>
        <w:rPr>
          <w:sz w:val="24"/>
          <w:szCs w:val="24"/>
        </w:rPr>
        <w:t xml:space="preserve">La stratégie pour combler ce gap </w:t>
      </w:r>
      <w:r w:rsidRPr="00BC41B7">
        <w:rPr>
          <w:sz w:val="24"/>
          <w:szCs w:val="24"/>
        </w:rPr>
        <w:t xml:space="preserve">de </w:t>
      </w:r>
      <w:r w:rsidRPr="00B45A0E">
        <w:rPr>
          <w:b/>
          <w:sz w:val="24"/>
          <w:szCs w:val="24"/>
        </w:rPr>
        <w:t>418 117 336</w:t>
      </w:r>
      <w:r>
        <w:rPr>
          <w:b/>
          <w:sz w:val="24"/>
          <w:szCs w:val="24"/>
        </w:rPr>
        <w:t> </w:t>
      </w:r>
      <w:r w:rsidRPr="00B45A0E">
        <w:rPr>
          <w:b/>
          <w:sz w:val="24"/>
          <w:szCs w:val="24"/>
        </w:rPr>
        <w:t>166</w:t>
      </w:r>
      <w:r>
        <w:rPr>
          <w:b/>
          <w:sz w:val="24"/>
          <w:szCs w:val="24"/>
        </w:rPr>
        <w:t xml:space="preserve"> FCFA</w:t>
      </w:r>
      <w:r w:rsidRPr="00B45A0E">
        <w:rPr>
          <w:b/>
          <w:color w:val="FF0000"/>
          <w:sz w:val="24"/>
          <w:szCs w:val="24"/>
        </w:rPr>
        <w:t xml:space="preserve"> </w:t>
      </w:r>
      <w:r w:rsidRPr="00BC41B7">
        <w:rPr>
          <w:sz w:val="24"/>
          <w:szCs w:val="24"/>
        </w:rPr>
        <w:t xml:space="preserve">soit </w:t>
      </w:r>
      <w:r>
        <w:rPr>
          <w:sz w:val="24"/>
          <w:szCs w:val="24"/>
        </w:rPr>
        <w:t xml:space="preserve">40 </w:t>
      </w:r>
      <w:r w:rsidRPr="00BC41B7">
        <w:rPr>
          <w:sz w:val="24"/>
          <w:szCs w:val="24"/>
        </w:rPr>
        <w:t xml:space="preserve">% </w:t>
      </w:r>
      <w:r>
        <w:rPr>
          <w:sz w:val="24"/>
          <w:szCs w:val="24"/>
        </w:rPr>
        <w:t xml:space="preserve">devra </w:t>
      </w:r>
      <w:r w:rsidRPr="00BC41B7">
        <w:rPr>
          <w:sz w:val="24"/>
          <w:szCs w:val="24"/>
        </w:rPr>
        <w:t>utilis</w:t>
      </w:r>
      <w:r>
        <w:rPr>
          <w:sz w:val="24"/>
          <w:szCs w:val="24"/>
        </w:rPr>
        <w:t>er</w:t>
      </w:r>
      <w:r w:rsidRPr="00BC41B7">
        <w:rPr>
          <w:sz w:val="24"/>
          <w:szCs w:val="24"/>
        </w:rPr>
        <w:t xml:space="preserve"> les leviers développés dans la Stratégie Nationale de Financement de la Santé au niveau de l’axe "Accroissement de la mobilisation des ressources financières".</w:t>
      </w:r>
      <w:r>
        <w:rPr>
          <w:sz w:val="24"/>
          <w:szCs w:val="24"/>
        </w:rPr>
        <w:t xml:space="preserve"> </w:t>
      </w:r>
    </w:p>
    <w:p w:rsidR="003339F3" w:rsidRDefault="003339F3" w:rsidP="003339F3">
      <w:pPr>
        <w:jc w:val="both"/>
        <w:rPr>
          <w:rFonts w:cstheme="minorBidi"/>
          <w:sz w:val="24"/>
          <w:szCs w:val="24"/>
        </w:rPr>
      </w:pPr>
    </w:p>
    <w:p w:rsidR="00493F71" w:rsidRDefault="00493F71" w:rsidP="003339F3">
      <w:pPr>
        <w:jc w:val="both"/>
        <w:rPr>
          <w:rFonts w:cstheme="minorBidi"/>
          <w:sz w:val="24"/>
          <w:szCs w:val="24"/>
        </w:rPr>
      </w:pPr>
    </w:p>
    <w:p w:rsidR="00493F71" w:rsidRPr="00B2021D" w:rsidRDefault="00493F71" w:rsidP="003339F3">
      <w:pPr>
        <w:jc w:val="both"/>
        <w:rPr>
          <w:rFonts w:cstheme="minorBidi"/>
          <w:sz w:val="24"/>
          <w:szCs w:val="24"/>
        </w:rPr>
      </w:pPr>
    </w:p>
    <w:p w:rsidR="003339F3" w:rsidRPr="00B17490" w:rsidRDefault="003339F3" w:rsidP="003339F3">
      <w:pPr>
        <w:spacing w:line="360" w:lineRule="auto"/>
        <w:jc w:val="both"/>
        <w:rPr>
          <w:rFonts w:ascii="Cambria" w:hAnsi="Cambria"/>
        </w:rPr>
      </w:pPr>
      <w:r w:rsidRPr="00B17490">
        <w:rPr>
          <w:b/>
          <w:color w:val="000000"/>
          <w:sz w:val="24"/>
          <w:szCs w:val="24"/>
        </w:rPr>
        <w:t>Tableau</w:t>
      </w:r>
      <w:r w:rsidR="003373DE">
        <w:rPr>
          <w:b/>
          <w:color w:val="000000"/>
          <w:sz w:val="24"/>
          <w:szCs w:val="24"/>
        </w:rPr>
        <w:t xml:space="preserve"> 16</w:t>
      </w:r>
      <w:r w:rsidR="00493F71">
        <w:rPr>
          <w:b/>
          <w:color w:val="000000"/>
          <w:sz w:val="24"/>
          <w:szCs w:val="24"/>
        </w:rPr>
        <w:t> : DEFICIT</w:t>
      </w:r>
      <w:r w:rsidRPr="00B17490">
        <w:rPr>
          <w:b/>
          <w:color w:val="000000"/>
          <w:sz w:val="24"/>
          <w:szCs w:val="24"/>
        </w:rPr>
        <w:t xml:space="preserve"> DE FINANCEMENT</w:t>
      </w:r>
      <w:r w:rsidR="00493F71">
        <w:rPr>
          <w:b/>
          <w:color w:val="000000"/>
          <w:sz w:val="24"/>
          <w:szCs w:val="24"/>
        </w:rPr>
        <w:t xml:space="preserve"> SUR LES 5 ANS COUVERTS PAR LE DI</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Look w:val="04A0" w:firstRow="1" w:lastRow="0" w:firstColumn="1" w:lastColumn="0" w:noHBand="0" w:noVBand="1"/>
      </w:tblPr>
      <w:tblGrid>
        <w:gridCol w:w="1413"/>
        <w:gridCol w:w="2534"/>
        <w:gridCol w:w="2534"/>
        <w:gridCol w:w="2535"/>
      </w:tblGrid>
      <w:tr w:rsidR="003339F3" w:rsidRPr="00B17490" w:rsidTr="003339F3">
        <w:trPr>
          <w:trHeight w:val="769"/>
        </w:trPr>
        <w:tc>
          <w:tcPr>
            <w:tcW w:w="1413" w:type="dxa"/>
            <w:shd w:val="clear" w:color="auto" w:fill="D9D9D9" w:themeFill="background1" w:themeFillShade="D9"/>
          </w:tcPr>
          <w:p w:rsidR="003339F3" w:rsidRPr="00BD7E26" w:rsidRDefault="003339F3" w:rsidP="00A17025">
            <w:pPr>
              <w:tabs>
                <w:tab w:val="left" w:pos="900"/>
              </w:tabs>
              <w:spacing w:line="276" w:lineRule="auto"/>
              <w:jc w:val="both"/>
              <w:rPr>
                <w:b/>
                <w:sz w:val="24"/>
                <w:szCs w:val="24"/>
              </w:rPr>
            </w:pPr>
            <w:r w:rsidRPr="00BD7E26">
              <w:rPr>
                <w:b/>
                <w:sz w:val="24"/>
                <w:szCs w:val="24"/>
              </w:rPr>
              <w:t>ANNEE</w:t>
            </w:r>
          </w:p>
        </w:tc>
        <w:tc>
          <w:tcPr>
            <w:tcW w:w="2534" w:type="dxa"/>
            <w:shd w:val="clear" w:color="auto" w:fill="D9D9D9" w:themeFill="background1" w:themeFillShade="D9"/>
          </w:tcPr>
          <w:p w:rsidR="003339F3" w:rsidRPr="00BD7E26" w:rsidRDefault="003339F3" w:rsidP="00A17025">
            <w:pPr>
              <w:tabs>
                <w:tab w:val="left" w:pos="900"/>
              </w:tabs>
              <w:spacing w:line="276" w:lineRule="auto"/>
              <w:jc w:val="center"/>
              <w:rPr>
                <w:b/>
                <w:sz w:val="24"/>
                <w:szCs w:val="24"/>
              </w:rPr>
            </w:pPr>
            <w:r w:rsidRPr="00BD7E26">
              <w:rPr>
                <w:rFonts w:cs="Calibri"/>
                <w:b/>
                <w:color w:val="000000"/>
                <w:sz w:val="24"/>
                <w:szCs w:val="24"/>
              </w:rPr>
              <w:t>BESOINS DE FINANCEMENT</w:t>
            </w:r>
          </w:p>
        </w:tc>
        <w:tc>
          <w:tcPr>
            <w:tcW w:w="2534" w:type="dxa"/>
            <w:shd w:val="clear" w:color="auto" w:fill="D9D9D9" w:themeFill="background1" w:themeFillShade="D9"/>
          </w:tcPr>
          <w:p w:rsidR="003339F3" w:rsidRPr="00BD7E26" w:rsidRDefault="003339F3" w:rsidP="00A17025">
            <w:pPr>
              <w:tabs>
                <w:tab w:val="left" w:pos="900"/>
              </w:tabs>
              <w:spacing w:line="276" w:lineRule="auto"/>
              <w:jc w:val="center"/>
              <w:rPr>
                <w:b/>
                <w:sz w:val="24"/>
                <w:szCs w:val="24"/>
              </w:rPr>
            </w:pPr>
            <w:r w:rsidRPr="00BD7E26">
              <w:rPr>
                <w:rFonts w:cs="Calibri"/>
                <w:b/>
                <w:color w:val="000000"/>
                <w:sz w:val="24"/>
                <w:szCs w:val="24"/>
              </w:rPr>
              <w:t>DISPONIBILITES FINANCIERES</w:t>
            </w:r>
          </w:p>
        </w:tc>
        <w:tc>
          <w:tcPr>
            <w:tcW w:w="2535" w:type="dxa"/>
            <w:shd w:val="clear" w:color="auto" w:fill="D9D9D9" w:themeFill="background1" w:themeFillShade="D9"/>
          </w:tcPr>
          <w:p w:rsidR="003339F3" w:rsidRPr="00BD7E26" w:rsidRDefault="003339F3" w:rsidP="00A17025">
            <w:pPr>
              <w:tabs>
                <w:tab w:val="left" w:pos="900"/>
              </w:tabs>
              <w:spacing w:line="276" w:lineRule="auto"/>
              <w:jc w:val="center"/>
              <w:rPr>
                <w:b/>
                <w:sz w:val="24"/>
                <w:szCs w:val="24"/>
              </w:rPr>
            </w:pPr>
            <w:r w:rsidRPr="00BD7E26">
              <w:rPr>
                <w:rFonts w:cs="Calibri"/>
                <w:b/>
                <w:color w:val="000000"/>
                <w:sz w:val="24"/>
                <w:szCs w:val="24"/>
              </w:rPr>
              <w:t>GAP DE FINANCEMENT</w:t>
            </w:r>
          </w:p>
        </w:tc>
      </w:tr>
      <w:tr w:rsidR="003339F3" w:rsidRPr="00B17490" w:rsidTr="003339F3">
        <w:trPr>
          <w:trHeight w:val="192"/>
        </w:trPr>
        <w:tc>
          <w:tcPr>
            <w:tcW w:w="1413" w:type="dxa"/>
          </w:tcPr>
          <w:p w:rsidR="003339F3" w:rsidRPr="00B17490" w:rsidRDefault="003339F3" w:rsidP="003339F3">
            <w:pPr>
              <w:tabs>
                <w:tab w:val="left" w:pos="900"/>
              </w:tabs>
              <w:spacing w:line="360" w:lineRule="auto"/>
              <w:jc w:val="both"/>
              <w:rPr>
                <w:sz w:val="24"/>
                <w:szCs w:val="24"/>
              </w:rPr>
            </w:pPr>
            <w:r w:rsidRPr="00B17490">
              <w:rPr>
                <w:sz w:val="24"/>
                <w:szCs w:val="24"/>
              </w:rPr>
              <w:t>2019</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182 501 693 177   </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172 025 315 173   </w:t>
            </w:r>
          </w:p>
        </w:tc>
        <w:tc>
          <w:tcPr>
            <w:tcW w:w="2535" w:type="dxa"/>
            <w:vAlign w:val="center"/>
          </w:tcPr>
          <w:p w:rsidR="003339F3" w:rsidRPr="00CF23A8" w:rsidRDefault="003339F3" w:rsidP="003339F3">
            <w:pPr>
              <w:rPr>
                <w:rFonts w:ascii="Calibri" w:eastAsia="Times New Roman" w:hAnsi="Calibri" w:cs="Calibri"/>
                <w:color w:val="000000"/>
                <w:sz w:val="24"/>
                <w:szCs w:val="24"/>
                <w:lang w:eastAsia="fr-FR"/>
              </w:rPr>
            </w:pPr>
            <w:r w:rsidRPr="00CF23A8">
              <w:rPr>
                <w:rFonts w:ascii="Calibri" w:eastAsia="Times New Roman" w:hAnsi="Calibri" w:cs="Calibri"/>
                <w:color w:val="000000"/>
                <w:sz w:val="24"/>
                <w:szCs w:val="24"/>
                <w:lang w:eastAsia="fr-FR"/>
              </w:rPr>
              <w:t>-10 476 378 004</w:t>
            </w:r>
          </w:p>
        </w:tc>
      </w:tr>
      <w:tr w:rsidR="003339F3" w:rsidRPr="00B17490" w:rsidTr="003339F3">
        <w:tc>
          <w:tcPr>
            <w:tcW w:w="1413" w:type="dxa"/>
          </w:tcPr>
          <w:p w:rsidR="003339F3" w:rsidRPr="00B17490" w:rsidRDefault="003339F3" w:rsidP="003339F3">
            <w:pPr>
              <w:tabs>
                <w:tab w:val="left" w:pos="900"/>
              </w:tabs>
              <w:spacing w:line="360" w:lineRule="auto"/>
              <w:jc w:val="both"/>
              <w:rPr>
                <w:sz w:val="24"/>
                <w:szCs w:val="24"/>
              </w:rPr>
            </w:pPr>
            <w:r w:rsidRPr="00B17490">
              <w:rPr>
                <w:sz w:val="24"/>
                <w:szCs w:val="24"/>
              </w:rPr>
              <w:t>2020</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194 041 385 961   </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165 301 003 260   </w:t>
            </w:r>
          </w:p>
        </w:tc>
        <w:tc>
          <w:tcPr>
            <w:tcW w:w="2535" w:type="dxa"/>
            <w:vAlign w:val="center"/>
          </w:tcPr>
          <w:p w:rsidR="003339F3" w:rsidRPr="00CF23A8" w:rsidRDefault="003339F3" w:rsidP="003339F3">
            <w:pPr>
              <w:rPr>
                <w:rFonts w:ascii="Calibri" w:eastAsia="Times New Roman" w:hAnsi="Calibri" w:cs="Calibri"/>
                <w:color w:val="000000"/>
                <w:sz w:val="24"/>
                <w:szCs w:val="24"/>
                <w:lang w:eastAsia="fr-FR"/>
              </w:rPr>
            </w:pPr>
            <w:r w:rsidRPr="00CF23A8">
              <w:rPr>
                <w:rFonts w:ascii="Calibri" w:eastAsia="Times New Roman" w:hAnsi="Calibri" w:cs="Calibri"/>
                <w:color w:val="000000"/>
                <w:sz w:val="24"/>
                <w:szCs w:val="24"/>
                <w:lang w:eastAsia="fr-FR"/>
              </w:rPr>
              <w:t>-28 740 382 701</w:t>
            </w:r>
          </w:p>
        </w:tc>
      </w:tr>
      <w:tr w:rsidR="003339F3" w:rsidRPr="00B17490" w:rsidTr="003339F3">
        <w:tc>
          <w:tcPr>
            <w:tcW w:w="1413" w:type="dxa"/>
          </w:tcPr>
          <w:p w:rsidR="003339F3" w:rsidRPr="00B17490" w:rsidRDefault="003339F3" w:rsidP="003339F3">
            <w:pPr>
              <w:tabs>
                <w:tab w:val="left" w:pos="900"/>
              </w:tabs>
              <w:spacing w:line="360" w:lineRule="auto"/>
              <w:jc w:val="both"/>
              <w:rPr>
                <w:sz w:val="24"/>
                <w:szCs w:val="24"/>
              </w:rPr>
            </w:pPr>
            <w:r w:rsidRPr="00B17490">
              <w:rPr>
                <w:sz w:val="24"/>
                <w:szCs w:val="24"/>
              </w:rPr>
              <w:t>2021</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204 595 930 279   </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107 255 001 430   </w:t>
            </w:r>
          </w:p>
        </w:tc>
        <w:tc>
          <w:tcPr>
            <w:tcW w:w="2535" w:type="dxa"/>
            <w:vAlign w:val="center"/>
          </w:tcPr>
          <w:p w:rsidR="003339F3" w:rsidRPr="00CF23A8" w:rsidRDefault="003339F3" w:rsidP="003339F3">
            <w:pPr>
              <w:rPr>
                <w:rFonts w:ascii="Calibri" w:eastAsia="Times New Roman" w:hAnsi="Calibri" w:cs="Calibri"/>
                <w:color w:val="000000"/>
                <w:sz w:val="24"/>
                <w:szCs w:val="24"/>
                <w:lang w:eastAsia="fr-FR"/>
              </w:rPr>
            </w:pPr>
            <w:r w:rsidRPr="00CF23A8">
              <w:rPr>
                <w:rFonts w:ascii="Calibri" w:eastAsia="Times New Roman" w:hAnsi="Calibri" w:cs="Calibri"/>
                <w:color w:val="000000"/>
                <w:sz w:val="24"/>
                <w:szCs w:val="24"/>
                <w:lang w:eastAsia="fr-FR"/>
              </w:rPr>
              <w:t>-97 340 928 849</w:t>
            </w:r>
          </w:p>
        </w:tc>
      </w:tr>
      <w:tr w:rsidR="003339F3" w:rsidRPr="00B17490" w:rsidTr="003339F3">
        <w:tc>
          <w:tcPr>
            <w:tcW w:w="1413" w:type="dxa"/>
          </w:tcPr>
          <w:p w:rsidR="003339F3" w:rsidRPr="00B17490" w:rsidRDefault="003339F3" w:rsidP="003339F3">
            <w:pPr>
              <w:tabs>
                <w:tab w:val="left" w:pos="900"/>
              </w:tabs>
              <w:spacing w:line="360" w:lineRule="auto"/>
              <w:jc w:val="both"/>
              <w:rPr>
                <w:sz w:val="24"/>
                <w:szCs w:val="24"/>
              </w:rPr>
            </w:pPr>
            <w:r w:rsidRPr="00B17490">
              <w:rPr>
                <w:sz w:val="24"/>
                <w:szCs w:val="24"/>
              </w:rPr>
              <w:t>2022</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224 523 104 355   </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85 794 001 980   </w:t>
            </w:r>
          </w:p>
        </w:tc>
        <w:tc>
          <w:tcPr>
            <w:tcW w:w="2535" w:type="dxa"/>
            <w:vAlign w:val="center"/>
          </w:tcPr>
          <w:p w:rsidR="003339F3" w:rsidRPr="00CF23A8" w:rsidRDefault="003339F3" w:rsidP="003339F3">
            <w:pPr>
              <w:rPr>
                <w:rFonts w:ascii="Calibri" w:eastAsia="Times New Roman" w:hAnsi="Calibri" w:cs="Calibri"/>
                <w:color w:val="000000"/>
                <w:sz w:val="24"/>
                <w:szCs w:val="24"/>
                <w:lang w:eastAsia="fr-FR"/>
              </w:rPr>
            </w:pPr>
            <w:r w:rsidRPr="00CF23A8">
              <w:rPr>
                <w:rFonts w:ascii="Calibri" w:eastAsia="Times New Roman" w:hAnsi="Calibri" w:cs="Calibri"/>
                <w:color w:val="000000"/>
                <w:sz w:val="24"/>
                <w:szCs w:val="24"/>
                <w:lang w:eastAsia="fr-FR"/>
              </w:rPr>
              <w:t>-138 729 102 375</w:t>
            </w:r>
          </w:p>
        </w:tc>
      </w:tr>
      <w:tr w:rsidR="003339F3" w:rsidRPr="00B17490" w:rsidTr="003339F3">
        <w:tc>
          <w:tcPr>
            <w:tcW w:w="1413" w:type="dxa"/>
          </w:tcPr>
          <w:p w:rsidR="003339F3" w:rsidRPr="00B17490" w:rsidRDefault="003339F3" w:rsidP="003339F3">
            <w:pPr>
              <w:tabs>
                <w:tab w:val="left" w:pos="900"/>
              </w:tabs>
              <w:spacing w:line="360" w:lineRule="auto"/>
              <w:jc w:val="both"/>
              <w:rPr>
                <w:sz w:val="24"/>
                <w:szCs w:val="24"/>
              </w:rPr>
            </w:pPr>
            <w:r w:rsidRPr="00B17490">
              <w:rPr>
                <w:sz w:val="24"/>
                <w:szCs w:val="24"/>
              </w:rPr>
              <w:t>2023</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230 789 546 256   </w:t>
            </w:r>
          </w:p>
        </w:tc>
        <w:tc>
          <w:tcPr>
            <w:tcW w:w="2534" w:type="dxa"/>
            <w:vAlign w:val="center"/>
          </w:tcPr>
          <w:p w:rsidR="003339F3" w:rsidRPr="00CF23A8" w:rsidRDefault="003339F3" w:rsidP="003339F3">
            <w:pPr>
              <w:rPr>
                <w:rFonts w:ascii="Calibri" w:eastAsia="Times New Roman" w:hAnsi="Calibri" w:cs="Calibri"/>
                <w:color w:val="000000"/>
                <w:lang w:eastAsia="fr-FR"/>
              </w:rPr>
            </w:pPr>
            <w:r w:rsidRPr="00CF23A8">
              <w:rPr>
                <w:rFonts w:ascii="Calibri" w:eastAsia="Times New Roman" w:hAnsi="Calibri" w:cs="Calibri"/>
                <w:color w:val="000000"/>
                <w:lang w:eastAsia="fr-FR"/>
              </w:rPr>
              <w:t xml:space="preserve">            87 959 002 020   </w:t>
            </w:r>
          </w:p>
        </w:tc>
        <w:tc>
          <w:tcPr>
            <w:tcW w:w="2535" w:type="dxa"/>
            <w:vAlign w:val="center"/>
          </w:tcPr>
          <w:p w:rsidR="003339F3" w:rsidRPr="00CF23A8" w:rsidRDefault="003339F3" w:rsidP="003339F3">
            <w:pPr>
              <w:rPr>
                <w:rFonts w:ascii="Calibri" w:eastAsia="Times New Roman" w:hAnsi="Calibri" w:cs="Calibri"/>
                <w:color w:val="000000"/>
                <w:sz w:val="24"/>
                <w:szCs w:val="24"/>
                <w:lang w:eastAsia="fr-FR"/>
              </w:rPr>
            </w:pPr>
            <w:r w:rsidRPr="00CF23A8">
              <w:rPr>
                <w:rFonts w:ascii="Calibri" w:eastAsia="Times New Roman" w:hAnsi="Calibri" w:cs="Calibri"/>
                <w:color w:val="000000"/>
                <w:sz w:val="24"/>
                <w:szCs w:val="24"/>
                <w:lang w:eastAsia="fr-FR"/>
              </w:rPr>
              <w:t>-142 830 544 236</w:t>
            </w:r>
          </w:p>
        </w:tc>
      </w:tr>
      <w:tr w:rsidR="003339F3" w:rsidRPr="00B17490" w:rsidTr="003339F3">
        <w:tc>
          <w:tcPr>
            <w:tcW w:w="1413" w:type="dxa"/>
            <w:shd w:val="clear" w:color="auto" w:fill="FFFF00"/>
            <w:vAlign w:val="bottom"/>
          </w:tcPr>
          <w:p w:rsidR="003339F3" w:rsidRPr="00B17490" w:rsidRDefault="003339F3" w:rsidP="003339F3">
            <w:pPr>
              <w:tabs>
                <w:tab w:val="left" w:pos="900"/>
              </w:tabs>
              <w:spacing w:line="360" w:lineRule="auto"/>
              <w:rPr>
                <w:b/>
                <w:sz w:val="24"/>
                <w:szCs w:val="24"/>
              </w:rPr>
            </w:pPr>
            <w:r w:rsidRPr="00B17490">
              <w:rPr>
                <w:b/>
                <w:sz w:val="24"/>
                <w:szCs w:val="24"/>
              </w:rPr>
              <w:t>TOTAL</w:t>
            </w:r>
          </w:p>
        </w:tc>
        <w:tc>
          <w:tcPr>
            <w:tcW w:w="2534" w:type="dxa"/>
            <w:shd w:val="clear" w:color="auto" w:fill="FFFF00"/>
            <w:vAlign w:val="center"/>
          </w:tcPr>
          <w:p w:rsidR="003339F3" w:rsidRPr="00CF23A8" w:rsidRDefault="003339F3" w:rsidP="003339F3">
            <w:pPr>
              <w:rPr>
                <w:rFonts w:ascii="Calibri" w:eastAsia="Times New Roman" w:hAnsi="Calibri" w:cs="Calibri"/>
                <w:b/>
                <w:bCs/>
                <w:color w:val="000000"/>
                <w:sz w:val="24"/>
                <w:szCs w:val="24"/>
                <w:lang w:eastAsia="fr-FR"/>
              </w:rPr>
            </w:pPr>
            <w:r w:rsidRPr="00CF23A8">
              <w:rPr>
                <w:rFonts w:ascii="Calibri" w:eastAsia="Times New Roman" w:hAnsi="Calibri" w:cs="Calibri"/>
                <w:b/>
                <w:bCs/>
                <w:color w:val="000000"/>
                <w:sz w:val="24"/>
                <w:szCs w:val="24"/>
                <w:lang w:eastAsia="fr-FR"/>
              </w:rPr>
              <w:t>1 036 451 660 029</w:t>
            </w:r>
          </w:p>
        </w:tc>
        <w:tc>
          <w:tcPr>
            <w:tcW w:w="2534" w:type="dxa"/>
            <w:shd w:val="clear" w:color="auto" w:fill="FFFF00"/>
            <w:vAlign w:val="center"/>
          </w:tcPr>
          <w:p w:rsidR="003339F3" w:rsidRPr="00CF23A8" w:rsidRDefault="003339F3" w:rsidP="003339F3">
            <w:pPr>
              <w:rPr>
                <w:rFonts w:ascii="Calibri" w:eastAsia="Times New Roman" w:hAnsi="Calibri" w:cs="Calibri"/>
                <w:b/>
                <w:bCs/>
                <w:color w:val="000000"/>
                <w:sz w:val="24"/>
                <w:szCs w:val="24"/>
                <w:lang w:eastAsia="fr-FR"/>
              </w:rPr>
            </w:pPr>
            <w:r w:rsidRPr="00CF23A8">
              <w:rPr>
                <w:rFonts w:ascii="Calibri" w:eastAsia="Times New Roman" w:hAnsi="Calibri" w:cs="Calibri"/>
                <w:b/>
                <w:bCs/>
                <w:color w:val="000000"/>
                <w:sz w:val="24"/>
                <w:szCs w:val="24"/>
                <w:lang w:eastAsia="fr-FR"/>
              </w:rPr>
              <w:t>618 334 323 863</w:t>
            </w:r>
          </w:p>
        </w:tc>
        <w:tc>
          <w:tcPr>
            <w:tcW w:w="2535" w:type="dxa"/>
            <w:shd w:val="clear" w:color="auto" w:fill="FFFF00"/>
            <w:vAlign w:val="center"/>
          </w:tcPr>
          <w:p w:rsidR="003339F3" w:rsidRPr="00CF23A8" w:rsidRDefault="003339F3" w:rsidP="003339F3">
            <w:pPr>
              <w:rPr>
                <w:rFonts w:ascii="Calibri" w:eastAsia="Times New Roman" w:hAnsi="Calibri" w:cs="Calibri"/>
                <w:b/>
                <w:bCs/>
                <w:color w:val="000000"/>
                <w:sz w:val="24"/>
                <w:szCs w:val="24"/>
                <w:lang w:eastAsia="fr-FR"/>
              </w:rPr>
            </w:pPr>
            <w:r w:rsidRPr="00CF23A8">
              <w:rPr>
                <w:rFonts w:ascii="Calibri" w:eastAsia="Times New Roman" w:hAnsi="Calibri" w:cs="Calibri"/>
                <w:b/>
                <w:bCs/>
                <w:color w:val="000000"/>
                <w:sz w:val="24"/>
                <w:szCs w:val="24"/>
                <w:lang w:eastAsia="fr-FR"/>
              </w:rPr>
              <w:t>-418 117 336 166</w:t>
            </w:r>
          </w:p>
        </w:tc>
      </w:tr>
    </w:tbl>
    <w:p w:rsidR="003339F3" w:rsidRDefault="003339F3" w:rsidP="003339F3">
      <w:pPr>
        <w:spacing w:after="0"/>
        <w:jc w:val="both"/>
        <w:rPr>
          <w:sz w:val="24"/>
          <w:szCs w:val="24"/>
        </w:rPr>
      </w:pPr>
    </w:p>
    <w:p w:rsidR="003339F3" w:rsidRPr="00BC41B7" w:rsidRDefault="003339F3" w:rsidP="003339F3">
      <w:pPr>
        <w:spacing w:after="0"/>
        <w:jc w:val="both"/>
        <w:rPr>
          <w:sz w:val="24"/>
          <w:szCs w:val="24"/>
        </w:rPr>
      </w:pPr>
      <w:r>
        <w:rPr>
          <w:sz w:val="24"/>
          <w:szCs w:val="24"/>
        </w:rPr>
        <w:t>Et trois actions pourront être entreprise</w:t>
      </w:r>
      <w:r w:rsidR="00A17025">
        <w:rPr>
          <w:sz w:val="24"/>
          <w:szCs w:val="24"/>
        </w:rPr>
        <w:t>s</w:t>
      </w:r>
      <w:r>
        <w:rPr>
          <w:sz w:val="24"/>
          <w:szCs w:val="24"/>
        </w:rPr>
        <w:t xml:space="preserve"> concomitamment. </w:t>
      </w:r>
    </w:p>
    <w:p w:rsidR="003339F3" w:rsidRPr="00C50623" w:rsidRDefault="003339F3" w:rsidP="005D02C3">
      <w:pPr>
        <w:pStyle w:val="Paragraphedeliste"/>
        <w:numPr>
          <w:ilvl w:val="3"/>
          <w:numId w:val="86"/>
        </w:numPr>
        <w:spacing w:line="276" w:lineRule="auto"/>
        <w:ind w:left="426" w:hanging="426"/>
        <w:jc w:val="both"/>
        <w:rPr>
          <w:b/>
          <w:sz w:val="24"/>
          <w:szCs w:val="24"/>
        </w:rPr>
      </w:pPr>
      <w:r w:rsidRPr="00C50623">
        <w:rPr>
          <w:rFonts w:cs="Times New Roman"/>
          <w:b/>
          <w:sz w:val="24"/>
          <w:szCs w:val="24"/>
        </w:rPr>
        <w:t xml:space="preserve">Accroissement de la mobilisation des ressources financières publiques </w:t>
      </w:r>
    </w:p>
    <w:p w:rsidR="003339F3" w:rsidRPr="00C50623" w:rsidRDefault="003339F3" w:rsidP="005D02C3">
      <w:pPr>
        <w:pStyle w:val="Paragraphedeliste"/>
        <w:numPr>
          <w:ilvl w:val="0"/>
          <w:numId w:val="88"/>
        </w:numPr>
        <w:spacing w:line="276" w:lineRule="auto"/>
        <w:jc w:val="both"/>
        <w:rPr>
          <w:sz w:val="24"/>
          <w:szCs w:val="24"/>
        </w:rPr>
      </w:pPr>
      <w:r>
        <w:rPr>
          <w:rFonts w:cs="Times New Roman"/>
          <w:sz w:val="24"/>
          <w:szCs w:val="24"/>
        </w:rPr>
        <w:t>Aller</w:t>
      </w:r>
      <w:r w:rsidRPr="005B7320">
        <w:rPr>
          <w:rFonts w:cs="Times New Roman"/>
          <w:sz w:val="24"/>
          <w:szCs w:val="24"/>
        </w:rPr>
        <w:t xml:space="preserve"> vers l’objectif de l’allocation </w:t>
      </w:r>
      <w:r w:rsidR="00493F71">
        <w:rPr>
          <w:rFonts w:cs="Times New Roman"/>
          <w:sz w:val="24"/>
          <w:szCs w:val="24"/>
        </w:rPr>
        <w:t>par l’Etat d’au moins 15% du</w:t>
      </w:r>
      <w:r w:rsidRPr="005B7320">
        <w:rPr>
          <w:rFonts w:cs="Times New Roman"/>
          <w:sz w:val="24"/>
          <w:szCs w:val="24"/>
        </w:rPr>
        <w:t xml:space="preserve"> budget </w:t>
      </w:r>
      <w:r w:rsidR="00493F71">
        <w:rPr>
          <w:rFonts w:cs="Times New Roman"/>
          <w:sz w:val="24"/>
          <w:szCs w:val="24"/>
        </w:rPr>
        <w:t xml:space="preserve">national </w:t>
      </w:r>
      <w:r w:rsidRPr="005B7320">
        <w:rPr>
          <w:rFonts w:cs="Times New Roman"/>
          <w:sz w:val="24"/>
          <w:szCs w:val="24"/>
        </w:rPr>
        <w:t>au secteur de la santé</w:t>
      </w:r>
      <w:r>
        <w:rPr>
          <w:rFonts w:cs="Times New Roman"/>
          <w:sz w:val="24"/>
          <w:szCs w:val="24"/>
        </w:rPr>
        <w:t> ;</w:t>
      </w:r>
    </w:p>
    <w:p w:rsidR="00ED3A64" w:rsidRPr="00ED3A64" w:rsidRDefault="00493F71" w:rsidP="005D02C3">
      <w:pPr>
        <w:pStyle w:val="Paragraphedeliste"/>
        <w:numPr>
          <w:ilvl w:val="0"/>
          <w:numId w:val="88"/>
        </w:numPr>
        <w:spacing w:line="276" w:lineRule="auto"/>
        <w:jc w:val="both"/>
        <w:rPr>
          <w:sz w:val="24"/>
          <w:szCs w:val="24"/>
        </w:rPr>
      </w:pPr>
      <w:r>
        <w:rPr>
          <w:rFonts w:cs="Times New Roman"/>
          <w:sz w:val="24"/>
          <w:szCs w:val="24"/>
        </w:rPr>
        <w:t>R</w:t>
      </w:r>
      <w:r w:rsidR="003339F3">
        <w:rPr>
          <w:rFonts w:cs="Times New Roman"/>
          <w:sz w:val="24"/>
          <w:szCs w:val="24"/>
        </w:rPr>
        <w:t>endre effectif l</w:t>
      </w:r>
      <w:r w:rsidR="003339F3">
        <w:rPr>
          <w:rFonts w:ascii="Helvetica" w:eastAsia="Helvetica" w:hAnsi="Helvetica" w:cs="Helvetica"/>
          <w:sz w:val="24"/>
          <w:szCs w:val="24"/>
        </w:rPr>
        <w:t>’</w:t>
      </w:r>
      <w:r w:rsidR="003339F3">
        <w:rPr>
          <w:rFonts w:cs="Times New Roman"/>
          <w:sz w:val="24"/>
          <w:szCs w:val="24"/>
        </w:rPr>
        <w:t>alignement du cycle de planification du Ministère</w:t>
      </w:r>
      <w:r>
        <w:rPr>
          <w:rFonts w:cs="Times New Roman"/>
          <w:sz w:val="24"/>
          <w:szCs w:val="24"/>
        </w:rPr>
        <w:t xml:space="preserve"> de la santé </w:t>
      </w:r>
      <w:r w:rsidR="00ED3A64">
        <w:rPr>
          <w:rFonts w:cs="Times New Roman"/>
          <w:sz w:val="24"/>
          <w:szCs w:val="24"/>
        </w:rPr>
        <w:t xml:space="preserve"> au cycle budgétaire ;</w:t>
      </w:r>
    </w:p>
    <w:p w:rsidR="003339F3" w:rsidRPr="005B7320" w:rsidRDefault="00ED3A64" w:rsidP="005D02C3">
      <w:pPr>
        <w:pStyle w:val="Paragraphedeliste"/>
        <w:numPr>
          <w:ilvl w:val="0"/>
          <w:numId w:val="88"/>
        </w:numPr>
        <w:spacing w:line="276" w:lineRule="auto"/>
        <w:jc w:val="both"/>
        <w:rPr>
          <w:sz w:val="24"/>
          <w:szCs w:val="24"/>
        </w:rPr>
      </w:pPr>
      <w:r>
        <w:rPr>
          <w:rFonts w:cs="Times New Roman"/>
          <w:sz w:val="24"/>
          <w:szCs w:val="24"/>
        </w:rPr>
        <w:t>P</w:t>
      </w:r>
      <w:r w:rsidR="003339F3">
        <w:rPr>
          <w:rFonts w:cs="Times New Roman"/>
          <w:sz w:val="24"/>
          <w:szCs w:val="24"/>
        </w:rPr>
        <w:t>rendre en compte les priorités du dossier d</w:t>
      </w:r>
      <w:r w:rsidR="003339F3">
        <w:rPr>
          <w:rFonts w:ascii="Helvetica" w:eastAsia="Helvetica" w:hAnsi="Helvetica" w:cs="Helvetica"/>
          <w:sz w:val="24"/>
          <w:szCs w:val="24"/>
        </w:rPr>
        <w:t>’</w:t>
      </w:r>
      <w:r w:rsidR="003339F3">
        <w:rPr>
          <w:rFonts w:cs="Times New Roman"/>
          <w:sz w:val="24"/>
          <w:szCs w:val="24"/>
        </w:rPr>
        <w:t xml:space="preserve">investissement dans les directives annuelles de planification du département ; </w:t>
      </w:r>
    </w:p>
    <w:p w:rsidR="003339F3" w:rsidRPr="005B7320" w:rsidRDefault="003339F3" w:rsidP="005D02C3">
      <w:pPr>
        <w:pStyle w:val="Paragraphedeliste"/>
        <w:numPr>
          <w:ilvl w:val="0"/>
          <w:numId w:val="88"/>
        </w:numPr>
        <w:spacing w:line="276" w:lineRule="auto"/>
        <w:jc w:val="both"/>
        <w:rPr>
          <w:sz w:val="24"/>
          <w:szCs w:val="24"/>
        </w:rPr>
      </w:pPr>
      <w:r w:rsidRPr="005B7320">
        <w:rPr>
          <w:rFonts w:cs="Times New Roman"/>
          <w:sz w:val="24"/>
          <w:szCs w:val="24"/>
        </w:rPr>
        <w:t>Mobiliser les collectivités territoriales pour augmenter leur contribution au financement de la santé pour la Couver</w:t>
      </w:r>
      <w:r>
        <w:rPr>
          <w:rFonts w:cs="Times New Roman"/>
          <w:sz w:val="24"/>
          <w:szCs w:val="24"/>
        </w:rPr>
        <w:t>ture de santé universelle (CSU) ;</w:t>
      </w:r>
    </w:p>
    <w:p w:rsidR="003339F3" w:rsidRPr="005B7320" w:rsidRDefault="003339F3" w:rsidP="005D02C3">
      <w:pPr>
        <w:pStyle w:val="Paragraphedeliste"/>
        <w:numPr>
          <w:ilvl w:val="0"/>
          <w:numId w:val="88"/>
        </w:numPr>
        <w:spacing w:line="276" w:lineRule="auto"/>
        <w:jc w:val="both"/>
        <w:rPr>
          <w:sz w:val="24"/>
          <w:szCs w:val="24"/>
        </w:rPr>
      </w:pPr>
      <w:r w:rsidRPr="005B7320">
        <w:rPr>
          <w:rFonts w:cs="Times New Roman"/>
          <w:sz w:val="24"/>
          <w:szCs w:val="24"/>
        </w:rPr>
        <w:t xml:space="preserve">Mobiliser des financements innovants au profit de la santé, à travers entre autres : </w:t>
      </w:r>
    </w:p>
    <w:p w:rsidR="003339F3" w:rsidRPr="00124996" w:rsidRDefault="003339F3" w:rsidP="005D02C3">
      <w:pPr>
        <w:pStyle w:val="Paragraphedeliste"/>
        <w:numPr>
          <w:ilvl w:val="0"/>
          <w:numId w:val="89"/>
        </w:numPr>
        <w:spacing w:line="276" w:lineRule="auto"/>
        <w:jc w:val="both"/>
        <w:rPr>
          <w:rFonts w:cs="Times New Roman"/>
          <w:sz w:val="24"/>
          <w:szCs w:val="24"/>
        </w:rPr>
      </w:pPr>
      <w:r w:rsidRPr="00124996">
        <w:rPr>
          <w:rFonts w:cs="Times New Roman"/>
          <w:sz w:val="24"/>
          <w:szCs w:val="24"/>
        </w:rPr>
        <w:t xml:space="preserve">Un fonds spécial de soutien à la santé et à l’éducation, financé par l’exploitation des richesses géologiques, minières, etc., </w:t>
      </w:r>
    </w:p>
    <w:p w:rsidR="003339F3" w:rsidRDefault="003339F3" w:rsidP="005D02C3">
      <w:pPr>
        <w:pStyle w:val="Paragraphedeliste"/>
        <w:numPr>
          <w:ilvl w:val="0"/>
          <w:numId w:val="89"/>
        </w:numPr>
        <w:spacing w:line="276" w:lineRule="auto"/>
        <w:jc w:val="both"/>
        <w:rPr>
          <w:rFonts w:cs="Times New Roman"/>
          <w:sz w:val="24"/>
          <w:szCs w:val="24"/>
        </w:rPr>
      </w:pPr>
      <w:r w:rsidRPr="00124996">
        <w:rPr>
          <w:rFonts w:cs="Times New Roman"/>
          <w:sz w:val="24"/>
          <w:szCs w:val="24"/>
        </w:rPr>
        <w:t>Des taxes spécifiques sur les produits à fort potentiel de morbidité (alcool, tabac, pollution environnementale, …) ;</w:t>
      </w:r>
    </w:p>
    <w:p w:rsidR="003339F3" w:rsidRDefault="003339F3" w:rsidP="005D02C3">
      <w:pPr>
        <w:pStyle w:val="Paragraphedeliste"/>
        <w:numPr>
          <w:ilvl w:val="0"/>
          <w:numId w:val="89"/>
        </w:numPr>
        <w:spacing w:line="276" w:lineRule="auto"/>
        <w:jc w:val="both"/>
        <w:rPr>
          <w:rFonts w:cs="Times New Roman"/>
          <w:sz w:val="24"/>
          <w:szCs w:val="24"/>
        </w:rPr>
      </w:pPr>
      <w:r w:rsidRPr="00124996">
        <w:rPr>
          <w:rFonts w:cs="Times New Roman"/>
          <w:sz w:val="24"/>
          <w:szCs w:val="24"/>
        </w:rPr>
        <w:t>Autres sources potentielles novatrices : contribution de solidarité sur les téléphones portables, taxe sur les transactions financières, taxe sur les billets d’avion, emprunt par obligation destiné à la Diaspora, …)</w:t>
      </w:r>
      <w:r>
        <w:rPr>
          <w:rFonts w:cs="Times New Roman"/>
          <w:sz w:val="24"/>
          <w:szCs w:val="24"/>
        </w:rPr>
        <w:t> ;</w:t>
      </w:r>
    </w:p>
    <w:p w:rsidR="003339F3" w:rsidRPr="005B7320" w:rsidRDefault="003339F3" w:rsidP="005D02C3">
      <w:pPr>
        <w:pStyle w:val="Paragraphedeliste"/>
        <w:numPr>
          <w:ilvl w:val="0"/>
          <w:numId w:val="89"/>
        </w:numPr>
        <w:spacing w:line="276" w:lineRule="auto"/>
        <w:jc w:val="both"/>
        <w:rPr>
          <w:rFonts w:cs="Times New Roman"/>
          <w:sz w:val="24"/>
          <w:szCs w:val="24"/>
        </w:rPr>
      </w:pPr>
      <w:r w:rsidRPr="005B7320">
        <w:rPr>
          <w:rFonts w:cs="Times New Roman"/>
          <w:sz w:val="24"/>
          <w:szCs w:val="24"/>
        </w:rPr>
        <w:t>Plaidoyer pour un accroissement et une plus grande prédictibilité des financements extérieurs</w:t>
      </w:r>
      <w:r w:rsidRPr="00C50623">
        <w:rPr>
          <w:rFonts w:cs="Times New Roman"/>
          <w:sz w:val="24"/>
          <w:szCs w:val="24"/>
        </w:rPr>
        <w:t xml:space="preserve"> </w:t>
      </w:r>
      <w:r>
        <w:rPr>
          <w:rFonts w:cs="Times New Roman"/>
          <w:sz w:val="24"/>
          <w:szCs w:val="24"/>
        </w:rPr>
        <w:t>et leur alignement sur les priorités convenues dans le dossier d</w:t>
      </w:r>
      <w:r>
        <w:rPr>
          <w:rFonts w:ascii="Helvetica" w:eastAsia="Helvetica" w:hAnsi="Helvetica" w:cs="Helvetica"/>
          <w:sz w:val="24"/>
          <w:szCs w:val="24"/>
        </w:rPr>
        <w:t>’</w:t>
      </w:r>
      <w:r>
        <w:rPr>
          <w:rFonts w:cs="Times New Roman"/>
          <w:sz w:val="24"/>
          <w:szCs w:val="24"/>
        </w:rPr>
        <w:t>investissement ;</w:t>
      </w:r>
      <w:r w:rsidRPr="005B7320">
        <w:rPr>
          <w:rFonts w:cs="Times New Roman"/>
          <w:sz w:val="24"/>
          <w:szCs w:val="24"/>
        </w:rPr>
        <w:t xml:space="preserve"> </w:t>
      </w:r>
    </w:p>
    <w:p w:rsidR="003339F3" w:rsidRPr="00493F71" w:rsidRDefault="003339F3" w:rsidP="005D02C3">
      <w:pPr>
        <w:pStyle w:val="Paragraphedeliste"/>
        <w:numPr>
          <w:ilvl w:val="3"/>
          <w:numId w:val="86"/>
        </w:numPr>
        <w:spacing w:line="276" w:lineRule="auto"/>
        <w:ind w:left="426" w:hanging="426"/>
        <w:jc w:val="both"/>
        <w:rPr>
          <w:rFonts w:cs="Times New Roman"/>
          <w:sz w:val="24"/>
          <w:szCs w:val="24"/>
        </w:rPr>
      </w:pPr>
      <w:r w:rsidRPr="00493F71">
        <w:rPr>
          <w:rFonts w:cs="Times New Roman"/>
          <w:sz w:val="24"/>
          <w:szCs w:val="24"/>
        </w:rPr>
        <w:t>Mobiliser le financement privé pour des objectifs de santé publique par le renforcement du Partenariat public-privé notamment pour encourager les investisseurs privés dans la réalisation des infrastructures et des équipements sanitaires de pointe et ceci en contractualisation avec l’Etat ;</w:t>
      </w:r>
    </w:p>
    <w:p w:rsidR="003339F3" w:rsidRPr="00493F71" w:rsidRDefault="003339F3" w:rsidP="005D02C3">
      <w:pPr>
        <w:pStyle w:val="Paragraphedeliste"/>
        <w:numPr>
          <w:ilvl w:val="3"/>
          <w:numId w:val="86"/>
        </w:numPr>
        <w:spacing w:line="276" w:lineRule="auto"/>
        <w:ind w:left="426" w:hanging="426"/>
        <w:jc w:val="both"/>
        <w:rPr>
          <w:rFonts w:cs="Times New Roman"/>
          <w:sz w:val="24"/>
          <w:szCs w:val="24"/>
        </w:rPr>
      </w:pPr>
      <w:r w:rsidRPr="00493F71">
        <w:rPr>
          <w:rFonts w:cs="Times New Roman"/>
          <w:sz w:val="24"/>
          <w:szCs w:val="24"/>
        </w:rPr>
        <w:t>Mobiliser le financement du Régime d’assurance maladie universelle (RAMU) à travers les cotisations, les subventions et une plus grande mobilisation en faveur de l’adhésion.</w:t>
      </w:r>
    </w:p>
    <w:p w:rsidR="00314B92" w:rsidRDefault="00314B92">
      <w:pPr>
        <w:pStyle w:val="Normal1"/>
        <w:spacing w:after="120" w:line="360" w:lineRule="auto"/>
        <w:rPr>
          <w:color w:val="000000"/>
          <w:sz w:val="23"/>
          <w:szCs w:val="23"/>
        </w:rPr>
      </w:pPr>
    </w:p>
    <w:p w:rsidR="00314B92" w:rsidRDefault="009B5EB2" w:rsidP="00DF185B">
      <w:pPr>
        <w:pStyle w:val="Normal1"/>
        <w:numPr>
          <w:ilvl w:val="0"/>
          <w:numId w:val="87"/>
        </w:numPr>
        <w:pBdr>
          <w:top w:val="nil"/>
          <w:left w:val="nil"/>
          <w:bottom w:val="nil"/>
          <w:right w:val="nil"/>
          <w:between w:val="nil"/>
        </w:pBdr>
        <w:spacing w:after="0"/>
        <w:rPr>
          <w:b/>
          <w:color w:val="000000"/>
          <w:sz w:val="32"/>
          <w:szCs w:val="32"/>
        </w:rPr>
      </w:pPr>
      <w:r w:rsidRPr="009B5EB2">
        <w:rPr>
          <w:b/>
          <w:color w:val="000000"/>
          <w:sz w:val="28"/>
          <w:szCs w:val="28"/>
        </w:rPr>
        <w:t>CONCLUSION</w:t>
      </w:r>
    </w:p>
    <w:p w:rsidR="00314B92" w:rsidRDefault="00AD5F81" w:rsidP="00785BAD">
      <w:pPr>
        <w:pStyle w:val="Normal1"/>
        <w:tabs>
          <w:tab w:val="left" w:pos="900"/>
        </w:tabs>
        <w:spacing w:after="0"/>
        <w:jc w:val="both"/>
        <w:rPr>
          <w:sz w:val="24"/>
          <w:szCs w:val="24"/>
        </w:rPr>
      </w:pPr>
      <w:r>
        <w:rPr>
          <w:sz w:val="24"/>
          <w:szCs w:val="24"/>
        </w:rPr>
        <w:t xml:space="preserve">Le système de santé Burkinabé a une bonne réactivité qui lui a permis d’accomplir des progrès importants en matière de santé de la reproduction de santé de la mère, du nouveau, de l’enfant, de l’adolescent/jeune et en matière de nutrition. </w:t>
      </w:r>
    </w:p>
    <w:p w:rsidR="00314B92" w:rsidRDefault="00AD5F81">
      <w:pPr>
        <w:pStyle w:val="Normal1"/>
        <w:tabs>
          <w:tab w:val="left" w:pos="900"/>
        </w:tabs>
        <w:spacing w:after="0"/>
        <w:jc w:val="both"/>
        <w:rPr>
          <w:sz w:val="24"/>
          <w:szCs w:val="24"/>
        </w:rPr>
      </w:pPr>
      <w:r>
        <w:rPr>
          <w:sz w:val="24"/>
          <w:szCs w:val="24"/>
        </w:rPr>
        <w:t xml:space="preserve">Cependant ces progrès n’ont pas été </w:t>
      </w:r>
      <w:r w:rsidR="00785BAD">
        <w:rPr>
          <w:sz w:val="24"/>
          <w:szCs w:val="24"/>
        </w:rPr>
        <w:t>suffisants</w:t>
      </w:r>
      <w:r>
        <w:rPr>
          <w:sz w:val="24"/>
          <w:szCs w:val="24"/>
        </w:rPr>
        <w:t xml:space="preserve"> pour atteindre les cibles fixées au niveau national et au niveau international.</w:t>
      </w:r>
    </w:p>
    <w:p w:rsidR="00314B92" w:rsidRDefault="00AD5F81" w:rsidP="00C3315F">
      <w:pPr>
        <w:pStyle w:val="Normal1"/>
        <w:tabs>
          <w:tab w:val="left" w:pos="900"/>
        </w:tabs>
        <w:spacing w:after="0"/>
        <w:jc w:val="both"/>
        <w:rPr>
          <w:sz w:val="24"/>
          <w:szCs w:val="24"/>
        </w:rPr>
      </w:pPr>
      <w:r>
        <w:rPr>
          <w:sz w:val="24"/>
          <w:szCs w:val="24"/>
        </w:rPr>
        <w:t>Le Dossier d’investissement en SRMNEAN et ECSV offre au Pays l’opportunité de focaliser les efforts de tous les acteurs sur quelques priorités et stratégies à haut impact pour accélérer les progrès.</w:t>
      </w:r>
    </w:p>
    <w:p w:rsidR="00314B92" w:rsidRDefault="00AD5F81" w:rsidP="00C3315F">
      <w:pPr>
        <w:pStyle w:val="Normal1"/>
        <w:tabs>
          <w:tab w:val="left" w:pos="900"/>
        </w:tabs>
        <w:spacing w:after="0"/>
        <w:jc w:val="both"/>
        <w:rPr>
          <w:sz w:val="24"/>
          <w:szCs w:val="24"/>
        </w:rPr>
      </w:pPr>
      <w:r>
        <w:rPr>
          <w:sz w:val="24"/>
          <w:szCs w:val="24"/>
        </w:rPr>
        <w:t>De l’analyse de situation, notamment des causes des goulots d’étranglement, il est ressorti un certain nombre de paramètres auxquels il convient d’accorder toute l’attention nécessaire pour donner toutes les chances de succès au DI.</w:t>
      </w:r>
    </w:p>
    <w:p w:rsidR="00314B92" w:rsidRDefault="00AD5F81" w:rsidP="00C3315F">
      <w:pPr>
        <w:pStyle w:val="Normal1"/>
        <w:tabs>
          <w:tab w:val="left" w:pos="900"/>
        </w:tabs>
        <w:spacing w:after="0"/>
        <w:jc w:val="both"/>
        <w:rPr>
          <w:sz w:val="24"/>
          <w:szCs w:val="24"/>
        </w:rPr>
      </w:pPr>
      <w:r>
        <w:rPr>
          <w:sz w:val="24"/>
          <w:szCs w:val="24"/>
        </w:rPr>
        <w:t xml:space="preserve">L’intégration des différentes interventions au sein du paquet à haut impact est apparue comme une stratégie efficiente par les synergies et la capacité de potentialiser les opportunités qu’elle crée. </w:t>
      </w:r>
    </w:p>
    <w:p w:rsidR="00314B92" w:rsidRDefault="00AD5F81" w:rsidP="00C3315F">
      <w:pPr>
        <w:pStyle w:val="Normal1"/>
        <w:tabs>
          <w:tab w:val="left" w:pos="900"/>
        </w:tabs>
        <w:spacing w:after="0"/>
        <w:jc w:val="both"/>
        <w:rPr>
          <w:sz w:val="24"/>
          <w:szCs w:val="24"/>
        </w:rPr>
      </w:pPr>
      <w:r>
        <w:rPr>
          <w:sz w:val="24"/>
          <w:szCs w:val="24"/>
        </w:rPr>
        <w:t>L</w:t>
      </w:r>
      <w:r w:rsidR="00ED3A64">
        <w:rPr>
          <w:sz w:val="24"/>
          <w:szCs w:val="24"/>
        </w:rPr>
        <w:t>a réduction d</w:t>
      </w:r>
      <w:r>
        <w:rPr>
          <w:sz w:val="24"/>
          <w:szCs w:val="24"/>
        </w:rPr>
        <w:t xml:space="preserve">es inégalités </w:t>
      </w:r>
      <w:r w:rsidR="00ED3A64">
        <w:rPr>
          <w:sz w:val="24"/>
          <w:szCs w:val="24"/>
        </w:rPr>
        <w:t xml:space="preserve">observées </w:t>
      </w:r>
      <w:r>
        <w:rPr>
          <w:sz w:val="24"/>
          <w:szCs w:val="24"/>
        </w:rPr>
        <w:t>entre régions que ce soit en termes de performance ou d’impact sur la mortalité demande qu’un traitement différentiel soit appliqué pour permettre aux régions qui se situent en dessous de la moyenne de rattraper leur retard.</w:t>
      </w:r>
    </w:p>
    <w:p w:rsidR="00314B92" w:rsidRDefault="00AD5F81" w:rsidP="00C3315F">
      <w:pPr>
        <w:pStyle w:val="Normal1"/>
        <w:tabs>
          <w:tab w:val="left" w:pos="900"/>
        </w:tabs>
        <w:spacing w:after="0"/>
        <w:jc w:val="both"/>
        <w:rPr>
          <w:sz w:val="24"/>
          <w:szCs w:val="24"/>
        </w:rPr>
      </w:pPr>
      <w:r>
        <w:rPr>
          <w:sz w:val="24"/>
          <w:szCs w:val="24"/>
        </w:rPr>
        <w:t xml:space="preserve">La supervision formative, sortie également comme une des stratégies à haut impact, devrait être revalorisé ainsi que d’autres approches similaires comme le coaching et le mentorat pour renforcer les capacités du personnel in situ plutôt que dans des conditions </w:t>
      </w:r>
      <w:r w:rsidR="007D7380">
        <w:rPr>
          <w:sz w:val="24"/>
          <w:szCs w:val="24"/>
        </w:rPr>
        <w:t>complètement</w:t>
      </w:r>
      <w:r>
        <w:rPr>
          <w:sz w:val="24"/>
          <w:szCs w:val="24"/>
        </w:rPr>
        <w:t xml:space="preserve"> différentes de leurs conditions de travail.</w:t>
      </w:r>
    </w:p>
    <w:p w:rsidR="00314B92" w:rsidRPr="00785BAD" w:rsidRDefault="00ED3A64" w:rsidP="00C3315F">
      <w:pPr>
        <w:pStyle w:val="Normal1"/>
        <w:pBdr>
          <w:top w:val="nil"/>
          <w:left w:val="nil"/>
          <w:bottom w:val="nil"/>
          <w:right w:val="nil"/>
          <w:between w:val="nil"/>
        </w:pBdr>
        <w:spacing w:after="0"/>
        <w:jc w:val="both"/>
        <w:rPr>
          <w:color w:val="000000"/>
          <w:sz w:val="24"/>
          <w:szCs w:val="24"/>
        </w:rPr>
      </w:pPr>
      <w:r>
        <w:rPr>
          <w:sz w:val="24"/>
          <w:szCs w:val="24"/>
        </w:rPr>
        <w:t>Le renforcement de la santé</w:t>
      </w:r>
      <w:r w:rsidR="00AD5F81">
        <w:rPr>
          <w:sz w:val="24"/>
          <w:szCs w:val="24"/>
        </w:rPr>
        <w:t xml:space="preserve"> communautaire</w:t>
      </w:r>
      <w:r w:rsidR="00C3315F">
        <w:rPr>
          <w:sz w:val="24"/>
          <w:szCs w:val="24"/>
        </w:rPr>
        <w:t xml:space="preserve">, </w:t>
      </w:r>
      <w:r w:rsidR="00C3315F">
        <w:rPr>
          <w:color w:val="000000"/>
          <w:sz w:val="24"/>
          <w:szCs w:val="24"/>
        </w:rPr>
        <w:t>conçue comme socle des soins de santé primaires pour aller vers la couverture sanitaire universelle,</w:t>
      </w:r>
      <w:r w:rsidR="00AD5F81">
        <w:rPr>
          <w:sz w:val="24"/>
          <w:szCs w:val="24"/>
        </w:rPr>
        <w:t xml:space="preserve"> et une plus grande implication du privé médical et non médical devraient permettre d’améliorer la couverture en particulier des populations </w:t>
      </w:r>
      <w:r>
        <w:rPr>
          <w:sz w:val="24"/>
          <w:szCs w:val="24"/>
        </w:rPr>
        <w:t>des zones d’accès difficile (</w:t>
      </w:r>
      <w:r w:rsidR="00AD5F81">
        <w:rPr>
          <w:sz w:val="24"/>
          <w:szCs w:val="24"/>
        </w:rPr>
        <w:t>éloignées</w:t>
      </w:r>
      <w:r>
        <w:rPr>
          <w:sz w:val="24"/>
          <w:szCs w:val="24"/>
        </w:rPr>
        <w:t xml:space="preserve"> ou</w:t>
      </w:r>
      <w:r w:rsidR="00AD5F81">
        <w:rPr>
          <w:sz w:val="24"/>
          <w:szCs w:val="24"/>
        </w:rPr>
        <w:t xml:space="preserve"> zones d’insécurité</w:t>
      </w:r>
      <w:r>
        <w:rPr>
          <w:sz w:val="24"/>
          <w:szCs w:val="24"/>
        </w:rPr>
        <w:t>)</w:t>
      </w:r>
      <w:r w:rsidR="00AD5F81">
        <w:rPr>
          <w:sz w:val="24"/>
          <w:szCs w:val="24"/>
        </w:rPr>
        <w:t>.</w:t>
      </w:r>
      <w:r>
        <w:rPr>
          <w:sz w:val="24"/>
          <w:szCs w:val="24"/>
        </w:rPr>
        <w:t xml:space="preserve"> Une stratégie spécifique doit être mise en œuvre pour maintenir une couverture satisfaisante d’interventions de SRMNEAN à haut</w:t>
      </w:r>
      <w:r w:rsidR="00785BAD">
        <w:rPr>
          <w:sz w:val="24"/>
          <w:szCs w:val="24"/>
        </w:rPr>
        <w:t xml:space="preserve"> dans les zones touchées par l’insécurité.</w:t>
      </w:r>
      <w:r>
        <w:rPr>
          <w:sz w:val="24"/>
          <w:szCs w:val="24"/>
        </w:rPr>
        <w:t xml:space="preserve"> </w:t>
      </w:r>
      <w:r w:rsidR="00785BAD">
        <w:rPr>
          <w:sz w:val="24"/>
          <w:szCs w:val="24"/>
        </w:rPr>
        <w:t xml:space="preserve">En particulier, </w:t>
      </w:r>
      <w:r w:rsidR="00785BAD">
        <w:rPr>
          <w:color w:val="000000"/>
          <w:sz w:val="24"/>
          <w:szCs w:val="24"/>
        </w:rPr>
        <w:t>les services de vaccination devrait adopter des stratégies efficaces pour couvrir la population en fonction des besoins spécifiques de chaque tranche d’âge de la vie et pour atteindre les populations marginalisées ou celles habitant</w:t>
      </w:r>
      <w:r w:rsidR="00C3315F">
        <w:rPr>
          <w:color w:val="000000"/>
          <w:sz w:val="24"/>
          <w:szCs w:val="24"/>
        </w:rPr>
        <w:t>s</w:t>
      </w:r>
      <w:r w:rsidR="00785BAD">
        <w:rPr>
          <w:color w:val="000000"/>
          <w:sz w:val="24"/>
          <w:szCs w:val="24"/>
        </w:rPr>
        <w:t xml:space="preserve"> les zones d’insécurité.</w:t>
      </w:r>
    </w:p>
    <w:p w:rsidR="00314B92" w:rsidRDefault="00AD5F81">
      <w:pPr>
        <w:pStyle w:val="Normal1"/>
        <w:tabs>
          <w:tab w:val="left" w:pos="900"/>
        </w:tabs>
        <w:jc w:val="both"/>
        <w:rPr>
          <w:sz w:val="24"/>
          <w:szCs w:val="24"/>
        </w:rPr>
      </w:pPr>
      <w:r>
        <w:rPr>
          <w:sz w:val="24"/>
          <w:szCs w:val="24"/>
        </w:rPr>
        <w:t xml:space="preserve">A court terme, un redéploiement du personnel dans le respect des normes </w:t>
      </w:r>
      <w:r w:rsidR="00C3315F">
        <w:rPr>
          <w:sz w:val="24"/>
          <w:szCs w:val="24"/>
        </w:rPr>
        <w:t>et une plus grande stabilité</w:t>
      </w:r>
      <w:r>
        <w:rPr>
          <w:sz w:val="24"/>
          <w:szCs w:val="24"/>
        </w:rPr>
        <w:t xml:space="preserve"> dans les postes</w:t>
      </w:r>
      <w:r w:rsidR="00C3315F">
        <w:rPr>
          <w:sz w:val="24"/>
          <w:szCs w:val="24"/>
        </w:rPr>
        <w:t xml:space="preserve"> d’affectation</w:t>
      </w:r>
      <w:r>
        <w:rPr>
          <w:sz w:val="24"/>
          <w:szCs w:val="24"/>
        </w:rPr>
        <w:t xml:space="preserve"> permettraient de résoudre la question récurrente de la disponibilité du personnel surtout dans les zones éloignées des centres urbains. A moyen terme, le recrutement de personnel supplémentaire formé en SRMNEAN devrait permettre de réduire l’écart par rapport aux normes de l’OMS.</w:t>
      </w:r>
    </w:p>
    <w:p w:rsidR="00ED3A64" w:rsidRPr="00785BAD" w:rsidRDefault="00AD5F81" w:rsidP="00785BAD">
      <w:pPr>
        <w:pStyle w:val="Normal1"/>
        <w:tabs>
          <w:tab w:val="left" w:pos="900"/>
        </w:tabs>
        <w:spacing w:after="0"/>
        <w:jc w:val="both"/>
        <w:rPr>
          <w:sz w:val="24"/>
          <w:szCs w:val="24"/>
        </w:rPr>
      </w:pPr>
      <w:r>
        <w:rPr>
          <w:sz w:val="24"/>
          <w:szCs w:val="24"/>
        </w:rPr>
        <w:t xml:space="preserve">Enfin, </w:t>
      </w:r>
      <w:r w:rsidR="00ED3A64">
        <w:rPr>
          <w:sz w:val="24"/>
          <w:szCs w:val="24"/>
        </w:rPr>
        <w:t xml:space="preserve">le renforcement de </w:t>
      </w:r>
      <w:r>
        <w:rPr>
          <w:sz w:val="24"/>
          <w:szCs w:val="24"/>
        </w:rPr>
        <w:t>la gestion axée sur le résultat</w:t>
      </w:r>
      <w:r w:rsidR="00ED3A64">
        <w:rPr>
          <w:sz w:val="24"/>
          <w:szCs w:val="24"/>
        </w:rPr>
        <w:t>, du financement basé sur les résultats</w:t>
      </w:r>
      <w:r>
        <w:rPr>
          <w:sz w:val="24"/>
          <w:szCs w:val="24"/>
        </w:rPr>
        <w:t xml:space="preserve"> et de la redevabilité serait de nature à consolider cette expérience.</w:t>
      </w:r>
    </w:p>
    <w:p w:rsidR="00C3315F" w:rsidRDefault="00C3315F">
      <w:pPr>
        <w:pStyle w:val="Normal1"/>
        <w:spacing w:after="120" w:line="360" w:lineRule="auto"/>
        <w:rPr>
          <w:b/>
          <w:color w:val="000000"/>
          <w:sz w:val="32"/>
          <w:szCs w:val="32"/>
        </w:rPr>
      </w:pPr>
    </w:p>
    <w:p w:rsidR="00314B92" w:rsidRPr="00314B92" w:rsidRDefault="009B5EB2" w:rsidP="00DF185B">
      <w:pPr>
        <w:pStyle w:val="Normal1"/>
        <w:numPr>
          <w:ilvl w:val="0"/>
          <w:numId w:val="87"/>
        </w:numPr>
        <w:spacing w:after="120" w:line="360" w:lineRule="auto"/>
        <w:rPr>
          <w:b/>
          <w:color w:val="000000"/>
          <w:sz w:val="32"/>
          <w:szCs w:val="32"/>
        </w:rPr>
      </w:pPr>
      <w:r w:rsidRPr="009B5EB2">
        <w:rPr>
          <w:b/>
          <w:color w:val="000000"/>
          <w:sz w:val="32"/>
          <w:szCs w:val="32"/>
        </w:rPr>
        <w:t>ANNEXES</w:t>
      </w:r>
    </w:p>
    <w:p w:rsidR="00176179" w:rsidRPr="00176179" w:rsidRDefault="00AD5F81" w:rsidP="00176179">
      <w:pPr>
        <w:pStyle w:val="Normal1"/>
        <w:pBdr>
          <w:top w:val="nil"/>
          <w:left w:val="nil"/>
          <w:bottom w:val="nil"/>
          <w:right w:val="nil"/>
          <w:between w:val="nil"/>
        </w:pBdr>
        <w:spacing w:after="0" w:line="360" w:lineRule="auto"/>
        <w:rPr>
          <w:b/>
          <w:color w:val="000000"/>
          <w:sz w:val="24"/>
          <w:szCs w:val="24"/>
        </w:rPr>
      </w:pPr>
      <w:r w:rsidRPr="00176179">
        <w:rPr>
          <w:b/>
          <w:color w:val="000000"/>
          <w:sz w:val="24"/>
          <w:szCs w:val="24"/>
        </w:rPr>
        <w:t xml:space="preserve">ANNEXE 1 : </w:t>
      </w:r>
    </w:p>
    <w:p w:rsidR="00314B92" w:rsidRPr="007631CD" w:rsidRDefault="00176179" w:rsidP="00176179">
      <w:pPr>
        <w:pStyle w:val="Normal1"/>
        <w:pBdr>
          <w:top w:val="nil"/>
          <w:left w:val="nil"/>
          <w:bottom w:val="nil"/>
          <w:right w:val="nil"/>
          <w:between w:val="nil"/>
        </w:pBdr>
        <w:spacing w:after="0" w:line="360" w:lineRule="auto"/>
        <w:ind w:left="720"/>
        <w:rPr>
          <w:color w:val="000000"/>
          <w:sz w:val="24"/>
          <w:szCs w:val="24"/>
        </w:rPr>
      </w:pPr>
      <w:r w:rsidRPr="007631CD">
        <w:rPr>
          <w:sz w:val="24"/>
          <w:szCs w:val="24"/>
        </w:rPr>
        <w:t xml:space="preserve">Tableau  </w:t>
      </w:r>
      <w:r>
        <w:rPr>
          <w:sz w:val="24"/>
          <w:szCs w:val="24"/>
        </w:rPr>
        <w:t xml:space="preserve">A : </w:t>
      </w:r>
      <w:r w:rsidR="00AD5F81" w:rsidRPr="007631CD">
        <w:rPr>
          <w:color w:val="000000"/>
          <w:sz w:val="24"/>
          <w:szCs w:val="24"/>
        </w:rPr>
        <w:t>METHODOLOGIE DE L’ELABORATION DU DOSSIER D’INVESTISSEMENT</w:t>
      </w:r>
    </w:p>
    <w:p w:rsidR="00176179" w:rsidRPr="00176179" w:rsidRDefault="00AD5F81" w:rsidP="00176179">
      <w:pPr>
        <w:pStyle w:val="Normal1"/>
        <w:pBdr>
          <w:top w:val="nil"/>
          <w:left w:val="nil"/>
          <w:bottom w:val="nil"/>
          <w:right w:val="nil"/>
          <w:between w:val="nil"/>
        </w:pBdr>
        <w:spacing w:after="0" w:line="360" w:lineRule="auto"/>
        <w:rPr>
          <w:b/>
          <w:color w:val="000000"/>
          <w:sz w:val="24"/>
          <w:szCs w:val="24"/>
        </w:rPr>
      </w:pPr>
      <w:r w:rsidRPr="00176179">
        <w:rPr>
          <w:b/>
          <w:color w:val="000000"/>
          <w:sz w:val="24"/>
          <w:szCs w:val="24"/>
        </w:rPr>
        <w:t>ANNEXE 2 :</w:t>
      </w:r>
      <w:r w:rsidR="007631CD" w:rsidRPr="00176179">
        <w:rPr>
          <w:b/>
          <w:color w:val="000000"/>
          <w:sz w:val="24"/>
          <w:szCs w:val="24"/>
        </w:rPr>
        <w:t xml:space="preserve"> </w:t>
      </w:r>
    </w:p>
    <w:p w:rsidR="00314B92" w:rsidRPr="007631CD" w:rsidRDefault="00176179" w:rsidP="00176179">
      <w:pPr>
        <w:pStyle w:val="Normal1"/>
        <w:pBdr>
          <w:top w:val="nil"/>
          <w:left w:val="nil"/>
          <w:bottom w:val="nil"/>
          <w:right w:val="nil"/>
          <w:between w:val="nil"/>
        </w:pBdr>
        <w:spacing w:after="0" w:line="360" w:lineRule="auto"/>
        <w:ind w:left="720"/>
        <w:rPr>
          <w:color w:val="000000"/>
          <w:sz w:val="24"/>
          <w:szCs w:val="24"/>
        </w:rPr>
      </w:pPr>
      <w:r w:rsidRPr="007631CD">
        <w:rPr>
          <w:sz w:val="24"/>
          <w:szCs w:val="24"/>
        </w:rPr>
        <w:t xml:space="preserve">Tableau  </w:t>
      </w:r>
      <w:r>
        <w:rPr>
          <w:sz w:val="24"/>
          <w:szCs w:val="24"/>
        </w:rPr>
        <w:t xml:space="preserve">B : </w:t>
      </w:r>
      <w:r w:rsidR="00AD5F81" w:rsidRPr="007631CD">
        <w:rPr>
          <w:color w:val="000000"/>
          <w:sz w:val="24"/>
          <w:szCs w:val="24"/>
        </w:rPr>
        <w:t>METHODOLOGIE DU CLASSEMENT DES REGIONS PAR NIVEAU DE PRIORITE</w:t>
      </w:r>
    </w:p>
    <w:p w:rsidR="00176179" w:rsidRPr="00176179" w:rsidRDefault="00AD5F81" w:rsidP="00176179">
      <w:pPr>
        <w:pStyle w:val="Normal1"/>
        <w:pBdr>
          <w:top w:val="nil"/>
          <w:left w:val="nil"/>
          <w:bottom w:val="nil"/>
          <w:right w:val="nil"/>
          <w:between w:val="nil"/>
        </w:pBdr>
        <w:spacing w:after="0" w:line="360" w:lineRule="auto"/>
        <w:rPr>
          <w:b/>
          <w:color w:val="000000"/>
          <w:sz w:val="24"/>
          <w:szCs w:val="24"/>
        </w:rPr>
      </w:pPr>
      <w:r w:rsidRPr="00176179">
        <w:rPr>
          <w:b/>
          <w:color w:val="000000"/>
          <w:sz w:val="24"/>
          <w:szCs w:val="24"/>
        </w:rPr>
        <w:t xml:space="preserve">ANNEXE 3 : </w:t>
      </w:r>
    </w:p>
    <w:p w:rsidR="00314B92" w:rsidRPr="007631CD" w:rsidRDefault="007631CD" w:rsidP="00176179">
      <w:pPr>
        <w:pStyle w:val="Normal1"/>
        <w:pBdr>
          <w:top w:val="nil"/>
          <w:left w:val="nil"/>
          <w:bottom w:val="nil"/>
          <w:right w:val="nil"/>
          <w:between w:val="nil"/>
        </w:pBdr>
        <w:spacing w:after="0" w:line="360" w:lineRule="auto"/>
        <w:ind w:left="720"/>
        <w:rPr>
          <w:color w:val="000000"/>
          <w:sz w:val="24"/>
          <w:szCs w:val="24"/>
        </w:rPr>
      </w:pPr>
      <w:r w:rsidRPr="007631CD">
        <w:rPr>
          <w:sz w:val="24"/>
          <w:szCs w:val="24"/>
        </w:rPr>
        <w:t>Tableau  C: DISTRIBUTION DU PAQUET D’INTERVENTIONS A HAUT IMPACT PAR NIVEAU DE PRESTATION ET PAR CIBLE</w:t>
      </w:r>
    </w:p>
    <w:p w:rsidR="00314B92" w:rsidRDefault="00AD5F81">
      <w:pPr>
        <w:pStyle w:val="Normal1"/>
        <w:pBdr>
          <w:top w:val="nil"/>
          <w:left w:val="nil"/>
          <w:bottom w:val="nil"/>
          <w:right w:val="nil"/>
          <w:between w:val="nil"/>
        </w:pBdr>
        <w:spacing w:after="120" w:line="360" w:lineRule="auto"/>
        <w:ind w:left="720" w:hanging="720"/>
        <w:rPr>
          <w:color w:val="000000"/>
          <w:sz w:val="40"/>
          <w:szCs w:val="40"/>
        </w:rPr>
      </w:pPr>
      <w:r>
        <w:br w:type="page"/>
      </w:r>
    </w:p>
    <w:p w:rsidR="00314B92" w:rsidRDefault="00AD5F81">
      <w:pPr>
        <w:pStyle w:val="Normal1"/>
        <w:spacing w:after="0"/>
        <w:jc w:val="center"/>
        <w:rPr>
          <w:b/>
          <w:sz w:val="20"/>
          <w:szCs w:val="20"/>
        </w:rPr>
      </w:pPr>
      <w:r>
        <w:rPr>
          <w:b/>
          <w:sz w:val="20"/>
          <w:szCs w:val="20"/>
        </w:rPr>
        <w:t>ELABORATION DU DOSSIER D’INVESTISSEMENT DANS LE CADRE DE LA SANTE REPRODUCTIVE MATERNELLE, NEONATALE, DE L’ENFANT, DES ADOLESCENTS ET LA NUTRITION (SRMNEAN).</w:t>
      </w:r>
    </w:p>
    <w:p w:rsidR="00314B92" w:rsidRDefault="00AD5F81">
      <w:pPr>
        <w:pStyle w:val="Normal1"/>
        <w:pBdr>
          <w:bottom w:val="single" w:sz="12" w:space="1" w:color="000000"/>
        </w:pBdr>
        <w:jc w:val="center"/>
        <w:rPr>
          <w:b/>
          <w:sz w:val="20"/>
          <w:szCs w:val="20"/>
        </w:rPr>
      </w:pPr>
      <w:r>
        <w:rPr>
          <w:b/>
          <w:sz w:val="20"/>
          <w:szCs w:val="20"/>
        </w:rPr>
        <w:t>METHODOLOGIE DE TRAVAIL</w:t>
      </w:r>
    </w:p>
    <w:p w:rsidR="00314B92" w:rsidRDefault="00AD5F81" w:rsidP="00542CFB">
      <w:pPr>
        <w:pStyle w:val="Normal1"/>
        <w:numPr>
          <w:ilvl w:val="0"/>
          <w:numId w:val="16"/>
        </w:numPr>
        <w:pBdr>
          <w:top w:val="nil"/>
          <w:left w:val="nil"/>
          <w:bottom w:val="nil"/>
          <w:right w:val="nil"/>
          <w:between w:val="nil"/>
        </w:pBdr>
        <w:spacing w:before="60" w:after="60"/>
        <w:jc w:val="both"/>
        <w:rPr>
          <w:b/>
          <w:color w:val="000000"/>
          <w:sz w:val="20"/>
          <w:szCs w:val="20"/>
        </w:rPr>
      </w:pPr>
      <w:r>
        <w:rPr>
          <w:b/>
          <w:color w:val="000000"/>
          <w:sz w:val="20"/>
          <w:szCs w:val="20"/>
        </w:rPr>
        <w:t xml:space="preserve">CONTEXTE ET JUSTIFICATION </w:t>
      </w:r>
    </w:p>
    <w:p w:rsidR="00314B92" w:rsidRDefault="00AD5F81">
      <w:pPr>
        <w:pStyle w:val="Normal1"/>
        <w:widowControl w:val="0"/>
        <w:pBdr>
          <w:top w:val="nil"/>
          <w:left w:val="nil"/>
          <w:bottom w:val="nil"/>
          <w:right w:val="nil"/>
          <w:between w:val="nil"/>
        </w:pBdr>
        <w:spacing w:before="60" w:after="60"/>
        <w:jc w:val="both"/>
        <w:rPr>
          <w:color w:val="000000"/>
          <w:sz w:val="20"/>
          <w:szCs w:val="20"/>
        </w:rPr>
      </w:pPr>
      <w:r>
        <w:rPr>
          <w:color w:val="000000"/>
          <w:sz w:val="20"/>
          <w:szCs w:val="20"/>
        </w:rPr>
        <w:t xml:space="preserve">Au Burkina Faso, des progrès ont été réalisés en SRMNEA-N avec  des taux de mortalité maternelle et infanto-juvénile qui sont passés respectivement de 341 pour 100 000 naissances vivantes et 129 pour 1000 à 330 pour 100 000 naissances vivantes et 81,6 pour 1000 entre 2010 et 2015. La prévalence du retard de croissance chez les enfants de moins de 5 ans est passée de 33% en 2013 à 21% en 2017. La prévalence contraceptive est passée de 15 % en 2010 à 22.5 % en 2015. </w:t>
      </w:r>
    </w:p>
    <w:p w:rsidR="00314B92" w:rsidRDefault="00AD5F81">
      <w:pPr>
        <w:pStyle w:val="Normal1"/>
        <w:widowControl w:val="0"/>
        <w:pBdr>
          <w:top w:val="nil"/>
          <w:left w:val="nil"/>
          <w:bottom w:val="nil"/>
          <w:right w:val="nil"/>
          <w:between w:val="nil"/>
        </w:pBdr>
        <w:spacing w:before="60" w:after="60"/>
        <w:jc w:val="both"/>
        <w:rPr>
          <w:color w:val="000000"/>
          <w:sz w:val="20"/>
          <w:szCs w:val="20"/>
        </w:rPr>
      </w:pPr>
      <w:r>
        <w:rPr>
          <w:color w:val="000000"/>
          <w:sz w:val="20"/>
          <w:szCs w:val="20"/>
        </w:rPr>
        <w:t xml:space="preserve">Mais ces progrès restent insuffisants et les niveaux de mortalité maternelle et infanto-juvénile restent inacceptables. </w:t>
      </w:r>
    </w:p>
    <w:p w:rsidR="00314B92" w:rsidRDefault="00AD5F81">
      <w:pPr>
        <w:pStyle w:val="Normal1"/>
        <w:widowControl w:val="0"/>
        <w:pBdr>
          <w:top w:val="nil"/>
          <w:left w:val="nil"/>
          <w:bottom w:val="nil"/>
          <w:right w:val="nil"/>
          <w:between w:val="nil"/>
        </w:pBdr>
        <w:spacing w:before="60" w:after="60"/>
        <w:jc w:val="both"/>
        <w:rPr>
          <w:color w:val="000000"/>
          <w:sz w:val="20"/>
          <w:szCs w:val="20"/>
        </w:rPr>
      </w:pPr>
      <w:r>
        <w:rPr>
          <w:color w:val="000000"/>
          <w:sz w:val="20"/>
          <w:szCs w:val="20"/>
        </w:rPr>
        <w:t xml:space="preserve">Cette situation justifie l’éligibilité du Burkina Faso au GFF, initiative à laquelle  le pays a adhéré en septembre 2017 dans l’optique  d’élaborer et soutenir un dossier d’investissement qui s’adresse aux retards particuliers dans l'atteinte de certaines cibles et aux disparités pour plus d’impact et d’équité. </w:t>
      </w:r>
    </w:p>
    <w:p w:rsidR="00314B92" w:rsidRDefault="00AD5F81">
      <w:pPr>
        <w:pStyle w:val="Normal1"/>
        <w:widowControl w:val="0"/>
        <w:pBdr>
          <w:top w:val="nil"/>
          <w:left w:val="nil"/>
          <w:bottom w:val="nil"/>
          <w:right w:val="nil"/>
          <w:between w:val="nil"/>
        </w:pBdr>
        <w:spacing w:before="60" w:after="60"/>
        <w:jc w:val="both"/>
        <w:rPr>
          <w:color w:val="000000"/>
          <w:sz w:val="20"/>
          <w:szCs w:val="20"/>
        </w:rPr>
      </w:pPr>
      <w:r>
        <w:rPr>
          <w:color w:val="000000"/>
          <w:sz w:val="20"/>
          <w:szCs w:val="20"/>
        </w:rPr>
        <w:t xml:space="preserve">Le cadre sectoriel de dialogue a été retenu comme plateforme globale pour le GFF et l’équipe fonctionnelle 7 a été retenue pour être la plateforme technique en charge de conduire le processus l’élaboration du dossier d’investissement suivant une feuille de route consensuelle. </w:t>
      </w:r>
    </w:p>
    <w:p w:rsidR="00314B92" w:rsidRDefault="00AD5F81">
      <w:pPr>
        <w:pStyle w:val="Normal1"/>
        <w:widowControl w:val="0"/>
        <w:pBdr>
          <w:top w:val="nil"/>
          <w:left w:val="nil"/>
          <w:bottom w:val="nil"/>
          <w:right w:val="nil"/>
          <w:between w:val="nil"/>
        </w:pBdr>
        <w:spacing w:before="60" w:after="60"/>
        <w:jc w:val="both"/>
        <w:rPr>
          <w:color w:val="000000"/>
          <w:sz w:val="20"/>
          <w:szCs w:val="20"/>
        </w:rPr>
      </w:pPr>
      <w:r>
        <w:rPr>
          <w:color w:val="000000"/>
          <w:sz w:val="20"/>
          <w:szCs w:val="20"/>
        </w:rPr>
        <w:t>En préparation de l’élaboration du dossier d’investissement, quelques activités ont été ou sont en cours de réalisation dont  (i) la cartographie des interventions, intervenants et des financements en matière de SRMNEA-N et des actions transversales qui soutiennent les objectifs de SRMNEA-N, (ii) l’analyse des gaps de performance en matière de SRMNEAN, iii) la priorisation des interventions coût-efficaces en SRMNEAN, iv) la sécurisation des ressources financières du budget de l’Etat pour contribuer à financer le dossier d’investissement.</w:t>
      </w:r>
    </w:p>
    <w:p w:rsidR="00314B92" w:rsidRDefault="00AD5F81">
      <w:pPr>
        <w:pStyle w:val="Normal1"/>
        <w:widowControl w:val="0"/>
        <w:pBdr>
          <w:top w:val="nil"/>
          <w:left w:val="nil"/>
          <w:bottom w:val="nil"/>
          <w:right w:val="nil"/>
          <w:between w:val="nil"/>
        </w:pBdr>
        <w:spacing w:before="60" w:after="0"/>
        <w:jc w:val="both"/>
        <w:rPr>
          <w:color w:val="000000"/>
          <w:sz w:val="20"/>
          <w:szCs w:val="20"/>
        </w:rPr>
      </w:pPr>
      <w:r>
        <w:rPr>
          <w:color w:val="000000"/>
          <w:sz w:val="20"/>
          <w:szCs w:val="20"/>
        </w:rPr>
        <w:t xml:space="preserve">Pour appuyer l’EF7, il est donc apparu nécessaire de recruter une équipe de Consultants comprenant un consultant senior en santé publique, un consultant junior et un consultant senior économistes de la santé pour le volet costing à l’aide du logiciel One Health. </w:t>
      </w:r>
    </w:p>
    <w:p w:rsidR="00314B92" w:rsidRDefault="00314B92">
      <w:pPr>
        <w:pStyle w:val="Normal1"/>
        <w:widowControl w:val="0"/>
        <w:pBdr>
          <w:top w:val="nil"/>
          <w:left w:val="nil"/>
          <w:bottom w:val="nil"/>
          <w:right w:val="nil"/>
          <w:between w:val="nil"/>
        </w:pBdr>
        <w:spacing w:before="60" w:after="0"/>
        <w:jc w:val="both"/>
        <w:rPr>
          <w:color w:val="000000"/>
          <w:sz w:val="20"/>
          <w:szCs w:val="20"/>
        </w:rPr>
      </w:pPr>
    </w:p>
    <w:p w:rsidR="00314B92" w:rsidRDefault="00AD5F81" w:rsidP="00542CFB">
      <w:pPr>
        <w:pStyle w:val="Normal1"/>
        <w:numPr>
          <w:ilvl w:val="0"/>
          <w:numId w:val="16"/>
        </w:numPr>
        <w:pBdr>
          <w:top w:val="nil"/>
          <w:left w:val="nil"/>
          <w:bottom w:val="nil"/>
          <w:right w:val="nil"/>
          <w:between w:val="nil"/>
        </w:pBdr>
        <w:spacing w:after="0"/>
        <w:jc w:val="both"/>
        <w:rPr>
          <w:b/>
          <w:color w:val="000000"/>
          <w:sz w:val="20"/>
          <w:szCs w:val="20"/>
        </w:rPr>
      </w:pPr>
      <w:r>
        <w:rPr>
          <w:b/>
          <w:color w:val="000000"/>
          <w:sz w:val="20"/>
          <w:szCs w:val="20"/>
        </w:rPr>
        <w:t>OBJECTIFS</w:t>
      </w:r>
    </w:p>
    <w:p w:rsidR="00314B92" w:rsidRDefault="00314B92">
      <w:pPr>
        <w:pStyle w:val="Normal1"/>
        <w:pBdr>
          <w:top w:val="nil"/>
          <w:left w:val="nil"/>
          <w:bottom w:val="nil"/>
          <w:right w:val="nil"/>
          <w:between w:val="nil"/>
        </w:pBdr>
        <w:spacing w:after="0"/>
        <w:ind w:left="360" w:hanging="720"/>
        <w:jc w:val="both"/>
        <w:rPr>
          <w:b/>
          <w:color w:val="000000"/>
          <w:sz w:val="20"/>
          <w:szCs w:val="20"/>
        </w:rPr>
      </w:pPr>
    </w:p>
    <w:p w:rsidR="00314B92" w:rsidRDefault="00AD5F81" w:rsidP="00542CFB">
      <w:pPr>
        <w:pStyle w:val="Normal1"/>
        <w:numPr>
          <w:ilvl w:val="1"/>
          <w:numId w:val="16"/>
        </w:numPr>
        <w:pBdr>
          <w:top w:val="nil"/>
          <w:left w:val="nil"/>
          <w:bottom w:val="nil"/>
          <w:right w:val="nil"/>
          <w:between w:val="nil"/>
        </w:pBdr>
        <w:spacing w:after="0"/>
        <w:jc w:val="both"/>
        <w:rPr>
          <w:color w:val="000000"/>
          <w:sz w:val="20"/>
          <w:szCs w:val="20"/>
        </w:rPr>
      </w:pPr>
      <w:r>
        <w:rPr>
          <w:color w:val="000000"/>
          <w:sz w:val="20"/>
          <w:szCs w:val="20"/>
        </w:rPr>
        <w:t>OBJECTIFS DE LA MISSION</w:t>
      </w:r>
    </w:p>
    <w:p w:rsidR="006D2860" w:rsidRDefault="00AD5F81">
      <w:pPr>
        <w:pStyle w:val="Normal1"/>
        <w:spacing w:after="0"/>
        <w:jc w:val="both"/>
      </w:pPr>
      <w:r>
        <w:rPr>
          <w:sz w:val="20"/>
          <w:szCs w:val="20"/>
        </w:rPr>
        <w:t>Appuyer l’équipe fonctionnelle 7 dans l’élaboration et le costing du dossier d’investissement pour la SRMNEAN au Burkina Faso.</w:t>
      </w:r>
    </w:p>
    <w:p w:rsidR="006D2860" w:rsidRDefault="006D2860">
      <w:pPr>
        <w:pStyle w:val="Normal1"/>
        <w:spacing w:after="0"/>
        <w:jc w:val="both"/>
      </w:pPr>
    </w:p>
    <w:p w:rsidR="00314B92" w:rsidRDefault="00AD5F81" w:rsidP="00542CFB">
      <w:pPr>
        <w:pStyle w:val="Normal1"/>
        <w:numPr>
          <w:ilvl w:val="1"/>
          <w:numId w:val="16"/>
        </w:numPr>
        <w:pBdr>
          <w:top w:val="nil"/>
          <w:left w:val="nil"/>
          <w:bottom w:val="nil"/>
          <w:right w:val="nil"/>
          <w:between w:val="nil"/>
        </w:pBdr>
        <w:spacing w:after="0"/>
        <w:jc w:val="both"/>
        <w:rPr>
          <w:color w:val="000000"/>
          <w:sz w:val="20"/>
          <w:szCs w:val="20"/>
        </w:rPr>
      </w:pPr>
      <w:r>
        <w:rPr>
          <w:color w:val="000000"/>
          <w:sz w:val="20"/>
          <w:szCs w:val="20"/>
        </w:rPr>
        <w:t>OBJECTIFS SPECIFIQUES</w:t>
      </w:r>
    </w:p>
    <w:p w:rsidR="00314B92" w:rsidRDefault="00AD5F81">
      <w:pPr>
        <w:pStyle w:val="Normal1"/>
        <w:widowControl w:val="0"/>
        <w:numPr>
          <w:ilvl w:val="0"/>
          <w:numId w:val="4"/>
        </w:numPr>
        <w:pBdr>
          <w:top w:val="nil"/>
          <w:left w:val="nil"/>
          <w:bottom w:val="nil"/>
          <w:right w:val="nil"/>
          <w:between w:val="nil"/>
        </w:pBdr>
        <w:spacing w:before="60" w:after="0"/>
        <w:jc w:val="both"/>
        <w:rPr>
          <w:color w:val="000000"/>
          <w:sz w:val="20"/>
          <w:szCs w:val="20"/>
        </w:rPr>
      </w:pPr>
      <w:r>
        <w:rPr>
          <w:color w:val="000000"/>
          <w:sz w:val="20"/>
          <w:szCs w:val="20"/>
        </w:rPr>
        <w:t>Appuyer l’équipe fonctionnelle 7 dans la conduite et la finalisation d’une analyse des gaps de performance sur la SRMNEAN ;</w:t>
      </w:r>
    </w:p>
    <w:p w:rsidR="00314B92" w:rsidRDefault="00AD5F81">
      <w:pPr>
        <w:pStyle w:val="Normal1"/>
        <w:widowControl w:val="0"/>
        <w:numPr>
          <w:ilvl w:val="0"/>
          <w:numId w:val="4"/>
        </w:numPr>
        <w:pBdr>
          <w:top w:val="nil"/>
          <w:left w:val="nil"/>
          <w:bottom w:val="nil"/>
          <w:right w:val="nil"/>
          <w:between w:val="nil"/>
        </w:pBdr>
        <w:spacing w:before="60" w:after="60"/>
        <w:jc w:val="both"/>
        <w:rPr>
          <w:color w:val="000000"/>
          <w:sz w:val="20"/>
          <w:szCs w:val="20"/>
        </w:rPr>
      </w:pPr>
      <w:r>
        <w:rPr>
          <w:color w:val="000000"/>
          <w:sz w:val="20"/>
          <w:szCs w:val="20"/>
        </w:rPr>
        <w:t>Appuyer l’équipe fonctionnelle 7 dans la conduite de la priorisation des interventions à haut impact sur la SRMNEAN à retenir dans le dossier d’investissement ;</w:t>
      </w:r>
    </w:p>
    <w:p w:rsidR="00314B92" w:rsidRDefault="00AD5F81">
      <w:pPr>
        <w:pStyle w:val="Normal1"/>
        <w:widowControl w:val="0"/>
        <w:numPr>
          <w:ilvl w:val="0"/>
          <w:numId w:val="4"/>
        </w:numPr>
        <w:pBdr>
          <w:top w:val="nil"/>
          <w:left w:val="nil"/>
          <w:bottom w:val="nil"/>
          <w:right w:val="nil"/>
          <w:between w:val="nil"/>
        </w:pBdr>
        <w:spacing w:before="60" w:after="60"/>
        <w:jc w:val="both"/>
        <w:rPr>
          <w:color w:val="000000"/>
          <w:sz w:val="20"/>
          <w:szCs w:val="20"/>
        </w:rPr>
      </w:pPr>
      <w:r>
        <w:rPr>
          <w:color w:val="000000"/>
          <w:sz w:val="20"/>
          <w:szCs w:val="20"/>
        </w:rPr>
        <w:t>Appuyer l’équipe fonctionnelle 7 dans l’identification des actions transversales critiques soutenant les objectifs de la SRMNEA-N à inclure dans le dossier d’investissement;</w:t>
      </w:r>
    </w:p>
    <w:p w:rsidR="00314B92" w:rsidRDefault="00AD5F81">
      <w:pPr>
        <w:pStyle w:val="Normal1"/>
        <w:widowControl w:val="0"/>
        <w:numPr>
          <w:ilvl w:val="0"/>
          <w:numId w:val="4"/>
        </w:numPr>
        <w:pBdr>
          <w:top w:val="nil"/>
          <w:left w:val="nil"/>
          <w:bottom w:val="nil"/>
          <w:right w:val="nil"/>
          <w:between w:val="nil"/>
        </w:pBdr>
        <w:spacing w:before="60" w:after="60"/>
        <w:jc w:val="both"/>
        <w:rPr>
          <w:color w:val="000000"/>
          <w:sz w:val="20"/>
          <w:szCs w:val="20"/>
        </w:rPr>
      </w:pPr>
      <w:r>
        <w:rPr>
          <w:color w:val="000000"/>
          <w:sz w:val="20"/>
          <w:szCs w:val="20"/>
        </w:rPr>
        <w:t>Intégrer et mettre en cohérence toutes les informations utiles et pertinentes ci-dessus décrites et d’autres informations pour écrire le dossier d’investissement.</w:t>
      </w:r>
    </w:p>
    <w:p w:rsidR="00314B92" w:rsidRDefault="00AD5F81">
      <w:pPr>
        <w:pStyle w:val="Normal1"/>
        <w:widowControl w:val="0"/>
        <w:numPr>
          <w:ilvl w:val="0"/>
          <w:numId w:val="4"/>
        </w:numPr>
        <w:pBdr>
          <w:top w:val="nil"/>
          <w:left w:val="nil"/>
          <w:bottom w:val="nil"/>
          <w:right w:val="nil"/>
          <w:between w:val="nil"/>
        </w:pBdr>
        <w:spacing w:before="60" w:after="60"/>
        <w:jc w:val="both"/>
        <w:rPr>
          <w:color w:val="000000"/>
          <w:sz w:val="20"/>
          <w:szCs w:val="20"/>
        </w:rPr>
      </w:pPr>
      <w:r>
        <w:rPr>
          <w:color w:val="000000"/>
          <w:sz w:val="20"/>
          <w:szCs w:val="20"/>
        </w:rPr>
        <w:t>Faire le costing du dossier d’investissement.</w:t>
      </w:r>
    </w:p>
    <w:p w:rsidR="00314B92" w:rsidRDefault="00314B92">
      <w:pPr>
        <w:pStyle w:val="Normal1"/>
        <w:widowControl w:val="0"/>
        <w:pBdr>
          <w:top w:val="nil"/>
          <w:left w:val="nil"/>
          <w:bottom w:val="nil"/>
          <w:right w:val="nil"/>
          <w:between w:val="nil"/>
        </w:pBdr>
        <w:spacing w:before="60" w:after="60"/>
        <w:ind w:left="720"/>
        <w:jc w:val="both"/>
        <w:rPr>
          <w:color w:val="000000"/>
          <w:sz w:val="20"/>
          <w:szCs w:val="20"/>
        </w:rPr>
      </w:pPr>
    </w:p>
    <w:p w:rsidR="00314B92" w:rsidRDefault="00AD5F81" w:rsidP="00542CFB">
      <w:pPr>
        <w:pStyle w:val="Normal1"/>
        <w:widowControl w:val="0"/>
        <w:numPr>
          <w:ilvl w:val="1"/>
          <w:numId w:val="16"/>
        </w:numPr>
        <w:pBdr>
          <w:top w:val="nil"/>
          <w:left w:val="nil"/>
          <w:bottom w:val="nil"/>
          <w:right w:val="nil"/>
          <w:between w:val="nil"/>
        </w:pBdr>
        <w:spacing w:before="60" w:after="60"/>
        <w:jc w:val="both"/>
        <w:rPr>
          <w:color w:val="00000A"/>
          <w:sz w:val="20"/>
          <w:szCs w:val="20"/>
        </w:rPr>
      </w:pPr>
      <w:r>
        <w:rPr>
          <w:color w:val="00000A"/>
          <w:sz w:val="20"/>
          <w:szCs w:val="20"/>
        </w:rPr>
        <w:t>RESULTATS ATTENDUS ET LIVRABLES </w:t>
      </w:r>
    </w:p>
    <w:p w:rsidR="00314B92" w:rsidRDefault="00AD5F81">
      <w:pPr>
        <w:pStyle w:val="Normal1"/>
        <w:widowControl w:val="0"/>
        <w:pBdr>
          <w:top w:val="nil"/>
          <w:left w:val="nil"/>
          <w:bottom w:val="nil"/>
          <w:right w:val="nil"/>
          <w:between w:val="nil"/>
        </w:pBdr>
        <w:spacing w:before="60" w:after="60"/>
        <w:jc w:val="both"/>
        <w:rPr>
          <w:color w:val="000000"/>
          <w:sz w:val="20"/>
          <w:szCs w:val="20"/>
        </w:rPr>
      </w:pPr>
      <w:r>
        <w:rPr>
          <w:color w:val="000000"/>
          <w:sz w:val="20"/>
          <w:szCs w:val="20"/>
        </w:rPr>
        <w:t>Au terme de l’étude le consultant devra transmettre les produits suivants au Ministère de la santé:</w:t>
      </w:r>
    </w:p>
    <w:p w:rsidR="00314B92" w:rsidRDefault="00AD5F81">
      <w:pPr>
        <w:pStyle w:val="Normal1"/>
        <w:widowControl w:val="0"/>
        <w:numPr>
          <w:ilvl w:val="0"/>
          <w:numId w:val="4"/>
        </w:numPr>
        <w:pBdr>
          <w:top w:val="nil"/>
          <w:left w:val="nil"/>
          <w:bottom w:val="nil"/>
          <w:right w:val="nil"/>
          <w:between w:val="nil"/>
        </w:pBdr>
        <w:spacing w:after="0"/>
        <w:jc w:val="both"/>
        <w:rPr>
          <w:color w:val="000000"/>
          <w:sz w:val="20"/>
          <w:szCs w:val="20"/>
        </w:rPr>
      </w:pPr>
      <w:r>
        <w:rPr>
          <w:color w:val="000000"/>
          <w:sz w:val="20"/>
          <w:szCs w:val="20"/>
        </w:rPr>
        <w:t xml:space="preserve">Un dossier d’investissement sur la SRMNEAN avec un costing.  Le dossier est validé par l’équipe fonctionnelle 7. </w:t>
      </w:r>
    </w:p>
    <w:p w:rsidR="00314B92" w:rsidRDefault="00AD5F81">
      <w:pPr>
        <w:pStyle w:val="Normal1"/>
        <w:widowControl w:val="0"/>
        <w:numPr>
          <w:ilvl w:val="0"/>
          <w:numId w:val="4"/>
        </w:numPr>
        <w:pBdr>
          <w:top w:val="nil"/>
          <w:left w:val="nil"/>
          <w:bottom w:val="nil"/>
          <w:right w:val="nil"/>
          <w:between w:val="nil"/>
        </w:pBdr>
        <w:jc w:val="both"/>
        <w:rPr>
          <w:color w:val="000000"/>
          <w:sz w:val="20"/>
          <w:szCs w:val="20"/>
        </w:rPr>
      </w:pPr>
      <w:r>
        <w:rPr>
          <w:color w:val="000000"/>
          <w:sz w:val="20"/>
          <w:szCs w:val="20"/>
        </w:rPr>
        <w:t>Un rapport de mission. Le rapport de mission est validé par le chargé de programme de la DUE.</w:t>
      </w:r>
    </w:p>
    <w:p w:rsidR="00314B92" w:rsidRDefault="00AD5F81" w:rsidP="00542CFB">
      <w:pPr>
        <w:pStyle w:val="Normal1"/>
        <w:widowControl w:val="0"/>
        <w:numPr>
          <w:ilvl w:val="0"/>
          <w:numId w:val="16"/>
        </w:numPr>
        <w:pBdr>
          <w:top w:val="nil"/>
          <w:left w:val="nil"/>
          <w:bottom w:val="nil"/>
          <w:right w:val="nil"/>
          <w:between w:val="nil"/>
        </w:pBdr>
        <w:jc w:val="both"/>
        <w:rPr>
          <w:b/>
          <w:color w:val="000000"/>
          <w:sz w:val="20"/>
          <w:szCs w:val="20"/>
        </w:rPr>
      </w:pPr>
      <w:r>
        <w:rPr>
          <w:b/>
          <w:color w:val="000000"/>
          <w:sz w:val="20"/>
          <w:szCs w:val="20"/>
        </w:rPr>
        <w:t>METHODOLOGIE</w:t>
      </w:r>
    </w:p>
    <w:p w:rsidR="00314B92" w:rsidRDefault="00AD5F81" w:rsidP="00542CFB">
      <w:pPr>
        <w:pStyle w:val="Normal1"/>
        <w:widowControl w:val="0"/>
        <w:numPr>
          <w:ilvl w:val="1"/>
          <w:numId w:val="16"/>
        </w:numPr>
        <w:pBdr>
          <w:top w:val="nil"/>
          <w:left w:val="nil"/>
          <w:bottom w:val="nil"/>
          <w:right w:val="nil"/>
          <w:between w:val="nil"/>
        </w:pBdr>
        <w:spacing w:after="0"/>
        <w:jc w:val="both"/>
        <w:rPr>
          <w:color w:val="000000"/>
          <w:sz w:val="20"/>
          <w:szCs w:val="20"/>
        </w:rPr>
      </w:pPr>
      <w:r>
        <w:rPr>
          <w:color w:val="000000"/>
          <w:sz w:val="20"/>
          <w:szCs w:val="20"/>
        </w:rPr>
        <w:t xml:space="preserve">APPROCHE </w:t>
      </w:r>
    </w:p>
    <w:p w:rsidR="00314B92" w:rsidRDefault="00AD5F81">
      <w:pPr>
        <w:pStyle w:val="Normal1"/>
        <w:widowControl w:val="0"/>
        <w:pBdr>
          <w:top w:val="nil"/>
          <w:left w:val="nil"/>
          <w:bottom w:val="nil"/>
          <w:right w:val="nil"/>
          <w:between w:val="nil"/>
        </w:pBdr>
        <w:spacing w:after="0"/>
        <w:jc w:val="both"/>
        <w:rPr>
          <w:color w:val="000000"/>
          <w:sz w:val="20"/>
          <w:szCs w:val="20"/>
        </w:rPr>
      </w:pPr>
      <w:r>
        <w:rPr>
          <w:color w:val="000000"/>
          <w:sz w:val="20"/>
          <w:szCs w:val="20"/>
        </w:rPr>
        <w:t>L’approche est inclusive est participative et prend en compte les principes suivant :</w:t>
      </w:r>
    </w:p>
    <w:p w:rsidR="00314B92" w:rsidRDefault="00AD5F81">
      <w:pPr>
        <w:pStyle w:val="Normal1"/>
        <w:widowControl w:val="0"/>
        <w:numPr>
          <w:ilvl w:val="0"/>
          <w:numId w:val="5"/>
        </w:numPr>
        <w:pBdr>
          <w:top w:val="nil"/>
          <w:left w:val="nil"/>
          <w:bottom w:val="nil"/>
          <w:right w:val="nil"/>
          <w:between w:val="nil"/>
        </w:pBdr>
        <w:spacing w:after="0"/>
        <w:jc w:val="both"/>
        <w:rPr>
          <w:color w:val="000000"/>
          <w:sz w:val="20"/>
          <w:szCs w:val="20"/>
        </w:rPr>
      </w:pPr>
      <w:r>
        <w:rPr>
          <w:color w:val="000000"/>
          <w:sz w:val="20"/>
          <w:szCs w:val="20"/>
        </w:rPr>
        <w:t>Choix d’un nombre limité de priorités guidé par les ressources disponibles</w:t>
      </w:r>
    </w:p>
    <w:p w:rsidR="00314B92" w:rsidRDefault="00AD5F81">
      <w:pPr>
        <w:pStyle w:val="Normal1"/>
        <w:widowControl w:val="0"/>
        <w:numPr>
          <w:ilvl w:val="0"/>
          <w:numId w:val="5"/>
        </w:numPr>
        <w:pBdr>
          <w:top w:val="nil"/>
          <w:left w:val="nil"/>
          <w:bottom w:val="nil"/>
          <w:right w:val="nil"/>
          <w:between w:val="nil"/>
        </w:pBdr>
        <w:spacing w:after="0"/>
        <w:jc w:val="both"/>
        <w:rPr>
          <w:color w:val="000000"/>
          <w:sz w:val="20"/>
          <w:szCs w:val="20"/>
        </w:rPr>
      </w:pPr>
      <w:r>
        <w:rPr>
          <w:color w:val="000000"/>
          <w:sz w:val="20"/>
          <w:szCs w:val="20"/>
        </w:rPr>
        <w:t>Retour sur l’investissement des interventions SRMNEAN</w:t>
      </w:r>
    </w:p>
    <w:p w:rsidR="00314B92" w:rsidRDefault="00AD5F81">
      <w:pPr>
        <w:pStyle w:val="Normal1"/>
        <w:widowControl w:val="0"/>
        <w:numPr>
          <w:ilvl w:val="0"/>
          <w:numId w:val="5"/>
        </w:numPr>
        <w:pBdr>
          <w:top w:val="nil"/>
          <w:left w:val="nil"/>
          <w:bottom w:val="nil"/>
          <w:right w:val="nil"/>
          <w:between w:val="nil"/>
        </w:pBdr>
        <w:spacing w:after="0"/>
        <w:jc w:val="both"/>
        <w:rPr>
          <w:color w:val="000000"/>
          <w:sz w:val="20"/>
          <w:szCs w:val="20"/>
        </w:rPr>
      </w:pPr>
      <w:r>
        <w:rPr>
          <w:color w:val="000000"/>
          <w:sz w:val="20"/>
          <w:szCs w:val="20"/>
        </w:rPr>
        <w:t>Réduction de la fragmentation et de la duplication pour améliorer la cohérence des interventions SRMNEAN</w:t>
      </w:r>
    </w:p>
    <w:p w:rsidR="00314B92" w:rsidRDefault="00AD5F81">
      <w:pPr>
        <w:pStyle w:val="Normal1"/>
        <w:widowControl w:val="0"/>
        <w:numPr>
          <w:ilvl w:val="0"/>
          <w:numId w:val="5"/>
        </w:numPr>
        <w:pBdr>
          <w:top w:val="nil"/>
          <w:left w:val="nil"/>
          <w:bottom w:val="nil"/>
          <w:right w:val="nil"/>
          <w:between w:val="nil"/>
        </w:pBdr>
        <w:spacing w:after="0"/>
        <w:jc w:val="both"/>
        <w:rPr>
          <w:color w:val="000000"/>
          <w:sz w:val="20"/>
          <w:szCs w:val="20"/>
        </w:rPr>
      </w:pPr>
      <w:r>
        <w:rPr>
          <w:color w:val="000000"/>
          <w:sz w:val="20"/>
          <w:szCs w:val="20"/>
        </w:rPr>
        <w:t>Focus sur la mise en œuvre</w:t>
      </w:r>
    </w:p>
    <w:p w:rsidR="00314B92" w:rsidRDefault="00AD5F81">
      <w:pPr>
        <w:pStyle w:val="Normal1"/>
        <w:widowControl w:val="0"/>
        <w:numPr>
          <w:ilvl w:val="0"/>
          <w:numId w:val="5"/>
        </w:numPr>
        <w:pBdr>
          <w:top w:val="nil"/>
          <w:left w:val="nil"/>
          <w:bottom w:val="nil"/>
          <w:right w:val="nil"/>
          <w:between w:val="nil"/>
        </w:pBdr>
        <w:jc w:val="both"/>
        <w:rPr>
          <w:color w:val="000000"/>
          <w:sz w:val="20"/>
          <w:szCs w:val="20"/>
        </w:rPr>
      </w:pPr>
      <w:r>
        <w:rPr>
          <w:color w:val="000000"/>
          <w:sz w:val="20"/>
          <w:szCs w:val="20"/>
        </w:rPr>
        <w:t>Une plus grande orientation vers le long terme.</w:t>
      </w:r>
    </w:p>
    <w:p w:rsidR="00314B92" w:rsidRDefault="00AD5F81" w:rsidP="00542CFB">
      <w:pPr>
        <w:pStyle w:val="Normal1"/>
        <w:widowControl w:val="0"/>
        <w:numPr>
          <w:ilvl w:val="1"/>
          <w:numId w:val="16"/>
        </w:numPr>
        <w:pBdr>
          <w:top w:val="nil"/>
          <w:left w:val="nil"/>
          <w:bottom w:val="nil"/>
          <w:right w:val="nil"/>
          <w:between w:val="nil"/>
        </w:pBdr>
        <w:jc w:val="both"/>
        <w:rPr>
          <w:color w:val="000000"/>
          <w:sz w:val="20"/>
          <w:szCs w:val="20"/>
        </w:rPr>
      </w:pPr>
      <w:r>
        <w:rPr>
          <w:color w:val="000000"/>
          <w:sz w:val="20"/>
          <w:szCs w:val="20"/>
        </w:rPr>
        <w:t>METHODES</w:t>
      </w:r>
    </w:p>
    <w:p w:rsidR="00314B92" w:rsidRDefault="00AD5F81" w:rsidP="00542CFB">
      <w:pPr>
        <w:pStyle w:val="Normal1"/>
        <w:widowControl w:val="0"/>
        <w:numPr>
          <w:ilvl w:val="2"/>
          <w:numId w:val="16"/>
        </w:numPr>
        <w:pBdr>
          <w:top w:val="nil"/>
          <w:left w:val="nil"/>
          <w:bottom w:val="nil"/>
          <w:right w:val="nil"/>
          <w:between w:val="nil"/>
        </w:pBdr>
        <w:spacing w:after="0"/>
        <w:jc w:val="both"/>
        <w:rPr>
          <w:b/>
          <w:color w:val="000000"/>
          <w:sz w:val="20"/>
          <w:szCs w:val="20"/>
        </w:rPr>
      </w:pPr>
      <w:r>
        <w:rPr>
          <w:b/>
          <w:color w:val="000000"/>
          <w:sz w:val="20"/>
          <w:szCs w:val="20"/>
        </w:rPr>
        <w:t>Elaboration du chronogramme de travail</w:t>
      </w:r>
    </w:p>
    <w:p w:rsidR="00314B92" w:rsidRDefault="00AD5F81">
      <w:pPr>
        <w:pStyle w:val="Normal1"/>
        <w:widowControl w:val="0"/>
        <w:pBdr>
          <w:top w:val="nil"/>
          <w:left w:val="nil"/>
          <w:bottom w:val="nil"/>
          <w:right w:val="nil"/>
          <w:between w:val="nil"/>
        </w:pBdr>
        <w:ind w:left="360"/>
        <w:jc w:val="both"/>
        <w:rPr>
          <w:color w:val="000000"/>
          <w:sz w:val="20"/>
          <w:szCs w:val="20"/>
        </w:rPr>
      </w:pPr>
      <w:r>
        <w:rPr>
          <w:color w:val="000000"/>
          <w:sz w:val="20"/>
          <w:szCs w:val="20"/>
        </w:rPr>
        <w:t>Le chronogramme de travail (repris en annexe) comprend 15 activités reparties de manière successive sur la période de travail du 10 septembre au 12 Octobre 2018, soit 25 jours de travail dont 25 jours de travail sur place et 3 jours à domicile.</w:t>
      </w:r>
    </w:p>
    <w:p w:rsidR="00314B92" w:rsidRDefault="00AD5F81" w:rsidP="00542CFB">
      <w:pPr>
        <w:pStyle w:val="Normal1"/>
        <w:widowControl w:val="0"/>
        <w:numPr>
          <w:ilvl w:val="2"/>
          <w:numId w:val="16"/>
        </w:numPr>
        <w:pBdr>
          <w:top w:val="nil"/>
          <w:left w:val="nil"/>
          <w:bottom w:val="nil"/>
          <w:right w:val="nil"/>
          <w:between w:val="nil"/>
        </w:pBdr>
        <w:spacing w:after="0"/>
        <w:jc w:val="both"/>
        <w:rPr>
          <w:b/>
          <w:color w:val="000000"/>
          <w:sz w:val="20"/>
          <w:szCs w:val="20"/>
        </w:rPr>
      </w:pPr>
      <w:r>
        <w:rPr>
          <w:b/>
          <w:color w:val="000000"/>
          <w:sz w:val="20"/>
          <w:szCs w:val="20"/>
        </w:rPr>
        <w:t>Elaboration des questions de recherche</w:t>
      </w:r>
    </w:p>
    <w:p w:rsidR="00314B92" w:rsidRDefault="00AD5F81">
      <w:pPr>
        <w:pStyle w:val="Normal1"/>
        <w:widowControl w:val="0"/>
        <w:pBdr>
          <w:top w:val="nil"/>
          <w:left w:val="nil"/>
          <w:bottom w:val="nil"/>
          <w:right w:val="nil"/>
          <w:between w:val="nil"/>
        </w:pBdr>
        <w:spacing w:after="0"/>
        <w:ind w:left="360"/>
        <w:jc w:val="both"/>
        <w:rPr>
          <w:color w:val="000000"/>
          <w:sz w:val="20"/>
          <w:szCs w:val="20"/>
        </w:rPr>
      </w:pPr>
      <w:r>
        <w:rPr>
          <w:color w:val="000000"/>
          <w:sz w:val="20"/>
          <w:szCs w:val="20"/>
        </w:rPr>
        <w:t>A partir de l’objectif général et des objectifs spécifiques fixés par les termes de référence une série de questions de recherche sont identifiés pour permettre d’atteindre les objectifs assignés à cette mission.</w:t>
      </w:r>
    </w:p>
    <w:p w:rsidR="00314B92" w:rsidRDefault="00AD5F81">
      <w:pPr>
        <w:pStyle w:val="Normal1"/>
        <w:widowControl w:val="0"/>
        <w:numPr>
          <w:ilvl w:val="0"/>
          <w:numId w:val="6"/>
        </w:numPr>
        <w:pBdr>
          <w:top w:val="nil"/>
          <w:left w:val="nil"/>
          <w:bottom w:val="nil"/>
          <w:right w:val="nil"/>
          <w:between w:val="nil"/>
        </w:pBdr>
        <w:spacing w:after="0"/>
        <w:jc w:val="both"/>
        <w:rPr>
          <w:color w:val="000000"/>
          <w:sz w:val="20"/>
          <w:szCs w:val="20"/>
        </w:rPr>
      </w:pPr>
      <w:r>
        <w:rPr>
          <w:color w:val="000000"/>
          <w:sz w:val="20"/>
          <w:szCs w:val="20"/>
        </w:rPr>
        <w:t>OS1 : Appuyer l’équipe fonctionnelle 7 dans la conduite et la finalisation d’une analyse des gaps de performance sur la SRMNEAN ;</w:t>
      </w:r>
    </w:p>
    <w:p w:rsidR="00314B92" w:rsidRDefault="00AD5F81" w:rsidP="00542CFB">
      <w:pPr>
        <w:pStyle w:val="Normal1"/>
        <w:widowControl w:val="0"/>
        <w:numPr>
          <w:ilvl w:val="0"/>
          <w:numId w:val="7"/>
        </w:numPr>
        <w:pBdr>
          <w:top w:val="nil"/>
          <w:left w:val="nil"/>
          <w:bottom w:val="nil"/>
          <w:right w:val="nil"/>
          <w:between w:val="nil"/>
        </w:pBdr>
        <w:spacing w:after="0"/>
        <w:jc w:val="both"/>
        <w:rPr>
          <w:color w:val="000000"/>
          <w:sz w:val="20"/>
          <w:szCs w:val="20"/>
        </w:rPr>
      </w:pPr>
      <w:r>
        <w:rPr>
          <w:color w:val="000000"/>
          <w:sz w:val="20"/>
          <w:szCs w:val="20"/>
        </w:rPr>
        <w:t>Quelle est la situation actuelle des indicateurs de SRMNEA-N</w:t>
      </w:r>
    </w:p>
    <w:p w:rsidR="00314B92" w:rsidRDefault="00AD5F81" w:rsidP="00542CFB">
      <w:pPr>
        <w:pStyle w:val="Normal1"/>
        <w:widowControl w:val="0"/>
        <w:numPr>
          <w:ilvl w:val="0"/>
          <w:numId w:val="7"/>
        </w:numPr>
        <w:pBdr>
          <w:top w:val="nil"/>
          <w:left w:val="nil"/>
          <w:bottom w:val="nil"/>
          <w:right w:val="nil"/>
          <w:between w:val="nil"/>
        </w:pBdr>
        <w:spacing w:after="0"/>
        <w:jc w:val="both"/>
        <w:rPr>
          <w:color w:val="000000"/>
          <w:sz w:val="20"/>
          <w:szCs w:val="20"/>
        </w:rPr>
      </w:pPr>
      <w:r>
        <w:rPr>
          <w:color w:val="000000"/>
          <w:sz w:val="20"/>
          <w:szCs w:val="20"/>
        </w:rPr>
        <w:t>Quelle est la situation actuelle de l’enregistrement à l’état civile et des statistiques vitales.</w:t>
      </w:r>
    </w:p>
    <w:p w:rsidR="00314B92" w:rsidRDefault="00AD5F81" w:rsidP="00542CFB">
      <w:pPr>
        <w:pStyle w:val="Normal1"/>
        <w:widowControl w:val="0"/>
        <w:numPr>
          <w:ilvl w:val="0"/>
          <w:numId w:val="7"/>
        </w:numPr>
        <w:pBdr>
          <w:top w:val="nil"/>
          <w:left w:val="nil"/>
          <w:bottom w:val="nil"/>
          <w:right w:val="nil"/>
          <w:between w:val="nil"/>
        </w:pBdr>
        <w:spacing w:after="0"/>
        <w:jc w:val="both"/>
        <w:rPr>
          <w:color w:val="000000"/>
          <w:sz w:val="20"/>
          <w:szCs w:val="20"/>
        </w:rPr>
      </w:pPr>
      <w:r>
        <w:rPr>
          <w:color w:val="000000"/>
          <w:sz w:val="20"/>
          <w:szCs w:val="20"/>
        </w:rPr>
        <w:t>Quels les gaps de performance constatés au niveau national et au niveau régional en SRMNEA-N et enregistrement à l’état civile et des statistiques vitales.</w:t>
      </w:r>
    </w:p>
    <w:p w:rsidR="00314B92" w:rsidRDefault="00AD5F81" w:rsidP="00542CFB">
      <w:pPr>
        <w:pStyle w:val="Normal1"/>
        <w:widowControl w:val="0"/>
        <w:numPr>
          <w:ilvl w:val="0"/>
          <w:numId w:val="7"/>
        </w:numPr>
        <w:pBdr>
          <w:top w:val="nil"/>
          <w:left w:val="nil"/>
          <w:bottom w:val="nil"/>
          <w:right w:val="nil"/>
          <w:between w:val="nil"/>
        </w:pBdr>
        <w:spacing w:after="0"/>
        <w:jc w:val="both"/>
        <w:rPr>
          <w:color w:val="000000"/>
          <w:sz w:val="20"/>
          <w:szCs w:val="20"/>
        </w:rPr>
      </w:pPr>
      <w:r>
        <w:rPr>
          <w:color w:val="000000"/>
          <w:sz w:val="20"/>
          <w:szCs w:val="20"/>
        </w:rPr>
        <w:t>Quelles sont les causes principales des gaps</w:t>
      </w:r>
    </w:p>
    <w:p w:rsidR="00314B92" w:rsidRDefault="00AD5F81">
      <w:pPr>
        <w:pStyle w:val="Normal1"/>
        <w:widowControl w:val="0"/>
        <w:numPr>
          <w:ilvl w:val="0"/>
          <w:numId w:val="6"/>
        </w:numPr>
        <w:pBdr>
          <w:top w:val="nil"/>
          <w:left w:val="nil"/>
          <w:bottom w:val="nil"/>
          <w:right w:val="nil"/>
          <w:between w:val="nil"/>
        </w:pBdr>
        <w:spacing w:before="60" w:after="60"/>
        <w:jc w:val="both"/>
        <w:rPr>
          <w:color w:val="000000"/>
          <w:sz w:val="20"/>
          <w:szCs w:val="20"/>
        </w:rPr>
      </w:pPr>
      <w:r>
        <w:rPr>
          <w:color w:val="000000"/>
          <w:sz w:val="20"/>
          <w:szCs w:val="20"/>
        </w:rPr>
        <w:t>OS2 : Appuyer l’équipe fonctionnelle 7 dans la conduite de la priorisation des interventions à haut impact sur la SRMNEAN à retenir dans le dossier d’investissement ;</w:t>
      </w:r>
    </w:p>
    <w:p w:rsidR="00314B92" w:rsidRDefault="00AD5F81" w:rsidP="00542CFB">
      <w:pPr>
        <w:pStyle w:val="Normal1"/>
        <w:widowControl w:val="0"/>
        <w:numPr>
          <w:ilvl w:val="0"/>
          <w:numId w:val="18"/>
        </w:numPr>
        <w:pBdr>
          <w:top w:val="nil"/>
          <w:left w:val="nil"/>
          <w:bottom w:val="nil"/>
          <w:right w:val="nil"/>
          <w:between w:val="nil"/>
        </w:pBdr>
        <w:spacing w:before="60" w:after="60"/>
        <w:jc w:val="both"/>
        <w:rPr>
          <w:color w:val="000000"/>
          <w:sz w:val="20"/>
          <w:szCs w:val="20"/>
        </w:rPr>
      </w:pPr>
      <w:r>
        <w:rPr>
          <w:color w:val="000000"/>
          <w:sz w:val="20"/>
          <w:szCs w:val="20"/>
        </w:rPr>
        <w:t>Quels sont les principaux  goulots d’étranglement et leurs causes</w:t>
      </w:r>
    </w:p>
    <w:p w:rsidR="00314B92" w:rsidRDefault="00AD5F81" w:rsidP="00542CFB">
      <w:pPr>
        <w:pStyle w:val="Normal1"/>
        <w:widowControl w:val="0"/>
        <w:numPr>
          <w:ilvl w:val="0"/>
          <w:numId w:val="18"/>
        </w:numPr>
        <w:pBdr>
          <w:top w:val="nil"/>
          <w:left w:val="nil"/>
          <w:bottom w:val="nil"/>
          <w:right w:val="nil"/>
          <w:between w:val="nil"/>
        </w:pBdr>
        <w:spacing w:before="60" w:after="60"/>
        <w:jc w:val="both"/>
        <w:rPr>
          <w:color w:val="000000"/>
          <w:sz w:val="20"/>
          <w:szCs w:val="20"/>
        </w:rPr>
      </w:pPr>
      <w:r>
        <w:rPr>
          <w:color w:val="000000"/>
          <w:sz w:val="20"/>
          <w:szCs w:val="20"/>
        </w:rPr>
        <w:t>Quelles sont les interventions et actions prioritaires pour lever les goulots d’étranglement.</w:t>
      </w:r>
    </w:p>
    <w:p w:rsidR="00314B92" w:rsidRDefault="00AD5F81" w:rsidP="00542CFB">
      <w:pPr>
        <w:pStyle w:val="Normal1"/>
        <w:widowControl w:val="0"/>
        <w:numPr>
          <w:ilvl w:val="0"/>
          <w:numId w:val="18"/>
        </w:numPr>
        <w:pBdr>
          <w:top w:val="nil"/>
          <w:left w:val="nil"/>
          <w:bottom w:val="nil"/>
          <w:right w:val="nil"/>
          <w:between w:val="nil"/>
        </w:pBdr>
        <w:spacing w:before="60" w:after="60"/>
        <w:jc w:val="both"/>
        <w:rPr>
          <w:color w:val="000000"/>
          <w:sz w:val="20"/>
          <w:szCs w:val="20"/>
        </w:rPr>
      </w:pPr>
      <w:r>
        <w:rPr>
          <w:color w:val="000000"/>
          <w:sz w:val="20"/>
          <w:szCs w:val="20"/>
        </w:rPr>
        <w:t>Quelles sont les zones d’intervention</w:t>
      </w:r>
    </w:p>
    <w:p w:rsidR="00314B92" w:rsidRDefault="00AD5F81">
      <w:pPr>
        <w:pStyle w:val="Normal1"/>
        <w:widowControl w:val="0"/>
        <w:numPr>
          <w:ilvl w:val="0"/>
          <w:numId w:val="6"/>
        </w:numPr>
        <w:pBdr>
          <w:top w:val="nil"/>
          <w:left w:val="nil"/>
          <w:bottom w:val="nil"/>
          <w:right w:val="nil"/>
          <w:between w:val="nil"/>
        </w:pBdr>
        <w:spacing w:before="60" w:after="60"/>
        <w:jc w:val="both"/>
        <w:rPr>
          <w:color w:val="000000"/>
          <w:sz w:val="20"/>
          <w:szCs w:val="20"/>
        </w:rPr>
      </w:pPr>
      <w:r>
        <w:rPr>
          <w:color w:val="000000"/>
          <w:sz w:val="20"/>
          <w:szCs w:val="20"/>
        </w:rPr>
        <w:t>OS3 : Appuyer l’équipe fonctionnelle 7 dans l’identification des actions transversales critiques soute</w:t>
      </w:r>
      <w:r w:rsidR="00FD6406">
        <w:rPr>
          <w:color w:val="000000"/>
          <w:sz w:val="20"/>
          <w:szCs w:val="20"/>
        </w:rPr>
        <w:t>nant les objectifs de la SRMNEA</w:t>
      </w:r>
      <w:r>
        <w:rPr>
          <w:color w:val="000000"/>
          <w:sz w:val="20"/>
          <w:szCs w:val="20"/>
        </w:rPr>
        <w:t>N à inclure dans le dossier d’investissement;</w:t>
      </w:r>
    </w:p>
    <w:p w:rsidR="00314B92" w:rsidRDefault="00AD5F81" w:rsidP="00542CFB">
      <w:pPr>
        <w:pStyle w:val="Normal1"/>
        <w:widowControl w:val="0"/>
        <w:numPr>
          <w:ilvl w:val="0"/>
          <w:numId w:val="19"/>
        </w:numPr>
        <w:pBdr>
          <w:top w:val="nil"/>
          <w:left w:val="nil"/>
          <w:bottom w:val="nil"/>
          <w:right w:val="nil"/>
          <w:between w:val="nil"/>
        </w:pBdr>
        <w:spacing w:before="60" w:after="60"/>
        <w:jc w:val="both"/>
        <w:rPr>
          <w:color w:val="000000"/>
          <w:sz w:val="20"/>
          <w:szCs w:val="20"/>
        </w:rPr>
      </w:pPr>
      <w:r>
        <w:rPr>
          <w:color w:val="000000"/>
          <w:sz w:val="20"/>
          <w:szCs w:val="20"/>
        </w:rPr>
        <w:t>Quels sont les goulots d’étranglement systémiques?</w:t>
      </w:r>
    </w:p>
    <w:p w:rsidR="00314B92" w:rsidRDefault="00AD5F81" w:rsidP="00542CFB">
      <w:pPr>
        <w:pStyle w:val="Normal1"/>
        <w:widowControl w:val="0"/>
        <w:numPr>
          <w:ilvl w:val="0"/>
          <w:numId w:val="19"/>
        </w:numPr>
        <w:pBdr>
          <w:top w:val="nil"/>
          <w:left w:val="nil"/>
          <w:bottom w:val="nil"/>
          <w:right w:val="nil"/>
          <w:between w:val="nil"/>
        </w:pBdr>
        <w:spacing w:before="60" w:after="60"/>
        <w:jc w:val="both"/>
        <w:rPr>
          <w:color w:val="000000"/>
          <w:sz w:val="20"/>
          <w:szCs w:val="20"/>
        </w:rPr>
      </w:pPr>
      <w:r>
        <w:rPr>
          <w:color w:val="000000"/>
          <w:sz w:val="20"/>
          <w:szCs w:val="20"/>
        </w:rPr>
        <w:t>Quelles sont les actions transversales prioritaires ?</w:t>
      </w:r>
    </w:p>
    <w:p w:rsidR="00314B92" w:rsidRDefault="00AD5F81">
      <w:pPr>
        <w:pStyle w:val="Normal1"/>
        <w:widowControl w:val="0"/>
        <w:numPr>
          <w:ilvl w:val="0"/>
          <w:numId w:val="6"/>
        </w:numPr>
        <w:pBdr>
          <w:top w:val="nil"/>
          <w:left w:val="nil"/>
          <w:bottom w:val="nil"/>
          <w:right w:val="nil"/>
          <w:between w:val="nil"/>
        </w:pBdr>
        <w:spacing w:before="60" w:after="60"/>
        <w:jc w:val="both"/>
        <w:rPr>
          <w:color w:val="000000"/>
          <w:sz w:val="20"/>
          <w:szCs w:val="20"/>
        </w:rPr>
      </w:pPr>
      <w:r>
        <w:rPr>
          <w:color w:val="000000"/>
          <w:sz w:val="20"/>
          <w:szCs w:val="20"/>
        </w:rPr>
        <w:t>OS4 : Intégrer et mettre en cohérence toutes les informations utiles et pertinentes ci-dessus décrites et d’autres informations pour écrire le dossier d’investissement.</w:t>
      </w:r>
    </w:p>
    <w:p w:rsidR="00314B92" w:rsidRDefault="00AD5F81" w:rsidP="00542CFB">
      <w:pPr>
        <w:pStyle w:val="Normal1"/>
        <w:widowControl w:val="0"/>
        <w:numPr>
          <w:ilvl w:val="0"/>
          <w:numId w:val="20"/>
        </w:numPr>
        <w:pBdr>
          <w:top w:val="nil"/>
          <w:left w:val="nil"/>
          <w:bottom w:val="nil"/>
          <w:right w:val="nil"/>
          <w:between w:val="nil"/>
        </w:pBdr>
        <w:spacing w:before="60" w:after="60"/>
        <w:jc w:val="both"/>
        <w:rPr>
          <w:color w:val="000000"/>
          <w:sz w:val="20"/>
          <w:szCs w:val="20"/>
        </w:rPr>
      </w:pPr>
      <w:r>
        <w:rPr>
          <w:color w:val="000000"/>
          <w:sz w:val="20"/>
          <w:szCs w:val="20"/>
        </w:rPr>
        <w:t>Quelles sont les informations les plus utiles et  pertinentes ?</w:t>
      </w:r>
    </w:p>
    <w:p w:rsidR="00314B92" w:rsidRDefault="00AD5F81">
      <w:pPr>
        <w:pStyle w:val="Normal1"/>
        <w:widowControl w:val="0"/>
        <w:numPr>
          <w:ilvl w:val="0"/>
          <w:numId w:val="6"/>
        </w:numPr>
        <w:pBdr>
          <w:top w:val="nil"/>
          <w:left w:val="nil"/>
          <w:bottom w:val="nil"/>
          <w:right w:val="nil"/>
          <w:between w:val="nil"/>
        </w:pBdr>
        <w:spacing w:before="60" w:after="60"/>
        <w:jc w:val="both"/>
        <w:rPr>
          <w:color w:val="000000"/>
          <w:sz w:val="20"/>
          <w:szCs w:val="20"/>
        </w:rPr>
      </w:pPr>
      <w:r>
        <w:rPr>
          <w:color w:val="000000"/>
          <w:sz w:val="20"/>
          <w:szCs w:val="20"/>
        </w:rPr>
        <w:t>Faire le costing du dossier d’investissement.</w:t>
      </w:r>
    </w:p>
    <w:p w:rsidR="00314B92" w:rsidRDefault="00AD5F81" w:rsidP="00542CFB">
      <w:pPr>
        <w:pStyle w:val="Normal1"/>
        <w:widowControl w:val="0"/>
        <w:numPr>
          <w:ilvl w:val="0"/>
          <w:numId w:val="20"/>
        </w:numPr>
        <w:pBdr>
          <w:top w:val="nil"/>
          <w:left w:val="nil"/>
          <w:bottom w:val="nil"/>
          <w:right w:val="nil"/>
          <w:between w:val="nil"/>
        </w:pBdr>
        <w:spacing w:before="60" w:after="60"/>
        <w:jc w:val="both"/>
        <w:rPr>
          <w:color w:val="000000"/>
          <w:sz w:val="20"/>
          <w:szCs w:val="20"/>
        </w:rPr>
      </w:pPr>
      <w:r>
        <w:rPr>
          <w:color w:val="000000"/>
          <w:sz w:val="20"/>
          <w:szCs w:val="20"/>
        </w:rPr>
        <w:t xml:space="preserve">Quelle est l’enveloppe budgétaire totale, le cout par intervention prioritaire ; pqr bailleur et par zone d’intervention   </w:t>
      </w:r>
    </w:p>
    <w:p w:rsidR="00314B92" w:rsidRDefault="00AD5F81" w:rsidP="00542CFB">
      <w:pPr>
        <w:pStyle w:val="Normal1"/>
        <w:widowControl w:val="0"/>
        <w:numPr>
          <w:ilvl w:val="2"/>
          <w:numId w:val="16"/>
        </w:numPr>
        <w:pBdr>
          <w:top w:val="nil"/>
          <w:left w:val="nil"/>
          <w:bottom w:val="nil"/>
          <w:right w:val="nil"/>
          <w:between w:val="nil"/>
        </w:pBdr>
        <w:spacing w:before="240" w:after="0"/>
        <w:jc w:val="both"/>
        <w:rPr>
          <w:b/>
          <w:color w:val="000000"/>
          <w:sz w:val="20"/>
          <w:szCs w:val="20"/>
        </w:rPr>
      </w:pPr>
      <w:r>
        <w:rPr>
          <w:b/>
          <w:color w:val="000000"/>
          <w:sz w:val="20"/>
          <w:szCs w:val="20"/>
        </w:rPr>
        <w:t>Collecte de l’information</w:t>
      </w:r>
    </w:p>
    <w:p w:rsidR="00314B92" w:rsidRDefault="00AD5F81" w:rsidP="00542CFB">
      <w:pPr>
        <w:pStyle w:val="Normal1"/>
        <w:widowControl w:val="0"/>
        <w:numPr>
          <w:ilvl w:val="0"/>
          <w:numId w:val="21"/>
        </w:numPr>
        <w:pBdr>
          <w:top w:val="nil"/>
          <w:left w:val="nil"/>
          <w:bottom w:val="nil"/>
          <w:right w:val="nil"/>
          <w:between w:val="nil"/>
        </w:pBdr>
        <w:spacing w:after="0"/>
        <w:jc w:val="both"/>
        <w:rPr>
          <w:color w:val="000000"/>
          <w:sz w:val="20"/>
          <w:szCs w:val="20"/>
        </w:rPr>
      </w:pPr>
      <w:r>
        <w:rPr>
          <w:color w:val="000000"/>
          <w:sz w:val="20"/>
          <w:szCs w:val="20"/>
        </w:rPr>
        <w:t>Briefing d’orientation par les autorités du Ministère de la santé</w:t>
      </w:r>
    </w:p>
    <w:p w:rsidR="00314B92" w:rsidRDefault="00AD5F81" w:rsidP="00542CFB">
      <w:pPr>
        <w:pStyle w:val="Normal1"/>
        <w:widowControl w:val="0"/>
        <w:numPr>
          <w:ilvl w:val="0"/>
          <w:numId w:val="21"/>
        </w:numPr>
        <w:pBdr>
          <w:top w:val="nil"/>
          <w:left w:val="nil"/>
          <w:bottom w:val="nil"/>
          <w:right w:val="nil"/>
          <w:between w:val="nil"/>
        </w:pBdr>
        <w:spacing w:after="0"/>
        <w:jc w:val="both"/>
        <w:rPr>
          <w:color w:val="000000"/>
          <w:sz w:val="20"/>
          <w:szCs w:val="20"/>
        </w:rPr>
      </w:pPr>
      <w:r>
        <w:rPr>
          <w:color w:val="000000"/>
          <w:sz w:val="20"/>
          <w:szCs w:val="20"/>
        </w:rPr>
        <w:t>Revue documentaire : Documents stratégiques nationaux et mondiaux, rapports des sous groupes mis en place dans l’équipe fonctionnelle (SRMNEA, Nutrition, Actions transversales, Analyse des GAP, Financement)</w:t>
      </w:r>
    </w:p>
    <w:p w:rsidR="00314B92" w:rsidRDefault="00AD5F81" w:rsidP="00542CFB">
      <w:pPr>
        <w:pStyle w:val="Normal1"/>
        <w:widowControl w:val="0"/>
        <w:numPr>
          <w:ilvl w:val="0"/>
          <w:numId w:val="21"/>
        </w:numPr>
        <w:pBdr>
          <w:top w:val="nil"/>
          <w:left w:val="nil"/>
          <w:bottom w:val="nil"/>
          <w:right w:val="nil"/>
          <w:between w:val="nil"/>
        </w:pBdr>
        <w:jc w:val="both"/>
        <w:rPr>
          <w:color w:val="000000"/>
          <w:sz w:val="20"/>
          <w:szCs w:val="20"/>
        </w:rPr>
      </w:pPr>
      <w:r>
        <w:rPr>
          <w:color w:val="000000"/>
          <w:sz w:val="20"/>
          <w:szCs w:val="20"/>
        </w:rPr>
        <w:t>Entretien avec quelques informateurs clés : PTF (OMS, UNICEF, UNFPA –Chef de File, UE, USAID), Représentant du secteur privé,  Représentant de la société civile,</w:t>
      </w:r>
    </w:p>
    <w:p w:rsidR="00314B92" w:rsidRDefault="00AD5F81" w:rsidP="00542CFB">
      <w:pPr>
        <w:pStyle w:val="Normal1"/>
        <w:widowControl w:val="0"/>
        <w:numPr>
          <w:ilvl w:val="2"/>
          <w:numId w:val="16"/>
        </w:numPr>
        <w:pBdr>
          <w:top w:val="nil"/>
          <w:left w:val="nil"/>
          <w:bottom w:val="nil"/>
          <w:right w:val="nil"/>
          <w:between w:val="nil"/>
        </w:pBdr>
        <w:spacing w:after="0"/>
        <w:jc w:val="both"/>
        <w:rPr>
          <w:b/>
          <w:color w:val="000000"/>
          <w:sz w:val="20"/>
          <w:szCs w:val="20"/>
        </w:rPr>
      </w:pPr>
      <w:r>
        <w:rPr>
          <w:b/>
          <w:color w:val="000000"/>
          <w:sz w:val="20"/>
          <w:szCs w:val="20"/>
        </w:rPr>
        <w:t>Analyse de situation</w:t>
      </w:r>
    </w:p>
    <w:p w:rsidR="00314B92" w:rsidRDefault="00AD5F81" w:rsidP="00542CFB">
      <w:pPr>
        <w:pStyle w:val="Normal1"/>
        <w:widowControl w:val="0"/>
        <w:numPr>
          <w:ilvl w:val="0"/>
          <w:numId w:val="13"/>
        </w:numPr>
        <w:pBdr>
          <w:top w:val="nil"/>
          <w:left w:val="nil"/>
          <w:bottom w:val="nil"/>
          <w:right w:val="nil"/>
          <w:between w:val="nil"/>
        </w:pBdr>
        <w:spacing w:after="0"/>
        <w:jc w:val="both"/>
        <w:rPr>
          <w:color w:val="00000A"/>
          <w:sz w:val="20"/>
          <w:szCs w:val="20"/>
        </w:rPr>
      </w:pPr>
      <w:r>
        <w:rPr>
          <w:color w:val="000000"/>
          <w:sz w:val="20"/>
          <w:szCs w:val="20"/>
        </w:rPr>
        <w:t xml:space="preserve">A partir d’une analyse documentaire et notamment </w:t>
      </w:r>
      <w:r>
        <w:rPr>
          <w:color w:val="00000A"/>
          <w:sz w:val="20"/>
          <w:szCs w:val="20"/>
        </w:rPr>
        <w:t>des indicateurs clefs (Mortalité Maternelle, Mortalité néonatale, Mortalité infanto-juvénile, Malnutrition, Santé des adolescents/jeunes)</w:t>
      </w:r>
      <w:r>
        <w:rPr>
          <w:color w:val="000000"/>
          <w:sz w:val="20"/>
          <w:szCs w:val="20"/>
        </w:rPr>
        <w:t xml:space="preserve">, préciser la situation </w:t>
      </w:r>
      <w:r>
        <w:rPr>
          <w:color w:val="00000A"/>
          <w:sz w:val="20"/>
          <w:szCs w:val="20"/>
        </w:rPr>
        <w:t>de la santé de la reproduction de la mère, du nouveau-né, de l’enfant et des adolescents et la situation en termes de malnutrition.</w:t>
      </w:r>
    </w:p>
    <w:p w:rsidR="00314B92" w:rsidRDefault="00AD5F81" w:rsidP="00542CFB">
      <w:pPr>
        <w:pStyle w:val="Normal1"/>
        <w:widowControl w:val="0"/>
        <w:numPr>
          <w:ilvl w:val="0"/>
          <w:numId w:val="13"/>
        </w:numPr>
        <w:pBdr>
          <w:top w:val="nil"/>
          <w:left w:val="nil"/>
          <w:bottom w:val="nil"/>
          <w:right w:val="nil"/>
          <w:between w:val="nil"/>
        </w:pBdr>
        <w:spacing w:after="0"/>
        <w:jc w:val="both"/>
        <w:rPr>
          <w:color w:val="000000"/>
          <w:sz w:val="20"/>
          <w:szCs w:val="20"/>
        </w:rPr>
      </w:pPr>
      <w:r>
        <w:rPr>
          <w:color w:val="000000"/>
          <w:sz w:val="20"/>
          <w:szCs w:val="20"/>
        </w:rPr>
        <w:t>A partir de l’analyse des indicateurs clés, identifier les écarts (valeur cible de l’indicateur-valeur atteinte) qui seront traduites en  gaps de performance.</w:t>
      </w:r>
    </w:p>
    <w:p w:rsidR="00314B92" w:rsidRDefault="00AD5F81" w:rsidP="00542CFB">
      <w:pPr>
        <w:pStyle w:val="Normal1"/>
        <w:widowControl w:val="0"/>
        <w:numPr>
          <w:ilvl w:val="0"/>
          <w:numId w:val="13"/>
        </w:numPr>
        <w:pBdr>
          <w:top w:val="nil"/>
          <w:left w:val="nil"/>
          <w:bottom w:val="nil"/>
          <w:right w:val="nil"/>
          <w:between w:val="nil"/>
        </w:pBdr>
        <w:spacing w:after="0"/>
        <w:jc w:val="both"/>
        <w:rPr>
          <w:color w:val="000000"/>
          <w:sz w:val="20"/>
          <w:szCs w:val="20"/>
        </w:rPr>
      </w:pPr>
      <w:r>
        <w:rPr>
          <w:color w:val="000000"/>
          <w:sz w:val="20"/>
          <w:szCs w:val="20"/>
        </w:rPr>
        <w:t>Rechercher les goulots d’étranglement qui causent les gaps (Analyse SWOT et utilisation de l’outil PHCPI)</w:t>
      </w:r>
    </w:p>
    <w:p w:rsidR="00314B92" w:rsidRDefault="00AD5F81" w:rsidP="00542CFB">
      <w:pPr>
        <w:pStyle w:val="Normal1"/>
        <w:widowControl w:val="0"/>
        <w:numPr>
          <w:ilvl w:val="0"/>
          <w:numId w:val="13"/>
        </w:numPr>
        <w:pBdr>
          <w:top w:val="nil"/>
          <w:left w:val="nil"/>
          <w:bottom w:val="nil"/>
          <w:right w:val="nil"/>
          <w:between w:val="nil"/>
        </w:pBdr>
        <w:jc w:val="both"/>
        <w:rPr>
          <w:color w:val="000000"/>
          <w:sz w:val="20"/>
          <w:szCs w:val="20"/>
        </w:rPr>
      </w:pPr>
      <w:r>
        <w:rPr>
          <w:color w:val="000000"/>
          <w:sz w:val="20"/>
          <w:szCs w:val="20"/>
        </w:rPr>
        <w:t xml:space="preserve">A partir de l’analyse des causes des goulots d’étranglement, identifier les interventions prioritaires pour lever les goulots d’étranglement </w:t>
      </w:r>
    </w:p>
    <w:p w:rsidR="00314B92" w:rsidRDefault="00AD5F81" w:rsidP="00542CFB">
      <w:pPr>
        <w:pStyle w:val="Normal1"/>
        <w:widowControl w:val="0"/>
        <w:numPr>
          <w:ilvl w:val="2"/>
          <w:numId w:val="16"/>
        </w:numPr>
        <w:pBdr>
          <w:top w:val="nil"/>
          <w:left w:val="nil"/>
          <w:bottom w:val="nil"/>
          <w:right w:val="nil"/>
          <w:between w:val="nil"/>
        </w:pBdr>
        <w:spacing w:after="0"/>
        <w:jc w:val="both"/>
        <w:rPr>
          <w:b/>
          <w:color w:val="000000"/>
          <w:sz w:val="20"/>
          <w:szCs w:val="20"/>
        </w:rPr>
      </w:pPr>
      <w:r>
        <w:rPr>
          <w:b/>
          <w:color w:val="000000"/>
          <w:sz w:val="20"/>
          <w:szCs w:val="20"/>
        </w:rPr>
        <w:t>Validation du diagnostic, de la réponse aux causes des goulots d’étranglement et du choix de la zone d’intervention</w:t>
      </w:r>
    </w:p>
    <w:p w:rsidR="00314B92" w:rsidRDefault="00AD5F81">
      <w:pPr>
        <w:pStyle w:val="Normal1"/>
        <w:widowControl w:val="0"/>
        <w:pBdr>
          <w:top w:val="nil"/>
          <w:left w:val="nil"/>
          <w:bottom w:val="nil"/>
          <w:right w:val="nil"/>
          <w:between w:val="nil"/>
        </w:pBdr>
        <w:spacing w:after="0"/>
        <w:ind w:left="720"/>
        <w:jc w:val="both"/>
        <w:rPr>
          <w:color w:val="000000"/>
          <w:sz w:val="20"/>
          <w:szCs w:val="20"/>
        </w:rPr>
      </w:pPr>
      <w:r>
        <w:rPr>
          <w:color w:val="000000"/>
          <w:sz w:val="20"/>
          <w:szCs w:val="20"/>
        </w:rPr>
        <w:t>La validation sera faite au travers de réunions au cours desquelles les consultants présenteront leur contribution aux membres de l’équipe fonctionnelle 7 :</w:t>
      </w:r>
    </w:p>
    <w:p w:rsidR="00314B92" w:rsidRDefault="00AD5F81" w:rsidP="00542CFB">
      <w:pPr>
        <w:pStyle w:val="Normal1"/>
        <w:widowControl w:val="0"/>
        <w:numPr>
          <w:ilvl w:val="0"/>
          <w:numId w:val="12"/>
        </w:numPr>
        <w:pBdr>
          <w:top w:val="nil"/>
          <w:left w:val="nil"/>
          <w:bottom w:val="nil"/>
          <w:right w:val="nil"/>
          <w:between w:val="nil"/>
        </w:pBdr>
        <w:spacing w:after="0"/>
        <w:jc w:val="both"/>
        <w:rPr>
          <w:color w:val="00000A"/>
          <w:sz w:val="20"/>
          <w:szCs w:val="20"/>
        </w:rPr>
      </w:pPr>
      <w:r>
        <w:rPr>
          <w:color w:val="000000"/>
          <w:sz w:val="20"/>
          <w:szCs w:val="20"/>
        </w:rPr>
        <w:t>1</w:t>
      </w:r>
      <w:r>
        <w:rPr>
          <w:color w:val="000000"/>
          <w:sz w:val="20"/>
          <w:szCs w:val="20"/>
          <w:vertAlign w:val="superscript"/>
        </w:rPr>
        <w:t>ère</w:t>
      </w:r>
      <w:r>
        <w:rPr>
          <w:color w:val="000000"/>
          <w:sz w:val="20"/>
          <w:szCs w:val="20"/>
        </w:rPr>
        <w:t xml:space="preserve"> Réunion </w:t>
      </w:r>
      <w:r w:rsidRPr="00FD6406">
        <w:rPr>
          <w:color w:val="000000"/>
          <w:sz w:val="20"/>
          <w:szCs w:val="20"/>
          <w:shd w:val="clear" w:color="auto" w:fill="FFFFFF" w:themeFill="background1"/>
        </w:rPr>
        <w:t xml:space="preserve">(13-09-2018) </w:t>
      </w:r>
      <w:r>
        <w:rPr>
          <w:color w:val="000000"/>
          <w:sz w:val="20"/>
          <w:szCs w:val="20"/>
        </w:rPr>
        <w:t>: Présentation de la méthodologie</w:t>
      </w:r>
    </w:p>
    <w:p w:rsidR="00314B92" w:rsidRDefault="00AD5F81" w:rsidP="00542CFB">
      <w:pPr>
        <w:pStyle w:val="Normal1"/>
        <w:widowControl w:val="0"/>
        <w:numPr>
          <w:ilvl w:val="0"/>
          <w:numId w:val="12"/>
        </w:numPr>
        <w:pBdr>
          <w:top w:val="nil"/>
          <w:left w:val="nil"/>
          <w:bottom w:val="nil"/>
          <w:right w:val="nil"/>
          <w:between w:val="nil"/>
        </w:pBdr>
        <w:spacing w:after="0"/>
        <w:jc w:val="both"/>
        <w:rPr>
          <w:color w:val="00000A"/>
          <w:sz w:val="20"/>
          <w:szCs w:val="20"/>
        </w:rPr>
      </w:pPr>
      <w:r>
        <w:rPr>
          <w:color w:val="00000A"/>
          <w:sz w:val="20"/>
          <w:szCs w:val="20"/>
        </w:rPr>
        <w:t>2</w:t>
      </w:r>
      <w:r>
        <w:rPr>
          <w:color w:val="00000A"/>
          <w:sz w:val="20"/>
          <w:szCs w:val="20"/>
          <w:vertAlign w:val="superscript"/>
        </w:rPr>
        <w:t>e</w:t>
      </w:r>
      <w:r>
        <w:rPr>
          <w:color w:val="00000A"/>
          <w:sz w:val="20"/>
          <w:szCs w:val="20"/>
        </w:rPr>
        <w:t xml:space="preserve"> Réunion </w:t>
      </w:r>
      <w:r w:rsidRPr="00FD6406">
        <w:rPr>
          <w:color w:val="00000A"/>
          <w:sz w:val="20"/>
          <w:szCs w:val="20"/>
        </w:rPr>
        <w:t>(25-09-2018):</w:t>
      </w:r>
      <w:r>
        <w:rPr>
          <w:color w:val="00000A"/>
          <w:sz w:val="20"/>
          <w:szCs w:val="20"/>
        </w:rPr>
        <w:t xml:space="preserve"> Présentation de l’analyse des gaps et de l'approche de sécurisation des activités vitales et essentielles et la  sécurisation du financement pour les activités vitales et essentielles</w:t>
      </w:r>
    </w:p>
    <w:p w:rsidR="00314B92" w:rsidRPr="00FD6406" w:rsidRDefault="00AD5F81" w:rsidP="00542CFB">
      <w:pPr>
        <w:pStyle w:val="Normal1"/>
        <w:widowControl w:val="0"/>
        <w:numPr>
          <w:ilvl w:val="0"/>
          <w:numId w:val="12"/>
        </w:numPr>
        <w:pBdr>
          <w:top w:val="nil"/>
          <w:left w:val="nil"/>
          <w:bottom w:val="nil"/>
          <w:right w:val="nil"/>
          <w:between w:val="nil"/>
        </w:pBdr>
        <w:spacing w:after="0"/>
        <w:jc w:val="both"/>
        <w:rPr>
          <w:color w:val="00000A"/>
          <w:sz w:val="20"/>
          <w:szCs w:val="20"/>
        </w:rPr>
      </w:pPr>
      <w:r>
        <w:rPr>
          <w:color w:val="00000A"/>
          <w:sz w:val="20"/>
          <w:szCs w:val="20"/>
        </w:rPr>
        <w:t>3</w:t>
      </w:r>
      <w:r>
        <w:rPr>
          <w:color w:val="00000A"/>
          <w:sz w:val="20"/>
          <w:szCs w:val="20"/>
          <w:vertAlign w:val="superscript"/>
        </w:rPr>
        <w:t>e</w:t>
      </w:r>
      <w:r>
        <w:rPr>
          <w:color w:val="00000A"/>
          <w:sz w:val="20"/>
          <w:szCs w:val="20"/>
        </w:rPr>
        <w:t xml:space="preserve"> Réunion </w:t>
      </w:r>
      <w:r w:rsidRPr="00FD6406">
        <w:rPr>
          <w:color w:val="00000A"/>
          <w:sz w:val="20"/>
          <w:szCs w:val="20"/>
        </w:rPr>
        <w:t xml:space="preserve">(28-09-2018): Présentation du rapport d’étape </w:t>
      </w:r>
    </w:p>
    <w:p w:rsidR="00314B92" w:rsidRDefault="00AD5F81" w:rsidP="00542CFB">
      <w:pPr>
        <w:pStyle w:val="Normal1"/>
        <w:widowControl w:val="0"/>
        <w:numPr>
          <w:ilvl w:val="0"/>
          <w:numId w:val="12"/>
        </w:numPr>
        <w:pBdr>
          <w:top w:val="nil"/>
          <w:left w:val="nil"/>
          <w:bottom w:val="nil"/>
          <w:right w:val="nil"/>
          <w:between w:val="nil"/>
        </w:pBdr>
        <w:jc w:val="both"/>
        <w:rPr>
          <w:color w:val="000000"/>
          <w:sz w:val="20"/>
          <w:szCs w:val="20"/>
        </w:rPr>
      </w:pPr>
      <w:r w:rsidRPr="00FD6406">
        <w:rPr>
          <w:color w:val="00000A"/>
          <w:sz w:val="20"/>
          <w:szCs w:val="20"/>
        </w:rPr>
        <w:t>4</w:t>
      </w:r>
      <w:r w:rsidRPr="00FD6406">
        <w:rPr>
          <w:color w:val="00000A"/>
          <w:sz w:val="20"/>
          <w:szCs w:val="20"/>
          <w:vertAlign w:val="superscript"/>
        </w:rPr>
        <w:t>e</w:t>
      </w:r>
      <w:r w:rsidRPr="00FD6406">
        <w:rPr>
          <w:color w:val="00000A"/>
          <w:sz w:val="20"/>
          <w:szCs w:val="20"/>
        </w:rPr>
        <w:t xml:space="preserve"> Réunion (09-10-2018):</w:t>
      </w:r>
      <w:r>
        <w:rPr>
          <w:color w:val="00000A"/>
          <w:sz w:val="20"/>
          <w:szCs w:val="20"/>
        </w:rPr>
        <w:t xml:space="preserve"> Présentation du rapport préliminaire du dossier d’investissement.</w:t>
      </w:r>
    </w:p>
    <w:p w:rsidR="00314B92" w:rsidRDefault="00AD5F81" w:rsidP="00542CFB">
      <w:pPr>
        <w:pStyle w:val="Normal1"/>
        <w:widowControl w:val="0"/>
        <w:numPr>
          <w:ilvl w:val="2"/>
          <w:numId w:val="16"/>
        </w:numPr>
        <w:pBdr>
          <w:top w:val="nil"/>
          <w:left w:val="nil"/>
          <w:bottom w:val="nil"/>
          <w:right w:val="nil"/>
          <w:between w:val="nil"/>
        </w:pBdr>
        <w:spacing w:after="0"/>
        <w:jc w:val="both"/>
        <w:rPr>
          <w:b/>
          <w:color w:val="00000A"/>
          <w:sz w:val="20"/>
          <w:szCs w:val="20"/>
        </w:rPr>
      </w:pPr>
      <w:r>
        <w:rPr>
          <w:b/>
          <w:color w:val="00000A"/>
          <w:sz w:val="20"/>
          <w:szCs w:val="20"/>
        </w:rPr>
        <w:t>Description de la réponse pour lever les goulots d’étranglement</w:t>
      </w:r>
    </w:p>
    <w:p w:rsidR="00314B92" w:rsidRDefault="00AD5F81" w:rsidP="00542CFB">
      <w:pPr>
        <w:pStyle w:val="Normal1"/>
        <w:widowControl w:val="0"/>
        <w:numPr>
          <w:ilvl w:val="0"/>
          <w:numId w:val="14"/>
        </w:numPr>
        <w:pBdr>
          <w:top w:val="nil"/>
          <w:left w:val="nil"/>
          <w:bottom w:val="nil"/>
          <w:right w:val="nil"/>
          <w:between w:val="nil"/>
        </w:pBdr>
        <w:spacing w:after="0"/>
        <w:jc w:val="both"/>
        <w:rPr>
          <w:color w:val="00000A"/>
          <w:sz w:val="20"/>
          <w:szCs w:val="20"/>
        </w:rPr>
      </w:pPr>
      <w:r>
        <w:rPr>
          <w:color w:val="00000A"/>
          <w:sz w:val="20"/>
          <w:szCs w:val="20"/>
        </w:rPr>
        <w:t xml:space="preserve">Description du changement escompté (Résultats attendus) en matière de santé de la reproduction de la mère, du nouveau-né, de l’enfant et des adolescents et la situation en termes de malnutrition. Le choix des résultats attendus doit tenir compte de l’équité, de l’efficience, les déterminants de la santé  et les tendances en matière de croissance économique, urbanisation, changements climatiques, conflits et épidémies. </w:t>
      </w:r>
    </w:p>
    <w:p w:rsidR="00314B92" w:rsidRDefault="00AD5F81" w:rsidP="00542CFB">
      <w:pPr>
        <w:pStyle w:val="Normal1"/>
        <w:widowControl w:val="0"/>
        <w:numPr>
          <w:ilvl w:val="0"/>
          <w:numId w:val="14"/>
        </w:numPr>
        <w:pBdr>
          <w:top w:val="nil"/>
          <w:left w:val="nil"/>
          <w:bottom w:val="nil"/>
          <w:right w:val="nil"/>
          <w:between w:val="nil"/>
        </w:pBdr>
        <w:spacing w:after="0"/>
        <w:jc w:val="both"/>
        <w:rPr>
          <w:color w:val="00000A"/>
          <w:sz w:val="20"/>
          <w:szCs w:val="20"/>
        </w:rPr>
      </w:pPr>
      <w:r>
        <w:rPr>
          <w:color w:val="00000A"/>
          <w:sz w:val="20"/>
          <w:szCs w:val="20"/>
        </w:rPr>
        <w:t>Choix des investissements prioritaires pour atteindre les résultats attendus. Pour chaque intervention, les éléments suivants seront précisés : Quoi, comment, pour qui et où.</w:t>
      </w:r>
    </w:p>
    <w:p w:rsidR="00314B92" w:rsidRDefault="00AD5F81" w:rsidP="00542CFB">
      <w:pPr>
        <w:pStyle w:val="Normal1"/>
        <w:widowControl w:val="0"/>
        <w:numPr>
          <w:ilvl w:val="0"/>
          <w:numId w:val="14"/>
        </w:numPr>
        <w:pBdr>
          <w:top w:val="nil"/>
          <w:left w:val="nil"/>
          <w:bottom w:val="nil"/>
          <w:right w:val="nil"/>
          <w:between w:val="nil"/>
        </w:pBdr>
        <w:jc w:val="both"/>
        <w:rPr>
          <w:color w:val="00000A"/>
          <w:sz w:val="20"/>
          <w:szCs w:val="20"/>
        </w:rPr>
      </w:pPr>
      <w:r>
        <w:rPr>
          <w:color w:val="00000A"/>
          <w:sz w:val="20"/>
          <w:szCs w:val="20"/>
        </w:rPr>
        <w:t>Description des interventions de renforcement du système de santé nécessaires pour fournir les interv</w:t>
      </w:r>
      <w:r w:rsidR="00FD6406">
        <w:rPr>
          <w:color w:val="00000A"/>
          <w:sz w:val="20"/>
          <w:szCs w:val="20"/>
        </w:rPr>
        <w:t>entions a haut impact de SRMNEA</w:t>
      </w:r>
      <w:r>
        <w:rPr>
          <w:color w:val="00000A"/>
          <w:sz w:val="20"/>
          <w:szCs w:val="20"/>
        </w:rPr>
        <w:t>N</w:t>
      </w:r>
    </w:p>
    <w:p w:rsidR="00314B92" w:rsidRDefault="00AD5F81" w:rsidP="00542CFB">
      <w:pPr>
        <w:pStyle w:val="Normal1"/>
        <w:widowControl w:val="0"/>
        <w:numPr>
          <w:ilvl w:val="2"/>
          <w:numId w:val="16"/>
        </w:numPr>
        <w:pBdr>
          <w:top w:val="nil"/>
          <w:left w:val="nil"/>
          <w:bottom w:val="nil"/>
          <w:right w:val="nil"/>
          <w:between w:val="nil"/>
        </w:pBdr>
        <w:jc w:val="both"/>
        <w:rPr>
          <w:b/>
          <w:color w:val="000000"/>
          <w:sz w:val="20"/>
          <w:szCs w:val="20"/>
        </w:rPr>
      </w:pPr>
      <w:r>
        <w:rPr>
          <w:b/>
          <w:color w:val="000000"/>
          <w:sz w:val="20"/>
          <w:szCs w:val="20"/>
        </w:rPr>
        <w:t>Budgétisation des interventions</w:t>
      </w:r>
    </w:p>
    <w:p w:rsidR="00314B92" w:rsidRDefault="00AD5F81" w:rsidP="00542CFB">
      <w:pPr>
        <w:pStyle w:val="Normal1"/>
        <w:numPr>
          <w:ilvl w:val="3"/>
          <w:numId w:val="16"/>
        </w:numPr>
        <w:pBdr>
          <w:top w:val="nil"/>
          <w:left w:val="nil"/>
          <w:bottom w:val="nil"/>
          <w:right w:val="nil"/>
          <w:between w:val="nil"/>
        </w:pBdr>
        <w:spacing w:after="0"/>
        <w:jc w:val="both"/>
        <w:rPr>
          <w:b/>
          <w:i/>
          <w:color w:val="000000"/>
          <w:sz w:val="20"/>
          <w:szCs w:val="20"/>
        </w:rPr>
      </w:pPr>
      <w:r>
        <w:rPr>
          <w:b/>
          <w:i/>
          <w:color w:val="000000"/>
          <w:sz w:val="20"/>
          <w:szCs w:val="20"/>
        </w:rPr>
        <w:t>Conduite du processus de costing</w:t>
      </w:r>
    </w:p>
    <w:p w:rsidR="00314B92" w:rsidRDefault="00AD5F81">
      <w:pPr>
        <w:pStyle w:val="Normal1"/>
        <w:spacing w:after="0"/>
        <w:jc w:val="both"/>
        <w:rPr>
          <w:sz w:val="20"/>
          <w:szCs w:val="20"/>
        </w:rPr>
      </w:pPr>
      <w:r>
        <w:rPr>
          <w:sz w:val="20"/>
          <w:szCs w:val="20"/>
        </w:rPr>
        <w:t xml:space="preserve">Le costing de la SRMNEAN obéira aux étapes suivantes : </w:t>
      </w:r>
    </w:p>
    <w:p w:rsidR="00314B92" w:rsidRDefault="00AD5F81" w:rsidP="00542CFB">
      <w:pPr>
        <w:pStyle w:val="Normal1"/>
        <w:numPr>
          <w:ilvl w:val="0"/>
          <w:numId w:val="17"/>
        </w:numPr>
        <w:pBdr>
          <w:top w:val="nil"/>
          <w:left w:val="nil"/>
          <w:bottom w:val="nil"/>
          <w:right w:val="nil"/>
          <w:between w:val="nil"/>
        </w:pBdr>
        <w:spacing w:after="0"/>
        <w:jc w:val="both"/>
        <w:rPr>
          <w:b/>
          <w:color w:val="000000"/>
          <w:sz w:val="20"/>
          <w:szCs w:val="20"/>
        </w:rPr>
      </w:pPr>
      <w:r>
        <w:rPr>
          <w:b/>
          <w:color w:val="000000"/>
          <w:sz w:val="20"/>
          <w:szCs w:val="20"/>
        </w:rPr>
        <w:t xml:space="preserve">Phase préparatoire </w:t>
      </w:r>
    </w:p>
    <w:p w:rsidR="00314B92" w:rsidRDefault="00AD5F81">
      <w:pPr>
        <w:pStyle w:val="Normal1"/>
        <w:spacing w:after="0"/>
        <w:jc w:val="both"/>
        <w:rPr>
          <w:sz w:val="20"/>
          <w:szCs w:val="20"/>
        </w:rPr>
      </w:pPr>
      <w:r>
        <w:rPr>
          <w:sz w:val="20"/>
          <w:szCs w:val="20"/>
        </w:rPr>
        <w:t>Cette étape est purement administrative puisqu’elle sera consacrée à une prise de contact du consultant avec les acteurs concernés par le travail de costing. Elle permettra en même temps le recueil de certains documents nécessaires à la budgétisation.</w:t>
      </w:r>
    </w:p>
    <w:p w:rsidR="00314B92" w:rsidRDefault="00AD5F81" w:rsidP="00542CFB">
      <w:pPr>
        <w:pStyle w:val="Normal1"/>
        <w:numPr>
          <w:ilvl w:val="0"/>
          <w:numId w:val="17"/>
        </w:numPr>
        <w:pBdr>
          <w:top w:val="nil"/>
          <w:left w:val="nil"/>
          <w:bottom w:val="nil"/>
          <w:right w:val="nil"/>
          <w:between w:val="nil"/>
        </w:pBdr>
        <w:spacing w:after="0"/>
        <w:jc w:val="both"/>
        <w:rPr>
          <w:b/>
          <w:color w:val="000000"/>
          <w:sz w:val="20"/>
          <w:szCs w:val="20"/>
        </w:rPr>
      </w:pPr>
      <w:r>
        <w:rPr>
          <w:b/>
          <w:color w:val="000000"/>
          <w:sz w:val="20"/>
          <w:szCs w:val="20"/>
        </w:rPr>
        <w:t>Phase de costing</w:t>
      </w:r>
    </w:p>
    <w:p w:rsidR="00314B92" w:rsidRDefault="00AD5F81">
      <w:pPr>
        <w:pStyle w:val="Normal1"/>
        <w:spacing w:after="0"/>
        <w:jc w:val="both"/>
        <w:rPr>
          <w:sz w:val="20"/>
          <w:szCs w:val="20"/>
        </w:rPr>
      </w:pPr>
      <w:r>
        <w:rPr>
          <w:sz w:val="20"/>
          <w:szCs w:val="20"/>
        </w:rPr>
        <w:t>L’utilisation de l’OHT passe nécessairement par des étapes essentielles :</w:t>
      </w:r>
    </w:p>
    <w:p w:rsidR="00314B92" w:rsidRDefault="00AD5F81">
      <w:pPr>
        <w:pStyle w:val="Normal1"/>
        <w:spacing w:after="0"/>
        <w:jc w:val="both"/>
        <w:rPr>
          <w:sz w:val="20"/>
          <w:szCs w:val="20"/>
        </w:rPr>
      </w:pPr>
      <w:r>
        <w:rPr>
          <w:b/>
          <w:sz w:val="20"/>
          <w:szCs w:val="20"/>
        </w:rPr>
        <w:t>(1)</w:t>
      </w:r>
      <w:r>
        <w:rPr>
          <w:sz w:val="20"/>
          <w:szCs w:val="20"/>
        </w:rPr>
        <w:t xml:space="preserve"> La présentation des différentes étapes de l’OHT aux utilisateurs potentiels ;</w:t>
      </w:r>
    </w:p>
    <w:p w:rsidR="00314B92" w:rsidRDefault="00AD5F81">
      <w:pPr>
        <w:pStyle w:val="Normal1"/>
        <w:spacing w:after="0"/>
        <w:jc w:val="both"/>
        <w:rPr>
          <w:sz w:val="20"/>
          <w:szCs w:val="20"/>
        </w:rPr>
      </w:pPr>
      <w:r>
        <w:rPr>
          <w:b/>
          <w:sz w:val="20"/>
          <w:szCs w:val="20"/>
        </w:rPr>
        <w:t>(2)</w:t>
      </w:r>
      <w:r>
        <w:rPr>
          <w:sz w:val="20"/>
          <w:szCs w:val="20"/>
        </w:rPr>
        <w:t xml:space="preserve"> le paramétrage des interventions : la réalisation du paramétrage peut avoir lieu au cours d’une séance de travail avec l’équipe fonctionnelle n°7 en vue de retenir et de déterminer les interventions à haut impact à prendre en compte dans l’outil pour la budgétisation;</w:t>
      </w:r>
    </w:p>
    <w:p w:rsidR="00314B92" w:rsidRDefault="00AD5F81">
      <w:pPr>
        <w:pStyle w:val="Normal1"/>
        <w:spacing w:after="0"/>
        <w:jc w:val="both"/>
        <w:rPr>
          <w:sz w:val="20"/>
          <w:szCs w:val="20"/>
        </w:rPr>
      </w:pPr>
      <w:r>
        <w:rPr>
          <w:b/>
          <w:sz w:val="20"/>
          <w:szCs w:val="20"/>
        </w:rPr>
        <w:t xml:space="preserve"> (3)</w:t>
      </w:r>
      <w:r>
        <w:rPr>
          <w:sz w:val="20"/>
          <w:szCs w:val="20"/>
        </w:rPr>
        <w:t xml:space="preserve"> la collecte et apurement des données : elle consiste à une collecte active des données dans les structures sanitaires qui ont lien avec la SRMNEAN afin de collecter et vérifier l’exactitude des données ;</w:t>
      </w:r>
    </w:p>
    <w:p w:rsidR="00314B92" w:rsidRDefault="00AD5F81">
      <w:pPr>
        <w:pStyle w:val="Normal1"/>
        <w:spacing w:after="0"/>
        <w:jc w:val="both"/>
        <w:rPr>
          <w:sz w:val="20"/>
          <w:szCs w:val="20"/>
        </w:rPr>
      </w:pPr>
      <w:r>
        <w:rPr>
          <w:b/>
          <w:sz w:val="20"/>
          <w:szCs w:val="20"/>
        </w:rPr>
        <w:t xml:space="preserve"> (4)</w:t>
      </w:r>
      <w:r>
        <w:rPr>
          <w:sz w:val="20"/>
          <w:szCs w:val="20"/>
        </w:rPr>
        <w:t xml:space="preserve"> la saisie des données collectées dans l’outil : elle gagnerait à se faire en atelier(s) afin de garantir le consensus dans le choix de ces données;</w:t>
      </w:r>
    </w:p>
    <w:p w:rsidR="00314B92" w:rsidRDefault="00AD5F81">
      <w:pPr>
        <w:pStyle w:val="Normal1"/>
        <w:spacing w:after="0"/>
        <w:jc w:val="both"/>
        <w:rPr>
          <w:sz w:val="20"/>
          <w:szCs w:val="20"/>
        </w:rPr>
      </w:pPr>
      <w:r>
        <w:rPr>
          <w:b/>
          <w:sz w:val="20"/>
          <w:szCs w:val="20"/>
        </w:rPr>
        <w:t>(5)</w:t>
      </w:r>
      <w:r>
        <w:rPr>
          <w:sz w:val="20"/>
          <w:szCs w:val="20"/>
        </w:rPr>
        <w:t xml:space="preserve">l’analyse des outputs en vue de faire, de manière objective, les choix stratégiques qui répondent à la situation dont les caractéristiques ont été saisies dans l’outil. </w:t>
      </w:r>
    </w:p>
    <w:p w:rsidR="00314B92" w:rsidRDefault="00AD5F81" w:rsidP="00542CFB">
      <w:pPr>
        <w:pStyle w:val="Normal1"/>
        <w:numPr>
          <w:ilvl w:val="3"/>
          <w:numId w:val="16"/>
        </w:numPr>
        <w:pBdr>
          <w:top w:val="nil"/>
          <w:left w:val="nil"/>
          <w:bottom w:val="nil"/>
          <w:right w:val="nil"/>
          <w:between w:val="nil"/>
        </w:pBdr>
        <w:spacing w:after="0"/>
        <w:jc w:val="both"/>
        <w:rPr>
          <w:b/>
          <w:i/>
          <w:color w:val="000000"/>
          <w:sz w:val="20"/>
          <w:szCs w:val="20"/>
        </w:rPr>
      </w:pPr>
      <w:r>
        <w:rPr>
          <w:b/>
          <w:i/>
          <w:color w:val="000000"/>
          <w:sz w:val="20"/>
          <w:szCs w:val="20"/>
        </w:rPr>
        <w:t>Besoins d’information</w:t>
      </w:r>
    </w:p>
    <w:p w:rsidR="00314B92" w:rsidRDefault="00AD5F81">
      <w:pPr>
        <w:pStyle w:val="Normal1"/>
        <w:spacing w:after="0"/>
        <w:jc w:val="both"/>
        <w:rPr>
          <w:sz w:val="20"/>
          <w:szCs w:val="20"/>
        </w:rPr>
      </w:pPr>
      <w:r>
        <w:rPr>
          <w:sz w:val="20"/>
          <w:szCs w:val="20"/>
        </w:rPr>
        <w:t>Un nombre non négligeable d’informations quantitatives et qualitatives sera nécessaire pour un costing solide.</w:t>
      </w:r>
    </w:p>
    <w:p w:rsidR="00314B92" w:rsidRDefault="00AD5F81">
      <w:pPr>
        <w:pStyle w:val="Normal1"/>
        <w:spacing w:after="0"/>
        <w:jc w:val="both"/>
        <w:rPr>
          <w:sz w:val="20"/>
          <w:szCs w:val="20"/>
        </w:rPr>
      </w:pPr>
      <w:r>
        <w:rPr>
          <w:sz w:val="20"/>
          <w:szCs w:val="20"/>
        </w:rPr>
        <w:t xml:space="preserve">Les informations quantitatives et qualitatives nécessaires pour renseigner l’outil OHT sont de quatre types différents : </w:t>
      </w:r>
    </w:p>
    <w:p w:rsidR="00314B92" w:rsidRDefault="00AD5F81">
      <w:pPr>
        <w:pStyle w:val="Normal1"/>
        <w:spacing w:after="0"/>
        <w:jc w:val="both"/>
        <w:rPr>
          <w:sz w:val="20"/>
          <w:szCs w:val="20"/>
        </w:rPr>
      </w:pPr>
      <w:r>
        <w:rPr>
          <w:sz w:val="20"/>
          <w:szCs w:val="20"/>
        </w:rPr>
        <w:t>•</w:t>
      </w:r>
      <w:r>
        <w:rPr>
          <w:sz w:val="20"/>
          <w:szCs w:val="20"/>
        </w:rPr>
        <w:tab/>
        <w:t>Les données épidémiologiques de mortalité et de morbidité permettant de faire le choix des impacts au regard des résultats d’effets visés. Les principales sources seraient les enquêtes populationnelles, en particulier l’EDS ou la MICS et  SMART.</w:t>
      </w:r>
    </w:p>
    <w:p w:rsidR="00314B92" w:rsidRDefault="00AD5F81">
      <w:pPr>
        <w:pStyle w:val="Normal1"/>
        <w:spacing w:after="0"/>
        <w:jc w:val="both"/>
        <w:rPr>
          <w:sz w:val="20"/>
          <w:szCs w:val="20"/>
        </w:rPr>
      </w:pPr>
      <w:r>
        <w:rPr>
          <w:sz w:val="20"/>
          <w:szCs w:val="20"/>
        </w:rPr>
        <w:t>•</w:t>
      </w:r>
      <w:r>
        <w:rPr>
          <w:sz w:val="20"/>
          <w:szCs w:val="20"/>
        </w:rPr>
        <w:tab/>
        <w:t xml:space="preserve">Les données de couverture relatives au paquet d’intervention – préventives et curatives – déjà développées ou internationalement connues pour leur efficacité ; ces niveaux de couverture permettront de faire le choix des résultats d’effet. </w:t>
      </w:r>
    </w:p>
    <w:p w:rsidR="00314B92" w:rsidRDefault="00AD5F81">
      <w:pPr>
        <w:pStyle w:val="Normal1"/>
        <w:spacing w:after="0"/>
        <w:jc w:val="both"/>
        <w:rPr>
          <w:sz w:val="20"/>
          <w:szCs w:val="20"/>
        </w:rPr>
      </w:pPr>
      <w:r>
        <w:rPr>
          <w:sz w:val="20"/>
          <w:szCs w:val="20"/>
        </w:rPr>
        <w:t>•</w:t>
      </w:r>
      <w:r>
        <w:rPr>
          <w:sz w:val="20"/>
          <w:szCs w:val="20"/>
        </w:rPr>
        <w:tab/>
        <w:t>Les données d’accès et de qualité de l’offre de services permettant de définir les goulots d’étranglement du système de santé qu’il faudra lever pour améliorer les couvertures en interventions essentielles ; Les données d’accès et de qualité pourraient aussi être obtenues à travers les enquêtes, SIS, ).</w:t>
      </w:r>
    </w:p>
    <w:p w:rsidR="00314B92" w:rsidRDefault="00AD5F81">
      <w:pPr>
        <w:pStyle w:val="Normal1"/>
        <w:jc w:val="both"/>
        <w:rPr>
          <w:sz w:val="20"/>
          <w:szCs w:val="20"/>
        </w:rPr>
      </w:pPr>
      <w:r>
        <w:rPr>
          <w:sz w:val="20"/>
          <w:szCs w:val="20"/>
        </w:rPr>
        <w:t>•</w:t>
      </w:r>
      <w:r>
        <w:rPr>
          <w:sz w:val="20"/>
          <w:szCs w:val="20"/>
        </w:rPr>
        <w:tab/>
        <w:t>Les données relatives à la disponibilité des ressources humaines, matérielles et financières; ces données permettront d’estimer les besoins en ressources de la SRMNEAN.</w:t>
      </w:r>
    </w:p>
    <w:p w:rsidR="00314B92" w:rsidRDefault="00AD5F81" w:rsidP="00542CFB">
      <w:pPr>
        <w:pStyle w:val="Normal1"/>
        <w:widowControl w:val="0"/>
        <w:numPr>
          <w:ilvl w:val="2"/>
          <w:numId w:val="16"/>
        </w:numPr>
        <w:pBdr>
          <w:top w:val="nil"/>
          <w:left w:val="nil"/>
          <w:bottom w:val="nil"/>
          <w:right w:val="nil"/>
          <w:between w:val="nil"/>
        </w:pBdr>
        <w:spacing w:after="0"/>
        <w:jc w:val="both"/>
        <w:rPr>
          <w:b/>
          <w:color w:val="000000"/>
          <w:sz w:val="20"/>
          <w:szCs w:val="20"/>
        </w:rPr>
      </w:pPr>
      <w:r>
        <w:rPr>
          <w:b/>
          <w:color w:val="000000"/>
          <w:sz w:val="20"/>
          <w:szCs w:val="20"/>
        </w:rPr>
        <w:t xml:space="preserve">Description du dispositif de mécanisme en œuvre </w:t>
      </w:r>
    </w:p>
    <w:p w:rsidR="00314B92" w:rsidRDefault="00AD5F81">
      <w:pPr>
        <w:pStyle w:val="Normal1"/>
        <w:widowControl w:val="0"/>
        <w:pBdr>
          <w:top w:val="nil"/>
          <w:left w:val="nil"/>
          <w:bottom w:val="nil"/>
          <w:right w:val="nil"/>
          <w:between w:val="nil"/>
        </w:pBdr>
        <w:spacing w:after="0"/>
        <w:ind w:left="708"/>
        <w:jc w:val="both"/>
        <w:rPr>
          <w:color w:val="000000"/>
          <w:sz w:val="20"/>
          <w:szCs w:val="20"/>
        </w:rPr>
      </w:pPr>
      <w:r>
        <w:rPr>
          <w:color w:val="000000"/>
          <w:sz w:val="20"/>
          <w:szCs w:val="20"/>
        </w:rPr>
        <w:t>Description du cadre de mise en œuvre</w:t>
      </w:r>
    </w:p>
    <w:p w:rsidR="00314B92" w:rsidRDefault="00AD5F81">
      <w:pPr>
        <w:pStyle w:val="Normal1"/>
        <w:widowControl w:val="0"/>
        <w:pBdr>
          <w:top w:val="nil"/>
          <w:left w:val="nil"/>
          <w:bottom w:val="nil"/>
          <w:right w:val="nil"/>
          <w:between w:val="nil"/>
        </w:pBdr>
        <w:spacing w:after="0"/>
        <w:ind w:left="708"/>
        <w:jc w:val="both"/>
        <w:rPr>
          <w:color w:val="000000"/>
          <w:sz w:val="20"/>
          <w:szCs w:val="20"/>
        </w:rPr>
      </w:pPr>
      <w:r>
        <w:rPr>
          <w:color w:val="000000"/>
          <w:sz w:val="20"/>
          <w:szCs w:val="20"/>
        </w:rPr>
        <w:t>Description du partenariat</w:t>
      </w:r>
    </w:p>
    <w:p w:rsidR="00314B92" w:rsidRDefault="00AD5F81">
      <w:pPr>
        <w:pStyle w:val="Normal1"/>
        <w:widowControl w:val="0"/>
        <w:pBdr>
          <w:top w:val="nil"/>
          <w:left w:val="nil"/>
          <w:bottom w:val="nil"/>
          <w:right w:val="nil"/>
          <w:between w:val="nil"/>
        </w:pBdr>
        <w:ind w:left="708"/>
        <w:jc w:val="both"/>
        <w:rPr>
          <w:color w:val="000000"/>
          <w:sz w:val="20"/>
          <w:szCs w:val="20"/>
        </w:rPr>
      </w:pPr>
      <w:r>
        <w:rPr>
          <w:color w:val="000000"/>
          <w:sz w:val="20"/>
          <w:szCs w:val="20"/>
        </w:rPr>
        <w:t xml:space="preserve">Elaboration du cadre de performance   </w:t>
      </w:r>
    </w:p>
    <w:p w:rsidR="00314B92" w:rsidRDefault="00AD5F81" w:rsidP="00542CFB">
      <w:pPr>
        <w:pStyle w:val="Normal1"/>
        <w:widowControl w:val="0"/>
        <w:numPr>
          <w:ilvl w:val="2"/>
          <w:numId w:val="16"/>
        </w:numPr>
        <w:pBdr>
          <w:top w:val="nil"/>
          <w:left w:val="nil"/>
          <w:bottom w:val="nil"/>
          <w:right w:val="nil"/>
          <w:between w:val="nil"/>
        </w:pBdr>
        <w:spacing w:after="0"/>
        <w:jc w:val="both"/>
        <w:rPr>
          <w:b/>
          <w:color w:val="000000"/>
          <w:sz w:val="20"/>
          <w:szCs w:val="20"/>
        </w:rPr>
      </w:pPr>
      <w:r>
        <w:rPr>
          <w:b/>
          <w:color w:val="000000"/>
          <w:sz w:val="20"/>
          <w:szCs w:val="20"/>
        </w:rPr>
        <w:t>Rapportage</w:t>
      </w:r>
    </w:p>
    <w:p w:rsidR="00314B92" w:rsidRDefault="00AD5F81" w:rsidP="00542CFB">
      <w:pPr>
        <w:pStyle w:val="Normal1"/>
        <w:widowControl w:val="0"/>
        <w:numPr>
          <w:ilvl w:val="0"/>
          <w:numId w:val="15"/>
        </w:numPr>
        <w:pBdr>
          <w:top w:val="nil"/>
          <w:left w:val="nil"/>
          <w:bottom w:val="nil"/>
          <w:right w:val="nil"/>
          <w:between w:val="nil"/>
        </w:pBdr>
        <w:spacing w:after="0"/>
        <w:jc w:val="both"/>
        <w:rPr>
          <w:color w:val="000000"/>
          <w:sz w:val="20"/>
          <w:szCs w:val="20"/>
        </w:rPr>
      </w:pPr>
      <w:r>
        <w:rPr>
          <w:color w:val="00000A"/>
          <w:sz w:val="20"/>
          <w:szCs w:val="20"/>
        </w:rPr>
        <w:t>Rapport d’étape</w:t>
      </w:r>
    </w:p>
    <w:p w:rsidR="00314B92" w:rsidRDefault="00AD5F81">
      <w:pPr>
        <w:pStyle w:val="Normal1"/>
        <w:widowControl w:val="0"/>
        <w:pBdr>
          <w:top w:val="nil"/>
          <w:left w:val="nil"/>
          <w:bottom w:val="nil"/>
          <w:right w:val="nil"/>
          <w:between w:val="nil"/>
        </w:pBdr>
        <w:spacing w:after="0"/>
        <w:ind w:left="1068"/>
        <w:jc w:val="both"/>
        <w:rPr>
          <w:color w:val="000000"/>
          <w:sz w:val="20"/>
          <w:szCs w:val="20"/>
        </w:rPr>
      </w:pPr>
      <w:r>
        <w:rPr>
          <w:color w:val="00000A"/>
          <w:sz w:val="20"/>
          <w:szCs w:val="20"/>
        </w:rPr>
        <w:t xml:space="preserve">Le rapport d’étape comprend les éléments du diagnostic, les interventions prioritaires et les zones d’intervention </w:t>
      </w:r>
    </w:p>
    <w:p w:rsidR="00314B92" w:rsidRDefault="00AD5F81" w:rsidP="00542CFB">
      <w:pPr>
        <w:pStyle w:val="Normal1"/>
        <w:widowControl w:val="0"/>
        <w:numPr>
          <w:ilvl w:val="0"/>
          <w:numId w:val="15"/>
        </w:numPr>
        <w:pBdr>
          <w:top w:val="nil"/>
          <w:left w:val="nil"/>
          <w:bottom w:val="nil"/>
          <w:right w:val="nil"/>
          <w:between w:val="nil"/>
        </w:pBdr>
        <w:spacing w:after="0"/>
        <w:jc w:val="both"/>
        <w:rPr>
          <w:color w:val="000000"/>
          <w:sz w:val="20"/>
          <w:szCs w:val="20"/>
        </w:rPr>
      </w:pPr>
      <w:r>
        <w:rPr>
          <w:color w:val="00000A"/>
          <w:sz w:val="20"/>
          <w:szCs w:val="20"/>
        </w:rPr>
        <w:t>Rapport préliminaire du dossier d’investissement en SRMNEA-N et Etat civile</w:t>
      </w:r>
    </w:p>
    <w:p w:rsidR="00314B92" w:rsidRDefault="00AD5F81">
      <w:pPr>
        <w:pStyle w:val="Normal1"/>
        <w:widowControl w:val="0"/>
        <w:pBdr>
          <w:top w:val="nil"/>
          <w:left w:val="nil"/>
          <w:bottom w:val="nil"/>
          <w:right w:val="nil"/>
          <w:between w:val="nil"/>
        </w:pBdr>
        <w:spacing w:after="0"/>
        <w:ind w:left="1068"/>
        <w:jc w:val="both"/>
        <w:rPr>
          <w:color w:val="000000"/>
          <w:sz w:val="20"/>
          <w:szCs w:val="20"/>
        </w:rPr>
      </w:pPr>
      <w:r>
        <w:rPr>
          <w:color w:val="000000"/>
          <w:sz w:val="20"/>
          <w:szCs w:val="20"/>
        </w:rPr>
        <w:t xml:space="preserve">Le </w:t>
      </w:r>
      <w:r>
        <w:rPr>
          <w:color w:val="00000A"/>
          <w:sz w:val="20"/>
          <w:szCs w:val="20"/>
        </w:rPr>
        <w:t>Rapport préliminaire comprend les éléments validés du rapport d’étape plus la budgétisation.</w:t>
      </w:r>
    </w:p>
    <w:p w:rsidR="00314B92" w:rsidRDefault="00AD5F81" w:rsidP="00542CFB">
      <w:pPr>
        <w:pStyle w:val="Normal1"/>
        <w:widowControl w:val="0"/>
        <w:numPr>
          <w:ilvl w:val="0"/>
          <w:numId w:val="15"/>
        </w:numPr>
        <w:pBdr>
          <w:top w:val="nil"/>
          <w:left w:val="nil"/>
          <w:bottom w:val="nil"/>
          <w:right w:val="nil"/>
          <w:between w:val="nil"/>
        </w:pBdr>
        <w:spacing w:after="0"/>
        <w:jc w:val="both"/>
        <w:rPr>
          <w:color w:val="000000"/>
          <w:sz w:val="20"/>
          <w:szCs w:val="20"/>
        </w:rPr>
      </w:pPr>
      <w:r>
        <w:rPr>
          <w:color w:val="00000A"/>
          <w:sz w:val="20"/>
          <w:szCs w:val="20"/>
        </w:rPr>
        <w:t>Rapport final du dossier d’investissement en SRMNEA-N et Etat civile</w:t>
      </w:r>
    </w:p>
    <w:p w:rsidR="00314B92" w:rsidRDefault="00AD5F81">
      <w:pPr>
        <w:pStyle w:val="Normal1"/>
        <w:widowControl w:val="0"/>
        <w:pBdr>
          <w:top w:val="nil"/>
          <w:left w:val="nil"/>
          <w:bottom w:val="nil"/>
          <w:right w:val="nil"/>
          <w:between w:val="nil"/>
        </w:pBdr>
        <w:spacing w:after="0"/>
        <w:ind w:left="1068"/>
        <w:jc w:val="both"/>
        <w:rPr>
          <w:color w:val="00000A"/>
          <w:sz w:val="20"/>
          <w:szCs w:val="20"/>
        </w:rPr>
      </w:pPr>
      <w:r>
        <w:rPr>
          <w:color w:val="00000A"/>
          <w:sz w:val="20"/>
          <w:szCs w:val="20"/>
        </w:rPr>
        <w:t>Le Rapport final comprend les éléments validés du Rapport préliminaire et prend en compte les compléments d’information issus de la 3</w:t>
      </w:r>
      <w:r>
        <w:rPr>
          <w:color w:val="00000A"/>
          <w:sz w:val="20"/>
          <w:szCs w:val="20"/>
          <w:vertAlign w:val="superscript"/>
        </w:rPr>
        <w:t>e</w:t>
      </w:r>
      <w:r>
        <w:rPr>
          <w:color w:val="00000A"/>
          <w:sz w:val="20"/>
          <w:szCs w:val="20"/>
        </w:rPr>
        <w:t xml:space="preserve"> réunion de validation.</w:t>
      </w:r>
    </w:p>
    <w:p w:rsidR="00314B92" w:rsidRDefault="00AD5F81" w:rsidP="00542CFB">
      <w:pPr>
        <w:pStyle w:val="Normal1"/>
        <w:widowControl w:val="0"/>
        <w:numPr>
          <w:ilvl w:val="0"/>
          <w:numId w:val="15"/>
        </w:numPr>
        <w:pBdr>
          <w:top w:val="nil"/>
          <w:left w:val="nil"/>
          <w:bottom w:val="nil"/>
          <w:right w:val="nil"/>
          <w:between w:val="nil"/>
        </w:pBdr>
        <w:jc w:val="both"/>
        <w:rPr>
          <w:color w:val="000000"/>
          <w:sz w:val="20"/>
          <w:szCs w:val="20"/>
        </w:rPr>
      </w:pPr>
      <w:r>
        <w:rPr>
          <w:color w:val="000000"/>
          <w:sz w:val="20"/>
          <w:szCs w:val="20"/>
        </w:rPr>
        <w:t>Rapport de mission.</w:t>
      </w:r>
    </w:p>
    <w:p w:rsidR="00314B92" w:rsidRDefault="00AD5F81" w:rsidP="00542CFB">
      <w:pPr>
        <w:pStyle w:val="Normal1"/>
        <w:widowControl w:val="0"/>
        <w:numPr>
          <w:ilvl w:val="0"/>
          <w:numId w:val="16"/>
        </w:numPr>
        <w:pBdr>
          <w:top w:val="nil"/>
          <w:left w:val="nil"/>
          <w:bottom w:val="nil"/>
          <w:right w:val="nil"/>
          <w:between w:val="nil"/>
        </w:pBdr>
        <w:spacing w:after="0"/>
        <w:jc w:val="both"/>
        <w:rPr>
          <w:color w:val="000000"/>
          <w:sz w:val="20"/>
          <w:szCs w:val="20"/>
        </w:rPr>
      </w:pPr>
      <w:r>
        <w:rPr>
          <w:color w:val="000000"/>
          <w:sz w:val="20"/>
          <w:szCs w:val="20"/>
        </w:rPr>
        <w:t xml:space="preserve">OBSERVATIONS ET LIMITES </w:t>
      </w:r>
    </w:p>
    <w:p w:rsidR="00314B92" w:rsidRDefault="00AD5F81">
      <w:pPr>
        <w:pStyle w:val="Normal1"/>
        <w:widowControl w:val="0"/>
        <w:pBdr>
          <w:top w:val="nil"/>
          <w:left w:val="nil"/>
          <w:bottom w:val="nil"/>
          <w:right w:val="nil"/>
          <w:between w:val="nil"/>
        </w:pBdr>
        <w:spacing w:after="0"/>
        <w:ind w:left="360"/>
        <w:jc w:val="both"/>
        <w:rPr>
          <w:color w:val="000000"/>
          <w:sz w:val="20"/>
          <w:szCs w:val="20"/>
        </w:rPr>
      </w:pPr>
      <w:r>
        <w:rPr>
          <w:color w:val="000000"/>
          <w:sz w:val="20"/>
          <w:szCs w:val="20"/>
        </w:rPr>
        <w:t>La disponibilité et l’accès en temps utiles à une information de qualité, pertinente et actualisée notamment au travers des rapports des sous groupes mis en place au sein de l’équipe fonctionnelle 7 reste la condition sine qua non de la rédaction d’un dossier d’investissement  de bonne qualité.</w:t>
      </w:r>
    </w:p>
    <w:p w:rsidR="00314B92" w:rsidRDefault="00314B92">
      <w:pPr>
        <w:pStyle w:val="Normal1"/>
        <w:widowControl w:val="0"/>
        <w:pBdr>
          <w:top w:val="nil"/>
          <w:left w:val="nil"/>
          <w:bottom w:val="nil"/>
          <w:right w:val="nil"/>
          <w:between w:val="nil"/>
        </w:pBdr>
        <w:spacing w:after="0"/>
        <w:ind w:left="360"/>
        <w:jc w:val="both"/>
        <w:rPr>
          <w:color w:val="000000"/>
          <w:sz w:val="20"/>
          <w:szCs w:val="20"/>
        </w:rPr>
      </w:pPr>
    </w:p>
    <w:p w:rsidR="00314B92" w:rsidRDefault="00314B92">
      <w:pPr>
        <w:pStyle w:val="Normal1"/>
        <w:widowControl w:val="0"/>
        <w:pBdr>
          <w:top w:val="nil"/>
          <w:left w:val="nil"/>
          <w:bottom w:val="nil"/>
          <w:right w:val="nil"/>
          <w:between w:val="nil"/>
        </w:pBdr>
        <w:spacing w:after="0"/>
        <w:ind w:left="360"/>
        <w:jc w:val="both"/>
        <w:rPr>
          <w:color w:val="000000"/>
          <w:sz w:val="20"/>
          <w:szCs w:val="20"/>
        </w:rPr>
      </w:pPr>
    </w:p>
    <w:p w:rsidR="00314B92" w:rsidRDefault="00AD5F81">
      <w:pPr>
        <w:pStyle w:val="Normal1"/>
        <w:widowControl w:val="0"/>
        <w:pBdr>
          <w:top w:val="nil"/>
          <w:left w:val="nil"/>
          <w:bottom w:val="nil"/>
          <w:right w:val="nil"/>
          <w:between w:val="nil"/>
        </w:pBdr>
        <w:spacing w:after="0"/>
        <w:rPr>
          <w:color w:val="000000"/>
          <w:sz w:val="20"/>
          <w:szCs w:val="20"/>
        </w:rPr>
        <w:sectPr w:rsidR="00314B92">
          <w:type w:val="continuous"/>
          <w:pgSz w:w="11906" w:h="16838"/>
          <w:pgMar w:top="1417" w:right="1417" w:bottom="1417" w:left="1417" w:header="708" w:footer="708" w:gutter="0"/>
          <w:cols w:space="720"/>
        </w:sectPr>
      </w:pPr>
      <w:r>
        <w:br w:type="page"/>
      </w:r>
    </w:p>
    <w:p w:rsidR="00314B92" w:rsidRDefault="004B0495">
      <w:pPr>
        <w:pStyle w:val="Normal1"/>
        <w:spacing w:after="0" w:line="240" w:lineRule="auto"/>
        <w:rPr>
          <w:rFonts w:ascii="Arial" w:eastAsia="Arial" w:hAnsi="Arial" w:cs="Arial"/>
          <w:b/>
          <w:color w:val="000000"/>
          <w:sz w:val="23"/>
          <w:szCs w:val="23"/>
        </w:rPr>
      </w:pPr>
      <w:r>
        <w:rPr>
          <w:noProof/>
        </w:rPr>
        <mc:AlternateContent>
          <mc:Choice Requires="wps">
            <w:drawing>
              <wp:anchor distT="0" distB="0" distL="114300" distR="114300" simplePos="0" relativeHeight="251713024" behindDoc="0" locked="0" layoutInCell="1" allowOverlap="1">
                <wp:simplePos x="0" y="0"/>
                <wp:positionH relativeFrom="column">
                  <wp:posOffset>5080</wp:posOffset>
                </wp:positionH>
                <wp:positionV relativeFrom="paragraph">
                  <wp:posOffset>-261620</wp:posOffset>
                </wp:positionV>
                <wp:extent cx="8915400" cy="238125"/>
                <wp:effectExtent l="5080" t="5080" r="13970" b="13970"/>
                <wp:wrapNone/>
                <wp:docPr id="4" name="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15400" cy="238125"/>
                        </a:xfrm>
                        <a:prstGeom prst="rect">
                          <a:avLst/>
                        </a:prstGeom>
                        <a:solidFill>
                          <a:srgbClr val="FFFFFF"/>
                        </a:solidFill>
                        <a:ln w="9525">
                          <a:solidFill>
                            <a:srgbClr val="000000"/>
                          </a:solidFill>
                          <a:miter lim="800000"/>
                          <a:headEnd/>
                          <a:tailEnd/>
                        </a:ln>
                      </wps:spPr>
                      <wps:txbx>
                        <w:txbxContent>
                          <w:p w:rsidR="00611E16" w:rsidRDefault="00611E16">
                            <w:r>
                              <w:t>Tableau A : CHRONOGRAMME ELABORATION DU DI-SRMNEAN-ECSV DU BURKINA FASO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3" o:spid="_x0000_s1059" style="position:absolute;margin-left:.4pt;margin-top:-20.6pt;width:702pt;height:18.7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">
                <v:textbox>
                  <w:txbxContent>
                    <w:p w:rsidR="00611E16" w:rsidRDefault="00611E16">
                      <w:r>
                        <w:t>Tableau A : CHRONOGRAMME ELABORATION DU DI-SRMNEAN-ECSV DU BURKINA FASO</w:t>
                      </w:r>
                    </w:p>
                  </w:txbxContent>
                </v:textbox>
              </v:rect>
            </w:pict>
          </mc:Fallback>
        </mc:AlternateContent>
      </w:r>
      <w:r w:rsidR="00AD5F81">
        <w:rPr>
          <w:noProof/>
        </w:rPr>
        <w:drawing>
          <wp:inline distT="0" distB="0" distL="0" distR="0">
            <wp:extent cx="8892540" cy="5560695"/>
            <wp:effectExtent l="0" t="0" r="0" b="0"/>
            <wp:docPr id="23"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59" cstate="print"/>
                    <a:srcRect/>
                    <a:stretch>
                      <a:fillRect/>
                    </a:stretch>
                  </pic:blipFill>
                  <pic:spPr>
                    <a:xfrm>
                      <a:off x="0" y="0"/>
                      <a:ext cx="8892540" cy="5560695"/>
                    </a:xfrm>
                    <a:prstGeom prst="rect">
                      <a:avLst/>
                    </a:prstGeom>
                    <a:ln/>
                  </pic:spPr>
                </pic:pic>
              </a:graphicData>
            </a:graphic>
          </wp:inline>
        </w:drawing>
      </w:r>
    </w:p>
    <w:p w:rsidR="00314B92" w:rsidRDefault="00AD5F81">
      <w:pPr>
        <w:pStyle w:val="Normal1"/>
        <w:widowControl w:val="0"/>
        <w:pBdr>
          <w:top w:val="nil"/>
          <w:left w:val="nil"/>
          <w:bottom w:val="nil"/>
          <w:right w:val="nil"/>
          <w:between w:val="nil"/>
        </w:pBdr>
        <w:spacing w:after="0"/>
        <w:rPr>
          <w:rFonts w:ascii="Arial" w:eastAsia="Arial" w:hAnsi="Arial" w:cs="Arial"/>
          <w:b/>
          <w:color w:val="000000"/>
          <w:sz w:val="23"/>
          <w:szCs w:val="23"/>
        </w:rPr>
        <w:sectPr w:rsidR="00314B92" w:rsidSect="004E6F89">
          <w:pgSz w:w="16838" w:h="11906" w:orient="landscape"/>
          <w:pgMar w:top="1417" w:right="1417" w:bottom="1417" w:left="1417" w:header="708" w:footer="708" w:gutter="0"/>
          <w:cols w:space="720"/>
          <w:docGrid w:linePitch="299"/>
        </w:sectPr>
      </w:pPr>
      <w:r>
        <w:br w:type="page"/>
      </w:r>
    </w:p>
    <w:p w:rsidR="00314B92" w:rsidRPr="008F3054" w:rsidRDefault="00AD5F81">
      <w:pPr>
        <w:pStyle w:val="Normal1"/>
        <w:rPr>
          <w:b/>
          <w:sz w:val="28"/>
          <w:szCs w:val="28"/>
        </w:rPr>
      </w:pPr>
      <w:r w:rsidRPr="008F3054">
        <w:rPr>
          <w:b/>
          <w:sz w:val="28"/>
          <w:szCs w:val="28"/>
        </w:rPr>
        <w:t>ANNEXE 2</w:t>
      </w:r>
    </w:p>
    <w:p w:rsidR="00314B92" w:rsidRDefault="00DF185B">
      <w:pPr>
        <w:pStyle w:val="Normal1"/>
        <w:rPr>
          <w:sz w:val="24"/>
          <w:szCs w:val="24"/>
        </w:rPr>
      </w:pPr>
      <w:r>
        <w:rPr>
          <w:sz w:val="24"/>
          <w:szCs w:val="24"/>
        </w:rPr>
        <w:t xml:space="preserve">CHOIX DE LA </w:t>
      </w:r>
      <w:r w:rsidR="00AD5F81">
        <w:rPr>
          <w:sz w:val="24"/>
          <w:szCs w:val="24"/>
        </w:rPr>
        <w:t>ZONE D’INTERVENTION</w:t>
      </w:r>
    </w:p>
    <w:p w:rsidR="006D2860" w:rsidRDefault="00AD5F81">
      <w:pPr>
        <w:pStyle w:val="Normal1"/>
        <w:widowControl w:val="0"/>
        <w:tabs>
          <w:tab w:val="left" w:pos="9498"/>
        </w:tabs>
        <w:spacing w:before="32" w:after="0"/>
        <w:jc w:val="both"/>
      </w:pPr>
      <w:r>
        <w:rPr>
          <w:sz w:val="24"/>
          <w:szCs w:val="24"/>
        </w:rPr>
        <w:t>Le classement des régions en termes de niveau de priorité était basé sur l’analyse de 20 indicateurs dont 18 indicateurs de performances et 2 indicateurs d’impact.</w:t>
      </w:r>
    </w:p>
    <w:p w:rsidR="006D2860" w:rsidRDefault="00AD5F81">
      <w:pPr>
        <w:pStyle w:val="Normal1"/>
        <w:widowControl w:val="0"/>
        <w:tabs>
          <w:tab w:val="left" w:pos="9498"/>
        </w:tabs>
        <w:spacing w:before="32" w:after="0"/>
        <w:jc w:val="both"/>
      </w:pPr>
      <w:r>
        <w:rPr>
          <w:sz w:val="24"/>
          <w:szCs w:val="24"/>
        </w:rPr>
        <w:t>INDICATEURS DE PERFORMANCE</w:t>
      </w:r>
    </w:p>
    <w:p w:rsidR="006D2860" w:rsidRDefault="00AD5F81">
      <w:pPr>
        <w:pStyle w:val="Normal1"/>
        <w:widowControl w:val="0"/>
        <w:tabs>
          <w:tab w:val="left" w:pos="9498"/>
        </w:tabs>
        <w:spacing w:before="32" w:after="0"/>
        <w:jc w:val="both"/>
      </w:pPr>
      <w:r>
        <w:rPr>
          <w:i/>
          <w:sz w:val="24"/>
          <w:szCs w:val="24"/>
        </w:rPr>
        <w:t xml:space="preserve">Déterminants de la santé : </w:t>
      </w:r>
      <w:r>
        <w:rPr>
          <w:sz w:val="24"/>
          <w:szCs w:val="24"/>
        </w:rPr>
        <w:t>Indice de pauvreté monétaire</w:t>
      </w:r>
      <w:r>
        <w:rPr>
          <w:i/>
          <w:sz w:val="24"/>
          <w:szCs w:val="24"/>
        </w:rPr>
        <w:t xml:space="preserve">, </w:t>
      </w:r>
      <w:r>
        <w:rPr>
          <w:sz w:val="24"/>
          <w:szCs w:val="24"/>
        </w:rPr>
        <w:t>Accès à l’eau potable,</w:t>
      </w:r>
      <w:r>
        <w:rPr>
          <w:i/>
          <w:sz w:val="24"/>
          <w:szCs w:val="24"/>
        </w:rPr>
        <w:t xml:space="preserve"> </w:t>
      </w:r>
      <w:r>
        <w:rPr>
          <w:sz w:val="24"/>
          <w:szCs w:val="24"/>
        </w:rPr>
        <w:t>Assainissement (% de la population qui défèquent à l’air libre).</w:t>
      </w:r>
    </w:p>
    <w:p w:rsidR="006D2860" w:rsidRDefault="00AD5F81">
      <w:pPr>
        <w:pStyle w:val="Normal1"/>
        <w:widowControl w:val="0"/>
        <w:tabs>
          <w:tab w:val="left" w:pos="9498"/>
        </w:tabs>
        <w:spacing w:before="32" w:after="0"/>
        <w:jc w:val="both"/>
      </w:pPr>
      <w:r>
        <w:rPr>
          <w:i/>
          <w:sz w:val="24"/>
          <w:szCs w:val="24"/>
        </w:rPr>
        <w:t xml:space="preserve">Couverture géographique et fonctionnement des services de santé : </w:t>
      </w:r>
      <w:r>
        <w:rPr>
          <w:color w:val="000000"/>
          <w:sz w:val="24"/>
          <w:szCs w:val="24"/>
        </w:rPr>
        <w:t>Capacité opérationnelle de la PF</w:t>
      </w:r>
      <w:r>
        <w:rPr>
          <w:i/>
          <w:sz w:val="24"/>
          <w:szCs w:val="24"/>
        </w:rPr>
        <w:t xml:space="preserve">, </w:t>
      </w:r>
      <w:r>
        <w:rPr>
          <w:color w:val="000000"/>
          <w:sz w:val="24"/>
          <w:szCs w:val="24"/>
        </w:rPr>
        <w:t>Capacité opérationnelle des soins prénatals</w:t>
      </w:r>
      <w:r>
        <w:rPr>
          <w:i/>
          <w:sz w:val="24"/>
          <w:szCs w:val="24"/>
        </w:rPr>
        <w:t xml:space="preserve">, </w:t>
      </w:r>
      <w:r>
        <w:rPr>
          <w:color w:val="000000"/>
          <w:sz w:val="24"/>
          <w:szCs w:val="24"/>
        </w:rPr>
        <w:t>Capacité opérationnelle SONUC</w:t>
      </w:r>
      <w:r>
        <w:rPr>
          <w:i/>
          <w:sz w:val="24"/>
          <w:szCs w:val="24"/>
        </w:rPr>
        <w:t xml:space="preserve">, </w:t>
      </w:r>
      <w:r>
        <w:rPr>
          <w:color w:val="000000"/>
          <w:sz w:val="24"/>
          <w:szCs w:val="24"/>
        </w:rPr>
        <w:t>Disponibilité des Médicaments essentiels enfants</w:t>
      </w:r>
      <w:r>
        <w:rPr>
          <w:i/>
          <w:sz w:val="24"/>
          <w:szCs w:val="24"/>
        </w:rPr>
        <w:t xml:space="preserve">, </w:t>
      </w:r>
      <w:r>
        <w:rPr>
          <w:color w:val="000000"/>
          <w:sz w:val="24"/>
          <w:szCs w:val="24"/>
        </w:rPr>
        <w:t>Disponibilité des Médicaments essentiels mère</w:t>
      </w:r>
      <w:r>
        <w:rPr>
          <w:i/>
          <w:sz w:val="24"/>
          <w:szCs w:val="24"/>
        </w:rPr>
        <w:t>,</w:t>
      </w:r>
      <w:r>
        <w:rPr>
          <w:color w:val="000000"/>
          <w:sz w:val="24"/>
          <w:szCs w:val="24"/>
        </w:rPr>
        <w:t>Capacité opérationnelle des services de soins aux adolescents</w:t>
      </w:r>
    </w:p>
    <w:p w:rsidR="006D2860" w:rsidRDefault="00AD5F81">
      <w:pPr>
        <w:pStyle w:val="Normal1"/>
        <w:widowControl w:val="0"/>
        <w:tabs>
          <w:tab w:val="left" w:pos="9498"/>
        </w:tabs>
        <w:spacing w:after="0"/>
        <w:jc w:val="both"/>
      </w:pPr>
      <w:r>
        <w:rPr>
          <w:i/>
          <w:sz w:val="24"/>
          <w:szCs w:val="24"/>
        </w:rPr>
        <w:t xml:space="preserve">Santé de la mère : </w:t>
      </w:r>
      <w:r>
        <w:rPr>
          <w:sz w:val="24"/>
          <w:szCs w:val="24"/>
        </w:rPr>
        <w:t xml:space="preserve">Taux de CPN4, </w:t>
      </w:r>
      <w:r>
        <w:rPr>
          <w:color w:val="000000"/>
          <w:sz w:val="24"/>
          <w:szCs w:val="24"/>
        </w:rPr>
        <w:t>Taux d'utilisation de méthodes contraceptives</w:t>
      </w:r>
      <w:r>
        <w:rPr>
          <w:i/>
          <w:sz w:val="24"/>
          <w:szCs w:val="24"/>
        </w:rPr>
        <w:t xml:space="preserve">, </w:t>
      </w:r>
      <w:r>
        <w:rPr>
          <w:sz w:val="24"/>
          <w:szCs w:val="24"/>
        </w:rPr>
        <w:t>Accouchements assistés par du personnel qualifié</w:t>
      </w:r>
      <w:r>
        <w:rPr>
          <w:i/>
          <w:sz w:val="24"/>
          <w:szCs w:val="24"/>
        </w:rPr>
        <w:t xml:space="preserve">, </w:t>
      </w:r>
      <w:r>
        <w:rPr>
          <w:sz w:val="24"/>
          <w:szCs w:val="24"/>
        </w:rPr>
        <w:t>Traitement préventif intermittent du paludisme chez la femme enceinte</w:t>
      </w:r>
      <w:r>
        <w:rPr>
          <w:i/>
          <w:sz w:val="24"/>
          <w:szCs w:val="24"/>
        </w:rPr>
        <w:t xml:space="preserve">, </w:t>
      </w:r>
      <w:r>
        <w:rPr>
          <w:color w:val="000000"/>
          <w:sz w:val="24"/>
          <w:szCs w:val="24"/>
        </w:rPr>
        <w:t>Consultations post-natales à 6 semaines</w:t>
      </w:r>
    </w:p>
    <w:p w:rsidR="006D2860" w:rsidRDefault="00AD5F81">
      <w:pPr>
        <w:pStyle w:val="Normal1"/>
        <w:spacing w:after="0"/>
        <w:jc w:val="both"/>
      </w:pPr>
      <w:r>
        <w:rPr>
          <w:i/>
          <w:color w:val="000000"/>
          <w:sz w:val="24"/>
          <w:szCs w:val="24"/>
        </w:rPr>
        <w:t xml:space="preserve">Santé de l’enfant : </w:t>
      </w:r>
      <w:r>
        <w:rPr>
          <w:color w:val="000000"/>
          <w:sz w:val="24"/>
          <w:szCs w:val="24"/>
        </w:rPr>
        <w:t>Allaitement maternel exclusif</w:t>
      </w:r>
      <w:r>
        <w:rPr>
          <w:i/>
          <w:color w:val="000000"/>
          <w:sz w:val="24"/>
          <w:szCs w:val="24"/>
        </w:rPr>
        <w:t xml:space="preserve">, </w:t>
      </w:r>
      <w:r>
        <w:rPr>
          <w:color w:val="000000"/>
          <w:sz w:val="24"/>
          <w:szCs w:val="24"/>
        </w:rPr>
        <w:t>Malnutrition chronique</w:t>
      </w:r>
      <w:r>
        <w:rPr>
          <w:i/>
          <w:color w:val="000000"/>
          <w:sz w:val="24"/>
          <w:szCs w:val="24"/>
        </w:rPr>
        <w:t xml:space="preserve">, </w:t>
      </w:r>
      <w:r>
        <w:rPr>
          <w:color w:val="000000"/>
          <w:sz w:val="24"/>
          <w:szCs w:val="24"/>
        </w:rPr>
        <w:t>Enfants nés de mères VIH+ mis sous ARV préventifs</w:t>
      </w:r>
      <w:r>
        <w:rPr>
          <w:i/>
          <w:color w:val="000000"/>
          <w:sz w:val="24"/>
          <w:szCs w:val="24"/>
        </w:rPr>
        <w:t xml:space="preserve">, </w:t>
      </w:r>
      <w:r>
        <w:rPr>
          <w:color w:val="000000"/>
          <w:sz w:val="24"/>
          <w:szCs w:val="24"/>
        </w:rPr>
        <w:t>Enfants complètement vaccinés</w:t>
      </w:r>
    </w:p>
    <w:p w:rsidR="006D2860" w:rsidRDefault="00AD5F81">
      <w:pPr>
        <w:pStyle w:val="Normal1"/>
        <w:spacing w:after="0"/>
        <w:jc w:val="both"/>
      </w:pPr>
      <w:r>
        <w:rPr>
          <w:color w:val="000000"/>
          <w:sz w:val="24"/>
          <w:szCs w:val="24"/>
        </w:rPr>
        <w:t>INDICATEURS D’IMPACT</w:t>
      </w:r>
    </w:p>
    <w:p w:rsidR="006D2860" w:rsidRDefault="00AD5F81" w:rsidP="005D02C3">
      <w:pPr>
        <w:pStyle w:val="Normal1"/>
        <w:numPr>
          <w:ilvl w:val="0"/>
          <w:numId w:val="62"/>
        </w:numPr>
        <w:pBdr>
          <w:top w:val="nil"/>
          <w:left w:val="nil"/>
          <w:bottom w:val="nil"/>
          <w:right w:val="nil"/>
          <w:between w:val="nil"/>
        </w:pBdr>
        <w:spacing w:after="0"/>
        <w:jc w:val="both"/>
        <w:rPr>
          <w:color w:val="000000"/>
        </w:rPr>
      </w:pPr>
      <w:r>
        <w:rPr>
          <w:color w:val="000000"/>
          <w:sz w:val="24"/>
          <w:szCs w:val="24"/>
        </w:rPr>
        <w:t>Mortalité néo-natale</w:t>
      </w:r>
    </w:p>
    <w:p w:rsidR="006D2860" w:rsidRDefault="00AD5F81" w:rsidP="005D02C3">
      <w:pPr>
        <w:pStyle w:val="Normal1"/>
        <w:numPr>
          <w:ilvl w:val="0"/>
          <w:numId w:val="62"/>
        </w:numPr>
        <w:pBdr>
          <w:top w:val="nil"/>
          <w:left w:val="nil"/>
          <w:bottom w:val="nil"/>
          <w:right w:val="nil"/>
          <w:between w:val="nil"/>
        </w:pBdr>
        <w:spacing w:after="0"/>
        <w:jc w:val="both"/>
        <w:rPr>
          <w:color w:val="000000"/>
        </w:rPr>
      </w:pPr>
      <w:r>
        <w:rPr>
          <w:color w:val="000000"/>
          <w:sz w:val="24"/>
          <w:szCs w:val="24"/>
        </w:rPr>
        <w:t>Mortalité infanto-juvénile.</w:t>
      </w:r>
    </w:p>
    <w:p w:rsidR="006D2860" w:rsidRPr="005A14EB" w:rsidRDefault="00AD5F81" w:rsidP="005D02C3">
      <w:pPr>
        <w:pStyle w:val="Normal1"/>
        <w:numPr>
          <w:ilvl w:val="0"/>
          <w:numId w:val="62"/>
        </w:numPr>
        <w:pBdr>
          <w:top w:val="nil"/>
          <w:left w:val="nil"/>
          <w:bottom w:val="nil"/>
          <w:right w:val="nil"/>
          <w:between w:val="nil"/>
        </w:pBdr>
        <w:jc w:val="both"/>
        <w:rPr>
          <w:color w:val="000000"/>
        </w:rPr>
      </w:pPr>
      <w:r>
        <w:rPr>
          <w:color w:val="000000"/>
          <w:sz w:val="24"/>
          <w:szCs w:val="24"/>
        </w:rPr>
        <w:t>Les ratios de mortalité maternelle par région n’étaient pas disponibles</w:t>
      </w:r>
    </w:p>
    <w:tbl>
      <w:tblPr>
        <w:tblW w:w="935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8"/>
        <w:gridCol w:w="2126"/>
        <w:gridCol w:w="567"/>
        <w:gridCol w:w="850"/>
        <w:gridCol w:w="567"/>
        <w:gridCol w:w="1843"/>
        <w:gridCol w:w="637"/>
        <w:gridCol w:w="638"/>
        <w:gridCol w:w="426"/>
        <w:gridCol w:w="1134"/>
      </w:tblGrid>
      <w:tr w:rsidR="005A14EB" w:rsidTr="006E5653">
        <w:tc>
          <w:tcPr>
            <w:tcW w:w="9356" w:type="dxa"/>
            <w:gridSpan w:val="10"/>
            <w:tcBorders>
              <w:top w:val="nil"/>
              <w:left w:val="nil"/>
              <w:right w:val="nil"/>
            </w:tcBorders>
          </w:tcPr>
          <w:p w:rsidR="005A14EB" w:rsidRDefault="005A14EB" w:rsidP="00740A84">
            <w:pPr>
              <w:pStyle w:val="Normal10"/>
              <w:spacing w:after="0"/>
              <w:jc w:val="both"/>
            </w:pPr>
            <w:r>
              <w:rPr>
                <w:b/>
                <w:sz w:val="24"/>
                <w:szCs w:val="24"/>
              </w:rPr>
              <w:t>Tableau B : Classement des régions en fonction du score obtenu</w:t>
            </w:r>
          </w:p>
        </w:tc>
      </w:tr>
      <w:tr w:rsidR="005A14EB" w:rsidTr="006E5653">
        <w:tc>
          <w:tcPr>
            <w:tcW w:w="9356" w:type="dxa"/>
            <w:gridSpan w:val="10"/>
            <w:tcBorders>
              <w:bottom w:val="single" w:sz="4" w:space="0" w:color="000000"/>
            </w:tcBorders>
          </w:tcPr>
          <w:p w:rsidR="005A14EB" w:rsidRDefault="005A14EB" w:rsidP="005A14EB">
            <w:pPr>
              <w:pStyle w:val="Normal10"/>
              <w:spacing w:after="0"/>
              <w:rPr>
                <w:b/>
              </w:rPr>
            </w:pPr>
            <w:r>
              <w:rPr>
                <w:b/>
              </w:rPr>
              <w:t xml:space="preserve">PERFORMANCE EN MATIERE DE REDUCTION DE LA MORTALITE </w:t>
            </w:r>
          </w:p>
        </w:tc>
      </w:tr>
      <w:tr w:rsidR="005A14EB" w:rsidTr="006E5653">
        <w:tc>
          <w:tcPr>
            <w:tcW w:w="568" w:type="dxa"/>
            <w:tcBorders>
              <w:top w:val="single" w:sz="4" w:space="0" w:color="000000"/>
              <w:left w:val="single" w:sz="4" w:space="0" w:color="000000"/>
              <w:bottom w:val="single" w:sz="4" w:space="0" w:color="000000"/>
              <w:right w:val="nil"/>
            </w:tcBorders>
          </w:tcPr>
          <w:p w:rsidR="005A14EB" w:rsidRDefault="005A14EB" w:rsidP="005A14EB">
            <w:pPr>
              <w:pStyle w:val="Normal10"/>
              <w:spacing w:after="0"/>
              <w:rPr>
                <w:b/>
              </w:rPr>
            </w:pPr>
          </w:p>
        </w:tc>
        <w:tc>
          <w:tcPr>
            <w:tcW w:w="2126" w:type="dxa"/>
            <w:tcBorders>
              <w:top w:val="single" w:sz="4" w:space="0" w:color="000000"/>
              <w:left w:val="nil"/>
              <w:bottom w:val="single" w:sz="4" w:space="0" w:color="000000"/>
              <w:right w:val="nil"/>
            </w:tcBorders>
          </w:tcPr>
          <w:p w:rsidR="005A14EB" w:rsidRDefault="005A14EB" w:rsidP="005A14EB">
            <w:pPr>
              <w:pStyle w:val="Normal10"/>
              <w:spacing w:after="0"/>
              <w:rPr>
                <w:b/>
              </w:rPr>
            </w:pPr>
            <w:r>
              <w:rPr>
                <w:b/>
              </w:rPr>
              <w:t>REGION</w:t>
            </w:r>
          </w:p>
        </w:tc>
        <w:tc>
          <w:tcPr>
            <w:tcW w:w="1984" w:type="dxa"/>
            <w:gridSpan w:val="3"/>
            <w:tcBorders>
              <w:top w:val="single" w:sz="4" w:space="0" w:color="000000"/>
              <w:left w:val="nil"/>
              <w:bottom w:val="single" w:sz="4" w:space="0" w:color="000000"/>
              <w:right w:val="nil"/>
            </w:tcBorders>
          </w:tcPr>
          <w:p w:rsidR="005A14EB" w:rsidRDefault="005A14EB" w:rsidP="005A14EB">
            <w:pPr>
              <w:pStyle w:val="Normal10"/>
              <w:spacing w:after="0"/>
              <w:rPr>
                <w:b/>
                <w:sz w:val="20"/>
                <w:szCs w:val="20"/>
              </w:rPr>
            </w:pPr>
            <w:r>
              <w:rPr>
                <w:b/>
                <w:sz w:val="20"/>
                <w:szCs w:val="20"/>
              </w:rPr>
              <w:t>PERFORMANCE/6</w:t>
            </w:r>
          </w:p>
        </w:tc>
        <w:tc>
          <w:tcPr>
            <w:tcW w:w="1843" w:type="dxa"/>
            <w:tcBorders>
              <w:top w:val="single" w:sz="4" w:space="0" w:color="000000"/>
              <w:left w:val="nil"/>
              <w:bottom w:val="single" w:sz="4" w:space="0" w:color="000000"/>
              <w:right w:val="nil"/>
            </w:tcBorders>
          </w:tcPr>
          <w:p w:rsidR="005A14EB" w:rsidRDefault="005A14EB" w:rsidP="005A14EB">
            <w:pPr>
              <w:pStyle w:val="Normal10"/>
              <w:spacing w:after="0"/>
              <w:rPr>
                <w:b/>
                <w:sz w:val="20"/>
                <w:szCs w:val="20"/>
              </w:rPr>
            </w:pPr>
            <w:r>
              <w:rPr>
                <w:b/>
                <w:sz w:val="20"/>
                <w:szCs w:val="20"/>
              </w:rPr>
              <w:t>NEO-NATALE/3</w:t>
            </w:r>
          </w:p>
        </w:tc>
        <w:tc>
          <w:tcPr>
            <w:tcW w:w="1701" w:type="dxa"/>
            <w:gridSpan w:val="3"/>
            <w:tcBorders>
              <w:top w:val="single" w:sz="4" w:space="0" w:color="000000"/>
              <w:left w:val="nil"/>
              <w:bottom w:val="single" w:sz="4" w:space="0" w:color="000000"/>
              <w:right w:val="nil"/>
            </w:tcBorders>
          </w:tcPr>
          <w:p w:rsidR="005A14EB" w:rsidRDefault="005A14EB" w:rsidP="005A14EB">
            <w:pPr>
              <w:pStyle w:val="Normal10"/>
              <w:spacing w:after="0"/>
              <w:rPr>
                <w:b/>
                <w:sz w:val="20"/>
                <w:szCs w:val="20"/>
              </w:rPr>
            </w:pPr>
            <w:r>
              <w:rPr>
                <w:b/>
                <w:sz w:val="20"/>
                <w:szCs w:val="20"/>
              </w:rPr>
              <w:t>MOINS 5 ANS/3</w:t>
            </w:r>
          </w:p>
        </w:tc>
        <w:tc>
          <w:tcPr>
            <w:tcW w:w="1134" w:type="dxa"/>
            <w:tcBorders>
              <w:top w:val="single" w:sz="4" w:space="0" w:color="000000"/>
              <w:left w:val="nil"/>
              <w:bottom w:val="single" w:sz="4" w:space="0" w:color="000000"/>
              <w:right w:val="single" w:sz="4" w:space="0" w:color="000000"/>
            </w:tcBorders>
          </w:tcPr>
          <w:p w:rsidR="005A14EB" w:rsidRDefault="005A14EB" w:rsidP="005A14EB">
            <w:pPr>
              <w:pStyle w:val="Normal10"/>
              <w:spacing w:after="0"/>
              <w:rPr>
                <w:b/>
              </w:rPr>
            </w:pPr>
            <w:r>
              <w:rPr>
                <w:b/>
              </w:rPr>
              <w:t>TOTAL/12</w:t>
            </w:r>
          </w:p>
        </w:tc>
      </w:tr>
      <w:tr w:rsidR="005A14EB" w:rsidTr="006E5653">
        <w:tc>
          <w:tcPr>
            <w:tcW w:w="568" w:type="dxa"/>
            <w:tcBorders>
              <w:top w:val="single" w:sz="4" w:space="0" w:color="000000"/>
              <w:left w:val="single" w:sz="4" w:space="0" w:color="000000"/>
              <w:bottom w:val="nil"/>
              <w:right w:val="nil"/>
            </w:tcBorders>
            <w:shd w:val="clear" w:color="auto" w:fill="FFC000"/>
          </w:tcPr>
          <w:p w:rsidR="005A14EB" w:rsidRDefault="005A14EB" w:rsidP="005A14EB">
            <w:pPr>
              <w:pStyle w:val="Normal10"/>
              <w:numPr>
                <w:ilvl w:val="0"/>
                <w:numId w:val="63"/>
              </w:numPr>
              <w:pBdr>
                <w:top w:val="nil"/>
                <w:left w:val="nil"/>
                <w:bottom w:val="nil"/>
                <w:right w:val="nil"/>
                <w:between w:val="nil"/>
              </w:pBdr>
              <w:tabs>
                <w:tab w:val="left" w:pos="360"/>
              </w:tabs>
              <w:spacing w:after="0"/>
              <w:ind w:left="360"/>
              <w:jc w:val="both"/>
            </w:pPr>
          </w:p>
        </w:tc>
        <w:tc>
          <w:tcPr>
            <w:tcW w:w="2126" w:type="dxa"/>
            <w:tcBorders>
              <w:top w:val="single" w:sz="4" w:space="0" w:color="000000"/>
              <w:left w:val="nil"/>
              <w:bottom w:val="nil"/>
              <w:right w:val="nil"/>
            </w:tcBorders>
            <w:shd w:val="clear" w:color="auto" w:fill="FFC000"/>
          </w:tcPr>
          <w:p w:rsidR="005A14EB" w:rsidRDefault="005A14EB" w:rsidP="005A14EB">
            <w:pPr>
              <w:pStyle w:val="Normal10"/>
              <w:spacing w:after="0"/>
            </w:pPr>
            <w:r>
              <w:t>Boucle du Mouhoun</w:t>
            </w:r>
          </w:p>
        </w:tc>
        <w:tc>
          <w:tcPr>
            <w:tcW w:w="1984" w:type="dxa"/>
            <w:gridSpan w:val="3"/>
            <w:tcBorders>
              <w:top w:val="single" w:sz="4" w:space="0" w:color="000000"/>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4</w:t>
            </w:r>
          </w:p>
        </w:tc>
        <w:tc>
          <w:tcPr>
            <w:tcW w:w="1843" w:type="dxa"/>
            <w:tcBorders>
              <w:top w:val="single" w:sz="4" w:space="0" w:color="000000"/>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701" w:type="dxa"/>
            <w:gridSpan w:val="3"/>
            <w:tcBorders>
              <w:top w:val="single" w:sz="4" w:space="0" w:color="000000"/>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134" w:type="dxa"/>
            <w:tcBorders>
              <w:top w:val="single" w:sz="4" w:space="0" w:color="000000"/>
              <w:left w:val="nil"/>
              <w:bottom w:val="nil"/>
              <w:right w:val="single" w:sz="4" w:space="0" w:color="000000"/>
            </w:tcBorders>
            <w:shd w:val="clear" w:color="auto" w:fill="FFC000"/>
          </w:tcPr>
          <w:p w:rsidR="005A14EB" w:rsidRDefault="005A14EB" w:rsidP="005A14EB">
            <w:pPr>
              <w:pStyle w:val="Normal10"/>
              <w:spacing w:after="0"/>
              <w:jc w:val="center"/>
              <w:rPr>
                <w:b/>
                <w:sz w:val="24"/>
                <w:szCs w:val="24"/>
              </w:rPr>
            </w:pPr>
            <w:r>
              <w:rPr>
                <w:b/>
                <w:sz w:val="24"/>
                <w:szCs w:val="24"/>
              </w:rPr>
              <w:t>6</w:t>
            </w:r>
          </w:p>
        </w:tc>
      </w:tr>
      <w:tr w:rsidR="005A14EB" w:rsidTr="006E5653">
        <w:tc>
          <w:tcPr>
            <w:tcW w:w="568" w:type="dxa"/>
            <w:tcBorders>
              <w:top w:val="nil"/>
              <w:bottom w:val="nil"/>
              <w:right w:val="nil"/>
            </w:tcBorders>
            <w:shd w:val="clear" w:color="auto" w:fill="FFFF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FFFF00"/>
          </w:tcPr>
          <w:p w:rsidR="005A14EB" w:rsidRDefault="005A14EB" w:rsidP="005A14EB">
            <w:pPr>
              <w:pStyle w:val="Normal10"/>
              <w:spacing w:after="0"/>
            </w:pPr>
            <w:r>
              <w:t>Cascades</w:t>
            </w:r>
          </w:p>
        </w:tc>
        <w:tc>
          <w:tcPr>
            <w:tcW w:w="1984" w:type="dxa"/>
            <w:gridSpan w:val="3"/>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4</w:t>
            </w:r>
          </w:p>
        </w:tc>
        <w:tc>
          <w:tcPr>
            <w:tcW w:w="1843" w:type="dxa"/>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3</w:t>
            </w:r>
          </w:p>
        </w:tc>
        <w:tc>
          <w:tcPr>
            <w:tcW w:w="1701" w:type="dxa"/>
            <w:gridSpan w:val="3"/>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1</w:t>
            </w:r>
          </w:p>
        </w:tc>
        <w:tc>
          <w:tcPr>
            <w:tcW w:w="1134" w:type="dxa"/>
            <w:tcBorders>
              <w:top w:val="nil"/>
              <w:left w:val="nil"/>
              <w:bottom w:val="nil"/>
            </w:tcBorders>
            <w:shd w:val="clear" w:color="auto" w:fill="FFFF00"/>
          </w:tcPr>
          <w:p w:rsidR="005A14EB" w:rsidRDefault="005A14EB" w:rsidP="005A14EB">
            <w:pPr>
              <w:pStyle w:val="Normal10"/>
              <w:spacing w:after="0"/>
              <w:jc w:val="center"/>
              <w:rPr>
                <w:b/>
                <w:sz w:val="24"/>
                <w:szCs w:val="24"/>
              </w:rPr>
            </w:pPr>
            <w:r>
              <w:rPr>
                <w:b/>
                <w:sz w:val="24"/>
                <w:szCs w:val="24"/>
              </w:rPr>
              <w:t>8</w:t>
            </w:r>
          </w:p>
        </w:tc>
      </w:tr>
      <w:tr w:rsidR="005A14EB" w:rsidTr="006E5653">
        <w:tc>
          <w:tcPr>
            <w:tcW w:w="568" w:type="dxa"/>
            <w:tcBorders>
              <w:top w:val="nil"/>
              <w:bottom w:val="nil"/>
              <w:right w:val="nil"/>
            </w:tcBorders>
            <w:shd w:val="clear" w:color="auto" w:fill="92D05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92D050"/>
          </w:tcPr>
          <w:p w:rsidR="005A14EB" w:rsidRDefault="005A14EB" w:rsidP="005A14EB">
            <w:pPr>
              <w:pStyle w:val="Normal10"/>
              <w:spacing w:after="0"/>
            </w:pPr>
            <w:r>
              <w:t>Centre</w:t>
            </w:r>
          </w:p>
        </w:tc>
        <w:tc>
          <w:tcPr>
            <w:tcW w:w="1984"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4</w:t>
            </w:r>
          </w:p>
        </w:tc>
        <w:tc>
          <w:tcPr>
            <w:tcW w:w="1843" w:type="dxa"/>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3</w:t>
            </w:r>
          </w:p>
        </w:tc>
        <w:tc>
          <w:tcPr>
            <w:tcW w:w="1701"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3</w:t>
            </w:r>
          </w:p>
        </w:tc>
        <w:tc>
          <w:tcPr>
            <w:tcW w:w="1134" w:type="dxa"/>
            <w:tcBorders>
              <w:top w:val="nil"/>
              <w:left w:val="nil"/>
              <w:bottom w:val="nil"/>
            </w:tcBorders>
            <w:shd w:val="clear" w:color="auto" w:fill="92D050"/>
          </w:tcPr>
          <w:p w:rsidR="005A14EB" w:rsidRDefault="005A14EB" w:rsidP="005A14EB">
            <w:pPr>
              <w:pStyle w:val="Normal10"/>
              <w:spacing w:after="0"/>
              <w:jc w:val="center"/>
              <w:rPr>
                <w:b/>
                <w:sz w:val="24"/>
                <w:szCs w:val="24"/>
              </w:rPr>
            </w:pPr>
            <w:r>
              <w:rPr>
                <w:b/>
                <w:sz w:val="24"/>
                <w:szCs w:val="24"/>
              </w:rPr>
              <w:t>10</w:t>
            </w:r>
          </w:p>
        </w:tc>
      </w:tr>
      <w:tr w:rsidR="005A14EB" w:rsidTr="006E5653">
        <w:tc>
          <w:tcPr>
            <w:tcW w:w="568" w:type="dxa"/>
            <w:tcBorders>
              <w:top w:val="nil"/>
              <w:bottom w:val="nil"/>
              <w:right w:val="nil"/>
            </w:tcBorders>
            <w:shd w:val="clear" w:color="auto" w:fill="FFC0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FFC000"/>
          </w:tcPr>
          <w:p w:rsidR="005A14EB" w:rsidRDefault="005A14EB" w:rsidP="005A14EB">
            <w:pPr>
              <w:pStyle w:val="Normal10"/>
              <w:spacing w:after="0"/>
            </w:pPr>
            <w:r>
              <w:t>Centre-Est</w:t>
            </w:r>
          </w:p>
        </w:tc>
        <w:tc>
          <w:tcPr>
            <w:tcW w:w="1984"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2</w:t>
            </w:r>
          </w:p>
        </w:tc>
        <w:tc>
          <w:tcPr>
            <w:tcW w:w="1843" w:type="dxa"/>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701"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3</w:t>
            </w:r>
          </w:p>
        </w:tc>
        <w:tc>
          <w:tcPr>
            <w:tcW w:w="1134" w:type="dxa"/>
            <w:tcBorders>
              <w:top w:val="nil"/>
              <w:left w:val="nil"/>
              <w:bottom w:val="nil"/>
            </w:tcBorders>
            <w:shd w:val="clear" w:color="auto" w:fill="FFC000"/>
          </w:tcPr>
          <w:p w:rsidR="005A14EB" w:rsidRDefault="005A14EB" w:rsidP="005A14EB">
            <w:pPr>
              <w:pStyle w:val="Normal10"/>
              <w:spacing w:after="0"/>
              <w:jc w:val="center"/>
              <w:rPr>
                <w:b/>
                <w:sz w:val="24"/>
                <w:szCs w:val="24"/>
              </w:rPr>
            </w:pPr>
            <w:r>
              <w:rPr>
                <w:b/>
                <w:sz w:val="24"/>
                <w:szCs w:val="24"/>
              </w:rPr>
              <w:t>6</w:t>
            </w:r>
          </w:p>
        </w:tc>
      </w:tr>
      <w:tr w:rsidR="005A14EB" w:rsidTr="006E5653">
        <w:tc>
          <w:tcPr>
            <w:tcW w:w="568" w:type="dxa"/>
            <w:tcBorders>
              <w:top w:val="nil"/>
              <w:bottom w:val="nil"/>
              <w:right w:val="nil"/>
            </w:tcBorders>
            <w:shd w:val="clear" w:color="auto" w:fill="92D05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92D050"/>
          </w:tcPr>
          <w:p w:rsidR="005A14EB" w:rsidRDefault="005A14EB" w:rsidP="005A14EB">
            <w:pPr>
              <w:pStyle w:val="Normal10"/>
              <w:spacing w:after="0"/>
            </w:pPr>
            <w:r>
              <w:t>Centre-Nord</w:t>
            </w:r>
          </w:p>
        </w:tc>
        <w:tc>
          <w:tcPr>
            <w:tcW w:w="1984"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6</w:t>
            </w:r>
          </w:p>
        </w:tc>
        <w:tc>
          <w:tcPr>
            <w:tcW w:w="1843" w:type="dxa"/>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3</w:t>
            </w:r>
          </w:p>
        </w:tc>
        <w:tc>
          <w:tcPr>
            <w:tcW w:w="1701"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1</w:t>
            </w:r>
          </w:p>
        </w:tc>
        <w:tc>
          <w:tcPr>
            <w:tcW w:w="1134" w:type="dxa"/>
            <w:tcBorders>
              <w:top w:val="nil"/>
              <w:left w:val="nil"/>
              <w:bottom w:val="nil"/>
            </w:tcBorders>
            <w:shd w:val="clear" w:color="auto" w:fill="92D050"/>
          </w:tcPr>
          <w:p w:rsidR="005A14EB" w:rsidRDefault="005A14EB" w:rsidP="005A14EB">
            <w:pPr>
              <w:pStyle w:val="Normal10"/>
              <w:spacing w:after="0"/>
              <w:jc w:val="center"/>
              <w:rPr>
                <w:b/>
                <w:sz w:val="24"/>
                <w:szCs w:val="24"/>
              </w:rPr>
            </w:pPr>
            <w:r>
              <w:rPr>
                <w:b/>
                <w:sz w:val="24"/>
                <w:szCs w:val="24"/>
              </w:rPr>
              <w:t>10</w:t>
            </w:r>
          </w:p>
        </w:tc>
      </w:tr>
      <w:tr w:rsidR="005A14EB" w:rsidTr="006E5653">
        <w:tc>
          <w:tcPr>
            <w:tcW w:w="568" w:type="dxa"/>
            <w:tcBorders>
              <w:top w:val="nil"/>
              <w:bottom w:val="nil"/>
              <w:right w:val="nil"/>
            </w:tcBorders>
            <w:shd w:val="clear" w:color="auto" w:fill="FFFF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FFFF00"/>
          </w:tcPr>
          <w:p w:rsidR="005A14EB" w:rsidRDefault="005A14EB" w:rsidP="005A14EB">
            <w:pPr>
              <w:pStyle w:val="Normal10"/>
              <w:spacing w:after="0"/>
            </w:pPr>
            <w:r>
              <w:t>Centre-Ouest</w:t>
            </w:r>
          </w:p>
        </w:tc>
        <w:tc>
          <w:tcPr>
            <w:tcW w:w="1984" w:type="dxa"/>
            <w:gridSpan w:val="3"/>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2</w:t>
            </w:r>
          </w:p>
        </w:tc>
        <w:tc>
          <w:tcPr>
            <w:tcW w:w="1843" w:type="dxa"/>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3</w:t>
            </w:r>
          </w:p>
        </w:tc>
        <w:tc>
          <w:tcPr>
            <w:tcW w:w="1701" w:type="dxa"/>
            <w:gridSpan w:val="3"/>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3</w:t>
            </w:r>
          </w:p>
        </w:tc>
        <w:tc>
          <w:tcPr>
            <w:tcW w:w="1134" w:type="dxa"/>
            <w:tcBorders>
              <w:top w:val="nil"/>
              <w:left w:val="nil"/>
              <w:bottom w:val="nil"/>
            </w:tcBorders>
            <w:shd w:val="clear" w:color="auto" w:fill="FFFF00"/>
          </w:tcPr>
          <w:p w:rsidR="005A14EB" w:rsidRDefault="005A14EB" w:rsidP="005A14EB">
            <w:pPr>
              <w:pStyle w:val="Normal10"/>
              <w:spacing w:after="0"/>
              <w:jc w:val="center"/>
              <w:rPr>
                <w:b/>
                <w:sz w:val="24"/>
                <w:szCs w:val="24"/>
              </w:rPr>
            </w:pPr>
            <w:r>
              <w:rPr>
                <w:b/>
                <w:sz w:val="24"/>
                <w:szCs w:val="24"/>
              </w:rPr>
              <w:t>8</w:t>
            </w:r>
          </w:p>
        </w:tc>
      </w:tr>
      <w:tr w:rsidR="005A14EB" w:rsidTr="006E5653">
        <w:tc>
          <w:tcPr>
            <w:tcW w:w="568" w:type="dxa"/>
            <w:tcBorders>
              <w:top w:val="nil"/>
              <w:bottom w:val="nil"/>
              <w:right w:val="nil"/>
            </w:tcBorders>
            <w:shd w:val="clear" w:color="auto" w:fill="FFC0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FFC000"/>
          </w:tcPr>
          <w:p w:rsidR="005A14EB" w:rsidRDefault="005A14EB" w:rsidP="005A14EB">
            <w:pPr>
              <w:pStyle w:val="Normal10"/>
              <w:spacing w:after="0"/>
            </w:pPr>
            <w:r>
              <w:t>Centre-Sud</w:t>
            </w:r>
          </w:p>
        </w:tc>
        <w:tc>
          <w:tcPr>
            <w:tcW w:w="1984"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4</w:t>
            </w:r>
          </w:p>
        </w:tc>
        <w:tc>
          <w:tcPr>
            <w:tcW w:w="1843" w:type="dxa"/>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701"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134" w:type="dxa"/>
            <w:tcBorders>
              <w:top w:val="nil"/>
              <w:left w:val="nil"/>
              <w:bottom w:val="nil"/>
            </w:tcBorders>
            <w:shd w:val="clear" w:color="auto" w:fill="FFC000"/>
          </w:tcPr>
          <w:p w:rsidR="005A14EB" w:rsidRDefault="005A14EB" w:rsidP="005A14EB">
            <w:pPr>
              <w:pStyle w:val="Normal10"/>
              <w:spacing w:after="0"/>
              <w:jc w:val="center"/>
              <w:rPr>
                <w:b/>
                <w:sz w:val="24"/>
                <w:szCs w:val="24"/>
              </w:rPr>
            </w:pPr>
            <w:r>
              <w:rPr>
                <w:b/>
                <w:sz w:val="24"/>
                <w:szCs w:val="24"/>
              </w:rPr>
              <w:t>6</w:t>
            </w:r>
          </w:p>
        </w:tc>
      </w:tr>
      <w:tr w:rsidR="005A14EB" w:rsidTr="006E5653">
        <w:tc>
          <w:tcPr>
            <w:tcW w:w="568" w:type="dxa"/>
            <w:tcBorders>
              <w:top w:val="nil"/>
              <w:bottom w:val="nil"/>
              <w:right w:val="nil"/>
            </w:tcBorders>
            <w:shd w:val="clear" w:color="auto" w:fill="FFC0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FFC000"/>
          </w:tcPr>
          <w:p w:rsidR="005A14EB" w:rsidRDefault="005A14EB" w:rsidP="005A14EB">
            <w:pPr>
              <w:pStyle w:val="Normal10"/>
              <w:spacing w:after="0"/>
            </w:pPr>
            <w:r>
              <w:t>Est</w:t>
            </w:r>
          </w:p>
        </w:tc>
        <w:tc>
          <w:tcPr>
            <w:tcW w:w="1984"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4</w:t>
            </w:r>
          </w:p>
        </w:tc>
        <w:tc>
          <w:tcPr>
            <w:tcW w:w="1843" w:type="dxa"/>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701"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134" w:type="dxa"/>
            <w:tcBorders>
              <w:top w:val="nil"/>
              <w:left w:val="nil"/>
              <w:bottom w:val="nil"/>
            </w:tcBorders>
            <w:shd w:val="clear" w:color="auto" w:fill="FFC000"/>
          </w:tcPr>
          <w:p w:rsidR="005A14EB" w:rsidRDefault="005A14EB" w:rsidP="005A14EB">
            <w:pPr>
              <w:pStyle w:val="Normal10"/>
              <w:spacing w:after="0"/>
              <w:jc w:val="center"/>
              <w:rPr>
                <w:b/>
                <w:sz w:val="24"/>
                <w:szCs w:val="24"/>
              </w:rPr>
            </w:pPr>
            <w:r>
              <w:rPr>
                <w:b/>
                <w:sz w:val="24"/>
                <w:szCs w:val="24"/>
              </w:rPr>
              <w:t>6</w:t>
            </w:r>
          </w:p>
        </w:tc>
      </w:tr>
      <w:tr w:rsidR="005A14EB" w:rsidTr="006E5653">
        <w:tc>
          <w:tcPr>
            <w:tcW w:w="568" w:type="dxa"/>
            <w:tcBorders>
              <w:top w:val="nil"/>
              <w:bottom w:val="nil"/>
              <w:right w:val="nil"/>
            </w:tcBorders>
            <w:shd w:val="clear" w:color="auto" w:fill="FFFF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FFFF00"/>
          </w:tcPr>
          <w:p w:rsidR="005A14EB" w:rsidRDefault="005A14EB" w:rsidP="005A14EB">
            <w:pPr>
              <w:pStyle w:val="Normal10"/>
              <w:spacing w:after="0"/>
            </w:pPr>
            <w:r>
              <w:t>Hauts Bassins</w:t>
            </w:r>
          </w:p>
        </w:tc>
        <w:tc>
          <w:tcPr>
            <w:tcW w:w="1984" w:type="dxa"/>
            <w:gridSpan w:val="3"/>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6</w:t>
            </w:r>
          </w:p>
        </w:tc>
        <w:tc>
          <w:tcPr>
            <w:tcW w:w="1843" w:type="dxa"/>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1</w:t>
            </w:r>
          </w:p>
        </w:tc>
        <w:tc>
          <w:tcPr>
            <w:tcW w:w="1701" w:type="dxa"/>
            <w:gridSpan w:val="3"/>
            <w:tcBorders>
              <w:top w:val="nil"/>
              <w:left w:val="nil"/>
              <w:bottom w:val="nil"/>
              <w:right w:val="nil"/>
            </w:tcBorders>
            <w:shd w:val="clear" w:color="auto" w:fill="FFFF00"/>
          </w:tcPr>
          <w:p w:rsidR="005A14EB" w:rsidRDefault="005A14EB" w:rsidP="005A14EB">
            <w:pPr>
              <w:pStyle w:val="Normal10"/>
              <w:spacing w:after="0"/>
              <w:jc w:val="center"/>
              <w:rPr>
                <w:sz w:val="24"/>
                <w:szCs w:val="24"/>
              </w:rPr>
            </w:pPr>
            <w:r>
              <w:rPr>
                <w:sz w:val="24"/>
                <w:szCs w:val="24"/>
              </w:rPr>
              <w:t>1</w:t>
            </w:r>
          </w:p>
        </w:tc>
        <w:tc>
          <w:tcPr>
            <w:tcW w:w="1134" w:type="dxa"/>
            <w:tcBorders>
              <w:top w:val="nil"/>
              <w:left w:val="nil"/>
              <w:bottom w:val="nil"/>
            </w:tcBorders>
            <w:shd w:val="clear" w:color="auto" w:fill="FFFF00"/>
          </w:tcPr>
          <w:p w:rsidR="005A14EB" w:rsidRDefault="005A14EB" w:rsidP="005A14EB">
            <w:pPr>
              <w:pStyle w:val="Normal10"/>
              <w:spacing w:after="0"/>
              <w:jc w:val="center"/>
              <w:rPr>
                <w:b/>
                <w:sz w:val="24"/>
                <w:szCs w:val="24"/>
              </w:rPr>
            </w:pPr>
            <w:r>
              <w:rPr>
                <w:b/>
                <w:sz w:val="24"/>
                <w:szCs w:val="24"/>
              </w:rPr>
              <w:t>8</w:t>
            </w:r>
          </w:p>
        </w:tc>
      </w:tr>
      <w:tr w:rsidR="005A14EB" w:rsidTr="006E5653">
        <w:tc>
          <w:tcPr>
            <w:tcW w:w="568" w:type="dxa"/>
            <w:tcBorders>
              <w:top w:val="nil"/>
              <w:bottom w:val="nil"/>
              <w:right w:val="nil"/>
            </w:tcBorders>
            <w:shd w:val="clear" w:color="auto" w:fill="92D05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92D050"/>
          </w:tcPr>
          <w:p w:rsidR="005A14EB" w:rsidRDefault="005A14EB" w:rsidP="005A14EB">
            <w:pPr>
              <w:pStyle w:val="Normal10"/>
              <w:spacing w:after="0"/>
            </w:pPr>
            <w:r>
              <w:t>Nord</w:t>
            </w:r>
          </w:p>
        </w:tc>
        <w:tc>
          <w:tcPr>
            <w:tcW w:w="1984"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6</w:t>
            </w:r>
          </w:p>
        </w:tc>
        <w:tc>
          <w:tcPr>
            <w:tcW w:w="1843" w:type="dxa"/>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3</w:t>
            </w:r>
          </w:p>
        </w:tc>
        <w:tc>
          <w:tcPr>
            <w:tcW w:w="1701"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3</w:t>
            </w:r>
          </w:p>
        </w:tc>
        <w:tc>
          <w:tcPr>
            <w:tcW w:w="1134" w:type="dxa"/>
            <w:tcBorders>
              <w:top w:val="nil"/>
              <w:left w:val="nil"/>
              <w:bottom w:val="nil"/>
            </w:tcBorders>
            <w:shd w:val="clear" w:color="auto" w:fill="92D050"/>
          </w:tcPr>
          <w:p w:rsidR="005A14EB" w:rsidRDefault="005A14EB" w:rsidP="005A14EB">
            <w:pPr>
              <w:pStyle w:val="Normal10"/>
              <w:spacing w:after="0"/>
              <w:jc w:val="center"/>
              <w:rPr>
                <w:b/>
                <w:sz w:val="24"/>
                <w:szCs w:val="24"/>
              </w:rPr>
            </w:pPr>
            <w:r>
              <w:rPr>
                <w:b/>
                <w:sz w:val="24"/>
                <w:szCs w:val="24"/>
              </w:rPr>
              <w:t>12</w:t>
            </w:r>
          </w:p>
        </w:tc>
      </w:tr>
      <w:tr w:rsidR="005A14EB" w:rsidTr="006E5653">
        <w:tc>
          <w:tcPr>
            <w:tcW w:w="568" w:type="dxa"/>
            <w:tcBorders>
              <w:top w:val="nil"/>
              <w:bottom w:val="nil"/>
              <w:right w:val="nil"/>
            </w:tcBorders>
            <w:shd w:val="clear" w:color="auto" w:fill="92D05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92D050"/>
          </w:tcPr>
          <w:p w:rsidR="005A14EB" w:rsidRDefault="005A14EB" w:rsidP="005A14EB">
            <w:pPr>
              <w:pStyle w:val="Normal10"/>
              <w:spacing w:after="0"/>
            </w:pPr>
            <w:r>
              <w:t>Plateau Central</w:t>
            </w:r>
          </w:p>
        </w:tc>
        <w:tc>
          <w:tcPr>
            <w:tcW w:w="1984"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4</w:t>
            </w:r>
          </w:p>
        </w:tc>
        <w:tc>
          <w:tcPr>
            <w:tcW w:w="1843" w:type="dxa"/>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3</w:t>
            </w:r>
          </w:p>
        </w:tc>
        <w:tc>
          <w:tcPr>
            <w:tcW w:w="1701" w:type="dxa"/>
            <w:gridSpan w:val="3"/>
            <w:tcBorders>
              <w:top w:val="nil"/>
              <w:left w:val="nil"/>
              <w:bottom w:val="nil"/>
              <w:right w:val="nil"/>
            </w:tcBorders>
            <w:shd w:val="clear" w:color="auto" w:fill="92D050"/>
          </w:tcPr>
          <w:p w:rsidR="005A14EB" w:rsidRDefault="005A14EB" w:rsidP="005A14EB">
            <w:pPr>
              <w:pStyle w:val="Normal10"/>
              <w:spacing w:after="0"/>
              <w:jc w:val="center"/>
              <w:rPr>
                <w:sz w:val="24"/>
                <w:szCs w:val="24"/>
              </w:rPr>
            </w:pPr>
            <w:r>
              <w:rPr>
                <w:sz w:val="24"/>
                <w:szCs w:val="24"/>
              </w:rPr>
              <w:t>3</w:t>
            </w:r>
          </w:p>
        </w:tc>
        <w:tc>
          <w:tcPr>
            <w:tcW w:w="1134" w:type="dxa"/>
            <w:tcBorders>
              <w:top w:val="nil"/>
              <w:left w:val="nil"/>
              <w:bottom w:val="nil"/>
            </w:tcBorders>
            <w:shd w:val="clear" w:color="auto" w:fill="92D050"/>
          </w:tcPr>
          <w:p w:rsidR="005A14EB" w:rsidRDefault="005A14EB" w:rsidP="005A14EB">
            <w:pPr>
              <w:pStyle w:val="Normal10"/>
              <w:spacing w:after="0"/>
              <w:jc w:val="center"/>
              <w:rPr>
                <w:b/>
                <w:sz w:val="24"/>
                <w:szCs w:val="24"/>
              </w:rPr>
            </w:pPr>
            <w:r>
              <w:rPr>
                <w:b/>
                <w:sz w:val="24"/>
                <w:szCs w:val="24"/>
              </w:rPr>
              <w:t>10</w:t>
            </w:r>
          </w:p>
        </w:tc>
      </w:tr>
      <w:tr w:rsidR="005A14EB" w:rsidTr="006E5653">
        <w:tc>
          <w:tcPr>
            <w:tcW w:w="568" w:type="dxa"/>
            <w:tcBorders>
              <w:top w:val="nil"/>
              <w:bottom w:val="nil"/>
              <w:right w:val="nil"/>
            </w:tcBorders>
            <w:shd w:val="clear" w:color="auto" w:fill="FFC0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nil"/>
              <w:right w:val="nil"/>
            </w:tcBorders>
            <w:shd w:val="clear" w:color="auto" w:fill="FFC000"/>
          </w:tcPr>
          <w:p w:rsidR="005A14EB" w:rsidRDefault="005A14EB" w:rsidP="005A14EB">
            <w:pPr>
              <w:pStyle w:val="Normal10"/>
              <w:spacing w:after="0"/>
            </w:pPr>
            <w:r>
              <w:t>Sahel</w:t>
            </w:r>
          </w:p>
        </w:tc>
        <w:tc>
          <w:tcPr>
            <w:tcW w:w="1984"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4</w:t>
            </w:r>
          </w:p>
        </w:tc>
        <w:tc>
          <w:tcPr>
            <w:tcW w:w="1843" w:type="dxa"/>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701" w:type="dxa"/>
            <w:gridSpan w:val="3"/>
            <w:tcBorders>
              <w:top w:val="nil"/>
              <w:left w:val="nil"/>
              <w:bottom w:val="nil"/>
              <w:right w:val="nil"/>
            </w:tcBorders>
            <w:shd w:val="clear" w:color="auto" w:fill="FFC000"/>
          </w:tcPr>
          <w:p w:rsidR="005A14EB" w:rsidRDefault="005A14EB" w:rsidP="005A14EB">
            <w:pPr>
              <w:pStyle w:val="Normal10"/>
              <w:spacing w:after="0"/>
              <w:jc w:val="center"/>
              <w:rPr>
                <w:sz w:val="24"/>
                <w:szCs w:val="24"/>
              </w:rPr>
            </w:pPr>
            <w:r>
              <w:rPr>
                <w:sz w:val="24"/>
                <w:szCs w:val="24"/>
              </w:rPr>
              <w:t>1</w:t>
            </w:r>
          </w:p>
        </w:tc>
        <w:tc>
          <w:tcPr>
            <w:tcW w:w="1134" w:type="dxa"/>
            <w:tcBorders>
              <w:top w:val="nil"/>
              <w:left w:val="nil"/>
              <w:bottom w:val="nil"/>
            </w:tcBorders>
            <w:shd w:val="clear" w:color="auto" w:fill="FFC000"/>
          </w:tcPr>
          <w:p w:rsidR="005A14EB" w:rsidRDefault="005A14EB" w:rsidP="005A14EB">
            <w:pPr>
              <w:pStyle w:val="Normal10"/>
              <w:spacing w:after="0"/>
              <w:jc w:val="center"/>
              <w:rPr>
                <w:b/>
                <w:sz w:val="24"/>
                <w:szCs w:val="24"/>
              </w:rPr>
            </w:pPr>
            <w:r>
              <w:rPr>
                <w:b/>
                <w:sz w:val="24"/>
                <w:szCs w:val="24"/>
              </w:rPr>
              <w:t>6</w:t>
            </w:r>
          </w:p>
        </w:tc>
      </w:tr>
      <w:tr w:rsidR="005A14EB" w:rsidTr="006E5653">
        <w:tc>
          <w:tcPr>
            <w:tcW w:w="568" w:type="dxa"/>
            <w:tcBorders>
              <w:top w:val="nil"/>
              <w:bottom w:val="single" w:sz="4" w:space="0" w:color="000000"/>
              <w:right w:val="nil"/>
            </w:tcBorders>
            <w:shd w:val="clear" w:color="auto" w:fill="FFFF00"/>
          </w:tcPr>
          <w:p w:rsidR="005A14EB" w:rsidRDefault="005A14EB" w:rsidP="005A14EB">
            <w:pPr>
              <w:pStyle w:val="Normal10"/>
              <w:numPr>
                <w:ilvl w:val="0"/>
                <w:numId w:val="63"/>
              </w:numPr>
              <w:pBdr>
                <w:top w:val="nil"/>
                <w:left w:val="nil"/>
                <w:bottom w:val="nil"/>
                <w:right w:val="nil"/>
                <w:between w:val="nil"/>
              </w:pBdr>
              <w:spacing w:after="0"/>
              <w:ind w:left="360"/>
              <w:jc w:val="both"/>
            </w:pPr>
          </w:p>
        </w:tc>
        <w:tc>
          <w:tcPr>
            <w:tcW w:w="2126" w:type="dxa"/>
            <w:tcBorders>
              <w:top w:val="nil"/>
              <w:left w:val="nil"/>
              <w:bottom w:val="single" w:sz="4" w:space="0" w:color="000000"/>
              <w:right w:val="nil"/>
            </w:tcBorders>
            <w:shd w:val="clear" w:color="auto" w:fill="FFFF00"/>
          </w:tcPr>
          <w:p w:rsidR="005A14EB" w:rsidRDefault="005A14EB" w:rsidP="005A14EB">
            <w:pPr>
              <w:pStyle w:val="Normal10"/>
              <w:spacing w:after="0"/>
            </w:pPr>
            <w:r>
              <w:t>Sud-Ouest</w:t>
            </w:r>
          </w:p>
        </w:tc>
        <w:tc>
          <w:tcPr>
            <w:tcW w:w="1984" w:type="dxa"/>
            <w:gridSpan w:val="3"/>
            <w:tcBorders>
              <w:top w:val="nil"/>
              <w:left w:val="nil"/>
              <w:bottom w:val="single" w:sz="4" w:space="0" w:color="000000"/>
              <w:right w:val="nil"/>
            </w:tcBorders>
            <w:shd w:val="clear" w:color="auto" w:fill="FFFF00"/>
          </w:tcPr>
          <w:p w:rsidR="005A14EB" w:rsidRDefault="005A14EB" w:rsidP="005A14EB">
            <w:pPr>
              <w:pStyle w:val="Normal10"/>
              <w:spacing w:after="0"/>
              <w:jc w:val="center"/>
              <w:rPr>
                <w:sz w:val="24"/>
                <w:szCs w:val="24"/>
              </w:rPr>
            </w:pPr>
            <w:r>
              <w:rPr>
                <w:sz w:val="24"/>
                <w:szCs w:val="24"/>
              </w:rPr>
              <w:t>6</w:t>
            </w:r>
          </w:p>
        </w:tc>
        <w:tc>
          <w:tcPr>
            <w:tcW w:w="1843" w:type="dxa"/>
            <w:tcBorders>
              <w:top w:val="nil"/>
              <w:left w:val="nil"/>
              <w:bottom w:val="single" w:sz="4" w:space="0" w:color="000000"/>
              <w:right w:val="nil"/>
            </w:tcBorders>
            <w:shd w:val="clear" w:color="auto" w:fill="FFFF00"/>
          </w:tcPr>
          <w:p w:rsidR="005A14EB" w:rsidRDefault="005A14EB" w:rsidP="005A14EB">
            <w:pPr>
              <w:pStyle w:val="Normal10"/>
              <w:spacing w:after="0"/>
              <w:jc w:val="center"/>
              <w:rPr>
                <w:sz w:val="24"/>
                <w:szCs w:val="24"/>
              </w:rPr>
            </w:pPr>
            <w:r>
              <w:rPr>
                <w:sz w:val="24"/>
                <w:szCs w:val="24"/>
              </w:rPr>
              <w:t>2</w:t>
            </w:r>
          </w:p>
        </w:tc>
        <w:tc>
          <w:tcPr>
            <w:tcW w:w="1701" w:type="dxa"/>
            <w:gridSpan w:val="3"/>
            <w:tcBorders>
              <w:top w:val="nil"/>
              <w:left w:val="nil"/>
              <w:bottom w:val="single" w:sz="4" w:space="0" w:color="000000"/>
              <w:right w:val="nil"/>
            </w:tcBorders>
            <w:shd w:val="clear" w:color="auto" w:fill="FFFF00"/>
          </w:tcPr>
          <w:p w:rsidR="005A14EB" w:rsidRDefault="005A14EB" w:rsidP="005A14EB">
            <w:pPr>
              <w:pStyle w:val="Normal10"/>
              <w:spacing w:after="0"/>
              <w:jc w:val="center"/>
              <w:rPr>
                <w:sz w:val="24"/>
                <w:szCs w:val="24"/>
              </w:rPr>
            </w:pPr>
            <w:r>
              <w:rPr>
                <w:sz w:val="24"/>
                <w:szCs w:val="24"/>
              </w:rPr>
              <w:t>1</w:t>
            </w:r>
          </w:p>
        </w:tc>
        <w:tc>
          <w:tcPr>
            <w:tcW w:w="1134" w:type="dxa"/>
            <w:tcBorders>
              <w:top w:val="nil"/>
              <w:left w:val="nil"/>
              <w:bottom w:val="single" w:sz="4" w:space="0" w:color="000000"/>
            </w:tcBorders>
            <w:shd w:val="clear" w:color="auto" w:fill="FFFF00"/>
          </w:tcPr>
          <w:p w:rsidR="005A14EB" w:rsidRDefault="005A14EB" w:rsidP="005A14EB">
            <w:pPr>
              <w:pStyle w:val="Normal10"/>
              <w:spacing w:after="0"/>
              <w:jc w:val="center"/>
              <w:rPr>
                <w:b/>
                <w:sz w:val="24"/>
                <w:szCs w:val="24"/>
              </w:rPr>
            </w:pPr>
            <w:r>
              <w:rPr>
                <w:b/>
                <w:sz w:val="24"/>
                <w:szCs w:val="24"/>
              </w:rPr>
              <w:t>9</w:t>
            </w:r>
          </w:p>
        </w:tc>
      </w:tr>
      <w:tr w:rsidR="005A14EB" w:rsidTr="006E5653">
        <w:tc>
          <w:tcPr>
            <w:tcW w:w="568" w:type="dxa"/>
            <w:tcBorders>
              <w:top w:val="single" w:sz="4" w:space="0" w:color="000000"/>
              <w:left w:val="nil"/>
              <w:bottom w:val="nil"/>
              <w:right w:val="nil"/>
            </w:tcBorders>
            <w:shd w:val="clear" w:color="auto" w:fill="FFFFFF"/>
          </w:tcPr>
          <w:p w:rsidR="005A14EB" w:rsidRDefault="005A14EB" w:rsidP="005A14EB">
            <w:pPr>
              <w:pStyle w:val="Normal10"/>
              <w:pBdr>
                <w:top w:val="nil"/>
                <w:left w:val="nil"/>
                <w:bottom w:val="nil"/>
                <w:right w:val="nil"/>
                <w:between w:val="nil"/>
              </w:pBdr>
              <w:spacing w:after="0"/>
              <w:ind w:left="360" w:hanging="720"/>
              <w:jc w:val="both"/>
              <w:rPr>
                <w:color w:val="000000"/>
              </w:rPr>
            </w:pPr>
          </w:p>
        </w:tc>
        <w:tc>
          <w:tcPr>
            <w:tcW w:w="2126" w:type="dxa"/>
            <w:tcBorders>
              <w:top w:val="single" w:sz="4" w:space="0" w:color="000000"/>
              <w:left w:val="nil"/>
              <w:bottom w:val="nil"/>
              <w:right w:val="nil"/>
            </w:tcBorders>
            <w:shd w:val="clear" w:color="auto" w:fill="FFFFFF"/>
          </w:tcPr>
          <w:p w:rsidR="005A14EB" w:rsidRDefault="005A14EB" w:rsidP="005A14EB">
            <w:pPr>
              <w:pStyle w:val="Normal10"/>
              <w:spacing w:after="0"/>
            </w:pPr>
          </w:p>
        </w:tc>
        <w:tc>
          <w:tcPr>
            <w:tcW w:w="1984" w:type="dxa"/>
            <w:gridSpan w:val="3"/>
            <w:tcBorders>
              <w:top w:val="single" w:sz="4" w:space="0" w:color="000000"/>
              <w:left w:val="nil"/>
              <w:bottom w:val="nil"/>
              <w:right w:val="nil"/>
            </w:tcBorders>
            <w:shd w:val="clear" w:color="auto" w:fill="FFFFFF"/>
          </w:tcPr>
          <w:p w:rsidR="005A14EB" w:rsidRDefault="005A14EB" w:rsidP="005A14EB">
            <w:pPr>
              <w:pStyle w:val="Normal10"/>
              <w:spacing w:after="0"/>
              <w:jc w:val="center"/>
              <w:rPr>
                <w:sz w:val="24"/>
                <w:szCs w:val="24"/>
              </w:rPr>
            </w:pPr>
          </w:p>
        </w:tc>
        <w:tc>
          <w:tcPr>
            <w:tcW w:w="1843" w:type="dxa"/>
            <w:tcBorders>
              <w:top w:val="single" w:sz="4" w:space="0" w:color="000000"/>
              <w:left w:val="nil"/>
              <w:bottom w:val="nil"/>
              <w:right w:val="nil"/>
            </w:tcBorders>
            <w:shd w:val="clear" w:color="auto" w:fill="FFFFFF"/>
          </w:tcPr>
          <w:p w:rsidR="005A14EB" w:rsidRDefault="005A14EB" w:rsidP="005A14EB">
            <w:pPr>
              <w:pStyle w:val="Normal10"/>
              <w:spacing w:after="0"/>
              <w:jc w:val="center"/>
              <w:rPr>
                <w:sz w:val="24"/>
                <w:szCs w:val="24"/>
              </w:rPr>
            </w:pPr>
          </w:p>
        </w:tc>
        <w:tc>
          <w:tcPr>
            <w:tcW w:w="1701" w:type="dxa"/>
            <w:gridSpan w:val="3"/>
            <w:tcBorders>
              <w:top w:val="single" w:sz="4" w:space="0" w:color="000000"/>
              <w:left w:val="nil"/>
              <w:bottom w:val="nil"/>
              <w:right w:val="nil"/>
            </w:tcBorders>
            <w:shd w:val="clear" w:color="auto" w:fill="FFFFFF"/>
          </w:tcPr>
          <w:p w:rsidR="005A14EB" w:rsidRDefault="005A14EB" w:rsidP="005A14EB">
            <w:pPr>
              <w:pStyle w:val="Normal10"/>
              <w:spacing w:after="0"/>
              <w:jc w:val="center"/>
              <w:rPr>
                <w:sz w:val="24"/>
                <w:szCs w:val="24"/>
              </w:rPr>
            </w:pPr>
          </w:p>
        </w:tc>
        <w:tc>
          <w:tcPr>
            <w:tcW w:w="1134" w:type="dxa"/>
            <w:tcBorders>
              <w:top w:val="single" w:sz="4" w:space="0" w:color="000000"/>
              <w:left w:val="nil"/>
              <w:bottom w:val="nil"/>
              <w:right w:val="nil"/>
            </w:tcBorders>
            <w:shd w:val="clear" w:color="auto" w:fill="FFFFFF"/>
          </w:tcPr>
          <w:p w:rsidR="005A14EB" w:rsidRDefault="005A14EB" w:rsidP="005A14EB">
            <w:pPr>
              <w:pStyle w:val="Normal10"/>
              <w:spacing w:after="0"/>
              <w:jc w:val="center"/>
              <w:rPr>
                <w:b/>
                <w:sz w:val="24"/>
                <w:szCs w:val="24"/>
              </w:rPr>
            </w:pPr>
          </w:p>
        </w:tc>
      </w:tr>
      <w:tr w:rsidR="005A14EB" w:rsidTr="006E5653">
        <w:tc>
          <w:tcPr>
            <w:tcW w:w="568" w:type="dxa"/>
            <w:tcBorders>
              <w:top w:val="nil"/>
              <w:left w:val="nil"/>
              <w:bottom w:val="nil"/>
              <w:right w:val="nil"/>
            </w:tcBorders>
            <w:shd w:val="clear" w:color="auto" w:fill="FFC000"/>
          </w:tcPr>
          <w:p w:rsidR="005A14EB" w:rsidRDefault="005A14EB" w:rsidP="005A14EB">
            <w:pPr>
              <w:pStyle w:val="Normal10"/>
              <w:spacing w:after="0"/>
              <w:jc w:val="center"/>
              <w:rPr>
                <w:b/>
                <w:sz w:val="24"/>
                <w:szCs w:val="24"/>
              </w:rPr>
            </w:pPr>
          </w:p>
        </w:tc>
        <w:tc>
          <w:tcPr>
            <w:tcW w:w="2126" w:type="dxa"/>
            <w:tcBorders>
              <w:top w:val="nil"/>
              <w:left w:val="nil"/>
              <w:bottom w:val="nil"/>
              <w:right w:val="nil"/>
            </w:tcBorders>
            <w:shd w:val="clear" w:color="auto" w:fill="FFFFFF"/>
          </w:tcPr>
          <w:p w:rsidR="005A14EB" w:rsidRDefault="005A14EB" w:rsidP="005A14EB">
            <w:pPr>
              <w:pStyle w:val="Normal10"/>
              <w:spacing w:after="0"/>
              <w:rPr>
                <w:b/>
                <w:sz w:val="24"/>
                <w:szCs w:val="24"/>
              </w:rPr>
            </w:pPr>
            <w:r>
              <w:rPr>
                <w:b/>
                <w:sz w:val="24"/>
                <w:szCs w:val="24"/>
              </w:rPr>
              <w:t>Priorité 1</w:t>
            </w:r>
          </w:p>
        </w:tc>
        <w:tc>
          <w:tcPr>
            <w:tcW w:w="567" w:type="dxa"/>
            <w:tcBorders>
              <w:top w:val="nil"/>
              <w:left w:val="nil"/>
              <w:bottom w:val="nil"/>
              <w:right w:val="nil"/>
            </w:tcBorders>
            <w:shd w:val="clear" w:color="auto" w:fill="FFFFFF"/>
          </w:tcPr>
          <w:p w:rsidR="005A14EB" w:rsidRDefault="005A14EB" w:rsidP="005A14EB">
            <w:pPr>
              <w:pStyle w:val="Normal10"/>
              <w:spacing w:after="0"/>
              <w:jc w:val="center"/>
              <w:rPr>
                <w:b/>
                <w:sz w:val="24"/>
                <w:szCs w:val="24"/>
              </w:rPr>
            </w:pPr>
          </w:p>
        </w:tc>
        <w:tc>
          <w:tcPr>
            <w:tcW w:w="850" w:type="dxa"/>
            <w:tcBorders>
              <w:top w:val="nil"/>
              <w:left w:val="nil"/>
              <w:bottom w:val="nil"/>
              <w:right w:val="nil"/>
            </w:tcBorders>
            <w:shd w:val="clear" w:color="auto" w:fill="FFFFFF"/>
          </w:tcPr>
          <w:p w:rsidR="005A14EB" w:rsidRDefault="005A14EB" w:rsidP="005A14EB">
            <w:pPr>
              <w:pStyle w:val="Normal10"/>
              <w:spacing w:after="0"/>
              <w:jc w:val="center"/>
              <w:rPr>
                <w:b/>
                <w:sz w:val="24"/>
                <w:szCs w:val="24"/>
              </w:rPr>
            </w:pPr>
          </w:p>
        </w:tc>
        <w:tc>
          <w:tcPr>
            <w:tcW w:w="567" w:type="dxa"/>
            <w:tcBorders>
              <w:top w:val="nil"/>
              <w:left w:val="nil"/>
              <w:bottom w:val="nil"/>
              <w:right w:val="nil"/>
            </w:tcBorders>
            <w:shd w:val="clear" w:color="auto" w:fill="FFFF00"/>
          </w:tcPr>
          <w:p w:rsidR="005A14EB" w:rsidRDefault="005A14EB" w:rsidP="005A14EB">
            <w:pPr>
              <w:pStyle w:val="Normal10"/>
              <w:spacing w:after="0"/>
              <w:jc w:val="center"/>
              <w:rPr>
                <w:b/>
                <w:sz w:val="24"/>
                <w:szCs w:val="24"/>
              </w:rPr>
            </w:pPr>
          </w:p>
        </w:tc>
        <w:tc>
          <w:tcPr>
            <w:tcW w:w="1843" w:type="dxa"/>
            <w:tcBorders>
              <w:top w:val="nil"/>
              <w:left w:val="nil"/>
              <w:bottom w:val="nil"/>
              <w:right w:val="nil"/>
            </w:tcBorders>
            <w:shd w:val="clear" w:color="auto" w:fill="FFFFFF"/>
          </w:tcPr>
          <w:p w:rsidR="005A14EB" w:rsidRDefault="005A14EB" w:rsidP="005A14EB">
            <w:pPr>
              <w:pStyle w:val="Normal10"/>
              <w:spacing w:after="0"/>
              <w:rPr>
                <w:b/>
                <w:sz w:val="24"/>
                <w:szCs w:val="24"/>
              </w:rPr>
            </w:pPr>
            <w:r>
              <w:rPr>
                <w:b/>
                <w:sz w:val="24"/>
                <w:szCs w:val="24"/>
              </w:rPr>
              <w:t>Priorité 2</w:t>
            </w:r>
          </w:p>
        </w:tc>
        <w:tc>
          <w:tcPr>
            <w:tcW w:w="637" w:type="dxa"/>
            <w:tcBorders>
              <w:top w:val="nil"/>
              <w:left w:val="nil"/>
              <w:bottom w:val="nil"/>
              <w:right w:val="nil"/>
            </w:tcBorders>
            <w:shd w:val="clear" w:color="auto" w:fill="FFFFFF"/>
          </w:tcPr>
          <w:p w:rsidR="005A14EB" w:rsidRDefault="005A14EB" w:rsidP="005A14EB">
            <w:pPr>
              <w:pStyle w:val="Normal10"/>
              <w:spacing w:after="0"/>
              <w:jc w:val="center"/>
              <w:rPr>
                <w:b/>
                <w:sz w:val="24"/>
                <w:szCs w:val="24"/>
              </w:rPr>
            </w:pPr>
          </w:p>
        </w:tc>
        <w:tc>
          <w:tcPr>
            <w:tcW w:w="638" w:type="dxa"/>
            <w:tcBorders>
              <w:top w:val="nil"/>
              <w:left w:val="nil"/>
              <w:bottom w:val="nil"/>
              <w:right w:val="nil"/>
            </w:tcBorders>
            <w:shd w:val="clear" w:color="auto" w:fill="92D050"/>
          </w:tcPr>
          <w:p w:rsidR="005A14EB" w:rsidRDefault="005A14EB" w:rsidP="005A14EB">
            <w:pPr>
              <w:pStyle w:val="Normal10"/>
              <w:spacing w:after="0"/>
              <w:jc w:val="center"/>
              <w:rPr>
                <w:b/>
                <w:sz w:val="24"/>
                <w:szCs w:val="24"/>
              </w:rPr>
            </w:pPr>
          </w:p>
        </w:tc>
        <w:tc>
          <w:tcPr>
            <w:tcW w:w="1560" w:type="dxa"/>
            <w:gridSpan w:val="2"/>
            <w:tcBorders>
              <w:top w:val="nil"/>
              <w:left w:val="nil"/>
              <w:bottom w:val="nil"/>
              <w:right w:val="nil"/>
            </w:tcBorders>
            <w:shd w:val="clear" w:color="auto" w:fill="FFFFFF"/>
          </w:tcPr>
          <w:p w:rsidR="005A14EB" w:rsidRDefault="005A14EB" w:rsidP="005A14EB">
            <w:pPr>
              <w:pStyle w:val="Normal10"/>
              <w:spacing w:after="0"/>
              <w:rPr>
                <w:b/>
                <w:sz w:val="24"/>
                <w:szCs w:val="24"/>
              </w:rPr>
            </w:pPr>
            <w:r>
              <w:rPr>
                <w:b/>
                <w:sz w:val="24"/>
                <w:szCs w:val="24"/>
              </w:rPr>
              <w:t>Priorité 3</w:t>
            </w:r>
          </w:p>
        </w:tc>
      </w:tr>
    </w:tbl>
    <w:p w:rsidR="005A14EB" w:rsidRDefault="005A14EB" w:rsidP="005A14EB">
      <w:pPr>
        <w:pStyle w:val="Normal1"/>
        <w:pBdr>
          <w:top w:val="nil"/>
          <w:left w:val="nil"/>
          <w:bottom w:val="nil"/>
          <w:right w:val="nil"/>
          <w:between w:val="nil"/>
        </w:pBdr>
        <w:spacing w:after="0"/>
        <w:jc w:val="both"/>
        <w:rPr>
          <w:color w:val="000000"/>
        </w:rPr>
      </w:pPr>
    </w:p>
    <w:p w:rsidR="005A14EB" w:rsidRDefault="005A14EB">
      <w:pPr>
        <w:pStyle w:val="Normal1"/>
        <w:widowControl w:val="0"/>
        <w:tabs>
          <w:tab w:val="left" w:pos="9498"/>
        </w:tabs>
        <w:spacing w:before="32" w:after="0"/>
        <w:jc w:val="both"/>
        <w:rPr>
          <w:sz w:val="24"/>
          <w:szCs w:val="24"/>
        </w:rPr>
      </w:pPr>
    </w:p>
    <w:p w:rsidR="006D2860" w:rsidRDefault="00AD5F81">
      <w:pPr>
        <w:pStyle w:val="Normal1"/>
        <w:widowControl w:val="0"/>
        <w:tabs>
          <w:tab w:val="left" w:pos="9498"/>
        </w:tabs>
        <w:spacing w:before="32" w:after="0"/>
        <w:jc w:val="both"/>
      </w:pPr>
      <w:r>
        <w:rPr>
          <w:sz w:val="24"/>
          <w:szCs w:val="24"/>
        </w:rPr>
        <w:t>Pour les indicateurs de performance, la valeur de chaque indicateur dans une région est comparée à la moyenne nationale pour ce même indicateur. Une note de 1 est attribuée, lorsque cette valeur est égale ou supérieure à la moyenne nationale et une note de 0 lorsqu’elle inférieure à la moyenne nationale. En fonction de la note obtenue par chaque région, un score a été attribué de la manière suivante : 6 pour une note entre 11 et 14, 4 pour une note entre 8 et 10 et 2 pour une note entre 5 et 7.</w:t>
      </w:r>
    </w:p>
    <w:p w:rsidR="006D2860" w:rsidRDefault="00AD5F81">
      <w:pPr>
        <w:pStyle w:val="Normal1"/>
        <w:widowControl w:val="0"/>
        <w:tabs>
          <w:tab w:val="left" w:pos="9498"/>
        </w:tabs>
        <w:spacing w:before="32" w:after="0"/>
        <w:jc w:val="both"/>
      </w:pPr>
      <w:r>
        <w:rPr>
          <w:sz w:val="24"/>
          <w:szCs w:val="24"/>
        </w:rPr>
        <w:t>Pour chacun des deux indicateurs d’impact, une note de 3 était attribuée pour les régions dont le taux se situe en dessous de la moyenne nationale, 2 pour les taux égales à la moyenne nationale et 1 lorsque les taux sont supérieurs à la moyenne nationale.</w:t>
      </w:r>
    </w:p>
    <w:p w:rsidR="006D2860" w:rsidRDefault="00AD5F81">
      <w:pPr>
        <w:pStyle w:val="Normal1"/>
        <w:widowControl w:val="0"/>
        <w:tabs>
          <w:tab w:val="left" w:pos="9498"/>
        </w:tabs>
        <w:spacing w:before="32" w:after="0"/>
        <w:jc w:val="both"/>
      </w:pPr>
      <w:r>
        <w:rPr>
          <w:sz w:val="24"/>
          <w:szCs w:val="24"/>
        </w:rPr>
        <w:t>L’addition des trois notes avait permis d’obtenir une note totale.</w:t>
      </w:r>
    </w:p>
    <w:p w:rsidR="008F3054" w:rsidRDefault="00AD5F81" w:rsidP="008F3054">
      <w:pPr>
        <w:pStyle w:val="Normal1"/>
        <w:widowControl w:val="0"/>
        <w:tabs>
          <w:tab w:val="left" w:pos="9498"/>
        </w:tabs>
        <w:spacing w:before="32" w:after="0"/>
        <w:jc w:val="both"/>
        <w:rPr>
          <w:sz w:val="24"/>
          <w:szCs w:val="24"/>
        </w:rPr>
        <w:sectPr w:rsidR="008F3054" w:rsidSect="004E6F89">
          <w:pgSz w:w="11906" w:h="16838"/>
          <w:pgMar w:top="1417" w:right="1417" w:bottom="1417" w:left="1417" w:header="708" w:footer="708" w:gutter="0"/>
          <w:cols w:space="720"/>
        </w:sectPr>
      </w:pPr>
      <w:r>
        <w:rPr>
          <w:sz w:val="24"/>
          <w:szCs w:val="24"/>
        </w:rPr>
        <w:t xml:space="preserve">Les cinq régions ayant obtenu une note de 6/12 ont été classées en priorité 1 (haute), les régions ayant obtenu une note entre 8 et 9/12 ont été classées en priorité 2 (moyenne) et les régions avec une note égale ou supérieure à 10 ont été </w:t>
      </w:r>
      <w:r w:rsidR="008F3054">
        <w:rPr>
          <w:sz w:val="24"/>
          <w:szCs w:val="24"/>
        </w:rPr>
        <w:t>classées en priorité 3 (basse)</w:t>
      </w:r>
      <w:r w:rsidR="005A14EB">
        <w:rPr>
          <w:sz w:val="24"/>
          <w:szCs w:val="24"/>
        </w:rPr>
        <w:t>.</w:t>
      </w:r>
    </w:p>
    <w:p w:rsidR="006D2860" w:rsidRDefault="004B0495" w:rsidP="008F3054">
      <w:pPr>
        <w:pStyle w:val="Normal1"/>
        <w:widowControl w:val="0"/>
        <w:pBdr>
          <w:top w:val="nil"/>
          <w:left w:val="nil"/>
          <w:bottom w:val="nil"/>
          <w:right w:val="nil"/>
          <w:between w:val="nil"/>
        </w:pBdr>
        <w:tabs>
          <w:tab w:val="left" w:pos="9498"/>
        </w:tabs>
        <w:spacing w:before="32" w:after="0"/>
        <w:jc w:val="both"/>
      </w:pPr>
      <w:r>
        <w:rPr>
          <w:noProof/>
        </w:rPr>
        <mc:AlternateContent>
          <mc:Choice Requires="wps">
            <w:drawing>
              <wp:anchor distT="0" distB="0" distL="114300" distR="114300" simplePos="0" relativeHeight="251714048" behindDoc="0" locked="0" layoutInCell="1" allowOverlap="1">
                <wp:simplePos x="0" y="0"/>
                <wp:positionH relativeFrom="column">
                  <wp:posOffset>-23495</wp:posOffset>
                </wp:positionH>
                <wp:positionV relativeFrom="paragraph">
                  <wp:posOffset>-71120</wp:posOffset>
                </wp:positionV>
                <wp:extent cx="9344025" cy="257175"/>
                <wp:effectExtent l="5080" t="5080" r="13970" b="13970"/>
                <wp:wrapNone/>
                <wp:docPr id="3"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44025" cy="257175"/>
                        </a:xfrm>
                        <a:prstGeom prst="rect">
                          <a:avLst/>
                        </a:prstGeom>
                        <a:solidFill>
                          <a:srgbClr val="FFFFFF"/>
                        </a:solidFill>
                        <a:ln w="9525">
                          <a:solidFill>
                            <a:srgbClr val="000000"/>
                          </a:solidFill>
                          <a:miter lim="800000"/>
                          <a:headEnd/>
                          <a:tailEnd/>
                        </a:ln>
                      </wps:spPr>
                      <wps:txbx>
                        <w:txbxContent>
                          <w:p w:rsidR="00611E16" w:rsidRDefault="00611E16">
                            <w:r>
                              <w:t>Tableau C : LES 15 INDICATEURS UTILISES POUR EVALUER LA PERFORMANCE DES REGIONS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4" o:spid="_x0000_s1060" style="position:absolute;left:0;text-align:left;margin-left:-1.85pt;margin-top:-5.6pt;width:735.75pt;height:20.2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">
                <v:textbox>
                  <w:txbxContent>
                    <w:p w:rsidR="00611E16" w:rsidRDefault="00611E16">
                      <w:r>
                        <w:t>Tableau C : LES 15 INDICATEURS UTILISES POUR EVALUER LA PERFORMANCE DES REGIONS</w:t>
                      </w:r>
                    </w:p>
                  </w:txbxContent>
                </v:textbox>
              </v:rect>
            </w:pict>
          </mc:Fallback>
        </mc:AlternateContent>
      </w:r>
    </w:p>
    <w:p w:rsidR="004E6F89" w:rsidRPr="004E6F89" w:rsidRDefault="004E6F89" w:rsidP="004E6F89">
      <w:pPr>
        <w:pStyle w:val="Normal1"/>
        <w:spacing w:after="0" w:line="240" w:lineRule="auto"/>
        <w:rPr>
          <w:rFonts w:ascii="Arial" w:eastAsia="Arial" w:hAnsi="Arial" w:cs="Arial"/>
          <w:sz w:val="24"/>
          <w:szCs w:val="24"/>
        </w:rPr>
        <w:sectPr w:rsidR="004E6F89" w:rsidRPr="004E6F89" w:rsidSect="004E6F89">
          <w:pgSz w:w="16838" w:h="11906" w:orient="landscape"/>
          <w:pgMar w:top="1417" w:right="1417" w:bottom="1417" w:left="1417" w:header="708" w:footer="708" w:gutter="0"/>
          <w:cols w:space="720"/>
          <w:docGrid w:linePitch="299"/>
        </w:sectPr>
      </w:pPr>
      <w:r>
        <w:rPr>
          <w:rFonts w:ascii="Arial" w:eastAsia="Arial" w:hAnsi="Arial" w:cs="Arial"/>
          <w:noProof/>
          <w:sz w:val="24"/>
          <w:szCs w:val="24"/>
        </w:rPr>
        <w:drawing>
          <wp:inline distT="0" distB="0" distL="114300" distR="114300">
            <wp:extent cx="9418320" cy="4305300"/>
            <wp:effectExtent l="0" t="0" r="0" b="0"/>
            <wp:docPr id="2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60" cstate="print"/>
                    <a:srcRect/>
                    <a:stretch>
                      <a:fillRect/>
                    </a:stretch>
                  </pic:blipFill>
                  <pic:spPr>
                    <a:xfrm>
                      <a:off x="0" y="0"/>
                      <a:ext cx="9418320" cy="4305300"/>
                    </a:xfrm>
                    <a:prstGeom prst="rect">
                      <a:avLst/>
                    </a:prstGeom>
                    <a:ln/>
                  </pic:spPr>
                </pic:pic>
              </a:graphicData>
            </a:graphic>
          </wp:inline>
        </w:drawing>
      </w:r>
    </w:p>
    <w:p w:rsidR="004E6F89" w:rsidRPr="003B6123" w:rsidRDefault="008F3054" w:rsidP="004E6F89">
      <w:pPr>
        <w:rPr>
          <w:b/>
          <w:sz w:val="28"/>
          <w:szCs w:val="28"/>
        </w:rPr>
      </w:pPr>
      <w:r w:rsidRPr="003B6123">
        <w:rPr>
          <w:b/>
          <w:sz w:val="28"/>
          <w:szCs w:val="28"/>
        </w:rPr>
        <w:t xml:space="preserve">ANNEXE 3 : </w:t>
      </w:r>
    </w:p>
    <w:tbl>
      <w:tblPr>
        <w:tblStyle w:val="Grilledutableau"/>
        <w:tblW w:w="14283" w:type="dxa"/>
        <w:tblLook w:val="04A0" w:firstRow="1" w:lastRow="0" w:firstColumn="1" w:lastColumn="0" w:noHBand="0" w:noVBand="1"/>
      </w:tblPr>
      <w:tblGrid>
        <w:gridCol w:w="5778"/>
        <w:gridCol w:w="3828"/>
        <w:gridCol w:w="4677"/>
      </w:tblGrid>
      <w:tr w:rsidR="004E6F89" w:rsidRPr="00434B98" w:rsidTr="00434B98">
        <w:tc>
          <w:tcPr>
            <w:tcW w:w="14283" w:type="dxa"/>
            <w:gridSpan w:val="3"/>
            <w:shd w:val="clear" w:color="auto" w:fill="D6E3BC" w:themeFill="accent3" w:themeFillTint="66"/>
          </w:tcPr>
          <w:p w:rsidR="004E6F89" w:rsidRPr="00434B98" w:rsidRDefault="004E6F89" w:rsidP="00861D70">
            <w:pPr>
              <w:spacing w:line="360" w:lineRule="auto"/>
              <w:rPr>
                <w:rFonts w:ascii="Calibri" w:hAnsi="Calibri" w:cs="Calibri"/>
                <w:b/>
              </w:rPr>
            </w:pPr>
            <w:r w:rsidRPr="00434B98">
              <w:rPr>
                <w:rFonts w:ascii="Calibri" w:hAnsi="Calibri" w:cs="Calibri"/>
                <w:b/>
              </w:rPr>
              <w:t>Tableau </w:t>
            </w:r>
            <w:r w:rsidR="005A14EB">
              <w:rPr>
                <w:rFonts w:ascii="Calibri" w:hAnsi="Calibri" w:cs="Calibri"/>
                <w:b/>
              </w:rPr>
              <w:t xml:space="preserve"> D</w:t>
            </w:r>
            <w:r w:rsidRPr="00434B98">
              <w:rPr>
                <w:rFonts w:ascii="Calibri" w:hAnsi="Calibri" w:cs="Calibri"/>
                <w:b/>
              </w:rPr>
              <w:t>: DISTRIBUTION DU PAQUET D’INTERVENTIONS A HAUT IMPACT PAR NIVEAU DE PRESTATION ET PAR CIBLE</w:t>
            </w:r>
          </w:p>
        </w:tc>
      </w:tr>
      <w:tr w:rsidR="004E6F89" w:rsidRPr="00434B98" w:rsidTr="00434B98">
        <w:tc>
          <w:tcPr>
            <w:tcW w:w="14283" w:type="dxa"/>
            <w:gridSpan w:val="3"/>
            <w:shd w:val="clear" w:color="auto" w:fill="EAF1DD" w:themeFill="accent3" w:themeFillTint="33"/>
          </w:tcPr>
          <w:p w:rsidR="004E6F89" w:rsidRPr="00434B98" w:rsidRDefault="004E6F89" w:rsidP="00861D70">
            <w:pPr>
              <w:spacing w:line="360" w:lineRule="auto"/>
              <w:rPr>
                <w:rFonts w:ascii="Calibri" w:hAnsi="Calibri" w:cs="Calibri"/>
                <w:b/>
              </w:rPr>
            </w:pPr>
            <w:r w:rsidRPr="00434B98">
              <w:rPr>
                <w:rFonts w:ascii="Calibri" w:hAnsi="Calibri" w:cs="Calibri"/>
                <w:b/>
              </w:rPr>
              <w:t xml:space="preserve">NIVEAU </w:t>
            </w:r>
            <w:r w:rsidRPr="00434B98">
              <w:rPr>
                <w:rFonts w:ascii="Calibri" w:eastAsia="Arial" w:hAnsi="Calibri" w:cs="Calibri"/>
                <w:b/>
              </w:rPr>
              <w:t>SERVICES/SOINS PRIMAIRES</w:t>
            </w:r>
            <w:r w:rsidRPr="00434B98">
              <w:rPr>
                <w:rFonts w:ascii="Calibri" w:hAnsi="Calibri" w:cs="Calibri"/>
                <w:b/>
              </w:rPr>
              <w:t xml:space="preserve"> SANTE COMMUNAUTAIRE</w:t>
            </w:r>
          </w:p>
        </w:tc>
      </w:tr>
      <w:tr w:rsidR="004E6F89" w:rsidRPr="00434B98" w:rsidTr="00434B98">
        <w:tc>
          <w:tcPr>
            <w:tcW w:w="5778" w:type="dxa"/>
            <w:shd w:val="clear" w:color="auto" w:fill="EAF1DD" w:themeFill="accent3" w:themeFillTint="33"/>
          </w:tcPr>
          <w:p w:rsidR="004E6F89" w:rsidRPr="00434B98" w:rsidRDefault="004E6F89" w:rsidP="00861D70">
            <w:pPr>
              <w:spacing w:line="360" w:lineRule="auto"/>
              <w:jc w:val="center"/>
              <w:rPr>
                <w:rFonts w:ascii="Calibri" w:hAnsi="Calibri" w:cs="Calibri"/>
              </w:rPr>
            </w:pPr>
            <w:r w:rsidRPr="00434B98">
              <w:rPr>
                <w:rFonts w:ascii="Calibri" w:hAnsi="Calibri" w:cs="Calibri"/>
              </w:rPr>
              <w:t>SANTE MERE ET NOUVEAU -NE</w:t>
            </w:r>
          </w:p>
        </w:tc>
        <w:tc>
          <w:tcPr>
            <w:tcW w:w="3828" w:type="dxa"/>
            <w:shd w:val="clear" w:color="auto" w:fill="EAF1DD" w:themeFill="accent3" w:themeFillTint="33"/>
          </w:tcPr>
          <w:p w:rsidR="004E6F89" w:rsidRPr="00434B98" w:rsidRDefault="004E6F89" w:rsidP="00861D70">
            <w:pPr>
              <w:spacing w:line="360" w:lineRule="auto"/>
              <w:jc w:val="center"/>
              <w:rPr>
                <w:rFonts w:ascii="Calibri" w:hAnsi="Calibri" w:cs="Calibri"/>
              </w:rPr>
            </w:pPr>
            <w:r w:rsidRPr="00434B98">
              <w:rPr>
                <w:rFonts w:ascii="Calibri" w:hAnsi="Calibri" w:cs="Calibri"/>
              </w:rPr>
              <w:t>SANTE DE L’ENFANT</w:t>
            </w:r>
          </w:p>
        </w:tc>
        <w:tc>
          <w:tcPr>
            <w:tcW w:w="4677" w:type="dxa"/>
            <w:shd w:val="clear" w:color="auto" w:fill="EAF1DD" w:themeFill="accent3" w:themeFillTint="33"/>
          </w:tcPr>
          <w:p w:rsidR="004E6F89" w:rsidRPr="00434B98" w:rsidRDefault="004E6F89" w:rsidP="00861D70">
            <w:pPr>
              <w:spacing w:line="360" w:lineRule="auto"/>
              <w:jc w:val="center"/>
              <w:rPr>
                <w:rFonts w:ascii="Calibri" w:hAnsi="Calibri" w:cs="Calibri"/>
              </w:rPr>
            </w:pPr>
            <w:r w:rsidRPr="00434B98">
              <w:rPr>
                <w:rFonts w:ascii="Calibri" w:hAnsi="Calibri" w:cs="Calibri"/>
              </w:rPr>
              <w:t>SANTE DE L’ADOLESCENT/JEUNE</w:t>
            </w:r>
          </w:p>
        </w:tc>
      </w:tr>
      <w:tr w:rsidR="004E6F89" w:rsidRPr="00434B98" w:rsidTr="00434B98">
        <w:tc>
          <w:tcPr>
            <w:tcW w:w="5778" w:type="dxa"/>
            <w:shd w:val="clear" w:color="auto" w:fill="EAF1DD" w:themeFill="accent3" w:themeFillTint="33"/>
          </w:tcPr>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Planification familiale : distribution de contraceptifs (pilule, préservatif, injectable), promotion de l’auto-injection (DMPA –s/c)</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Suivi de la grossesse à domicile : identification des femmes enceintes dans la communauté et conseils à donner pour aller tôt à la SPN</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Soins de la mère et Nouveau-né à domicile y compris la méthode kangourou et la promotion de l’allaitement.</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Passage à l’échelle des interventions de nutrition maternelle et du Nouveau-né :</w:t>
            </w:r>
          </w:p>
          <w:p w:rsidR="004E6F89" w:rsidRPr="00434B98" w:rsidRDefault="004E6F89" w:rsidP="005D02C3">
            <w:pPr>
              <w:pStyle w:val="Normal1"/>
              <w:numPr>
                <w:ilvl w:val="0"/>
                <w:numId w:val="102"/>
              </w:numPr>
              <w:rPr>
                <w:rFonts w:ascii="Calibri" w:eastAsia="Arial" w:hAnsi="Calibri" w:cs="Calibri"/>
              </w:rPr>
            </w:pPr>
            <w:r w:rsidRPr="00434B98">
              <w:rPr>
                <w:rFonts w:ascii="Calibri" w:eastAsia="Arial" w:hAnsi="Calibri" w:cs="Calibri"/>
              </w:rPr>
              <w:t xml:space="preserve">Promotion de la mise au sein précoce </w:t>
            </w:r>
          </w:p>
          <w:p w:rsidR="004E6F89" w:rsidRPr="00434B98" w:rsidRDefault="004E6F89" w:rsidP="005D02C3">
            <w:pPr>
              <w:pStyle w:val="Normal1"/>
              <w:numPr>
                <w:ilvl w:val="0"/>
                <w:numId w:val="102"/>
              </w:numPr>
              <w:rPr>
                <w:rFonts w:ascii="Calibri" w:eastAsia="Arial" w:hAnsi="Calibri" w:cs="Calibri"/>
              </w:rPr>
            </w:pPr>
            <w:r w:rsidRPr="00434B98">
              <w:rPr>
                <w:rFonts w:ascii="Calibri" w:eastAsia="Arial" w:hAnsi="Calibri" w:cs="Calibri"/>
              </w:rPr>
              <w:t>Promotion de l’Allaitement Maternel Exclusif,</w:t>
            </w:r>
          </w:p>
          <w:p w:rsidR="004E6F89" w:rsidRPr="00434B98" w:rsidRDefault="004E6F89" w:rsidP="005D02C3">
            <w:pPr>
              <w:pStyle w:val="Normal1"/>
              <w:numPr>
                <w:ilvl w:val="0"/>
                <w:numId w:val="102"/>
              </w:numPr>
              <w:rPr>
                <w:rFonts w:ascii="Calibri" w:eastAsia="Arial" w:hAnsi="Calibri" w:cs="Calibri"/>
              </w:rPr>
            </w:pPr>
            <w:r w:rsidRPr="00434B98">
              <w:rPr>
                <w:rFonts w:ascii="Calibri" w:eastAsia="Arial" w:hAnsi="Calibri" w:cs="Calibri"/>
              </w:rPr>
              <w:t>Alimentation adéquate de la femme enceinte et de la femme allaitante</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Interventions de CCSC pour le dépistage du VIH, la PF, nutrition, wash et la SPN ;</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Conseil orientation dans les centres de référence ; recherche de perdu de vus et référence</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Pratiques de soins propres postnataux</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Promotion de l’utilisation des moustiquaires imprégnées chez la femme enceinte2</w:t>
            </w:r>
          </w:p>
          <w:p w:rsidR="004E6F89" w:rsidRPr="00434B98" w:rsidRDefault="004E6F89" w:rsidP="005D02C3">
            <w:pPr>
              <w:pStyle w:val="Normal1"/>
              <w:numPr>
                <w:ilvl w:val="0"/>
                <w:numId w:val="93"/>
              </w:numPr>
              <w:rPr>
                <w:rFonts w:ascii="Calibri" w:eastAsia="Arial" w:hAnsi="Calibri" w:cs="Calibri"/>
              </w:rPr>
            </w:pPr>
            <w:r w:rsidRPr="00434B98">
              <w:rPr>
                <w:rFonts w:ascii="Calibri" w:eastAsia="Arial" w:hAnsi="Calibri" w:cs="Calibri"/>
              </w:rPr>
              <w:t xml:space="preserve"> Prévention du paludisme au cours de la grossesse (TPI communautaire)</w:t>
            </w:r>
          </w:p>
        </w:tc>
        <w:tc>
          <w:tcPr>
            <w:tcW w:w="3828" w:type="dxa"/>
            <w:shd w:val="clear" w:color="auto" w:fill="EAF1DD" w:themeFill="accent3" w:themeFillTint="33"/>
          </w:tcPr>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Promotion des pratiques d’hygiène et assainissement : utilisation de source d’eau améliorée et de toilettes améliorées, élimination sécuritaire des selles des enfants et lavage des mains ;</w:t>
            </w:r>
          </w:p>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Chimio-prévention du paludisme saisonnier ;</w:t>
            </w:r>
          </w:p>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Passage à l’échelle d’ANJE : AME pour les moins de 6 mois, poursuite de l’allaitement jusqu’à 2 ans ou plus et AC les 6-23 mois ;</w:t>
            </w:r>
          </w:p>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Supplément en vitamine A chez l’enfant de 6 mois ou plus ;</w:t>
            </w:r>
          </w:p>
          <w:p w:rsidR="004E6F89" w:rsidRPr="00434B98" w:rsidRDefault="004E6F89" w:rsidP="005D02C3">
            <w:pPr>
              <w:pStyle w:val="Normal1"/>
              <w:numPr>
                <w:ilvl w:val="0"/>
                <w:numId w:val="94"/>
              </w:numPr>
              <w:ind w:left="260" w:hanging="260"/>
              <w:rPr>
                <w:rFonts w:ascii="Calibri" w:eastAsia="Arial" w:hAnsi="Calibri" w:cs="Calibri"/>
              </w:rPr>
            </w:pPr>
            <w:r w:rsidRPr="00434B98">
              <w:rPr>
                <w:rFonts w:ascii="Calibri" w:eastAsia="Arial" w:hAnsi="Calibri" w:cs="Calibri"/>
              </w:rPr>
              <w:t xml:space="preserve">  Déparasitage des enfants moins de 5 ans ;</w:t>
            </w:r>
          </w:p>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Référence</w:t>
            </w:r>
          </w:p>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Promotion de la PCIME communautaire dans les régions non couvertes ;</w:t>
            </w:r>
          </w:p>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Traitement curatif des cas simple de paludisme de diarrhée et des IRA ;</w:t>
            </w:r>
          </w:p>
          <w:p w:rsidR="004E6F89" w:rsidRPr="00434B98" w:rsidRDefault="004E6F89" w:rsidP="005D02C3">
            <w:pPr>
              <w:pStyle w:val="Paragraphedeliste"/>
              <w:numPr>
                <w:ilvl w:val="0"/>
                <w:numId w:val="94"/>
              </w:numPr>
              <w:spacing w:line="240" w:lineRule="auto"/>
              <w:rPr>
                <w:rFonts w:ascii="Calibri" w:eastAsia="Arial" w:hAnsi="Calibri" w:cs="Calibri"/>
              </w:rPr>
            </w:pPr>
            <w:r w:rsidRPr="00434B98">
              <w:rPr>
                <w:rFonts w:ascii="Calibri" w:eastAsia="Arial" w:hAnsi="Calibri" w:cs="Calibri"/>
              </w:rPr>
              <w:t>Traitement pré transfert du paludisme grave</w:t>
            </w:r>
          </w:p>
          <w:p w:rsidR="004E6F89" w:rsidRPr="00434B98" w:rsidRDefault="004E6F89" w:rsidP="005D02C3">
            <w:pPr>
              <w:pStyle w:val="Paragraphedeliste"/>
              <w:numPr>
                <w:ilvl w:val="0"/>
                <w:numId w:val="94"/>
              </w:numPr>
              <w:spacing w:line="240" w:lineRule="auto"/>
              <w:ind w:hanging="468"/>
              <w:rPr>
                <w:rFonts w:ascii="Calibri" w:eastAsia="Arial" w:hAnsi="Calibri" w:cs="Calibri"/>
              </w:rPr>
            </w:pPr>
            <w:r w:rsidRPr="00434B98">
              <w:rPr>
                <w:rFonts w:ascii="Calibri" w:eastAsia="Arial" w:hAnsi="Calibri" w:cs="Calibri"/>
              </w:rPr>
              <w:t>Prévention de l’anémie</w:t>
            </w:r>
          </w:p>
          <w:p w:rsidR="004E6F89" w:rsidRPr="00434B98" w:rsidRDefault="004E6F89" w:rsidP="00861D70">
            <w:pPr>
              <w:ind w:left="-108"/>
              <w:rPr>
                <w:rFonts w:ascii="Calibri" w:eastAsia="Arial" w:hAnsi="Calibri" w:cs="Calibri"/>
              </w:rPr>
            </w:pPr>
          </w:p>
        </w:tc>
        <w:tc>
          <w:tcPr>
            <w:tcW w:w="4677" w:type="dxa"/>
            <w:shd w:val="clear" w:color="auto" w:fill="EAF1DD" w:themeFill="accent3" w:themeFillTint="33"/>
          </w:tcPr>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Éducation par les pairs pour les adolescents/jeunes pour la diffusion/discussion sur les grossesses non désirées, avortement, santé sexuelle VIH,:</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Prévention des accidents de la route</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Promotion de la Communication Parents-Adolescents</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Planification familiale : distribution de contraceptifs (pilule, préservatif, injectable), promotion de l’auto-injection (DMPA -S/C)</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 xml:space="preserve">Promotion de l’alimentation saine et hygiène et assainissement </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Promotion de la gestion hygiénique des menstrues</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Promotion et fidélisation des jeunes au don de sang</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 xml:space="preserve">Renforcer les interventions de CCSC pour le dépistage du VIH, PF, nutrition, WASH et SPN  </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Conseil orientation dans les centres de référence, recherche de perdu de vus et référence</w:t>
            </w:r>
          </w:p>
          <w:p w:rsidR="004E6F89" w:rsidRPr="00434B98" w:rsidRDefault="004E6F89" w:rsidP="005D02C3">
            <w:pPr>
              <w:pStyle w:val="Normal1"/>
              <w:numPr>
                <w:ilvl w:val="0"/>
                <w:numId w:val="95"/>
              </w:numPr>
              <w:rPr>
                <w:rFonts w:ascii="Calibri" w:eastAsia="Arial" w:hAnsi="Calibri" w:cs="Calibri"/>
              </w:rPr>
            </w:pPr>
            <w:r w:rsidRPr="00434B98">
              <w:rPr>
                <w:rFonts w:ascii="Calibri" w:eastAsia="Arial" w:hAnsi="Calibri" w:cs="Calibri"/>
              </w:rPr>
              <w:t>Renforcement de l’offre de la contraception aux jeunes dans des espaces conviviaux</w:t>
            </w:r>
          </w:p>
          <w:p w:rsidR="004E6F89" w:rsidRPr="00434B98" w:rsidRDefault="004E6F89" w:rsidP="005D02C3">
            <w:pPr>
              <w:pStyle w:val="Paragraphedeliste"/>
              <w:numPr>
                <w:ilvl w:val="0"/>
                <w:numId w:val="95"/>
              </w:numPr>
              <w:spacing w:line="256" w:lineRule="auto"/>
              <w:rPr>
                <w:rFonts w:ascii="Calibri" w:eastAsia="Arial" w:hAnsi="Calibri" w:cs="Calibri"/>
              </w:rPr>
            </w:pPr>
            <w:r w:rsidRPr="00434B98">
              <w:rPr>
                <w:rFonts w:ascii="Calibri" w:eastAsia="Arial" w:hAnsi="Calibri" w:cs="Calibri"/>
              </w:rPr>
              <w:t>Renforcement de la prévention contre la consommation des substances psycho actives</w:t>
            </w:r>
          </w:p>
          <w:p w:rsidR="004E6F89" w:rsidRPr="00434B98" w:rsidRDefault="004E6F89" w:rsidP="00861D70">
            <w:pPr>
              <w:pStyle w:val="Normal1"/>
              <w:rPr>
                <w:rFonts w:ascii="Calibri" w:eastAsia="Arial" w:hAnsi="Calibri" w:cs="Calibri"/>
              </w:rPr>
            </w:pPr>
          </w:p>
        </w:tc>
      </w:tr>
    </w:tbl>
    <w:p w:rsidR="004E6F89" w:rsidRDefault="004E6F89" w:rsidP="004E6F89"/>
    <w:tbl>
      <w:tblPr>
        <w:tblStyle w:val="Grilledutableau"/>
        <w:tblW w:w="14283" w:type="dxa"/>
        <w:tblLook w:val="04A0" w:firstRow="1" w:lastRow="0" w:firstColumn="1" w:lastColumn="0" w:noHBand="0" w:noVBand="1"/>
      </w:tblPr>
      <w:tblGrid>
        <w:gridCol w:w="6204"/>
        <w:gridCol w:w="4252"/>
        <w:gridCol w:w="3827"/>
      </w:tblGrid>
      <w:tr w:rsidR="004E6F89" w:rsidTr="00434B98">
        <w:tc>
          <w:tcPr>
            <w:tcW w:w="14283" w:type="dxa"/>
            <w:gridSpan w:val="3"/>
            <w:tcBorders>
              <w:bottom w:val="nil"/>
            </w:tcBorders>
            <w:shd w:val="clear" w:color="auto" w:fill="C2D69B" w:themeFill="accent3" w:themeFillTint="99"/>
          </w:tcPr>
          <w:p w:rsidR="004E6F89" w:rsidRPr="00BD4BD6" w:rsidRDefault="004E6F89" w:rsidP="00861D70">
            <w:pPr>
              <w:spacing w:line="360" w:lineRule="auto"/>
              <w:rPr>
                <w:rFonts w:cstheme="minorHAnsi"/>
                <w:b/>
                <w:sz w:val="24"/>
                <w:szCs w:val="24"/>
              </w:rPr>
            </w:pPr>
            <w:r w:rsidRPr="00BD4BD6">
              <w:rPr>
                <w:rFonts w:cstheme="minorHAnsi"/>
                <w:b/>
                <w:sz w:val="24"/>
                <w:szCs w:val="24"/>
              </w:rPr>
              <w:t xml:space="preserve">NIVEAU </w:t>
            </w:r>
            <w:r w:rsidRPr="00BD4BD6">
              <w:rPr>
                <w:rFonts w:eastAsia="Arial" w:cstheme="minorHAnsi"/>
                <w:b/>
                <w:sz w:val="24"/>
                <w:szCs w:val="24"/>
              </w:rPr>
              <w:t xml:space="preserve">SERVICES/SOINS </w:t>
            </w:r>
            <w:r>
              <w:rPr>
                <w:rFonts w:eastAsia="Arial" w:cstheme="minorHAnsi"/>
                <w:b/>
                <w:sz w:val="24"/>
                <w:szCs w:val="24"/>
              </w:rPr>
              <w:t xml:space="preserve">DE SANTE </w:t>
            </w:r>
            <w:r w:rsidRPr="00BD4BD6">
              <w:rPr>
                <w:rFonts w:eastAsia="Arial" w:cstheme="minorHAnsi"/>
                <w:b/>
                <w:sz w:val="24"/>
                <w:szCs w:val="24"/>
              </w:rPr>
              <w:t>PRIMAIRES</w:t>
            </w:r>
            <w:r w:rsidRPr="00BD4BD6">
              <w:rPr>
                <w:rFonts w:cstheme="minorHAnsi"/>
                <w:b/>
                <w:sz w:val="24"/>
                <w:szCs w:val="24"/>
              </w:rPr>
              <w:t> : CSPS</w:t>
            </w:r>
          </w:p>
        </w:tc>
      </w:tr>
      <w:tr w:rsidR="004E6F89" w:rsidRPr="00BD4BD6" w:rsidTr="00434B98">
        <w:tc>
          <w:tcPr>
            <w:tcW w:w="6204" w:type="dxa"/>
            <w:tcBorders>
              <w:top w:val="nil"/>
              <w:bottom w:val="nil"/>
              <w:right w:val="nil"/>
            </w:tcBorders>
            <w:shd w:val="clear" w:color="auto" w:fill="D6E3BC" w:themeFill="accent3" w:themeFillTint="66"/>
          </w:tcPr>
          <w:p w:rsidR="004E6F89" w:rsidRPr="00BD4BD6" w:rsidRDefault="004E6F89" w:rsidP="00861D70">
            <w:pPr>
              <w:rPr>
                <w:sz w:val="24"/>
                <w:szCs w:val="24"/>
              </w:rPr>
            </w:pPr>
            <w:r w:rsidRPr="00BD4BD6">
              <w:rPr>
                <w:sz w:val="24"/>
                <w:szCs w:val="24"/>
              </w:rPr>
              <w:t>SANTE MERE ET NOUVEAU -NE</w:t>
            </w:r>
          </w:p>
        </w:tc>
        <w:tc>
          <w:tcPr>
            <w:tcW w:w="4252" w:type="dxa"/>
            <w:tcBorders>
              <w:top w:val="nil"/>
              <w:left w:val="nil"/>
              <w:bottom w:val="nil"/>
              <w:right w:val="nil"/>
            </w:tcBorders>
            <w:shd w:val="clear" w:color="auto" w:fill="D6E3BC" w:themeFill="accent3" w:themeFillTint="66"/>
          </w:tcPr>
          <w:p w:rsidR="004E6F89" w:rsidRPr="00BD4BD6" w:rsidRDefault="004E6F89" w:rsidP="00861D70">
            <w:pPr>
              <w:rPr>
                <w:sz w:val="24"/>
                <w:szCs w:val="24"/>
              </w:rPr>
            </w:pPr>
            <w:r w:rsidRPr="00BD4BD6">
              <w:rPr>
                <w:sz w:val="24"/>
                <w:szCs w:val="24"/>
              </w:rPr>
              <w:t>SANTE DE L’ENFANT</w:t>
            </w:r>
          </w:p>
        </w:tc>
        <w:tc>
          <w:tcPr>
            <w:tcW w:w="3827" w:type="dxa"/>
            <w:tcBorders>
              <w:top w:val="nil"/>
              <w:left w:val="nil"/>
              <w:bottom w:val="nil"/>
            </w:tcBorders>
            <w:shd w:val="clear" w:color="auto" w:fill="D6E3BC" w:themeFill="accent3" w:themeFillTint="66"/>
          </w:tcPr>
          <w:p w:rsidR="004E6F89" w:rsidRPr="00BD4BD6" w:rsidRDefault="004E6F89" w:rsidP="00861D70">
            <w:pPr>
              <w:rPr>
                <w:sz w:val="24"/>
                <w:szCs w:val="24"/>
              </w:rPr>
            </w:pPr>
            <w:r w:rsidRPr="00BD4BD6">
              <w:rPr>
                <w:sz w:val="24"/>
                <w:szCs w:val="24"/>
              </w:rPr>
              <w:t>SANTE DE L’ADOLESCENT/JEUNE</w:t>
            </w:r>
          </w:p>
        </w:tc>
      </w:tr>
      <w:tr w:rsidR="004E6F89" w:rsidRPr="007D42B7" w:rsidTr="00434B98">
        <w:tc>
          <w:tcPr>
            <w:tcW w:w="6204" w:type="dxa"/>
            <w:tcBorders>
              <w:top w:val="nil"/>
              <w:bottom w:val="single" w:sz="4" w:space="0" w:color="auto"/>
              <w:right w:val="nil"/>
            </w:tcBorders>
            <w:shd w:val="clear" w:color="auto" w:fill="D6E3BC" w:themeFill="accent3" w:themeFillTint="66"/>
          </w:tcPr>
          <w:p w:rsidR="004E6F89" w:rsidRPr="007D42B7" w:rsidRDefault="004E6F89" w:rsidP="005D02C3">
            <w:pPr>
              <w:pStyle w:val="Normal1"/>
              <w:numPr>
                <w:ilvl w:val="0"/>
                <w:numId w:val="96"/>
              </w:numPr>
              <w:ind w:left="426" w:hanging="426"/>
              <w:rPr>
                <w:rFonts w:eastAsia="Arial"/>
              </w:rPr>
            </w:pPr>
            <w:r w:rsidRPr="007D42B7">
              <w:rPr>
                <w:rFonts w:eastAsia="Arial"/>
              </w:rPr>
              <w:t xml:space="preserve">Planification familiale </w:t>
            </w:r>
          </w:p>
          <w:p w:rsidR="004E6F89" w:rsidRPr="007D42B7" w:rsidRDefault="004E6F89" w:rsidP="005D02C3">
            <w:pPr>
              <w:pStyle w:val="Normal1"/>
              <w:numPr>
                <w:ilvl w:val="0"/>
                <w:numId w:val="96"/>
              </w:numPr>
              <w:ind w:left="426" w:hanging="426"/>
              <w:rPr>
                <w:rFonts w:eastAsia="Arial"/>
              </w:rPr>
            </w:pPr>
            <w:r w:rsidRPr="007D42B7">
              <w:rPr>
                <w:rFonts w:eastAsia="Arial"/>
              </w:rPr>
              <w:t>Promotion de la mise au sein précoce, de l’allaitement exclusif pendant les SPN, à l’accouchement assisté, CPON et CNS</w:t>
            </w:r>
            <w:r>
              <w:rPr>
                <w:rFonts w:eastAsia="Arial"/>
              </w:rPr>
              <w:t>/vaccination.</w:t>
            </w:r>
          </w:p>
          <w:p w:rsidR="004E6F89" w:rsidRPr="007D42B7" w:rsidRDefault="004E6F89" w:rsidP="005D02C3">
            <w:pPr>
              <w:pStyle w:val="Normal1"/>
              <w:numPr>
                <w:ilvl w:val="0"/>
                <w:numId w:val="96"/>
              </w:numPr>
              <w:ind w:left="426" w:hanging="426"/>
              <w:rPr>
                <w:rFonts w:eastAsia="Arial"/>
              </w:rPr>
            </w:pPr>
            <w:r w:rsidRPr="007D42B7">
              <w:rPr>
                <w:rFonts w:eastAsia="Arial"/>
              </w:rPr>
              <w:t>Soins prénatals avec un accent sur la continuité de la CPN</w:t>
            </w:r>
          </w:p>
          <w:p w:rsidR="004E6F89" w:rsidRPr="007D42B7" w:rsidRDefault="004E6F89" w:rsidP="005D02C3">
            <w:pPr>
              <w:pStyle w:val="Normal1"/>
              <w:numPr>
                <w:ilvl w:val="0"/>
                <w:numId w:val="96"/>
              </w:numPr>
              <w:ind w:left="426" w:hanging="426"/>
              <w:rPr>
                <w:rFonts w:eastAsia="Arial"/>
              </w:rPr>
            </w:pPr>
            <w:r w:rsidRPr="007D42B7">
              <w:rPr>
                <w:rFonts w:eastAsia="Arial"/>
              </w:rPr>
              <w:t>Dépistage précoce des cancers du col de l’utérus et du sein</w:t>
            </w:r>
          </w:p>
          <w:p w:rsidR="004E6F89" w:rsidRPr="007D42B7" w:rsidRDefault="004E6F89" w:rsidP="005D02C3">
            <w:pPr>
              <w:pStyle w:val="Normal1"/>
              <w:numPr>
                <w:ilvl w:val="0"/>
                <w:numId w:val="96"/>
              </w:numPr>
              <w:ind w:left="426" w:hanging="426"/>
              <w:rPr>
                <w:rFonts w:eastAsia="Arial"/>
              </w:rPr>
            </w:pPr>
            <w:r w:rsidRPr="007D42B7">
              <w:rPr>
                <w:rFonts w:eastAsia="Arial"/>
              </w:rPr>
              <w:t xml:space="preserve">Prévention des fistules obstétricales en lien avec les SPN, SONU et accouchements. </w:t>
            </w:r>
          </w:p>
          <w:p w:rsidR="004E6F89" w:rsidRPr="007D42B7" w:rsidRDefault="004E6F89" w:rsidP="005D02C3">
            <w:pPr>
              <w:pStyle w:val="Normal1"/>
              <w:numPr>
                <w:ilvl w:val="0"/>
                <w:numId w:val="96"/>
              </w:numPr>
              <w:ind w:left="426" w:hanging="426"/>
              <w:rPr>
                <w:rFonts w:eastAsia="Arial"/>
              </w:rPr>
            </w:pPr>
            <w:r w:rsidRPr="007D42B7">
              <w:rPr>
                <w:rFonts w:eastAsia="Arial"/>
              </w:rPr>
              <w:t xml:space="preserve">Supplémentation en acide folique, fer, micronutriments </w:t>
            </w:r>
          </w:p>
          <w:p w:rsidR="004E6F89" w:rsidRPr="007D42B7" w:rsidRDefault="004E6F89" w:rsidP="005D02C3">
            <w:pPr>
              <w:pStyle w:val="Normal1"/>
              <w:numPr>
                <w:ilvl w:val="0"/>
                <w:numId w:val="96"/>
              </w:numPr>
              <w:ind w:left="426" w:hanging="426"/>
              <w:rPr>
                <w:rFonts w:eastAsia="Arial"/>
              </w:rPr>
            </w:pPr>
            <w:r w:rsidRPr="007D42B7">
              <w:rPr>
                <w:rFonts w:eastAsia="Arial"/>
              </w:rPr>
              <w:t>Interventions en nutrition maternelle, y compris surveillance de poids, avec pour porte d’entrée les soins prénatals</w:t>
            </w:r>
          </w:p>
          <w:p w:rsidR="004E6F89" w:rsidRPr="007D42B7" w:rsidRDefault="004E6F89" w:rsidP="005D02C3">
            <w:pPr>
              <w:pStyle w:val="Normal1"/>
              <w:numPr>
                <w:ilvl w:val="0"/>
                <w:numId w:val="96"/>
              </w:numPr>
              <w:ind w:left="426" w:hanging="426"/>
              <w:rPr>
                <w:rFonts w:eastAsia="Arial"/>
              </w:rPr>
            </w:pPr>
            <w:r w:rsidRPr="007D42B7">
              <w:rPr>
                <w:rFonts w:eastAsia="Arial"/>
              </w:rPr>
              <w:t>Alimentation adaptée de la femme enceinte (FE) et allaitante</w:t>
            </w:r>
          </w:p>
          <w:p w:rsidR="004E6F89" w:rsidRPr="007D42B7" w:rsidRDefault="004E6F89" w:rsidP="005D02C3">
            <w:pPr>
              <w:pStyle w:val="Normal1"/>
              <w:numPr>
                <w:ilvl w:val="0"/>
                <w:numId w:val="96"/>
              </w:numPr>
              <w:ind w:left="426" w:hanging="426"/>
              <w:rPr>
                <w:rFonts w:eastAsia="Arial"/>
              </w:rPr>
            </w:pPr>
            <w:r w:rsidRPr="007D42B7">
              <w:rPr>
                <w:rFonts w:eastAsia="Arial"/>
              </w:rPr>
              <w:t>Vaccination antitétanique</w:t>
            </w:r>
          </w:p>
          <w:p w:rsidR="004E6F89" w:rsidRPr="007D42B7" w:rsidRDefault="004E6F89" w:rsidP="005D02C3">
            <w:pPr>
              <w:pStyle w:val="Normal1"/>
              <w:numPr>
                <w:ilvl w:val="0"/>
                <w:numId w:val="96"/>
              </w:numPr>
              <w:ind w:left="426" w:hanging="426"/>
              <w:rPr>
                <w:rFonts w:eastAsia="Arial"/>
              </w:rPr>
            </w:pPr>
            <w:r w:rsidRPr="007D42B7">
              <w:rPr>
                <w:rFonts w:eastAsia="Arial"/>
              </w:rPr>
              <w:t>Traitement préventif intermittent du Paludisme chez la FE</w:t>
            </w:r>
          </w:p>
          <w:p w:rsidR="004E6F89" w:rsidRPr="007D42B7" w:rsidRDefault="004E6F89" w:rsidP="005D02C3">
            <w:pPr>
              <w:pStyle w:val="Normal1"/>
              <w:numPr>
                <w:ilvl w:val="0"/>
                <w:numId w:val="96"/>
              </w:numPr>
              <w:ind w:left="426" w:hanging="426"/>
              <w:rPr>
                <w:rFonts w:eastAsia="Arial"/>
              </w:rPr>
            </w:pPr>
            <w:r w:rsidRPr="007D42B7">
              <w:rPr>
                <w:rFonts w:eastAsia="Arial"/>
              </w:rPr>
              <w:t>Utilisation des MILDA chez la FE</w:t>
            </w:r>
          </w:p>
          <w:p w:rsidR="004E6F89" w:rsidRPr="007D42B7" w:rsidRDefault="004E6F89" w:rsidP="005D02C3">
            <w:pPr>
              <w:pStyle w:val="Normal1"/>
              <w:numPr>
                <w:ilvl w:val="0"/>
                <w:numId w:val="96"/>
              </w:numPr>
              <w:ind w:left="426" w:hanging="426"/>
              <w:rPr>
                <w:rFonts w:eastAsia="Arial"/>
              </w:rPr>
            </w:pPr>
            <w:r w:rsidRPr="007D42B7">
              <w:rPr>
                <w:rFonts w:eastAsia="Arial"/>
              </w:rPr>
              <w:t>SONUB</w:t>
            </w:r>
          </w:p>
          <w:p w:rsidR="004E6F89" w:rsidRPr="007D42B7" w:rsidRDefault="004E6F89" w:rsidP="005D02C3">
            <w:pPr>
              <w:pStyle w:val="Normal1"/>
              <w:numPr>
                <w:ilvl w:val="0"/>
                <w:numId w:val="96"/>
              </w:numPr>
              <w:ind w:left="426" w:hanging="426"/>
              <w:rPr>
                <w:rFonts w:eastAsia="Arial"/>
              </w:rPr>
            </w:pPr>
            <w:r>
              <w:rPr>
                <w:rFonts w:eastAsia="Arial"/>
              </w:rPr>
              <w:t>Contact peau à peau immédiat, m</w:t>
            </w:r>
            <w:r w:rsidRPr="007D42B7">
              <w:rPr>
                <w:rFonts w:eastAsia="Arial"/>
              </w:rPr>
              <w:t>ise au sein précoce et clampage différé du cordon ombilical sauf complication pour les accouchements assistés</w:t>
            </w:r>
          </w:p>
          <w:p w:rsidR="004E6F89" w:rsidRPr="007D42B7" w:rsidRDefault="004E6F89" w:rsidP="005D02C3">
            <w:pPr>
              <w:pStyle w:val="Normal1"/>
              <w:numPr>
                <w:ilvl w:val="0"/>
                <w:numId w:val="96"/>
              </w:numPr>
              <w:ind w:left="426" w:hanging="426"/>
              <w:rPr>
                <w:rFonts w:eastAsia="Arial"/>
              </w:rPr>
            </w:pPr>
            <w:r w:rsidRPr="007D42B7">
              <w:rPr>
                <w:rFonts w:eastAsia="Arial"/>
              </w:rPr>
              <w:t>Aider les mères à surv</w:t>
            </w:r>
            <w:r>
              <w:rPr>
                <w:rFonts w:eastAsia="Arial"/>
              </w:rPr>
              <w:t xml:space="preserve">ivre-Aider les bébés à respirer </w:t>
            </w:r>
            <w:r w:rsidRPr="007D42B7">
              <w:rPr>
                <w:rFonts w:eastAsia="Arial"/>
              </w:rPr>
              <w:t>(AMS-ABR)</w:t>
            </w:r>
          </w:p>
          <w:p w:rsidR="004E6F89" w:rsidRPr="007D42B7" w:rsidRDefault="004E6F89" w:rsidP="005D02C3">
            <w:pPr>
              <w:pStyle w:val="Normal1"/>
              <w:numPr>
                <w:ilvl w:val="0"/>
                <w:numId w:val="96"/>
              </w:numPr>
              <w:ind w:left="426" w:hanging="426"/>
              <w:rPr>
                <w:rFonts w:eastAsia="Arial"/>
              </w:rPr>
            </w:pPr>
            <w:r w:rsidRPr="007D42B7">
              <w:rPr>
                <w:rFonts w:eastAsia="Arial"/>
              </w:rPr>
              <w:t>Soins Essentiels au Nouveau-né et les soins mater</w:t>
            </w:r>
            <w:r>
              <w:rPr>
                <w:rFonts w:eastAsia="Arial"/>
              </w:rPr>
              <w:t xml:space="preserve">nels Kangourou (SMK) et  </w:t>
            </w:r>
            <w:r w:rsidRPr="007D42B7">
              <w:rPr>
                <w:rFonts w:eastAsia="Arial"/>
              </w:rPr>
              <w:t>Suivi de la mise en œuvre des SENN.</w:t>
            </w:r>
          </w:p>
          <w:p w:rsidR="004E6F89" w:rsidRPr="007D42B7" w:rsidRDefault="004E6F89" w:rsidP="005D02C3">
            <w:pPr>
              <w:pStyle w:val="Normal1"/>
              <w:numPr>
                <w:ilvl w:val="0"/>
                <w:numId w:val="96"/>
              </w:numPr>
              <w:ind w:left="426" w:hanging="426"/>
              <w:rPr>
                <w:rFonts w:eastAsia="Arial"/>
              </w:rPr>
            </w:pPr>
            <w:r w:rsidRPr="007D42B7">
              <w:rPr>
                <w:rFonts w:eastAsia="Arial"/>
              </w:rPr>
              <w:t>Utilisation de la carte de Préparation à l’Accouchement et aux Urgences obstétricales et néonatales,</w:t>
            </w:r>
          </w:p>
          <w:p w:rsidR="004E6F89" w:rsidRPr="007D42B7" w:rsidRDefault="004E6F89" w:rsidP="005D02C3">
            <w:pPr>
              <w:pStyle w:val="Normal1"/>
              <w:numPr>
                <w:ilvl w:val="0"/>
                <w:numId w:val="96"/>
              </w:numPr>
              <w:ind w:left="426" w:hanging="426"/>
              <w:rPr>
                <w:rFonts w:eastAsia="Arial"/>
              </w:rPr>
            </w:pPr>
            <w:r w:rsidRPr="007D42B7">
              <w:rPr>
                <w:rFonts w:eastAsia="Arial"/>
              </w:rPr>
              <w:t>Référence et contre référence</w:t>
            </w:r>
          </w:p>
          <w:p w:rsidR="004E6F89" w:rsidRPr="00DC74AA" w:rsidRDefault="004E6F89" w:rsidP="005D02C3">
            <w:pPr>
              <w:pStyle w:val="Normal1"/>
              <w:numPr>
                <w:ilvl w:val="0"/>
                <w:numId w:val="96"/>
              </w:numPr>
              <w:ind w:left="426" w:hanging="426"/>
              <w:rPr>
                <w:rFonts w:eastAsia="Arial"/>
              </w:rPr>
            </w:pPr>
            <w:r w:rsidRPr="007D42B7">
              <w:rPr>
                <w:rFonts w:eastAsia="Arial"/>
              </w:rPr>
              <w:t>Supervision</w:t>
            </w:r>
            <w:r>
              <w:rPr>
                <w:rFonts w:eastAsia="Arial"/>
              </w:rPr>
              <w:t xml:space="preserve">/Formation </w:t>
            </w:r>
            <w:r w:rsidRPr="007D42B7">
              <w:rPr>
                <w:rFonts w:eastAsia="Arial"/>
              </w:rPr>
              <w:t xml:space="preserve"> des acteurs sur la SRMNEAN</w:t>
            </w:r>
          </w:p>
        </w:tc>
        <w:tc>
          <w:tcPr>
            <w:tcW w:w="4252" w:type="dxa"/>
            <w:tcBorders>
              <w:top w:val="nil"/>
              <w:left w:val="nil"/>
              <w:bottom w:val="single" w:sz="4" w:space="0" w:color="auto"/>
              <w:right w:val="nil"/>
            </w:tcBorders>
            <w:shd w:val="clear" w:color="auto" w:fill="D6E3BC" w:themeFill="accent3" w:themeFillTint="66"/>
          </w:tcPr>
          <w:p w:rsidR="004E6F89" w:rsidRPr="007D42B7" w:rsidRDefault="004E6F89" w:rsidP="005D02C3">
            <w:pPr>
              <w:pStyle w:val="Normal1"/>
              <w:numPr>
                <w:ilvl w:val="0"/>
                <w:numId w:val="97"/>
              </w:numPr>
              <w:rPr>
                <w:rFonts w:eastAsia="Arial"/>
              </w:rPr>
            </w:pPr>
            <w:r w:rsidRPr="007D42B7">
              <w:rPr>
                <w:rFonts w:eastAsia="Arial"/>
              </w:rPr>
              <w:t>Promotion de l’utilisation de la MILDA</w:t>
            </w:r>
          </w:p>
          <w:p w:rsidR="004E6F89" w:rsidRPr="007D42B7" w:rsidRDefault="004E6F89" w:rsidP="005D02C3">
            <w:pPr>
              <w:pStyle w:val="Paragraphedeliste"/>
              <w:numPr>
                <w:ilvl w:val="0"/>
                <w:numId w:val="97"/>
              </w:numPr>
              <w:spacing w:line="240" w:lineRule="auto"/>
              <w:rPr>
                <w:rFonts w:ascii="Calibri" w:eastAsia="Arial" w:hAnsi="Calibri" w:cs="Calibri"/>
              </w:rPr>
            </w:pPr>
            <w:r w:rsidRPr="007D42B7">
              <w:rPr>
                <w:rFonts w:ascii="Calibri" w:eastAsia="Arial" w:hAnsi="Calibri" w:cs="Calibri"/>
              </w:rPr>
              <w:t>Promotion de l’ANJE pendant les CNS</w:t>
            </w:r>
            <w:r>
              <w:rPr>
                <w:rFonts w:ascii="Calibri" w:eastAsia="Arial" w:hAnsi="Calibri" w:cs="Calibri"/>
              </w:rPr>
              <w:t>/vaccination</w:t>
            </w:r>
            <w:r w:rsidRPr="007D42B7">
              <w:rPr>
                <w:rFonts w:ascii="Calibri" w:eastAsia="Arial" w:hAnsi="Calibri" w:cs="Calibri"/>
              </w:rPr>
              <w:t xml:space="preserve"> et les consultations curatives infantiles utilisant le protocole PCIME</w:t>
            </w:r>
          </w:p>
          <w:p w:rsidR="004E6F89" w:rsidRPr="007D42B7" w:rsidRDefault="004E6F89" w:rsidP="005D02C3">
            <w:pPr>
              <w:pStyle w:val="Normal1"/>
              <w:numPr>
                <w:ilvl w:val="0"/>
                <w:numId w:val="97"/>
              </w:numPr>
              <w:rPr>
                <w:rFonts w:eastAsia="Arial"/>
              </w:rPr>
            </w:pPr>
            <w:r w:rsidRPr="007D42B7">
              <w:rPr>
                <w:rFonts w:eastAsia="Arial"/>
              </w:rPr>
              <w:t>Supplément en vitamine A chez l’enfant de 6 mois ou plus ;</w:t>
            </w:r>
          </w:p>
          <w:p w:rsidR="004E6F89" w:rsidRPr="007D42B7" w:rsidRDefault="004E6F89" w:rsidP="005D02C3">
            <w:pPr>
              <w:pStyle w:val="Normal1"/>
              <w:numPr>
                <w:ilvl w:val="0"/>
                <w:numId w:val="97"/>
              </w:numPr>
              <w:rPr>
                <w:rFonts w:eastAsia="Arial"/>
              </w:rPr>
            </w:pPr>
            <w:r w:rsidRPr="007D42B7">
              <w:rPr>
                <w:rFonts w:eastAsia="Arial"/>
              </w:rPr>
              <w:t>Vaccination /PEV ;</w:t>
            </w:r>
          </w:p>
          <w:p w:rsidR="004E6F89" w:rsidRPr="007D42B7" w:rsidRDefault="004E6F89" w:rsidP="005D02C3">
            <w:pPr>
              <w:pStyle w:val="Normal1"/>
              <w:numPr>
                <w:ilvl w:val="0"/>
                <w:numId w:val="97"/>
              </w:numPr>
              <w:rPr>
                <w:rFonts w:eastAsia="Arial"/>
              </w:rPr>
            </w:pPr>
            <w:r w:rsidRPr="007D42B7">
              <w:rPr>
                <w:rFonts w:eastAsia="Arial"/>
              </w:rPr>
              <w:t>Suivi et Promotion de la croissance pendant les CNS</w:t>
            </w:r>
            <w:r>
              <w:rPr>
                <w:rFonts w:eastAsia="Arial"/>
              </w:rPr>
              <w:t>/vaccination</w:t>
            </w:r>
            <w:r w:rsidRPr="007D42B7">
              <w:rPr>
                <w:rFonts w:eastAsia="Arial"/>
              </w:rPr>
              <w:t> ;</w:t>
            </w:r>
          </w:p>
          <w:p w:rsidR="004E6F89" w:rsidRPr="007D42B7" w:rsidRDefault="004E6F89" w:rsidP="005D02C3">
            <w:pPr>
              <w:pStyle w:val="Paragraphedeliste"/>
              <w:numPr>
                <w:ilvl w:val="0"/>
                <w:numId w:val="97"/>
              </w:numPr>
              <w:spacing w:line="240" w:lineRule="auto"/>
              <w:rPr>
                <w:rFonts w:ascii="Calibri" w:eastAsia="Arial" w:hAnsi="Calibri" w:cs="Calibri"/>
              </w:rPr>
            </w:pPr>
            <w:r w:rsidRPr="007D42B7">
              <w:rPr>
                <w:rFonts w:ascii="Calibri" w:eastAsia="Arial" w:hAnsi="Calibri" w:cs="Calibri"/>
              </w:rPr>
              <w:t>Déparasitage des enfants moins de 5 ans</w:t>
            </w:r>
          </w:p>
          <w:p w:rsidR="004E6F89" w:rsidRPr="007D42B7" w:rsidRDefault="004E6F89" w:rsidP="005D02C3">
            <w:pPr>
              <w:pStyle w:val="Normal1"/>
              <w:numPr>
                <w:ilvl w:val="0"/>
                <w:numId w:val="97"/>
              </w:numPr>
              <w:rPr>
                <w:rFonts w:eastAsia="Arial"/>
              </w:rPr>
            </w:pPr>
            <w:r w:rsidRPr="007D42B7">
              <w:rPr>
                <w:rFonts w:eastAsia="Arial"/>
              </w:rPr>
              <w:t>Supplément en SRO-zinc ;</w:t>
            </w:r>
          </w:p>
          <w:p w:rsidR="004E6F89" w:rsidRPr="007D42B7" w:rsidRDefault="004E6F89" w:rsidP="005D02C3">
            <w:pPr>
              <w:pStyle w:val="Normal1"/>
              <w:numPr>
                <w:ilvl w:val="0"/>
                <w:numId w:val="97"/>
              </w:numPr>
              <w:rPr>
                <w:rFonts w:eastAsia="Arial"/>
              </w:rPr>
            </w:pPr>
            <w:r>
              <w:rPr>
                <w:rFonts w:eastAsia="Arial"/>
              </w:rPr>
              <w:t>Dépistage et t</w:t>
            </w:r>
            <w:r w:rsidRPr="007D42B7">
              <w:rPr>
                <w:rFonts w:eastAsia="Arial"/>
              </w:rPr>
              <w:t>raitement de la malnutrition aigüe sévère (MAS) et de la malnutrition aigüe modérée (MAM) chez les enfants ;</w:t>
            </w:r>
          </w:p>
          <w:p w:rsidR="004E6F89" w:rsidRPr="007D42B7" w:rsidRDefault="004E6F89" w:rsidP="005D02C3">
            <w:pPr>
              <w:pStyle w:val="Normal1"/>
              <w:numPr>
                <w:ilvl w:val="0"/>
                <w:numId w:val="97"/>
              </w:numPr>
              <w:rPr>
                <w:rFonts w:eastAsia="Arial"/>
              </w:rPr>
            </w:pPr>
            <w:r w:rsidRPr="007D42B7">
              <w:rPr>
                <w:rFonts w:eastAsia="Arial"/>
              </w:rPr>
              <w:t xml:space="preserve">PCIME-REC : Étendre la mise en œuvre de la PCIME/ REC à 8 régions (Sahel, BMH, Nord, Est, Centre, CN, CE, PCL) </w:t>
            </w:r>
          </w:p>
          <w:p w:rsidR="004E6F89" w:rsidRPr="007D42B7" w:rsidRDefault="004E6F89" w:rsidP="005D02C3">
            <w:pPr>
              <w:pStyle w:val="Normal1"/>
              <w:numPr>
                <w:ilvl w:val="0"/>
                <w:numId w:val="97"/>
              </w:numPr>
              <w:rPr>
                <w:rFonts w:eastAsia="Arial"/>
              </w:rPr>
            </w:pPr>
            <w:r w:rsidRPr="007D42B7">
              <w:rPr>
                <w:rFonts w:eastAsia="Arial"/>
              </w:rPr>
              <w:t>Renforcement de la référence et contre référence</w:t>
            </w:r>
          </w:p>
          <w:p w:rsidR="004E6F89" w:rsidRPr="007D42B7" w:rsidRDefault="004E6F89" w:rsidP="005D02C3">
            <w:pPr>
              <w:pStyle w:val="Normal1"/>
              <w:numPr>
                <w:ilvl w:val="0"/>
                <w:numId w:val="97"/>
              </w:numPr>
              <w:rPr>
                <w:rFonts w:eastAsia="Arial"/>
              </w:rPr>
            </w:pPr>
            <w:r w:rsidRPr="007D42B7">
              <w:rPr>
                <w:rFonts w:eastAsia="Arial"/>
              </w:rPr>
              <w:t>Renforcement de la supervision des acteurs sur la SRMNEAN</w:t>
            </w:r>
          </w:p>
          <w:p w:rsidR="004E6F89" w:rsidRPr="007D42B7" w:rsidRDefault="004E6F89" w:rsidP="005D02C3">
            <w:pPr>
              <w:pStyle w:val="Paragraphedeliste"/>
              <w:numPr>
                <w:ilvl w:val="0"/>
                <w:numId w:val="97"/>
              </w:numPr>
              <w:spacing w:line="240" w:lineRule="auto"/>
              <w:rPr>
                <w:rFonts w:ascii="Calibri" w:hAnsi="Calibri" w:cs="Calibri"/>
              </w:rPr>
            </w:pPr>
            <w:r w:rsidRPr="007D42B7">
              <w:rPr>
                <w:rFonts w:ascii="Calibri" w:eastAsia="Arial" w:hAnsi="Calibri" w:cs="Calibri"/>
              </w:rPr>
              <w:t>Formation des acteurs sur la SRMNEAN</w:t>
            </w:r>
          </w:p>
        </w:tc>
        <w:tc>
          <w:tcPr>
            <w:tcW w:w="3827" w:type="dxa"/>
            <w:tcBorders>
              <w:top w:val="nil"/>
              <w:left w:val="nil"/>
              <w:bottom w:val="single" w:sz="4" w:space="0" w:color="auto"/>
            </w:tcBorders>
            <w:shd w:val="clear" w:color="auto" w:fill="D6E3BC" w:themeFill="accent3" w:themeFillTint="66"/>
          </w:tcPr>
          <w:p w:rsidR="004E6F89" w:rsidRPr="007D42B7" w:rsidRDefault="004E6F89" w:rsidP="005D02C3">
            <w:pPr>
              <w:pStyle w:val="Normal1"/>
              <w:numPr>
                <w:ilvl w:val="0"/>
                <w:numId w:val="98"/>
              </w:numPr>
              <w:rPr>
                <w:rFonts w:eastAsia="Arial"/>
              </w:rPr>
            </w:pPr>
            <w:r w:rsidRPr="007D42B7">
              <w:rPr>
                <w:rFonts w:eastAsia="Arial"/>
              </w:rPr>
              <w:t>Promotion, chez les adolescents/ jeunes, de comportements</w:t>
            </w:r>
          </w:p>
          <w:p w:rsidR="004E6F89" w:rsidRPr="007D42B7" w:rsidRDefault="004E6F89" w:rsidP="005D02C3">
            <w:pPr>
              <w:pStyle w:val="Normal1"/>
              <w:numPr>
                <w:ilvl w:val="0"/>
                <w:numId w:val="98"/>
              </w:numPr>
              <w:rPr>
                <w:rFonts w:eastAsia="Arial"/>
              </w:rPr>
            </w:pPr>
            <w:r w:rsidRPr="007D42B7">
              <w:rPr>
                <w:rFonts w:eastAsia="Arial"/>
              </w:rPr>
              <w:t>responsables et favorables à la santé.</w:t>
            </w:r>
          </w:p>
          <w:p w:rsidR="004E6F89" w:rsidRPr="007D42B7" w:rsidRDefault="004E6F89" w:rsidP="005D02C3">
            <w:pPr>
              <w:pStyle w:val="Normal1"/>
              <w:numPr>
                <w:ilvl w:val="0"/>
                <w:numId w:val="98"/>
              </w:numPr>
              <w:rPr>
                <w:rFonts w:eastAsia="Arial"/>
              </w:rPr>
            </w:pPr>
            <w:r w:rsidRPr="007D42B7">
              <w:rPr>
                <w:rFonts w:eastAsia="Arial"/>
              </w:rPr>
              <w:t>Renforcement de l’offre de la contraception aux jeunes dans des espaces conviviaux</w:t>
            </w:r>
          </w:p>
          <w:p w:rsidR="004E6F89" w:rsidRPr="007D42B7" w:rsidRDefault="004E6F89" w:rsidP="005D02C3">
            <w:pPr>
              <w:pStyle w:val="Normal1"/>
              <w:numPr>
                <w:ilvl w:val="0"/>
                <w:numId w:val="98"/>
              </w:numPr>
              <w:rPr>
                <w:rFonts w:eastAsia="Arial"/>
              </w:rPr>
            </w:pPr>
            <w:r w:rsidRPr="007D42B7">
              <w:rPr>
                <w:rFonts w:eastAsia="Arial"/>
              </w:rPr>
              <w:t>Prévention des accidents de la route</w:t>
            </w:r>
          </w:p>
          <w:p w:rsidR="004E6F89" w:rsidRPr="007D42B7" w:rsidRDefault="004E6F89" w:rsidP="005D02C3">
            <w:pPr>
              <w:pStyle w:val="Paragraphedeliste"/>
              <w:numPr>
                <w:ilvl w:val="0"/>
                <w:numId w:val="98"/>
              </w:numPr>
              <w:spacing w:line="240" w:lineRule="auto"/>
              <w:rPr>
                <w:rFonts w:ascii="Calibri" w:eastAsia="Arial" w:hAnsi="Calibri" w:cs="Calibri"/>
              </w:rPr>
            </w:pPr>
            <w:r w:rsidRPr="007D42B7">
              <w:rPr>
                <w:rFonts w:ascii="Calibri" w:eastAsia="Arial" w:hAnsi="Calibri" w:cs="Calibri"/>
              </w:rPr>
              <w:t>Promotion de comportements nutritionnels sains et appropriés1</w:t>
            </w:r>
          </w:p>
          <w:p w:rsidR="004E6F89" w:rsidRPr="007D42B7" w:rsidRDefault="004E6F89" w:rsidP="005D02C3">
            <w:pPr>
              <w:pStyle w:val="Normal1"/>
              <w:numPr>
                <w:ilvl w:val="0"/>
                <w:numId w:val="98"/>
              </w:numPr>
              <w:jc w:val="both"/>
              <w:rPr>
                <w:rFonts w:eastAsia="Arial"/>
              </w:rPr>
            </w:pPr>
            <w:r w:rsidRPr="007D42B7">
              <w:rPr>
                <w:rFonts w:eastAsia="Arial"/>
              </w:rPr>
              <w:t>Prévention de l’anémie</w:t>
            </w:r>
          </w:p>
          <w:p w:rsidR="004E6F89" w:rsidRPr="001E0097" w:rsidRDefault="004E6F89" w:rsidP="005D02C3">
            <w:pPr>
              <w:pStyle w:val="Normal1"/>
              <w:numPr>
                <w:ilvl w:val="0"/>
                <w:numId w:val="98"/>
              </w:numPr>
              <w:jc w:val="both"/>
              <w:rPr>
                <w:rFonts w:eastAsia="Arial"/>
              </w:rPr>
            </w:pPr>
            <w:r w:rsidRPr="007D42B7">
              <w:rPr>
                <w:rFonts w:eastAsia="Arial"/>
              </w:rPr>
              <w:t>Prévention des cancers du col de l’utérus et du sein</w:t>
            </w:r>
          </w:p>
          <w:p w:rsidR="004E6F89" w:rsidRPr="007D42B7" w:rsidRDefault="004E6F89" w:rsidP="005D02C3">
            <w:pPr>
              <w:pStyle w:val="Normal1"/>
              <w:numPr>
                <w:ilvl w:val="0"/>
                <w:numId w:val="98"/>
              </w:numPr>
              <w:rPr>
                <w:rFonts w:eastAsia="Arial"/>
              </w:rPr>
            </w:pPr>
            <w:r w:rsidRPr="007D42B7">
              <w:rPr>
                <w:rFonts w:eastAsia="Arial"/>
              </w:rPr>
              <w:t>Renforcement de la référence et contre référence</w:t>
            </w:r>
          </w:p>
          <w:p w:rsidR="004E6F89" w:rsidRPr="007D42B7" w:rsidRDefault="004E6F89" w:rsidP="005D02C3">
            <w:pPr>
              <w:pStyle w:val="Normal1"/>
              <w:numPr>
                <w:ilvl w:val="0"/>
                <w:numId w:val="98"/>
              </w:numPr>
              <w:rPr>
                <w:rFonts w:eastAsia="Arial"/>
              </w:rPr>
            </w:pPr>
            <w:r w:rsidRPr="007D42B7">
              <w:rPr>
                <w:rFonts w:eastAsia="Arial"/>
              </w:rPr>
              <w:t>Renforcement de la supervision des acteurs sur la SRMNEAN</w:t>
            </w:r>
          </w:p>
          <w:p w:rsidR="004E6F89" w:rsidRPr="007D42B7" w:rsidRDefault="004E6F89" w:rsidP="005D02C3">
            <w:pPr>
              <w:pStyle w:val="Paragraphedeliste"/>
              <w:numPr>
                <w:ilvl w:val="0"/>
                <w:numId w:val="98"/>
              </w:numPr>
              <w:spacing w:line="240" w:lineRule="auto"/>
              <w:rPr>
                <w:rFonts w:ascii="Calibri" w:hAnsi="Calibri" w:cs="Calibri"/>
              </w:rPr>
            </w:pPr>
            <w:r w:rsidRPr="007D42B7">
              <w:rPr>
                <w:rFonts w:ascii="Calibri" w:eastAsia="Arial" w:hAnsi="Calibri" w:cs="Calibri"/>
              </w:rPr>
              <w:t>Formation des acteurs sur la SRMNEAN</w:t>
            </w:r>
          </w:p>
        </w:tc>
      </w:tr>
    </w:tbl>
    <w:p w:rsidR="004E6F89" w:rsidRDefault="004E6F89" w:rsidP="004E6F89"/>
    <w:tbl>
      <w:tblPr>
        <w:tblStyle w:val="Grilledutableau"/>
        <w:tblW w:w="14283" w:type="dxa"/>
        <w:shd w:val="clear" w:color="auto" w:fill="C2D69B" w:themeFill="accent3" w:themeFillTint="99"/>
        <w:tblLook w:val="04A0" w:firstRow="1" w:lastRow="0" w:firstColumn="1" w:lastColumn="0" w:noHBand="0" w:noVBand="1"/>
      </w:tblPr>
      <w:tblGrid>
        <w:gridCol w:w="8472"/>
        <w:gridCol w:w="3118"/>
        <w:gridCol w:w="2693"/>
      </w:tblGrid>
      <w:tr w:rsidR="004E6F89" w:rsidRPr="00434B98" w:rsidTr="00434B98">
        <w:tc>
          <w:tcPr>
            <w:tcW w:w="14283" w:type="dxa"/>
            <w:gridSpan w:val="3"/>
            <w:tcBorders>
              <w:bottom w:val="nil"/>
            </w:tcBorders>
            <w:shd w:val="clear" w:color="auto" w:fill="76923C" w:themeFill="accent3" w:themeFillShade="BF"/>
          </w:tcPr>
          <w:p w:rsidR="004E6F89" w:rsidRPr="00434B98" w:rsidRDefault="004E6F89" w:rsidP="00861D70">
            <w:pPr>
              <w:spacing w:line="360" w:lineRule="auto"/>
              <w:rPr>
                <w:rFonts w:cstheme="minorHAnsi"/>
                <w:color w:val="FFFFFF" w:themeColor="background1"/>
                <w:sz w:val="24"/>
                <w:szCs w:val="24"/>
              </w:rPr>
            </w:pPr>
            <w:r w:rsidRPr="00434B98">
              <w:rPr>
                <w:rFonts w:eastAsia="Arial" w:cstheme="minorHAnsi"/>
                <w:b/>
                <w:color w:val="FFFFFF" w:themeColor="background1"/>
                <w:sz w:val="24"/>
                <w:szCs w:val="24"/>
              </w:rPr>
              <w:t>NIVEAU SECONDAIRE ET TERTIAIRE : CMA-CHR-CHU</w:t>
            </w:r>
          </w:p>
        </w:tc>
      </w:tr>
      <w:tr w:rsidR="004E6F89" w:rsidRPr="00BD4BD6" w:rsidTr="00434B98">
        <w:tc>
          <w:tcPr>
            <w:tcW w:w="8472" w:type="dxa"/>
            <w:tcBorders>
              <w:top w:val="nil"/>
              <w:bottom w:val="nil"/>
              <w:right w:val="nil"/>
            </w:tcBorders>
            <w:shd w:val="clear" w:color="auto" w:fill="C2D69B" w:themeFill="accent3" w:themeFillTint="99"/>
          </w:tcPr>
          <w:p w:rsidR="004E6F89" w:rsidRPr="00BD4BD6" w:rsidRDefault="004E6F89" w:rsidP="00861D70">
            <w:pPr>
              <w:spacing w:line="360" w:lineRule="auto"/>
              <w:rPr>
                <w:sz w:val="24"/>
                <w:szCs w:val="24"/>
              </w:rPr>
            </w:pPr>
            <w:r w:rsidRPr="00BD4BD6">
              <w:rPr>
                <w:sz w:val="24"/>
                <w:szCs w:val="24"/>
              </w:rPr>
              <w:t>SANTE MERE ET NOUVEAU -NE</w:t>
            </w:r>
          </w:p>
        </w:tc>
        <w:tc>
          <w:tcPr>
            <w:tcW w:w="3118" w:type="dxa"/>
            <w:tcBorders>
              <w:top w:val="nil"/>
              <w:left w:val="nil"/>
              <w:bottom w:val="nil"/>
              <w:right w:val="nil"/>
            </w:tcBorders>
            <w:shd w:val="clear" w:color="auto" w:fill="C2D69B" w:themeFill="accent3" w:themeFillTint="99"/>
          </w:tcPr>
          <w:p w:rsidR="004E6F89" w:rsidRPr="00BD4BD6" w:rsidRDefault="004E6F89" w:rsidP="00861D70">
            <w:pPr>
              <w:spacing w:line="360" w:lineRule="auto"/>
              <w:rPr>
                <w:sz w:val="24"/>
                <w:szCs w:val="24"/>
              </w:rPr>
            </w:pPr>
            <w:r>
              <w:rPr>
                <w:sz w:val="24"/>
                <w:szCs w:val="24"/>
              </w:rPr>
              <w:t>SANTE DE L’</w:t>
            </w:r>
            <w:r w:rsidRPr="00BD4BD6">
              <w:rPr>
                <w:sz w:val="24"/>
                <w:szCs w:val="24"/>
              </w:rPr>
              <w:t>ENFANT</w:t>
            </w:r>
          </w:p>
        </w:tc>
        <w:tc>
          <w:tcPr>
            <w:tcW w:w="2693" w:type="dxa"/>
            <w:tcBorders>
              <w:top w:val="nil"/>
              <w:left w:val="nil"/>
              <w:bottom w:val="nil"/>
            </w:tcBorders>
            <w:shd w:val="clear" w:color="auto" w:fill="C2D69B" w:themeFill="accent3" w:themeFillTint="99"/>
          </w:tcPr>
          <w:p w:rsidR="004E6F89" w:rsidRPr="00BD4BD6" w:rsidRDefault="004E6F89" w:rsidP="00861D70">
            <w:pPr>
              <w:spacing w:line="360" w:lineRule="auto"/>
              <w:rPr>
                <w:sz w:val="24"/>
                <w:szCs w:val="24"/>
              </w:rPr>
            </w:pPr>
            <w:r w:rsidRPr="00BD4BD6">
              <w:rPr>
                <w:sz w:val="24"/>
                <w:szCs w:val="24"/>
              </w:rPr>
              <w:t>ADOLESCENT/JEUNE</w:t>
            </w:r>
          </w:p>
        </w:tc>
      </w:tr>
      <w:tr w:rsidR="004E6F89" w:rsidRPr="007D42B7" w:rsidTr="00434B98">
        <w:tc>
          <w:tcPr>
            <w:tcW w:w="8472" w:type="dxa"/>
            <w:tcBorders>
              <w:top w:val="nil"/>
              <w:right w:val="nil"/>
            </w:tcBorders>
            <w:shd w:val="clear" w:color="auto" w:fill="C2D69B" w:themeFill="accent3" w:themeFillTint="99"/>
          </w:tcPr>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Passage à l’échelle des interventions de nutrition maternelle et du Nouveau-né : promotion de la mise au sein précoce</w:t>
            </w:r>
            <w:r>
              <w:rPr>
                <w:rFonts w:eastAsia="Arial" w:cstheme="minorHAnsi"/>
              </w:rPr>
              <w:t xml:space="preserve"> et allaitement exclusif.</w:t>
            </w:r>
            <w:r w:rsidRPr="007D42B7">
              <w:rPr>
                <w:rFonts w:eastAsia="Arial" w:cstheme="minorHAnsi"/>
              </w:rPr>
              <w:t xml:space="preserve"> </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Renforcement de la référence et contre référence ;</w:t>
            </w:r>
          </w:p>
          <w:p w:rsidR="004E6F89" w:rsidRPr="007D42B7" w:rsidRDefault="004E6F89" w:rsidP="005D02C3">
            <w:pPr>
              <w:pStyle w:val="Paragraphedeliste"/>
              <w:numPr>
                <w:ilvl w:val="0"/>
                <w:numId w:val="99"/>
              </w:numPr>
              <w:spacing w:line="240" w:lineRule="auto"/>
              <w:ind w:left="426" w:hanging="426"/>
              <w:rPr>
                <w:rFonts w:eastAsia="Arial" w:cstheme="minorHAnsi"/>
              </w:rPr>
            </w:pPr>
            <w:r w:rsidRPr="007D42B7">
              <w:rPr>
                <w:rFonts w:eastAsia="Arial" w:cstheme="minorHAnsi"/>
              </w:rPr>
              <w:t>Renforcement des activités de l’ETME du VIH : dépistage VIH en couplant le dépistage VIH à l’offre de PF, communication en faveur de la PF et dépistage VIH</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Offre SONUC avec un accent sur :</w:t>
            </w:r>
            <w:r>
              <w:rPr>
                <w:rFonts w:eastAsia="Arial" w:cstheme="minorHAnsi"/>
              </w:rPr>
              <w:t xml:space="preserve"> </w:t>
            </w:r>
            <w:r w:rsidRPr="007D42B7">
              <w:rPr>
                <w:rFonts w:eastAsia="Arial" w:cstheme="minorHAnsi"/>
              </w:rPr>
              <w:t>Réanimation du N-N, antibiotiques aux prématurés ou rupture prématurée des membranes prolongée, méthode kangourou pour prématurées ou N-N.</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Transfusion, l’administration parentérale d’anticonvulsivants, de corticostéroïdes en travail prématuré et l’évacuation utérine après accouchement, Prise en charge de la pré-éclampsie (MgSO4)</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Passage à l’échelle l’utilisation de la carte de Préparation à l’Accouchement et aux Urgences obstétricales et néonatales</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 xml:space="preserve">Prise en charge des cas de sepsis maternel, audits des décès maternels et néonatals </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Renforcer les Soins Essentiels au Nouveau-né et les soins maternels Kangourou (SMK) et assurer le Suivi de la mise en œuvre des SENN</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Détection précoce des handicaps</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Accouchements assistés par du personnel qualifié</w:t>
            </w:r>
          </w:p>
          <w:p w:rsidR="004E6F89" w:rsidRPr="007D42B7" w:rsidRDefault="004E6F89" w:rsidP="005D02C3">
            <w:pPr>
              <w:pStyle w:val="Normal1"/>
              <w:numPr>
                <w:ilvl w:val="0"/>
                <w:numId w:val="99"/>
              </w:numPr>
              <w:ind w:left="426" w:hanging="426"/>
              <w:rPr>
                <w:rFonts w:eastAsia="Arial" w:cstheme="minorHAnsi"/>
              </w:rPr>
            </w:pPr>
            <w:r w:rsidRPr="007D42B7">
              <w:rPr>
                <w:rFonts w:eastAsia="Arial" w:cstheme="minorHAnsi"/>
              </w:rPr>
              <w:t>Soins post-natals</w:t>
            </w:r>
          </w:p>
          <w:p w:rsidR="004E6F89" w:rsidRPr="007D42B7" w:rsidRDefault="004E6F89" w:rsidP="005D02C3">
            <w:pPr>
              <w:pStyle w:val="Normal1"/>
              <w:numPr>
                <w:ilvl w:val="0"/>
                <w:numId w:val="99"/>
              </w:numPr>
              <w:tabs>
                <w:tab w:val="left" w:pos="317"/>
              </w:tabs>
              <w:ind w:left="426" w:hanging="426"/>
              <w:rPr>
                <w:rFonts w:eastAsia="Arial" w:cstheme="minorHAnsi"/>
              </w:rPr>
            </w:pPr>
            <w:r w:rsidRPr="007D42B7">
              <w:rPr>
                <w:rFonts w:eastAsia="Arial" w:cstheme="minorHAnsi"/>
              </w:rPr>
              <w:t>Soins après avortements</w:t>
            </w:r>
          </w:p>
          <w:p w:rsidR="004E6F89" w:rsidRPr="007D42B7" w:rsidRDefault="004E6F89" w:rsidP="005D02C3">
            <w:pPr>
              <w:pStyle w:val="Normal1"/>
              <w:numPr>
                <w:ilvl w:val="0"/>
                <w:numId w:val="99"/>
              </w:numPr>
              <w:tabs>
                <w:tab w:val="left" w:pos="317"/>
              </w:tabs>
              <w:ind w:left="426" w:hanging="426"/>
              <w:rPr>
                <w:rFonts w:eastAsia="Arial" w:cstheme="minorHAnsi"/>
              </w:rPr>
            </w:pPr>
            <w:r w:rsidRPr="007D42B7">
              <w:rPr>
                <w:rFonts w:eastAsia="Arial" w:cstheme="minorHAnsi"/>
              </w:rPr>
              <w:t xml:space="preserve">Prise en charge chirurgicale, psychologique et réhabilitation des Femmes victimes de fistule obstétricale </w:t>
            </w:r>
          </w:p>
          <w:p w:rsidR="004E6F89" w:rsidRPr="007D42B7" w:rsidRDefault="004E6F89" w:rsidP="005D02C3">
            <w:pPr>
              <w:pStyle w:val="Normal1"/>
              <w:numPr>
                <w:ilvl w:val="0"/>
                <w:numId w:val="99"/>
              </w:numPr>
              <w:tabs>
                <w:tab w:val="left" w:pos="317"/>
              </w:tabs>
              <w:ind w:left="426" w:hanging="426"/>
              <w:rPr>
                <w:rFonts w:eastAsia="Arial" w:cstheme="minorHAnsi"/>
              </w:rPr>
            </w:pPr>
            <w:r w:rsidRPr="007D42B7">
              <w:rPr>
                <w:rFonts w:eastAsia="Arial" w:cstheme="minorHAnsi"/>
              </w:rPr>
              <w:t xml:space="preserve">Prise en charge des cancers du col de l’utérus et du sein </w:t>
            </w:r>
          </w:p>
          <w:p w:rsidR="004E6F89" w:rsidRPr="007D42B7" w:rsidRDefault="004E6F89" w:rsidP="005D02C3">
            <w:pPr>
              <w:pStyle w:val="Normal1"/>
              <w:numPr>
                <w:ilvl w:val="0"/>
                <w:numId w:val="99"/>
              </w:numPr>
              <w:tabs>
                <w:tab w:val="left" w:pos="317"/>
              </w:tabs>
              <w:ind w:left="426" w:hanging="426"/>
              <w:rPr>
                <w:rFonts w:eastAsia="Arial" w:cstheme="minorHAnsi"/>
              </w:rPr>
            </w:pPr>
            <w:r w:rsidRPr="007D42B7">
              <w:rPr>
                <w:rFonts w:eastAsia="Arial" w:cstheme="minorHAnsi"/>
              </w:rPr>
              <w:t xml:space="preserve">Traitement de la malnutrition aigüe sévère (MAS) et de la malnutrition aigüe modérée chez les FE/FA </w:t>
            </w:r>
          </w:p>
          <w:p w:rsidR="004E6F89" w:rsidRPr="007D42B7" w:rsidRDefault="004E6F89" w:rsidP="005D02C3">
            <w:pPr>
              <w:pStyle w:val="Paragraphedeliste"/>
              <w:numPr>
                <w:ilvl w:val="0"/>
                <w:numId w:val="99"/>
              </w:numPr>
              <w:spacing w:line="240" w:lineRule="auto"/>
              <w:ind w:left="426" w:hanging="426"/>
              <w:rPr>
                <w:rFonts w:eastAsia="Arial" w:cstheme="minorHAnsi"/>
              </w:rPr>
            </w:pPr>
            <w:r w:rsidRPr="007D42B7">
              <w:rPr>
                <w:rFonts w:eastAsia="Arial" w:cstheme="minorHAnsi"/>
              </w:rPr>
              <w:t>Aider les mères à survivre-Aider les bébés à respirer (AMS-ABR)</w:t>
            </w:r>
          </w:p>
          <w:p w:rsidR="004E6F89" w:rsidRPr="007D42B7" w:rsidRDefault="004E6F89" w:rsidP="005D02C3">
            <w:pPr>
              <w:pStyle w:val="Normal1"/>
              <w:numPr>
                <w:ilvl w:val="0"/>
                <w:numId w:val="99"/>
              </w:numPr>
              <w:tabs>
                <w:tab w:val="left" w:pos="317"/>
              </w:tabs>
              <w:ind w:left="426" w:hanging="426"/>
              <w:rPr>
                <w:rFonts w:eastAsia="Arial" w:cstheme="minorHAnsi"/>
              </w:rPr>
            </w:pPr>
            <w:r w:rsidRPr="007D42B7">
              <w:rPr>
                <w:rFonts w:eastAsia="Arial" w:cstheme="minorHAnsi"/>
              </w:rPr>
              <w:t>Renforcement de la référence et contre référence</w:t>
            </w:r>
          </w:p>
          <w:p w:rsidR="004E6F89" w:rsidRPr="007D42B7" w:rsidRDefault="004E6F89" w:rsidP="005D02C3">
            <w:pPr>
              <w:pStyle w:val="Normal1"/>
              <w:numPr>
                <w:ilvl w:val="0"/>
                <w:numId w:val="99"/>
              </w:numPr>
              <w:tabs>
                <w:tab w:val="left" w:pos="317"/>
              </w:tabs>
              <w:ind w:left="426" w:hanging="426"/>
              <w:rPr>
                <w:rFonts w:eastAsia="Arial" w:cstheme="minorHAnsi"/>
              </w:rPr>
            </w:pPr>
            <w:r w:rsidRPr="007D42B7">
              <w:rPr>
                <w:rFonts w:eastAsia="Arial" w:cstheme="minorHAnsi"/>
              </w:rPr>
              <w:t>Renforcement de la supervision des acteurs sur la SRMNEAN</w:t>
            </w:r>
          </w:p>
          <w:p w:rsidR="004E6F89" w:rsidRPr="007D42B7" w:rsidRDefault="004E6F89" w:rsidP="005D02C3">
            <w:pPr>
              <w:pStyle w:val="Paragraphedeliste"/>
              <w:numPr>
                <w:ilvl w:val="0"/>
                <w:numId w:val="99"/>
              </w:numPr>
              <w:spacing w:line="240" w:lineRule="auto"/>
              <w:ind w:left="426" w:hanging="426"/>
              <w:rPr>
                <w:rFonts w:cstheme="minorHAnsi"/>
              </w:rPr>
            </w:pPr>
            <w:r w:rsidRPr="007D42B7">
              <w:rPr>
                <w:rFonts w:eastAsia="Arial" w:cstheme="minorHAnsi"/>
              </w:rPr>
              <w:t>Formation des acteurs sur la SRMNEAN</w:t>
            </w:r>
          </w:p>
        </w:tc>
        <w:tc>
          <w:tcPr>
            <w:tcW w:w="3118" w:type="dxa"/>
            <w:tcBorders>
              <w:top w:val="nil"/>
              <w:left w:val="nil"/>
              <w:right w:val="nil"/>
            </w:tcBorders>
            <w:shd w:val="clear" w:color="auto" w:fill="C2D69B" w:themeFill="accent3" w:themeFillTint="99"/>
          </w:tcPr>
          <w:p w:rsidR="004E6F89" w:rsidRPr="007D42B7" w:rsidRDefault="004E6F89" w:rsidP="005D02C3">
            <w:pPr>
              <w:pStyle w:val="Normal1"/>
              <w:numPr>
                <w:ilvl w:val="0"/>
                <w:numId w:val="100"/>
              </w:numPr>
              <w:rPr>
                <w:rFonts w:eastAsia="Arial" w:cstheme="minorHAnsi"/>
              </w:rPr>
            </w:pPr>
            <w:r w:rsidRPr="007D42B7">
              <w:rPr>
                <w:rFonts w:eastAsia="Arial" w:cstheme="minorHAnsi"/>
              </w:rPr>
              <w:t>TETU</w:t>
            </w:r>
          </w:p>
          <w:p w:rsidR="004E6F89" w:rsidRPr="007D42B7" w:rsidRDefault="004E6F89" w:rsidP="005D02C3">
            <w:pPr>
              <w:pStyle w:val="Normal1"/>
              <w:numPr>
                <w:ilvl w:val="0"/>
                <w:numId w:val="100"/>
              </w:numPr>
              <w:rPr>
                <w:rFonts w:eastAsia="Arial" w:cstheme="minorHAnsi"/>
              </w:rPr>
            </w:pPr>
            <w:r w:rsidRPr="007D42B7">
              <w:rPr>
                <w:rFonts w:eastAsia="Arial" w:cstheme="minorHAnsi"/>
              </w:rPr>
              <w:t xml:space="preserve">Traitement de la malnutrition aigüe sévère (MAS) et de la malnutrition aigüe modérée (MAM) chez les enfants ; </w:t>
            </w:r>
          </w:p>
          <w:p w:rsidR="004E6F89" w:rsidRPr="007D42B7" w:rsidRDefault="004E6F89" w:rsidP="005D02C3">
            <w:pPr>
              <w:pStyle w:val="Normal1"/>
              <w:numPr>
                <w:ilvl w:val="0"/>
                <w:numId w:val="100"/>
              </w:numPr>
              <w:rPr>
                <w:rFonts w:eastAsia="Arial" w:cstheme="minorHAnsi"/>
              </w:rPr>
            </w:pPr>
            <w:r w:rsidRPr="007D42B7">
              <w:rPr>
                <w:rFonts w:eastAsia="Arial" w:cstheme="minorHAnsi"/>
              </w:rPr>
              <w:t xml:space="preserve">Prise en charge des infections bactériennes graves chez les jeunes nourrissons malades (0-59 jours). </w:t>
            </w:r>
          </w:p>
          <w:p w:rsidR="004E6F89" w:rsidRPr="007D42B7" w:rsidRDefault="004E6F89" w:rsidP="005D02C3">
            <w:pPr>
              <w:pStyle w:val="Normal1"/>
              <w:numPr>
                <w:ilvl w:val="0"/>
                <w:numId w:val="100"/>
              </w:numPr>
              <w:rPr>
                <w:rFonts w:eastAsia="Arial" w:cstheme="minorHAnsi"/>
              </w:rPr>
            </w:pPr>
            <w:r w:rsidRPr="007D42B7">
              <w:rPr>
                <w:rFonts w:eastAsia="Arial" w:cstheme="minorHAnsi"/>
              </w:rPr>
              <w:t>Renforcement de la référence et contre référence</w:t>
            </w:r>
          </w:p>
          <w:p w:rsidR="004E6F89" w:rsidRPr="007D42B7" w:rsidRDefault="004E6F89" w:rsidP="005D02C3">
            <w:pPr>
              <w:pStyle w:val="Normal1"/>
              <w:numPr>
                <w:ilvl w:val="0"/>
                <w:numId w:val="100"/>
              </w:numPr>
              <w:rPr>
                <w:rFonts w:eastAsia="Arial" w:cstheme="minorHAnsi"/>
              </w:rPr>
            </w:pPr>
            <w:r w:rsidRPr="007D42B7">
              <w:rPr>
                <w:rFonts w:eastAsia="Arial" w:cstheme="minorHAnsi"/>
              </w:rPr>
              <w:t>Renforcement de la supervision des acteurs sur la SRMNEAN</w:t>
            </w:r>
          </w:p>
          <w:p w:rsidR="004E6F89" w:rsidRPr="007D42B7" w:rsidRDefault="004E6F89" w:rsidP="005D02C3">
            <w:pPr>
              <w:pStyle w:val="Paragraphedeliste"/>
              <w:numPr>
                <w:ilvl w:val="0"/>
                <w:numId w:val="100"/>
              </w:numPr>
              <w:spacing w:line="240" w:lineRule="auto"/>
              <w:rPr>
                <w:rFonts w:cstheme="minorHAnsi"/>
              </w:rPr>
            </w:pPr>
            <w:r w:rsidRPr="007D42B7">
              <w:rPr>
                <w:rFonts w:eastAsia="Arial" w:cstheme="minorHAnsi"/>
              </w:rPr>
              <w:t>Formation des acteurs sur la SRMNEAN</w:t>
            </w:r>
          </w:p>
        </w:tc>
        <w:tc>
          <w:tcPr>
            <w:tcW w:w="2693" w:type="dxa"/>
            <w:tcBorders>
              <w:top w:val="nil"/>
              <w:left w:val="nil"/>
            </w:tcBorders>
            <w:shd w:val="clear" w:color="auto" w:fill="C2D69B" w:themeFill="accent3" w:themeFillTint="99"/>
          </w:tcPr>
          <w:p w:rsidR="004E6F89" w:rsidRPr="007D42B7" w:rsidRDefault="004E6F89" w:rsidP="005D02C3">
            <w:pPr>
              <w:pStyle w:val="Normal1"/>
              <w:numPr>
                <w:ilvl w:val="0"/>
                <w:numId w:val="101"/>
              </w:numPr>
              <w:rPr>
                <w:rFonts w:eastAsia="Arial" w:cstheme="minorHAnsi"/>
              </w:rPr>
            </w:pPr>
            <w:r w:rsidRPr="007D42B7">
              <w:rPr>
                <w:rFonts w:eastAsia="Arial" w:cstheme="minorHAnsi"/>
              </w:rPr>
              <w:t>Accouchement assisté par un professionnel de Santé qualifié</w:t>
            </w:r>
          </w:p>
          <w:p w:rsidR="004E6F89" w:rsidRPr="007D42B7" w:rsidRDefault="004E6F89" w:rsidP="005D02C3">
            <w:pPr>
              <w:pStyle w:val="Normal1"/>
              <w:numPr>
                <w:ilvl w:val="0"/>
                <w:numId w:val="101"/>
              </w:numPr>
              <w:rPr>
                <w:rFonts w:eastAsia="Arial" w:cstheme="minorHAnsi"/>
              </w:rPr>
            </w:pPr>
            <w:r w:rsidRPr="007D42B7">
              <w:rPr>
                <w:rFonts w:eastAsia="Arial" w:cstheme="minorHAnsi"/>
              </w:rPr>
              <w:t>Accès des adolescentes aux soins complets liés à l’Avortements</w:t>
            </w:r>
          </w:p>
          <w:p w:rsidR="004E6F89" w:rsidRPr="007D42B7" w:rsidRDefault="004E6F89" w:rsidP="005D02C3">
            <w:pPr>
              <w:pStyle w:val="Normal1"/>
              <w:numPr>
                <w:ilvl w:val="0"/>
                <w:numId w:val="101"/>
              </w:numPr>
              <w:rPr>
                <w:rFonts w:eastAsia="Arial" w:cstheme="minorHAnsi"/>
              </w:rPr>
            </w:pPr>
            <w:r w:rsidRPr="007D42B7">
              <w:rPr>
                <w:rFonts w:eastAsia="Arial" w:cstheme="minorHAnsi"/>
              </w:rPr>
              <w:t>Accès aux soins nutritionnels et diététiques (pour les cas de problèmes)</w:t>
            </w:r>
          </w:p>
          <w:p w:rsidR="004E6F89" w:rsidRPr="007D42B7" w:rsidRDefault="004E6F89" w:rsidP="005D02C3">
            <w:pPr>
              <w:pStyle w:val="Normal1"/>
              <w:numPr>
                <w:ilvl w:val="0"/>
                <w:numId w:val="101"/>
              </w:numPr>
              <w:rPr>
                <w:rFonts w:eastAsia="Arial" w:cstheme="minorHAnsi"/>
              </w:rPr>
            </w:pPr>
            <w:r w:rsidRPr="007D42B7">
              <w:rPr>
                <w:rFonts w:eastAsia="Arial" w:cstheme="minorHAnsi"/>
              </w:rPr>
              <w:t>Renforcement de la référence et contre référence</w:t>
            </w:r>
          </w:p>
          <w:p w:rsidR="004E6F89" w:rsidRPr="007D42B7" w:rsidRDefault="004E6F89" w:rsidP="005D02C3">
            <w:pPr>
              <w:pStyle w:val="Normal1"/>
              <w:numPr>
                <w:ilvl w:val="0"/>
                <w:numId w:val="101"/>
              </w:numPr>
              <w:rPr>
                <w:rFonts w:eastAsia="Arial" w:cstheme="minorHAnsi"/>
              </w:rPr>
            </w:pPr>
            <w:r w:rsidRPr="007D42B7">
              <w:rPr>
                <w:rFonts w:eastAsia="Arial" w:cstheme="minorHAnsi"/>
              </w:rPr>
              <w:t>Renforcement de la supervision des acteurs sur la SRMNEAN</w:t>
            </w:r>
          </w:p>
          <w:p w:rsidR="004E6F89" w:rsidRPr="007D42B7" w:rsidRDefault="004E6F89" w:rsidP="005D02C3">
            <w:pPr>
              <w:pStyle w:val="Paragraphedeliste"/>
              <w:numPr>
                <w:ilvl w:val="0"/>
                <w:numId w:val="101"/>
              </w:numPr>
              <w:spacing w:line="240" w:lineRule="auto"/>
              <w:rPr>
                <w:rFonts w:cstheme="minorHAnsi"/>
              </w:rPr>
            </w:pPr>
            <w:r w:rsidRPr="007D42B7">
              <w:rPr>
                <w:rFonts w:eastAsia="Arial" w:cstheme="minorHAnsi"/>
              </w:rPr>
              <w:t>Formation des acteurs sur la SRMNEAN</w:t>
            </w:r>
          </w:p>
        </w:tc>
      </w:tr>
    </w:tbl>
    <w:p w:rsidR="00314B92" w:rsidRDefault="00314B92" w:rsidP="003373DE">
      <w:pPr>
        <w:pStyle w:val="Normal1"/>
        <w:widowControl w:val="0"/>
        <w:pBdr>
          <w:top w:val="nil"/>
          <w:left w:val="nil"/>
          <w:bottom w:val="nil"/>
          <w:right w:val="nil"/>
          <w:between w:val="nil"/>
        </w:pBdr>
        <w:spacing w:after="0"/>
        <w:rPr>
          <w:rFonts w:ascii="Cambria" w:eastAsia="Cambria" w:hAnsi="Cambria" w:cs="Cambria"/>
          <w:sz w:val="24"/>
          <w:szCs w:val="24"/>
        </w:rPr>
      </w:pPr>
    </w:p>
    <w:sectPr w:rsidR="00314B92" w:rsidSect="003373DE">
      <w:pgSz w:w="16838" w:h="11906" w:orient="landscape"/>
      <w:pgMar w:top="1417" w:right="1417" w:bottom="1417" w:left="1417"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3194" w:rsidRDefault="00563194" w:rsidP="00314B92">
      <w:pPr>
        <w:spacing w:after="0" w:line="240" w:lineRule="auto"/>
      </w:pPr>
      <w:r>
        <w:separator/>
      </w:r>
    </w:p>
  </w:endnote>
  <w:endnote w:type="continuationSeparator" w:id="0">
    <w:p w:rsidR="00563194" w:rsidRDefault="00563194" w:rsidP="00314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Overlock">
    <w:altName w:val="Times New Roman"/>
    <w:charset w:val="00"/>
    <w:family w:val="auto"/>
    <w:pitch w:val="default"/>
  </w:font>
  <w:font w:name="Algerian">
    <w:panose1 w:val="04020705040A02060702"/>
    <w:charset w:val="00"/>
    <w:family w:val="decorativ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Gisha">
    <w:altName w:val="Malgun Gothic Semilight"/>
    <w:charset w:val="00"/>
    <w:family w:val="swiss"/>
    <w:pitch w:val="variable"/>
    <w:sig w:usb0="80000807" w:usb1="40000042" w:usb2="00000000" w:usb3="00000000" w:csb0="00000021" w:csb1="00000000"/>
  </w:font>
  <w:font w:name="Bookman Old Style">
    <w:panose1 w:val="02050604050505020204"/>
    <w:charset w:val="00"/>
    <w:family w:val="roman"/>
    <w:pitch w:val="variable"/>
    <w:sig w:usb0="00000287" w:usb1="00000000" w:usb2="00000000" w:usb3="00000000" w:csb0="0000009F" w:csb1="00000000"/>
  </w:font>
  <w:font w:name="Helvetica">
    <w:panose1 w:val="020B05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1E16" w:rsidRDefault="00470041">
    <w:pPr>
      <w:pStyle w:val="Pieddepage"/>
      <w:pBdr>
        <w:top w:val="thinThickSmallGap" w:sz="24" w:space="1" w:color="622423" w:themeColor="accent2" w:themeShade="7F"/>
      </w:pBdr>
      <w:rPr>
        <w:rFonts w:asciiTheme="majorHAnsi" w:hAnsiTheme="majorHAnsi"/>
      </w:rPr>
    </w:pPr>
    <w:r>
      <w:rPr>
        <w:rFonts w:asciiTheme="majorHAnsi" w:hAnsiTheme="majorHAnsi"/>
      </w:rPr>
      <w:t>DI-SRMNEAN-ECSV BURKINA FASO JU</w:t>
    </w:r>
    <w:r w:rsidR="00611E16">
      <w:rPr>
        <w:rFonts w:asciiTheme="majorHAnsi" w:hAnsiTheme="majorHAnsi"/>
      </w:rPr>
      <w:t>I</w:t>
    </w:r>
    <w:r>
      <w:rPr>
        <w:rFonts w:asciiTheme="majorHAnsi" w:hAnsiTheme="majorHAnsi"/>
      </w:rPr>
      <w:t>N</w:t>
    </w:r>
    <w:r w:rsidR="00611E16">
      <w:rPr>
        <w:rFonts w:asciiTheme="majorHAnsi" w:hAnsiTheme="majorHAnsi"/>
      </w:rPr>
      <w:t xml:space="preserve"> 2019</w:t>
    </w:r>
    <w:r w:rsidR="00611E16">
      <w:rPr>
        <w:rFonts w:asciiTheme="majorHAnsi" w:hAnsiTheme="majorHAnsi"/>
      </w:rPr>
      <w:ptab w:relativeTo="margin" w:alignment="right" w:leader="none"/>
    </w:r>
    <w:r w:rsidR="00611E16">
      <w:rPr>
        <w:rFonts w:asciiTheme="majorHAnsi" w:hAnsiTheme="majorHAnsi"/>
      </w:rPr>
      <w:t xml:space="preserve">Page </w:t>
    </w:r>
    <w:r w:rsidR="00A06EBD">
      <w:rPr>
        <w:rFonts w:asciiTheme="majorHAnsi" w:hAnsiTheme="majorHAnsi"/>
        <w:noProof/>
      </w:rPr>
      <w:fldChar w:fldCharType="begin"/>
    </w:r>
    <w:r w:rsidR="00A06EBD">
      <w:rPr>
        <w:rFonts w:asciiTheme="majorHAnsi" w:hAnsiTheme="majorHAnsi"/>
        <w:noProof/>
      </w:rPr>
      <w:instrText xml:space="preserve"> PAGE   \* MERGEFORMAT </w:instrText>
    </w:r>
    <w:r w:rsidR="00A06EBD">
      <w:rPr>
        <w:rFonts w:asciiTheme="majorHAnsi" w:hAnsiTheme="majorHAnsi"/>
        <w:noProof/>
      </w:rPr>
      <w:fldChar w:fldCharType="separate"/>
    </w:r>
    <w:r w:rsidR="005419AF">
      <w:rPr>
        <w:rFonts w:asciiTheme="majorHAnsi" w:hAnsiTheme="majorHAnsi"/>
        <w:noProof/>
      </w:rPr>
      <w:t>1</w:t>
    </w:r>
    <w:r w:rsidR="00A06EBD">
      <w:rPr>
        <w:rFonts w:asciiTheme="majorHAnsi" w:hAnsiTheme="majorHAnsi"/>
        <w:noProof/>
      </w:rPr>
      <w:fldChar w:fldCharType="end"/>
    </w:r>
  </w:p>
  <w:p w:rsidR="00611E16" w:rsidRPr="00EA6D74" w:rsidRDefault="00611E16">
    <w:pPr>
      <w:pStyle w:val="Normal1"/>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1E16" w:rsidRPr="00EA6D74" w:rsidRDefault="00BF5D0C">
    <w:pPr>
      <w:pStyle w:val="Pieddepage"/>
      <w:pBdr>
        <w:top w:val="thinThickSmallGap" w:sz="24" w:space="1" w:color="622423" w:themeColor="accent2" w:themeShade="7F"/>
      </w:pBdr>
      <w:rPr>
        <w:rFonts w:asciiTheme="majorHAnsi" w:hAnsiTheme="majorHAnsi"/>
      </w:rPr>
    </w:pPr>
    <w:r>
      <w:rPr>
        <w:rFonts w:asciiTheme="majorHAnsi" w:hAnsiTheme="majorHAnsi"/>
      </w:rPr>
      <w:t>DI-SRMNEAN-ECSV BURKINA FASO JUIN 2019</w:t>
    </w:r>
    <w:r w:rsidR="00611E16">
      <w:rPr>
        <w:rFonts w:asciiTheme="majorHAnsi" w:hAnsiTheme="majorHAnsi"/>
      </w:rPr>
      <w:ptab w:relativeTo="margin" w:alignment="right" w:leader="none"/>
    </w:r>
    <w:r w:rsidR="00611E16" w:rsidRPr="00EA6D74">
      <w:rPr>
        <w:rFonts w:asciiTheme="majorHAnsi" w:hAnsiTheme="majorHAnsi"/>
      </w:rPr>
      <w:t xml:space="preserve">Page </w:t>
    </w:r>
    <w:r w:rsidR="00611E16">
      <w:fldChar w:fldCharType="begin"/>
    </w:r>
    <w:r w:rsidR="00611E16" w:rsidRPr="00EA6D74">
      <w:instrText xml:space="preserve"> PAGE   \* MERGEFORMAT </w:instrText>
    </w:r>
    <w:r w:rsidR="00611E16">
      <w:fldChar w:fldCharType="separate"/>
    </w:r>
    <w:r w:rsidRPr="00BF5D0C">
      <w:rPr>
        <w:rFonts w:asciiTheme="majorHAnsi" w:hAnsiTheme="majorHAnsi"/>
        <w:noProof/>
      </w:rPr>
      <w:t>117</w:t>
    </w:r>
    <w:r w:rsidR="00611E16">
      <w:fldChar w:fldCharType="end"/>
    </w:r>
  </w:p>
  <w:p w:rsidR="00611E16" w:rsidRPr="00EA6D74" w:rsidRDefault="00611E16">
    <w:pPr>
      <w:widowControl w:val="0"/>
      <w:autoSpaceDE w:val="0"/>
      <w:autoSpaceDN w:val="0"/>
      <w:adjustRightInd w:val="0"/>
      <w:spacing w:after="0" w:line="200" w:lineRule="exact"/>
      <w:rPr>
        <w:rFonts w:ascii="Times New Roman" w:hAnsi="Times New Roman"/>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3194" w:rsidRDefault="00563194" w:rsidP="00314B92">
      <w:pPr>
        <w:spacing w:after="0" w:line="240" w:lineRule="auto"/>
      </w:pPr>
      <w:r>
        <w:separator/>
      </w:r>
    </w:p>
  </w:footnote>
  <w:footnote w:type="continuationSeparator" w:id="0">
    <w:p w:rsidR="00563194" w:rsidRDefault="00563194" w:rsidP="00314B92">
      <w:pPr>
        <w:spacing w:after="0" w:line="240" w:lineRule="auto"/>
      </w:pPr>
      <w:r>
        <w:continuationSeparator/>
      </w:r>
    </w:p>
  </w:footnote>
  <w:footnote w:id="1">
    <w:p w:rsidR="00611E16" w:rsidRDefault="00611E16">
      <w:pPr>
        <w:pStyle w:val="Notedebasdepage"/>
      </w:pPr>
      <w:r>
        <w:rPr>
          <w:rStyle w:val="Appelnotedebasdep"/>
        </w:rPr>
        <w:footnoteRef/>
      </w:r>
      <w:r>
        <w:t xml:space="preserve"> </w:t>
      </w:r>
      <w:r>
        <w:rPr>
          <w:color w:val="000000"/>
        </w:rPr>
        <w:t>Institut national de la statistique et de la démographie (INSD)</w:t>
      </w:r>
    </w:p>
  </w:footnote>
  <w:footnote w:id="2">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Institut national de la statistique et de la démographie (INSD). (2008). Le Burkina en chiffre  </w:t>
      </w:r>
    </w:p>
  </w:footnote>
  <w:footnote w:id="3">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Annuaire statistique 2017. Ministère de la Santé. Burkina Faso</w:t>
      </w:r>
    </w:p>
  </w:footnote>
  <w:footnote w:id="4">
    <w:p w:rsidR="00611E16" w:rsidRDefault="00611E16">
      <w:pPr>
        <w:pStyle w:val="Normal1"/>
        <w:pBdr>
          <w:top w:val="nil"/>
          <w:left w:val="nil"/>
          <w:bottom w:val="nil"/>
          <w:right w:val="nil"/>
          <w:between w:val="nil"/>
        </w:pBdr>
        <w:spacing w:after="0" w:line="240" w:lineRule="auto"/>
        <w:rPr>
          <w:rFonts w:ascii="Arial Narrow" w:eastAsia="Arial Narrow" w:hAnsi="Arial Narrow" w:cs="Arial Narrow"/>
          <w:color w:val="000000"/>
          <w:sz w:val="16"/>
          <w:szCs w:val="16"/>
        </w:rPr>
      </w:pPr>
      <w:r>
        <w:rPr>
          <w:vertAlign w:val="superscript"/>
        </w:rPr>
        <w:footnoteRef/>
      </w:r>
      <w:r>
        <w:rPr>
          <w:color w:val="000000"/>
          <w:sz w:val="16"/>
          <w:szCs w:val="16"/>
          <w:vertAlign w:val="superscript"/>
        </w:rPr>
        <w:t xml:space="preserve"> </w:t>
      </w:r>
      <w:r>
        <w:rPr>
          <w:color w:val="000000"/>
          <w:sz w:val="16"/>
          <w:szCs w:val="16"/>
        </w:rPr>
        <w:t>Recensement général de la population et de l’habitat, Burkina Faso, 2006</w:t>
      </w:r>
    </w:p>
  </w:footnote>
  <w:footnote w:id="5">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Institut national des statistiques et de la démographie, Burkina, enquête module démographie et santé, 2015 </w:t>
      </w:r>
    </w:p>
  </w:footnote>
  <w:footnote w:id="6">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SMART, 2017</w:t>
      </w:r>
    </w:p>
  </w:footnote>
  <w:footnote w:id="7">
    <w:p w:rsidR="00611E16" w:rsidRDefault="00611E16">
      <w:pPr>
        <w:pStyle w:val="Normal1"/>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Plan national multisectoriel de lutte contre le Sida et les IST, Burkina Faso, 2016</w:t>
      </w:r>
    </w:p>
  </w:footnote>
  <w:footnote w:id="8">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18"/>
          <w:szCs w:val="18"/>
        </w:rPr>
        <w:t xml:space="preserve"> Ministère de la Santé, Burkina Faso, annuaire statistique 2017</w:t>
      </w:r>
    </w:p>
  </w:footnote>
  <w:footnote w:id="9">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Démographique et de santé 1998-1999   Burkina Faso -  Enquête Démographique et de santé 2003 – Burkina Faso - Enquête Démographique et de santé 2010 – Burkina Faso- Enquête Module Démographique et Santé (EMDS) 2015 – Burkina Faso</w:t>
      </w:r>
    </w:p>
  </w:footnote>
  <w:footnote w:id="10">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démographie et santé 1998-99. Burkina Faso</w:t>
      </w:r>
    </w:p>
  </w:footnote>
  <w:footnote w:id="11">
    <w:p w:rsidR="00611E16" w:rsidRPr="006976E9" w:rsidRDefault="00611E16">
      <w:pPr>
        <w:pStyle w:val="Normal1"/>
        <w:spacing w:before="14" w:after="0" w:line="240" w:lineRule="auto"/>
        <w:ind w:right="-20"/>
        <w:rPr>
          <w:b/>
          <w:sz w:val="16"/>
          <w:szCs w:val="16"/>
          <w:lang w:val="en-US"/>
        </w:rPr>
      </w:pPr>
      <w:r w:rsidRPr="006976E9">
        <w:rPr>
          <w:sz w:val="16"/>
          <w:szCs w:val="16"/>
          <w:vertAlign w:val="superscript"/>
        </w:rPr>
        <w:footnoteRef/>
      </w:r>
      <w:r w:rsidRPr="006976E9">
        <w:rPr>
          <w:b/>
          <w:sz w:val="16"/>
          <w:szCs w:val="16"/>
          <w:lang w:val="en-US"/>
        </w:rPr>
        <w:t xml:space="preserve"> </w:t>
      </w:r>
      <w:r w:rsidRPr="006976E9">
        <w:rPr>
          <w:b/>
          <w:color w:val="636466"/>
          <w:sz w:val="16"/>
          <w:szCs w:val="16"/>
          <w:lang w:val="en-US"/>
        </w:rPr>
        <w:t>Kominiarek, M. A. &amp; Peaceman, A. M. Gestational weight gain. Am. J.</w:t>
      </w:r>
      <w:r w:rsidRPr="006976E9">
        <w:rPr>
          <w:b/>
          <w:sz w:val="16"/>
          <w:szCs w:val="16"/>
          <w:lang w:val="en-US"/>
        </w:rPr>
        <w:t xml:space="preserve"> </w:t>
      </w:r>
      <w:r w:rsidRPr="006976E9">
        <w:rPr>
          <w:b/>
          <w:color w:val="636466"/>
          <w:sz w:val="16"/>
          <w:szCs w:val="16"/>
          <w:lang w:val="en-US"/>
        </w:rPr>
        <w:t>Obstet. Gynecol. 217, 642–651 (2017).</w:t>
      </w:r>
    </w:p>
  </w:footnote>
  <w:footnote w:id="12">
    <w:p w:rsidR="00611E16" w:rsidRPr="006976E9" w:rsidRDefault="00611E16">
      <w:pPr>
        <w:pStyle w:val="Normal1"/>
        <w:pBdr>
          <w:top w:val="nil"/>
          <w:left w:val="nil"/>
          <w:bottom w:val="nil"/>
          <w:right w:val="nil"/>
          <w:between w:val="nil"/>
        </w:pBdr>
        <w:spacing w:after="0" w:line="240" w:lineRule="auto"/>
        <w:rPr>
          <w:b/>
          <w:color w:val="000000"/>
          <w:sz w:val="16"/>
          <w:szCs w:val="16"/>
          <w:lang w:val="en-US"/>
        </w:rPr>
      </w:pPr>
      <w:r w:rsidRPr="006976E9">
        <w:rPr>
          <w:sz w:val="16"/>
          <w:szCs w:val="16"/>
          <w:vertAlign w:val="superscript"/>
        </w:rPr>
        <w:footnoteRef/>
      </w:r>
      <w:r w:rsidRPr="006976E9">
        <w:rPr>
          <w:b/>
          <w:color w:val="000000"/>
          <w:sz w:val="16"/>
          <w:szCs w:val="16"/>
          <w:lang w:val="en-US"/>
        </w:rPr>
        <w:t xml:space="preserve"> </w:t>
      </w:r>
      <w:r w:rsidRPr="006976E9">
        <w:rPr>
          <w:b/>
          <w:color w:val="636466"/>
          <w:sz w:val="16"/>
          <w:szCs w:val="16"/>
          <w:lang w:val="en-US"/>
        </w:rPr>
        <w:t>Black, R. E. et al. Maternal and child undernutrition and overweight in low- income and middle-income countries. Lancet Lond. Engl. 382, 427–451 (2013).</w:t>
      </w:r>
    </w:p>
  </w:footnote>
  <w:footnote w:id="13">
    <w:p w:rsidR="00611E16" w:rsidRPr="006976E9" w:rsidRDefault="00611E16">
      <w:pPr>
        <w:pStyle w:val="Normal1"/>
        <w:pBdr>
          <w:top w:val="nil"/>
          <w:left w:val="nil"/>
          <w:bottom w:val="nil"/>
          <w:right w:val="nil"/>
          <w:between w:val="nil"/>
        </w:pBdr>
        <w:spacing w:after="0" w:line="240" w:lineRule="auto"/>
        <w:rPr>
          <w:color w:val="000000"/>
          <w:sz w:val="16"/>
          <w:szCs w:val="16"/>
          <w:lang w:val="en-US"/>
        </w:rPr>
      </w:pPr>
      <w:r w:rsidRPr="006976E9">
        <w:rPr>
          <w:sz w:val="16"/>
          <w:szCs w:val="16"/>
          <w:vertAlign w:val="superscript"/>
        </w:rPr>
        <w:footnoteRef/>
      </w:r>
      <w:r w:rsidRPr="006976E9">
        <w:rPr>
          <w:b/>
          <w:color w:val="000000"/>
          <w:sz w:val="16"/>
          <w:szCs w:val="16"/>
          <w:lang w:val="en-US"/>
        </w:rPr>
        <w:t xml:space="preserve"> </w:t>
      </w:r>
      <w:r w:rsidRPr="006976E9">
        <w:rPr>
          <w:b/>
          <w:color w:val="636466"/>
          <w:sz w:val="16"/>
          <w:szCs w:val="16"/>
          <w:lang w:val="en-US"/>
        </w:rPr>
        <w:t>Arimond, M. et al. Simple Food Group Diversity Indicators Predict Micronutrient Adequacy of Women’s Diets in 5 Diverse, Resource-Poor Settings. J. Nutr. 140, 2059S-2069S (2010).</w:t>
      </w:r>
    </w:p>
  </w:footnote>
  <w:footnote w:id="14">
    <w:p w:rsidR="00611E16" w:rsidRPr="006976E9" w:rsidRDefault="00611E16">
      <w:pPr>
        <w:pStyle w:val="Normal1"/>
        <w:spacing w:after="0"/>
        <w:rPr>
          <w:sz w:val="16"/>
          <w:szCs w:val="16"/>
          <w:lang w:val="en-US"/>
        </w:rPr>
      </w:pPr>
      <w:r w:rsidRPr="006976E9">
        <w:rPr>
          <w:sz w:val="16"/>
          <w:szCs w:val="16"/>
          <w:vertAlign w:val="superscript"/>
        </w:rPr>
        <w:footnoteRef/>
      </w:r>
      <w:r w:rsidRPr="006976E9">
        <w:rPr>
          <w:sz w:val="16"/>
          <w:szCs w:val="16"/>
          <w:lang w:val="en-US"/>
        </w:rPr>
        <w:t>Somé DT, Sombie I, Meda N. What prevent women for a sustainable use of maternal care in two medical districts of Burkina Faso? A qualitative study. Pan Afr Med J. 2014;18:43.</w:t>
      </w:r>
    </w:p>
  </w:footnote>
  <w:footnote w:id="15">
    <w:p w:rsidR="00611E16" w:rsidRPr="006976E9" w:rsidRDefault="00611E16">
      <w:pPr>
        <w:pStyle w:val="Normal1"/>
        <w:spacing w:after="0"/>
        <w:rPr>
          <w:sz w:val="16"/>
          <w:szCs w:val="16"/>
          <w:lang w:val="en-US"/>
        </w:rPr>
      </w:pPr>
      <w:r w:rsidRPr="006976E9">
        <w:rPr>
          <w:sz w:val="16"/>
          <w:szCs w:val="16"/>
          <w:vertAlign w:val="superscript"/>
        </w:rPr>
        <w:footnoteRef/>
      </w:r>
      <w:r w:rsidRPr="006976E9">
        <w:rPr>
          <w:sz w:val="16"/>
          <w:szCs w:val="16"/>
          <w:lang w:val="en-US"/>
        </w:rPr>
        <w:t>Duysburgh E, Ye M, Williams A, Massawe S, Sié A, Williams J, Mpembeni R, Loukanova S, Temmerman M. Counseling on and women’s awareness of pregnancy danger signs in selected rural health facilities in Burkina Faso, Ghana and Tanzania. Trop Med Int Health. 2013;18:1498-509.</w:t>
      </w:r>
    </w:p>
  </w:footnote>
  <w:footnote w:id="16">
    <w:p w:rsidR="00611E16" w:rsidRPr="006976E9" w:rsidRDefault="00611E16">
      <w:pPr>
        <w:pStyle w:val="Normal1"/>
        <w:spacing w:after="0"/>
        <w:rPr>
          <w:sz w:val="16"/>
          <w:szCs w:val="16"/>
          <w:lang w:val="en-US"/>
        </w:rPr>
      </w:pPr>
      <w:r w:rsidRPr="006976E9">
        <w:rPr>
          <w:sz w:val="16"/>
          <w:szCs w:val="16"/>
          <w:vertAlign w:val="superscript"/>
        </w:rPr>
        <w:footnoteRef/>
      </w:r>
      <w:r w:rsidRPr="006976E9">
        <w:rPr>
          <w:sz w:val="16"/>
          <w:szCs w:val="16"/>
          <w:lang w:val="en-US"/>
        </w:rPr>
        <w:t xml:space="preserve">Bell J, Ouedraogo M, Ganaba R, Sombié I, Byass P </w:t>
      </w:r>
      <w:r w:rsidRPr="006976E9">
        <w:rPr>
          <w:i/>
          <w:sz w:val="16"/>
          <w:szCs w:val="16"/>
          <w:lang w:val="en-US"/>
        </w:rPr>
        <w:t xml:space="preserve">et al. </w:t>
      </w:r>
      <w:r w:rsidRPr="006976E9">
        <w:rPr>
          <w:sz w:val="16"/>
          <w:szCs w:val="16"/>
          <w:lang w:val="en-US"/>
        </w:rPr>
        <w:t>The epidemiology of pregnancy outcomes in rural Burkina Faso. Tropical Medicine and International Health. 2008;13:31-41.</w:t>
      </w:r>
    </w:p>
  </w:footnote>
  <w:footnote w:id="17">
    <w:p w:rsidR="00611E16" w:rsidRPr="006976E9" w:rsidRDefault="00611E16">
      <w:pPr>
        <w:pStyle w:val="Normal1"/>
        <w:spacing w:after="0"/>
        <w:jc w:val="both"/>
        <w:rPr>
          <w:sz w:val="16"/>
          <w:szCs w:val="16"/>
          <w:lang w:val="en-US"/>
        </w:rPr>
      </w:pPr>
      <w:r w:rsidRPr="006976E9">
        <w:rPr>
          <w:sz w:val="16"/>
          <w:szCs w:val="16"/>
          <w:vertAlign w:val="superscript"/>
        </w:rPr>
        <w:footnoteRef/>
      </w:r>
      <w:r w:rsidRPr="006976E9">
        <w:rPr>
          <w:sz w:val="16"/>
          <w:szCs w:val="16"/>
          <w:lang w:val="en-US"/>
        </w:rPr>
        <w:t>De Allegri M, Tiendrebéogo J, Müller O, Yé M, Jahn A, Ridde V.Understanding home delivery in a context of user fee reduction: across-sectional mixed methods study in rural Burkina Faso. BMC Pregnancy Childbirth. 2015;15:330. doi : 10.1186/s12884-015-0764-0.</w:t>
      </w:r>
    </w:p>
  </w:footnote>
  <w:footnote w:id="18">
    <w:p w:rsidR="00611E16" w:rsidRPr="006976E9" w:rsidRDefault="00611E16">
      <w:pPr>
        <w:pStyle w:val="Normal1"/>
        <w:spacing w:after="0"/>
        <w:rPr>
          <w:sz w:val="16"/>
          <w:szCs w:val="16"/>
          <w:lang w:val="en-US"/>
        </w:rPr>
      </w:pPr>
      <w:r w:rsidRPr="006976E9">
        <w:rPr>
          <w:sz w:val="16"/>
          <w:szCs w:val="16"/>
          <w:vertAlign w:val="superscript"/>
        </w:rPr>
        <w:footnoteRef/>
      </w:r>
      <w:r w:rsidRPr="006976E9">
        <w:rPr>
          <w:sz w:val="16"/>
          <w:szCs w:val="16"/>
          <w:lang w:val="en-US"/>
        </w:rPr>
        <w:t>Sia D, Fournier P. The role of transportation to access maternal care services for women in rural Bangladesh and Burkina Faso: A mixed methods study. Int J Gynaecol Obstet. 2016;135:S45-S50.</w:t>
      </w:r>
    </w:p>
  </w:footnote>
  <w:footnote w:id="19">
    <w:p w:rsidR="00611E16" w:rsidRPr="006D2860" w:rsidRDefault="00611E16">
      <w:pPr>
        <w:pStyle w:val="Normal1"/>
        <w:spacing w:after="0"/>
        <w:rPr>
          <w:sz w:val="16"/>
          <w:szCs w:val="16"/>
          <w:lang w:val="en-US"/>
        </w:rPr>
      </w:pPr>
      <w:r w:rsidRPr="006976E9">
        <w:rPr>
          <w:sz w:val="16"/>
          <w:szCs w:val="16"/>
          <w:vertAlign w:val="superscript"/>
        </w:rPr>
        <w:footnoteRef/>
      </w:r>
      <w:r w:rsidRPr="006976E9">
        <w:rPr>
          <w:sz w:val="16"/>
          <w:szCs w:val="16"/>
          <w:lang w:val="en-US"/>
        </w:rPr>
        <w:t>Kouanda S, Ouédraogo AM, Ouédraogo GH, Sanon D, Belemviré S, Ouédraogo L. Emergency obstetric and neonatal care needs assessment: Results of the 2010 and 2014 surveys in Burkina Faso. International Journal of Gynecology and Obstetrics 2016;135:S11-S15.</w:t>
      </w:r>
    </w:p>
  </w:footnote>
  <w:footnote w:id="20">
    <w:p w:rsidR="00611E16" w:rsidRPr="00742863" w:rsidRDefault="00611E16">
      <w:pPr>
        <w:pStyle w:val="Normal1"/>
        <w:spacing w:after="0"/>
        <w:rPr>
          <w:sz w:val="16"/>
          <w:szCs w:val="16"/>
          <w:lang w:val="en-US"/>
        </w:rPr>
      </w:pPr>
      <w:r w:rsidRPr="006976E9">
        <w:rPr>
          <w:sz w:val="16"/>
          <w:szCs w:val="16"/>
          <w:vertAlign w:val="superscript"/>
        </w:rPr>
        <w:footnoteRef/>
      </w:r>
      <w:r w:rsidRPr="00742863">
        <w:rPr>
          <w:sz w:val="16"/>
          <w:szCs w:val="16"/>
          <w:lang w:val="en-US"/>
        </w:rPr>
        <w:t xml:space="preserve"> EMC-MDS, 2015.</w:t>
      </w:r>
    </w:p>
  </w:footnote>
  <w:footnote w:id="21">
    <w:p w:rsidR="00611E16" w:rsidRPr="006976E9" w:rsidRDefault="00611E16">
      <w:pPr>
        <w:pStyle w:val="Normal1"/>
        <w:pBdr>
          <w:top w:val="nil"/>
          <w:left w:val="nil"/>
          <w:bottom w:val="nil"/>
          <w:right w:val="nil"/>
          <w:between w:val="nil"/>
        </w:pBdr>
        <w:spacing w:after="0" w:line="240" w:lineRule="auto"/>
        <w:rPr>
          <w:color w:val="000000"/>
          <w:sz w:val="16"/>
          <w:szCs w:val="16"/>
        </w:rPr>
      </w:pPr>
      <w:r w:rsidRPr="006976E9">
        <w:rPr>
          <w:sz w:val="16"/>
          <w:szCs w:val="16"/>
          <w:vertAlign w:val="superscript"/>
        </w:rPr>
        <w:footnoteRef/>
      </w:r>
      <w:r w:rsidRPr="006976E9">
        <w:rPr>
          <w:color w:val="000000"/>
          <w:sz w:val="16"/>
          <w:szCs w:val="16"/>
        </w:rPr>
        <w:t xml:space="preserve"> Enquête Démographique et de santé 1998-1999   Burkina Faso -  Enquête Démographique et de santé 2003 – Burkina Faso </w:t>
      </w:r>
    </w:p>
    <w:p w:rsidR="00611E16" w:rsidRDefault="00611E16">
      <w:pPr>
        <w:pStyle w:val="Normal1"/>
        <w:pBdr>
          <w:top w:val="nil"/>
          <w:left w:val="nil"/>
          <w:bottom w:val="nil"/>
          <w:right w:val="nil"/>
          <w:between w:val="nil"/>
        </w:pBdr>
        <w:spacing w:after="0" w:line="240" w:lineRule="auto"/>
        <w:rPr>
          <w:color w:val="000000"/>
          <w:sz w:val="16"/>
          <w:szCs w:val="16"/>
        </w:rPr>
      </w:pPr>
      <w:r w:rsidRPr="006976E9">
        <w:rPr>
          <w:color w:val="000000"/>
          <w:sz w:val="16"/>
          <w:szCs w:val="16"/>
        </w:rPr>
        <w:t xml:space="preserve">    Enquête Démographique et de santé 2010 – Burkina Faso-  Enquête Module Démographique et Santé (EMDS) 2015 – Burkina Faso</w:t>
      </w:r>
    </w:p>
  </w:footnote>
  <w:footnote w:id="22">
    <w:p w:rsidR="00611E16" w:rsidRDefault="00611E16">
      <w:pPr>
        <w:pStyle w:val="Normal1"/>
        <w:spacing w:after="0" w:line="240" w:lineRule="auto"/>
        <w:jc w:val="both"/>
        <w:rPr>
          <w:sz w:val="16"/>
          <w:szCs w:val="16"/>
        </w:rPr>
      </w:pPr>
      <w:r>
        <w:rPr>
          <w:vertAlign w:val="superscript"/>
        </w:rPr>
        <w:footnoteRef/>
      </w:r>
      <w:r>
        <w:rPr>
          <w:sz w:val="16"/>
          <w:szCs w:val="16"/>
        </w:rPr>
        <w:t xml:space="preserve"> Source : Equist Octobre 2018 (Rapport Enquête EMC 2015 BF)</w:t>
      </w:r>
    </w:p>
    <w:p w:rsidR="00611E16" w:rsidRDefault="00611E16">
      <w:pPr>
        <w:pStyle w:val="Normal1"/>
        <w:pBdr>
          <w:top w:val="nil"/>
          <w:left w:val="nil"/>
          <w:bottom w:val="nil"/>
          <w:right w:val="nil"/>
          <w:between w:val="nil"/>
        </w:pBdr>
        <w:spacing w:after="0" w:line="240" w:lineRule="auto"/>
        <w:rPr>
          <w:color w:val="000000"/>
          <w:sz w:val="20"/>
          <w:szCs w:val="20"/>
        </w:rPr>
      </w:pPr>
    </w:p>
  </w:footnote>
  <w:footnote w:id="23">
    <w:p w:rsidR="00611E16" w:rsidRPr="006D2860" w:rsidRDefault="00611E16">
      <w:pPr>
        <w:pStyle w:val="Normal1"/>
        <w:spacing w:before="14" w:after="0" w:line="240" w:lineRule="auto"/>
        <w:ind w:right="-20"/>
        <w:rPr>
          <w:rFonts w:ascii="Arial" w:eastAsia="Arial" w:hAnsi="Arial" w:cs="Arial"/>
          <w:sz w:val="14"/>
          <w:szCs w:val="14"/>
          <w:lang w:val="en-US"/>
        </w:rPr>
      </w:pPr>
      <w:r>
        <w:rPr>
          <w:vertAlign w:val="superscript"/>
        </w:rPr>
        <w:footnoteRef/>
      </w:r>
      <w:r w:rsidRPr="006D2860">
        <w:rPr>
          <w:lang w:val="en-US"/>
        </w:rPr>
        <w:t xml:space="preserve"> </w:t>
      </w:r>
      <w:r w:rsidRPr="006D2860">
        <w:rPr>
          <w:rFonts w:ascii="Arial" w:eastAsia="Arial" w:hAnsi="Arial" w:cs="Arial"/>
          <w:color w:val="636466"/>
          <w:sz w:val="14"/>
          <w:szCs w:val="14"/>
          <w:lang w:val="en-US"/>
        </w:rPr>
        <w:t>Kominiarek, M. A. &amp; Peaceman, A. M. Gestational weight gain. Am. J.</w:t>
      </w:r>
      <w:r w:rsidRPr="006D2860">
        <w:rPr>
          <w:rFonts w:ascii="Arial" w:eastAsia="Arial" w:hAnsi="Arial" w:cs="Arial"/>
          <w:sz w:val="14"/>
          <w:szCs w:val="14"/>
          <w:lang w:val="en-US"/>
        </w:rPr>
        <w:t xml:space="preserve"> </w:t>
      </w:r>
      <w:r w:rsidRPr="006D2860">
        <w:rPr>
          <w:rFonts w:ascii="Arial" w:eastAsia="Arial" w:hAnsi="Arial" w:cs="Arial"/>
          <w:color w:val="636466"/>
          <w:sz w:val="14"/>
          <w:szCs w:val="14"/>
          <w:lang w:val="en-US"/>
        </w:rPr>
        <w:t>Obstet. Gynecol. 217, 642–651 (2017).</w:t>
      </w:r>
    </w:p>
  </w:footnote>
  <w:footnote w:id="24">
    <w:p w:rsidR="00611E16" w:rsidRPr="006D2860" w:rsidRDefault="00611E16">
      <w:pPr>
        <w:pStyle w:val="Normal1"/>
        <w:pBdr>
          <w:top w:val="nil"/>
          <w:left w:val="nil"/>
          <w:bottom w:val="nil"/>
          <w:right w:val="nil"/>
          <w:between w:val="nil"/>
        </w:pBdr>
        <w:spacing w:after="0" w:line="240" w:lineRule="auto"/>
        <w:rPr>
          <w:color w:val="000000"/>
          <w:sz w:val="20"/>
          <w:szCs w:val="20"/>
          <w:lang w:val="en-US"/>
        </w:rPr>
      </w:pPr>
      <w:r>
        <w:rPr>
          <w:vertAlign w:val="superscript"/>
        </w:rPr>
        <w:footnoteRef/>
      </w:r>
      <w:r w:rsidRPr="006D2860">
        <w:rPr>
          <w:color w:val="000000"/>
          <w:sz w:val="20"/>
          <w:szCs w:val="20"/>
          <w:lang w:val="en-US"/>
        </w:rPr>
        <w:t xml:space="preserve"> </w:t>
      </w:r>
      <w:r w:rsidRPr="006D2860">
        <w:rPr>
          <w:rFonts w:ascii="Arial" w:eastAsia="Arial" w:hAnsi="Arial" w:cs="Arial"/>
          <w:color w:val="636466"/>
          <w:sz w:val="14"/>
          <w:szCs w:val="14"/>
          <w:lang w:val="en-US"/>
        </w:rPr>
        <w:t>Black, R. E. et al. Maternal and child undernutrition and overweight in low- income and middle-income countries. Lancet Lond. Engl. 382, 427–451 (2013).</w:t>
      </w:r>
    </w:p>
  </w:footnote>
  <w:footnote w:id="25">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sidRPr="006D2860">
        <w:rPr>
          <w:color w:val="000000"/>
          <w:sz w:val="20"/>
          <w:szCs w:val="20"/>
          <w:lang w:val="en-US"/>
        </w:rPr>
        <w:t xml:space="preserve"> </w:t>
      </w:r>
      <w:r w:rsidRPr="006D2860">
        <w:rPr>
          <w:rFonts w:ascii="Arial" w:eastAsia="Arial" w:hAnsi="Arial" w:cs="Arial"/>
          <w:color w:val="636466"/>
          <w:sz w:val="14"/>
          <w:szCs w:val="14"/>
          <w:lang w:val="en-US"/>
        </w:rPr>
        <w:t xml:space="preserve">Arimond, M. et al. Simple Food Group Diversity Indicators Predict Micronutrient Adequacy of Women’s Diets in 5 Diverse, Resource-Poor Settings. </w:t>
      </w:r>
      <w:r>
        <w:rPr>
          <w:rFonts w:ascii="Arial" w:eastAsia="Arial" w:hAnsi="Arial" w:cs="Arial"/>
          <w:color w:val="636466"/>
          <w:sz w:val="14"/>
          <w:szCs w:val="14"/>
        </w:rPr>
        <w:t>J. Nutr. 140, 2059S-2069S (2010).</w:t>
      </w:r>
    </w:p>
  </w:footnote>
  <w:footnote w:id="26">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Démographique et de santé 2010 – Burkina Faso-  </w:t>
      </w:r>
    </w:p>
  </w:footnote>
  <w:footnote w:id="27">
    <w:p w:rsidR="00611E16" w:rsidRDefault="00611E16">
      <w:pPr>
        <w:pStyle w:val="Normal1"/>
        <w:spacing w:after="0"/>
        <w:rPr>
          <w:sz w:val="16"/>
          <w:szCs w:val="16"/>
        </w:rPr>
      </w:pPr>
      <w:r>
        <w:rPr>
          <w:vertAlign w:val="superscript"/>
        </w:rPr>
        <w:footnoteRef/>
      </w:r>
      <w:r w:rsidRPr="006D2860">
        <w:rPr>
          <w:sz w:val="16"/>
          <w:szCs w:val="16"/>
          <w:lang w:val="en-US"/>
        </w:rPr>
        <w:t xml:space="preserve">Liu L, Johnson HL, Cousens S, Perin J, Scott S, Lawn JE, et al. Global, regional, and national causes of child mortality: an   updated systematic analysis for 2010 with time trends since 2000. </w:t>
      </w:r>
      <w:r>
        <w:rPr>
          <w:sz w:val="16"/>
          <w:szCs w:val="16"/>
        </w:rPr>
        <w:t>Lancet. 9 juin 2012 ; 379(9832):2151-61.</w:t>
      </w:r>
    </w:p>
  </w:footnote>
  <w:footnote w:id="28">
    <w:p w:rsidR="00611E16" w:rsidRDefault="00611E16">
      <w:pPr>
        <w:pStyle w:val="Normal1"/>
        <w:spacing w:after="0"/>
        <w:jc w:val="both"/>
      </w:pPr>
      <w:r>
        <w:rPr>
          <w:vertAlign w:val="superscript"/>
        </w:rPr>
        <w:footnoteRef/>
      </w:r>
      <w:r>
        <w:rPr>
          <w:sz w:val="16"/>
          <w:szCs w:val="16"/>
        </w:rPr>
        <w:t>Ministère de la Santé, 2008.</w:t>
      </w:r>
    </w:p>
  </w:footnote>
  <w:footnote w:id="29">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EDS BURKINA 1998-99, EDS BURKINA 2003 et EDS BURKINA2010</w:t>
      </w:r>
    </w:p>
  </w:footnote>
  <w:footnote w:id="30">
    <w:p w:rsidR="00611E16" w:rsidRDefault="00611E16">
      <w:pPr>
        <w:pStyle w:val="Normal1"/>
        <w:spacing w:after="0"/>
        <w:jc w:val="both"/>
        <w:rPr>
          <w:i/>
          <w:sz w:val="16"/>
          <w:szCs w:val="16"/>
        </w:rPr>
      </w:pPr>
      <w:r>
        <w:rPr>
          <w:vertAlign w:val="superscript"/>
        </w:rPr>
        <w:footnoteRef/>
      </w:r>
      <w:r>
        <w:t xml:space="preserve"> </w:t>
      </w:r>
      <w:r>
        <w:rPr>
          <w:sz w:val="16"/>
          <w:szCs w:val="16"/>
        </w:rPr>
        <w:t xml:space="preserve">Institut National de la Statistique et de la Démographie, et Macro International Inc. 2000. </w:t>
      </w:r>
      <w:r>
        <w:rPr>
          <w:i/>
          <w:sz w:val="16"/>
          <w:szCs w:val="16"/>
        </w:rPr>
        <w:t xml:space="preserve">Enquête Démographique et de Santé, Burkina Faso 1998-1999. </w:t>
      </w:r>
      <w:r>
        <w:rPr>
          <w:sz w:val="16"/>
          <w:szCs w:val="16"/>
        </w:rPr>
        <w:t>Calverton, Maryland (USA) : Macro International Inc.</w:t>
      </w:r>
    </w:p>
  </w:footnote>
  <w:footnote w:id="31">
    <w:p w:rsidR="00611E16" w:rsidRDefault="00611E16">
      <w:pPr>
        <w:pStyle w:val="Normal1"/>
        <w:spacing w:after="0"/>
        <w:jc w:val="both"/>
        <w:rPr>
          <w:i/>
          <w:sz w:val="16"/>
          <w:szCs w:val="16"/>
        </w:rPr>
      </w:pPr>
      <w:r>
        <w:rPr>
          <w:vertAlign w:val="superscript"/>
        </w:rPr>
        <w:footnoteRef/>
      </w:r>
      <w:r>
        <w:t xml:space="preserve"> </w:t>
      </w:r>
      <w:r>
        <w:rPr>
          <w:sz w:val="16"/>
          <w:szCs w:val="16"/>
        </w:rPr>
        <w:t xml:space="preserve">Institut National de la Statistique et de la Démographie (INSD) et ORC Macro. 2004. </w:t>
      </w:r>
      <w:r>
        <w:rPr>
          <w:i/>
          <w:sz w:val="16"/>
          <w:szCs w:val="16"/>
        </w:rPr>
        <w:t>Enquête Démographique et de Santé du Burkina Faso 2003</w:t>
      </w:r>
      <w:r>
        <w:rPr>
          <w:sz w:val="16"/>
          <w:szCs w:val="16"/>
        </w:rPr>
        <w:t>. Calverton, Maryland, USA : INSD et ORC Macro.</w:t>
      </w:r>
    </w:p>
  </w:footnote>
  <w:footnote w:id="32">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color w:val="000000"/>
          <w:sz w:val="16"/>
          <w:szCs w:val="16"/>
        </w:rPr>
        <w:t xml:space="preserve">Institut National de la Statistique et de la Démographie (INSD) et ICF International, 2012. </w:t>
      </w:r>
      <w:r>
        <w:rPr>
          <w:i/>
          <w:color w:val="000000"/>
          <w:sz w:val="16"/>
          <w:szCs w:val="16"/>
        </w:rPr>
        <w:t>Enquête Démographique et de Santé et à Indicateurs Multiples du Burkina Faso 2010</w:t>
      </w:r>
      <w:r>
        <w:rPr>
          <w:color w:val="000000"/>
          <w:sz w:val="16"/>
          <w:szCs w:val="16"/>
        </w:rPr>
        <w:t>. Calverton, Maryland, USA : INSD et ICF International.</w:t>
      </w:r>
    </w:p>
  </w:footnote>
  <w:footnote w:id="33">
    <w:p w:rsidR="00611E16" w:rsidRPr="00AD2787" w:rsidRDefault="00611E16">
      <w:pPr>
        <w:pStyle w:val="Normal1"/>
        <w:pBdr>
          <w:top w:val="nil"/>
          <w:left w:val="nil"/>
          <w:bottom w:val="nil"/>
          <w:right w:val="nil"/>
          <w:between w:val="nil"/>
        </w:pBdr>
        <w:spacing w:after="0" w:line="240" w:lineRule="auto"/>
        <w:rPr>
          <w:color w:val="000000"/>
          <w:sz w:val="16"/>
          <w:szCs w:val="16"/>
        </w:rPr>
      </w:pPr>
      <w:r w:rsidRPr="00AD2787">
        <w:rPr>
          <w:sz w:val="16"/>
          <w:szCs w:val="16"/>
          <w:vertAlign w:val="superscript"/>
        </w:rPr>
        <w:footnoteRef/>
      </w:r>
      <w:r w:rsidRPr="00AD2787">
        <w:rPr>
          <w:color w:val="000000"/>
          <w:sz w:val="16"/>
          <w:szCs w:val="16"/>
        </w:rPr>
        <w:t xml:space="preserve"> Institut National de la Statistique et de la Démographie (INSD) et ICF International, 2012. </w:t>
      </w:r>
      <w:r w:rsidRPr="00AD2787">
        <w:rPr>
          <w:i/>
          <w:color w:val="000000"/>
          <w:sz w:val="16"/>
          <w:szCs w:val="16"/>
        </w:rPr>
        <w:t>Enquête Démographique et de Santé et à Indicateurs Multiples du Burkina Faso 2010</w:t>
      </w:r>
      <w:r w:rsidRPr="00AD2787">
        <w:rPr>
          <w:color w:val="000000"/>
          <w:sz w:val="16"/>
          <w:szCs w:val="16"/>
        </w:rPr>
        <w:t>. Calverton, Maryland, USA : INSD et ICF International.</w:t>
      </w:r>
    </w:p>
  </w:footnote>
  <w:footnote w:id="34">
    <w:p w:rsidR="00611E16" w:rsidRPr="00AD2787" w:rsidRDefault="00611E16">
      <w:pPr>
        <w:pStyle w:val="Normal1"/>
        <w:spacing w:after="0" w:line="240" w:lineRule="auto"/>
        <w:jc w:val="both"/>
        <w:rPr>
          <w:sz w:val="16"/>
          <w:szCs w:val="16"/>
        </w:rPr>
      </w:pPr>
      <w:r w:rsidRPr="00AD2787">
        <w:rPr>
          <w:sz w:val="16"/>
          <w:szCs w:val="16"/>
          <w:vertAlign w:val="superscript"/>
        </w:rPr>
        <w:footnoteRef/>
      </w:r>
      <w:r w:rsidRPr="00AD2787">
        <w:rPr>
          <w:sz w:val="16"/>
          <w:szCs w:val="16"/>
        </w:rPr>
        <w:t xml:space="preserve"> Rapport ONUSIDA, 2014</w:t>
      </w:r>
    </w:p>
  </w:footnote>
  <w:footnote w:id="35">
    <w:p w:rsidR="00611E16" w:rsidRDefault="00611E16">
      <w:pPr>
        <w:pStyle w:val="Normal1"/>
        <w:pBdr>
          <w:top w:val="nil"/>
          <w:left w:val="nil"/>
          <w:bottom w:val="nil"/>
          <w:right w:val="nil"/>
          <w:between w:val="nil"/>
        </w:pBdr>
        <w:spacing w:after="0" w:line="240" w:lineRule="auto"/>
        <w:rPr>
          <w:color w:val="000000"/>
          <w:sz w:val="16"/>
          <w:szCs w:val="16"/>
        </w:rPr>
      </w:pPr>
      <w:r w:rsidRPr="00AD2787">
        <w:rPr>
          <w:sz w:val="16"/>
          <w:szCs w:val="16"/>
          <w:vertAlign w:val="superscript"/>
        </w:rPr>
        <w:footnoteRef/>
      </w:r>
      <w:r w:rsidRPr="00AD2787">
        <w:rPr>
          <w:color w:val="000000"/>
          <w:sz w:val="16"/>
          <w:szCs w:val="16"/>
        </w:rPr>
        <w:t xml:space="preserve"> Enquête module démographie et santé, Burkina Faso. 2015</w:t>
      </w:r>
    </w:p>
  </w:footnote>
  <w:footnote w:id="36">
    <w:p w:rsidR="00611E16" w:rsidRDefault="00611E16">
      <w:pPr>
        <w:pStyle w:val="Normal1"/>
        <w:spacing w:after="0" w:line="240" w:lineRule="auto"/>
        <w:jc w:val="both"/>
        <w:rPr>
          <w:sz w:val="16"/>
          <w:szCs w:val="16"/>
        </w:rPr>
      </w:pPr>
      <w:r>
        <w:rPr>
          <w:vertAlign w:val="superscript"/>
        </w:rPr>
        <w:footnoteRef/>
      </w:r>
      <w:r>
        <w:rPr>
          <w:sz w:val="16"/>
          <w:szCs w:val="16"/>
        </w:rPr>
        <w:t xml:space="preserve">Voir quelques exemples éloquents présentés en ligne par un responsable du RAJS en suivant le lien : </w:t>
      </w:r>
      <w:hyperlink r:id="rId1">
        <w:r>
          <w:rPr>
            <w:color w:val="0000FF"/>
            <w:sz w:val="16"/>
            <w:szCs w:val="16"/>
            <w:u w:val="single"/>
          </w:rPr>
          <w:t>www.bayiri.com/societe/sciences-sante /grossesses-non-desirees-et-paternites-precoces-le-rajs-bf-lance-sa-campagne-talents-de-jeunes-2013.html</w:t>
        </w:r>
      </w:hyperlink>
      <w:r>
        <w:rPr>
          <w:sz w:val="16"/>
          <w:szCs w:val="16"/>
        </w:rPr>
        <w:t xml:space="preserve">. </w:t>
      </w:r>
    </w:p>
  </w:footnote>
  <w:footnote w:id="37">
    <w:p w:rsidR="00611E16" w:rsidRPr="00AD2787" w:rsidRDefault="00611E16">
      <w:pPr>
        <w:pStyle w:val="Normal1"/>
        <w:pBdr>
          <w:top w:val="nil"/>
          <w:left w:val="nil"/>
          <w:bottom w:val="nil"/>
          <w:right w:val="nil"/>
          <w:between w:val="nil"/>
        </w:pBdr>
        <w:spacing w:after="0" w:line="240" w:lineRule="auto"/>
        <w:rPr>
          <w:color w:val="000000"/>
          <w:sz w:val="16"/>
          <w:szCs w:val="16"/>
          <w:lang w:val="en-US"/>
        </w:rPr>
      </w:pPr>
      <w:r w:rsidRPr="00AD2787">
        <w:rPr>
          <w:sz w:val="16"/>
          <w:szCs w:val="16"/>
          <w:vertAlign w:val="superscript"/>
        </w:rPr>
        <w:footnoteRef/>
      </w:r>
      <w:r w:rsidRPr="00AD2787">
        <w:rPr>
          <w:color w:val="000000"/>
          <w:sz w:val="16"/>
          <w:szCs w:val="16"/>
        </w:rPr>
        <w:t xml:space="preserve"> Avortement au Burkina Faso. Guttmacher Institute. </w:t>
      </w:r>
      <w:r w:rsidRPr="00AD2787">
        <w:rPr>
          <w:color w:val="000000"/>
          <w:sz w:val="16"/>
          <w:szCs w:val="16"/>
          <w:lang w:val="en-US"/>
        </w:rPr>
        <w:t>New York, Février 2014.</w:t>
      </w:r>
    </w:p>
  </w:footnote>
  <w:footnote w:id="38">
    <w:p w:rsidR="00611E16" w:rsidRPr="00AD2787" w:rsidRDefault="00611E16">
      <w:pPr>
        <w:pStyle w:val="Normal1"/>
        <w:spacing w:after="0" w:line="240" w:lineRule="auto"/>
        <w:jc w:val="both"/>
        <w:rPr>
          <w:sz w:val="16"/>
          <w:szCs w:val="16"/>
          <w:vertAlign w:val="superscript"/>
          <w:lang w:val="en-US"/>
        </w:rPr>
      </w:pPr>
      <w:r w:rsidRPr="00AD2787">
        <w:rPr>
          <w:sz w:val="16"/>
          <w:szCs w:val="16"/>
          <w:vertAlign w:val="superscript"/>
        </w:rPr>
        <w:footnoteRef/>
      </w:r>
      <w:r w:rsidRPr="00AD2787">
        <w:rPr>
          <w:sz w:val="16"/>
          <w:szCs w:val="16"/>
          <w:lang w:val="en-US"/>
        </w:rPr>
        <w:t>EDS, 2010.</w:t>
      </w:r>
    </w:p>
  </w:footnote>
  <w:footnote w:id="39">
    <w:p w:rsidR="00611E16" w:rsidRPr="00AD2787" w:rsidRDefault="00611E16" w:rsidP="00AD2787">
      <w:pPr>
        <w:pStyle w:val="Normal1"/>
        <w:spacing w:after="0" w:line="240" w:lineRule="auto"/>
        <w:jc w:val="both"/>
        <w:rPr>
          <w:sz w:val="16"/>
          <w:szCs w:val="16"/>
          <w:lang w:val="en-US"/>
        </w:rPr>
      </w:pPr>
      <w:r w:rsidRPr="00AD2787">
        <w:rPr>
          <w:sz w:val="16"/>
          <w:szCs w:val="16"/>
          <w:vertAlign w:val="superscript"/>
        </w:rPr>
        <w:footnoteRef/>
      </w:r>
      <w:r w:rsidRPr="00AD2787">
        <w:rPr>
          <w:sz w:val="16"/>
          <w:szCs w:val="16"/>
          <w:lang w:val="en-US"/>
        </w:rPr>
        <w:t>ENIAB, 2014.</w:t>
      </w:r>
    </w:p>
  </w:footnote>
  <w:footnote w:id="40">
    <w:p w:rsidR="00611E16" w:rsidRDefault="00611E16" w:rsidP="00AD2787">
      <w:pPr>
        <w:pStyle w:val="Normal1"/>
        <w:spacing w:after="0" w:line="240" w:lineRule="auto"/>
        <w:rPr>
          <w:color w:val="000000"/>
          <w:sz w:val="16"/>
          <w:szCs w:val="16"/>
        </w:rPr>
      </w:pPr>
      <w:r w:rsidRPr="00AD2787">
        <w:rPr>
          <w:sz w:val="16"/>
          <w:szCs w:val="16"/>
          <w:vertAlign w:val="superscript"/>
        </w:rPr>
        <w:footnoteRef/>
      </w:r>
      <w:r w:rsidRPr="00AD2787">
        <w:rPr>
          <w:sz w:val="16"/>
          <w:szCs w:val="16"/>
        </w:rPr>
        <w:t xml:space="preserve"> </w:t>
      </w:r>
      <w:r w:rsidRPr="00AD2787">
        <w:rPr>
          <w:i/>
          <w:color w:val="4D4D4D"/>
          <w:sz w:val="16"/>
          <w:szCs w:val="16"/>
        </w:rPr>
        <w:t xml:space="preserve">Guide d’orientation pour l’élaboration des stratégies nationales en matière d’offre de services de santé intègres </w:t>
      </w:r>
      <w:r w:rsidRPr="00AD2787">
        <w:rPr>
          <w:color w:val="000000"/>
          <w:sz w:val="16"/>
          <w:szCs w:val="16"/>
        </w:rPr>
        <w:t>adaptés aux adolescent(e)s et jeunes dans les pays de l’espace CEDEAO</w:t>
      </w:r>
    </w:p>
  </w:footnote>
  <w:footnote w:id="41">
    <w:p w:rsidR="00611E16" w:rsidRDefault="00611E16">
      <w:pPr>
        <w:pStyle w:val="Normal1"/>
        <w:pBdr>
          <w:top w:val="nil"/>
          <w:left w:val="nil"/>
          <w:bottom w:val="nil"/>
          <w:right w:val="nil"/>
          <w:between w:val="nil"/>
        </w:pBdr>
        <w:spacing w:after="0" w:line="240" w:lineRule="auto"/>
        <w:jc w:val="both"/>
        <w:rPr>
          <w:color w:val="000000"/>
          <w:sz w:val="16"/>
          <w:szCs w:val="16"/>
        </w:rPr>
      </w:pPr>
      <w:r>
        <w:rPr>
          <w:vertAlign w:val="superscript"/>
        </w:rPr>
        <w:footnoteRef/>
      </w:r>
      <w:r w:rsidRPr="006D2860">
        <w:rPr>
          <w:color w:val="000000"/>
          <w:sz w:val="16"/>
          <w:szCs w:val="16"/>
          <w:lang w:val="en-US"/>
        </w:rPr>
        <w:t xml:space="preserve">EDS Burkina Faso 1998-99, EDS Burkina Faso 2003, EDS – MICS Burkina Faso 2010, Evaluation Mi-Parcours du PNDS 2011-20 Burkina Faso. </w:t>
      </w:r>
      <w:r>
        <w:rPr>
          <w:color w:val="000000"/>
          <w:sz w:val="16"/>
          <w:szCs w:val="16"/>
        </w:rPr>
        <w:t>Rapport – Ministère de la santé publique 2016, Enquête nutritionnelle nationale SMART 2016</w:t>
      </w:r>
    </w:p>
  </w:footnote>
  <w:footnote w:id="42">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Arial" w:eastAsia="Arial" w:hAnsi="Arial" w:cs="Arial"/>
          <w:color w:val="636466"/>
          <w:sz w:val="14"/>
          <w:szCs w:val="14"/>
        </w:rPr>
        <w:t>Enquête Multisectorielle Continue Phase I, composante santé de la population et des ménage, INSD, 2015</w:t>
      </w:r>
    </w:p>
  </w:footnote>
  <w:footnote w:id="43">
    <w:p w:rsidR="00611E16" w:rsidRDefault="00611E16">
      <w:pPr>
        <w:pStyle w:val="Normal1"/>
        <w:spacing w:after="0"/>
        <w:jc w:val="both"/>
        <w:rPr>
          <w:sz w:val="16"/>
          <w:szCs w:val="16"/>
        </w:rPr>
      </w:pPr>
      <w:r>
        <w:rPr>
          <w:vertAlign w:val="superscript"/>
        </w:rPr>
        <w:footnoteRef/>
      </w:r>
      <w:r>
        <w:rPr>
          <w:sz w:val="16"/>
          <w:szCs w:val="16"/>
        </w:rPr>
        <w:t>ENIAB, 2014.</w:t>
      </w:r>
    </w:p>
  </w:footnote>
  <w:footnote w:id="44">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Analyse par l’Outil Equist sur Base de données  DHS 2010</w:t>
      </w:r>
    </w:p>
  </w:footnote>
  <w:footnote w:id="45">
    <w:p w:rsidR="00611E16" w:rsidRPr="0061329A" w:rsidRDefault="00611E16">
      <w:pPr>
        <w:pStyle w:val="Normal1"/>
        <w:pBdr>
          <w:top w:val="nil"/>
          <w:left w:val="nil"/>
          <w:bottom w:val="nil"/>
          <w:right w:val="nil"/>
          <w:between w:val="nil"/>
        </w:pBdr>
        <w:spacing w:after="0" w:line="240" w:lineRule="auto"/>
        <w:rPr>
          <w:color w:val="000000"/>
          <w:sz w:val="16"/>
          <w:szCs w:val="16"/>
        </w:rPr>
      </w:pPr>
      <w:r w:rsidRPr="0061329A">
        <w:rPr>
          <w:sz w:val="16"/>
          <w:szCs w:val="16"/>
          <w:vertAlign w:val="superscript"/>
        </w:rPr>
        <w:footnoteRef/>
      </w:r>
      <w:r w:rsidRPr="0061329A">
        <w:rPr>
          <w:color w:val="000000"/>
          <w:sz w:val="16"/>
          <w:szCs w:val="16"/>
        </w:rPr>
        <w:t xml:space="preserve"> ENIAB 2014</w:t>
      </w:r>
    </w:p>
  </w:footnote>
  <w:footnote w:id="46">
    <w:p w:rsidR="00611E16" w:rsidRPr="0061329A" w:rsidRDefault="00611E16">
      <w:pPr>
        <w:pStyle w:val="Normal1"/>
        <w:pBdr>
          <w:top w:val="nil"/>
          <w:left w:val="nil"/>
          <w:bottom w:val="nil"/>
          <w:right w:val="nil"/>
          <w:between w:val="nil"/>
        </w:pBdr>
        <w:spacing w:after="0" w:line="240" w:lineRule="auto"/>
        <w:rPr>
          <w:color w:val="000000"/>
          <w:sz w:val="16"/>
          <w:szCs w:val="16"/>
        </w:rPr>
      </w:pPr>
      <w:r w:rsidRPr="0061329A">
        <w:rPr>
          <w:sz w:val="16"/>
          <w:szCs w:val="16"/>
          <w:vertAlign w:val="superscript"/>
        </w:rPr>
        <w:footnoteRef/>
      </w:r>
      <w:r w:rsidRPr="0061329A">
        <w:rPr>
          <w:color w:val="000000"/>
          <w:sz w:val="16"/>
          <w:szCs w:val="16"/>
        </w:rPr>
        <w:t xml:space="preserve"> Annuaire statistique 2016. Ministère de la Santé Publique. Burkina Faso</w:t>
      </w:r>
    </w:p>
  </w:footnote>
  <w:footnote w:id="47">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nationale sur la disponibilité et la capacité opérationnelle des services de santé (SARA III) Edition 2016. Ministère de la Santé</w:t>
      </w:r>
    </w:p>
    <w:p w:rsidR="00611E16" w:rsidRDefault="00611E16">
      <w:pPr>
        <w:pStyle w:val="Normal1"/>
        <w:pBdr>
          <w:top w:val="nil"/>
          <w:left w:val="nil"/>
          <w:bottom w:val="nil"/>
          <w:right w:val="nil"/>
          <w:between w:val="nil"/>
        </w:pBdr>
        <w:spacing w:after="0" w:line="240" w:lineRule="auto"/>
        <w:rPr>
          <w:color w:val="000000"/>
          <w:sz w:val="16"/>
          <w:szCs w:val="16"/>
        </w:rPr>
      </w:pPr>
      <w:r>
        <w:rPr>
          <w:color w:val="000000"/>
          <w:sz w:val="16"/>
          <w:szCs w:val="16"/>
        </w:rPr>
        <w:t xml:space="preserve">     Publique-Burkina Faso</w:t>
      </w:r>
    </w:p>
  </w:footnote>
  <w:footnote w:id="48">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Annuaire statistique 2016. Ministère de la Santé Publique. Burkina Faso</w:t>
      </w:r>
    </w:p>
  </w:footnote>
  <w:footnote w:id="49">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16"/>
          <w:szCs w:val="16"/>
        </w:rPr>
        <w:t xml:space="preserve"> Annuaire statistique 2017. Ministère de la Santé Publique. Burkina Faso</w:t>
      </w:r>
    </w:p>
  </w:footnote>
  <w:footnote w:id="50">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Analyse avec l’outil EQUIST </w:t>
      </w:r>
      <w:r w:rsidR="00A5342F">
        <w:rPr>
          <w:color w:val="000000"/>
          <w:sz w:val="16"/>
          <w:szCs w:val="16"/>
        </w:rPr>
        <w:t>.</w:t>
      </w:r>
    </w:p>
    <w:p w:rsidR="00611E16" w:rsidRDefault="00611E16">
      <w:pPr>
        <w:pStyle w:val="Normal1"/>
        <w:spacing w:after="0" w:line="240" w:lineRule="auto"/>
        <w:rPr>
          <w:color w:val="222222"/>
          <w:sz w:val="16"/>
          <w:szCs w:val="16"/>
        </w:rPr>
      </w:pPr>
      <w:r>
        <w:rPr>
          <w:sz w:val="16"/>
          <w:szCs w:val="16"/>
        </w:rPr>
        <w:t xml:space="preserve">29 </w:t>
      </w:r>
      <w:r>
        <w:rPr>
          <w:color w:val="222222"/>
          <w:sz w:val="16"/>
          <w:szCs w:val="16"/>
        </w:rPr>
        <w:t>Marietou Niang et al., « Le non-recours aux soins prénatals au Burkina Faso »,Santé Publique 2015/3 (Vol. 27), p. 405-414.</w:t>
      </w:r>
    </w:p>
    <w:p w:rsidR="00611E16" w:rsidRDefault="00611E16">
      <w:pPr>
        <w:pStyle w:val="Normal1"/>
        <w:pBdr>
          <w:top w:val="nil"/>
          <w:left w:val="nil"/>
          <w:bottom w:val="nil"/>
          <w:right w:val="nil"/>
          <w:between w:val="nil"/>
        </w:pBdr>
        <w:spacing w:after="0" w:line="240" w:lineRule="auto"/>
        <w:rPr>
          <w:color w:val="000000"/>
          <w:sz w:val="20"/>
          <w:szCs w:val="20"/>
        </w:rPr>
      </w:pPr>
    </w:p>
  </w:footnote>
  <w:footnote w:id="51">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Annuaire statistique MS 2017</w:t>
      </w:r>
    </w:p>
  </w:footnote>
  <w:footnote w:id="52">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SARA. 2016</w:t>
      </w:r>
    </w:p>
  </w:footnote>
  <w:footnote w:id="53">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Performance Monitoring and Accountability 2020 (PMA2020), Institut Supérieur des Sciences de la Population (ISSP) at Université Ouaga I Pr Joseph Ki-Zerbo, 2017.</w:t>
      </w:r>
    </w:p>
  </w:footnote>
  <w:footnote w:id="54">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Annuaire statistique 2017. Ministère de la Santé. Burkina Faso</w:t>
      </w:r>
    </w:p>
  </w:footnote>
  <w:footnote w:id="55">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color w:val="000000"/>
          <w:sz w:val="16"/>
          <w:szCs w:val="16"/>
        </w:rPr>
        <w:t>Enquête SARA. 2016</w:t>
      </w:r>
    </w:p>
  </w:footnote>
  <w:footnote w:id="56">
    <w:p w:rsidR="00611E16" w:rsidRDefault="00611E16">
      <w:pPr>
        <w:pStyle w:val="Normal1"/>
        <w:pBdr>
          <w:top w:val="nil"/>
          <w:left w:val="nil"/>
          <w:bottom w:val="nil"/>
          <w:right w:val="nil"/>
          <w:between w:val="nil"/>
        </w:pBdr>
        <w:spacing w:after="0" w:line="240" w:lineRule="auto"/>
        <w:rPr>
          <w:rFonts w:ascii="Arial" w:eastAsia="Arial" w:hAnsi="Arial" w:cs="Arial"/>
          <w:color w:val="000000"/>
          <w:sz w:val="24"/>
          <w:szCs w:val="24"/>
        </w:rPr>
      </w:pPr>
      <w:r>
        <w:rPr>
          <w:vertAlign w:val="superscript"/>
        </w:rPr>
        <w:footnoteRef/>
      </w:r>
      <w:r>
        <w:rPr>
          <w:rFonts w:ascii="Arial" w:eastAsia="Arial" w:hAnsi="Arial" w:cs="Arial"/>
          <w:color w:val="000000"/>
          <w:sz w:val="24"/>
          <w:szCs w:val="24"/>
        </w:rPr>
        <w:t xml:space="preserve">  </w:t>
      </w:r>
      <w:r>
        <w:rPr>
          <w:rFonts w:ascii="Arial" w:eastAsia="Arial" w:hAnsi="Arial" w:cs="Arial"/>
          <w:b/>
          <w:color w:val="000000"/>
          <w:sz w:val="16"/>
          <w:szCs w:val="16"/>
        </w:rPr>
        <w:t>Enquête nationale sur la disponibilité et la capacité opérationnelle des services de santé (SARA III) Edition 2016</w:t>
      </w:r>
    </w:p>
  </w:footnote>
  <w:footnote w:id="57">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b/>
          <w:color w:val="000000"/>
          <w:sz w:val="16"/>
          <w:szCs w:val="16"/>
        </w:rPr>
        <w:t>Enquête nationale sur la disponibilité et la capacité opérationnelle des services de santé (SARA III) Edition 2016</w:t>
      </w:r>
    </w:p>
  </w:footnote>
  <w:footnote w:id="58">
    <w:p w:rsidR="00611E16" w:rsidRDefault="00611E16">
      <w:pPr>
        <w:pStyle w:val="Normal1"/>
        <w:pBdr>
          <w:top w:val="nil"/>
          <w:left w:val="nil"/>
          <w:bottom w:val="nil"/>
          <w:right w:val="nil"/>
          <w:between w:val="nil"/>
        </w:pBdr>
        <w:spacing w:after="0" w:line="240" w:lineRule="auto"/>
        <w:rPr>
          <w:rFonts w:ascii="Arial" w:eastAsia="Arial" w:hAnsi="Arial" w:cs="Arial"/>
          <w:color w:val="000000"/>
          <w:sz w:val="24"/>
          <w:szCs w:val="24"/>
        </w:rPr>
      </w:pPr>
      <w:r>
        <w:rPr>
          <w:vertAlign w:val="superscript"/>
        </w:rPr>
        <w:footnoteRef/>
      </w:r>
      <w:r>
        <w:rPr>
          <w:rFonts w:ascii="Arial" w:eastAsia="Arial" w:hAnsi="Arial" w:cs="Arial"/>
          <w:color w:val="000000"/>
          <w:sz w:val="24"/>
          <w:szCs w:val="24"/>
        </w:rPr>
        <w:t xml:space="preserve">  </w:t>
      </w:r>
      <w:r>
        <w:rPr>
          <w:color w:val="000000"/>
          <w:sz w:val="16"/>
          <w:szCs w:val="16"/>
        </w:rPr>
        <w:t>ENQUETE NATIONALE SUR LA DISPONIBILITE ET LA CAPACITE OPERATIONNELLE DES SERVICES DE SANTE (SARA III) Edition 2016. Ministère de la Santé Publique – Burkina Faso</w:t>
      </w:r>
    </w:p>
  </w:footnote>
  <w:footnote w:id="59">
    <w:p w:rsidR="00611E16" w:rsidRDefault="00611E16">
      <w:pPr>
        <w:pStyle w:val="Normal1"/>
        <w:pBdr>
          <w:top w:val="nil"/>
          <w:left w:val="nil"/>
          <w:bottom w:val="nil"/>
          <w:right w:val="nil"/>
          <w:between w:val="nil"/>
        </w:pBdr>
        <w:spacing w:after="0" w:line="240" w:lineRule="auto"/>
        <w:rPr>
          <w:b/>
          <w:color w:val="000000"/>
          <w:sz w:val="16"/>
          <w:szCs w:val="16"/>
        </w:rPr>
      </w:pPr>
      <w:r>
        <w:rPr>
          <w:vertAlign w:val="superscript"/>
        </w:rPr>
        <w:footnoteRef/>
      </w:r>
      <w:r>
        <w:rPr>
          <w:b/>
          <w:color w:val="000000"/>
          <w:sz w:val="16"/>
          <w:szCs w:val="16"/>
        </w:rPr>
        <w:t xml:space="preserve"> Annuaires statistiques 2014, 2015, 2016 et 2017. Ministère de la Santé Publique. Burkina Faso.</w:t>
      </w:r>
    </w:p>
  </w:footnote>
  <w:footnote w:id="60">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b/>
          <w:color w:val="000000"/>
          <w:sz w:val="16"/>
          <w:szCs w:val="16"/>
        </w:rPr>
        <w:t>Annuaires statistiques 2017. Ministère de la Santé Publique. Burkina Faso.</w:t>
      </w:r>
    </w:p>
  </w:footnote>
  <w:footnote w:id="61">
    <w:p w:rsidR="00611E16" w:rsidRDefault="00611E16">
      <w:pPr>
        <w:pStyle w:val="Normal1"/>
        <w:spacing w:after="0" w:line="240" w:lineRule="auto"/>
        <w:rPr>
          <w:i/>
          <w:sz w:val="16"/>
          <w:szCs w:val="16"/>
        </w:rPr>
      </w:pPr>
      <w:r>
        <w:rPr>
          <w:vertAlign w:val="superscript"/>
        </w:rPr>
        <w:footnoteRef/>
      </w:r>
      <w:r>
        <w:rPr>
          <w:sz w:val="16"/>
          <w:szCs w:val="16"/>
        </w:rPr>
        <w:t xml:space="preserve"> Institut National de la Statistique et de la Démographie (INSD) et ICF International, 2012. </w:t>
      </w:r>
      <w:r>
        <w:rPr>
          <w:i/>
          <w:sz w:val="16"/>
          <w:szCs w:val="16"/>
        </w:rPr>
        <w:t>Enquête Démographique et de Santé et à</w:t>
      </w:r>
    </w:p>
    <w:p w:rsidR="00611E16" w:rsidRDefault="00611E16">
      <w:pPr>
        <w:pStyle w:val="Normal1"/>
        <w:spacing w:after="0" w:line="240" w:lineRule="auto"/>
        <w:rPr>
          <w:i/>
          <w:sz w:val="16"/>
          <w:szCs w:val="16"/>
        </w:rPr>
      </w:pPr>
      <w:r>
        <w:rPr>
          <w:i/>
          <w:sz w:val="16"/>
          <w:szCs w:val="16"/>
        </w:rPr>
        <w:t xml:space="preserve">     Indicateurs Multiples du Burkina Faso 2010</w:t>
      </w:r>
      <w:r>
        <w:rPr>
          <w:sz w:val="16"/>
          <w:szCs w:val="16"/>
        </w:rPr>
        <w:t>. Calverton, Maryland, USA : INSD et ICF International.</w:t>
      </w:r>
    </w:p>
  </w:footnote>
  <w:footnote w:id="62">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color w:val="000000"/>
          <w:sz w:val="16"/>
          <w:szCs w:val="16"/>
        </w:rPr>
        <w:t>Enquête nationale nutritionnelle. Burkina Faso 2016</w:t>
      </w:r>
    </w:p>
  </w:footnote>
  <w:footnote w:id="63">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color w:val="000000"/>
          <w:sz w:val="16"/>
          <w:szCs w:val="16"/>
        </w:rPr>
        <w:t>Performance Monitoring and Accountability 2020 (PMA2020), Institut Supérieur des Sciences de la Population (ISSP) at Université Ouaga I Pr Joseph Ki-Zerbo, 2017.</w:t>
      </w:r>
    </w:p>
  </w:footnote>
  <w:footnote w:id="64">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Avortement au Burkina Faso. Guttmacher Institute. New York, Février 2014.</w:t>
      </w:r>
    </w:p>
  </w:footnote>
  <w:footnote w:id="65">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SONU-2013 et du CEFOREP-2017</w:t>
      </w:r>
    </w:p>
  </w:footnote>
  <w:footnote w:id="66">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b/>
          <w:color w:val="000000"/>
          <w:sz w:val="16"/>
          <w:szCs w:val="16"/>
        </w:rPr>
        <w:t>Enquête nationale sur la disponibilité et la capacité opérationnelle des services de santé (SARA III) Edition 2016</w:t>
      </w:r>
    </w:p>
  </w:footnote>
  <w:footnote w:id="67">
    <w:p w:rsidR="00611E16" w:rsidRPr="006D2860" w:rsidRDefault="00611E16">
      <w:pPr>
        <w:pStyle w:val="Normal1"/>
        <w:pBdr>
          <w:top w:val="nil"/>
          <w:left w:val="nil"/>
          <w:bottom w:val="nil"/>
          <w:right w:val="nil"/>
          <w:between w:val="nil"/>
        </w:pBdr>
        <w:spacing w:after="0" w:line="240" w:lineRule="auto"/>
        <w:rPr>
          <w:color w:val="000000"/>
          <w:sz w:val="20"/>
          <w:szCs w:val="20"/>
          <w:lang w:val="en-US"/>
        </w:rPr>
      </w:pPr>
      <w:r>
        <w:rPr>
          <w:vertAlign w:val="superscript"/>
        </w:rPr>
        <w:footnoteRef/>
      </w:r>
      <w:r>
        <w:rPr>
          <w:color w:val="000000"/>
          <w:sz w:val="20"/>
          <w:szCs w:val="20"/>
        </w:rPr>
        <w:t xml:space="preserve"> </w:t>
      </w:r>
      <w:r>
        <w:rPr>
          <w:color w:val="000000"/>
          <w:sz w:val="16"/>
          <w:szCs w:val="16"/>
        </w:rPr>
        <w:t xml:space="preserve">Institut National de la Statistique et de la Démographie (INSD) et ICF International, 2012. </w:t>
      </w:r>
      <w:r>
        <w:rPr>
          <w:i/>
          <w:color w:val="000000"/>
          <w:sz w:val="16"/>
          <w:szCs w:val="16"/>
        </w:rPr>
        <w:t>Enquête Démographique et de Santé et à Indicateurs Multiples du Burkina Faso 2010</w:t>
      </w:r>
      <w:r>
        <w:rPr>
          <w:color w:val="000000"/>
          <w:sz w:val="16"/>
          <w:szCs w:val="16"/>
        </w:rPr>
        <w:t xml:space="preserve">. </w:t>
      </w:r>
      <w:r w:rsidRPr="006D2860">
        <w:rPr>
          <w:color w:val="000000"/>
          <w:sz w:val="16"/>
          <w:szCs w:val="16"/>
          <w:lang w:val="en-US"/>
        </w:rPr>
        <w:t>Calverton, Maryland, USA : INSD et ICF International.</w:t>
      </w:r>
    </w:p>
  </w:footnote>
  <w:footnote w:id="68">
    <w:p w:rsidR="00611E16" w:rsidRPr="006D2860" w:rsidRDefault="00611E16">
      <w:pPr>
        <w:pStyle w:val="Normal1"/>
        <w:pBdr>
          <w:top w:val="nil"/>
          <w:left w:val="nil"/>
          <w:bottom w:val="nil"/>
          <w:right w:val="nil"/>
          <w:between w:val="nil"/>
        </w:pBdr>
        <w:spacing w:after="0" w:line="240" w:lineRule="auto"/>
        <w:rPr>
          <w:b/>
          <w:color w:val="000000"/>
          <w:sz w:val="16"/>
          <w:szCs w:val="16"/>
          <w:lang w:val="en-US"/>
        </w:rPr>
      </w:pPr>
      <w:r>
        <w:rPr>
          <w:vertAlign w:val="superscript"/>
        </w:rPr>
        <w:footnoteRef/>
      </w:r>
      <w:r w:rsidRPr="006D2860">
        <w:rPr>
          <w:b/>
          <w:color w:val="000000"/>
          <w:sz w:val="16"/>
          <w:szCs w:val="16"/>
          <w:lang w:val="en-US"/>
        </w:rPr>
        <w:t xml:space="preserve"> GLOBOCAN 2012, Cancer Incidence, Mortality and Prevalence Worldwide </w:t>
      </w:r>
    </w:p>
  </w:footnote>
  <w:footnote w:id="69">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b/>
          <w:color w:val="000000"/>
          <w:sz w:val="16"/>
          <w:szCs w:val="16"/>
        </w:rPr>
        <w:t>Annuaires statistiques 2017. Ministère de la Santé . Burkina Faso.</w:t>
      </w:r>
    </w:p>
  </w:footnote>
  <w:footnote w:id="70">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16"/>
          <w:szCs w:val="16"/>
        </w:rPr>
        <w:t xml:space="preserve"> Ministère de la Santé, Projet de Rapport des Comptes de la Santé 2015. 2016. Copie dure</w:t>
      </w:r>
    </w:p>
  </w:footnote>
  <w:footnote w:id="71">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SARA 2016</w:t>
      </w:r>
    </w:p>
  </w:footnote>
  <w:footnote w:id="72">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Analyse à l’aide de l’outil EQUIST sur des données </w:t>
      </w:r>
    </w:p>
  </w:footnote>
  <w:footnote w:id="73">
    <w:p w:rsidR="00611E16" w:rsidRPr="00750AD2" w:rsidRDefault="00611E16">
      <w:pPr>
        <w:pStyle w:val="Normal1"/>
        <w:pBdr>
          <w:top w:val="nil"/>
          <w:left w:val="nil"/>
          <w:bottom w:val="nil"/>
          <w:right w:val="nil"/>
          <w:between w:val="nil"/>
        </w:pBdr>
        <w:spacing w:after="0" w:line="240" w:lineRule="auto"/>
        <w:rPr>
          <w:color w:val="000000"/>
          <w:sz w:val="16"/>
          <w:szCs w:val="16"/>
        </w:rPr>
      </w:pPr>
      <w:r w:rsidRPr="00750AD2">
        <w:rPr>
          <w:sz w:val="16"/>
          <w:szCs w:val="16"/>
          <w:vertAlign w:val="superscript"/>
        </w:rPr>
        <w:footnoteRef/>
      </w:r>
      <w:r w:rsidRPr="00750AD2">
        <w:rPr>
          <w:color w:val="000000"/>
          <w:sz w:val="16"/>
          <w:szCs w:val="16"/>
        </w:rPr>
        <w:t xml:space="preserve"> Analyse à l’aide de l’outil EQUIST sur des données de 2012</w:t>
      </w:r>
    </w:p>
  </w:footnote>
  <w:footnote w:id="74">
    <w:p w:rsidR="00611E16" w:rsidRPr="00750AD2" w:rsidRDefault="00611E16">
      <w:pPr>
        <w:pStyle w:val="Normal1"/>
        <w:pBdr>
          <w:top w:val="nil"/>
          <w:left w:val="nil"/>
          <w:bottom w:val="nil"/>
          <w:right w:val="nil"/>
          <w:between w:val="nil"/>
        </w:pBdr>
        <w:spacing w:after="0" w:line="240" w:lineRule="auto"/>
        <w:rPr>
          <w:color w:val="000000"/>
          <w:sz w:val="16"/>
          <w:szCs w:val="16"/>
        </w:rPr>
      </w:pPr>
      <w:r w:rsidRPr="00750AD2">
        <w:rPr>
          <w:sz w:val="16"/>
          <w:szCs w:val="16"/>
          <w:vertAlign w:val="superscript"/>
        </w:rPr>
        <w:footnoteRef/>
      </w:r>
      <w:r w:rsidRPr="00750AD2">
        <w:rPr>
          <w:color w:val="000000"/>
          <w:sz w:val="16"/>
          <w:szCs w:val="16"/>
        </w:rPr>
        <w:t xml:space="preserve"> Analyse à l’aide de l’outil EQUIST sur des données de 2012</w:t>
      </w:r>
    </w:p>
  </w:footnote>
  <w:footnote w:id="75">
    <w:p w:rsidR="00611E16" w:rsidRDefault="00611E16">
      <w:pPr>
        <w:pStyle w:val="Normal1"/>
        <w:pBdr>
          <w:top w:val="nil"/>
          <w:left w:val="nil"/>
          <w:bottom w:val="nil"/>
          <w:right w:val="nil"/>
          <w:between w:val="nil"/>
        </w:pBdr>
        <w:spacing w:after="0" w:line="240" w:lineRule="auto"/>
        <w:rPr>
          <w:color w:val="000000"/>
          <w:sz w:val="20"/>
          <w:szCs w:val="20"/>
        </w:rPr>
      </w:pPr>
      <w:r w:rsidRPr="00750AD2">
        <w:rPr>
          <w:sz w:val="16"/>
          <w:szCs w:val="16"/>
          <w:vertAlign w:val="superscript"/>
        </w:rPr>
        <w:footnoteRef/>
      </w:r>
      <w:r w:rsidRPr="00750AD2">
        <w:rPr>
          <w:color w:val="000000"/>
          <w:sz w:val="16"/>
          <w:szCs w:val="16"/>
        </w:rPr>
        <w:t xml:space="preserve"> Analyse à l’aide de l’outil EQUIST sur des données de 2012</w:t>
      </w:r>
    </w:p>
  </w:footnote>
  <w:footnote w:id="76">
    <w:p w:rsidR="00611E16" w:rsidRDefault="00611E16">
      <w:pPr>
        <w:pStyle w:val="Normal1"/>
        <w:pBdr>
          <w:top w:val="nil"/>
          <w:left w:val="nil"/>
          <w:bottom w:val="nil"/>
          <w:right w:val="nil"/>
          <w:between w:val="nil"/>
        </w:pBdr>
        <w:spacing w:after="0" w:line="240" w:lineRule="auto"/>
        <w:rPr>
          <w:b/>
          <w:color w:val="000000"/>
          <w:sz w:val="16"/>
          <w:szCs w:val="16"/>
        </w:rPr>
      </w:pPr>
      <w:r>
        <w:rPr>
          <w:vertAlign w:val="superscript"/>
        </w:rPr>
        <w:footnoteRef/>
      </w:r>
      <w:r>
        <w:rPr>
          <w:b/>
          <w:color w:val="000000"/>
          <w:sz w:val="16"/>
          <w:szCs w:val="16"/>
        </w:rPr>
        <w:t xml:space="preserve"> Annuaire statistique 2017. Ministère de la Santé. Burkina Faso </w:t>
      </w:r>
    </w:p>
  </w:footnote>
  <w:footnote w:id="77">
    <w:p w:rsidR="00611E16" w:rsidRDefault="00611E16" w:rsidP="00750AD2">
      <w:pPr>
        <w:pStyle w:val="Normal1"/>
        <w:spacing w:after="0"/>
      </w:pPr>
      <w:r>
        <w:rPr>
          <w:vertAlign w:val="superscript"/>
        </w:rPr>
        <w:footnoteRef/>
      </w:r>
      <w:r>
        <w:rPr>
          <w:b/>
          <w:color w:val="000000"/>
          <w:sz w:val="16"/>
          <w:szCs w:val="16"/>
        </w:rPr>
        <w:t>Annuaire statistique 2017. Ministère de la Santé. Burkina Faso</w:t>
      </w:r>
    </w:p>
    <w:p w:rsidR="00611E16" w:rsidRDefault="00611E16" w:rsidP="00750AD2">
      <w:pPr>
        <w:pStyle w:val="Normal1"/>
        <w:pBdr>
          <w:top w:val="nil"/>
          <w:left w:val="nil"/>
          <w:bottom w:val="nil"/>
          <w:right w:val="nil"/>
          <w:between w:val="nil"/>
        </w:pBdr>
        <w:spacing w:after="0" w:line="240" w:lineRule="auto"/>
        <w:jc w:val="both"/>
        <w:rPr>
          <w:color w:val="000000"/>
          <w:sz w:val="2"/>
          <w:szCs w:val="2"/>
        </w:rPr>
      </w:pPr>
    </w:p>
  </w:footnote>
  <w:footnote w:id="78">
    <w:p w:rsidR="00611E16" w:rsidRDefault="00611E16" w:rsidP="00DB186A">
      <w:pPr>
        <w:pStyle w:val="Normal1"/>
        <w:pBdr>
          <w:top w:val="nil"/>
          <w:left w:val="nil"/>
          <w:bottom w:val="nil"/>
          <w:right w:val="nil"/>
          <w:between w:val="nil"/>
        </w:pBdr>
        <w:spacing w:after="0" w:line="240" w:lineRule="auto"/>
        <w:rPr>
          <w:b/>
          <w:color w:val="000000"/>
          <w:sz w:val="16"/>
          <w:szCs w:val="16"/>
        </w:rPr>
      </w:pPr>
      <w:r>
        <w:rPr>
          <w:vertAlign w:val="superscript"/>
        </w:rPr>
        <w:footnoteRef/>
      </w:r>
      <w:r>
        <w:rPr>
          <w:b/>
          <w:color w:val="000000"/>
          <w:sz w:val="16"/>
          <w:szCs w:val="16"/>
        </w:rPr>
        <w:t xml:space="preserve"> Rapport d’audit des programmes au Burkina Faso. Département Audit et Investigations de GAVI. Décembre 2015</w:t>
      </w:r>
    </w:p>
  </w:footnote>
  <w:footnote w:id="79">
    <w:p w:rsidR="00611E16" w:rsidRDefault="00611E16" w:rsidP="00DB186A">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b/>
          <w:color w:val="000000"/>
          <w:sz w:val="16"/>
          <w:szCs w:val="16"/>
        </w:rPr>
        <w:t>Annuaire statistique 2017. Ministère de la Santé. Burkina Faso</w:t>
      </w:r>
    </w:p>
  </w:footnote>
  <w:footnote w:id="80">
    <w:p w:rsidR="00611E16" w:rsidRDefault="00611E16" w:rsidP="00DB186A">
      <w:pPr>
        <w:pStyle w:val="Normal1"/>
        <w:pBdr>
          <w:top w:val="nil"/>
          <w:left w:val="nil"/>
          <w:bottom w:val="nil"/>
          <w:right w:val="nil"/>
          <w:between w:val="nil"/>
        </w:pBdr>
        <w:spacing w:after="0" w:line="240" w:lineRule="auto"/>
        <w:rPr>
          <w:b/>
          <w:color w:val="000000"/>
          <w:sz w:val="16"/>
          <w:szCs w:val="16"/>
        </w:rPr>
      </w:pPr>
      <w:r>
        <w:rPr>
          <w:vertAlign w:val="superscript"/>
        </w:rPr>
        <w:footnoteRef/>
      </w:r>
      <w:r>
        <w:rPr>
          <w:b/>
          <w:color w:val="000000"/>
          <w:sz w:val="16"/>
          <w:szCs w:val="16"/>
        </w:rPr>
        <w:t xml:space="preserve"> Enquête Module Démographie et Santé 2015. Ministère de la Santé. Burkina Faso  </w:t>
      </w:r>
    </w:p>
  </w:footnote>
  <w:footnote w:id="81">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b/>
          <w:color w:val="000000"/>
          <w:sz w:val="16"/>
          <w:szCs w:val="16"/>
        </w:rPr>
        <w:t>Annuaire statistique 2017. Ministère de la Santé. Burkina Faso</w:t>
      </w:r>
    </w:p>
  </w:footnote>
  <w:footnote w:id="82">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nationale nutritionnelle. Burkina Faso 2017</w:t>
      </w:r>
    </w:p>
  </w:footnote>
  <w:footnote w:id="83">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SMART 2016</w:t>
      </w:r>
    </w:p>
  </w:footnote>
  <w:footnote w:id="84">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Enquêtes nutritionnelles nationales 2013 – 2017. Burkina Faso</w:t>
      </w:r>
    </w:p>
  </w:footnote>
  <w:footnote w:id="85">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SMART 2017</w:t>
      </w:r>
    </w:p>
  </w:footnote>
  <w:footnote w:id="86">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p>
  </w:footnote>
  <w:footnote w:id="87">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Annuaire statistique MS 2017</w:t>
      </w:r>
    </w:p>
  </w:footnote>
  <w:footnote w:id="88">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SARA. 2016</w:t>
      </w:r>
    </w:p>
  </w:footnote>
  <w:footnote w:id="89">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Annuaire statistiques 2017. MS Burkina Faso</w:t>
      </w:r>
    </w:p>
  </w:footnote>
  <w:footnote w:id="90">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Comptes nationaux de la santé 2007-2016</w:t>
      </w:r>
    </w:p>
  </w:footnote>
  <w:footnote w:id="91">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Comptes nationaux de la santé 2007-2016</w:t>
      </w:r>
    </w:p>
  </w:footnote>
  <w:footnote w:id="92">
    <w:p w:rsidR="00611E16" w:rsidRDefault="00611E16">
      <w:pPr>
        <w:pStyle w:val="Normal1"/>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color w:val="262626"/>
          <w:sz w:val="16"/>
          <w:szCs w:val="16"/>
        </w:rPr>
        <w:t>Cartographie des interventions, intervenants et financements en SRMNEA-N au BURKINA FASO. Rapport d’études. Ministère de la Santé – Centre Muraz</w:t>
      </w:r>
    </w:p>
  </w:footnote>
  <w:footnote w:id="93">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Analyse de la qualité des soins de SRMNEA-N. Rapport 2018. Ministère de la Santé. Burkina Faso</w:t>
      </w:r>
    </w:p>
  </w:footnote>
  <w:footnote w:id="94">
    <w:p w:rsidR="00611E16" w:rsidRDefault="00611E16">
      <w:pPr>
        <w:pStyle w:val="Normal1"/>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vertAlign w:val="superscript"/>
        </w:rPr>
        <w:footnoteRef/>
      </w:r>
      <w:r>
        <w:rPr>
          <w:rFonts w:ascii="Arial" w:eastAsia="Arial" w:hAnsi="Arial" w:cs="Arial"/>
          <w:color w:val="000000"/>
          <w:sz w:val="24"/>
          <w:szCs w:val="24"/>
        </w:rPr>
        <w:t xml:space="preserve">  </w:t>
      </w:r>
      <w:r>
        <w:rPr>
          <w:color w:val="000000"/>
          <w:sz w:val="18"/>
          <w:szCs w:val="18"/>
        </w:rPr>
        <w:t>Analyse de la santé communautaire au Burkina Faso. Rapport de mission par Awa Seck et Dieudonne Valea. Ministère de la santé du Burkina Faso. 2011</w:t>
      </w:r>
    </w:p>
  </w:footnote>
  <w:footnote w:id="95">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Analyse de la santé communautaire au Burkina Faso. Rapport de mission par Awa Seck et Dieudonne Valea. Ministère de la santé du Burkina Faso. 2011</w:t>
      </w:r>
    </w:p>
  </w:footnote>
  <w:footnote w:id="96">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Rapport du PNUD 2016</w:t>
      </w:r>
    </w:p>
  </w:footnote>
  <w:footnote w:id="97">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module démographie et santé 2015</w:t>
      </w:r>
    </w:p>
  </w:footnote>
  <w:footnote w:id="98">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Enquête module démographie et santé 2015</w:t>
      </w:r>
    </w:p>
  </w:footnote>
  <w:footnote w:id="99">
    <w:p w:rsidR="00611E16" w:rsidRDefault="00611E16">
      <w:pPr>
        <w:pStyle w:val="Normal1"/>
        <w:pBdr>
          <w:top w:val="nil"/>
          <w:left w:val="nil"/>
          <w:bottom w:val="nil"/>
          <w:right w:val="nil"/>
          <w:between w:val="nil"/>
        </w:pBdr>
        <w:spacing w:after="0" w:line="240" w:lineRule="auto"/>
        <w:rPr>
          <w:color w:val="000000"/>
          <w:sz w:val="16"/>
          <w:szCs w:val="16"/>
        </w:rPr>
      </w:pPr>
      <w:r>
        <w:rPr>
          <w:vertAlign w:val="superscript"/>
        </w:rPr>
        <w:footnoteRef/>
      </w:r>
      <w:r>
        <w:rPr>
          <w:color w:val="000000"/>
          <w:sz w:val="16"/>
          <w:szCs w:val="16"/>
        </w:rPr>
        <w:t xml:space="preserve"> Analyse par l’outil EQUIST 2018</w:t>
      </w:r>
    </w:p>
  </w:footnote>
  <w:footnote w:id="100">
    <w:p w:rsidR="00611E16" w:rsidRPr="00750AD2" w:rsidRDefault="00611E16">
      <w:pPr>
        <w:pStyle w:val="Normal1"/>
        <w:pBdr>
          <w:top w:val="nil"/>
          <w:left w:val="nil"/>
          <w:bottom w:val="nil"/>
          <w:right w:val="nil"/>
          <w:between w:val="nil"/>
        </w:pBdr>
        <w:spacing w:after="0" w:line="240" w:lineRule="auto"/>
        <w:rPr>
          <w:color w:val="000000"/>
          <w:sz w:val="16"/>
          <w:szCs w:val="16"/>
        </w:rPr>
      </w:pPr>
      <w:r w:rsidRPr="00750AD2">
        <w:rPr>
          <w:sz w:val="16"/>
          <w:szCs w:val="16"/>
          <w:vertAlign w:val="superscript"/>
        </w:rPr>
        <w:footnoteRef/>
      </w:r>
      <w:r w:rsidRPr="00750AD2">
        <w:rPr>
          <w:color w:val="000000"/>
          <w:sz w:val="16"/>
          <w:szCs w:val="16"/>
        </w:rPr>
        <w:t xml:space="preserve"> PNDES Aout 2016  </w:t>
      </w:r>
    </w:p>
  </w:footnote>
  <w:footnote w:id="101">
    <w:p w:rsidR="00611E16" w:rsidRPr="00750AD2" w:rsidRDefault="00611E16">
      <w:pPr>
        <w:pStyle w:val="Normal1"/>
        <w:pBdr>
          <w:top w:val="nil"/>
          <w:left w:val="nil"/>
          <w:bottom w:val="nil"/>
          <w:right w:val="nil"/>
          <w:between w:val="nil"/>
        </w:pBdr>
        <w:spacing w:after="0" w:line="240" w:lineRule="auto"/>
        <w:rPr>
          <w:color w:val="000000"/>
          <w:sz w:val="16"/>
          <w:szCs w:val="16"/>
        </w:rPr>
      </w:pPr>
      <w:r w:rsidRPr="00750AD2">
        <w:rPr>
          <w:sz w:val="16"/>
          <w:szCs w:val="16"/>
          <w:vertAlign w:val="superscript"/>
        </w:rPr>
        <w:footnoteRef/>
      </w:r>
      <w:r w:rsidRPr="00750AD2">
        <w:rPr>
          <w:color w:val="000000"/>
          <w:sz w:val="16"/>
          <w:szCs w:val="16"/>
        </w:rPr>
        <w:t xml:space="preserve"> Enquête Module Démographie et Santé. Burkina Faso 2015</w:t>
      </w:r>
    </w:p>
  </w:footnote>
  <w:footnote w:id="102">
    <w:p w:rsidR="00611E16" w:rsidRPr="00750AD2" w:rsidRDefault="00611E16">
      <w:pPr>
        <w:pStyle w:val="Normal1"/>
        <w:spacing w:after="0" w:line="360" w:lineRule="auto"/>
        <w:jc w:val="both"/>
        <w:rPr>
          <w:sz w:val="16"/>
          <w:szCs w:val="16"/>
        </w:rPr>
      </w:pPr>
      <w:r w:rsidRPr="00750AD2">
        <w:rPr>
          <w:sz w:val="16"/>
          <w:szCs w:val="16"/>
          <w:vertAlign w:val="superscript"/>
        </w:rPr>
        <w:footnoteRef/>
      </w:r>
      <w:r w:rsidRPr="00750AD2">
        <w:rPr>
          <w:sz w:val="16"/>
          <w:szCs w:val="16"/>
        </w:rPr>
        <w:t xml:space="preserve"> L’évaluation de la situation des données administratives et de l’état civil et proposition d’une méthodologie simple de collecte des données. Juin 2006. INSD-MINISTERE DE L’ECONOMIE ET DU DEVELOPPEMENT. BURKINA FASO</w:t>
      </w:r>
    </w:p>
    <w:p w:rsidR="00611E16" w:rsidRDefault="00611E16">
      <w:pPr>
        <w:pStyle w:val="Normal1"/>
        <w:pBdr>
          <w:top w:val="nil"/>
          <w:left w:val="nil"/>
          <w:bottom w:val="nil"/>
          <w:right w:val="nil"/>
          <w:between w:val="nil"/>
        </w:pBdr>
        <w:spacing w:after="0" w:line="240" w:lineRule="auto"/>
        <w:rPr>
          <w:color w:val="000000"/>
          <w:sz w:val="20"/>
          <w:szCs w:val="20"/>
        </w:rPr>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22BCB"/>
    <w:multiLevelType w:val="multilevel"/>
    <w:tmpl w:val="6F46487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1CC26B1"/>
    <w:multiLevelType w:val="multilevel"/>
    <w:tmpl w:val="98604254"/>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rPr>
        <w:b w:val="0"/>
      </w:r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026D491D"/>
    <w:multiLevelType w:val="multilevel"/>
    <w:tmpl w:val="296438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7607F9"/>
    <w:multiLevelType w:val="multilevel"/>
    <w:tmpl w:val="0EC05692"/>
    <w:lvl w:ilvl="0">
      <w:start w:val="1"/>
      <w:numFmt w:val="decimal"/>
      <w:lvlText w:val="%1."/>
      <w:lvlJc w:val="left"/>
      <w:pPr>
        <w:ind w:left="842" w:hanging="360"/>
      </w:pPr>
    </w:lvl>
    <w:lvl w:ilvl="1">
      <w:start w:val="1"/>
      <w:numFmt w:val="lowerLetter"/>
      <w:lvlText w:val="%2."/>
      <w:lvlJc w:val="left"/>
      <w:pPr>
        <w:ind w:left="1562" w:hanging="360"/>
      </w:pPr>
    </w:lvl>
    <w:lvl w:ilvl="2">
      <w:start w:val="1"/>
      <w:numFmt w:val="lowerRoman"/>
      <w:lvlText w:val="%3."/>
      <w:lvlJc w:val="right"/>
      <w:pPr>
        <w:ind w:left="2282" w:hanging="180"/>
      </w:pPr>
    </w:lvl>
    <w:lvl w:ilvl="3">
      <w:start w:val="1"/>
      <w:numFmt w:val="decimal"/>
      <w:lvlText w:val="%4."/>
      <w:lvlJc w:val="left"/>
      <w:pPr>
        <w:ind w:left="3002" w:hanging="360"/>
      </w:pPr>
    </w:lvl>
    <w:lvl w:ilvl="4">
      <w:start w:val="1"/>
      <w:numFmt w:val="lowerLetter"/>
      <w:lvlText w:val="%5."/>
      <w:lvlJc w:val="left"/>
      <w:pPr>
        <w:ind w:left="3722" w:hanging="360"/>
      </w:pPr>
    </w:lvl>
    <w:lvl w:ilvl="5">
      <w:start w:val="1"/>
      <w:numFmt w:val="lowerRoman"/>
      <w:lvlText w:val="%6."/>
      <w:lvlJc w:val="right"/>
      <w:pPr>
        <w:ind w:left="4442" w:hanging="180"/>
      </w:pPr>
    </w:lvl>
    <w:lvl w:ilvl="6">
      <w:start w:val="1"/>
      <w:numFmt w:val="decimal"/>
      <w:lvlText w:val="%7."/>
      <w:lvlJc w:val="left"/>
      <w:pPr>
        <w:ind w:left="5162" w:hanging="360"/>
      </w:pPr>
    </w:lvl>
    <w:lvl w:ilvl="7">
      <w:start w:val="1"/>
      <w:numFmt w:val="lowerLetter"/>
      <w:lvlText w:val="%8."/>
      <w:lvlJc w:val="left"/>
      <w:pPr>
        <w:ind w:left="5882" w:hanging="360"/>
      </w:pPr>
    </w:lvl>
    <w:lvl w:ilvl="8">
      <w:start w:val="1"/>
      <w:numFmt w:val="lowerRoman"/>
      <w:lvlText w:val="%9."/>
      <w:lvlJc w:val="right"/>
      <w:pPr>
        <w:ind w:left="6602" w:hanging="180"/>
      </w:pPr>
    </w:lvl>
  </w:abstractNum>
  <w:abstractNum w:abstractNumId="4" w15:restartNumberingAfterBreak="0">
    <w:nsid w:val="02827607"/>
    <w:multiLevelType w:val="multilevel"/>
    <w:tmpl w:val="82ECF626"/>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3812CB2"/>
    <w:multiLevelType w:val="multilevel"/>
    <w:tmpl w:val="E27C4D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4D22C25"/>
    <w:multiLevelType w:val="hybridMultilevel"/>
    <w:tmpl w:val="5906A61E"/>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0644135C"/>
    <w:multiLevelType w:val="multilevel"/>
    <w:tmpl w:val="ED90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06604289"/>
    <w:multiLevelType w:val="hybridMultilevel"/>
    <w:tmpl w:val="668C6884"/>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07AC1473"/>
    <w:multiLevelType w:val="multilevel"/>
    <w:tmpl w:val="E91EA5EE"/>
    <w:lvl w:ilvl="0">
      <w:start w:val="3"/>
      <w:numFmt w:val="decimal"/>
      <w:lvlText w:val="%1."/>
      <w:lvlJc w:val="left"/>
      <w:pPr>
        <w:ind w:left="360" w:hanging="360"/>
      </w:pPr>
      <w:rPr>
        <w:b w:val="0"/>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0" w15:restartNumberingAfterBreak="0">
    <w:nsid w:val="09A40856"/>
    <w:multiLevelType w:val="hybridMultilevel"/>
    <w:tmpl w:val="DDDA7E8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0CAC4B72"/>
    <w:multiLevelType w:val="multilevel"/>
    <w:tmpl w:val="27A8D794"/>
    <w:lvl w:ilvl="0">
      <w:start w:val="1"/>
      <w:numFmt w:val="bullet"/>
      <w:lvlText w:val="▪"/>
      <w:lvlJc w:val="left"/>
      <w:pPr>
        <w:ind w:left="1068" w:hanging="360"/>
      </w:pPr>
      <w:rPr>
        <w:rFonts w:ascii="Noto Sans Symbols" w:eastAsia="Noto Sans Symbols" w:hAnsi="Noto Sans Symbols" w:cs="Noto Sans Symbols"/>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2" w15:restartNumberingAfterBreak="0">
    <w:nsid w:val="0EA63743"/>
    <w:multiLevelType w:val="hybridMultilevel"/>
    <w:tmpl w:val="8AAC8BC4"/>
    <w:lvl w:ilvl="0" w:tplc="040C0005">
      <w:start w:val="1"/>
      <w:numFmt w:val="bullet"/>
      <w:lvlText w:val=""/>
      <w:lvlJc w:val="left"/>
      <w:pPr>
        <w:ind w:left="45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F1666A7"/>
    <w:multiLevelType w:val="multilevel"/>
    <w:tmpl w:val="CAB2C630"/>
    <w:lvl w:ilvl="0">
      <w:start w:val="1"/>
      <w:numFmt w:val="bullet"/>
      <w:lvlText w:val="▪"/>
      <w:lvlJc w:val="left"/>
      <w:pPr>
        <w:ind w:left="1068" w:hanging="360"/>
      </w:pPr>
      <w:rPr>
        <w:rFonts w:ascii="Noto Sans Symbols" w:eastAsia="Noto Sans Symbols" w:hAnsi="Noto Sans Symbols" w:cs="Noto Sans Symbols"/>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4" w15:restartNumberingAfterBreak="0">
    <w:nsid w:val="10152CDB"/>
    <w:multiLevelType w:val="multilevel"/>
    <w:tmpl w:val="318AE838"/>
    <w:lvl w:ilvl="0">
      <w:start w:val="1"/>
      <w:numFmt w:val="decimal"/>
      <w:lvlText w:val="%1."/>
      <w:lvlJc w:val="left"/>
      <w:pPr>
        <w:ind w:left="360" w:hanging="360"/>
      </w:pPr>
    </w:lvl>
    <w:lvl w:ilvl="1">
      <w:start w:val="1"/>
      <w:numFmt w:val="decimal"/>
      <w:lvlText w:val="%1.%2."/>
      <w:lvlJc w:val="left"/>
      <w:pPr>
        <w:ind w:left="495" w:hanging="495"/>
      </w:pPr>
    </w:lvl>
    <w:lvl w:ilvl="2">
      <w:start w:val="2"/>
      <w:numFmt w:val="decimal"/>
      <w:lvlText w:val="%1.%2.%3."/>
      <w:lvlJc w:val="left"/>
      <w:pPr>
        <w:ind w:left="720" w:hanging="720"/>
      </w:pPr>
    </w:lvl>
    <w:lvl w:ilvl="3">
      <w:start w:val="1"/>
      <w:numFmt w:val="decimal"/>
      <w:lvlText w:val="%1.%2.%3.%4."/>
      <w:lvlJc w:val="left"/>
      <w:pPr>
        <w:ind w:left="1004"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10222A72"/>
    <w:multiLevelType w:val="multilevel"/>
    <w:tmpl w:val="05725A8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10443D34"/>
    <w:multiLevelType w:val="hybridMultilevel"/>
    <w:tmpl w:val="57860BA0"/>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110C1FC9"/>
    <w:multiLevelType w:val="multilevel"/>
    <w:tmpl w:val="1BF842A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12E04F31"/>
    <w:multiLevelType w:val="multilevel"/>
    <w:tmpl w:val="B18CD5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1316601D"/>
    <w:multiLevelType w:val="multilevel"/>
    <w:tmpl w:val="1E503DDC"/>
    <w:lvl w:ilvl="0">
      <w:start w:val="1"/>
      <w:numFmt w:val="decimal"/>
      <w:lvlText w:val="%1."/>
      <w:lvlJc w:val="left"/>
      <w:pPr>
        <w:ind w:left="360" w:hanging="360"/>
      </w:pPr>
      <w:rPr>
        <w:rFonts w:hint="default"/>
        <w:color w:val="000000"/>
      </w:rPr>
    </w:lvl>
    <w:lvl w:ilvl="1">
      <w:start w:val="1"/>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20" w15:restartNumberingAfterBreak="0">
    <w:nsid w:val="153244B4"/>
    <w:multiLevelType w:val="multilevel"/>
    <w:tmpl w:val="D45A072A"/>
    <w:lvl w:ilvl="0">
      <w:start w:val="3"/>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181C20FA"/>
    <w:multiLevelType w:val="multilevel"/>
    <w:tmpl w:val="9F228AA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18505C3A"/>
    <w:multiLevelType w:val="hybridMultilevel"/>
    <w:tmpl w:val="A9689B8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18813DD5"/>
    <w:multiLevelType w:val="multilevel"/>
    <w:tmpl w:val="BA3AFC8C"/>
    <w:lvl w:ilvl="0">
      <w:start w:val="1"/>
      <w:numFmt w:val="lowerLetter"/>
      <w:lvlText w:val="%1."/>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18A77267"/>
    <w:multiLevelType w:val="hybridMultilevel"/>
    <w:tmpl w:val="70B06BFC"/>
    <w:lvl w:ilvl="0" w:tplc="040C0005">
      <w:start w:val="1"/>
      <w:numFmt w:val="bullet"/>
      <w:lvlText w:val=""/>
      <w:lvlJc w:val="left"/>
      <w:pPr>
        <w:ind w:left="360" w:hanging="360"/>
      </w:pPr>
      <w:rPr>
        <w:rFonts w:ascii="Wingdings" w:hAnsi="Wingdings" w:hint="default"/>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5">
      <w:start w:val="1"/>
      <w:numFmt w:val="bullet"/>
      <w:lvlText w:val=""/>
      <w:lvlJc w:val="left"/>
      <w:pPr>
        <w:ind w:left="2520" w:hanging="360"/>
      </w:pPr>
      <w:rPr>
        <w:rFonts w:ascii="Wingdings" w:hAnsi="Wingdings" w:hint="default"/>
      </w:r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15:restartNumberingAfterBreak="0">
    <w:nsid w:val="19003BE7"/>
    <w:multiLevelType w:val="multilevel"/>
    <w:tmpl w:val="538A2730"/>
    <w:lvl w:ilvl="0">
      <w:start w:val="1"/>
      <w:numFmt w:val="decimal"/>
      <w:lvlText w:val="%1."/>
      <w:lvlJc w:val="left"/>
      <w:pPr>
        <w:ind w:left="720" w:hanging="360"/>
      </w:pPr>
    </w:lvl>
    <w:lvl w:ilvl="1">
      <w:start w:val="1"/>
      <w:numFmt w:val="decimal"/>
      <w:lvlText w:val="%1.%2."/>
      <w:lvlJc w:val="left"/>
      <w:pPr>
        <w:ind w:left="720" w:hanging="360"/>
      </w:pPr>
      <w:rPr>
        <w:b w:val="0"/>
        <w:sz w:val="22"/>
        <w:szCs w:val="22"/>
      </w:rPr>
    </w:lvl>
    <w:lvl w:ilvl="2">
      <w:start w:val="1"/>
      <w:numFmt w:val="decimal"/>
      <w:lvlText w:val="%3."/>
      <w:lvlJc w:val="left"/>
      <w:pPr>
        <w:ind w:left="1080" w:hanging="720"/>
      </w:pPr>
      <w:rPr>
        <w:b w:val="0"/>
      </w:rPr>
    </w:lvl>
    <w:lvl w:ilvl="3">
      <w:start w:val="1"/>
      <w:numFmt w:val="decimal"/>
      <w:lvlText w:val="%1.%2.%3.%4."/>
      <w:lvlJc w:val="left"/>
      <w:pPr>
        <w:ind w:left="1080" w:hanging="720"/>
      </w:pPr>
      <w:rPr>
        <w:b w:val="0"/>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6" w15:restartNumberingAfterBreak="0">
    <w:nsid w:val="1A584952"/>
    <w:multiLevelType w:val="multilevel"/>
    <w:tmpl w:val="2258FE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1B2D359D"/>
    <w:multiLevelType w:val="multilevel"/>
    <w:tmpl w:val="E9A88682"/>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1B3D37A5"/>
    <w:multiLevelType w:val="multilevel"/>
    <w:tmpl w:val="DB5E46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1CC43023"/>
    <w:multiLevelType w:val="multilevel"/>
    <w:tmpl w:val="EC4A7FF6"/>
    <w:lvl w:ilvl="0">
      <w:start w:val="7"/>
      <w:numFmt w:val="decimal"/>
      <w:lvlText w:val="%1."/>
      <w:lvlJc w:val="left"/>
      <w:pPr>
        <w:ind w:left="585" w:hanging="585"/>
      </w:pPr>
      <w:rPr>
        <w:b w:val="0"/>
      </w:rPr>
    </w:lvl>
    <w:lvl w:ilvl="1">
      <w:start w:val="1"/>
      <w:numFmt w:val="decimal"/>
      <w:lvlText w:val="%1.%2."/>
      <w:lvlJc w:val="left"/>
      <w:pPr>
        <w:ind w:left="720" w:hanging="720"/>
      </w:pPr>
      <w:rPr>
        <w:b w:val="0"/>
      </w:rPr>
    </w:lvl>
    <w:lvl w:ilvl="2">
      <w:start w:val="1"/>
      <w:numFmt w:val="decimal"/>
      <w:lvlText w:val="%1.%2.%3."/>
      <w:lvlJc w:val="left"/>
      <w:pPr>
        <w:ind w:left="720" w:hanging="720"/>
      </w:pPr>
      <w:rPr>
        <w:b w:val="0"/>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30" w15:restartNumberingAfterBreak="0">
    <w:nsid w:val="1CE66CE1"/>
    <w:multiLevelType w:val="hybridMultilevel"/>
    <w:tmpl w:val="7646E612"/>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1" w15:restartNumberingAfterBreak="0">
    <w:nsid w:val="1D0C1F0F"/>
    <w:multiLevelType w:val="multilevel"/>
    <w:tmpl w:val="866EC614"/>
    <w:lvl w:ilvl="0">
      <w:start w:val="1"/>
      <w:numFmt w:val="bullet"/>
      <w:lvlText w:val="▪"/>
      <w:lvlJc w:val="left"/>
      <w:pPr>
        <w:ind w:left="1068" w:hanging="360"/>
      </w:pPr>
      <w:rPr>
        <w:rFonts w:ascii="Noto Sans Symbols" w:eastAsia="Noto Sans Symbols" w:hAnsi="Noto Sans Symbols" w:cs="Noto Sans Symbols"/>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2" w15:restartNumberingAfterBreak="0">
    <w:nsid w:val="1D585E8E"/>
    <w:multiLevelType w:val="multilevel"/>
    <w:tmpl w:val="71BA90A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1FDE3336"/>
    <w:multiLevelType w:val="hybridMultilevel"/>
    <w:tmpl w:val="ACBC594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15:restartNumberingAfterBreak="0">
    <w:nsid w:val="20300874"/>
    <w:multiLevelType w:val="multilevel"/>
    <w:tmpl w:val="D5B04A2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0AE5B98"/>
    <w:multiLevelType w:val="multilevel"/>
    <w:tmpl w:val="3228AB5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6" w15:restartNumberingAfterBreak="0">
    <w:nsid w:val="20CD0735"/>
    <w:multiLevelType w:val="multilevel"/>
    <w:tmpl w:val="67187754"/>
    <w:lvl w:ilvl="0">
      <w:start w:val="1"/>
      <w:numFmt w:val="bullet"/>
      <w:lvlText w:val="▪"/>
      <w:lvlJc w:val="left"/>
      <w:pPr>
        <w:ind w:left="1068" w:hanging="360"/>
      </w:pPr>
      <w:rPr>
        <w:rFonts w:ascii="Noto Sans Symbols" w:eastAsia="Noto Sans Symbols" w:hAnsi="Noto Sans Symbols" w:cs="Noto Sans Symbols"/>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7" w15:restartNumberingAfterBreak="0">
    <w:nsid w:val="22304D29"/>
    <w:multiLevelType w:val="multilevel"/>
    <w:tmpl w:val="E5D4AAC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8" w15:restartNumberingAfterBreak="0">
    <w:nsid w:val="223918FE"/>
    <w:multiLevelType w:val="hybridMultilevel"/>
    <w:tmpl w:val="E8A6B806"/>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9" w15:restartNumberingAfterBreak="0">
    <w:nsid w:val="226A74B5"/>
    <w:multiLevelType w:val="multilevel"/>
    <w:tmpl w:val="0EFC5264"/>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23EA779F"/>
    <w:multiLevelType w:val="multilevel"/>
    <w:tmpl w:val="C1265BF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1" w15:restartNumberingAfterBreak="0">
    <w:nsid w:val="260F4C5A"/>
    <w:multiLevelType w:val="multilevel"/>
    <w:tmpl w:val="C3B4818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2" w15:restartNumberingAfterBreak="0">
    <w:nsid w:val="2A1E07BF"/>
    <w:multiLevelType w:val="multilevel"/>
    <w:tmpl w:val="D7E86D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2DD04450"/>
    <w:multiLevelType w:val="multilevel"/>
    <w:tmpl w:val="D57CB31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2E4B3353"/>
    <w:multiLevelType w:val="hybridMultilevel"/>
    <w:tmpl w:val="53DA3E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2E523FA3"/>
    <w:multiLevelType w:val="multilevel"/>
    <w:tmpl w:val="23B2DCF8"/>
    <w:lvl w:ilvl="0">
      <w:start w:val="1"/>
      <w:numFmt w:val="bullet"/>
      <w:lvlText w:val=""/>
      <w:lvlJc w:val="left"/>
      <w:pPr>
        <w:ind w:left="360" w:hanging="360"/>
      </w:pPr>
      <w:rPr>
        <w:rFonts w:ascii="Wingdings" w:hAnsi="Wingdings" w:hint="default"/>
        <w:sz w:val="23"/>
        <w:szCs w:val="23"/>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2EEB381F"/>
    <w:multiLevelType w:val="multilevel"/>
    <w:tmpl w:val="9AA8963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2F1C7CA2"/>
    <w:multiLevelType w:val="multilevel"/>
    <w:tmpl w:val="35405E9C"/>
    <w:lvl w:ilvl="0">
      <w:start w:val="1"/>
      <w:numFmt w:val="bullet"/>
      <w:lvlText w:val="▪"/>
      <w:lvlJc w:val="left"/>
      <w:pPr>
        <w:ind w:left="0" w:hanging="360"/>
      </w:pPr>
      <w:rPr>
        <w:rFonts w:ascii="Noto Sans Symbols" w:eastAsia="Noto Sans Symbols" w:hAnsi="Noto Sans Symbols" w:cs="Noto Sans Symbols"/>
      </w:rPr>
    </w:lvl>
    <w:lvl w:ilvl="1">
      <w:start w:val="1"/>
      <w:numFmt w:val="bullet"/>
      <w:lvlText w:val=""/>
      <w:lvlJc w:val="left"/>
      <w:pPr>
        <w:ind w:left="720" w:hanging="360"/>
      </w:pPr>
      <w:rPr>
        <w:rFonts w:ascii="Wingdings" w:hAnsi="Wingdings" w:hint="default"/>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2160" w:hanging="360"/>
      </w:pPr>
      <w:rPr>
        <w:rFonts w:ascii="Noto Sans Symbols" w:eastAsia="Noto Sans Symbols" w:hAnsi="Noto Sans Symbols" w:cs="Noto Sans Symbols"/>
      </w:rPr>
    </w:lvl>
    <w:lvl w:ilvl="4">
      <w:start w:val="1"/>
      <w:numFmt w:val="bullet"/>
      <w:lvlText w:val="o"/>
      <w:lvlJc w:val="left"/>
      <w:pPr>
        <w:ind w:left="2880" w:hanging="360"/>
      </w:pPr>
      <w:rPr>
        <w:rFonts w:ascii="Courier New" w:eastAsia="Courier New" w:hAnsi="Courier New" w:cs="Courier New"/>
      </w:rPr>
    </w:lvl>
    <w:lvl w:ilvl="5">
      <w:start w:val="1"/>
      <w:numFmt w:val="bullet"/>
      <w:lvlText w:val="▪"/>
      <w:lvlJc w:val="left"/>
      <w:pPr>
        <w:ind w:left="3600" w:hanging="360"/>
      </w:pPr>
      <w:rPr>
        <w:rFonts w:ascii="Noto Sans Symbols" w:eastAsia="Noto Sans Symbols" w:hAnsi="Noto Sans Symbols" w:cs="Noto Sans Symbols"/>
      </w:rPr>
    </w:lvl>
    <w:lvl w:ilvl="6">
      <w:start w:val="1"/>
      <w:numFmt w:val="bullet"/>
      <w:lvlText w:val="●"/>
      <w:lvlJc w:val="left"/>
      <w:pPr>
        <w:ind w:left="4320" w:hanging="360"/>
      </w:pPr>
      <w:rPr>
        <w:rFonts w:ascii="Noto Sans Symbols" w:eastAsia="Noto Sans Symbols" w:hAnsi="Noto Sans Symbols" w:cs="Noto Sans Symbols"/>
      </w:rPr>
    </w:lvl>
    <w:lvl w:ilvl="7">
      <w:start w:val="1"/>
      <w:numFmt w:val="bullet"/>
      <w:lvlText w:val="o"/>
      <w:lvlJc w:val="left"/>
      <w:pPr>
        <w:ind w:left="5040" w:hanging="360"/>
      </w:pPr>
      <w:rPr>
        <w:rFonts w:ascii="Courier New" w:eastAsia="Courier New" w:hAnsi="Courier New" w:cs="Courier New"/>
      </w:rPr>
    </w:lvl>
    <w:lvl w:ilvl="8">
      <w:start w:val="1"/>
      <w:numFmt w:val="bullet"/>
      <w:lvlText w:val="▪"/>
      <w:lvlJc w:val="left"/>
      <w:pPr>
        <w:ind w:left="5760" w:hanging="360"/>
      </w:pPr>
      <w:rPr>
        <w:rFonts w:ascii="Noto Sans Symbols" w:eastAsia="Noto Sans Symbols" w:hAnsi="Noto Sans Symbols" w:cs="Noto Sans Symbols"/>
      </w:rPr>
    </w:lvl>
  </w:abstractNum>
  <w:abstractNum w:abstractNumId="48" w15:restartNumberingAfterBreak="0">
    <w:nsid w:val="2F243003"/>
    <w:multiLevelType w:val="multilevel"/>
    <w:tmpl w:val="3668C3B4"/>
    <w:lvl w:ilvl="0">
      <w:start w:val="1"/>
      <w:numFmt w:val="bullet"/>
      <w:lvlText w:val="▪"/>
      <w:lvlJc w:val="left"/>
      <w:pPr>
        <w:ind w:left="360" w:hanging="360"/>
      </w:pPr>
      <w:rPr>
        <w:rFonts w:ascii="Noto Sans Symbols" w:eastAsia="Noto Sans Symbols" w:hAnsi="Noto Sans Symbols" w:cs="Noto Sans Symbols"/>
      </w:rPr>
    </w:lvl>
    <w:lvl w:ilvl="1">
      <w:start w:val="1"/>
      <w:numFmt w:val="decimal"/>
      <w:lvlText w:val="▪.%2"/>
      <w:lvlJc w:val="left"/>
      <w:pPr>
        <w:ind w:left="360" w:hanging="360"/>
      </w:pPr>
    </w:lvl>
    <w:lvl w:ilvl="2">
      <w:start w:val="1"/>
      <w:numFmt w:val="decimal"/>
      <w:lvlText w:val="▪.%2.%3"/>
      <w:lvlJc w:val="left"/>
      <w:pPr>
        <w:ind w:left="720" w:hanging="720"/>
      </w:pPr>
    </w:lvl>
    <w:lvl w:ilvl="3">
      <w:start w:val="1"/>
      <w:numFmt w:val="decimal"/>
      <w:lvlText w:val="▪.%2.%3.%4"/>
      <w:lvlJc w:val="left"/>
      <w:pPr>
        <w:ind w:left="720" w:hanging="720"/>
      </w:pPr>
    </w:lvl>
    <w:lvl w:ilvl="4">
      <w:start w:val="1"/>
      <w:numFmt w:val="decimal"/>
      <w:lvlText w:val="▪.%2.%3.%4.%5"/>
      <w:lvlJc w:val="left"/>
      <w:pPr>
        <w:ind w:left="720" w:hanging="720"/>
      </w:pPr>
    </w:lvl>
    <w:lvl w:ilvl="5">
      <w:start w:val="1"/>
      <w:numFmt w:val="decimal"/>
      <w:lvlText w:val="▪.%2.%3.%4.%5.%6"/>
      <w:lvlJc w:val="left"/>
      <w:pPr>
        <w:ind w:left="1080" w:hanging="1080"/>
      </w:pPr>
    </w:lvl>
    <w:lvl w:ilvl="6">
      <w:start w:val="1"/>
      <w:numFmt w:val="decimal"/>
      <w:lvlText w:val="▪.%2.%3.%4.%5.%6.%7"/>
      <w:lvlJc w:val="left"/>
      <w:pPr>
        <w:ind w:left="1080" w:hanging="1080"/>
      </w:pPr>
    </w:lvl>
    <w:lvl w:ilvl="7">
      <w:start w:val="1"/>
      <w:numFmt w:val="decimal"/>
      <w:lvlText w:val="▪.%2.%3.%4.%5.%6.%7.%8"/>
      <w:lvlJc w:val="left"/>
      <w:pPr>
        <w:ind w:left="1440" w:hanging="1440"/>
      </w:pPr>
    </w:lvl>
    <w:lvl w:ilvl="8">
      <w:start w:val="1"/>
      <w:numFmt w:val="decimal"/>
      <w:lvlText w:val="▪.%2.%3.%4.%5.%6.%7.%8.%9"/>
      <w:lvlJc w:val="left"/>
      <w:pPr>
        <w:ind w:left="1440" w:hanging="1440"/>
      </w:pPr>
    </w:lvl>
  </w:abstractNum>
  <w:abstractNum w:abstractNumId="49" w15:restartNumberingAfterBreak="0">
    <w:nsid w:val="2FA165C2"/>
    <w:multiLevelType w:val="hybridMultilevel"/>
    <w:tmpl w:val="226C0D4E"/>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0" w15:restartNumberingAfterBreak="0">
    <w:nsid w:val="30487DE3"/>
    <w:multiLevelType w:val="multilevel"/>
    <w:tmpl w:val="B2001F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30C813DB"/>
    <w:multiLevelType w:val="multilevel"/>
    <w:tmpl w:val="DD98B9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2" w15:restartNumberingAfterBreak="0">
    <w:nsid w:val="30FA345F"/>
    <w:multiLevelType w:val="multilevel"/>
    <w:tmpl w:val="DAD4B9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316E780E"/>
    <w:multiLevelType w:val="multilevel"/>
    <w:tmpl w:val="20B4E95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4" w15:restartNumberingAfterBreak="0">
    <w:nsid w:val="31BE7060"/>
    <w:multiLevelType w:val="multilevel"/>
    <w:tmpl w:val="CB12253E"/>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5" w15:restartNumberingAfterBreak="0">
    <w:nsid w:val="33741F6D"/>
    <w:multiLevelType w:val="multilevel"/>
    <w:tmpl w:val="AF388242"/>
    <w:lvl w:ilvl="0">
      <w:start w:val="8"/>
      <w:numFmt w:val="bullet"/>
      <w:lvlText w:val="-"/>
      <w:lvlJc w:val="left"/>
      <w:pPr>
        <w:ind w:left="360" w:hanging="360"/>
      </w:pPr>
      <w:rPr>
        <w:rFonts w:ascii="Times New Roman" w:eastAsia="Times New Roman" w:hAnsi="Times New Roman" w:cs="Times New Roman"/>
        <w:sz w:val="23"/>
        <w:szCs w:val="23"/>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6" w15:restartNumberingAfterBreak="0">
    <w:nsid w:val="33935315"/>
    <w:multiLevelType w:val="multilevel"/>
    <w:tmpl w:val="295CFA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7" w15:restartNumberingAfterBreak="0">
    <w:nsid w:val="33E06789"/>
    <w:multiLevelType w:val="hybridMultilevel"/>
    <w:tmpl w:val="623287A8"/>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8" w15:restartNumberingAfterBreak="0">
    <w:nsid w:val="34B84273"/>
    <w:multiLevelType w:val="multilevel"/>
    <w:tmpl w:val="E026CB1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9" w15:restartNumberingAfterBreak="0">
    <w:nsid w:val="34BC5A8F"/>
    <w:multiLevelType w:val="hybridMultilevel"/>
    <w:tmpl w:val="D898E994"/>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0" w15:restartNumberingAfterBreak="0">
    <w:nsid w:val="34EB4BAC"/>
    <w:multiLevelType w:val="hybridMultilevel"/>
    <w:tmpl w:val="93CA2FC4"/>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1" w15:restartNumberingAfterBreak="0">
    <w:nsid w:val="36DC462C"/>
    <w:multiLevelType w:val="multilevel"/>
    <w:tmpl w:val="8910A7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2" w15:restartNumberingAfterBreak="0">
    <w:nsid w:val="36ED61A5"/>
    <w:multiLevelType w:val="hybridMultilevel"/>
    <w:tmpl w:val="6360E6C8"/>
    <w:lvl w:ilvl="0" w:tplc="0218AB6A">
      <w:start w:val="1"/>
      <w:numFmt w:val="decimal"/>
      <w:lvlText w:val="%1."/>
      <w:lvlJc w:val="left"/>
      <w:pPr>
        <w:ind w:left="360" w:hanging="360"/>
      </w:pPr>
      <w:rPr>
        <w:rFonts w:asciiTheme="minorHAnsi" w:hAnsiTheme="minorHAnsi" w:cstheme="minorHAnsi" w:hint="default"/>
        <w:b w:val="0"/>
        <w:color w:val="auto"/>
        <w:sz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3" w15:restartNumberingAfterBreak="0">
    <w:nsid w:val="37D7604A"/>
    <w:multiLevelType w:val="hybridMultilevel"/>
    <w:tmpl w:val="808E6D80"/>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4" w15:restartNumberingAfterBreak="0">
    <w:nsid w:val="3942533C"/>
    <w:multiLevelType w:val="multilevel"/>
    <w:tmpl w:val="BA88A1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39B507E6"/>
    <w:multiLevelType w:val="multilevel"/>
    <w:tmpl w:val="BC1C262C"/>
    <w:lvl w:ilvl="0">
      <w:start w:val="7"/>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520" w:hanging="2160"/>
      </w:pPr>
      <w:rPr>
        <w:rFonts w:hint="default"/>
        <w:b/>
      </w:rPr>
    </w:lvl>
    <w:lvl w:ilvl="8">
      <w:start w:val="1"/>
      <w:numFmt w:val="decimal"/>
      <w:isLgl/>
      <w:lvlText w:val="%1.%2.%3.%4.%5.%6.%7.%8.%9."/>
      <w:lvlJc w:val="left"/>
      <w:pPr>
        <w:ind w:left="2880" w:hanging="2520"/>
      </w:pPr>
      <w:rPr>
        <w:rFonts w:hint="default"/>
        <w:b/>
      </w:rPr>
    </w:lvl>
  </w:abstractNum>
  <w:abstractNum w:abstractNumId="66" w15:restartNumberingAfterBreak="0">
    <w:nsid w:val="39F94228"/>
    <w:multiLevelType w:val="multilevel"/>
    <w:tmpl w:val="751663D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7" w15:restartNumberingAfterBreak="0">
    <w:nsid w:val="3A0770D2"/>
    <w:multiLevelType w:val="multilevel"/>
    <w:tmpl w:val="1622571E"/>
    <w:lvl w:ilvl="0">
      <w:start w:val="1"/>
      <w:numFmt w:val="bullet"/>
      <w:lvlText w:val="▪"/>
      <w:lvlJc w:val="left"/>
      <w:pPr>
        <w:ind w:left="360" w:hanging="360"/>
      </w:pPr>
      <w:rPr>
        <w:rFonts w:ascii="Noto Sans Symbols" w:eastAsia="Noto Sans Symbols" w:hAnsi="Noto Sans Symbols" w:cs="Noto Sans Symbols"/>
      </w:rPr>
    </w:lvl>
    <w:lvl w:ilvl="1">
      <w:start w:val="3"/>
      <w:numFmt w:val="decimal"/>
      <w:lvlText w:val="▪.%2."/>
      <w:lvlJc w:val="left"/>
      <w:pPr>
        <w:ind w:left="720" w:hanging="720"/>
      </w:pPr>
    </w:lvl>
    <w:lvl w:ilvl="2">
      <w:start w:val="1"/>
      <w:numFmt w:val="decimal"/>
      <w:lvlText w:val="▪.%2.%3."/>
      <w:lvlJc w:val="left"/>
      <w:pPr>
        <w:ind w:left="720" w:hanging="720"/>
      </w:pPr>
    </w:lvl>
    <w:lvl w:ilvl="3">
      <w:start w:val="1"/>
      <w:numFmt w:val="decimal"/>
      <w:lvlText w:val="▪.%2.%3.%4."/>
      <w:lvlJc w:val="left"/>
      <w:pPr>
        <w:ind w:left="1080" w:hanging="1080"/>
      </w:pPr>
    </w:lvl>
    <w:lvl w:ilvl="4">
      <w:start w:val="1"/>
      <w:numFmt w:val="decimal"/>
      <w:lvlText w:val="▪.%2.%3.%4.%5."/>
      <w:lvlJc w:val="left"/>
      <w:pPr>
        <w:ind w:left="1080" w:hanging="1080"/>
      </w:pPr>
    </w:lvl>
    <w:lvl w:ilvl="5">
      <w:start w:val="1"/>
      <w:numFmt w:val="decimal"/>
      <w:lvlText w:val="▪.%2.%3.%4.%5.%6."/>
      <w:lvlJc w:val="left"/>
      <w:pPr>
        <w:ind w:left="1440" w:hanging="1440"/>
      </w:pPr>
    </w:lvl>
    <w:lvl w:ilvl="6">
      <w:start w:val="1"/>
      <w:numFmt w:val="decimal"/>
      <w:lvlText w:val="▪.%2.%3.%4.%5.%6.%7."/>
      <w:lvlJc w:val="left"/>
      <w:pPr>
        <w:ind w:left="1440" w:hanging="1440"/>
      </w:pPr>
    </w:lvl>
    <w:lvl w:ilvl="7">
      <w:start w:val="1"/>
      <w:numFmt w:val="decimal"/>
      <w:lvlText w:val="▪.%2.%3.%4.%5.%6.%7.%8."/>
      <w:lvlJc w:val="left"/>
      <w:pPr>
        <w:ind w:left="1800" w:hanging="1800"/>
      </w:pPr>
    </w:lvl>
    <w:lvl w:ilvl="8">
      <w:start w:val="1"/>
      <w:numFmt w:val="decimal"/>
      <w:lvlText w:val="▪.%2.%3.%4.%5.%6.%7.%8.%9."/>
      <w:lvlJc w:val="left"/>
      <w:pPr>
        <w:ind w:left="1800" w:hanging="1800"/>
      </w:pPr>
    </w:lvl>
  </w:abstractNum>
  <w:abstractNum w:abstractNumId="68" w15:restartNumberingAfterBreak="0">
    <w:nsid w:val="3A312CD6"/>
    <w:multiLevelType w:val="hybridMultilevel"/>
    <w:tmpl w:val="925A2F5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9" w15:restartNumberingAfterBreak="0">
    <w:nsid w:val="3A626FE6"/>
    <w:multiLevelType w:val="multilevel"/>
    <w:tmpl w:val="290C22C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0" w15:restartNumberingAfterBreak="0">
    <w:nsid w:val="3A754E2E"/>
    <w:multiLevelType w:val="multilevel"/>
    <w:tmpl w:val="1100B22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1" w15:restartNumberingAfterBreak="0">
    <w:nsid w:val="3ADF34F7"/>
    <w:multiLevelType w:val="hybridMultilevel"/>
    <w:tmpl w:val="3AE8514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15:restartNumberingAfterBreak="0">
    <w:nsid w:val="3AE072AF"/>
    <w:multiLevelType w:val="multilevel"/>
    <w:tmpl w:val="FBE0882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3" w15:restartNumberingAfterBreak="0">
    <w:nsid w:val="3B502D2F"/>
    <w:multiLevelType w:val="multilevel"/>
    <w:tmpl w:val="4D5414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3B8E6ED9"/>
    <w:multiLevelType w:val="multilevel"/>
    <w:tmpl w:val="70D29D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3CC16BD9"/>
    <w:multiLevelType w:val="multilevel"/>
    <w:tmpl w:val="BC1C262C"/>
    <w:lvl w:ilvl="0">
      <w:start w:val="7"/>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520" w:hanging="2160"/>
      </w:pPr>
      <w:rPr>
        <w:rFonts w:hint="default"/>
        <w:b/>
      </w:rPr>
    </w:lvl>
    <w:lvl w:ilvl="8">
      <w:start w:val="1"/>
      <w:numFmt w:val="decimal"/>
      <w:isLgl/>
      <w:lvlText w:val="%1.%2.%3.%4.%5.%6.%7.%8.%9."/>
      <w:lvlJc w:val="left"/>
      <w:pPr>
        <w:ind w:left="2880" w:hanging="2520"/>
      </w:pPr>
      <w:rPr>
        <w:rFonts w:hint="default"/>
        <w:b/>
      </w:rPr>
    </w:lvl>
  </w:abstractNum>
  <w:abstractNum w:abstractNumId="76" w15:restartNumberingAfterBreak="0">
    <w:nsid w:val="3D2F6962"/>
    <w:multiLevelType w:val="hybridMultilevel"/>
    <w:tmpl w:val="673018C6"/>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7" w15:restartNumberingAfterBreak="0">
    <w:nsid w:val="3E951099"/>
    <w:multiLevelType w:val="multilevel"/>
    <w:tmpl w:val="F5403D6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3EE80994"/>
    <w:multiLevelType w:val="multilevel"/>
    <w:tmpl w:val="5DAC11A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9" w15:restartNumberingAfterBreak="0">
    <w:nsid w:val="3EEB78B8"/>
    <w:multiLevelType w:val="multilevel"/>
    <w:tmpl w:val="11680870"/>
    <w:lvl w:ilvl="0">
      <w:start w:val="1"/>
      <w:numFmt w:val="bullet"/>
      <w:lvlText w:val=""/>
      <w:lvlJc w:val="left"/>
      <w:pPr>
        <w:ind w:left="360" w:hanging="360"/>
      </w:pPr>
      <w:rPr>
        <w:rFonts w:ascii="Wingdings" w:hAnsi="Wingdings" w:hint="default"/>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0" w15:restartNumberingAfterBreak="0">
    <w:nsid w:val="3F7951B3"/>
    <w:multiLevelType w:val="hybridMultilevel"/>
    <w:tmpl w:val="32C29CA6"/>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1" w15:restartNumberingAfterBreak="0">
    <w:nsid w:val="3FCA5F66"/>
    <w:multiLevelType w:val="multilevel"/>
    <w:tmpl w:val="257EAF26"/>
    <w:lvl w:ilvl="0">
      <w:start w:val="1"/>
      <w:numFmt w:val="bullet"/>
      <w:lvlText w:val="▪"/>
      <w:lvlJc w:val="left"/>
      <w:pPr>
        <w:ind w:left="720" w:hanging="72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2" w15:restartNumberingAfterBreak="0">
    <w:nsid w:val="40A655A3"/>
    <w:multiLevelType w:val="multilevel"/>
    <w:tmpl w:val="0E902E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40D32089"/>
    <w:multiLevelType w:val="multilevel"/>
    <w:tmpl w:val="9BEC4220"/>
    <w:lvl w:ilvl="0">
      <w:start w:val="5"/>
      <w:numFmt w:val="decimal"/>
      <w:lvlText w:val="%1."/>
      <w:lvlJc w:val="left"/>
      <w:pPr>
        <w:ind w:left="360" w:hanging="360"/>
      </w:pPr>
      <w:rPr>
        <w:b w:val="0"/>
        <w:sz w:val="24"/>
        <w:szCs w:val="24"/>
      </w:rPr>
    </w:lvl>
    <w:lvl w:ilvl="1">
      <w:start w:val="1"/>
      <w:numFmt w:val="decimal"/>
      <w:lvlText w:val="%1.%2."/>
      <w:lvlJc w:val="left"/>
      <w:pPr>
        <w:ind w:left="720" w:hanging="720"/>
      </w:pPr>
      <w:rPr>
        <w:b w:val="0"/>
        <w:sz w:val="24"/>
        <w:szCs w:val="24"/>
      </w:rPr>
    </w:lvl>
    <w:lvl w:ilvl="2">
      <w:start w:val="1"/>
      <w:numFmt w:val="decimal"/>
      <w:lvlText w:val="%1.%2.%3."/>
      <w:lvlJc w:val="left"/>
      <w:pPr>
        <w:ind w:left="720" w:hanging="720"/>
      </w:pPr>
      <w:rPr>
        <w:b w:val="0"/>
        <w:sz w:val="24"/>
        <w:szCs w:val="24"/>
      </w:rPr>
    </w:lvl>
    <w:lvl w:ilvl="3">
      <w:start w:val="1"/>
      <w:numFmt w:val="decimal"/>
      <w:lvlText w:val="%1.%2.%3.%4."/>
      <w:lvlJc w:val="left"/>
      <w:pPr>
        <w:ind w:left="1080" w:hanging="1080"/>
      </w:pPr>
      <w:rPr>
        <w:b w:val="0"/>
        <w:sz w:val="24"/>
        <w:szCs w:val="24"/>
      </w:rPr>
    </w:lvl>
    <w:lvl w:ilvl="4">
      <w:start w:val="1"/>
      <w:numFmt w:val="decimal"/>
      <w:lvlText w:val="%1.%2.%3.%4.%5."/>
      <w:lvlJc w:val="left"/>
      <w:pPr>
        <w:ind w:left="1080" w:hanging="1080"/>
      </w:pPr>
      <w:rPr>
        <w:b w:val="0"/>
        <w:sz w:val="24"/>
        <w:szCs w:val="24"/>
      </w:rPr>
    </w:lvl>
    <w:lvl w:ilvl="5">
      <w:start w:val="1"/>
      <w:numFmt w:val="decimal"/>
      <w:lvlText w:val="%1.%2.%3.%4.%5.%6."/>
      <w:lvlJc w:val="left"/>
      <w:pPr>
        <w:ind w:left="1440" w:hanging="1440"/>
      </w:pPr>
      <w:rPr>
        <w:b w:val="0"/>
        <w:sz w:val="24"/>
        <w:szCs w:val="24"/>
      </w:rPr>
    </w:lvl>
    <w:lvl w:ilvl="6">
      <w:start w:val="1"/>
      <w:numFmt w:val="decimal"/>
      <w:lvlText w:val="%1.%2.%3.%4.%5.%6.%7."/>
      <w:lvlJc w:val="left"/>
      <w:pPr>
        <w:ind w:left="1800" w:hanging="1800"/>
      </w:pPr>
      <w:rPr>
        <w:b w:val="0"/>
        <w:sz w:val="24"/>
        <w:szCs w:val="24"/>
      </w:rPr>
    </w:lvl>
    <w:lvl w:ilvl="7">
      <w:start w:val="1"/>
      <w:numFmt w:val="decimal"/>
      <w:lvlText w:val="%1.%2.%3.%4.%5.%6.%7.%8."/>
      <w:lvlJc w:val="left"/>
      <w:pPr>
        <w:ind w:left="1800" w:hanging="1800"/>
      </w:pPr>
      <w:rPr>
        <w:b w:val="0"/>
        <w:sz w:val="24"/>
        <w:szCs w:val="24"/>
      </w:rPr>
    </w:lvl>
    <w:lvl w:ilvl="8">
      <w:start w:val="1"/>
      <w:numFmt w:val="decimal"/>
      <w:lvlText w:val="%1.%2.%3.%4.%5.%6.%7.%8.%9."/>
      <w:lvlJc w:val="left"/>
      <w:pPr>
        <w:ind w:left="2160" w:hanging="2160"/>
      </w:pPr>
      <w:rPr>
        <w:b w:val="0"/>
        <w:sz w:val="24"/>
        <w:szCs w:val="24"/>
      </w:rPr>
    </w:lvl>
  </w:abstractNum>
  <w:abstractNum w:abstractNumId="84" w15:restartNumberingAfterBreak="0">
    <w:nsid w:val="4240557C"/>
    <w:multiLevelType w:val="multilevel"/>
    <w:tmpl w:val="FD124204"/>
    <w:lvl w:ilvl="0">
      <w:start w:val="1"/>
      <w:numFmt w:val="decimal"/>
      <w:lvlText w:val="%1."/>
      <w:lvlJc w:val="left"/>
      <w:pPr>
        <w:ind w:left="360" w:hanging="360"/>
      </w:pPr>
      <w:rPr>
        <w:rFonts w:asciiTheme="minorHAnsi" w:hAnsiTheme="minorHAnsi" w:cstheme="minorHAnsi" w:hint="default"/>
        <w:b w:val="0"/>
        <w:color w:val="auto"/>
        <w:sz w:val="24"/>
      </w:rPr>
    </w:lvl>
    <w:lvl w:ilvl="1">
      <w:start w:val="1"/>
      <w:numFmt w:val="decimal"/>
      <w:isLgl/>
      <w:lvlText w:val="%1.%2."/>
      <w:lvlJc w:val="left"/>
      <w:pPr>
        <w:ind w:left="360" w:hanging="360"/>
      </w:pPr>
      <w:rPr>
        <w:rFonts w:hint="default"/>
        <w:color w:val="000000"/>
      </w:rPr>
    </w:lvl>
    <w:lvl w:ilvl="2">
      <w:start w:val="1"/>
      <w:numFmt w:val="decimal"/>
      <w:isLgl/>
      <w:lvlText w:val="%1.%2.%3."/>
      <w:lvlJc w:val="left"/>
      <w:pPr>
        <w:ind w:left="720" w:hanging="720"/>
      </w:pPr>
      <w:rPr>
        <w:rFonts w:hint="default"/>
        <w:color w:val="000000"/>
      </w:rPr>
    </w:lvl>
    <w:lvl w:ilvl="3">
      <w:start w:val="1"/>
      <w:numFmt w:val="decimal"/>
      <w:isLgl/>
      <w:lvlText w:val="%1.%2.%3.%4."/>
      <w:lvlJc w:val="left"/>
      <w:pPr>
        <w:ind w:left="720" w:hanging="720"/>
      </w:pPr>
      <w:rPr>
        <w:rFonts w:hint="default"/>
        <w:color w:val="000000"/>
      </w:rPr>
    </w:lvl>
    <w:lvl w:ilvl="4">
      <w:start w:val="1"/>
      <w:numFmt w:val="decimal"/>
      <w:isLgl/>
      <w:lvlText w:val="%1.%2.%3.%4.%5."/>
      <w:lvlJc w:val="left"/>
      <w:pPr>
        <w:ind w:left="1647" w:hanging="1080"/>
      </w:pPr>
      <w:rPr>
        <w:rFonts w:hint="default"/>
        <w:color w:val="000000"/>
      </w:rPr>
    </w:lvl>
    <w:lvl w:ilvl="5">
      <w:start w:val="1"/>
      <w:numFmt w:val="decimal"/>
      <w:isLgl/>
      <w:lvlText w:val="%1.%2.%3.%4.%5.%6."/>
      <w:lvlJc w:val="left"/>
      <w:pPr>
        <w:ind w:left="1080" w:hanging="1080"/>
      </w:pPr>
      <w:rPr>
        <w:rFonts w:hint="default"/>
        <w:color w:val="000000"/>
      </w:rPr>
    </w:lvl>
    <w:lvl w:ilvl="6">
      <w:start w:val="1"/>
      <w:numFmt w:val="decimal"/>
      <w:isLgl/>
      <w:lvlText w:val="%1.%2.%3.%4.%5.%6.%7."/>
      <w:lvlJc w:val="left"/>
      <w:pPr>
        <w:ind w:left="1080" w:hanging="1080"/>
      </w:pPr>
      <w:rPr>
        <w:rFonts w:hint="default"/>
        <w:color w:val="000000"/>
      </w:rPr>
    </w:lvl>
    <w:lvl w:ilvl="7">
      <w:start w:val="1"/>
      <w:numFmt w:val="decimal"/>
      <w:isLgl/>
      <w:lvlText w:val="%1.%2.%3.%4.%5.%6.%7.%8."/>
      <w:lvlJc w:val="left"/>
      <w:pPr>
        <w:ind w:left="1440" w:hanging="1440"/>
      </w:pPr>
      <w:rPr>
        <w:rFonts w:hint="default"/>
        <w:color w:val="000000"/>
      </w:rPr>
    </w:lvl>
    <w:lvl w:ilvl="8">
      <w:start w:val="1"/>
      <w:numFmt w:val="decimal"/>
      <w:isLgl/>
      <w:lvlText w:val="%1.%2.%3.%4.%5.%6.%7.%8.%9."/>
      <w:lvlJc w:val="left"/>
      <w:pPr>
        <w:ind w:left="1440" w:hanging="1440"/>
      </w:pPr>
      <w:rPr>
        <w:rFonts w:hint="default"/>
        <w:color w:val="000000"/>
      </w:rPr>
    </w:lvl>
  </w:abstractNum>
  <w:abstractNum w:abstractNumId="85" w15:restartNumberingAfterBreak="0">
    <w:nsid w:val="425D2958"/>
    <w:multiLevelType w:val="multilevel"/>
    <w:tmpl w:val="9BC8F39E"/>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6" w15:restartNumberingAfterBreak="0">
    <w:nsid w:val="42880C55"/>
    <w:multiLevelType w:val="hybridMultilevel"/>
    <w:tmpl w:val="AB3CC7C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7" w15:restartNumberingAfterBreak="0">
    <w:nsid w:val="431F464F"/>
    <w:multiLevelType w:val="multilevel"/>
    <w:tmpl w:val="F9CE0E6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8" w15:restartNumberingAfterBreak="0">
    <w:nsid w:val="46432E1A"/>
    <w:multiLevelType w:val="hybridMultilevel"/>
    <w:tmpl w:val="A1A83262"/>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9" w15:restartNumberingAfterBreak="0">
    <w:nsid w:val="46533142"/>
    <w:multiLevelType w:val="multilevel"/>
    <w:tmpl w:val="E8C46E3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0" w15:restartNumberingAfterBreak="0">
    <w:nsid w:val="495D30C5"/>
    <w:multiLevelType w:val="hybridMultilevel"/>
    <w:tmpl w:val="6386854C"/>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1" w15:restartNumberingAfterBreak="0">
    <w:nsid w:val="497023D9"/>
    <w:multiLevelType w:val="multilevel"/>
    <w:tmpl w:val="F5A459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2" w15:restartNumberingAfterBreak="0">
    <w:nsid w:val="49D53064"/>
    <w:multiLevelType w:val="hybridMultilevel"/>
    <w:tmpl w:val="EB8CDD34"/>
    <w:lvl w:ilvl="0" w:tplc="95FA3678">
      <w:start w:val="1"/>
      <w:numFmt w:val="decimal"/>
      <w:lvlText w:val="%1."/>
      <w:lvlJc w:val="left"/>
      <w:pPr>
        <w:ind w:left="360" w:hanging="360"/>
      </w:pPr>
      <w:rPr>
        <w:rFonts w:hint="default"/>
        <w:b w:val="0"/>
        <w:sz w:val="20"/>
        <w:szCs w:val="2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3" w15:restartNumberingAfterBreak="0">
    <w:nsid w:val="4A9B71CB"/>
    <w:multiLevelType w:val="multilevel"/>
    <w:tmpl w:val="A64412BA"/>
    <w:lvl w:ilvl="0">
      <w:start w:val="1"/>
      <w:numFmt w:val="bullet"/>
      <w:lvlText w:val="▪"/>
      <w:lvlJc w:val="left"/>
      <w:pPr>
        <w:ind w:left="360" w:hanging="360"/>
      </w:pPr>
      <w:rPr>
        <w:rFonts w:ascii="Noto Sans Symbols" w:eastAsia="Noto Sans Symbols" w:hAnsi="Noto Sans Symbols" w:cs="Noto Sans Symbols"/>
        <w:sz w:val="23"/>
        <w:szCs w:val="23"/>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4" w15:restartNumberingAfterBreak="0">
    <w:nsid w:val="50825CA0"/>
    <w:multiLevelType w:val="hybridMultilevel"/>
    <w:tmpl w:val="53C6566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5" w15:restartNumberingAfterBreak="0">
    <w:nsid w:val="51462470"/>
    <w:multiLevelType w:val="multilevel"/>
    <w:tmpl w:val="2DF8DB44"/>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6" w15:restartNumberingAfterBreak="0">
    <w:nsid w:val="528C16D7"/>
    <w:multiLevelType w:val="multilevel"/>
    <w:tmpl w:val="C5307F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7" w15:restartNumberingAfterBreak="0">
    <w:nsid w:val="533324A7"/>
    <w:multiLevelType w:val="multilevel"/>
    <w:tmpl w:val="BC1CEE4E"/>
    <w:lvl w:ilvl="0">
      <w:start w:val="1"/>
      <w:numFmt w:val="bullet"/>
      <w:lvlText w:val="▪"/>
      <w:lvlJc w:val="left"/>
      <w:pPr>
        <w:ind w:left="1068" w:hanging="360"/>
      </w:pPr>
      <w:rPr>
        <w:rFonts w:ascii="Noto Sans Symbols" w:eastAsia="Noto Sans Symbols" w:hAnsi="Noto Sans Symbols" w:cs="Noto Sans Symbols"/>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98" w15:restartNumberingAfterBreak="0">
    <w:nsid w:val="53B811DC"/>
    <w:multiLevelType w:val="multilevel"/>
    <w:tmpl w:val="DCE4972A"/>
    <w:lvl w:ilvl="0">
      <w:start w:val="3"/>
      <w:numFmt w:val="decimal"/>
      <w:lvlText w:val="%1."/>
      <w:lvlJc w:val="left"/>
      <w:pPr>
        <w:ind w:left="360" w:hanging="360"/>
      </w:pPr>
      <w:rPr>
        <w:rFonts w:ascii="Calibri" w:hAnsi="Calibri" w:hint="default"/>
        <w:b/>
        <w:i/>
        <w:color w:val="auto"/>
        <w:sz w:val="24"/>
      </w:rPr>
    </w:lvl>
    <w:lvl w:ilvl="1">
      <w:start w:val="2"/>
      <w:numFmt w:val="decimal"/>
      <w:lvlText w:val="%1.%2."/>
      <w:lvlJc w:val="left"/>
      <w:pPr>
        <w:ind w:left="360" w:hanging="360"/>
      </w:pPr>
      <w:rPr>
        <w:rFonts w:ascii="Calibri" w:hAnsi="Calibri" w:hint="default"/>
        <w:b/>
        <w:i/>
        <w:color w:val="auto"/>
        <w:sz w:val="24"/>
      </w:rPr>
    </w:lvl>
    <w:lvl w:ilvl="2">
      <w:start w:val="1"/>
      <w:numFmt w:val="decimal"/>
      <w:lvlText w:val="%1.%2.%3."/>
      <w:lvlJc w:val="left"/>
      <w:pPr>
        <w:ind w:left="720" w:hanging="720"/>
      </w:pPr>
      <w:rPr>
        <w:rFonts w:ascii="Calibri" w:hAnsi="Calibri" w:hint="default"/>
        <w:b w:val="0"/>
        <w:i w:val="0"/>
        <w:color w:val="auto"/>
        <w:sz w:val="18"/>
        <w:szCs w:val="18"/>
      </w:rPr>
    </w:lvl>
    <w:lvl w:ilvl="3">
      <w:start w:val="1"/>
      <w:numFmt w:val="decimal"/>
      <w:lvlText w:val="%1.%2.%3.%4."/>
      <w:lvlJc w:val="left"/>
      <w:pPr>
        <w:ind w:left="720" w:hanging="720"/>
      </w:pPr>
      <w:rPr>
        <w:rFonts w:ascii="Calibri" w:hAnsi="Calibri" w:hint="default"/>
        <w:b w:val="0"/>
        <w:i w:val="0"/>
        <w:color w:val="auto"/>
        <w:sz w:val="18"/>
        <w:szCs w:val="18"/>
      </w:rPr>
    </w:lvl>
    <w:lvl w:ilvl="4">
      <w:start w:val="1"/>
      <w:numFmt w:val="decimal"/>
      <w:lvlText w:val="%1.%2.%3.%4.%5."/>
      <w:lvlJc w:val="left"/>
      <w:pPr>
        <w:ind w:left="1080" w:hanging="1080"/>
      </w:pPr>
      <w:rPr>
        <w:rFonts w:ascii="Calibri" w:hAnsi="Calibri" w:hint="default"/>
        <w:b/>
        <w:i/>
        <w:color w:val="auto"/>
        <w:sz w:val="24"/>
      </w:rPr>
    </w:lvl>
    <w:lvl w:ilvl="5">
      <w:start w:val="1"/>
      <w:numFmt w:val="decimal"/>
      <w:lvlText w:val="%1.%2.%3.%4.%5.%6."/>
      <w:lvlJc w:val="left"/>
      <w:pPr>
        <w:ind w:left="1080" w:hanging="1080"/>
      </w:pPr>
      <w:rPr>
        <w:rFonts w:ascii="Calibri" w:hAnsi="Calibri" w:hint="default"/>
        <w:b/>
        <w:i/>
        <w:color w:val="auto"/>
        <w:sz w:val="24"/>
      </w:rPr>
    </w:lvl>
    <w:lvl w:ilvl="6">
      <w:start w:val="1"/>
      <w:numFmt w:val="decimal"/>
      <w:lvlText w:val="%1.%2.%3.%4.%5.%6.%7."/>
      <w:lvlJc w:val="left"/>
      <w:pPr>
        <w:ind w:left="1440" w:hanging="1440"/>
      </w:pPr>
      <w:rPr>
        <w:rFonts w:ascii="Calibri" w:hAnsi="Calibri" w:hint="default"/>
        <w:b/>
        <w:i/>
        <w:color w:val="auto"/>
        <w:sz w:val="24"/>
      </w:rPr>
    </w:lvl>
    <w:lvl w:ilvl="7">
      <w:start w:val="1"/>
      <w:numFmt w:val="decimal"/>
      <w:lvlText w:val="%1.%2.%3.%4.%5.%6.%7.%8."/>
      <w:lvlJc w:val="left"/>
      <w:pPr>
        <w:ind w:left="1440" w:hanging="1440"/>
      </w:pPr>
      <w:rPr>
        <w:rFonts w:ascii="Calibri" w:hAnsi="Calibri" w:hint="default"/>
        <w:b/>
        <w:i/>
        <w:color w:val="auto"/>
        <w:sz w:val="24"/>
      </w:rPr>
    </w:lvl>
    <w:lvl w:ilvl="8">
      <w:start w:val="1"/>
      <w:numFmt w:val="decimal"/>
      <w:lvlText w:val="%1.%2.%3.%4.%5.%6.%7.%8.%9."/>
      <w:lvlJc w:val="left"/>
      <w:pPr>
        <w:ind w:left="1800" w:hanging="1800"/>
      </w:pPr>
      <w:rPr>
        <w:rFonts w:ascii="Calibri" w:hAnsi="Calibri" w:hint="default"/>
        <w:b/>
        <w:i/>
        <w:color w:val="auto"/>
        <w:sz w:val="24"/>
      </w:rPr>
    </w:lvl>
  </w:abstractNum>
  <w:abstractNum w:abstractNumId="99" w15:restartNumberingAfterBreak="0">
    <w:nsid w:val="548D62C6"/>
    <w:multiLevelType w:val="multilevel"/>
    <w:tmpl w:val="2FD219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0" w15:restartNumberingAfterBreak="0">
    <w:nsid w:val="565E2B26"/>
    <w:multiLevelType w:val="multilevel"/>
    <w:tmpl w:val="FAC28BAC"/>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101" w15:restartNumberingAfterBreak="0">
    <w:nsid w:val="56AC5CE3"/>
    <w:multiLevelType w:val="multilevel"/>
    <w:tmpl w:val="8F845DF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02" w15:restartNumberingAfterBreak="0">
    <w:nsid w:val="56C21D51"/>
    <w:multiLevelType w:val="hybridMultilevel"/>
    <w:tmpl w:val="E228DB00"/>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3" w15:restartNumberingAfterBreak="0">
    <w:nsid w:val="57C970B7"/>
    <w:multiLevelType w:val="multilevel"/>
    <w:tmpl w:val="FC9EFA5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4" w15:restartNumberingAfterBreak="0">
    <w:nsid w:val="586738D3"/>
    <w:multiLevelType w:val="multilevel"/>
    <w:tmpl w:val="7D0C91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5" w15:restartNumberingAfterBreak="0">
    <w:nsid w:val="58EC2BA7"/>
    <w:multiLevelType w:val="multilevel"/>
    <w:tmpl w:val="A6EC1CEC"/>
    <w:lvl w:ilvl="0">
      <w:start w:val="1"/>
      <w:numFmt w:val="bullet"/>
      <w:lvlText w:val=""/>
      <w:lvlJc w:val="left"/>
      <w:pPr>
        <w:ind w:left="360" w:hanging="360"/>
      </w:pPr>
      <w:rPr>
        <w:rFonts w:ascii="Wingdings" w:hAnsi="Wingdings" w:hint="default"/>
        <w:sz w:val="23"/>
        <w:szCs w:val="23"/>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6" w15:restartNumberingAfterBreak="0">
    <w:nsid w:val="5A541B70"/>
    <w:multiLevelType w:val="multilevel"/>
    <w:tmpl w:val="8F6A6C2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7" w15:restartNumberingAfterBreak="0">
    <w:nsid w:val="5C697F60"/>
    <w:multiLevelType w:val="multilevel"/>
    <w:tmpl w:val="8FE6E77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8" w15:restartNumberingAfterBreak="0">
    <w:nsid w:val="5D3D33F2"/>
    <w:multiLevelType w:val="hybridMultilevel"/>
    <w:tmpl w:val="28B2B9F8"/>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9" w15:restartNumberingAfterBreak="0">
    <w:nsid w:val="5E3B546C"/>
    <w:multiLevelType w:val="multilevel"/>
    <w:tmpl w:val="E9CA7CD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0" w15:restartNumberingAfterBreak="0">
    <w:nsid w:val="5E800F46"/>
    <w:multiLevelType w:val="multilevel"/>
    <w:tmpl w:val="24424B4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1" w15:restartNumberingAfterBreak="0">
    <w:nsid w:val="60766863"/>
    <w:multiLevelType w:val="multilevel"/>
    <w:tmpl w:val="E0B632FA"/>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12" w15:restartNumberingAfterBreak="0">
    <w:nsid w:val="629D64F2"/>
    <w:multiLevelType w:val="multilevel"/>
    <w:tmpl w:val="B2DC2C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3" w15:restartNumberingAfterBreak="0">
    <w:nsid w:val="63FF0871"/>
    <w:multiLevelType w:val="multilevel"/>
    <w:tmpl w:val="24A8BF8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4" w15:restartNumberingAfterBreak="0">
    <w:nsid w:val="670156F2"/>
    <w:multiLevelType w:val="multilevel"/>
    <w:tmpl w:val="87AC3F5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5" w15:restartNumberingAfterBreak="0">
    <w:nsid w:val="67FD2390"/>
    <w:multiLevelType w:val="multilevel"/>
    <w:tmpl w:val="197CF26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6" w15:restartNumberingAfterBreak="0">
    <w:nsid w:val="68DD2DE2"/>
    <w:multiLevelType w:val="multilevel"/>
    <w:tmpl w:val="FA042C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7" w15:restartNumberingAfterBreak="0">
    <w:nsid w:val="6B3A5B13"/>
    <w:multiLevelType w:val="multilevel"/>
    <w:tmpl w:val="4B32487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8" w15:restartNumberingAfterBreak="0">
    <w:nsid w:val="6D6B66E8"/>
    <w:multiLevelType w:val="multilevel"/>
    <w:tmpl w:val="20E2FA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9" w15:restartNumberingAfterBreak="0">
    <w:nsid w:val="6D6D34DA"/>
    <w:multiLevelType w:val="multilevel"/>
    <w:tmpl w:val="B0149BD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0" w15:restartNumberingAfterBreak="0">
    <w:nsid w:val="6F7C3CD4"/>
    <w:multiLevelType w:val="multilevel"/>
    <w:tmpl w:val="C184852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1" w15:restartNumberingAfterBreak="0">
    <w:nsid w:val="718E31AB"/>
    <w:multiLevelType w:val="multilevel"/>
    <w:tmpl w:val="447E02BE"/>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2" w15:restartNumberingAfterBreak="0">
    <w:nsid w:val="72AD1752"/>
    <w:multiLevelType w:val="multilevel"/>
    <w:tmpl w:val="D8408F04"/>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23" w15:restartNumberingAfterBreak="0">
    <w:nsid w:val="73317A34"/>
    <w:multiLevelType w:val="multilevel"/>
    <w:tmpl w:val="CB4469B8"/>
    <w:lvl w:ilvl="0">
      <w:start w:val="1"/>
      <w:numFmt w:val="lowerLetter"/>
      <w:lvlText w:val="%1."/>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4" w15:restartNumberingAfterBreak="0">
    <w:nsid w:val="74BE696D"/>
    <w:multiLevelType w:val="multilevel"/>
    <w:tmpl w:val="7CE6E40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5" w15:restartNumberingAfterBreak="0">
    <w:nsid w:val="74C20367"/>
    <w:multiLevelType w:val="multilevel"/>
    <w:tmpl w:val="60F861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6" w15:restartNumberingAfterBreak="0">
    <w:nsid w:val="756A2B2C"/>
    <w:multiLevelType w:val="hybridMultilevel"/>
    <w:tmpl w:val="EB9425FC"/>
    <w:lvl w:ilvl="0" w:tplc="040C000F">
      <w:start w:val="1"/>
      <w:numFmt w:val="decimal"/>
      <w:lvlText w:val="%1."/>
      <w:lvlJc w:val="left"/>
      <w:pPr>
        <w:ind w:left="360" w:hanging="360"/>
      </w:pPr>
      <w:rPr>
        <w:rFonts w:hint="default"/>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7" w15:restartNumberingAfterBreak="0">
    <w:nsid w:val="75F913FB"/>
    <w:multiLevelType w:val="multilevel"/>
    <w:tmpl w:val="78ACEA9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8" w15:restartNumberingAfterBreak="0">
    <w:nsid w:val="76195E2B"/>
    <w:multiLevelType w:val="hybridMultilevel"/>
    <w:tmpl w:val="DAC4109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77787A19"/>
    <w:multiLevelType w:val="multilevel"/>
    <w:tmpl w:val="BF36FE96"/>
    <w:lvl w:ilvl="0">
      <w:start w:val="2"/>
      <w:numFmt w:val="decimal"/>
      <w:lvlText w:val="%1."/>
      <w:lvlJc w:val="left"/>
      <w:pPr>
        <w:ind w:left="360" w:hanging="360"/>
      </w:pPr>
      <w:rPr>
        <w:rFonts w:ascii="Calibri" w:hAnsi="Calibri" w:hint="default"/>
      </w:rPr>
    </w:lvl>
    <w:lvl w:ilvl="1">
      <w:start w:val="1"/>
      <w:numFmt w:val="decimal"/>
      <w:lvlText w:val="%1.%2."/>
      <w:lvlJc w:val="left"/>
      <w:pPr>
        <w:ind w:left="720" w:hanging="720"/>
      </w:pPr>
      <w:rPr>
        <w:rFonts w:ascii="Calibri" w:hAnsi="Calibri" w:hint="default"/>
      </w:rPr>
    </w:lvl>
    <w:lvl w:ilvl="2">
      <w:start w:val="1"/>
      <w:numFmt w:val="decimal"/>
      <w:lvlText w:val="%1.%2.%3."/>
      <w:lvlJc w:val="left"/>
      <w:pPr>
        <w:ind w:left="720" w:hanging="720"/>
      </w:pPr>
      <w:rPr>
        <w:rFonts w:ascii="Calibri" w:hAnsi="Calibri" w:hint="default"/>
      </w:rPr>
    </w:lvl>
    <w:lvl w:ilvl="3">
      <w:start w:val="1"/>
      <w:numFmt w:val="decimal"/>
      <w:lvlText w:val="%1.%2.%3.%4."/>
      <w:lvlJc w:val="left"/>
      <w:pPr>
        <w:ind w:left="1080" w:hanging="1080"/>
      </w:pPr>
      <w:rPr>
        <w:rFonts w:ascii="Calibri" w:hAnsi="Calibri" w:hint="default"/>
      </w:rPr>
    </w:lvl>
    <w:lvl w:ilvl="4">
      <w:start w:val="1"/>
      <w:numFmt w:val="decimal"/>
      <w:lvlText w:val="%1.%2.%3.%4.%5."/>
      <w:lvlJc w:val="left"/>
      <w:pPr>
        <w:ind w:left="1080" w:hanging="1080"/>
      </w:pPr>
      <w:rPr>
        <w:rFonts w:ascii="Calibri" w:hAnsi="Calibri" w:hint="default"/>
      </w:rPr>
    </w:lvl>
    <w:lvl w:ilvl="5">
      <w:start w:val="1"/>
      <w:numFmt w:val="decimal"/>
      <w:lvlText w:val="%1.%2.%3.%4.%5.%6."/>
      <w:lvlJc w:val="left"/>
      <w:pPr>
        <w:ind w:left="1440" w:hanging="1440"/>
      </w:pPr>
      <w:rPr>
        <w:rFonts w:ascii="Calibri" w:hAnsi="Calibri" w:hint="default"/>
      </w:rPr>
    </w:lvl>
    <w:lvl w:ilvl="6">
      <w:start w:val="1"/>
      <w:numFmt w:val="decimal"/>
      <w:lvlText w:val="%1.%2.%3.%4.%5.%6.%7."/>
      <w:lvlJc w:val="left"/>
      <w:pPr>
        <w:ind w:left="1440" w:hanging="1440"/>
      </w:pPr>
      <w:rPr>
        <w:rFonts w:ascii="Calibri" w:hAnsi="Calibri" w:hint="default"/>
      </w:rPr>
    </w:lvl>
    <w:lvl w:ilvl="7">
      <w:start w:val="1"/>
      <w:numFmt w:val="decimal"/>
      <w:lvlText w:val="%1.%2.%3.%4.%5.%6.%7.%8."/>
      <w:lvlJc w:val="left"/>
      <w:pPr>
        <w:ind w:left="1800" w:hanging="1800"/>
      </w:pPr>
      <w:rPr>
        <w:rFonts w:ascii="Calibri" w:hAnsi="Calibri" w:hint="default"/>
      </w:rPr>
    </w:lvl>
    <w:lvl w:ilvl="8">
      <w:start w:val="1"/>
      <w:numFmt w:val="decimal"/>
      <w:lvlText w:val="%1.%2.%3.%4.%5.%6.%7.%8.%9."/>
      <w:lvlJc w:val="left"/>
      <w:pPr>
        <w:ind w:left="1800" w:hanging="1800"/>
      </w:pPr>
      <w:rPr>
        <w:rFonts w:ascii="Calibri" w:hAnsi="Calibri" w:hint="default"/>
      </w:rPr>
    </w:lvl>
  </w:abstractNum>
  <w:abstractNum w:abstractNumId="130" w15:restartNumberingAfterBreak="0">
    <w:nsid w:val="78D13BE3"/>
    <w:multiLevelType w:val="hybridMultilevel"/>
    <w:tmpl w:val="898C545C"/>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1" w15:restartNumberingAfterBreak="0">
    <w:nsid w:val="79DA70DB"/>
    <w:multiLevelType w:val="multilevel"/>
    <w:tmpl w:val="AE5C72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2" w15:restartNumberingAfterBreak="0">
    <w:nsid w:val="7A486243"/>
    <w:multiLevelType w:val="multilevel"/>
    <w:tmpl w:val="BAAE2F5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3" w15:restartNumberingAfterBreak="0">
    <w:nsid w:val="7AB30798"/>
    <w:multiLevelType w:val="multilevel"/>
    <w:tmpl w:val="EB6887D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34" w15:restartNumberingAfterBreak="0">
    <w:nsid w:val="7C98376C"/>
    <w:multiLevelType w:val="hybridMultilevel"/>
    <w:tmpl w:val="84C02CDC"/>
    <w:lvl w:ilvl="0" w:tplc="0218AB6A">
      <w:start w:val="12"/>
      <w:numFmt w:val="decimal"/>
      <w:lvlText w:val="%1."/>
      <w:lvlJc w:val="left"/>
      <w:pPr>
        <w:ind w:left="360" w:hanging="360"/>
      </w:pPr>
      <w:rPr>
        <w:rFonts w:asciiTheme="minorHAnsi" w:hAnsiTheme="minorHAnsi" w:cstheme="minorHAnsi" w:hint="default"/>
        <w:b w:val="0"/>
        <w:color w:val="auto"/>
        <w:sz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5" w15:restartNumberingAfterBreak="0">
    <w:nsid w:val="7CBD3AB4"/>
    <w:multiLevelType w:val="multilevel"/>
    <w:tmpl w:val="B27CBA8E"/>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6" w15:restartNumberingAfterBreak="0">
    <w:nsid w:val="7E334ADD"/>
    <w:multiLevelType w:val="hybridMultilevel"/>
    <w:tmpl w:val="9E78D500"/>
    <w:lvl w:ilvl="0" w:tplc="040C000D">
      <w:start w:val="1"/>
      <w:numFmt w:val="bullet"/>
      <w:lvlText w:val=""/>
      <w:lvlJc w:val="left"/>
      <w:pPr>
        <w:ind w:left="1080" w:hanging="72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7" w15:restartNumberingAfterBreak="0">
    <w:nsid w:val="7EB94D81"/>
    <w:multiLevelType w:val="multilevel"/>
    <w:tmpl w:val="276CC852"/>
    <w:lvl w:ilvl="0">
      <w:start w:val="1"/>
      <w:numFmt w:val="bullet"/>
      <w:lvlText w:val=""/>
      <w:lvlJc w:val="left"/>
      <w:pPr>
        <w:ind w:left="360" w:hanging="360"/>
      </w:pPr>
      <w:rPr>
        <w:rFonts w:ascii="Wingdings" w:hAnsi="Wingdings" w:hint="default"/>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104"/>
  </w:num>
  <w:num w:numId="2">
    <w:abstractNumId w:val="18"/>
  </w:num>
  <w:num w:numId="3">
    <w:abstractNumId w:val="52"/>
  </w:num>
  <w:num w:numId="4">
    <w:abstractNumId w:val="91"/>
  </w:num>
  <w:num w:numId="5">
    <w:abstractNumId w:val="42"/>
  </w:num>
  <w:num w:numId="6">
    <w:abstractNumId w:val="120"/>
  </w:num>
  <w:num w:numId="7">
    <w:abstractNumId w:val="11"/>
  </w:num>
  <w:num w:numId="8">
    <w:abstractNumId w:val="133"/>
  </w:num>
  <w:num w:numId="9">
    <w:abstractNumId w:val="111"/>
  </w:num>
  <w:num w:numId="10">
    <w:abstractNumId w:val="9"/>
  </w:num>
  <w:num w:numId="11">
    <w:abstractNumId w:val="95"/>
  </w:num>
  <w:num w:numId="12">
    <w:abstractNumId w:val="35"/>
  </w:num>
  <w:num w:numId="13">
    <w:abstractNumId w:val="21"/>
  </w:num>
  <w:num w:numId="14">
    <w:abstractNumId w:val="13"/>
  </w:num>
  <w:num w:numId="15">
    <w:abstractNumId w:val="100"/>
  </w:num>
  <w:num w:numId="16">
    <w:abstractNumId w:val="122"/>
  </w:num>
  <w:num w:numId="17">
    <w:abstractNumId w:val="0"/>
  </w:num>
  <w:num w:numId="18">
    <w:abstractNumId w:val="36"/>
  </w:num>
  <w:num w:numId="19">
    <w:abstractNumId w:val="31"/>
  </w:num>
  <w:num w:numId="20">
    <w:abstractNumId w:val="97"/>
  </w:num>
  <w:num w:numId="21">
    <w:abstractNumId w:val="101"/>
  </w:num>
  <w:num w:numId="22">
    <w:abstractNumId w:val="123"/>
  </w:num>
  <w:num w:numId="23">
    <w:abstractNumId w:val="23"/>
  </w:num>
  <w:num w:numId="24">
    <w:abstractNumId w:val="15"/>
  </w:num>
  <w:num w:numId="25">
    <w:abstractNumId w:val="117"/>
  </w:num>
  <w:num w:numId="26">
    <w:abstractNumId w:val="67"/>
  </w:num>
  <w:num w:numId="27">
    <w:abstractNumId w:val="83"/>
  </w:num>
  <w:num w:numId="28">
    <w:abstractNumId w:val="29"/>
  </w:num>
  <w:num w:numId="29">
    <w:abstractNumId w:val="103"/>
  </w:num>
  <w:num w:numId="30">
    <w:abstractNumId w:val="131"/>
  </w:num>
  <w:num w:numId="31">
    <w:abstractNumId w:val="73"/>
  </w:num>
  <w:num w:numId="32">
    <w:abstractNumId w:val="64"/>
  </w:num>
  <w:num w:numId="33">
    <w:abstractNumId w:val="113"/>
  </w:num>
  <w:num w:numId="34">
    <w:abstractNumId w:val="7"/>
  </w:num>
  <w:num w:numId="35">
    <w:abstractNumId w:val="53"/>
  </w:num>
  <w:num w:numId="36">
    <w:abstractNumId w:val="109"/>
  </w:num>
  <w:num w:numId="37">
    <w:abstractNumId w:val="118"/>
  </w:num>
  <w:num w:numId="38">
    <w:abstractNumId w:val="47"/>
  </w:num>
  <w:num w:numId="39">
    <w:abstractNumId w:val="115"/>
  </w:num>
  <w:num w:numId="40">
    <w:abstractNumId w:val="125"/>
  </w:num>
  <w:num w:numId="41">
    <w:abstractNumId w:val="110"/>
  </w:num>
  <w:num w:numId="42">
    <w:abstractNumId w:val="89"/>
  </w:num>
  <w:num w:numId="43">
    <w:abstractNumId w:val="55"/>
  </w:num>
  <w:num w:numId="44">
    <w:abstractNumId w:val="81"/>
  </w:num>
  <w:num w:numId="45">
    <w:abstractNumId w:val="107"/>
  </w:num>
  <w:num w:numId="46">
    <w:abstractNumId w:val="127"/>
  </w:num>
  <w:num w:numId="47">
    <w:abstractNumId w:val="32"/>
  </w:num>
  <w:num w:numId="48">
    <w:abstractNumId w:val="121"/>
  </w:num>
  <w:num w:numId="49">
    <w:abstractNumId w:val="85"/>
  </w:num>
  <w:num w:numId="50">
    <w:abstractNumId w:val="99"/>
  </w:num>
  <w:num w:numId="51">
    <w:abstractNumId w:val="72"/>
  </w:num>
  <w:num w:numId="52">
    <w:abstractNumId w:val="112"/>
  </w:num>
  <w:num w:numId="53">
    <w:abstractNumId w:val="4"/>
  </w:num>
  <w:num w:numId="54">
    <w:abstractNumId w:val="119"/>
  </w:num>
  <w:num w:numId="55">
    <w:abstractNumId w:val="116"/>
  </w:num>
  <w:num w:numId="56">
    <w:abstractNumId w:val="58"/>
  </w:num>
  <w:num w:numId="57">
    <w:abstractNumId w:val="26"/>
  </w:num>
  <w:num w:numId="58">
    <w:abstractNumId w:val="106"/>
  </w:num>
  <w:num w:numId="59">
    <w:abstractNumId w:val="37"/>
  </w:num>
  <w:num w:numId="60">
    <w:abstractNumId w:val="14"/>
  </w:num>
  <w:num w:numId="61">
    <w:abstractNumId w:val="43"/>
  </w:num>
  <w:num w:numId="62">
    <w:abstractNumId w:val="28"/>
  </w:num>
  <w:num w:numId="63">
    <w:abstractNumId w:val="3"/>
  </w:num>
  <w:num w:numId="64">
    <w:abstractNumId w:val="39"/>
  </w:num>
  <w:num w:numId="65">
    <w:abstractNumId w:val="46"/>
  </w:num>
  <w:num w:numId="66">
    <w:abstractNumId w:val="54"/>
  </w:num>
  <w:num w:numId="67">
    <w:abstractNumId w:val="69"/>
  </w:num>
  <w:num w:numId="68">
    <w:abstractNumId w:val="34"/>
  </w:num>
  <w:num w:numId="69">
    <w:abstractNumId w:val="66"/>
  </w:num>
  <w:num w:numId="70">
    <w:abstractNumId w:val="5"/>
  </w:num>
  <w:num w:numId="71">
    <w:abstractNumId w:val="2"/>
  </w:num>
  <w:num w:numId="72">
    <w:abstractNumId w:val="82"/>
  </w:num>
  <w:num w:numId="73">
    <w:abstractNumId w:val="74"/>
  </w:num>
  <w:num w:numId="74">
    <w:abstractNumId w:val="41"/>
  </w:num>
  <w:num w:numId="75">
    <w:abstractNumId w:val="48"/>
  </w:num>
  <w:num w:numId="76">
    <w:abstractNumId w:val="51"/>
  </w:num>
  <w:num w:numId="77">
    <w:abstractNumId w:val="93"/>
  </w:num>
  <w:num w:numId="78">
    <w:abstractNumId w:val="124"/>
  </w:num>
  <w:num w:numId="79">
    <w:abstractNumId w:val="40"/>
  </w:num>
  <w:num w:numId="80">
    <w:abstractNumId w:val="96"/>
  </w:num>
  <w:num w:numId="81">
    <w:abstractNumId w:val="70"/>
  </w:num>
  <w:num w:numId="82">
    <w:abstractNumId w:val="78"/>
  </w:num>
  <w:num w:numId="83">
    <w:abstractNumId w:val="114"/>
  </w:num>
  <w:num w:numId="84">
    <w:abstractNumId w:val="12"/>
  </w:num>
  <w:num w:numId="85">
    <w:abstractNumId w:val="22"/>
  </w:num>
  <w:num w:numId="86">
    <w:abstractNumId w:val="126"/>
  </w:num>
  <w:num w:numId="87">
    <w:abstractNumId w:val="75"/>
  </w:num>
  <w:num w:numId="88">
    <w:abstractNumId w:val="24"/>
  </w:num>
  <w:num w:numId="89">
    <w:abstractNumId w:val="136"/>
  </w:num>
  <w:num w:numId="90">
    <w:abstractNumId w:val="134"/>
  </w:num>
  <w:num w:numId="91">
    <w:abstractNumId w:val="84"/>
  </w:num>
  <w:num w:numId="92">
    <w:abstractNumId w:val="62"/>
  </w:num>
  <w:num w:numId="93">
    <w:abstractNumId w:val="56"/>
  </w:num>
  <w:num w:numId="94">
    <w:abstractNumId w:val="132"/>
  </w:num>
  <w:num w:numId="95">
    <w:abstractNumId w:val="61"/>
  </w:num>
  <w:num w:numId="96">
    <w:abstractNumId w:val="128"/>
  </w:num>
  <w:num w:numId="97">
    <w:abstractNumId w:val="80"/>
  </w:num>
  <w:num w:numId="98">
    <w:abstractNumId w:val="86"/>
  </w:num>
  <w:num w:numId="99">
    <w:abstractNumId w:val="44"/>
  </w:num>
  <w:num w:numId="100">
    <w:abstractNumId w:val="90"/>
  </w:num>
  <w:num w:numId="101">
    <w:abstractNumId w:val="94"/>
  </w:num>
  <w:num w:numId="102">
    <w:abstractNumId w:val="77"/>
  </w:num>
  <w:num w:numId="103">
    <w:abstractNumId w:val="25"/>
  </w:num>
  <w:num w:numId="104">
    <w:abstractNumId w:val="38"/>
  </w:num>
  <w:num w:numId="105">
    <w:abstractNumId w:val="6"/>
  </w:num>
  <w:num w:numId="106">
    <w:abstractNumId w:val="57"/>
  </w:num>
  <w:num w:numId="107">
    <w:abstractNumId w:val="63"/>
  </w:num>
  <w:num w:numId="108">
    <w:abstractNumId w:val="49"/>
  </w:num>
  <w:num w:numId="109">
    <w:abstractNumId w:val="102"/>
  </w:num>
  <w:num w:numId="110">
    <w:abstractNumId w:val="8"/>
  </w:num>
  <w:num w:numId="111">
    <w:abstractNumId w:val="108"/>
  </w:num>
  <w:num w:numId="112">
    <w:abstractNumId w:val="59"/>
  </w:num>
  <w:num w:numId="113">
    <w:abstractNumId w:val="76"/>
  </w:num>
  <w:num w:numId="114">
    <w:abstractNumId w:val="60"/>
  </w:num>
  <w:num w:numId="115">
    <w:abstractNumId w:val="30"/>
  </w:num>
  <w:num w:numId="116">
    <w:abstractNumId w:val="88"/>
  </w:num>
  <w:num w:numId="117">
    <w:abstractNumId w:val="130"/>
  </w:num>
  <w:num w:numId="118">
    <w:abstractNumId w:val="19"/>
  </w:num>
  <w:num w:numId="119">
    <w:abstractNumId w:val="1"/>
  </w:num>
  <w:num w:numId="120">
    <w:abstractNumId w:val="50"/>
  </w:num>
  <w:num w:numId="121">
    <w:abstractNumId w:val="71"/>
  </w:num>
  <w:num w:numId="122">
    <w:abstractNumId w:val="10"/>
  </w:num>
  <w:num w:numId="123">
    <w:abstractNumId w:val="33"/>
  </w:num>
  <w:num w:numId="124">
    <w:abstractNumId w:val="92"/>
  </w:num>
  <w:num w:numId="125">
    <w:abstractNumId w:val="137"/>
  </w:num>
  <w:num w:numId="126">
    <w:abstractNumId w:val="68"/>
  </w:num>
  <w:num w:numId="127">
    <w:abstractNumId w:val="79"/>
  </w:num>
  <w:num w:numId="128">
    <w:abstractNumId w:val="45"/>
  </w:num>
  <w:num w:numId="129">
    <w:abstractNumId w:val="135"/>
  </w:num>
  <w:num w:numId="130">
    <w:abstractNumId w:val="105"/>
  </w:num>
  <w:num w:numId="131">
    <w:abstractNumId w:val="65"/>
  </w:num>
  <w:num w:numId="132">
    <w:abstractNumId w:val="129"/>
  </w:num>
  <w:num w:numId="133">
    <w:abstractNumId w:val="98"/>
  </w:num>
  <w:num w:numId="134">
    <w:abstractNumId w:val="20"/>
  </w:num>
  <w:num w:numId="135">
    <w:abstractNumId w:val="17"/>
  </w:num>
  <w:num w:numId="136">
    <w:abstractNumId w:val="27"/>
  </w:num>
  <w:num w:numId="137">
    <w:abstractNumId w:val="87"/>
  </w:num>
  <w:num w:numId="138">
    <w:abstractNumId w:val="16"/>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B92"/>
    <w:rsid w:val="00012445"/>
    <w:rsid w:val="000159CA"/>
    <w:rsid w:val="000329BD"/>
    <w:rsid w:val="00040FB0"/>
    <w:rsid w:val="00045595"/>
    <w:rsid w:val="00053060"/>
    <w:rsid w:val="000571B9"/>
    <w:rsid w:val="000734A3"/>
    <w:rsid w:val="00086F40"/>
    <w:rsid w:val="000A21AA"/>
    <w:rsid w:val="000A29ED"/>
    <w:rsid w:val="000B062E"/>
    <w:rsid w:val="000B20C0"/>
    <w:rsid w:val="000B6C3E"/>
    <w:rsid w:val="000B7412"/>
    <w:rsid w:val="000C3201"/>
    <w:rsid w:val="000C53E2"/>
    <w:rsid w:val="000D55A5"/>
    <w:rsid w:val="000D74E9"/>
    <w:rsid w:val="000E5327"/>
    <w:rsid w:val="000F1546"/>
    <w:rsid w:val="00100327"/>
    <w:rsid w:val="00104E3D"/>
    <w:rsid w:val="00114928"/>
    <w:rsid w:val="00123AB3"/>
    <w:rsid w:val="0014399B"/>
    <w:rsid w:val="00176179"/>
    <w:rsid w:val="0018475E"/>
    <w:rsid w:val="0019245E"/>
    <w:rsid w:val="001A4F96"/>
    <w:rsid w:val="001A5830"/>
    <w:rsid w:val="001C4259"/>
    <w:rsid w:val="001D189F"/>
    <w:rsid w:val="001D30C8"/>
    <w:rsid w:val="001E348E"/>
    <w:rsid w:val="001E6778"/>
    <w:rsid w:val="001F16A3"/>
    <w:rsid w:val="002016A2"/>
    <w:rsid w:val="002136E7"/>
    <w:rsid w:val="00225625"/>
    <w:rsid w:val="002262FA"/>
    <w:rsid w:val="00251162"/>
    <w:rsid w:val="0025452C"/>
    <w:rsid w:val="002570BD"/>
    <w:rsid w:val="00263531"/>
    <w:rsid w:val="00266C64"/>
    <w:rsid w:val="00267F4A"/>
    <w:rsid w:val="0028298D"/>
    <w:rsid w:val="00284BB5"/>
    <w:rsid w:val="00287AA8"/>
    <w:rsid w:val="002C7E36"/>
    <w:rsid w:val="002D05B6"/>
    <w:rsid w:val="002D11D4"/>
    <w:rsid w:val="002D580D"/>
    <w:rsid w:val="002D6681"/>
    <w:rsid w:val="002E68A0"/>
    <w:rsid w:val="002F4708"/>
    <w:rsid w:val="002F683C"/>
    <w:rsid w:val="0030620D"/>
    <w:rsid w:val="00307A50"/>
    <w:rsid w:val="00310CE1"/>
    <w:rsid w:val="00311003"/>
    <w:rsid w:val="0031347A"/>
    <w:rsid w:val="00314B92"/>
    <w:rsid w:val="0032411B"/>
    <w:rsid w:val="003339F3"/>
    <w:rsid w:val="00336BD2"/>
    <w:rsid w:val="003373DE"/>
    <w:rsid w:val="00343FFE"/>
    <w:rsid w:val="00345292"/>
    <w:rsid w:val="00347611"/>
    <w:rsid w:val="00352012"/>
    <w:rsid w:val="0035261B"/>
    <w:rsid w:val="00356E7D"/>
    <w:rsid w:val="00357F3B"/>
    <w:rsid w:val="003620D0"/>
    <w:rsid w:val="00370245"/>
    <w:rsid w:val="00372FF4"/>
    <w:rsid w:val="003837E7"/>
    <w:rsid w:val="003923DC"/>
    <w:rsid w:val="003B6123"/>
    <w:rsid w:val="003B6C13"/>
    <w:rsid w:val="003C5D8D"/>
    <w:rsid w:val="003D2C96"/>
    <w:rsid w:val="003D32C4"/>
    <w:rsid w:val="003D786D"/>
    <w:rsid w:val="003E220B"/>
    <w:rsid w:val="003F40E3"/>
    <w:rsid w:val="00402547"/>
    <w:rsid w:val="00424DD6"/>
    <w:rsid w:val="00434B98"/>
    <w:rsid w:val="00440ABE"/>
    <w:rsid w:val="00457047"/>
    <w:rsid w:val="0046579B"/>
    <w:rsid w:val="00470041"/>
    <w:rsid w:val="00481D7F"/>
    <w:rsid w:val="00493F71"/>
    <w:rsid w:val="0049797C"/>
    <w:rsid w:val="004A279D"/>
    <w:rsid w:val="004B0495"/>
    <w:rsid w:val="004B1B3F"/>
    <w:rsid w:val="004C595F"/>
    <w:rsid w:val="004D1EFB"/>
    <w:rsid w:val="004E2339"/>
    <w:rsid w:val="004E6F89"/>
    <w:rsid w:val="00501497"/>
    <w:rsid w:val="00504E7E"/>
    <w:rsid w:val="00505E15"/>
    <w:rsid w:val="00512795"/>
    <w:rsid w:val="00534C90"/>
    <w:rsid w:val="00535156"/>
    <w:rsid w:val="005419AF"/>
    <w:rsid w:val="00541F91"/>
    <w:rsid w:val="00542CFB"/>
    <w:rsid w:val="005452F8"/>
    <w:rsid w:val="0054628B"/>
    <w:rsid w:val="0054646A"/>
    <w:rsid w:val="00552236"/>
    <w:rsid w:val="0055420C"/>
    <w:rsid w:val="00563194"/>
    <w:rsid w:val="00571EAC"/>
    <w:rsid w:val="005767CD"/>
    <w:rsid w:val="00590B8F"/>
    <w:rsid w:val="00590C99"/>
    <w:rsid w:val="00596830"/>
    <w:rsid w:val="005A14EB"/>
    <w:rsid w:val="005A5579"/>
    <w:rsid w:val="005A78CB"/>
    <w:rsid w:val="005C6052"/>
    <w:rsid w:val="005D02C3"/>
    <w:rsid w:val="005E3861"/>
    <w:rsid w:val="005E5934"/>
    <w:rsid w:val="005E75A7"/>
    <w:rsid w:val="005F1E7F"/>
    <w:rsid w:val="005F6812"/>
    <w:rsid w:val="005F7B55"/>
    <w:rsid w:val="00611E16"/>
    <w:rsid w:val="0061329A"/>
    <w:rsid w:val="0061623B"/>
    <w:rsid w:val="00622F9F"/>
    <w:rsid w:val="006248AD"/>
    <w:rsid w:val="00625BB8"/>
    <w:rsid w:val="00632A62"/>
    <w:rsid w:val="006448C4"/>
    <w:rsid w:val="00666216"/>
    <w:rsid w:val="00671B58"/>
    <w:rsid w:val="006756DC"/>
    <w:rsid w:val="006819F1"/>
    <w:rsid w:val="00691138"/>
    <w:rsid w:val="006976E9"/>
    <w:rsid w:val="0069782D"/>
    <w:rsid w:val="006B3C6D"/>
    <w:rsid w:val="006B440D"/>
    <w:rsid w:val="006C68F2"/>
    <w:rsid w:val="006D2860"/>
    <w:rsid w:val="006E384B"/>
    <w:rsid w:val="006E5653"/>
    <w:rsid w:val="006E6EEA"/>
    <w:rsid w:val="006F0648"/>
    <w:rsid w:val="006F069B"/>
    <w:rsid w:val="0070485A"/>
    <w:rsid w:val="00717467"/>
    <w:rsid w:val="00726844"/>
    <w:rsid w:val="00731E12"/>
    <w:rsid w:val="00740A84"/>
    <w:rsid w:val="00742863"/>
    <w:rsid w:val="00750AD2"/>
    <w:rsid w:val="00750CAC"/>
    <w:rsid w:val="00753B51"/>
    <w:rsid w:val="00754D3A"/>
    <w:rsid w:val="007631CD"/>
    <w:rsid w:val="007639AF"/>
    <w:rsid w:val="00763A55"/>
    <w:rsid w:val="00785BAD"/>
    <w:rsid w:val="007A50FA"/>
    <w:rsid w:val="007A6B31"/>
    <w:rsid w:val="007A7AB0"/>
    <w:rsid w:val="007B38CD"/>
    <w:rsid w:val="007B7592"/>
    <w:rsid w:val="007D2E3B"/>
    <w:rsid w:val="007D6953"/>
    <w:rsid w:val="007D7380"/>
    <w:rsid w:val="007E087D"/>
    <w:rsid w:val="007E7A01"/>
    <w:rsid w:val="008047B7"/>
    <w:rsid w:val="00805542"/>
    <w:rsid w:val="00845C0B"/>
    <w:rsid w:val="0085644E"/>
    <w:rsid w:val="00861D70"/>
    <w:rsid w:val="008669CE"/>
    <w:rsid w:val="00875AEC"/>
    <w:rsid w:val="00877358"/>
    <w:rsid w:val="00894DEA"/>
    <w:rsid w:val="008969CE"/>
    <w:rsid w:val="00897A44"/>
    <w:rsid w:val="008A32A2"/>
    <w:rsid w:val="008B08F5"/>
    <w:rsid w:val="008B0BB1"/>
    <w:rsid w:val="008C289F"/>
    <w:rsid w:val="008C7A82"/>
    <w:rsid w:val="008D5706"/>
    <w:rsid w:val="008E74C4"/>
    <w:rsid w:val="008F3054"/>
    <w:rsid w:val="00903349"/>
    <w:rsid w:val="0092644D"/>
    <w:rsid w:val="0093707F"/>
    <w:rsid w:val="00942E57"/>
    <w:rsid w:val="009434FB"/>
    <w:rsid w:val="00951970"/>
    <w:rsid w:val="009544E5"/>
    <w:rsid w:val="00972D41"/>
    <w:rsid w:val="00996A29"/>
    <w:rsid w:val="009B2707"/>
    <w:rsid w:val="009B5EB2"/>
    <w:rsid w:val="009C05BE"/>
    <w:rsid w:val="009C428A"/>
    <w:rsid w:val="009D5A7A"/>
    <w:rsid w:val="009D5EC0"/>
    <w:rsid w:val="009E041A"/>
    <w:rsid w:val="009E2B68"/>
    <w:rsid w:val="00A0393A"/>
    <w:rsid w:val="00A061A8"/>
    <w:rsid w:val="00A06EBD"/>
    <w:rsid w:val="00A10939"/>
    <w:rsid w:val="00A17025"/>
    <w:rsid w:val="00A2547F"/>
    <w:rsid w:val="00A30831"/>
    <w:rsid w:val="00A5342F"/>
    <w:rsid w:val="00A572A0"/>
    <w:rsid w:val="00A61921"/>
    <w:rsid w:val="00A82E01"/>
    <w:rsid w:val="00A854CD"/>
    <w:rsid w:val="00A87E7B"/>
    <w:rsid w:val="00A9124F"/>
    <w:rsid w:val="00A961B1"/>
    <w:rsid w:val="00AB0552"/>
    <w:rsid w:val="00AD2787"/>
    <w:rsid w:val="00AD5F81"/>
    <w:rsid w:val="00AF32CF"/>
    <w:rsid w:val="00B0234B"/>
    <w:rsid w:val="00B025A6"/>
    <w:rsid w:val="00B100DA"/>
    <w:rsid w:val="00B31DA0"/>
    <w:rsid w:val="00B35AFE"/>
    <w:rsid w:val="00B47174"/>
    <w:rsid w:val="00B51557"/>
    <w:rsid w:val="00B56150"/>
    <w:rsid w:val="00B669F3"/>
    <w:rsid w:val="00B76E51"/>
    <w:rsid w:val="00B852A4"/>
    <w:rsid w:val="00B918BB"/>
    <w:rsid w:val="00B91FD9"/>
    <w:rsid w:val="00BA2D88"/>
    <w:rsid w:val="00BB4220"/>
    <w:rsid w:val="00BC47E4"/>
    <w:rsid w:val="00BC72EA"/>
    <w:rsid w:val="00BD5886"/>
    <w:rsid w:val="00BD609C"/>
    <w:rsid w:val="00BD609F"/>
    <w:rsid w:val="00BD6891"/>
    <w:rsid w:val="00BF0025"/>
    <w:rsid w:val="00BF1B5B"/>
    <w:rsid w:val="00BF5D0C"/>
    <w:rsid w:val="00BF7137"/>
    <w:rsid w:val="00C147AF"/>
    <w:rsid w:val="00C16451"/>
    <w:rsid w:val="00C3315F"/>
    <w:rsid w:val="00C606EC"/>
    <w:rsid w:val="00C82A0A"/>
    <w:rsid w:val="00C846DF"/>
    <w:rsid w:val="00C92B2F"/>
    <w:rsid w:val="00C97496"/>
    <w:rsid w:val="00CA260A"/>
    <w:rsid w:val="00CA541D"/>
    <w:rsid w:val="00CB01FE"/>
    <w:rsid w:val="00CB3263"/>
    <w:rsid w:val="00CC1746"/>
    <w:rsid w:val="00CC7AA0"/>
    <w:rsid w:val="00CD4989"/>
    <w:rsid w:val="00CD646D"/>
    <w:rsid w:val="00CD6F67"/>
    <w:rsid w:val="00CE09AC"/>
    <w:rsid w:val="00CF0185"/>
    <w:rsid w:val="00D21688"/>
    <w:rsid w:val="00D335E8"/>
    <w:rsid w:val="00D33EAF"/>
    <w:rsid w:val="00D4231F"/>
    <w:rsid w:val="00D42E8D"/>
    <w:rsid w:val="00D46618"/>
    <w:rsid w:val="00D50606"/>
    <w:rsid w:val="00D50AEB"/>
    <w:rsid w:val="00D54437"/>
    <w:rsid w:val="00D561B6"/>
    <w:rsid w:val="00D61384"/>
    <w:rsid w:val="00D62CA0"/>
    <w:rsid w:val="00D73AF1"/>
    <w:rsid w:val="00D87541"/>
    <w:rsid w:val="00D91A18"/>
    <w:rsid w:val="00D962B3"/>
    <w:rsid w:val="00D9649E"/>
    <w:rsid w:val="00D972C9"/>
    <w:rsid w:val="00DA02F5"/>
    <w:rsid w:val="00DA29DA"/>
    <w:rsid w:val="00DB186A"/>
    <w:rsid w:val="00DC22A4"/>
    <w:rsid w:val="00DD55E0"/>
    <w:rsid w:val="00DE2AE6"/>
    <w:rsid w:val="00DE6635"/>
    <w:rsid w:val="00DF185B"/>
    <w:rsid w:val="00DF298A"/>
    <w:rsid w:val="00E0411B"/>
    <w:rsid w:val="00E2326C"/>
    <w:rsid w:val="00E2396E"/>
    <w:rsid w:val="00E32126"/>
    <w:rsid w:val="00E564E4"/>
    <w:rsid w:val="00E6369F"/>
    <w:rsid w:val="00E640E2"/>
    <w:rsid w:val="00E6453A"/>
    <w:rsid w:val="00E67E44"/>
    <w:rsid w:val="00E77ABA"/>
    <w:rsid w:val="00E83B4F"/>
    <w:rsid w:val="00E845EA"/>
    <w:rsid w:val="00E93B65"/>
    <w:rsid w:val="00EA1067"/>
    <w:rsid w:val="00EA6D74"/>
    <w:rsid w:val="00EB08E9"/>
    <w:rsid w:val="00EB3137"/>
    <w:rsid w:val="00EC1135"/>
    <w:rsid w:val="00EC1485"/>
    <w:rsid w:val="00ED2C78"/>
    <w:rsid w:val="00ED3A64"/>
    <w:rsid w:val="00EE3BC8"/>
    <w:rsid w:val="00EF46BD"/>
    <w:rsid w:val="00EF59CC"/>
    <w:rsid w:val="00F0456D"/>
    <w:rsid w:val="00F07B2E"/>
    <w:rsid w:val="00F12A68"/>
    <w:rsid w:val="00F13BF9"/>
    <w:rsid w:val="00F14E58"/>
    <w:rsid w:val="00F15384"/>
    <w:rsid w:val="00F15D8C"/>
    <w:rsid w:val="00F20185"/>
    <w:rsid w:val="00F27A75"/>
    <w:rsid w:val="00F367EF"/>
    <w:rsid w:val="00F410A1"/>
    <w:rsid w:val="00F61E6A"/>
    <w:rsid w:val="00F6456A"/>
    <w:rsid w:val="00F6502C"/>
    <w:rsid w:val="00F729A7"/>
    <w:rsid w:val="00F75C45"/>
    <w:rsid w:val="00F93184"/>
    <w:rsid w:val="00FC01E1"/>
    <w:rsid w:val="00FD5086"/>
    <w:rsid w:val="00FD6406"/>
    <w:rsid w:val="00FE06A2"/>
    <w:rsid w:val="00FE22ED"/>
    <w:rsid w:val="00FF6D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4C8975-29DA-41B6-BE34-29A5337D3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5EB2"/>
  </w:style>
  <w:style w:type="paragraph" w:styleId="Titre1">
    <w:name w:val="heading 1"/>
    <w:basedOn w:val="Normal1"/>
    <w:next w:val="Normal1"/>
    <w:link w:val="Titre1Car"/>
    <w:rsid w:val="00314B92"/>
    <w:pPr>
      <w:keepNext/>
      <w:keepLines/>
      <w:spacing w:before="240" w:after="240"/>
      <w:jc w:val="both"/>
      <w:outlineLvl w:val="0"/>
    </w:pPr>
    <w:rPr>
      <w:b/>
      <w:smallCaps/>
      <w:color w:val="388135"/>
      <w:sz w:val="32"/>
      <w:szCs w:val="32"/>
    </w:rPr>
  </w:style>
  <w:style w:type="paragraph" w:styleId="Titre2">
    <w:name w:val="heading 2"/>
    <w:basedOn w:val="Normal1"/>
    <w:next w:val="Normal1"/>
    <w:link w:val="Titre2Car"/>
    <w:rsid w:val="00314B92"/>
    <w:pPr>
      <w:keepNext/>
      <w:keepLines/>
      <w:spacing w:before="40" w:after="0"/>
      <w:outlineLvl w:val="1"/>
    </w:pPr>
    <w:rPr>
      <w:rFonts w:ascii="Cambria" w:eastAsia="Cambria" w:hAnsi="Cambria" w:cs="Cambria"/>
      <w:color w:val="366091"/>
      <w:sz w:val="26"/>
      <w:szCs w:val="26"/>
    </w:rPr>
  </w:style>
  <w:style w:type="paragraph" w:styleId="Titre3">
    <w:name w:val="heading 3"/>
    <w:basedOn w:val="Normal1"/>
    <w:next w:val="Normal1"/>
    <w:rsid w:val="00314B92"/>
    <w:pPr>
      <w:keepNext/>
      <w:keepLines/>
      <w:spacing w:before="40" w:after="0" w:line="240" w:lineRule="auto"/>
      <w:outlineLvl w:val="2"/>
    </w:pPr>
    <w:rPr>
      <w:rFonts w:ascii="Cambria" w:eastAsia="Cambria" w:hAnsi="Cambria" w:cs="Cambria"/>
      <w:color w:val="243F61"/>
      <w:sz w:val="24"/>
      <w:szCs w:val="24"/>
    </w:rPr>
  </w:style>
  <w:style w:type="paragraph" w:styleId="Titre4">
    <w:name w:val="heading 4"/>
    <w:basedOn w:val="Normal1"/>
    <w:next w:val="Normal1"/>
    <w:rsid w:val="00314B92"/>
    <w:pPr>
      <w:keepNext/>
      <w:keepLines/>
      <w:spacing w:before="240" w:after="40"/>
      <w:outlineLvl w:val="3"/>
    </w:pPr>
    <w:rPr>
      <w:b/>
      <w:sz w:val="24"/>
      <w:szCs w:val="24"/>
    </w:rPr>
  </w:style>
  <w:style w:type="paragraph" w:styleId="Titre5">
    <w:name w:val="heading 5"/>
    <w:basedOn w:val="Normal1"/>
    <w:next w:val="Normal1"/>
    <w:rsid w:val="00314B92"/>
    <w:pPr>
      <w:keepNext/>
      <w:keepLines/>
      <w:spacing w:before="220" w:after="40"/>
      <w:outlineLvl w:val="4"/>
    </w:pPr>
    <w:rPr>
      <w:b/>
    </w:rPr>
  </w:style>
  <w:style w:type="paragraph" w:styleId="Titre6">
    <w:name w:val="heading 6"/>
    <w:basedOn w:val="Normal1"/>
    <w:next w:val="Normal1"/>
    <w:rsid w:val="00314B92"/>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rsid w:val="00314B92"/>
  </w:style>
  <w:style w:type="paragraph" w:styleId="Titre">
    <w:name w:val="Title"/>
    <w:basedOn w:val="Normal1"/>
    <w:next w:val="Normal1"/>
    <w:rsid w:val="00314B92"/>
    <w:pPr>
      <w:spacing w:after="0" w:line="240" w:lineRule="auto"/>
    </w:pPr>
    <w:rPr>
      <w:rFonts w:ascii="Cambria" w:eastAsia="Cambria" w:hAnsi="Cambria" w:cs="Cambria"/>
      <w:color w:val="000000"/>
      <w:sz w:val="56"/>
      <w:szCs w:val="56"/>
    </w:rPr>
  </w:style>
  <w:style w:type="paragraph" w:styleId="Sous-titre">
    <w:name w:val="Subtitle"/>
    <w:basedOn w:val="Normal1"/>
    <w:next w:val="Normal1"/>
    <w:rsid w:val="00314B92"/>
    <w:pPr>
      <w:keepNext/>
      <w:spacing w:after="160"/>
      <w:jc w:val="both"/>
    </w:pPr>
    <w:rPr>
      <w:b/>
      <w:color w:val="5A5A5A"/>
    </w:rPr>
  </w:style>
  <w:style w:type="table" w:customStyle="1" w:styleId="a">
    <w:basedOn w:val="TableauNormal"/>
    <w:rsid w:val="00314B92"/>
    <w:pPr>
      <w:spacing w:after="0" w:line="240" w:lineRule="auto"/>
    </w:pPr>
    <w:tblPr>
      <w:tblStyleRowBandSize w:val="1"/>
      <w:tblStyleColBandSize w:val="1"/>
    </w:tblPr>
  </w:style>
  <w:style w:type="table" w:customStyle="1" w:styleId="a0">
    <w:basedOn w:val="TableauNormal"/>
    <w:rsid w:val="00314B92"/>
    <w:pPr>
      <w:spacing w:after="0" w:line="240" w:lineRule="auto"/>
    </w:pPr>
    <w:tblPr>
      <w:tblStyleRowBandSize w:val="1"/>
      <w:tblStyleColBandSize w:val="1"/>
    </w:tblPr>
  </w:style>
  <w:style w:type="table" w:customStyle="1" w:styleId="a1">
    <w:basedOn w:val="TableauNormal"/>
    <w:rsid w:val="00314B92"/>
    <w:pPr>
      <w:spacing w:after="0" w:line="240" w:lineRule="auto"/>
    </w:pPr>
    <w:tblPr>
      <w:tblStyleRowBandSize w:val="1"/>
      <w:tblStyleColBandSize w:val="1"/>
    </w:tblPr>
  </w:style>
  <w:style w:type="table" w:customStyle="1" w:styleId="a2">
    <w:basedOn w:val="TableauNormal"/>
    <w:rsid w:val="00314B92"/>
    <w:pPr>
      <w:spacing w:after="0" w:line="240" w:lineRule="auto"/>
    </w:pPr>
    <w:tblPr>
      <w:tblStyleRowBandSize w:val="1"/>
      <w:tblStyleColBandSize w:val="1"/>
    </w:tblPr>
  </w:style>
  <w:style w:type="table" w:customStyle="1" w:styleId="a3">
    <w:basedOn w:val="TableauNormal"/>
    <w:rsid w:val="00314B92"/>
    <w:tblPr>
      <w:tblStyleRowBandSize w:val="1"/>
      <w:tblStyleColBandSize w:val="1"/>
      <w:tblCellMar>
        <w:left w:w="70" w:type="dxa"/>
        <w:right w:w="70" w:type="dxa"/>
      </w:tblCellMar>
    </w:tblPr>
  </w:style>
  <w:style w:type="table" w:customStyle="1" w:styleId="a4">
    <w:basedOn w:val="TableauNormal"/>
    <w:rsid w:val="00314B92"/>
    <w:pPr>
      <w:spacing w:after="0" w:line="240" w:lineRule="auto"/>
    </w:pPr>
    <w:tblPr>
      <w:tblStyleRowBandSize w:val="1"/>
      <w:tblStyleColBandSize w:val="1"/>
    </w:tblPr>
  </w:style>
  <w:style w:type="table" w:customStyle="1" w:styleId="a5">
    <w:basedOn w:val="TableauNormal"/>
    <w:rsid w:val="00314B92"/>
    <w:pPr>
      <w:spacing w:after="0" w:line="240" w:lineRule="auto"/>
    </w:pPr>
    <w:tblPr>
      <w:tblStyleRowBandSize w:val="1"/>
      <w:tblStyleColBandSize w:val="1"/>
    </w:tblPr>
  </w:style>
  <w:style w:type="table" w:customStyle="1" w:styleId="a6">
    <w:basedOn w:val="TableauNormal"/>
    <w:rsid w:val="00314B92"/>
    <w:pPr>
      <w:spacing w:after="0" w:line="240" w:lineRule="auto"/>
    </w:pPr>
    <w:tblPr>
      <w:tblStyleRowBandSize w:val="1"/>
      <w:tblStyleColBandSize w:val="1"/>
    </w:tblPr>
  </w:style>
  <w:style w:type="table" w:customStyle="1" w:styleId="a7">
    <w:basedOn w:val="TableauNormal"/>
    <w:rsid w:val="00314B92"/>
    <w:pPr>
      <w:spacing w:after="0" w:line="240" w:lineRule="auto"/>
    </w:pPr>
    <w:tblPr>
      <w:tblStyleRowBandSize w:val="1"/>
      <w:tblStyleColBandSize w:val="1"/>
    </w:tblPr>
  </w:style>
  <w:style w:type="table" w:customStyle="1" w:styleId="a8">
    <w:basedOn w:val="TableauNormal"/>
    <w:rsid w:val="00314B92"/>
    <w:pPr>
      <w:spacing w:after="0" w:line="240" w:lineRule="auto"/>
    </w:pPr>
    <w:tblPr>
      <w:tblStyleRowBandSize w:val="1"/>
      <w:tblStyleColBandSize w:val="1"/>
    </w:tblPr>
  </w:style>
  <w:style w:type="table" w:customStyle="1" w:styleId="a9">
    <w:basedOn w:val="TableauNormal"/>
    <w:rsid w:val="00314B92"/>
    <w:pPr>
      <w:spacing w:after="0" w:line="240" w:lineRule="auto"/>
    </w:pPr>
    <w:tblPr>
      <w:tblStyleRowBandSize w:val="1"/>
      <w:tblStyleColBandSize w:val="1"/>
    </w:tblPr>
  </w:style>
  <w:style w:type="table" w:customStyle="1" w:styleId="aa">
    <w:basedOn w:val="TableauNormal"/>
    <w:rsid w:val="00314B92"/>
    <w:pPr>
      <w:spacing w:after="0" w:line="240" w:lineRule="auto"/>
    </w:pPr>
    <w:tblPr>
      <w:tblStyleRowBandSize w:val="1"/>
      <w:tblStyleColBandSize w:val="1"/>
    </w:tblPr>
  </w:style>
  <w:style w:type="table" w:customStyle="1" w:styleId="ab">
    <w:basedOn w:val="TableauNormal"/>
    <w:rsid w:val="00314B92"/>
    <w:pPr>
      <w:spacing w:after="0" w:line="240" w:lineRule="auto"/>
    </w:pPr>
    <w:tblPr>
      <w:tblStyleRowBandSize w:val="1"/>
      <w:tblStyleColBandSize w:val="1"/>
    </w:tblPr>
  </w:style>
  <w:style w:type="table" w:customStyle="1" w:styleId="ac">
    <w:basedOn w:val="TableauNormal"/>
    <w:rsid w:val="00314B92"/>
    <w:pPr>
      <w:spacing w:after="0" w:line="240" w:lineRule="auto"/>
    </w:pPr>
    <w:tblPr>
      <w:tblStyleRowBandSize w:val="1"/>
      <w:tblStyleColBandSize w:val="1"/>
    </w:tblPr>
  </w:style>
  <w:style w:type="table" w:customStyle="1" w:styleId="ad">
    <w:basedOn w:val="TableauNormal"/>
    <w:rsid w:val="00314B92"/>
    <w:tblPr>
      <w:tblStyleRowBandSize w:val="1"/>
      <w:tblStyleColBandSize w:val="1"/>
      <w:tblCellMar>
        <w:left w:w="6" w:type="dxa"/>
        <w:right w:w="6" w:type="dxa"/>
      </w:tblCellMar>
    </w:tblPr>
  </w:style>
  <w:style w:type="table" w:customStyle="1" w:styleId="ae">
    <w:basedOn w:val="TableauNormal"/>
    <w:rsid w:val="00314B92"/>
    <w:tblPr>
      <w:tblStyleRowBandSize w:val="1"/>
      <w:tblStyleColBandSize w:val="1"/>
      <w:tblCellMar>
        <w:left w:w="115" w:type="dxa"/>
        <w:right w:w="115" w:type="dxa"/>
      </w:tblCellMar>
    </w:tblPr>
  </w:style>
  <w:style w:type="table" w:customStyle="1" w:styleId="af">
    <w:basedOn w:val="TableauNormal"/>
    <w:rsid w:val="00314B92"/>
    <w:pPr>
      <w:spacing w:after="0" w:line="240" w:lineRule="auto"/>
    </w:pPr>
    <w:tblPr>
      <w:tblStyleRowBandSize w:val="1"/>
      <w:tblStyleColBandSize w:val="1"/>
    </w:tblPr>
  </w:style>
  <w:style w:type="table" w:customStyle="1" w:styleId="af0">
    <w:basedOn w:val="TableauNormal"/>
    <w:rsid w:val="00314B92"/>
    <w:pPr>
      <w:spacing w:after="0" w:line="240" w:lineRule="auto"/>
    </w:pPr>
    <w:tblPr>
      <w:tblStyleRowBandSize w:val="1"/>
      <w:tblStyleColBandSize w:val="1"/>
    </w:tblPr>
  </w:style>
  <w:style w:type="table" w:customStyle="1" w:styleId="af1">
    <w:basedOn w:val="TableauNormal"/>
    <w:rsid w:val="00314B92"/>
    <w:pPr>
      <w:spacing w:after="0" w:line="240" w:lineRule="auto"/>
    </w:pPr>
    <w:tblPr>
      <w:tblStyleRowBandSize w:val="1"/>
      <w:tblStyleColBandSize w:val="1"/>
    </w:tblPr>
  </w:style>
  <w:style w:type="table" w:customStyle="1" w:styleId="af2">
    <w:basedOn w:val="TableauNormal"/>
    <w:rsid w:val="00314B92"/>
    <w:pPr>
      <w:spacing w:after="0" w:line="240" w:lineRule="auto"/>
    </w:pPr>
    <w:tblPr>
      <w:tblStyleRowBandSize w:val="1"/>
      <w:tblStyleColBandSize w:val="1"/>
    </w:tblPr>
  </w:style>
  <w:style w:type="table" w:customStyle="1" w:styleId="af3">
    <w:basedOn w:val="TableauNormal"/>
    <w:rsid w:val="00314B92"/>
    <w:pPr>
      <w:spacing w:after="0" w:line="240" w:lineRule="auto"/>
    </w:pPr>
    <w:tblPr>
      <w:tblStyleRowBandSize w:val="1"/>
      <w:tblStyleColBandSize w:val="1"/>
    </w:tblPr>
  </w:style>
  <w:style w:type="table" w:customStyle="1" w:styleId="af4">
    <w:basedOn w:val="TableauNormal"/>
    <w:rsid w:val="00314B92"/>
    <w:pPr>
      <w:spacing w:after="0" w:line="240" w:lineRule="auto"/>
    </w:pPr>
    <w:tblPr>
      <w:tblStyleRowBandSize w:val="1"/>
      <w:tblStyleColBandSize w:val="1"/>
    </w:tblPr>
  </w:style>
  <w:style w:type="table" w:customStyle="1" w:styleId="af5">
    <w:basedOn w:val="TableauNormal"/>
    <w:rsid w:val="00314B92"/>
    <w:pPr>
      <w:spacing w:after="0" w:line="240" w:lineRule="auto"/>
    </w:pPr>
    <w:tblPr>
      <w:tblStyleRowBandSize w:val="1"/>
      <w:tblStyleColBandSize w:val="1"/>
    </w:tblPr>
  </w:style>
  <w:style w:type="table" w:customStyle="1" w:styleId="af6">
    <w:basedOn w:val="TableauNormal"/>
    <w:rsid w:val="00314B92"/>
    <w:pPr>
      <w:spacing w:after="0" w:line="240" w:lineRule="auto"/>
    </w:pPr>
    <w:tblPr>
      <w:tblStyleRowBandSize w:val="1"/>
      <w:tblStyleColBandSize w:val="1"/>
    </w:tblPr>
  </w:style>
  <w:style w:type="table" w:customStyle="1" w:styleId="af7">
    <w:basedOn w:val="TableauNormal"/>
    <w:rsid w:val="00314B92"/>
    <w:pPr>
      <w:spacing w:after="0" w:line="240" w:lineRule="auto"/>
    </w:pPr>
    <w:tblPr>
      <w:tblStyleRowBandSize w:val="1"/>
      <w:tblStyleColBandSize w:val="1"/>
    </w:tblPr>
  </w:style>
  <w:style w:type="table" w:customStyle="1" w:styleId="af8">
    <w:basedOn w:val="TableauNormal"/>
    <w:rsid w:val="00314B92"/>
    <w:pPr>
      <w:spacing w:after="0" w:line="240" w:lineRule="auto"/>
    </w:pPr>
    <w:tblPr>
      <w:tblStyleRowBandSize w:val="1"/>
      <w:tblStyleColBandSize w:val="1"/>
    </w:tblPr>
  </w:style>
  <w:style w:type="table" w:customStyle="1" w:styleId="af9">
    <w:basedOn w:val="TableauNormal"/>
    <w:rsid w:val="00314B92"/>
    <w:pPr>
      <w:spacing w:after="0" w:line="240" w:lineRule="auto"/>
    </w:pPr>
    <w:tblPr>
      <w:tblStyleRowBandSize w:val="1"/>
      <w:tblStyleColBandSize w:val="1"/>
    </w:tblPr>
  </w:style>
  <w:style w:type="table" w:customStyle="1" w:styleId="afa">
    <w:basedOn w:val="TableauNormal"/>
    <w:rsid w:val="00314B92"/>
    <w:tblPr>
      <w:tblStyleRowBandSize w:val="1"/>
      <w:tblStyleColBandSize w:val="1"/>
      <w:tblCellMar>
        <w:left w:w="70" w:type="dxa"/>
        <w:right w:w="70" w:type="dxa"/>
      </w:tblCellMar>
    </w:tblPr>
  </w:style>
  <w:style w:type="table" w:customStyle="1" w:styleId="afb">
    <w:basedOn w:val="TableauNormal"/>
    <w:rsid w:val="00314B92"/>
    <w:tblPr>
      <w:tblStyleRowBandSize w:val="1"/>
      <w:tblStyleColBandSize w:val="1"/>
      <w:tblCellMar>
        <w:left w:w="70" w:type="dxa"/>
        <w:right w:w="70" w:type="dxa"/>
      </w:tblCellMar>
    </w:tblPr>
  </w:style>
  <w:style w:type="table" w:customStyle="1" w:styleId="afc">
    <w:basedOn w:val="TableauNormal"/>
    <w:rsid w:val="00314B92"/>
    <w:tblPr>
      <w:tblStyleRowBandSize w:val="1"/>
      <w:tblStyleColBandSize w:val="1"/>
      <w:tblCellMar>
        <w:left w:w="70" w:type="dxa"/>
        <w:right w:w="70" w:type="dxa"/>
      </w:tblCellMar>
    </w:tblPr>
  </w:style>
  <w:style w:type="table" w:customStyle="1" w:styleId="afd">
    <w:basedOn w:val="TableauNormal"/>
    <w:rsid w:val="00314B92"/>
    <w:tblPr>
      <w:tblStyleRowBandSize w:val="1"/>
      <w:tblStyleColBandSize w:val="1"/>
      <w:tblCellMar>
        <w:left w:w="70" w:type="dxa"/>
        <w:right w:w="70" w:type="dxa"/>
      </w:tblCellMar>
    </w:tblPr>
  </w:style>
  <w:style w:type="table" w:customStyle="1" w:styleId="afe">
    <w:basedOn w:val="TableauNormal"/>
    <w:rsid w:val="00314B92"/>
    <w:tblPr>
      <w:tblStyleRowBandSize w:val="1"/>
      <w:tblStyleColBandSize w:val="1"/>
      <w:tblCellMar>
        <w:left w:w="70" w:type="dxa"/>
        <w:right w:w="70" w:type="dxa"/>
      </w:tblCellMar>
    </w:tblPr>
  </w:style>
  <w:style w:type="table" w:customStyle="1" w:styleId="aff">
    <w:basedOn w:val="TableauNormal"/>
    <w:rsid w:val="00314B92"/>
    <w:tblPr>
      <w:tblStyleRowBandSize w:val="1"/>
      <w:tblStyleColBandSize w:val="1"/>
      <w:tblCellMar>
        <w:left w:w="70" w:type="dxa"/>
        <w:right w:w="70" w:type="dxa"/>
      </w:tblCellMar>
    </w:tblPr>
  </w:style>
  <w:style w:type="table" w:customStyle="1" w:styleId="aff0">
    <w:basedOn w:val="TableauNormal"/>
    <w:rsid w:val="00314B92"/>
    <w:pPr>
      <w:spacing w:after="0" w:line="240" w:lineRule="auto"/>
    </w:pPr>
    <w:tblPr>
      <w:tblStyleRowBandSize w:val="1"/>
      <w:tblStyleColBandSize w:val="1"/>
    </w:tblPr>
  </w:style>
  <w:style w:type="paragraph" w:styleId="Commentaire">
    <w:name w:val="annotation text"/>
    <w:basedOn w:val="Normal"/>
    <w:link w:val="CommentaireCar"/>
    <w:uiPriority w:val="99"/>
    <w:semiHidden/>
    <w:unhideWhenUsed/>
    <w:rsid w:val="00314B92"/>
    <w:pPr>
      <w:spacing w:line="240" w:lineRule="auto"/>
    </w:pPr>
    <w:rPr>
      <w:sz w:val="20"/>
      <w:szCs w:val="20"/>
    </w:rPr>
  </w:style>
  <w:style w:type="character" w:customStyle="1" w:styleId="CommentaireCar">
    <w:name w:val="Commentaire Car"/>
    <w:basedOn w:val="Policepardfaut"/>
    <w:link w:val="Commentaire"/>
    <w:uiPriority w:val="99"/>
    <w:semiHidden/>
    <w:rsid w:val="00314B92"/>
    <w:rPr>
      <w:sz w:val="20"/>
      <w:szCs w:val="20"/>
    </w:rPr>
  </w:style>
  <w:style w:type="character" w:styleId="Marquedecommentaire">
    <w:name w:val="annotation reference"/>
    <w:basedOn w:val="Policepardfaut"/>
    <w:uiPriority w:val="99"/>
    <w:semiHidden/>
    <w:unhideWhenUsed/>
    <w:rsid w:val="00314B92"/>
    <w:rPr>
      <w:sz w:val="16"/>
      <w:szCs w:val="16"/>
    </w:rPr>
  </w:style>
  <w:style w:type="paragraph" w:styleId="Textedebulles">
    <w:name w:val="Balloon Text"/>
    <w:basedOn w:val="Normal"/>
    <w:link w:val="TextedebullesCar"/>
    <w:uiPriority w:val="99"/>
    <w:semiHidden/>
    <w:unhideWhenUsed/>
    <w:rsid w:val="00A82E0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82E01"/>
    <w:rPr>
      <w:rFonts w:ascii="Tahoma" w:hAnsi="Tahoma" w:cs="Tahoma"/>
      <w:sz w:val="16"/>
      <w:szCs w:val="16"/>
    </w:rPr>
  </w:style>
  <w:style w:type="table" w:styleId="Grilledutableau">
    <w:name w:val="Table Grid"/>
    <w:basedOn w:val="TableauNormal"/>
    <w:uiPriority w:val="39"/>
    <w:rsid w:val="006B3C6D"/>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
    <w:name w:val="Normal1"/>
    <w:rsid w:val="009E041A"/>
  </w:style>
  <w:style w:type="paragraph" w:styleId="Paragraphedeliste">
    <w:name w:val="List Paragraph"/>
    <w:aliases w:val="texte,Paragraphe 2,Puce,AB List 1,Bullet Points,U 5,Glossaire,liste de tableaux,Titre1,Farbige Liste - Akzent 11,Bioforce zListePuce,L_4,Bullets,References,Numbered List Paragraph,ReferencesCxSpLast,Paragraphe de liste11,List bullet"/>
    <w:basedOn w:val="Normal"/>
    <w:link w:val="ParagraphedelisteCar"/>
    <w:uiPriority w:val="34"/>
    <w:qFormat/>
    <w:rsid w:val="008969CE"/>
    <w:pPr>
      <w:spacing w:after="0" w:line="259" w:lineRule="auto"/>
      <w:ind w:left="720"/>
      <w:contextualSpacing/>
    </w:pPr>
    <w:rPr>
      <w:rFonts w:asciiTheme="minorHAnsi" w:eastAsiaTheme="minorHAnsi" w:hAnsiTheme="minorHAnsi" w:cstheme="minorBidi"/>
      <w:lang w:eastAsia="en-US"/>
    </w:rPr>
  </w:style>
  <w:style w:type="character" w:customStyle="1" w:styleId="Titre1Car">
    <w:name w:val="Titre 1 Car"/>
    <w:basedOn w:val="Policepardfaut"/>
    <w:link w:val="Titre1"/>
    <w:rsid w:val="003339F3"/>
    <w:rPr>
      <w:b/>
      <w:smallCaps/>
      <w:color w:val="388135"/>
      <w:sz w:val="32"/>
      <w:szCs w:val="32"/>
    </w:rPr>
  </w:style>
  <w:style w:type="character" w:customStyle="1" w:styleId="ParagraphedelisteCar">
    <w:name w:val="Paragraphe de liste Car"/>
    <w:aliases w:val="texte Car,Paragraphe 2 Car,Puce Car,AB List 1 Car,Bullet Points Car,U 5 Car,Glossaire Car,liste de tableaux Car,Titre1 Car,Farbige Liste - Akzent 11 Car,Bioforce zListePuce Car,L_4 Car,Bullets Car,References Car,List bullet Car"/>
    <w:link w:val="Paragraphedeliste"/>
    <w:uiPriority w:val="34"/>
    <w:qFormat/>
    <w:rsid w:val="003339F3"/>
    <w:rPr>
      <w:rFonts w:asciiTheme="minorHAnsi" w:eastAsiaTheme="minorHAnsi" w:hAnsiTheme="minorHAnsi" w:cstheme="minorBidi"/>
      <w:lang w:eastAsia="en-US"/>
    </w:rPr>
  </w:style>
  <w:style w:type="paragraph" w:styleId="En-tte">
    <w:name w:val="header"/>
    <w:basedOn w:val="Normal"/>
    <w:link w:val="En-tteCar"/>
    <w:uiPriority w:val="99"/>
    <w:semiHidden/>
    <w:unhideWhenUsed/>
    <w:rsid w:val="00EA6D74"/>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EA6D74"/>
  </w:style>
  <w:style w:type="paragraph" w:styleId="Pieddepage">
    <w:name w:val="footer"/>
    <w:basedOn w:val="Normal"/>
    <w:link w:val="PieddepageCar"/>
    <w:uiPriority w:val="99"/>
    <w:unhideWhenUsed/>
    <w:rsid w:val="00EA6D7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A6D74"/>
  </w:style>
  <w:style w:type="paragraph" w:styleId="Notedebasdepage">
    <w:name w:val="footnote text"/>
    <w:basedOn w:val="Normal"/>
    <w:link w:val="NotedebasdepageCar"/>
    <w:uiPriority w:val="99"/>
    <w:semiHidden/>
    <w:unhideWhenUsed/>
    <w:rsid w:val="000159C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159CA"/>
    <w:rPr>
      <w:sz w:val="20"/>
      <w:szCs w:val="20"/>
    </w:rPr>
  </w:style>
  <w:style w:type="character" w:styleId="Appelnotedebasdep">
    <w:name w:val="footnote reference"/>
    <w:basedOn w:val="Policepardfaut"/>
    <w:uiPriority w:val="99"/>
    <w:semiHidden/>
    <w:unhideWhenUsed/>
    <w:rsid w:val="000159CA"/>
    <w:rPr>
      <w:vertAlign w:val="superscript"/>
    </w:rPr>
  </w:style>
  <w:style w:type="character" w:customStyle="1" w:styleId="Titre2Car">
    <w:name w:val="Titre 2 Car"/>
    <w:basedOn w:val="Policepardfaut"/>
    <w:link w:val="Titre2"/>
    <w:rsid w:val="00DF185B"/>
    <w:rPr>
      <w:rFonts w:ascii="Cambria" w:eastAsia="Cambria" w:hAnsi="Cambria" w:cs="Cambria"/>
      <w:color w:val="36609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390.png"/><Relationship Id="rId50" Type="http://schemas.openxmlformats.org/officeDocument/2006/relationships/image" Target="media/image41.emf"/><Relationship Id="rId55" Type="http://schemas.openxmlformats.org/officeDocument/2006/relationships/chart" Target="charts/chart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chart" Target="charts/chart1.xml"/><Relationship Id="rId58" Type="http://schemas.openxmlformats.org/officeDocument/2006/relationships/chart" Target="charts/chart6.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0.emf"/><Relationship Id="rId56" Type="http://schemas.openxmlformats.org/officeDocument/2006/relationships/chart" Target="charts/chart4.xml"/><Relationship Id="rId8" Type="http://schemas.openxmlformats.org/officeDocument/2006/relationships/image" Target="media/image1.png"/><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42.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chart" Target="charts/chart2.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00.emf"/><Relationship Id="rId57" Type="http://schemas.openxmlformats.org/officeDocument/2006/relationships/chart" Target="charts/chart5.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footer" Target="footer2.xml"/><Relationship Id="rId60" Type="http://schemas.openxmlformats.org/officeDocument/2006/relationships/image" Target="media/image43.png"/><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1" Type="http://schemas.openxmlformats.org/officeDocument/2006/relationships/hyperlink" Target="http://www.bayiri.com/societe/sciences-sante%20/grossesses-non-desirees-et-paternites-precoces-le-rajs-bf-lance-sa-campagne-talents-de-jeunes-2013.html"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oleObject" Target="file:///F:\SCENARII%20EXTRAIT\DONNEES%20EXTRAITES%20SRMENE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Classeur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Classeur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Classeur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TAHIROU%20(30-09-17)\MBB-One%20Health%20Tool\Costing%20SRMNEAN\Graphique_Source%20de%20financemen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Budget du DI réparti par programme scénario moyen</a:t>
            </a:r>
          </a:p>
        </c:rich>
      </c:tx>
      <c:overlay val="0"/>
    </c:title>
    <c:autoTitleDeleted val="0"/>
    <c:plotArea>
      <c:layout/>
      <c:pieChart>
        <c:varyColors val="1"/>
        <c:ser>
          <c:idx val="0"/>
          <c:order val="0"/>
          <c:tx>
            <c:strRef>
              <c:f>'Sheet1'!$B$1</c:f>
              <c:strCache>
                <c:ptCount val="1"/>
                <c:pt idx="0">
                  <c:v>Budget du DI réparti par programme2</c:v>
                </c:pt>
              </c:strCache>
            </c:strRef>
          </c:tx>
          <c:dLbls>
            <c:dLbl>
              <c:idx val="0"/>
              <c:spPr/>
              <c:txPr>
                <a:bodyPr/>
                <a:lstStyle/>
                <a:p>
                  <a:pPr>
                    <a:defRPr sz="1200" b="1">
                      <a:solidFill>
                        <a:schemeClr val="bg1"/>
                      </a:solidFill>
                    </a:defRPr>
                  </a:pPr>
                  <a:endParaRPr lang="fr-FR"/>
                </a:p>
              </c:txPr>
              <c:showLegendKey val="0"/>
              <c:showVal val="1"/>
              <c:showCatName val="0"/>
              <c:showSerName val="0"/>
              <c:showPercent val="0"/>
              <c:showBubbleSize val="0"/>
              <c:extLst>
                <c:ext xmlns:c16="http://schemas.microsoft.com/office/drawing/2014/chart" uri="{C3380CC4-5D6E-409C-BE32-E72D297353CC}">
                  <c16:uniqueId val="{00000000-0343-4F60-97F9-95848534C0E2}"/>
                </c:ext>
              </c:extLst>
            </c:dLbl>
            <c:dLbl>
              <c:idx val="1"/>
              <c:spPr/>
              <c:txPr>
                <a:bodyPr/>
                <a:lstStyle/>
                <a:p>
                  <a:pPr>
                    <a:defRPr sz="1200" b="1">
                      <a:solidFill>
                        <a:schemeClr val="bg1"/>
                      </a:solidFill>
                    </a:defRPr>
                  </a:pPr>
                  <a:endParaRPr lang="fr-FR"/>
                </a:p>
              </c:txPr>
              <c:showLegendKey val="0"/>
              <c:showVal val="1"/>
              <c:showCatName val="0"/>
              <c:showSerName val="0"/>
              <c:showPercent val="0"/>
              <c:showBubbleSize val="0"/>
              <c:extLst>
                <c:ext xmlns:c16="http://schemas.microsoft.com/office/drawing/2014/chart" uri="{C3380CC4-5D6E-409C-BE32-E72D297353CC}">
                  <c16:uniqueId val="{00000001-0343-4F60-97F9-95848534C0E2}"/>
                </c:ext>
              </c:extLst>
            </c:dLbl>
            <c:dLbl>
              <c:idx val="2"/>
              <c:spPr/>
              <c:txPr>
                <a:bodyPr/>
                <a:lstStyle/>
                <a:p>
                  <a:pPr>
                    <a:defRPr sz="1200" b="1">
                      <a:solidFill>
                        <a:schemeClr val="bg1"/>
                      </a:solidFill>
                    </a:defRPr>
                  </a:pPr>
                  <a:endParaRPr lang="fr-FR"/>
                </a:p>
              </c:txPr>
              <c:showLegendKey val="0"/>
              <c:showVal val="1"/>
              <c:showCatName val="0"/>
              <c:showSerName val="0"/>
              <c:showPercent val="0"/>
              <c:showBubbleSize val="0"/>
              <c:extLst>
                <c:ext xmlns:c16="http://schemas.microsoft.com/office/drawing/2014/chart" uri="{C3380CC4-5D6E-409C-BE32-E72D297353CC}">
                  <c16:uniqueId val="{00000002-0343-4F60-97F9-95848534C0E2}"/>
                </c:ext>
              </c:extLst>
            </c:dLbl>
            <c:dLbl>
              <c:idx val="3"/>
              <c:spPr/>
              <c:txPr>
                <a:bodyPr/>
                <a:lstStyle/>
                <a:p>
                  <a:pPr>
                    <a:defRPr sz="1200" b="1">
                      <a:solidFill>
                        <a:schemeClr val="bg1"/>
                      </a:solidFill>
                    </a:defRPr>
                  </a:pPr>
                  <a:endParaRPr lang="fr-FR"/>
                </a:p>
              </c:txPr>
              <c:showLegendKey val="0"/>
              <c:showVal val="1"/>
              <c:showCatName val="0"/>
              <c:showSerName val="0"/>
              <c:showPercent val="0"/>
              <c:showBubbleSize val="0"/>
              <c:extLst>
                <c:ext xmlns:c16="http://schemas.microsoft.com/office/drawing/2014/chart" uri="{C3380CC4-5D6E-409C-BE32-E72D297353CC}">
                  <c16:uniqueId val="{00000003-0343-4F60-97F9-95848534C0E2}"/>
                </c:ext>
              </c:extLst>
            </c:dLbl>
            <c:dLbl>
              <c:idx val="4"/>
              <c:spPr/>
              <c:txPr>
                <a:bodyPr/>
                <a:lstStyle/>
                <a:p>
                  <a:pPr>
                    <a:defRPr sz="1200" b="1">
                      <a:solidFill>
                        <a:schemeClr val="bg1"/>
                      </a:solidFill>
                    </a:defRPr>
                  </a:pPr>
                  <a:endParaRPr lang="fr-FR"/>
                </a:p>
              </c:txPr>
              <c:showLegendKey val="0"/>
              <c:showVal val="1"/>
              <c:showCatName val="0"/>
              <c:showSerName val="0"/>
              <c:showPercent val="0"/>
              <c:showBubbleSize val="0"/>
              <c:extLst>
                <c:ext xmlns:c16="http://schemas.microsoft.com/office/drawing/2014/chart" uri="{C3380CC4-5D6E-409C-BE32-E72D297353CC}">
                  <c16:uniqueId val="{00000004-0343-4F60-97F9-95848534C0E2}"/>
                </c:ext>
              </c:extLst>
            </c:dLbl>
            <c:dLbl>
              <c:idx val="5"/>
              <c:spPr/>
              <c:txPr>
                <a:bodyPr/>
                <a:lstStyle/>
                <a:p>
                  <a:pPr>
                    <a:defRPr sz="1200" b="1">
                      <a:solidFill>
                        <a:schemeClr val="bg1"/>
                      </a:solidFill>
                    </a:defRPr>
                  </a:pPr>
                  <a:endParaRPr lang="fr-FR"/>
                </a:p>
              </c:txPr>
              <c:showLegendKey val="0"/>
              <c:showVal val="1"/>
              <c:showCatName val="0"/>
              <c:showSerName val="0"/>
              <c:showPercent val="0"/>
              <c:showBubbleSize val="0"/>
              <c:extLst>
                <c:ext xmlns:c16="http://schemas.microsoft.com/office/drawing/2014/chart" uri="{C3380CC4-5D6E-409C-BE32-E72D297353CC}">
                  <c16:uniqueId val="{00000005-0343-4F60-97F9-95848534C0E2}"/>
                </c:ext>
              </c:extLst>
            </c:dLbl>
            <c:spPr>
              <a:noFill/>
              <a:ln>
                <a:noFill/>
              </a:ln>
              <a:effectLst/>
            </c:spPr>
            <c:txPr>
              <a:bodyPr/>
              <a:lstStyle/>
              <a:p>
                <a:pPr>
                  <a:defRPr sz="1200" b="1">
                    <a:solidFill>
                      <a:schemeClr val="tx1"/>
                    </a:solidFill>
                  </a:defRPr>
                </a:pPr>
                <a:endParaRPr lang="fr-FR"/>
              </a:p>
            </c:txPr>
            <c:showLegendKey val="0"/>
            <c:showVal val="1"/>
            <c:showCatName val="0"/>
            <c:showSerName val="0"/>
            <c:showPercent val="0"/>
            <c:showBubbleSize val="0"/>
            <c:showLeaderLines val="1"/>
            <c:extLst>
              <c:ext xmlns:c15="http://schemas.microsoft.com/office/drawing/2012/chart" uri="{CE6537A1-D6FC-4f65-9D91-7224C49458BB}"/>
            </c:extLst>
          </c:dLbls>
          <c:cat>
            <c:strRef>
              <c:f>'Sheet1'!$A$2:$A$8</c:f>
              <c:strCache>
                <c:ptCount val="7"/>
                <c:pt idx="0">
                  <c:v>Santé Mère et Nouveau-né</c:v>
                </c:pt>
                <c:pt idx="1">
                  <c:v>Santé enfant de moins de 5 ans</c:v>
                </c:pt>
                <c:pt idx="2">
                  <c:v>Santé des adolescents/jeunes</c:v>
                </c:pt>
                <c:pt idx="3">
                  <c:v>Nutrition</c:v>
                </c:pt>
                <c:pt idx="4">
                  <c:v>Vaccination</c:v>
                </c:pt>
                <c:pt idx="5">
                  <c:v>Santé communautaire et interventions transversales</c:v>
                </c:pt>
                <c:pt idx="6">
                  <c:v>Etat civil</c:v>
                </c:pt>
              </c:strCache>
            </c:strRef>
          </c:cat>
          <c:val>
            <c:numRef>
              <c:f>'Sheet1'!$B$2:$B$8</c:f>
              <c:numCache>
                <c:formatCode>0.00%</c:formatCode>
                <c:ptCount val="7"/>
                <c:pt idx="0">
                  <c:v>0.2450000000000003</c:v>
                </c:pt>
                <c:pt idx="1">
                  <c:v>0.22500000000000014</c:v>
                </c:pt>
                <c:pt idx="2">
                  <c:v>7.9000000000000181E-2</c:v>
                </c:pt>
                <c:pt idx="3">
                  <c:v>0.12100000000000002</c:v>
                </c:pt>
                <c:pt idx="4">
                  <c:v>0.10500000000000002</c:v>
                </c:pt>
                <c:pt idx="5">
                  <c:v>0.21100000000000024</c:v>
                </c:pt>
                <c:pt idx="6">
                  <c:v>1.4999999999999998E-2</c:v>
                </c:pt>
              </c:numCache>
            </c:numRef>
          </c:val>
          <c:extLst>
            <c:ext xmlns:c16="http://schemas.microsoft.com/office/drawing/2014/chart" uri="{C3380CC4-5D6E-409C-BE32-E72D297353CC}">
              <c16:uniqueId val="{00000006-0343-4F60-97F9-95848534C0E2}"/>
            </c:ext>
          </c:extLst>
        </c:ser>
        <c:dLbls>
          <c:showLegendKey val="0"/>
          <c:showVal val="0"/>
          <c:showCatName val="0"/>
          <c:showSerName val="0"/>
          <c:showPercent val="0"/>
          <c:showBubbleSize val="0"/>
          <c:showLeaderLines val="1"/>
        </c:dLbls>
        <c:firstSliceAng val="0"/>
      </c:pieChart>
    </c:plotArea>
    <c:legend>
      <c:legendPos val="r"/>
      <c:overlay val="0"/>
      <c:spPr>
        <a:solidFill>
          <a:schemeClr val="accent5">
            <a:lumMod val="20000"/>
            <a:lumOff val="80000"/>
          </a:schemeClr>
        </a:solidFill>
        <a:ln w="6350">
          <a:solidFill>
            <a:schemeClr val="tx1"/>
          </a:solidFill>
        </a:ln>
      </c:sp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Lbls>
            <c:dLbl>
              <c:idx val="0"/>
              <c:layout>
                <c:manualLayout>
                  <c:x val="-2.5252233536570057E-17"/>
                  <c:y val="-3.440860215053763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3A2-4AF0-A121-DB5635323220}"/>
                </c:ext>
              </c:extLst>
            </c:dLbl>
            <c:dLbl>
              <c:idx val="1"/>
              <c:layout>
                <c:manualLayout>
                  <c:x val="0"/>
                  <c:y val="-5.16129032258069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3A2-4AF0-A121-DB5635323220}"/>
                </c:ext>
              </c:extLst>
            </c:dLbl>
            <c:dLbl>
              <c:idx val="2"/>
              <c:layout>
                <c:manualLayout>
                  <c:x val="8.2644628099173747E-3"/>
                  <c:y val="-5.16129032258069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3A2-4AF0-A121-DB5635323220}"/>
                </c:ext>
              </c:extLst>
            </c:dLbl>
            <c:spPr>
              <a:noFill/>
              <a:ln>
                <a:noFill/>
              </a:ln>
              <a:effectLst/>
            </c:spPr>
            <c:txPr>
              <a:bodyPr/>
              <a:lstStyle/>
              <a:p>
                <a:pPr>
                  <a:defRPr sz="105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'BUDGET PAR NIVEAU '!$A$25:$A$27</c:f>
              <c:strCache>
                <c:ptCount val="3"/>
                <c:pt idx="0">
                  <c:v>NIVEAU DISTRICTS SANITAIRES</c:v>
                </c:pt>
                <c:pt idx="1">
                  <c:v>NIVEAU REGIONAL</c:v>
                </c:pt>
                <c:pt idx="2">
                  <c:v>NIVEAU CENTRAL </c:v>
                </c:pt>
              </c:strCache>
            </c:strRef>
          </c:cat>
          <c:val>
            <c:numRef>
              <c:f>'BUDGET PAR NIVEAU '!$H$25:$H$27</c:f>
              <c:numCache>
                <c:formatCode>0%</c:formatCode>
                <c:ptCount val="3"/>
                <c:pt idx="0">
                  <c:v>0.59110917053657264</c:v>
                </c:pt>
                <c:pt idx="1">
                  <c:v>0.16978318741883391</c:v>
                </c:pt>
                <c:pt idx="2">
                  <c:v>0.23910764204459425</c:v>
                </c:pt>
              </c:numCache>
            </c:numRef>
          </c:val>
          <c:extLst>
            <c:ext xmlns:c16="http://schemas.microsoft.com/office/drawing/2014/chart" uri="{C3380CC4-5D6E-409C-BE32-E72D297353CC}">
              <c16:uniqueId val="{00000003-63A2-4AF0-A121-DB5635323220}"/>
            </c:ext>
          </c:extLst>
        </c:ser>
        <c:dLbls>
          <c:showLegendKey val="0"/>
          <c:showVal val="0"/>
          <c:showCatName val="0"/>
          <c:showSerName val="0"/>
          <c:showPercent val="0"/>
          <c:showBubbleSize val="0"/>
        </c:dLbls>
        <c:gapWidth val="150"/>
        <c:shape val="cylinder"/>
        <c:axId val="-1496238768"/>
        <c:axId val="-1496236048"/>
        <c:axId val="0"/>
      </c:bar3DChart>
      <c:catAx>
        <c:axId val="-1496238768"/>
        <c:scaling>
          <c:orientation val="minMax"/>
        </c:scaling>
        <c:delete val="0"/>
        <c:axPos val="b"/>
        <c:numFmt formatCode="General" sourceLinked="0"/>
        <c:majorTickMark val="out"/>
        <c:minorTickMark val="none"/>
        <c:tickLblPos val="nextTo"/>
        <c:txPr>
          <a:bodyPr/>
          <a:lstStyle/>
          <a:p>
            <a:pPr>
              <a:defRPr b="1"/>
            </a:pPr>
            <a:endParaRPr lang="fr-FR"/>
          </a:p>
        </c:txPr>
        <c:crossAx val="-1496236048"/>
        <c:crosses val="autoZero"/>
        <c:auto val="1"/>
        <c:lblAlgn val="ctr"/>
        <c:lblOffset val="100"/>
        <c:noMultiLvlLbl val="0"/>
      </c:catAx>
      <c:valAx>
        <c:axId val="-1496236048"/>
        <c:scaling>
          <c:orientation val="minMax"/>
        </c:scaling>
        <c:delete val="0"/>
        <c:axPos val="l"/>
        <c:majorGridlines/>
        <c:numFmt formatCode="0%" sourceLinked="1"/>
        <c:majorTickMark val="out"/>
        <c:minorTickMark val="none"/>
        <c:tickLblPos val="nextTo"/>
        <c:crossAx val="-1496238768"/>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1079104808331491E-2"/>
          <c:y val="3.476062569126244E-2"/>
          <c:w val="0.98005761134500335"/>
          <c:h val="0.81378804975969887"/>
        </c:manualLayout>
      </c:layout>
      <c:lineChart>
        <c:grouping val="standard"/>
        <c:varyColors val="0"/>
        <c:ser>
          <c:idx val="0"/>
          <c:order val="0"/>
          <c:tx>
            <c:strRef>
              <c:f>Feuil1!$A$9</c:f>
              <c:strCache>
                <c:ptCount val="1"/>
                <c:pt idx="0">
                  <c:v>MIN</c:v>
                </c:pt>
              </c:strCache>
            </c:strRef>
          </c:tx>
          <c:spPr>
            <a:ln w="28575" cap="rnd" cmpd="sng" algn="ctr">
              <a:solidFill>
                <a:schemeClr val="accent1">
                  <a:shade val="95000"/>
                  <a:satMod val="105000"/>
                </a:schemeClr>
              </a:solidFill>
              <a:round/>
            </a:ln>
            <a:effectLst/>
          </c:spPr>
          <c:marker>
            <c:symbol val="circle"/>
            <c:size val="17"/>
            <c:spPr>
              <a:solidFill>
                <a:schemeClr val="lt1"/>
              </a:solidFill>
              <a:ln w="28575">
                <a:noFill/>
              </a:ln>
              <a:effectLst/>
            </c:spPr>
          </c:marker>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fr-FR"/>
                </a:p>
              </c:txPr>
              <c:dLblPos val="ctr"/>
              <c:showLegendKey val="0"/>
              <c:showVal val="1"/>
              <c:showCatName val="0"/>
              <c:showSerName val="0"/>
              <c:showPercent val="0"/>
              <c:showBubbleSize val="0"/>
              <c:extLst>
                <c:ext xmlns:c16="http://schemas.microsoft.com/office/drawing/2014/chart" uri="{C3380CC4-5D6E-409C-BE32-E72D297353CC}">
                  <c16:uniqueId val="{00000000-0BC3-49FE-AB60-269387DE322A}"/>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accen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Feuil1!$B$8:$G$8</c:f>
              <c:strCache>
                <c:ptCount val="6"/>
                <c:pt idx="0">
                  <c:v>BASE</c:v>
                </c:pt>
                <c:pt idx="1">
                  <c:v>2019</c:v>
                </c:pt>
                <c:pt idx="2">
                  <c:v>2020</c:v>
                </c:pt>
                <c:pt idx="3">
                  <c:v>2021</c:v>
                </c:pt>
                <c:pt idx="4">
                  <c:v>2022</c:v>
                </c:pt>
                <c:pt idx="5">
                  <c:v>2023</c:v>
                </c:pt>
              </c:strCache>
            </c:strRef>
          </c:cat>
          <c:val>
            <c:numRef>
              <c:f>Feuil1!$B$9:$G$9</c:f>
              <c:numCache>
                <c:formatCode>0</c:formatCode>
                <c:ptCount val="6"/>
                <c:pt idx="0" formatCode="General">
                  <c:v>23.2</c:v>
                </c:pt>
                <c:pt idx="1">
                  <c:v>21.41</c:v>
                </c:pt>
                <c:pt idx="2">
                  <c:v>19.75</c:v>
                </c:pt>
                <c:pt idx="3">
                  <c:v>18.190000000000001</c:v>
                </c:pt>
                <c:pt idx="4">
                  <c:v>16.73</c:v>
                </c:pt>
                <c:pt idx="5">
                  <c:v>15.360000000000024</c:v>
                </c:pt>
              </c:numCache>
            </c:numRef>
          </c:val>
          <c:smooth val="0"/>
          <c:extLst>
            <c:ext xmlns:c16="http://schemas.microsoft.com/office/drawing/2014/chart" uri="{C3380CC4-5D6E-409C-BE32-E72D297353CC}">
              <c16:uniqueId val="{00000001-6A5A-4B12-BE48-3E7C6678BCDE}"/>
            </c:ext>
          </c:extLst>
        </c:ser>
        <c:ser>
          <c:idx val="1"/>
          <c:order val="1"/>
          <c:tx>
            <c:strRef>
              <c:f>Feuil1!$A$10</c:f>
              <c:strCache>
                <c:ptCount val="1"/>
                <c:pt idx="0">
                  <c:v>MOY</c:v>
                </c:pt>
              </c:strCache>
            </c:strRef>
          </c:tx>
          <c:spPr>
            <a:ln w="28575" cap="rnd" cmpd="sng" algn="ctr">
              <a:solidFill>
                <a:schemeClr val="accent2">
                  <a:shade val="95000"/>
                  <a:satMod val="105000"/>
                </a:schemeClr>
              </a:solidFill>
              <a:round/>
            </a:ln>
            <a:effectLst/>
          </c:spPr>
          <c:marker>
            <c:symbol val="circle"/>
            <c:size val="17"/>
            <c:spPr>
              <a:solidFill>
                <a:schemeClr val="lt1"/>
              </a:solidFill>
              <a:ln w="28575">
                <a:no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2-6A5A-4B12-BE48-3E7C6678BCDE}"/>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2"/>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Feuil1!$B$8:$G$8</c:f>
              <c:strCache>
                <c:ptCount val="6"/>
                <c:pt idx="0">
                  <c:v>BASE</c:v>
                </c:pt>
                <c:pt idx="1">
                  <c:v>2019</c:v>
                </c:pt>
                <c:pt idx="2">
                  <c:v>2020</c:v>
                </c:pt>
                <c:pt idx="3">
                  <c:v>2021</c:v>
                </c:pt>
                <c:pt idx="4">
                  <c:v>2022</c:v>
                </c:pt>
                <c:pt idx="5">
                  <c:v>2023</c:v>
                </c:pt>
              </c:strCache>
            </c:strRef>
          </c:cat>
          <c:val>
            <c:numRef>
              <c:f>Feuil1!$B$10:$G$10</c:f>
              <c:numCache>
                <c:formatCode>0</c:formatCode>
                <c:ptCount val="6"/>
                <c:pt idx="0" formatCode="General">
                  <c:v>23.2</c:v>
                </c:pt>
                <c:pt idx="1">
                  <c:v>19.690000000000001</c:v>
                </c:pt>
                <c:pt idx="2">
                  <c:v>17.12</c:v>
                </c:pt>
                <c:pt idx="3">
                  <c:v>15.33</c:v>
                </c:pt>
                <c:pt idx="4">
                  <c:v>14.06</c:v>
                </c:pt>
                <c:pt idx="5">
                  <c:v>12.860000000000024</c:v>
                </c:pt>
              </c:numCache>
            </c:numRef>
          </c:val>
          <c:smooth val="0"/>
          <c:extLst>
            <c:ext xmlns:c16="http://schemas.microsoft.com/office/drawing/2014/chart" uri="{C3380CC4-5D6E-409C-BE32-E72D297353CC}">
              <c16:uniqueId val="{00000003-6A5A-4B12-BE48-3E7C6678BCDE}"/>
            </c:ext>
          </c:extLst>
        </c:ser>
        <c:ser>
          <c:idx val="2"/>
          <c:order val="2"/>
          <c:tx>
            <c:strRef>
              <c:f>Feuil1!$A$11</c:f>
              <c:strCache>
                <c:ptCount val="1"/>
                <c:pt idx="0">
                  <c:v>MAX</c:v>
                </c:pt>
              </c:strCache>
            </c:strRef>
          </c:tx>
          <c:spPr>
            <a:ln w="28575" cap="rnd" cmpd="sng" algn="ctr">
              <a:solidFill>
                <a:schemeClr val="accent3">
                  <a:shade val="95000"/>
                  <a:satMod val="105000"/>
                </a:schemeClr>
              </a:solidFill>
              <a:round/>
            </a:ln>
            <a:effectLst/>
          </c:spPr>
          <c:marker>
            <c:symbol val="circle"/>
            <c:size val="17"/>
            <c:spPr>
              <a:solidFill>
                <a:schemeClr val="lt1"/>
              </a:solidFill>
              <a:ln w="28575">
                <a:no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4-6A5A-4B12-BE48-3E7C6678BCDE}"/>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3"/>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Feuil1!$B$8:$G$8</c:f>
              <c:strCache>
                <c:ptCount val="6"/>
                <c:pt idx="0">
                  <c:v>BASE</c:v>
                </c:pt>
                <c:pt idx="1">
                  <c:v>2019</c:v>
                </c:pt>
                <c:pt idx="2">
                  <c:v>2020</c:v>
                </c:pt>
                <c:pt idx="3">
                  <c:v>2021</c:v>
                </c:pt>
                <c:pt idx="4">
                  <c:v>2022</c:v>
                </c:pt>
                <c:pt idx="5">
                  <c:v>2023</c:v>
                </c:pt>
              </c:strCache>
            </c:strRef>
          </c:cat>
          <c:val>
            <c:numRef>
              <c:f>Feuil1!$B$11:$G$11</c:f>
              <c:numCache>
                <c:formatCode>0</c:formatCode>
                <c:ptCount val="6"/>
                <c:pt idx="0" formatCode="General">
                  <c:v>23.2</c:v>
                </c:pt>
                <c:pt idx="1">
                  <c:v>18.55</c:v>
                </c:pt>
                <c:pt idx="2">
                  <c:v>16.110000000000031</c:v>
                </c:pt>
                <c:pt idx="3">
                  <c:v>14.43</c:v>
                </c:pt>
                <c:pt idx="4">
                  <c:v>12.950000000000006</c:v>
                </c:pt>
                <c:pt idx="5">
                  <c:v>11.63</c:v>
                </c:pt>
              </c:numCache>
            </c:numRef>
          </c:val>
          <c:smooth val="0"/>
          <c:extLst>
            <c:ext xmlns:c16="http://schemas.microsoft.com/office/drawing/2014/chart" uri="{C3380CC4-5D6E-409C-BE32-E72D297353CC}">
              <c16:uniqueId val="{00000005-6A5A-4B12-BE48-3E7C6678BCDE}"/>
            </c:ext>
          </c:extLst>
        </c:ser>
        <c:dLbls>
          <c:showLegendKey val="0"/>
          <c:showVal val="1"/>
          <c:showCatName val="0"/>
          <c:showSerName val="0"/>
          <c:showPercent val="0"/>
          <c:showBubbleSize val="0"/>
        </c:dLbls>
        <c:marker val="1"/>
        <c:smooth val="0"/>
        <c:axId val="-1496237136"/>
        <c:axId val="-1496238224"/>
      </c:lineChart>
      <c:catAx>
        <c:axId val="-1496237136"/>
        <c:scaling>
          <c:orientation val="minMax"/>
        </c:scaling>
        <c:delete val="0"/>
        <c:axPos val="b"/>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dk1">
                    <a:lumMod val="65000"/>
                    <a:lumOff val="35000"/>
                  </a:schemeClr>
                </a:solidFill>
                <a:latin typeface="+mn-lt"/>
                <a:ea typeface="+mn-ea"/>
                <a:cs typeface="+mn-cs"/>
              </a:defRPr>
            </a:pPr>
            <a:endParaRPr lang="fr-FR"/>
          </a:p>
        </c:txPr>
        <c:crossAx val="-1496238224"/>
        <c:crosses val="autoZero"/>
        <c:auto val="1"/>
        <c:lblAlgn val="ctr"/>
        <c:lblOffset val="100"/>
        <c:noMultiLvlLbl val="0"/>
      </c:catAx>
      <c:valAx>
        <c:axId val="-1496238224"/>
        <c:scaling>
          <c:orientation val="minMax"/>
        </c:scaling>
        <c:delete val="1"/>
        <c:axPos val="l"/>
        <c:numFmt formatCode="General" sourceLinked="1"/>
        <c:majorTickMark val="none"/>
        <c:minorTickMark val="none"/>
        <c:tickLblPos val="none"/>
        <c:crossAx val="-1496237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rgbClr val="D9D9D9"/>
      </a:solidFill>
      <a:round/>
    </a:ln>
    <a:effectLst/>
  </c:spPr>
  <c:txPr>
    <a:bodyPr/>
    <a:lstStyle/>
    <a:p>
      <a:pPr>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Feuil1!$A$16</c:f>
              <c:strCache>
                <c:ptCount val="1"/>
                <c:pt idx="0">
                  <c:v>MIN</c:v>
                </c:pt>
              </c:strCache>
            </c:strRef>
          </c:tx>
          <c:spPr>
            <a:ln w="38100" cap="rnd" cmpd="sng" algn="ctr">
              <a:solidFill>
                <a:schemeClr val="accent1">
                  <a:shade val="95000"/>
                  <a:satMod val="105000"/>
                </a:schemeClr>
              </a:solidFill>
              <a:round/>
            </a:ln>
            <a:effectLst/>
          </c:spPr>
          <c:marker>
            <c:symbol val="circle"/>
            <c:size val="17"/>
            <c:spPr>
              <a:solidFill>
                <a:schemeClr val="lt1"/>
              </a:solidFill>
              <a:ln w="38100">
                <a:noFill/>
              </a:ln>
              <a:effectLst/>
            </c:spPr>
          </c:marker>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fr-FR"/>
                </a:p>
              </c:txPr>
              <c:dLblPos val="ctr"/>
              <c:showLegendKey val="0"/>
              <c:showVal val="1"/>
              <c:showCatName val="0"/>
              <c:showSerName val="0"/>
              <c:showPercent val="0"/>
              <c:showBubbleSize val="0"/>
              <c:extLst>
                <c:ext xmlns:c16="http://schemas.microsoft.com/office/drawing/2014/chart" uri="{C3380CC4-5D6E-409C-BE32-E72D297353CC}">
                  <c16:uniqueId val="{00000000-F98D-454E-B8CE-2FDA81A8632E}"/>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Feuil1!$B$15:$G$15</c:f>
              <c:strCache>
                <c:ptCount val="6"/>
                <c:pt idx="0">
                  <c:v>BASE</c:v>
                </c:pt>
                <c:pt idx="1">
                  <c:v>2019</c:v>
                </c:pt>
                <c:pt idx="2">
                  <c:v>2020</c:v>
                </c:pt>
                <c:pt idx="3">
                  <c:v>2021</c:v>
                </c:pt>
                <c:pt idx="4">
                  <c:v>2022</c:v>
                </c:pt>
                <c:pt idx="5">
                  <c:v>2023</c:v>
                </c:pt>
              </c:strCache>
            </c:strRef>
          </c:cat>
          <c:val>
            <c:numRef>
              <c:f>Feuil1!$B$16:$G$16</c:f>
              <c:numCache>
                <c:formatCode>0</c:formatCode>
                <c:ptCount val="6"/>
                <c:pt idx="0" formatCode="General">
                  <c:v>81.599999999999994</c:v>
                </c:pt>
                <c:pt idx="1">
                  <c:v>73.86999999999999</c:v>
                </c:pt>
                <c:pt idx="2">
                  <c:v>67.84</c:v>
                </c:pt>
                <c:pt idx="3">
                  <c:v>62.35</c:v>
                </c:pt>
                <c:pt idx="4">
                  <c:v>57.33</c:v>
                </c:pt>
                <c:pt idx="5">
                  <c:v>52.99</c:v>
                </c:pt>
              </c:numCache>
            </c:numRef>
          </c:val>
          <c:smooth val="0"/>
          <c:extLst>
            <c:ext xmlns:c16="http://schemas.microsoft.com/office/drawing/2014/chart" uri="{C3380CC4-5D6E-409C-BE32-E72D297353CC}">
              <c16:uniqueId val="{00000001-22D0-48D5-8E43-773C31491AF1}"/>
            </c:ext>
          </c:extLst>
        </c:ser>
        <c:ser>
          <c:idx val="1"/>
          <c:order val="1"/>
          <c:tx>
            <c:strRef>
              <c:f>Feuil1!$A$17</c:f>
              <c:strCache>
                <c:ptCount val="1"/>
                <c:pt idx="0">
                  <c:v>MOY</c:v>
                </c:pt>
              </c:strCache>
            </c:strRef>
          </c:tx>
          <c:spPr>
            <a:ln w="38100" cap="rnd" cmpd="sng" algn="ctr">
              <a:solidFill>
                <a:schemeClr val="accent2">
                  <a:shade val="95000"/>
                  <a:satMod val="105000"/>
                </a:schemeClr>
              </a:solidFill>
              <a:round/>
            </a:ln>
            <a:effectLst/>
          </c:spPr>
          <c:marker>
            <c:symbol val="circle"/>
            <c:size val="17"/>
            <c:spPr>
              <a:solidFill>
                <a:schemeClr val="lt1"/>
              </a:solidFill>
              <a:ln w="38100">
                <a:no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2-22D0-48D5-8E43-773C31491AF1}"/>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2"/>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Feuil1!$B$15:$G$15</c:f>
              <c:strCache>
                <c:ptCount val="6"/>
                <c:pt idx="0">
                  <c:v>BASE</c:v>
                </c:pt>
                <c:pt idx="1">
                  <c:v>2019</c:v>
                </c:pt>
                <c:pt idx="2">
                  <c:v>2020</c:v>
                </c:pt>
                <c:pt idx="3">
                  <c:v>2021</c:v>
                </c:pt>
                <c:pt idx="4">
                  <c:v>2022</c:v>
                </c:pt>
                <c:pt idx="5">
                  <c:v>2023</c:v>
                </c:pt>
              </c:strCache>
            </c:strRef>
          </c:cat>
          <c:val>
            <c:numRef>
              <c:f>Feuil1!$B$17:$G$17</c:f>
              <c:numCache>
                <c:formatCode>0</c:formatCode>
                <c:ptCount val="6"/>
                <c:pt idx="0" formatCode="General">
                  <c:v>81.599999999999994</c:v>
                </c:pt>
                <c:pt idx="1">
                  <c:v>65.33</c:v>
                </c:pt>
                <c:pt idx="2">
                  <c:v>54.44</c:v>
                </c:pt>
                <c:pt idx="3">
                  <c:v>47.93</c:v>
                </c:pt>
                <c:pt idx="4">
                  <c:v>44.43</c:v>
                </c:pt>
                <c:pt idx="5">
                  <c:v>41.65</c:v>
                </c:pt>
              </c:numCache>
            </c:numRef>
          </c:val>
          <c:smooth val="0"/>
          <c:extLst>
            <c:ext xmlns:c16="http://schemas.microsoft.com/office/drawing/2014/chart" uri="{C3380CC4-5D6E-409C-BE32-E72D297353CC}">
              <c16:uniqueId val="{00000003-22D0-48D5-8E43-773C31491AF1}"/>
            </c:ext>
          </c:extLst>
        </c:ser>
        <c:ser>
          <c:idx val="2"/>
          <c:order val="2"/>
          <c:tx>
            <c:strRef>
              <c:f>Feuil1!$A$18</c:f>
              <c:strCache>
                <c:ptCount val="1"/>
                <c:pt idx="0">
                  <c:v>MAX</c:v>
                </c:pt>
              </c:strCache>
            </c:strRef>
          </c:tx>
          <c:spPr>
            <a:ln w="38100" cap="rnd" cmpd="sng" algn="ctr">
              <a:solidFill>
                <a:schemeClr val="accent3">
                  <a:shade val="95000"/>
                  <a:satMod val="105000"/>
                </a:schemeClr>
              </a:solidFill>
              <a:round/>
            </a:ln>
            <a:effectLst/>
          </c:spPr>
          <c:marker>
            <c:symbol val="circle"/>
            <c:size val="17"/>
            <c:spPr>
              <a:solidFill>
                <a:schemeClr val="lt1"/>
              </a:solidFill>
              <a:ln w="38100">
                <a:no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4-22D0-48D5-8E43-773C31491AF1}"/>
                </c:ext>
              </c:extLst>
            </c:dLbl>
            <c:dLbl>
              <c:idx val="2"/>
              <c:layout>
                <c:manualLayout>
                  <c:x val="-4.0333882934872334E-2"/>
                  <c:y val="2.44798041615668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2D0-48D5-8E43-773C31491AF1}"/>
                </c:ext>
              </c:extLst>
            </c:dLbl>
            <c:dLbl>
              <c:idx val="3"/>
              <c:layout>
                <c:manualLayout>
                  <c:x val="-4.0333882934872334E-2"/>
                  <c:y val="1.223990208078329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2D0-48D5-8E43-773C31491AF1}"/>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3"/>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Feuil1!$B$15:$G$15</c:f>
              <c:strCache>
                <c:ptCount val="6"/>
                <c:pt idx="0">
                  <c:v>BASE</c:v>
                </c:pt>
                <c:pt idx="1">
                  <c:v>2019</c:v>
                </c:pt>
                <c:pt idx="2">
                  <c:v>2020</c:v>
                </c:pt>
                <c:pt idx="3">
                  <c:v>2021</c:v>
                </c:pt>
                <c:pt idx="4">
                  <c:v>2022</c:v>
                </c:pt>
                <c:pt idx="5">
                  <c:v>2023</c:v>
                </c:pt>
              </c:strCache>
            </c:strRef>
          </c:cat>
          <c:val>
            <c:numRef>
              <c:f>Feuil1!$B$18:$G$18</c:f>
              <c:numCache>
                <c:formatCode>0</c:formatCode>
                <c:ptCount val="6"/>
                <c:pt idx="0" formatCode="General">
                  <c:v>81.599999999999994</c:v>
                </c:pt>
                <c:pt idx="1">
                  <c:v>58.77</c:v>
                </c:pt>
                <c:pt idx="2">
                  <c:v>52.54</c:v>
                </c:pt>
                <c:pt idx="3">
                  <c:v>46.13</c:v>
                </c:pt>
                <c:pt idx="4">
                  <c:v>39.480000000000004</c:v>
                </c:pt>
                <c:pt idx="5">
                  <c:v>34.49</c:v>
                </c:pt>
              </c:numCache>
            </c:numRef>
          </c:val>
          <c:smooth val="0"/>
          <c:extLst>
            <c:ext xmlns:c16="http://schemas.microsoft.com/office/drawing/2014/chart" uri="{C3380CC4-5D6E-409C-BE32-E72D297353CC}">
              <c16:uniqueId val="{00000007-22D0-48D5-8E43-773C31491AF1}"/>
            </c:ext>
          </c:extLst>
        </c:ser>
        <c:dLbls>
          <c:showLegendKey val="0"/>
          <c:showVal val="1"/>
          <c:showCatName val="0"/>
          <c:showSerName val="0"/>
          <c:showPercent val="0"/>
          <c:showBubbleSize val="0"/>
        </c:dLbls>
        <c:marker val="1"/>
        <c:smooth val="0"/>
        <c:axId val="-1496232240"/>
        <c:axId val="-1496233872"/>
      </c:lineChart>
      <c:catAx>
        <c:axId val="-1496232240"/>
        <c:scaling>
          <c:orientation val="minMax"/>
        </c:scaling>
        <c:delete val="0"/>
        <c:axPos val="b"/>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dk1">
                    <a:lumMod val="65000"/>
                    <a:lumOff val="35000"/>
                  </a:schemeClr>
                </a:solidFill>
                <a:latin typeface="+mn-lt"/>
                <a:ea typeface="+mn-ea"/>
                <a:cs typeface="+mn-cs"/>
              </a:defRPr>
            </a:pPr>
            <a:endParaRPr lang="fr-FR"/>
          </a:p>
        </c:txPr>
        <c:crossAx val="-1496233872"/>
        <c:crosses val="autoZero"/>
        <c:auto val="1"/>
        <c:lblAlgn val="ctr"/>
        <c:lblOffset val="100"/>
        <c:noMultiLvlLbl val="0"/>
      </c:catAx>
      <c:valAx>
        <c:axId val="-1496233872"/>
        <c:scaling>
          <c:orientation val="minMax"/>
        </c:scaling>
        <c:delete val="1"/>
        <c:axPos val="l"/>
        <c:numFmt formatCode="General" sourceLinked="1"/>
        <c:majorTickMark val="none"/>
        <c:minorTickMark val="none"/>
        <c:tickLblPos val="none"/>
        <c:crossAx val="-14962322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fr-F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1.3365587777043065E-2"/>
          <c:y val="3.5608895943421641E-2"/>
          <c:w val="0.97439802076590631"/>
          <c:h val="0.78158796615679837"/>
        </c:manualLayout>
      </c:layout>
      <c:lineChart>
        <c:grouping val="standard"/>
        <c:varyColors val="0"/>
        <c:ser>
          <c:idx val="0"/>
          <c:order val="0"/>
          <c:tx>
            <c:strRef>
              <c:f>Feuil1!$A$2</c:f>
              <c:strCache>
                <c:ptCount val="1"/>
                <c:pt idx="0">
                  <c:v>MIN</c:v>
                </c:pt>
              </c:strCache>
            </c:strRef>
          </c:tx>
          <c:spPr>
            <a:ln w="28575" cap="rnd" cmpd="sng" algn="ctr">
              <a:solidFill>
                <a:schemeClr val="accent1">
                  <a:shade val="95000"/>
                  <a:satMod val="105000"/>
                </a:schemeClr>
              </a:solidFill>
              <a:round/>
            </a:ln>
            <a:effectLst/>
          </c:spPr>
          <c:marker>
            <c:symbol val="circle"/>
            <c:size val="17"/>
            <c:spPr>
              <a:solidFill>
                <a:schemeClr val="lt1"/>
              </a:solidFill>
              <a:ln w="28575">
                <a:noFill/>
              </a:ln>
              <a:effectLst/>
            </c:spPr>
          </c:marker>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fr-FR"/>
                </a:p>
              </c:txPr>
              <c:dLblPos val="ctr"/>
              <c:showLegendKey val="0"/>
              <c:showVal val="1"/>
              <c:showCatName val="0"/>
              <c:showSerName val="0"/>
              <c:showPercent val="0"/>
              <c:showBubbleSize val="0"/>
              <c:extLst>
                <c:ext xmlns:c16="http://schemas.microsoft.com/office/drawing/2014/chart" uri="{C3380CC4-5D6E-409C-BE32-E72D297353CC}">
                  <c16:uniqueId val="{00000000-25F3-40EB-BC04-AF88A1B8808F}"/>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Feuil1!$B$1:$G$1</c:f>
              <c:strCache>
                <c:ptCount val="6"/>
                <c:pt idx="0">
                  <c:v>BASE</c:v>
                </c:pt>
                <c:pt idx="1">
                  <c:v>2019</c:v>
                </c:pt>
                <c:pt idx="2">
                  <c:v>2020</c:v>
                </c:pt>
                <c:pt idx="3">
                  <c:v>2021</c:v>
                </c:pt>
                <c:pt idx="4">
                  <c:v>2022</c:v>
                </c:pt>
                <c:pt idx="5">
                  <c:v>2023</c:v>
                </c:pt>
              </c:strCache>
            </c:strRef>
          </c:cat>
          <c:val>
            <c:numRef>
              <c:f>Feuil1!$B$2:$G$2</c:f>
              <c:numCache>
                <c:formatCode>0</c:formatCode>
                <c:ptCount val="6"/>
                <c:pt idx="0" formatCode="General">
                  <c:v>330</c:v>
                </c:pt>
                <c:pt idx="1">
                  <c:v>313.67</c:v>
                </c:pt>
                <c:pt idx="2">
                  <c:v>298.67</c:v>
                </c:pt>
                <c:pt idx="3">
                  <c:v>284.52</c:v>
                </c:pt>
                <c:pt idx="4">
                  <c:v>271.14000000000038</c:v>
                </c:pt>
                <c:pt idx="5">
                  <c:v>258.54000000000002</c:v>
                </c:pt>
              </c:numCache>
            </c:numRef>
          </c:val>
          <c:smooth val="0"/>
          <c:extLst>
            <c:ext xmlns:c16="http://schemas.microsoft.com/office/drawing/2014/chart" uri="{C3380CC4-5D6E-409C-BE32-E72D297353CC}">
              <c16:uniqueId val="{00000001-B6E5-4252-BD80-01FA84FD55F8}"/>
            </c:ext>
          </c:extLst>
        </c:ser>
        <c:ser>
          <c:idx val="1"/>
          <c:order val="1"/>
          <c:tx>
            <c:strRef>
              <c:f>Feuil1!$A$3</c:f>
              <c:strCache>
                <c:ptCount val="1"/>
                <c:pt idx="0">
                  <c:v>MOY</c:v>
                </c:pt>
              </c:strCache>
            </c:strRef>
          </c:tx>
          <c:spPr>
            <a:ln w="28575" cap="rnd" cmpd="sng" algn="ctr">
              <a:solidFill>
                <a:schemeClr val="accent2">
                  <a:shade val="95000"/>
                  <a:satMod val="105000"/>
                </a:schemeClr>
              </a:solidFill>
              <a:round/>
            </a:ln>
            <a:effectLst/>
          </c:spPr>
          <c:marker>
            <c:symbol val="circle"/>
            <c:size val="17"/>
            <c:spPr>
              <a:solidFill>
                <a:schemeClr val="lt1"/>
              </a:solidFill>
              <a:ln w="28575">
                <a:no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2-B6E5-4252-BD80-01FA84FD55F8}"/>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2"/>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Feuil1!$B$1:$G$1</c:f>
              <c:strCache>
                <c:ptCount val="6"/>
                <c:pt idx="0">
                  <c:v>BASE</c:v>
                </c:pt>
                <c:pt idx="1">
                  <c:v>2019</c:v>
                </c:pt>
                <c:pt idx="2">
                  <c:v>2020</c:v>
                </c:pt>
                <c:pt idx="3">
                  <c:v>2021</c:v>
                </c:pt>
                <c:pt idx="4">
                  <c:v>2022</c:v>
                </c:pt>
                <c:pt idx="5">
                  <c:v>2023</c:v>
                </c:pt>
              </c:strCache>
            </c:strRef>
          </c:cat>
          <c:val>
            <c:numRef>
              <c:f>Feuil1!$B$3:$G$3</c:f>
              <c:numCache>
                <c:formatCode>0</c:formatCode>
                <c:ptCount val="6"/>
                <c:pt idx="0" formatCode="General">
                  <c:v>330</c:v>
                </c:pt>
                <c:pt idx="1">
                  <c:v>295.64000000000038</c:v>
                </c:pt>
                <c:pt idx="2">
                  <c:v>277.11</c:v>
                </c:pt>
                <c:pt idx="3">
                  <c:v>260.27999999999969</c:v>
                </c:pt>
                <c:pt idx="4">
                  <c:v>245.01</c:v>
                </c:pt>
                <c:pt idx="5">
                  <c:v>231.23</c:v>
                </c:pt>
              </c:numCache>
            </c:numRef>
          </c:val>
          <c:smooth val="0"/>
          <c:extLst>
            <c:ext xmlns:c16="http://schemas.microsoft.com/office/drawing/2014/chart" uri="{C3380CC4-5D6E-409C-BE32-E72D297353CC}">
              <c16:uniqueId val="{00000003-B6E5-4252-BD80-01FA84FD55F8}"/>
            </c:ext>
          </c:extLst>
        </c:ser>
        <c:ser>
          <c:idx val="2"/>
          <c:order val="2"/>
          <c:tx>
            <c:strRef>
              <c:f>Feuil1!$A$4</c:f>
              <c:strCache>
                <c:ptCount val="1"/>
                <c:pt idx="0">
                  <c:v>MAX</c:v>
                </c:pt>
              </c:strCache>
            </c:strRef>
          </c:tx>
          <c:spPr>
            <a:ln w="28575" cap="rnd" cmpd="sng" algn="ctr">
              <a:solidFill>
                <a:schemeClr val="accent3">
                  <a:shade val="95000"/>
                  <a:satMod val="105000"/>
                </a:schemeClr>
              </a:solidFill>
              <a:round/>
            </a:ln>
            <a:effectLst/>
          </c:spPr>
          <c:marker>
            <c:symbol val="circle"/>
            <c:size val="17"/>
            <c:spPr>
              <a:solidFill>
                <a:schemeClr val="lt1"/>
              </a:solidFill>
              <a:ln w="28575">
                <a:no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4-B6E5-4252-BD80-01FA84FD55F8}"/>
                </c:ext>
              </c:extLst>
            </c:dLbl>
            <c:dLbl>
              <c:idx val="1"/>
              <c:layout>
                <c:manualLayout>
                  <c:x val="-4.9250440917107813E-2"/>
                  <c:y val="2.80561122244488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6E5-4252-BD80-01FA84FD55F8}"/>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accent3"/>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Feuil1!$B$1:$G$1</c:f>
              <c:strCache>
                <c:ptCount val="6"/>
                <c:pt idx="0">
                  <c:v>BASE</c:v>
                </c:pt>
                <c:pt idx="1">
                  <c:v>2019</c:v>
                </c:pt>
                <c:pt idx="2">
                  <c:v>2020</c:v>
                </c:pt>
                <c:pt idx="3">
                  <c:v>2021</c:v>
                </c:pt>
                <c:pt idx="4">
                  <c:v>2022</c:v>
                </c:pt>
                <c:pt idx="5">
                  <c:v>2023</c:v>
                </c:pt>
              </c:strCache>
            </c:strRef>
          </c:cat>
          <c:val>
            <c:numRef>
              <c:f>Feuil1!$B$4:$G$4</c:f>
              <c:numCache>
                <c:formatCode>0</c:formatCode>
                <c:ptCount val="6"/>
                <c:pt idx="0" formatCode="General">
                  <c:v>330</c:v>
                </c:pt>
                <c:pt idx="1">
                  <c:v>288.14999999999998</c:v>
                </c:pt>
                <c:pt idx="2">
                  <c:v>252.35000000000107</c:v>
                </c:pt>
                <c:pt idx="3">
                  <c:v>221.20999999999998</c:v>
                </c:pt>
                <c:pt idx="4">
                  <c:v>194.02</c:v>
                </c:pt>
                <c:pt idx="5">
                  <c:v>168.46</c:v>
                </c:pt>
              </c:numCache>
            </c:numRef>
          </c:val>
          <c:smooth val="0"/>
          <c:extLst>
            <c:ext xmlns:c16="http://schemas.microsoft.com/office/drawing/2014/chart" uri="{C3380CC4-5D6E-409C-BE32-E72D297353CC}">
              <c16:uniqueId val="{00000006-B6E5-4252-BD80-01FA84FD55F8}"/>
            </c:ext>
          </c:extLst>
        </c:ser>
        <c:dLbls>
          <c:showLegendKey val="0"/>
          <c:showVal val="1"/>
          <c:showCatName val="0"/>
          <c:showSerName val="0"/>
          <c:showPercent val="0"/>
          <c:showBubbleSize val="0"/>
        </c:dLbls>
        <c:marker val="1"/>
        <c:smooth val="0"/>
        <c:axId val="-1496235504"/>
        <c:axId val="-1496234960"/>
      </c:lineChart>
      <c:catAx>
        <c:axId val="-1496235504"/>
        <c:scaling>
          <c:orientation val="minMax"/>
        </c:scaling>
        <c:delete val="0"/>
        <c:axPos val="b"/>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dk1">
                    <a:lumMod val="65000"/>
                    <a:lumOff val="35000"/>
                  </a:schemeClr>
                </a:solidFill>
                <a:latin typeface="+mn-lt"/>
                <a:ea typeface="+mn-ea"/>
                <a:cs typeface="+mn-cs"/>
              </a:defRPr>
            </a:pPr>
            <a:endParaRPr lang="fr-FR"/>
          </a:p>
        </c:txPr>
        <c:crossAx val="-1496234960"/>
        <c:crosses val="autoZero"/>
        <c:auto val="1"/>
        <c:lblAlgn val="ctr"/>
        <c:lblOffset val="100"/>
        <c:noMultiLvlLbl val="0"/>
      </c:catAx>
      <c:valAx>
        <c:axId val="-1496234960"/>
        <c:scaling>
          <c:orientation val="minMax"/>
        </c:scaling>
        <c:delete val="1"/>
        <c:axPos val="l"/>
        <c:numFmt formatCode="General" sourceLinked="1"/>
        <c:majorTickMark val="none"/>
        <c:minorTickMark val="none"/>
        <c:tickLblPos val="none"/>
        <c:crossAx val="-14962355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fr-F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fr-FR" sz="1200"/>
              <a:t>Parts contributives</a:t>
            </a:r>
            <a:r>
              <a:rPr lang="fr-FR" sz="1200" baseline="0"/>
              <a:t> </a:t>
            </a:r>
            <a:r>
              <a:rPr lang="fr-FR" sz="1200"/>
              <a:t>par source</a:t>
            </a:r>
            <a:r>
              <a:rPr lang="fr-FR" sz="1200" baseline="0"/>
              <a:t> de financement</a:t>
            </a:r>
            <a:endParaRPr lang="fr-FR" sz="1200"/>
          </a:p>
        </c:rich>
      </c:tx>
      <c:layout>
        <c:manualLayout>
          <c:xMode val="edge"/>
          <c:yMode val="edge"/>
          <c:x val="0.15495016611295867"/>
          <c:y val="0"/>
        </c:manualLayout>
      </c:layout>
      <c:overlay val="0"/>
    </c:title>
    <c:autoTitleDeleted val="0"/>
    <c:view3D>
      <c:rotX val="30"/>
      <c:rotY val="0"/>
      <c:rAngAx val="0"/>
    </c:view3D>
    <c:floor>
      <c:thickness val="0"/>
    </c:floor>
    <c:sideWall>
      <c:thickness val="0"/>
    </c:sideWall>
    <c:backWall>
      <c:thickness val="0"/>
    </c:backWall>
    <c:plotArea>
      <c:layout/>
      <c:pie3DChart>
        <c:varyColors val="1"/>
        <c:ser>
          <c:idx val="0"/>
          <c:order val="0"/>
          <c:dLbls>
            <c:dLbl>
              <c:idx val="0"/>
              <c:layout>
                <c:manualLayout>
                  <c:x val="1.7051846780022063E-2"/>
                  <c:y val="-0.1839871853862161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1D9B-415F-B2C4-33256A842BE4}"/>
                </c:ext>
              </c:extLst>
            </c:dLbl>
            <c:dLbl>
              <c:idx val="1"/>
              <c:layout>
                <c:manualLayout>
                  <c:x val="-3.9186503860930429E-2"/>
                  <c:y val="-0.1187535214838029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D9B-415F-B2C4-33256A842BE4}"/>
                </c:ext>
              </c:extLst>
            </c:dLbl>
            <c:dLbl>
              <c:idx val="2"/>
              <c:layout>
                <c:manualLayout>
                  <c:x val="-5.5812773403324932E-2"/>
                  <c:y val="-2.1706928366921192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1D9B-415F-B2C4-33256A842BE4}"/>
                </c:ext>
              </c:extLst>
            </c:dLbl>
            <c:dLbl>
              <c:idx val="3"/>
              <c:layout>
                <c:manualLayout>
                  <c:x val="4.0590056677697876E-2"/>
                  <c:y val="-2.762708670335549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D9B-415F-B2C4-33256A842BE4}"/>
                </c:ext>
              </c:extLst>
            </c:dLbl>
            <c:spPr>
              <a:noFill/>
              <a:ln>
                <a:noFill/>
              </a:ln>
              <a:effectLst/>
            </c:spPr>
            <c:txPr>
              <a:bodyPr/>
              <a:lstStyle/>
              <a:p>
                <a:pPr>
                  <a:defRPr sz="1400" b="1"/>
                </a:pPr>
                <a:endParaRPr lang="fr-FR"/>
              </a:p>
            </c:txPr>
            <c:showLegendKey val="0"/>
            <c:showVal val="0"/>
            <c:showCatName val="0"/>
            <c:showSerName val="0"/>
            <c:showPercent val="1"/>
            <c:showBubbleSize val="0"/>
            <c:showLeaderLines val="1"/>
            <c:extLst>
              <c:ext xmlns:c15="http://schemas.microsoft.com/office/drawing/2012/chart" uri="{CE6537A1-D6FC-4f65-9D91-7224C49458BB}"/>
            </c:extLst>
          </c:dLbls>
          <c:cat>
            <c:strRef>
              <c:f>'Source financement SRMNEAN Revu'!$A$36:$A$39</c:f>
              <c:strCache>
                <c:ptCount val="4"/>
                <c:pt idx="0">
                  <c:v>Budget de l'Etat</c:v>
                </c:pt>
                <c:pt idx="1">
                  <c:v>PTF</c:v>
                </c:pt>
                <c:pt idx="2">
                  <c:v>Menage</c:v>
                </c:pt>
                <c:pt idx="3">
                  <c:v>Privé</c:v>
                </c:pt>
              </c:strCache>
            </c:strRef>
          </c:cat>
          <c:val>
            <c:numRef>
              <c:f>'Source financement SRMNEAN Revu'!$H$36:$H$39</c:f>
              <c:numCache>
                <c:formatCode>0%</c:formatCode>
                <c:ptCount val="4"/>
                <c:pt idx="0">
                  <c:v>0.48424260343072822</c:v>
                </c:pt>
                <c:pt idx="1">
                  <c:v>0.41206813480603099</c:v>
                </c:pt>
                <c:pt idx="2">
                  <c:v>9.0012503877750144E-2</c:v>
                </c:pt>
                <c:pt idx="3">
                  <c:v>1.3676757885490684E-2</c:v>
                </c:pt>
              </c:numCache>
            </c:numRef>
          </c:val>
          <c:extLst>
            <c:ext xmlns:c16="http://schemas.microsoft.com/office/drawing/2014/chart" uri="{C3380CC4-5D6E-409C-BE32-E72D297353CC}">
              <c16:uniqueId val="{00000004-1D9B-415F-B2C4-33256A842BE4}"/>
            </c:ext>
          </c:extLst>
        </c:ser>
        <c:dLbls>
          <c:showLegendKey val="0"/>
          <c:showVal val="0"/>
          <c:showCatName val="0"/>
          <c:showSerName val="0"/>
          <c:showPercent val="1"/>
          <c:showBubbleSize val="0"/>
          <c:showLeaderLines val="1"/>
        </c:dLbls>
      </c:pie3DChart>
    </c:plotArea>
    <c:legend>
      <c:legendPos val="t"/>
      <c:layout>
        <c:manualLayout>
          <c:xMode val="edge"/>
          <c:yMode val="edge"/>
          <c:x val="0.16042481444786291"/>
          <c:y val="9.6289145281917385E-2"/>
          <c:w val="0.6455961481636"/>
          <c:h val="6.1697206837023767E-2"/>
        </c:manualLayout>
      </c:layout>
      <c:overlay val="0"/>
      <c:txPr>
        <a:bodyPr/>
        <a:lstStyle/>
        <a:p>
          <a:pPr>
            <a:defRPr sz="1050" b="1"/>
          </a:pPr>
          <a:endParaRPr lang="fr-FR"/>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56C5DC-2979-41E2-A939-B58F3D470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41108</Words>
  <Characters>226095</Characters>
  <Application>Microsoft Office Word</Application>
  <DocSecurity>0</DocSecurity>
  <Lines>1884</Lines>
  <Paragraphs>533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BAZIRA</dc:creator>
  <cp:lastModifiedBy>HP ProBook</cp:lastModifiedBy>
  <cp:revision>2</cp:revision>
  <cp:lastPrinted>2019-06-10T12:28:00Z</cp:lastPrinted>
  <dcterms:created xsi:type="dcterms:W3CDTF">2019-09-15T14:01:00Z</dcterms:created>
  <dcterms:modified xsi:type="dcterms:W3CDTF">2019-09-15T14:01:00Z</dcterms:modified>
</cp:coreProperties>
</file>